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79CEF" w14:textId="77777777" w:rsidR="00137877" w:rsidRPr="00140A0A" w:rsidRDefault="00137877" w:rsidP="00366663">
      <w:pPr>
        <w:spacing w:line="600" w:lineRule="auto"/>
        <w:jc w:val="right"/>
        <w:rPr>
          <w:rFonts w:ascii="Arial" w:hAnsi="Arial" w:cs="Arial"/>
          <w:b/>
          <w:sz w:val="36"/>
          <w:szCs w:val="36"/>
        </w:rPr>
      </w:pPr>
      <w:r w:rsidRPr="00140A0A">
        <w:rPr>
          <w:rFonts w:ascii="Arial" w:hAnsi="Arial" w:cs="Arial"/>
          <w:b/>
          <w:sz w:val="36"/>
          <w:szCs w:val="36"/>
        </w:rPr>
        <w:t xml:space="preserve">Original Research article </w:t>
      </w:r>
    </w:p>
    <w:p w14:paraId="52BA5EC5" w14:textId="23CC7B74" w:rsidR="00D12868" w:rsidRPr="00140A0A" w:rsidRDefault="003A2916" w:rsidP="00366663">
      <w:pPr>
        <w:spacing w:line="600" w:lineRule="auto"/>
        <w:jc w:val="right"/>
        <w:rPr>
          <w:rFonts w:ascii="Arial" w:hAnsi="Arial" w:cs="Arial"/>
          <w:b/>
          <w:sz w:val="36"/>
          <w:szCs w:val="36"/>
        </w:rPr>
      </w:pPr>
      <w:r w:rsidRPr="00140A0A">
        <w:rPr>
          <w:rFonts w:ascii="Arial" w:hAnsi="Arial" w:cs="Arial"/>
          <w:b/>
          <w:sz w:val="36"/>
          <w:szCs w:val="36"/>
        </w:rPr>
        <w:t>Real-World Care Gaps</w:t>
      </w:r>
      <w:r w:rsidR="00827058" w:rsidRPr="00140A0A">
        <w:rPr>
          <w:rFonts w:ascii="Arial" w:hAnsi="Arial" w:cs="Arial"/>
          <w:b/>
          <w:sz w:val="36"/>
          <w:szCs w:val="36"/>
        </w:rPr>
        <w:t xml:space="preserve"> and Survival Outcomes</w:t>
      </w:r>
      <w:r w:rsidRPr="00140A0A">
        <w:rPr>
          <w:rFonts w:ascii="Arial" w:hAnsi="Arial" w:cs="Arial"/>
          <w:b/>
          <w:sz w:val="36"/>
          <w:szCs w:val="36"/>
        </w:rPr>
        <w:t xml:space="preserve"> in Chronic Lymphocytic Leukaemia: A </w:t>
      </w:r>
      <w:r w:rsidR="00BC3933" w:rsidRPr="00140A0A">
        <w:rPr>
          <w:rFonts w:ascii="Arial" w:hAnsi="Arial" w:cs="Arial"/>
          <w:b/>
          <w:sz w:val="36"/>
          <w:szCs w:val="36"/>
        </w:rPr>
        <w:t>20</w:t>
      </w:r>
      <w:r w:rsidR="001A3C30" w:rsidRPr="00140A0A">
        <w:rPr>
          <w:rFonts w:ascii="Arial" w:hAnsi="Arial" w:cs="Arial"/>
          <w:b/>
          <w:sz w:val="36"/>
          <w:szCs w:val="36"/>
        </w:rPr>
        <w:t xml:space="preserve">-Year </w:t>
      </w:r>
      <w:r w:rsidR="007E3934" w:rsidRPr="00140A0A">
        <w:rPr>
          <w:rFonts w:ascii="Arial" w:hAnsi="Arial" w:cs="Arial"/>
          <w:b/>
          <w:sz w:val="36"/>
          <w:szCs w:val="36"/>
        </w:rPr>
        <w:t>Retrospective Study</w:t>
      </w:r>
      <w:r w:rsidRPr="00140A0A">
        <w:rPr>
          <w:rFonts w:ascii="Arial" w:hAnsi="Arial" w:cs="Arial"/>
          <w:b/>
          <w:sz w:val="36"/>
          <w:szCs w:val="36"/>
        </w:rPr>
        <w:t xml:space="preserve"> from Nigeria</w:t>
      </w:r>
    </w:p>
    <w:p w14:paraId="6BF26217" w14:textId="77777777" w:rsidR="004B5E9C" w:rsidRPr="00140A0A" w:rsidRDefault="004B5E9C" w:rsidP="00366663">
      <w:pPr>
        <w:spacing w:before="100" w:beforeAutospacing="1" w:after="100" w:afterAutospacing="1" w:line="600" w:lineRule="auto"/>
        <w:jc w:val="right"/>
        <w:rPr>
          <w:rFonts w:ascii="Arial" w:hAnsi="Arial" w:cs="Arial"/>
          <w:sz w:val="20"/>
          <w:szCs w:val="20"/>
        </w:rPr>
      </w:pPr>
    </w:p>
    <w:p w14:paraId="7206F06F" w14:textId="77777777" w:rsidR="00D12868" w:rsidRPr="00140A0A" w:rsidRDefault="003A2916" w:rsidP="00366663">
      <w:pPr>
        <w:pStyle w:val="Heading1"/>
        <w:spacing w:line="600" w:lineRule="auto"/>
        <w:jc w:val="both"/>
        <w:rPr>
          <w:rFonts w:ascii="Arial" w:hAnsi="Arial" w:cs="Arial"/>
          <w:color w:val="auto"/>
          <w:sz w:val="22"/>
          <w:szCs w:val="22"/>
        </w:rPr>
      </w:pPr>
      <w:r w:rsidRPr="00140A0A">
        <w:rPr>
          <w:rFonts w:ascii="Arial" w:hAnsi="Arial" w:cs="Arial"/>
          <w:color w:val="auto"/>
          <w:sz w:val="22"/>
          <w:szCs w:val="22"/>
        </w:rPr>
        <w:t>Abstract</w:t>
      </w:r>
    </w:p>
    <w:p w14:paraId="0F42B8C1" w14:textId="7EC33BD0" w:rsidR="00D12868" w:rsidRPr="00140A0A" w:rsidRDefault="003A2916" w:rsidP="00366663">
      <w:pPr>
        <w:spacing w:line="600" w:lineRule="auto"/>
        <w:jc w:val="both"/>
        <w:rPr>
          <w:rFonts w:ascii="Arial" w:hAnsi="Arial" w:cs="Arial"/>
          <w:sz w:val="20"/>
          <w:szCs w:val="20"/>
        </w:rPr>
      </w:pPr>
      <w:r w:rsidRPr="00140A0A">
        <w:rPr>
          <w:rFonts w:ascii="Arial" w:hAnsi="Arial" w:cs="Arial"/>
          <w:b/>
          <w:sz w:val="20"/>
          <w:szCs w:val="20"/>
        </w:rPr>
        <w:t xml:space="preserve">Background: </w:t>
      </w:r>
      <w:r w:rsidRPr="00140A0A">
        <w:rPr>
          <w:rFonts w:ascii="Arial" w:hAnsi="Arial" w:cs="Arial"/>
          <w:sz w:val="20"/>
          <w:szCs w:val="20"/>
        </w:rPr>
        <w:t xml:space="preserve">Chronic lymphocytic leukaemia (CLL) outcomes in low-resource settings are shaped not only by disease biology, but also by delayed diagnosis, </w:t>
      </w:r>
      <w:r w:rsidR="000418EC" w:rsidRPr="00140A0A">
        <w:rPr>
          <w:rFonts w:ascii="Arial" w:hAnsi="Arial" w:cs="Arial"/>
          <w:sz w:val="20"/>
          <w:szCs w:val="20"/>
        </w:rPr>
        <w:t>limited</w:t>
      </w:r>
      <w:r w:rsidRPr="00140A0A">
        <w:rPr>
          <w:rFonts w:ascii="Arial" w:hAnsi="Arial" w:cs="Arial"/>
          <w:sz w:val="20"/>
          <w:szCs w:val="20"/>
        </w:rPr>
        <w:t xml:space="preserve"> access to </w:t>
      </w:r>
      <w:r w:rsidR="000418EC" w:rsidRPr="00140A0A">
        <w:rPr>
          <w:rFonts w:ascii="Arial" w:hAnsi="Arial" w:cs="Arial"/>
          <w:sz w:val="20"/>
          <w:szCs w:val="20"/>
        </w:rPr>
        <w:t>therapeutic options</w:t>
      </w:r>
      <w:r w:rsidRPr="00140A0A">
        <w:rPr>
          <w:rFonts w:ascii="Arial" w:hAnsi="Arial" w:cs="Arial"/>
          <w:sz w:val="20"/>
          <w:szCs w:val="20"/>
        </w:rPr>
        <w:t xml:space="preserve">, and </w:t>
      </w:r>
      <w:r w:rsidR="000418EC" w:rsidRPr="00140A0A">
        <w:rPr>
          <w:rFonts w:ascii="Arial" w:hAnsi="Arial" w:cs="Arial"/>
          <w:sz w:val="20"/>
          <w:szCs w:val="20"/>
        </w:rPr>
        <w:t>treatment interruptions due to social and financial reasons</w:t>
      </w:r>
      <w:r w:rsidRPr="00140A0A">
        <w:rPr>
          <w:rFonts w:ascii="Arial" w:hAnsi="Arial" w:cs="Arial"/>
          <w:sz w:val="20"/>
          <w:szCs w:val="20"/>
        </w:rPr>
        <w:t>. However, data describing these real-world care gaps in sub-Saharan Africa remain limited.</w:t>
      </w:r>
      <w:r w:rsidR="00D357F1">
        <w:rPr>
          <w:rFonts w:ascii="Arial" w:hAnsi="Arial" w:cs="Arial"/>
          <w:sz w:val="20"/>
          <w:szCs w:val="20"/>
        </w:rPr>
        <w:t xml:space="preserve"> </w:t>
      </w:r>
      <w:r w:rsidRPr="00D357F1">
        <w:rPr>
          <w:rFonts w:ascii="Arial" w:hAnsi="Arial" w:cs="Arial"/>
          <w:color w:val="EE0000"/>
          <w:sz w:val="20"/>
          <w:szCs w:val="20"/>
        </w:rPr>
        <w:t xml:space="preserve">We </w:t>
      </w:r>
      <w:r w:rsidR="00D357F1" w:rsidRPr="00D357F1">
        <w:rPr>
          <w:rFonts w:ascii="Arial" w:hAnsi="Arial" w:cs="Arial"/>
          <w:color w:val="EE0000"/>
          <w:sz w:val="20"/>
          <w:szCs w:val="20"/>
        </w:rPr>
        <w:t xml:space="preserve">aimed at </w:t>
      </w:r>
      <w:r w:rsidRPr="00D357F1">
        <w:rPr>
          <w:rFonts w:ascii="Arial" w:hAnsi="Arial" w:cs="Arial"/>
          <w:color w:val="EE0000"/>
          <w:sz w:val="20"/>
          <w:szCs w:val="20"/>
        </w:rPr>
        <w:t>evaluat</w:t>
      </w:r>
      <w:r w:rsidR="00D357F1" w:rsidRPr="00D357F1">
        <w:rPr>
          <w:rFonts w:ascii="Arial" w:hAnsi="Arial" w:cs="Arial"/>
          <w:color w:val="EE0000"/>
          <w:sz w:val="20"/>
          <w:szCs w:val="20"/>
        </w:rPr>
        <w:t>ing</w:t>
      </w:r>
      <w:r w:rsidRPr="00D357F1">
        <w:rPr>
          <w:rFonts w:ascii="Arial" w:hAnsi="Arial" w:cs="Arial"/>
          <w:color w:val="EE0000"/>
          <w:sz w:val="20"/>
          <w:szCs w:val="20"/>
        </w:rPr>
        <w:t xml:space="preserve"> </w:t>
      </w:r>
      <w:r w:rsidR="000418EC" w:rsidRPr="00140A0A">
        <w:rPr>
          <w:rFonts w:ascii="Arial" w:hAnsi="Arial" w:cs="Arial"/>
          <w:sz w:val="20"/>
          <w:szCs w:val="20"/>
        </w:rPr>
        <w:t xml:space="preserve">the pattern of </w:t>
      </w:r>
      <w:r w:rsidRPr="00140A0A">
        <w:rPr>
          <w:rFonts w:ascii="Arial" w:hAnsi="Arial" w:cs="Arial"/>
          <w:sz w:val="20"/>
          <w:szCs w:val="20"/>
        </w:rPr>
        <w:t xml:space="preserve">presentation, treatment access, and outcomes </w:t>
      </w:r>
      <w:r w:rsidR="000418EC" w:rsidRPr="00140A0A">
        <w:rPr>
          <w:rFonts w:ascii="Arial" w:hAnsi="Arial" w:cs="Arial"/>
          <w:sz w:val="20"/>
          <w:szCs w:val="20"/>
        </w:rPr>
        <w:t>in</w:t>
      </w:r>
      <w:r w:rsidRPr="00140A0A">
        <w:rPr>
          <w:rFonts w:ascii="Arial" w:hAnsi="Arial" w:cs="Arial"/>
          <w:sz w:val="20"/>
          <w:szCs w:val="20"/>
        </w:rPr>
        <w:t xml:space="preserve"> </w:t>
      </w:r>
      <w:r w:rsidR="000418EC" w:rsidRPr="00140A0A">
        <w:rPr>
          <w:rFonts w:ascii="Arial" w:hAnsi="Arial" w:cs="Arial"/>
          <w:sz w:val="20"/>
          <w:szCs w:val="20"/>
        </w:rPr>
        <w:t xml:space="preserve">CLL </w:t>
      </w:r>
      <w:r w:rsidRPr="00140A0A">
        <w:rPr>
          <w:rFonts w:ascii="Arial" w:hAnsi="Arial" w:cs="Arial"/>
          <w:sz w:val="20"/>
          <w:szCs w:val="20"/>
        </w:rPr>
        <w:t xml:space="preserve">patients </w:t>
      </w:r>
      <w:r w:rsidR="000418EC" w:rsidRPr="00140A0A">
        <w:rPr>
          <w:rFonts w:ascii="Arial" w:hAnsi="Arial" w:cs="Arial"/>
          <w:sz w:val="20"/>
          <w:szCs w:val="20"/>
        </w:rPr>
        <w:t xml:space="preserve">at </w:t>
      </w:r>
      <w:r w:rsidRPr="00140A0A">
        <w:rPr>
          <w:rFonts w:ascii="Arial" w:hAnsi="Arial" w:cs="Arial"/>
          <w:sz w:val="20"/>
          <w:szCs w:val="20"/>
        </w:rPr>
        <w:t>a tertiary hospital</w:t>
      </w:r>
      <w:r w:rsidR="000418EC" w:rsidRPr="00140A0A">
        <w:rPr>
          <w:rFonts w:ascii="Arial" w:hAnsi="Arial" w:cs="Arial"/>
          <w:sz w:val="20"/>
          <w:szCs w:val="20"/>
        </w:rPr>
        <w:t xml:space="preserve"> in Nigeria</w:t>
      </w:r>
      <w:r w:rsidRPr="00140A0A">
        <w:rPr>
          <w:rFonts w:ascii="Arial" w:hAnsi="Arial" w:cs="Arial"/>
          <w:sz w:val="20"/>
          <w:szCs w:val="20"/>
        </w:rPr>
        <w:t>.</w:t>
      </w:r>
    </w:p>
    <w:p w14:paraId="0DB68348" w14:textId="25AFC638" w:rsidR="00D12868" w:rsidRPr="00140A0A" w:rsidRDefault="003A2916" w:rsidP="00366663">
      <w:pPr>
        <w:spacing w:line="600" w:lineRule="auto"/>
        <w:jc w:val="both"/>
        <w:rPr>
          <w:rFonts w:ascii="Arial" w:hAnsi="Arial" w:cs="Arial"/>
          <w:sz w:val="20"/>
          <w:szCs w:val="20"/>
        </w:rPr>
      </w:pPr>
      <w:r w:rsidRPr="00140A0A">
        <w:rPr>
          <w:rFonts w:ascii="Arial" w:hAnsi="Arial" w:cs="Arial"/>
          <w:b/>
          <w:sz w:val="20"/>
          <w:szCs w:val="20"/>
        </w:rPr>
        <w:t xml:space="preserve">Methods: </w:t>
      </w:r>
      <w:r w:rsidR="00D95182" w:rsidRPr="00140A0A">
        <w:rPr>
          <w:rFonts w:ascii="Arial" w:hAnsi="Arial" w:cs="Arial"/>
          <w:sz w:val="20"/>
          <w:szCs w:val="20"/>
        </w:rPr>
        <w:t>This was</w:t>
      </w:r>
      <w:r w:rsidRPr="00140A0A">
        <w:rPr>
          <w:rFonts w:ascii="Arial" w:hAnsi="Arial" w:cs="Arial"/>
          <w:sz w:val="20"/>
          <w:szCs w:val="20"/>
        </w:rPr>
        <w:t xml:space="preserve"> a </w:t>
      </w:r>
      <w:r w:rsidR="00B116EA" w:rsidRPr="00140A0A">
        <w:rPr>
          <w:rFonts w:ascii="Arial" w:hAnsi="Arial" w:cs="Arial"/>
          <w:sz w:val="20"/>
          <w:szCs w:val="20"/>
        </w:rPr>
        <w:t xml:space="preserve">twenty-year </w:t>
      </w:r>
      <w:r w:rsidRPr="00140A0A">
        <w:rPr>
          <w:rFonts w:ascii="Arial" w:hAnsi="Arial" w:cs="Arial"/>
          <w:sz w:val="20"/>
          <w:szCs w:val="20"/>
        </w:rPr>
        <w:t>retrospective</w:t>
      </w:r>
      <w:r w:rsidR="00D357F1">
        <w:rPr>
          <w:rFonts w:ascii="Arial" w:hAnsi="Arial" w:cs="Arial"/>
          <w:sz w:val="20"/>
          <w:szCs w:val="20"/>
        </w:rPr>
        <w:t xml:space="preserve"> </w:t>
      </w:r>
      <w:r w:rsidRPr="00140A0A">
        <w:rPr>
          <w:rFonts w:ascii="Arial" w:hAnsi="Arial" w:cs="Arial"/>
          <w:sz w:val="20"/>
          <w:szCs w:val="20"/>
        </w:rPr>
        <w:t>study</w:t>
      </w:r>
      <w:r w:rsidR="00D357F1">
        <w:rPr>
          <w:rFonts w:ascii="Arial" w:hAnsi="Arial" w:cs="Arial"/>
          <w:sz w:val="20"/>
          <w:szCs w:val="20"/>
        </w:rPr>
        <w:t xml:space="preserve"> of patients </w:t>
      </w:r>
      <w:r w:rsidR="00D357F1" w:rsidRPr="00D357F1">
        <w:rPr>
          <w:rFonts w:ascii="Arial" w:hAnsi="Arial" w:cs="Arial"/>
          <w:color w:val="EE0000"/>
          <w:sz w:val="20"/>
          <w:szCs w:val="20"/>
        </w:rPr>
        <w:t xml:space="preserve">diagnosed with CLL at the university of Port Harcourt teaching </w:t>
      </w:r>
      <w:proofErr w:type="spellStart"/>
      <w:proofErr w:type="gramStart"/>
      <w:r w:rsidR="00D357F1" w:rsidRPr="00D357F1">
        <w:rPr>
          <w:rFonts w:ascii="Arial" w:hAnsi="Arial" w:cs="Arial"/>
          <w:color w:val="EE0000"/>
          <w:sz w:val="20"/>
          <w:szCs w:val="20"/>
        </w:rPr>
        <w:t>hospital</w:t>
      </w:r>
      <w:r w:rsidR="00D95182" w:rsidRPr="00140A0A">
        <w:rPr>
          <w:rFonts w:ascii="Arial" w:hAnsi="Arial" w:cs="Arial"/>
          <w:sz w:val="20"/>
          <w:szCs w:val="20"/>
        </w:rPr>
        <w:t>.The</w:t>
      </w:r>
      <w:proofErr w:type="spellEnd"/>
      <w:proofErr w:type="gramEnd"/>
      <w:r w:rsidR="00D95182" w:rsidRPr="00140A0A">
        <w:rPr>
          <w:rFonts w:ascii="Arial" w:hAnsi="Arial" w:cs="Arial"/>
          <w:sz w:val="20"/>
          <w:szCs w:val="20"/>
        </w:rPr>
        <w:t xml:space="preserve"> d</w:t>
      </w:r>
      <w:r w:rsidRPr="00140A0A">
        <w:rPr>
          <w:rFonts w:ascii="Arial" w:hAnsi="Arial" w:cs="Arial"/>
          <w:sz w:val="20"/>
          <w:szCs w:val="20"/>
        </w:rPr>
        <w:t xml:space="preserve">emographic, clinical, laboratory, treatment, outcome </w:t>
      </w:r>
      <w:r w:rsidR="00B116EA" w:rsidRPr="00140A0A">
        <w:rPr>
          <w:rFonts w:ascii="Arial" w:hAnsi="Arial" w:cs="Arial"/>
          <w:sz w:val="20"/>
          <w:szCs w:val="20"/>
        </w:rPr>
        <w:t>and source of funding</w:t>
      </w:r>
      <w:r w:rsidRPr="00140A0A">
        <w:rPr>
          <w:rFonts w:ascii="Arial" w:hAnsi="Arial" w:cs="Arial"/>
          <w:sz w:val="20"/>
          <w:szCs w:val="20"/>
        </w:rPr>
        <w:t xml:space="preserve"> </w:t>
      </w:r>
      <w:r w:rsidR="00B116EA" w:rsidRPr="00140A0A">
        <w:rPr>
          <w:rFonts w:ascii="Arial" w:hAnsi="Arial" w:cs="Arial"/>
          <w:sz w:val="20"/>
          <w:szCs w:val="20"/>
        </w:rPr>
        <w:t xml:space="preserve">records </w:t>
      </w:r>
      <w:r w:rsidRPr="00140A0A">
        <w:rPr>
          <w:rFonts w:ascii="Arial" w:hAnsi="Arial" w:cs="Arial"/>
          <w:sz w:val="20"/>
          <w:szCs w:val="20"/>
        </w:rPr>
        <w:t xml:space="preserve">were extracted from </w:t>
      </w:r>
      <w:r w:rsidR="00D2629F" w:rsidRPr="00140A0A">
        <w:rPr>
          <w:rFonts w:ascii="Arial" w:hAnsi="Arial" w:cs="Arial"/>
          <w:sz w:val="20"/>
          <w:szCs w:val="20"/>
        </w:rPr>
        <w:t>the patients’ folders</w:t>
      </w:r>
      <w:r w:rsidRPr="00140A0A">
        <w:rPr>
          <w:rFonts w:ascii="Arial" w:hAnsi="Arial" w:cs="Arial"/>
          <w:sz w:val="20"/>
          <w:szCs w:val="20"/>
        </w:rPr>
        <w:t xml:space="preserve">. </w:t>
      </w:r>
      <w:r w:rsidR="00D2629F" w:rsidRPr="00140A0A">
        <w:rPr>
          <w:rFonts w:ascii="Arial" w:hAnsi="Arial" w:cs="Arial"/>
          <w:sz w:val="20"/>
          <w:szCs w:val="20"/>
        </w:rPr>
        <w:t>Data was analyzed using SPSS® version 26.</w:t>
      </w:r>
      <w:r w:rsidRPr="00140A0A">
        <w:rPr>
          <w:rFonts w:ascii="Arial" w:hAnsi="Arial" w:cs="Arial"/>
          <w:sz w:val="20"/>
          <w:szCs w:val="20"/>
        </w:rPr>
        <w:t xml:space="preserve"> Overall survival (OS) was estimated using the Kaplan–Meier method, with censoring at last contact for patients alive or lost to follow-up.</w:t>
      </w:r>
    </w:p>
    <w:p w14:paraId="2DD7195B" w14:textId="575A48C1" w:rsidR="00D12868" w:rsidRPr="00140A0A" w:rsidRDefault="003A2916" w:rsidP="00366663">
      <w:pPr>
        <w:spacing w:line="600" w:lineRule="auto"/>
        <w:jc w:val="both"/>
        <w:rPr>
          <w:rFonts w:ascii="Arial" w:hAnsi="Arial" w:cs="Arial"/>
          <w:sz w:val="20"/>
          <w:szCs w:val="20"/>
        </w:rPr>
      </w:pPr>
      <w:r w:rsidRPr="00140A0A">
        <w:rPr>
          <w:rFonts w:ascii="Arial" w:hAnsi="Arial" w:cs="Arial"/>
          <w:b/>
          <w:sz w:val="20"/>
          <w:szCs w:val="20"/>
        </w:rPr>
        <w:t xml:space="preserve">Results: </w:t>
      </w:r>
      <w:r w:rsidR="00D2629F" w:rsidRPr="00140A0A">
        <w:rPr>
          <w:rFonts w:ascii="Arial" w:hAnsi="Arial" w:cs="Arial"/>
          <w:bCs/>
          <w:sz w:val="20"/>
          <w:szCs w:val="20"/>
        </w:rPr>
        <w:t>A total of 46 patients were included in the study.</w:t>
      </w:r>
      <w:r w:rsidR="00B116EA" w:rsidRPr="00140A0A">
        <w:rPr>
          <w:rFonts w:ascii="Arial" w:hAnsi="Arial" w:cs="Arial"/>
          <w:sz w:val="20"/>
          <w:szCs w:val="20"/>
        </w:rPr>
        <w:t xml:space="preserve"> M</w:t>
      </w:r>
      <w:r w:rsidRPr="00140A0A">
        <w:rPr>
          <w:rFonts w:ascii="Arial" w:hAnsi="Arial" w:cs="Arial"/>
          <w:sz w:val="20"/>
          <w:szCs w:val="20"/>
        </w:rPr>
        <w:t>edian age at diagnosis was 53 years (IQR 49.3</w:t>
      </w:r>
      <w:r w:rsidR="00B116EA" w:rsidRPr="00140A0A">
        <w:rPr>
          <w:rFonts w:ascii="Arial" w:hAnsi="Arial" w:cs="Arial"/>
          <w:sz w:val="20"/>
          <w:szCs w:val="20"/>
        </w:rPr>
        <w:t xml:space="preserve"> </w:t>
      </w:r>
      <w:r w:rsidRPr="00140A0A">
        <w:rPr>
          <w:rFonts w:ascii="Arial" w:hAnsi="Arial" w:cs="Arial"/>
          <w:sz w:val="20"/>
          <w:szCs w:val="20"/>
        </w:rPr>
        <w:t>–</w:t>
      </w:r>
      <w:r w:rsidR="00B116EA" w:rsidRPr="00140A0A">
        <w:rPr>
          <w:rFonts w:ascii="Arial" w:hAnsi="Arial" w:cs="Arial"/>
          <w:sz w:val="20"/>
          <w:szCs w:val="20"/>
        </w:rPr>
        <w:t xml:space="preserve"> </w:t>
      </w:r>
      <w:r w:rsidRPr="00140A0A">
        <w:rPr>
          <w:rFonts w:ascii="Arial" w:hAnsi="Arial" w:cs="Arial"/>
          <w:sz w:val="20"/>
          <w:szCs w:val="20"/>
        </w:rPr>
        <w:t xml:space="preserve">61.5), and </w:t>
      </w:r>
      <w:r w:rsidR="00B116EA" w:rsidRPr="00140A0A">
        <w:rPr>
          <w:rFonts w:ascii="Arial" w:hAnsi="Arial" w:cs="Arial"/>
          <w:sz w:val="20"/>
          <w:szCs w:val="20"/>
        </w:rPr>
        <w:t>females were slightly more affected (n=</w:t>
      </w:r>
      <w:r w:rsidRPr="00140A0A">
        <w:rPr>
          <w:rFonts w:ascii="Arial" w:hAnsi="Arial" w:cs="Arial"/>
          <w:sz w:val="20"/>
          <w:szCs w:val="20"/>
        </w:rPr>
        <w:t>24</w:t>
      </w:r>
      <w:r w:rsidR="00B116EA" w:rsidRPr="00140A0A">
        <w:rPr>
          <w:rFonts w:ascii="Arial" w:hAnsi="Arial" w:cs="Arial"/>
          <w:sz w:val="20"/>
          <w:szCs w:val="20"/>
        </w:rPr>
        <w:t>;</w:t>
      </w:r>
      <w:r w:rsidRPr="00140A0A">
        <w:rPr>
          <w:rFonts w:ascii="Arial" w:hAnsi="Arial" w:cs="Arial"/>
          <w:sz w:val="20"/>
          <w:szCs w:val="20"/>
        </w:rPr>
        <w:t xml:space="preserve"> 52.2%)</w:t>
      </w:r>
      <w:r w:rsidR="00B116EA" w:rsidRPr="00140A0A">
        <w:rPr>
          <w:rFonts w:ascii="Arial" w:hAnsi="Arial" w:cs="Arial"/>
          <w:sz w:val="20"/>
          <w:szCs w:val="20"/>
        </w:rPr>
        <w:t>,</w:t>
      </w:r>
      <w:r w:rsidRPr="00140A0A">
        <w:rPr>
          <w:rFonts w:ascii="Arial" w:hAnsi="Arial" w:cs="Arial"/>
          <w:sz w:val="20"/>
          <w:szCs w:val="20"/>
        </w:rPr>
        <w:t xml:space="preserve"> </w:t>
      </w:r>
      <w:r w:rsidR="00B116EA" w:rsidRPr="00140A0A">
        <w:rPr>
          <w:rFonts w:ascii="Arial" w:hAnsi="Arial" w:cs="Arial"/>
          <w:sz w:val="20"/>
          <w:szCs w:val="20"/>
        </w:rPr>
        <w:t>giving a male-to-female ratio of 1:1.1</w:t>
      </w:r>
      <w:r w:rsidRPr="00140A0A">
        <w:rPr>
          <w:rFonts w:ascii="Arial" w:hAnsi="Arial" w:cs="Arial"/>
          <w:sz w:val="20"/>
          <w:szCs w:val="20"/>
        </w:rPr>
        <w:t xml:space="preserve">. </w:t>
      </w:r>
      <w:r w:rsidR="00A061D6" w:rsidRPr="00140A0A">
        <w:rPr>
          <w:rFonts w:ascii="Arial" w:hAnsi="Arial" w:cs="Arial"/>
          <w:sz w:val="20"/>
          <w:szCs w:val="20"/>
        </w:rPr>
        <w:t xml:space="preserve">The </w:t>
      </w:r>
      <w:r w:rsidR="00A061D6" w:rsidRPr="00140A0A">
        <w:rPr>
          <w:rFonts w:ascii="Arial" w:hAnsi="Arial" w:cs="Arial"/>
          <w:sz w:val="20"/>
          <w:szCs w:val="20"/>
        </w:rPr>
        <w:lastRenderedPageBreak/>
        <w:t xml:space="preserve">median WBC was 81.9 ×10⁹/L (IQR: 53.6 – 121.0 ×10⁹/L), anaemia was common (n=30, 65.2%), </w:t>
      </w:r>
      <w:proofErr w:type="gramStart"/>
      <w:r w:rsidR="00A061D6" w:rsidRPr="00140A0A">
        <w:rPr>
          <w:rFonts w:ascii="Arial" w:hAnsi="Arial" w:cs="Arial"/>
          <w:sz w:val="20"/>
          <w:szCs w:val="20"/>
        </w:rPr>
        <w:t>with  9</w:t>
      </w:r>
      <w:proofErr w:type="gramEnd"/>
      <w:r w:rsidR="00A061D6" w:rsidRPr="00140A0A">
        <w:rPr>
          <w:rFonts w:ascii="Arial" w:hAnsi="Arial" w:cs="Arial"/>
          <w:sz w:val="20"/>
          <w:szCs w:val="20"/>
        </w:rPr>
        <w:t xml:space="preserve"> patients (19.6%) having severe anaemia while 11 cases (23.9%) had thrombocytopenia. Staging showed </w:t>
      </w:r>
      <w:r w:rsidRPr="00140A0A">
        <w:rPr>
          <w:rFonts w:ascii="Arial" w:hAnsi="Arial" w:cs="Arial"/>
          <w:sz w:val="20"/>
          <w:szCs w:val="20"/>
        </w:rPr>
        <w:t xml:space="preserve">35 (76.1%) </w:t>
      </w:r>
      <w:r w:rsidR="00A061D6" w:rsidRPr="00140A0A">
        <w:rPr>
          <w:rFonts w:ascii="Arial" w:hAnsi="Arial" w:cs="Arial"/>
          <w:sz w:val="20"/>
          <w:szCs w:val="20"/>
        </w:rPr>
        <w:t xml:space="preserve">presented </w:t>
      </w:r>
      <w:r w:rsidR="00B116EA" w:rsidRPr="00140A0A">
        <w:rPr>
          <w:rFonts w:ascii="Arial" w:hAnsi="Arial" w:cs="Arial"/>
          <w:sz w:val="20"/>
          <w:szCs w:val="20"/>
        </w:rPr>
        <w:t xml:space="preserve">in Rai stage III–IV </w:t>
      </w:r>
      <w:r w:rsidRPr="00140A0A">
        <w:rPr>
          <w:rFonts w:ascii="Arial" w:hAnsi="Arial" w:cs="Arial"/>
          <w:sz w:val="20"/>
          <w:szCs w:val="20"/>
        </w:rPr>
        <w:t>and 25 (54.3%)</w:t>
      </w:r>
      <w:r w:rsidR="00B116EA" w:rsidRPr="00140A0A">
        <w:rPr>
          <w:rFonts w:ascii="Arial" w:hAnsi="Arial" w:cs="Arial"/>
          <w:sz w:val="20"/>
          <w:szCs w:val="20"/>
        </w:rPr>
        <w:t xml:space="preserve"> in Binet stage C. </w:t>
      </w:r>
      <w:r w:rsidRPr="00140A0A">
        <w:rPr>
          <w:rFonts w:ascii="Arial" w:hAnsi="Arial" w:cs="Arial"/>
          <w:sz w:val="20"/>
          <w:szCs w:val="20"/>
        </w:rPr>
        <w:t>Overall, 3</w:t>
      </w:r>
      <w:r w:rsidR="00433FA5" w:rsidRPr="00140A0A">
        <w:rPr>
          <w:rFonts w:ascii="Arial" w:hAnsi="Arial" w:cs="Arial"/>
          <w:sz w:val="20"/>
          <w:szCs w:val="20"/>
        </w:rPr>
        <w:t>8</w:t>
      </w:r>
      <w:r w:rsidRPr="00140A0A">
        <w:rPr>
          <w:rFonts w:ascii="Arial" w:hAnsi="Arial" w:cs="Arial"/>
          <w:sz w:val="20"/>
          <w:szCs w:val="20"/>
        </w:rPr>
        <w:t xml:space="preserve"> (82.6%) received treatment</w:t>
      </w:r>
      <w:r w:rsidR="005038E9" w:rsidRPr="00140A0A">
        <w:rPr>
          <w:rFonts w:ascii="Arial" w:hAnsi="Arial" w:cs="Arial"/>
          <w:sz w:val="20"/>
          <w:szCs w:val="20"/>
        </w:rPr>
        <w:t>,</w:t>
      </w:r>
      <w:r w:rsidR="00433FA5" w:rsidRPr="00140A0A">
        <w:rPr>
          <w:rFonts w:ascii="Arial" w:hAnsi="Arial" w:cs="Arial"/>
          <w:sz w:val="20"/>
          <w:szCs w:val="20"/>
        </w:rPr>
        <w:t xml:space="preserve"> </w:t>
      </w:r>
      <w:r w:rsidR="00001D86" w:rsidRPr="00140A0A">
        <w:rPr>
          <w:rFonts w:ascii="Arial" w:hAnsi="Arial" w:cs="Arial"/>
          <w:sz w:val="20"/>
          <w:szCs w:val="20"/>
        </w:rPr>
        <w:t>t</w:t>
      </w:r>
      <w:r w:rsidR="005038E9" w:rsidRPr="00140A0A">
        <w:rPr>
          <w:rFonts w:ascii="Arial" w:hAnsi="Arial" w:cs="Arial"/>
          <w:sz w:val="20"/>
          <w:szCs w:val="20"/>
        </w:rPr>
        <w:t xml:space="preserve">he most commonly prescribed regimens were CP (n=13, 28.3%) and </w:t>
      </w:r>
      <w:proofErr w:type="spellStart"/>
      <w:r w:rsidR="005038E9" w:rsidRPr="00140A0A">
        <w:rPr>
          <w:rFonts w:ascii="Arial" w:hAnsi="Arial" w:cs="Arial"/>
          <w:sz w:val="20"/>
          <w:szCs w:val="20"/>
        </w:rPr>
        <w:t>CyP</w:t>
      </w:r>
      <w:proofErr w:type="spellEnd"/>
      <w:r w:rsidR="005038E9" w:rsidRPr="00140A0A">
        <w:rPr>
          <w:rFonts w:ascii="Arial" w:hAnsi="Arial" w:cs="Arial"/>
          <w:sz w:val="20"/>
          <w:szCs w:val="20"/>
        </w:rPr>
        <w:t xml:space="preserve"> (n=7, 15.2%). Only 6 patients (13.0%) received a rituximab-based regimen. </w:t>
      </w:r>
      <w:r w:rsidR="00AB2BE5" w:rsidRPr="00140A0A">
        <w:rPr>
          <w:rFonts w:ascii="Arial" w:hAnsi="Arial" w:cs="Arial"/>
          <w:sz w:val="20"/>
          <w:szCs w:val="20"/>
        </w:rPr>
        <w:t xml:space="preserve">The overall response rate was 50%. </w:t>
      </w:r>
      <w:r w:rsidR="0010174E" w:rsidRPr="00140A0A">
        <w:rPr>
          <w:rFonts w:ascii="Arial" w:hAnsi="Arial" w:cs="Arial"/>
          <w:sz w:val="20"/>
          <w:szCs w:val="20"/>
        </w:rPr>
        <w:t xml:space="preserve">Majority, n= 43 (93.5%) financed their treatment out-of-pocket. </w:t>
      </w:r>
      <w:r w:rsidRPr="00140A0A">
        <w:rPr>
          <w:rFonts w:ascii="Arial" w:hAnsi="Arial" w:cs="Arial"/>
          <w:sz w:val="20"/>
          <w:szCs w:val="20"/>
        </w:rPr>
        <w:t xml:space="preserve">At last contact, 22 (47.8%) </w:t>
      </w:r>
      <w:r w:rsidR="00433FA5" w:rsidRPr="00140A0A">
        <w:rPr>
          <w:rFonts w:ascii="Arial" w:hAnsi="Arial" w:cs="Arial"/>
          <w:sz w:val="20"/>
          <w:szCs w:val="20"/>
        </w:rPr>
        <w:t xml:space="preserve">patients </w:t>
      </w:r>
      <w:r w:rsidRPr="00140A0A">
        <w:rPr>
          <w:rFonts w:ascii="Arial" w:hAnsi="Arial" w:cs="Arial"/>
          <w:sz w:val="20"/>
          <w:szCs w:val="20"/>
        </w:rPr>
        <w:t xml:space="preserve">had died, 20 (43.5%) were lost to follow-up, </w:t>
      </w:r>
      <w:r w:rsidR="00433FA5" w:rsidRPr="00140A0A">
        <w:rPr>
          <w:rFonts w:ascii="Arial" w:hAnsi="Arial" w:cs="Arial"/>
          <w:sz w:val="20"/>
          <w:szCs w:val="20"/>
        </w:rPr>
        <w:t>while</w:t>
      </w:r>
      <w:r w:rsidRPr="00140A0A">
        <w:rPr>
          <w:rFonts w:ascii="Arial" w:hAnsi="Arial" w:cs="Arial"/>
          <w:sz w:val="20"/>
          <w:szCs w:val="20"/>
        </w:rPr>
        <w:t xml:space="preserve"> 3/46 (6.5%) were alive. </w:t>
      </w:r>
      <w:r w:rsidR="00433FA5" w:rsidRPr="00140A0A">
        <w:rPr>
          <w:rFonts w:ascii="Arial" w:hAnsi="Arial" w:cs="Arial"/>
          <w:sz w:val="20"/>
          <w:szCs w:val="20"/>
        </w:rPr>
        <w:t>The m</w:t>
      </w:r>
      <w:r w:rsidRPr="00140A0A">
        <w:rPr>
          <w:rFonts w:ascii="Arial" w:hAnsi="Arial" w:cs="Arial"/>
          <w:sz w:val="20"/>
          <w:szCs w:val="20"/>
        </w:rPr>
        <w:t>edian observed OS was 1</w:t>
      </w:r>
      <w:r w:rsidR="00001D86" w:rsidRPr="00140A0A">
        <w:rPr>
          <w:rFonts w:ascii="Arial" w:hAnsi="Arial" w:cs="Arial"/>
          <w:sz w:val="20"/>
          <w:szCs w:val="20"/>
        </w:rPr>
        <w:t>6</w:t>
      </w:r>
      <w:r w:rsidRPr="00140A0A">
        <w:rPr>
          <w:rFonts w:ascii="Arial" w:hAnsi="Arial" w:cs="Arial"/>
          <w:sz w:val="20"/>
          <w:szCs w:val="20"/>
        </w:rPr>
        <w:t>.0 months</w:t>
      </w:r>
      <w:r w:rsidR="00433FA5" w:rsidRPr="00140A0A">
        <w:rPr>
          <w:rFonts w:ascii="Arial" w:hAnsi="Arial" w:cs="Arial"/>
          <w:sz w:val="20"/>
          <w:szCs w:val="20"/>
        </w:rPr>
        <w:t>.</w:t>
      </w:r>
      <w:r w:rsidR="00001D86" w:rsidRPr="00140A0A">
        <w:rPr>
          <w:rFonts w:ascii="Arial" w:hAnsi="Arial" w:cs="Arial"/>
          <w:sz w:val="20"/>
          <w:szCs w:val="20"/>
        </w:rPr>
        <w:t xml:space="preserve"> Treated patients had a significantly longer median OS than untreated patients (17.0 vs 2.5 months; log-rank p &lt; 0.001). </w:t>
      </w:r>
    </w:p>
    <w:p w14:paraId="2FF47461" w14:textId="28A84A68" w:rsidR="00D12868" w:rsidRPr="00140A0A" w:rsidRDefault="003A2916" w:rsidP="00366663">
      <w:pPr>
        <w:spacing w:line="600" w:lineRule="auto"/>
        <w:jc w:val="both"/>
        <w:rPr>
          <w:rFonts w:ascii="Arial" w:hAnsi="Arial" w:cs="Arial"/>
          <w:sz w:val="20"/>
          <w:szCs w:val="20"/>
        </w:rPr>
      </w:pPr>
      <w:r w:rsidRPr="00140A0A">
        <w:rPr>
          <w:rFonts w:ascii="Arial" w:hAnsi="Arial" w:cs="Arial"/>
          <w:b/>
          <w:sz w:val="20"/>
          <w:szCs w:val="20"/>
        </w:rPr>
        <w:t xml:space="preserve">Conclusions: </w:t>
      </w:r>
      <w:r w:rsidRPr="00140A0A">
        <w:rPr>
          <w:rFonts w:ascii="Arial" w:hAnsi="Arial" w:cs="Arial"/>
          <w:sz w:val="20"/>
          <w:szCs w:val="20"/>
        </w:rPr>
        <w:t xml:space="preserve">This </w:t>
      </w:r>
      <w:r w:rsidR="00433FA5" w:rsidRPr="00140A0A">
        <w:rPr>
          <w:rFonts w:ascii="Arial" w:hAnsi="Arial" w:cs="Arial"/>
          <w:sz w:val="20"/>
          <w:szCs w:val="20"/>
        </w:rPr>
        <w:t>study</w:t>
      </w:r>
      <w:r w:rsidRPr="00140A0A">
        <w:rPr>
          <w:rFonts w:ascii="Arial" w:hAnsi="Arial" w:cs="Arial"/>
          <w:sz w:val="20"/>
          <w:szCs w:val="20"/>
        </w:rPr>
        <w:t xml:space="preserve"> </w:t>
      </w:r>
      <w:r w:rsidR="00433FA5" w:rsidRPr="00140A0A">
        <w:rPr>
          <w:rFonts w:ascii="Arial" w:hAnsi="Arial" w:cs="Arial"/>
          <w:sz w:val="20"/>
          <w:szCs w:val="20"/>
        </w:rPr>
        <w:t>highlights</w:t>
      </w:r>
      <w:r w:rsidRPr="00140A0A">
        <w:rPr>
          <w:rFonts w:ascii="Arial" w:hAnsi="Arial" w:cs="Arial"/>
          <w:sz w:val="20"/>
          <w:szCs w:val="20"/>
        </w:rPr>
        <w:t xml:space="preserve"> substantial real-world care gaps in CLL</w:t>
      </w:r>
      <w:r w:rsidR="00A4448B">
        <w:rPr>
          <w:rFonts w:ascii="Arial" w:hAnsi="Arial" w:cs="Arial"/>
          <w:sz w:val="20"/>
          <w:szCs w:val="20"/>
        </w:rPr>
        <w:t xml:space="preserve"> </w:t>
      </w:r>
      <w:r w:rsidR="00A4448B" w:rsidRPr="00A4448B">
        <w:rPr>
          <w:rFonts w:ascii="Arial" w:hAnsi="Arial" w:cs="Arial"/>
          <w:color w:val="EE0000"/>
          <w:sz w:val="20"/>
          <w:szCs w:val="20"/>
        </w:rPr>
        <w:t>management</w:t>
      </w:r>
      <w:r w:rsidR="00A4448B">
        <w:rPr>
          <w:rFonts w:ascii="Arial" w:hAnsi="Arial" w:cs="Arial"/>
          <w:color w:val="EE0000"/>
          <w:sz w:val="20"/>
          <w:szCs w:val="20"/>
        </w:rPr>
        <w:t xml:space="preserve"> </w:t>
      </w:r>
      <w:r w:rsidR="00A4448B">
        <w:rPr>
          <w:rFonts w:ascii="Arial" w:hAnsi="Arial" w:cs="Arial"/>
          <w:sz w:val="20"/>
          <w:szCs w:val="20"/>
        </w:rPr>
        <w:t xml:space="preserve"> </w:t>
      </w:r>
      <w:r w:rsidRPr="00140A0A">
        <w:rPr>
          <w:rFonts w:ascii="Arial" w:hAnsi="Arial" w:cs="Arial"/>
          <w:sz w:val="20"/>
          <w:szCs w:val="20"/>
        </w:rPr>
        <w:t xml:space="preserve"> in </w:t>
      </w:r>
      <w:r w:rsidR="00986D06" w:rsidRPr="00140A0A">
        <w:rPr>
          <w:rFonts w:ascii="Arial" w:hAnsi="Arial" w:cs="Arial"/>
          <w:sz w:val="20"/>
          <w:szCs w:val="20"/>
        </w:rPr>
        <w:t>our environment</w:t>
      </w:r>
      <w:r w:rsidR="005038E9" w:rsidRPr="00140A0A">
        <w:rPr>
          <w:rFonts w:ascii="Arial" w:hAnsi="Arial" w:cs="Arial"/>
          <w:sz w:val="20"/>
          <w:szCs w:val="20"/>
        </w:rPr>
        <w:t>. Patients commonly presented at late stage and had limited access to optimal therapy</w:t>
      </w:r>
      <w:r w:rsidR="008A36B2" w:rsidRPr="00140A0A">
        <w:rPr>
          <w:rFonts w:ascii="Arial" w:hAnsi="Arial" w:cs="Arial"/>
          <w:sz w:val="20"/>
          <w:szCs w:val="20"/>
        </w:rPr>
        <w:t xml:space="preserve"> with poor outcomes. </w:t>
      </w:r>
      <w:r w:rsidRPr="00140A0A">
        <w:rPr>
          <w:rFonts w:ascii="Arial" w:hAnsi="Arial" w:cs="Arial"/>
          <w:sz w:val="20"/>
          <w:szCs w:val="20"/>
        </w:rPr>
        <w:t xml:space="preserve"> </w:t>
      </w:r>
      <w:r w:rsidR="005038E9" w:rsidRPr="00140A0A">
        <w:rPr>
          <w:rFonts w:ascii="Arial" w:hAnsi="Arial" w:cs="Arial"/>
          <w:sz w:val="20"/>
          <w:szCs w:val="20"/>
        </w:rPr>
        <w:t>These findings highlight the need for earlier diagnosis, improved treatment affordability, and stronger continuity of care in resource-constrained settings.</w:t>
      </w:r>
    </w:p>
    <w:p w14:paraId="2F6A1A7E" w14:textId="2067E941" w:rsidR="004D3357" w:rsidRPr="00140A0A" w:rsidRDefault="004D3357" w:rsidP="00366663">
      <w:pPr>
        <w:spacing w:before="100" w:beforeAutospacing="1" w:after="100" w:afterAutospacing="1" w:line="600" w:lineRule="auto"/>
        <w:rPr>
          <w:rFonts w:ascii="Arial" w:hAnsi="Arial" w:cs="Arial"/>
          <w:sz w:val="20"/>
          <w:szCs w:val="20"/>
        </w:rPr>
      </w:pPr>
      <w:r w:rsidRPr="00140A0A">
        <w:rPr>
          <w:rFonts w:ascii="Arial" w:hAnsi="Arial" w:cs="Arial"/>
          <w:b/>
          <w:bCs/>
          <w:sz w:val="20"/>
          <w:szCs w:val="20"/>
        </w:rPr>
        <w:t>Keywords:</w:t>
      </w:r>
      <w:r w:rsidRPr="00140A0A">
        <w:rPr>
          <w:rFonts w:ascii="Arial" w:hAnsi="Arial" w:cs="Arial"/>
          <w:sz w:val="20"/>
          <w:szCs w:val="20"/>
        </w:rPr>
        <w:t xml:space="preserve"> chronic lymphocytic leukaemia, CLL, treatment access, rituximab, real-world care</w:t>
      </w:r>
    </w:p>
    <w:p w14:paraId="6EA8CD80" w14:textId="5CE09D96" w:rsidR="00366663" w:rsidRPr="00140A0A" w:rsidRDefault="00366663" w:rsidP="00366663">
      <w:pPr>
        <w:spacing w:before="100" w:beforeAutospacing="1" w:after="100" w:afterAutospacing="1" w:line="600" w:lineRule="auto"/>
        <w:rPr>
          <w:rFonts w:ascii="Arial" w:hAnsi="Arial" w:cs="Arial"/>
          <w:sz w:val="20"/>
          <w:szCs w:val="20"/>
        </w:rPr>
      </w:pPr>
    </w:p>
    <w:p w14:paraId="300A6786" w14:textId="1A3245F7" w:rsidR="00366663" w:rsidRPr="00140A0A" w:rsidRDefault="00366663" w:rsidP="00366663">
      <w:pPr>
        <w:spacing w:before="100" w:beforeAutospacing="1" w:after="100" w:afterAutospacing="1" w:line="600" w:lineRule="auto"/>
        <w:rPr>
          <w:rFonts w:ascii="Arial" w:hAnsi="Arial" w:cs="Arial"/>
          <w:sz w:val="20"/>
          <w:szCs w:val="20"/>
        </w:rPr>
      </w:pPr>
    </w:p>
    <w:p w14:paraId="15B2D6BF" w14:textId="08E511D7" w:rsidR="00366663" w:rsidRPr="00140A0A" w:rsidRDefault="00366663" w:rsidP="00366663">
      <w:pPr>
        <w:spacing w:before="100" w:beforeAutospacing="1" w:after="100" w:afterAutospacing="1" w:line="600" w:lineRule="auto"/>
        <w:rPr>
          <w:rFonts w:ascii="Arial" w:hAnsi="Arial" w:cs="Arial"/>
          <w:sz w:val="20"/>
          <w:szCs w:val="20"/>
        </w:rPr>
      </w:pPr>
    </w:p>
    <w:p w14:paraId="56EA1E46" w14:textId="6E9853F8" w:rsidR="00366663" w:rsidRPr="00140A0A" w:rsidRDefault="00366663" w:rsidP="00366663">
      <w:pPr>
        <w:spacing w:before="100" w:beforeAutospacing="1" w:after="100" w:afterAutospacing="1" w:line="600" w:lineRule="auto"/>
        <w:rPr>
          <w:rFonts w:ascii="Arial" w:hAnsi="Arial" w:cs="Arial"/>
          <w:sz w:val="20"/>
          <w:szCs w:val="20"/>
        </w:rPr>
      </w:pPr>
    </w:p>
    <w:p w14:paraId="64DA4A8D" w14:textId="77777777" w:rsidR="00366663" w:rsidRPr="00140A0A" w:rsidRDefault="00366663" w:rsidP="00366663">
      <w:pPr>
        <w:spacing w:before="100" w:beforeAutospacing="1" w:after="100" w:afterAutospacing="1" w:line="600" w:lineRule="auto"/>
        <w:rPr>
          <w:rFonts w:ascii="Arial" w:hAnsi="Arial" w:cs="Arial"/>
          <w:sz w:val="20"/>
          <w:szCs w:val="20"/>
        </w:rPr>
      </w:pPr>
    </w:p>
    <w:p w14:paraId="4D0E5534" w14:textId="28458037" w:rsidR="00D12868" w:rsidRPr="00140A0A" w:rsidRDefault="00E012B8" w:rsidP="00366663">
      <w:pPr>
        <w:pStyle w:val="Heading1"/>
        <w:spacing w:line="600" w:lineRule="auto"/>
        <w:rPr>
          <w:rFonts w:ascii="Arial" w:hAnsi="Arial" w:cs="Arial"/>
          <w:color w:val="auto"/>
          <w:sz w:val="22"/>
          <w:szCs w:val="22"/>
        </w:rPr>
      </w:pPr>
      <w:r w:rsidRPr="00140A0A">
        <w:rPr>
          <w:rFonts w:ascii="Arial" w:hAnsi="Arial" w:cs="Arial"/>
          <w:color w:val="auto"/>
          <w:sz w:val="22"/>
          <w:szCs w:val="22"/>
        </w:rPr>
        <w:lastRenderedPageBreak/>
        <w:t>INTRODUCTION</w:t>
      </w:r>
    </w:p>
    <w:p w14:paraId="606E6DDF" w14:textId="7BBC1D2C" w:rsidR="002B54E7" w:rsidRPr="00140A0A" w:rsidRDefault="003A2916" w:rsidP="00366663">
      <w:pPr>
        <w:spacing w:line="600" w:lineRule="auto"/>
        <w:jc w:val="both"/>
        <w:rPr>
          <w:rFonts w:ascii="Arial" w:hAnsi="Arial" w:cs="Arial"/>
          <w:sz w:val="20"/>
          <w:szCs w:val="20"/>
          <w:vertAlign w:val="superscript"/>
        </w:rPr>
      </w:pPr>
      <w:r w:rsidRPr="00140A0A">
        <w:rPr>
          <w:rFonts w:ascii="Arial" w:hAnsi="Arial" w:cs="Arial"/>
          <w:sz w:val="20"/>
          <w:szCs w:val="20"/>
        </w:rPr>
        <w:t xml:space="preserve">Chronic lymphocytic leukaemia (CLL) is </w:t>
      </w:r>
      <w:r w:rsidR="004D3357" w:rsidRPr="00140A0A">
        <w:rPr>
          <w:rFonts w:ascii="Arial" w:hAnsi="Arial" w:cs="Arial"/>
          <w:sz w:val="20"/>
          <w:szCs w:val="20"/>
        </w:rPr>
        <w:t>a lymphoproliferative neoplasm of mature B-cells.</w:t>
      </w:r>
      <w:r w:rsidR="005178DE" w:rsidRPr="00140A0A">
        <w:rPr>
          <w:rFonts w:ascii="Arial" w:hAnsi="Arial" w:cs="Arial"/>
          <w:sz w:val="20"/>
          <w:szCs w:val="20"/>
          <w:vertAlign w:val="superscript"/>
        </w:rPr>
        <w:t>1</w:t>
      </w:r>
      <w:r w:rsidR="004D3357" w:rsidRPr="00140A0A">
        <w:rPr>
          <w:rFonts w:ascii="Arial" w:hAnsi="Arial" w:cs="Arial"/>
          <w:sz w:val="20"/>
          <w:szCs w:val="20"/>
        </w:rPr>
        <w:t xml:space="preserve"> </w:t>
      </w:r>
      <w:r w:rsidR="007D193E" w:rsidRPr="00140A0A">
        <w:rPr>
          <w:rFonts w:ascii="Arial" w:hAnsi="Arial" w:cs="Arial"/>
          <w:sz w:val="20"/>
          <w:szCs w:val="20"/>
        </w:rPr>
        <w:t>It is the most prevalent leukaemia in the Western world.</w:t>
      </w:r>
      <w:r w:rsidR="005178DE" w:rsidRPr="00140A0A">
        <w:rPr>
          <w:rFonts w:ascii="Arial" w:hAnsi="Arial" w:cs="Arial"/>
          <w:sz w:val="20"/>
          <w:szCs w:val="20"/>
          <w:vertAlign w:val="superscript"/>
        </w:rPr>
        <w:t>2,3</w:t>
      </w:r>
      <w:r w:rsidR="007D193E" w:rsidRPr="00140A0A">
        <w:rPr>
          <w:rFonts w:ascii="Arial" w:hAnsi="Arial" w:cs="Arial"/>
          <w:sz w:val="20"/>
          <w:szCs w:val="20"/>
        </w:rPr>
        <w:t xml:space="preserve"> </w:t>
      </w:r>
      <w:r w:rsidR="004D3357" w:rsidRPr="00140A0A">
        <w:rPr>
          <w:rFonts w:ascii="Arial" w:hAnsi="Arial" w:cs="Arial"/>
          <w:sz w:val="20"/>
          <w:szCs w:val="20"/>
        </w:rPr>
        <w:t>The median age of onset globally is about 65 years, with males more affected than females.</w:t>
      </w:r>
      <w:r w:rsidR="005178DE" w:rsidRPr="00140A0A">
        <w:rPr>
          <w:rFonts w:ascii="Arial" w:hAnsi="Arial" w:cs="Arial"/>
          <w:sz w:val="20"/>
          <w:szCs w:val="20"/>
          <w:vertAlign w:val="superscript"/>
        </w:rPr>
        <w:t>4</w:t>
      </w:r>
      <w:r w:rsidR="004D3357" w:rsidRPr="00140A0A">
        <w:rPr>
          <w:rFonts w:ascii="Arial" w:hAnsi="Arial" w:cs="Arial"/>
          <w:sz w:val="20"/>
          <w:szCs w:val="20"/>
        </w:rPr>
        <w:t xml:space="preserve"> Common clinical features at presentation include symptoms of anaemia, lymphadenopathy and splenomegaly; however, occasionally CLL may be an incidental finding </w:t>
      </w:r>
      <w:r w:rsidR="007D193E" w:rsidRPr="00140A0A">
        <w:rPr>
          <w:rFonts w:ascii="Arial" w:hAnsi="Arial" w:cs="Arial"/>
          <w:sz w:val="20"/>
          <w:szCs w:val="20"/>
        </w:rPr>
        <w:t xml:space="preserve">detected on routine medical screening </w:t>
      </w:r>
      <w:r w:rsidR="004D3357" w:rsidRPr="00140A0A">
        <w:rPr>
          <w:rFonts w:ascii="Arial" w:hAnsi="Arial" w:cs="Arial"/>
          <w:sz w:val="20"/>
          <w:szCs w:val="20"/>
        </w:rPr>
        <w:t>in asymptomatic patients.</w:t>
      </w:r>
      <w:r w:rsidR="005178DE" w:rsidRPr="00140A0A">
        <w:rPr>
          <w:rFonts w:ascii="Arial" w:hAnsi="Arial" w:cs="Arial"/>
          <w:sz w:val="20"/>
          <w:szCs w:val="20"/>
          <w:vertAlign w:val="superscript"/>
        </w:rPr>
        <w:t>5,6</w:t>
      </w:r>
      <w:r w:rsidR="005178DE" w:rsidRPr="00140A0A">
        <w:rPr>
          <w:rFonts w:ascii="Arial" w:hAnsi="Arial" w:cs="Arial"/>
          <w:sz w:val="20"/>
          <w:szCs w:val="20"/>
        </w:rPr>
        <w:t xml:space="preserve"> </w:t>
      </w:r>
      <w:r w:rsidR="004D3357" w:rsidRPr="00140A0A">
        <w:rPr>
          <w:rFonts w:ascii="Arial" w:hAnsi="Arial" w:cs="Arial"/>
          <w:sz w:val="20"/>
          <w:szCs w:val="20"/>
        </w:rPr>
        <w:t xml:space="preserve">Diagnosis </w:t>
      </w:r>
      <w:r w:rsidR="000C0C39" w:rsidRPr="00140A0A">
        <w:rPr>
          <w:rFonts w:ascii="Arial" w:hAnsi="Arial" w:cs="Arial"/>
          <w:sz w:val="20"/>
          <w:szCs w:val="20"/>
        </w:rPr>
        <w:t>of CLL</w:t>
      </w:r>
      <w:r w:rsidR="004D3357" w:rsidRPr="00140A0A">
        <w:rPr>
          <w:rFonts w:ascii="Arial" w:hAnsi="Arial" w:cs="Arial"/>
          <w:sz w:val="20"/>
          <w:szCs w:val="20"/>
        </w:rPr>
        <w:t xml:space="preserve"> </w:t>
      </w:r>
      <w:r w:rsidR="00734EF1" w:rsidRPr="00140A0A">
        <w:rPr>
          <w:rFonts w:ascii="Arial" w:hAnsi="Arial" w:cs="Arial"/>
          <w:sz w:val="20"/>
          <w:szCs w:val="20"/>
        </w:rPr>
        <w:t xml:space="preserve">requires </w:t>
      </w:r>
      <w:r w:rsidR="00EA398B" w:rsidRPr="00140A0A">
        <w:rPr>
          <w:rFonts w:ascii="Arial" w:hAnsi="Arial" w:cs="Arial"/>
          <w:sz w:val="20"/>
          <w:szCs w:val="20"/>
        </w:rPr>
        <w:t>a</w:t>
      </w:r>
      <w:r w:rsidR="00734EF1" w:rsidRPr="00140A0A">
        <w:rPr>
          <w:rFonts w:ascii="Arial" w:hAnsi="Arial" w:cs="Arial"/>
          <w:sz w:val="20"/>
          <w:szCs w:val="20"/>
        </w:rPr>
        <w:t xml:space="preserve"> count of </w:t>
      </w:r>
      <w:r w:rsidR="002B54E7" w:rsidRPr="00140A0A">
        <w:rPr>
          <w:rFonts w:ascii="Arial" w:hAnsi="Arial" w:cs="Arial"/>
          <w:sz w:val="20"/>
          <w:szCs w:val="20"/>
        </w:rPr>
        <w:t>≥</w:t>
      </w:r>
      <w:r w:rsidR="00734EF1" w:rsidRPr="00140A0A">
        <w:rPr>
          <w:rFonts w:ascii="Arial" w:hAnsi="Arial" w:cs="Arial"/>
          <w:sz w:val="20"/>
          <w:szCs w:val="20"/>
        </w:rPr>
        <w:t>5 X 10</w:t>
      </w:r>
      <w:r w:rsidR="00734EF1" w:rsidRPr="00140A0A">
        <w:rPr>
          <w:rFonts w:ascii="Arial" w:hAnsi="Arial" w:cs="Arial"/>
          <w:sz w:val="20"/>
          <w:szCs w:val="20"/>
          <w:vertAlign w:val="superscript"/>
        </w:rPr>
        <w:t>9</w:t>
      </w:r>
      <w:r w:rsidR="00734EF1" w:rsidRPr="00140A0A">
        <w:rPr>
          <w:rFonts w:ascii="Arial" w:hAnsi="Arial" w:cs="Arial"/>
          <w:sz w:val="20"/>
          <w:szCs w:val="20"/>
        </w:rPr>
        <w:t>/L</w:t>
      </w:r>
      <w:r w:rsidR="00EA398B" w:rsidRPr="00140A0A">
        <w:rPr>
          <w:rFonts w:ascii="Arial" w:hAnsi="Arial" w:cs="Arial"/>
          <w:sz w:val="20"/>
          <w:szCs w:val="20"/>
        </w:rPr>
        <w:t xml:space="preserve"> clonal B-lymphocytes (clonality confirmed by light chain restriction on flow cytometry).</w:t>
      </w:r>
      <w:r w:rsidR="007841F9" w:rsidRPr="00140A0A">
        <w:rPr>
          <w:rFonts w:ascii="Arial" w:hAnsi="Arial" w:cs="Arial"/>
          <w:sz w:val="20"/>
          <w:szCs w:val="20"/>
          <w:vertAlign w:val="superscript"/>
        </w:rPr>
        <w:t>1,</w:t>
      </w:r>
      <w:r w:rsidR="005178DE" w:rsidRPr="00140A0A">
        <w:rPr>
          <w:rFonts w:ascii="Arial" w:hAnsi="Arial" w:cs="Arial"/>
          <w:sz w:val="20"/>
          <w:szCs w:val="20"/>
          <w:vertAlign w:val="superscript"/>
        </w:rPr>
        <w:t>7</w:t>
      </w:r>
      <w:r w:rsidR="002B54E7" w:rsidRPr="00140A0A">
        <w:rPr>
          <w:rFonts w:ascii="Arial" w:hAnsi="Arial" w:cs="Arial"/>
          <w:sz w:val="20"/>
          <w:szCs w:val="20"/>
        </w:rPr>
        <w:t xml:space="preserve"> </w:t>
      </w:r>
      <w:r w:rsidR="00EA398B" w:rsidRPr="00140A0A">
        <w:rPr>
          <w:rFonts w:ascii="Arial" w:hAnsi="Arial" w:cs="Arial"/>
          <w:sz w:val="20"/>
          <w:szCs w:val="20"/>
        </w:rPr>
        <w:t>P</w:t>
      </w:r>
      <w:r w:rsidR="002B54E7" w:rsidRPr="00140A0A">
        <w:rPr>
          <w:rFonts w:ascii="Arial" w:hAnsi="Arial" w:cs="Arial"/>
          <w:sz w:val="20"/>
          <w:szCs w:val="20"/>
        </w:rPr>
        <w:t>eripheral</w:t>
      </w:r>
      <w:r w:rsidR="004D3357" w:rsidRPr="00140A0A">
        <w:rPr>
          <w:rFonts w:ascii="Arial" w:hAnsi="Arial" w:cs="Arial"/>
          <w:sz w:val="20"/>
          <w:szCs w:val="20"/>
        </w:rPr>
        <w:t xml:space="preserve"> blood film </w:t>
      </w:r>
      <w:r w:rsidR="00734EF1" w:rsidRPr="00140A0A">
        <w:rPr>
          <w:rFonts w:ascii="Arial" w:hAnsi="Arial" w:cs="Arial"/>
          <w:sz w:val="20"/>
          <w:szCs w:val="20"/>
        </w:rPr>
        <w:t xml:space="preserve">shows lymphoid leukocytosis of small sized lymphocytes. </w:t>
      </w:r>
      <w:r w:rsidR="002B54E7" w:rsidRPr="00140A0A">
        <w:rPr>
          <w:rFonts w:ascii="Arial" w:hAnsi="Arial" w:cs="Arial"/>
          <w:sz w:val="20"/>
          <w:szCs w:val="20"/>
        </w:rPr>
        <w:t>The characteristic i</w:t>
      </w:r>
      <w:r w:rsidR="00734EF1" w:rsidRPr="00140A0A">
        <w:rPr>
          <w:rFonts w:ascii="Arial" w:hAnsi="Arial" w:cs="Arial"/>
          <w:sz w:val="20"/>
          <w:szCs w:val="20"/>
        </w:rPr>
        <w:t>mmunophenotypi</w:t>
      </w:r>
      <w:r w:rsidR="002B54E7" w:rsidRPr="00140A0A">
        <w:rPr>
          <w:rFonts w:ascii="Arial" w:hAnsi="Arial" w:cs="Arial"/>
          <w:sz w:val="20"/>
          <w:szCs w:val="20"/>
        </w:rPr>
        <w:t>c pattern is CD5+, CD19+, CD23+, CD20 (dim), CD79b (dim/negative), CD200+, and weak surface Ig (usually IgM).</w:t>
      </w:r>
      <w:r w:rsidR="005178DE" w:rsidRPr="00140A0A">
        <w:rPr>
          <w:rFonts w:ascii="Arial" w:hAnsi="Arial" w:cs="Arial"/>
          <w:sz w:val="20"/>
          <w:szCs w:val="20"/>
          <w:vertAlign w:val="superscript"/>
        </w:rPr>
        <w:t>8</w:t>
      </w:r>
    </w:p>
    <w:p w14:paraId="00DCF5CD" w14:textId="34AA315A" w:rsidR="00D12868" w:rsidRPr="00140A0A" w:rsidRDefault="00821C70" w:rsidP="00366663">
      <w:pPr>
        <w:spacing w:line="600" w:lineRule="auto"/>
        <w:jc w:val="both"/>
        <w:rPr>
          <w:rFonts w:ascii="Arial" w:hAnsi="Arial" w:cs="Arial"/>
          <w:sz w:val="20"/>
          <w:szCs w:val="20"/>
        </w:rPr>
      </w:pPr>
      <w:r w:rsidRPr="00140A0A">
        <w:rPr>
          <w:rFonts w:ascii="Arial" w:hAnsi="Arial" w:cs="Arial"/>
          <w:sz w:val="20"/>
          <w:szCs w:val="20"/>
        </w:rPr>
        <w:t xml:space="preserve">The </w:t>
      </w:r>
      <w:r w:rsidR="00D80D79" w:rsidRPr="00140A0A">
        <w:rPr>
          <w:rFonts w:ascii="Arial" w:hAnsi="Arial" w:cs="Arial"/>
          <w:sz w:val="20"/>
          <w:szCs w:val="20"/>
        </w:rPr>
        <w:t xml:space="preserve">diagnostic pattern and </w:t>
      </w:r>
      <w:r w:rsidRPr="00140A0A">
        <w:rPr>
          <w:rFonts w:ascii="Arial" w:hAnsi="Arial" w:cs="Arial"/>
          <w:sz w:val="20"/>
          <w:szCs w:val="20"/>
        </w:rPr>
        <w:t>treatment landscape of CLL has changed over the past couple of decades</w:t>
      </w:r>
      <w:r w:rsidR="00D80D79" w:rsidRPr="00140A0A">
        <w:rPr>
          <w:rFonts w:ascii="Arial" w:hAnsi="Arial" w:cs="Arial"/>
          <w:sz w:val="20"/>
          <w:szCs w:val="20"/>
        </w:rPr>
        <w:t>.</w:t>
      </w:r>
      <w:r w:rsidR="00425A15" w:rsidRPr="00140A0A">
        <w:rPr>
          <w:rFonts w:ascii="Arial" w:hAnsi="Arial" w:cs="Arial"/>
          <w:sz w:val="20"/>
          <w:szCs w:val="20"/>
          <w:vertAlign w:val="superscript"/>
        </w:rPr>
        <w:t>1,</w:t>
      </w:r>
      <w:r w:rsidR="005178DE" w:rsidRPr="00140A0A">
        <w:rPr>
          <w:rFonts w:ascii="Arial" w:hAnsi="Arial" w:cs="Arial"/>
          <w:sz w:val="20"/>
          <w:szCs w:val="20"/>
          <w:vertAlign w:val="superscript"/>
        </w:rPr>
        <w:t>9</w:t>
      </w:r>
      <w:r w:rsidR="00D80D79" w:rsidRPr="00140A0A">
        <w:rPr>
          <w:rFonts w:ascii="Arial" w:hAnsi="Arial" w:cs="Arial"/>
          <w:sz w:val="20"/>
          <w:szCs w:val="20"/>
        </w:rPr>
        <w:t xml:space="preserve"> Treatment has gone from using of traditional chemotherapy to the use of chemoimmunotherapy and targeted therapy thus improving outcome in well-resourced countries.</w:t>
      </w:r>
      <w:r w:rsidRPr="00140A0A">
        <w:rPr>
          <w:rFonts w:ascii="Arial" w:hAnsi="Arial" w:cs="Arial"/>
          <w:sz w:val="20"/>
          <w:szCs w:val="20"/>
        </w:rPr>
        <w:t xml:space="preserve"> However,</w:t>
      </w:r>
      <w:r w:rsidR="00D80D79" w:rsidRPr="00140A0A">
        <w:rPr>
          <w:rFonts w:ascii="Arial" w:hAnsi="Arial" w:cs="Arial"/>
          <w:sz w:val="20"/>
          <w:szCs w:val="20"/>
        </w:rPr>
        <w:t xml:space="preserve"> low-medium income countries (LMICs)</w:t>
      </w:r>
      <w:r w:rsidRPr="00140A0A">
        <w:rPr>
          <w:rFonts w:ascii="Arial" w:hAnsi="Arial" w:cs="Arial"/>
          <w:sz w:val="20"/>
          <w:szCs w:val="20"/>
        </w:rPr>
        <w:t xml:space="preserve"> </w:t>
      </w:r>
      <w:r w:rsidR="00D80D79" w:rsidRPr="00140A0A">
        <w:rPr>
          <w:rFonts w:ascii="Arial" w:hAnsi="Arial" w:cs="Arial"/>
          <w:sz w:val="20"/>
          <w:szCs w:val="20"/>
        </w:rPr>
        <w:t xml:space="preserve">are still behind in </w:t>
      </w:r>
      <w:r w:rsidRPr="00140A0A">
        <w:rPr>
          <w:rFonts w:ascii="Arial" w:hAnsi="Arial" w:cs="Arial"/>
          <w:sz w:val="20"/>
          <w:szCs w:val="20"/>
        </w:rPr>
        <w:t>the</w:t>
      </w:r>
      <w:r w:rsidR="00D80D79" w:rsidRPr="00140A0A">
        <w:rPr>
          <w:rFonts w:ascii="Arial" w:hAnsi="Arial" w:cs="Arial"/>
          <w:sz w:val="20"/>
          <w:szCs w:val="20"/>
        </w:rPr>
        <w:t xml:space="preserve"> management of patients</w:t>
      </w:r>
      <w:r w:rsidR="00912B8C" w:rsidRPr="00140A0A">
        <w:rPr>
          <w:rFonts w:ascii="Arial" w:hAnsi="Arial" w:cs="Arial"/>
          <w:sz w:val="20"/>
          <w:szCs w:val="20"/>
        </w:rPr>
        <w:t xml:space="preserve"> due to delayed diagnosis, poor infrastructure, limited availability of novel drugs and financial barriers leading to care gaps.</w:t>
      </w:r>
      <w:r w:rsidR="005178DE" w:rsidRPr="00140A0A">
        <w:rPr>
          <w:rFonts w:ascii="Arial" w:hAnsi="Arial" w:cs="Arial"/>
          <w:sz w:val="20"/>
          <w:szCs w:val="20"/>
          <w:vertAlign w:val="superscript"/>
        </w:rPr>
        <w:t>1</w:t>
      </w:r>
      <w:r w:rsidR="00CB2E4A" w:rsidRPr="00140A0A">
        <w:rPr>
          <w:rFonts w:ascii="Arial" w:hAnsi="Arial" w:cs="Arial"/>
          <w:sz w:val="20"/>
          <w:szCs w:val="20"/>
          <w:vertAlign w:val="superscript"/>
        </w:rPr>
        <w:t>0</w:t>
      </w:r>
      <w:r w:rsidR="00810D2B" w:rsidRPr="00140A0A">
        <w:rPr>
          <w:rFonts w:ascii="Arial" w:hAnsi="Arial" w:cs="Arial"/>
          <w:sz w:val="20"/>
          <w:szCs w:val="20"/>
        </w:rPr>
        <w:t xml:space="preserve"> </w:t>
      </w:r>
      <w:r w:rsidR="00912B8C" w:rsidRPr="00140A0A">
        <w:rPr>
          <w:rFonts w:ascii="Arial" w:hAnsi="Arial" w:cs="Arial"/>
          <w:sz w:val="20"/>
          <w:szCs w:val="20"/>
        </w:rPr>
        <w:t>Adequate management of CLL includes but not limited to t</w:t>
      </w:r>
      <w:r w:rsidRPr="00140A0A">
        <w:rPr>
          <w:rFonts w:ascii="Arial" w:hAnsi="Arial" w:cs="Arial"/>
          <w:sz w:val="20"/>
          <w:szCs w:val="20"/>
        </w:rPr>
        <w:t>imely referral,</w:t>
      </w:r>
      <w:r w:rsidR="00912B8C" w:rsidRPr="00140A0A">
        <w:rPr>
          <w:rFonts w:ascii="Arial" w:hAnsi="Arial" w:cs="Arial"/>
          <w:sz w:val="20"/>
          <w:szCs w:val="20"/>
        </w:rPr>
        <w:t xml:space="preserve"> accurate diagnosis,</w:t>
      </w:r>
      <w:r w:rsidRPr="00140A0A">
        <w:rPr>
          <w:rFonts w:ascii="Arial" w:hAnsi="Arial" w:cs="Arial"/>
          <w:sz w:val="20"/>
          <w:szCs w:val="20"/>
        </w:rPr>
        <w:t xml:space="preserve"> disease staging</w:t>
      </w:r>
      <w:r w:rsidR="00912B8C" w:rsidRPr="00140A0A">
        <w:rPr>
          <w:rFonts w:ascii="Arial" w:hAnsi="Arial" w:cs="Arial"/>
          <w:sz w:val="20"/>
          <w:szCs w:val="20"/>
        </w:rPr>
        <w:t xml:space="preserve"> and prognosis</w:t>
      </w:r>
      <w:r w:rsidRPr="00140A0A">
        <w:rPr>
          <w:rFonts w:ascii="Arial" w:hAnsi="Arial" w:cs="Arial"/>
          <w:sz w:val="20"/>
          <w:szCs w:val="20"/>
        </w:rPr>
        <w:t>, treatment affordability</w:t>
      </w:r>
      <w:r w:rsidR="00912B8C" w:rsidRPr="00140A0A">
        <w:rPr>
          <w:rFonts w:ascii="Arial" w:hAnsi="Arial" w:cs="Arial"/>
          <w:sz w:val="20"/>
          <w:szCs w:val="20"/>
        </w:rPr>
        <w:t xml:space="preserve"> and availability</w:t>
      </w:r>
      <w:r w:rsidRPr="00140A0A">
        <w:rPr>
          <w:rFonts w:ascii="Arial" w:hAnsi="Arial" w:cs="Arial"/>
          <w:sz w:val="20"/>
          <w:szCs w:val="20"/>
        </w:rPr>
        <w:t xml:space="preserve">, supportive care, response monitoring, and </w:t>
      </w:r>
      <w:r w:rsidR="00912B8C" w:rsidRPr="00140A0A">
        <w:rPr>
          <w:rFonts w:ascii="Arial" w:hAnsi="Arial" w:cs="Arial"/>
          <w:sz w:val="20"/>
          <w:szCs w:val="20"/>
        </w:rPr>
        <w:t>follow-up</w:t>
      </w:r>
      <w:r w:rsidRPr="00140A0A">
        <w:rPr>
          <w:rFonts w:ascii="Arial" w:hAnsi="Arial" w:cs="Arial"/>
          <w:sz w:val="20"/>
          <w:szCs w:val="20"/>
        </w:rPr>
        <w:t xml:space="preserve"> care. In resource-constrained environments, </w:t>
      </w:r>
      <w:r w:rsidR="00F54FF7" w:rsidRPr="00140A0A">
        <w:rPr>
          <w:rFonts w:ascii="Arial" w:hAnsi="Arial" w:cs="Arial"/>
          <w:sz w:val="20"/>
          <w:szCs w:val="20"/>
        </w:rPr>
        <w:t xml:space="preserve">gaps in the care of CLL patients may arise from </w:t>
      </w:r>
      <w:r w:rsidRPr="00140A0A">
        <w:rPr>
          <w:rFonts w:ascii="Arial" w:hAnsi="Arial" w:cs="Arial"/>
          <w:sz w:val="20"/>
          <w:szCs w:val="20"/>
        </w:rPr>
        <w:t xml:space="preserve">breakdowns at multiple points in this continuum. </w:t>
      </w:r>
    </w:p>
    <w:p w14:paraId="37CE6ADA" w14:textId="6131DF0D" w:rsidR="00D12868" w:rsidRPr="00140A0A" w:rsidRDefault="00F54FF7" w:rsidP="00366663">
      <w:pPr>
        <w:spacing w:line="600" w:lineRule="auto"/>
        <w:jc w:val="both"/>
        <w:rPr>
          <w:rFonts w:ascii="Arial" w:hAnsi="Arial" w:cs="Arial"/>
          <w:sz w:val="20"/>
          <w:szCs w:val="20"/>
          <w:vertAlign w:val="superscript"/>
        </w:rPr>
      </w:pPr>
      <w:r w:rsidRPr="00140A0A">
        <w:rPr>
          <w:rFonts w:ascii="Arial" w:hAnsi="Arial" w:cs="Arial"/>
          <w:sz w:val="20"/>
          <w:szCs w:val="20"/>
        </w:rPr>
        <w:t>Available data from the African region shows a younger age at presentation compared to the western world, with more patients presenting with advanced disease</w:t>
      </w:r>
      <w:r w:rsidR="00810D2B" w:rsidRPr="00140A0A">
        <w:rPr>
          <w:rFonts w:ascii="Arial" w:hAnsi="Arial" w:cs="Arial"/>
          <w:sz w:val="20"/>
          <w:szCs w:val="20"/>
        </w:rPr>
        <w:t>.</w:t>
      </w:r>
      <w:r w:rsidR="005178DE" w:rsidRPr="00140A0A">
        <w:rPr>
          <w:rFonts w:ascii="Arial" w:hAnsi="Arial" w:cs="Arial"/>
          <w:sz w:val="20"/>
          <w:szCs w:val="20"/>
          <w:vertAlign w:val="superscript"/>
        </w:rPr>
        <w:t>1</w:t>
      </w:r>
      <w:r w:rsidR="002B0941" w:rsidRPr="00140A0A">
        <w:rPr>
          <w:rFonts w:ascii="Arial" w:hAnsi="Arial" w:cs="Arial"/>
          <w:sz w:val="20"/>
          <w:szCs w:val="20"/>
          <w:vertAlign w:val="superscript"/>
        </w:rPr>
        <w:t>1</w:t>
      </w:r>
      <w:r w:rsidR="00810D2B" w:rsidRPr="00140A0A">
        <w:rPr>
          <w:rFonts w:ascii="Arial" w:hAnsi="Arial" w:cs="Arial"/>
          <w:sz w:val="20"/>
          <w:szCs w:val="20"/>
        </w:rPr>
        <w:t xml:space="preserve"> </w:t>
      </w:r>
      <w:r w:rsidRPr="00140A0A">
        <w:rPr>
          <w:rFonts w:ascii="Arial" w:hAnsi="Arial" w:cs="Arial"/>
          <w:sz w:val="20"/>
          <w:szCs w:val="20"/>
        </w:rPr>
        <w:t xml:space="preserve">However, there </w:t>
      </w:r>
      <w:r w:rsidR="00C5339C" w:rsidRPr="00140A0A">
        <w:rPr>
          <w:rFonts w:ascii="Arial" w:hAnsi="Arial" w:cs="Arial"/>
          <w:sz w:val="20"/>
          <w:szCs w:val="20"/>
        </w:rPr>
        <w:t xml:space="preserve">paucity of data on </w:t>
      </w:r>
      <w:r w:rsidRPr="00140A0A">
        <w:rPr>
          <w:rFonts w:ascii="Arial" w:hAnsi="Arial" w:cs="Arial"/>
          <w:sz w:val="20"/>
          <w:szCs w:val="20"/>
        </w:rPr>
        <w:t xml:space="preserve">real-world care </w:t>
      </w:r>
      <w:r w:rsidR="00C5339C" w:rsidRPr="00140A0A">
        <w:rPr>
          <w:rFonts w:ascii="Arial" w:hAnsi="Arial" w:cs="Arial"/>
          <w:sz w:val="20"/>
          <w:szCs w:val="20"/>
        </w:rPr>
        <w:t>gaps in CLL</w:t>
      </w:r>
      <w:r w:rsidRPr="00140A0A">
        <w:rPr>
          <w:rFonts w:ascii="Arial" w:hAnsi="Arial" w:cs="Arial"/>
          <w:sz w:val="20"/>
          <w:szCs w:val="20"/>
        </w:rPr>
        <w:t>. Such data are important not only for local practice improvement, but also for informing broader discussions around inequity in access to haematologic cancer care.</w:t>
      </w:r>
    </w:p>
    <w:p w14:paraId="04E5FB93" w14:textId="730AB41A" w:rsidR="00D12868" w:rsidRPr="00140A0A" w:rsidRDefault="000F58E6" w:rsidP="00366663">
      <w:pPr>
        <w:spacing w:line="600" w:lineRule="auto"/>
        <w:jc w:val="both"/>
        <w:rPr>
          <w:rFonts w:ascii="Arial" w:hAnsi="Arial" w:cs="Arial"/>
          <w:sz w:val="20"/>
          <w:szCs w:val="20"/>
        </w:rPr>
      </w:pPr>
      <w:r w:rsidRPr="000F58E6">
        <w:rPr>
          <w:rFonts w:ascii="Arial" w:hAnsi="Arial" w:cs="Arial"/>
          <w:color w:val="EE0000"/>
          <w:sz w:val="20"/>
          <w:szCs w:val="20"/>
        </w:rPr>
        <w:lastRenderedPageBreak/>
        <w:t xml:space="preserve">We hypothesized that gaps in access to diagnosis and treatment would be associated with poorer outcomes in patients with chronic lymphocytic </w:t>
      </w:r>
      <w:proofErr w:type="spellStart"/>
      <w:r w:rsidRPr="000F58E6">
        <w:rPr>
          <w:rFonts w:ascii="Arial" w:hAnsi="Arial" w:cs="Arial"/>
          <w:color w:val="EE0000"/>
          <w:sz w:val="20"/>
          <w:szCs w:val="20"/>
        </w:rPr>
        <w:t>leukaemia</w:t>
      </w:r>
      <w:proofErr w:type="spellEnd"/>
      <w:r w:rsidRPr="000F58E6">
        <w:rPr>
          <w:rFonts w:ascii="Arial" w:hAnsi="Arial" w:cs="Arial"/>
          <w:color w:val="EE0000"/>
          <w:sz w:val="20"/>
          <w:szCs w:val="20"/>
        </w:rPr>
        <w:t xml:space="preserve"> in this setting.</w:t>
      </w:r>
      <w:r>
        <w:rPr>
          <w:rFonts w:ascii="Arial" w:hAnsi="Arial" w:cs="Arial"/>
          <w:sz w:val="20"/>
          <w:szCs w:val="20"/>
        </w:rPr>
        <w:t xml:space="preserve"> </w:t>
      </w:r>
      <w:r w:rsidR="003A2916" w:rsidRPr="00140A0A">
        <w:rPr>
          <w:rFonts w:ascii="Arial" w:hAnsi="Arial" w:cs="Arial"/>
          <w:sz w:val="20"/>
          <w:szCs w:val="20"/>
        </w:rPr>
        <w:t>This study therefore aimed to describe the real-world care gaps in patients with CLL managed in a Nigerian tertiary hospital cohort, with emphasis on disease stage at presentation, baseline disease burden, treatment access, funding mechanisms, retention in care, and outcome.</w:t>
      </w:r>
    </w:p>
    <w:p w14:paraId="05F0F532" w14:textId="46070488" w:rsidR="00D12868" w:rsidRPr="00140A0A" w:rsidRDefault="00E012B8" w:rsidP="00366663">
      <w:pPr>
        <w:pStyle w:val="Heading1"/>
        <w:spacing w:line="600" w:lineRule="auto"/>
        <w:jc w:val="both"/>
        <w:rPr>
          <w:rFonts w:ascii="Arial" w:hAnsi="Arial" w:cs="Arial"/>
          <w:color w:val="auto"/>
          <w:sz w:val="22"/>
          <w:szCs w:val="22"/>
        </w:rPr>
      </w:pPr>
      <w:r w:rsidRPr="00140A0A">
        <w:rPr>
          <w:rFonts w:ascii="Arial" w:hAnsi="Arial" w:cs="Arial"/>
          <w:color w:val="auto"/>
          <w:sz w:val="22"/>
          <w:szCs w:val="22"/>
        </w:rPr>
        <w:t>METHODS</w:t>
      </w:r>
    </w:p>
    <w:p w14:paraId="4790C50C" w14:textId="10D8E167" w:rsidR="00853C81" w:rsidRDefault="003A2916" w:rsidP="00366663">
      <w:pPr>
        <w:spacing w:line="600" w:lineRule="auto"/>
        <w:jc w:val="both"/>
        <w:rPr>
          <w:rFonts w:ascii="Arial" w:hAnsi="Arial" w:cs="Arial"/>
          <w:color w:val="EE0000"/>
          <w:sz w:val="20"/>
          <w:szCs w:val="20"/>
        </w:rPr>
      </w:pPr>
      <w:r w:rsidRPr="000F58E6">
        <w:rPr>
          <w:rFonts w:ascii="Arial" w:hAnsi="Arial" w:cs="Arial"/>
          <w:color w:val="EE0000"/>
          <w:sz w:val="20"/>
          <w:szCs w:val="20"/>
        </w:rPr>
        <w:t xml:space="preserve">This was a retrospective </w:t>
      </w:r>
      <w:r w:rsidR="000F58E6" w:rsidRPr="000F58E6">
        <w:rPr>
          <w:rFonts w:ascii="Arial" w:hAnsi="Arial" w:cs="Arial"/>
          <w:color w:val="EE0000"/>
          <w:sz w:val="20"/>
          <w:szCs w:val="20"/>
        </w:rPr>
        <w:t>descriptive</w:t>
      </w:r>
      <w:r w:rsidRPr="000F58E6">
        <w:rPr>
          <w:rFonts w:ascii="Arial" w:hAnsi="Arial" w:cs="Arial"/>
          <w:color w:val="EE0000"/>
          <w:sz w:val="20"/>
          <w:szCs w:val="20"/>
        </w:rPr>
        <w:t xml:space="preserve"> study of patients diagnosed with CLL </w:t>
      </w:r>
      <w:r w:rsidRPr="00140A0A">
        <w:rPr>
          <w:rFonts w:ascii="Arial" w:hAnsi="Arial" w:cs="Arial"/>
          <w:sz w:val="20"/>
          <w:szCs w:val="20"/>
        </w:rPr>
        <w:t xml:space="preserve">and managed at </w:t>
      </w:r>
      <w:r w:rsidR="00C5339C" w:rsidRPr="00140A0A">
        <w:rPr>
          <w:rFonts w:ascii="Arial" w:hAnsi="Arial" w:cs="Arial"/>
          <w:sz w:val="20"/>
          <w:szCs w:val="20"/>
        </w:rPr>
        <w:t xml:space="preserve">the University of Port Harcourt Teaching Hospital, </w:t>
      </w:r>
      <w:r w:rsidRPr="00140A0A">
        <w:rPr>
          <w:rFonts w:ascii="Arial" w:hAnsi="Arial" w:cs="Arial"/>
          <w:sz w:val="20"/>
          <w:szCs w:val="20"/>
        </w:rPr>
        <w:t>a tertiary hospital</w:t>
      </w:r>
      <w:r w:rsidR="00C5339C" w:rsidRPr="00140A0A">
        <w:rPr>
          <w:rFonts w:ascii="Arial" w:hAnsi="Arial" w:cs="Arial"/>
          <w:sz w:val="20"/>
          <w:szCs w:val="20"/>
        </w:rPr>
        <w:t xml:space="preserve"> located in south-south Nigeria</w:t>
      </w:r>
      <w:r w:rsidRPr="00140A0A">
        <w:rPr>
          <w:rFonts w:ascii="Arial" w:hAnsi="Arial" w:cs="Arial"/>
          <w:sz w:val="20"/>
          <w:szCs w:val="20"/>
        </w:rPr>
        <w:t xml:space="preserve">. </w:t>
      </w:r>
      <w:r w:rsidR="00C5339C" w:rsidRPr="00140A0A">
        <w:rPr>
          <w:rFonts w:ascii="Arial" w:hAnsi="Arial" w:cs="Arial"/>
          <w:sz w:val="20"/>
          <w:szCs w:val="20"/>
        </w:rPr>
        <w:t xml:space="preserve">Data was retrieved from case notes of patients. </w:t>
      </w:r>
      <w:r w:rsidRPr="00140A0A">
        <w:rPr>
          <w:rFonts w:ascii="Arial" w:hAnsi="Arial" w:cs="Arial"/>
          <w:sz w:val="20"/>
          <w:szCs w:val="20"/>
        </w:rPr>
        <w:t xml:space="preserve">All </w:t>
      </w:r>
      <w:r w:rsidR="007159F6" w:rsidRPr="00140A0A">
        <w:rPr>
          <w:rFonts w:ascii="Arial" w:hAnsi="Arial" w:cs="Arial"/>
          <w:sz w:val="20"/>
          <w:szCs w:val="20"/>
        </w:rPr>
        <w:t xml:space="preserve">CLL </w:t>
      </w:r>
      <w:r w:rsidRPr="00140A0A">
        <w:rPr>
          <w:rFonts w:ascii="Arial" w:hAnsi="Arial" w:cs="Arial"/>
          <w:sz w:val="20"/>
          <w:szCs w:val="20"/>
        </w:rPr>
        <w:t>patients</w:t>
      </w:r>
      <w:r w:rsidR="007159F6" w:rsidRPr="00140A0A">
        <w:rPr>
          <w:rFonts w:ascii="Arial" w:hAnsi="Arial" w:cs="Arial"/>
          <w:sz w:val="20"/>
          <w:szCs w:val="20"/>
        </w:rPr>
        <w:t xml:space="preserve"> with sufficient records</w:t>
      </w:r>
      <w:r w:rsidRPr="00140A0A">
        <w:rPr>
          <w:rFonts w:ascii="Arial" w:hAnsi="Arial" w:cs="Arial"/>
          <w:sz w:val="20"/>
          <w:szCs w:val="20"/>
        </w:rPr>
        <w:t xml:space="preserve"> </w:t>
      </w:r>
      <w:r w:rsidR="007159F6" w:rsidRPr="00140A0A">
        <w:rPr>
          <w:rFonts w:ascii="Arial" w:hAnsi="Arial" w:cs="Arial"/>
          <w:sz w:val="20"/>
          <w:szCs w:val="20"/>
        </w:rPr>
        <w:t>(including demographics, clinical, laboratory</w:t>
      </w:r>
      <w:r w:rsidR="00A75034" w:rsidRPr="00140A0A">
        <w:rPr>
          <w:rFonts w:ascii="Arial" w:hAnsi="Arial" w:cs="Arial"/>
          <w:sz w:val="20"/>
          <w:szCs w:val="20"/>
        </w:rPr>
        <w:t>, treatment details, outcome and source of funding</w:t>
      </w:r>
      <w:r w:rsidR="007159F6" w:rsidRPr="00140A0A">
        <w:rPr>
          <w:rFonts w:ascii="Arial" w:hAnsi="Arial" w:cs="Arial"/>
          <w:sz w:val="20"/>
          <w:szCs w:val="20"/>
        </w:rPr>
        <w:t xml:space="preserve">) who were </w:t>
      </w:r>
      <w:r w:rsidRPr="00140A0A">
        <w:rPr>
          <w:rFonts w:ascii="Arial" w:hAnsi="Arial" w:cs="Arial"/>
          <w:sz w:val="20"/>
          <w:szCs w:val="20"/>
        </w:rPr>
        <w:t>diagnos</w:t>
      </w:r>
      <w:r w:rsidR="007159F6" w:rsidRPr="00140A0A">
        <w:rPr>
          <w:rFonts w:ascii="Arial" w:hAnsi="Arial" w:cs="Arial"/>
          <w:sz w:val="20"/>
          <w:szCs w:val="20"/>
        </w:rPr>
        <w:t xml:space="preserve">ed between July 2005 to June 2025 </w:t>
      </w:r>
      <w:r w:rsidRPr="00140A0A">
        <w:rPr>
          <w:rFonts w:ascii="Arial" w:hAnsi="Arial" w:cs="Arial"/>
          <w:sz w:val="20"/>
          <w:szCs w:val="20"/>
        </w:rPr>
        <w:t>were included</w:t>
      </w:r>
      <w:r w:rsidR="00D3108C" w:rsidRPr="00140A0A">
        <w:rPr>
          <w:rFonts w:ascii="Arial" w:hAnsi="Arial" w:cs="Arial"/>
          <w:sz w:val="20"/>
          <w:szCs w:val="20"/>
        </w:rPr>
        <w:t>;</w:t>
      </w:r>
      <w:r w:rsidR="007159F6" w:rsidRPr="00140A0A">
        <w:rPr>
          <w:rFonts w:ascii="Arial" w:hAnsi="Arial" w:cs="Arial"/>
          <w:sz w:val="20"/>
          <w:szCs w:val="20"/>
        </w:rPr>
        <w:t xml:space="preserve"> those with insufficient data were excluded</w:t>
      </w:r>
      <w:r w:rsidRPr="00140A0A">
        <w:rPr>
          <w:rFonts w:ascii="Arial" w:hAnsi="Arial" w:cs="Arial"/>
          <w:sz w:val="20"/>
          <w:szCs w:val="20"/>
        </w:rPr>
        <w:t xml:space="preserve">. </w:t>
      </w:r>
      <w:r w:rsidR="00853C81" w:rsidRPr="00853C81">
        <w:rPr>
          <w:rFonts w:ascii="Arial" w:hAnsi="Arial" w:cs="Arial"/>
          <w:color w:val="EE0000"/>
          <w:sz w:val="20"/>
          <w:szCs w:val="20"/>
        </w:rPr>
        <w:t>Diagnosis of CLL was primarily based on peripheral blood film morphology, with limited use of immunophenotyping where available</w:t>
      </w:r>
      <w:r w:rsidR="00853C81">
        <w:rPr>
          <w:rFonts w:ascii="Arial" w:hAnsi="Arial" w:cs="Arial"/>
          <w:color w:val="EE0000"/>
          <w:sz w:val="20"/>
          <w:szCs w:val="20"/>
        </w:rPr>
        <w:t>.</w:t>
      </w:r>
    </w:p>
    <w:p w14:paraId="159BCF1C" w14:textId="322B70BD" w:rsidR="00D12868" w:rsidRPr="00140A0A" w:rsidRDefault="003A2916" w:rsidP="00366663">
      <w:pPr>
        <w:spacing w:line="600" w:lineRule="auto"/>
        <w:jc w:val="both"/>
        <w:rPr>
          <w:rFonts w:ascii="Arial" w:hAnsi="Arial" w:cs="Arial"/>
          <w:sz w:val="20"/>
          <w:szCs w:val="20"/>
        </w:rPr>
      </w:pPr>
      <w:r w:rsidRPr="00140A0A">
        <w:rPr>
          <w:rFonts w:ascii="Arial" w:hAnsi="Arial" w:cs="Arial"/>
          <w:sz w:val="20"/>
          <w:szCs w:val="20"/>
        </w:rPr>
        <w:t>Advanced clinical presentation was defined as Rai stage III</w:t>
      </w:r>
      <w:r w:rsidR="009F6C08" w:rsidRPr="00140A0A">
        <w:rPr>
          <w:rFonts w:ascii="Arial" w:hAnsi="Arial" w:cs="Arial"/>
          <w:sz w:val="20"/>
          <w:szCs w:val="20"/>
        </w:rPr>
        <w:t xml:space="preserve"> </w:t>
      </w:r>
      <w:r w:rsidRPr="00140A0A">
        <w:rPr>
          <w:rFonts w:ascii="Arial" w:hAnsi="Arial" w:cs="Arial"/>
          <w:sz w:val="20"/>
          <w:szCs w:val="20"/>
        </w:rPr>
        <w:t>–</w:t>
      </w:r>
      <w:r w:rsidR="009F6C08" w:rsidRPr="00140A0A">
        <w:rPr>
          <w:rFonts w:ascii="Arial" w:hAnsi="Arial" w:cs="Arial"/>
          <w:sz w:val="20"/>
          <w:szCs w:val="20"/>
        </w:rPr>
        <w:t xml:space="preserve"> </w:t>
      </w:r>
      <w:r w:rsidRPr="00140A0A">
        <w:rPr>
          <w:rFonts w:ascii="Arial" w:hAnsi="Arial" w:cs="Arial"/>
          <w:sz w:val="20"/>
          <w:szCs w:val="20"/>
        </w:rPr>
        <w:t>IV and/or Binet stage C. Anaemia was defined as haemoglobin &lt;10 g/dL, and severe anaemia as &lt;</w:t>
      </w:r>
      <w:r w:rsidR="002B3A92" w:rsidRPr="00140A0A">
        <w:rPr>
          <w:rFonts w:ascii="Arial" w:hAnsi="Arial" w:cs="Arial"/>
          <w:sz w:val="20"/>
          <w:szCs w:val="20"/>
        </w:rPr>
        <w:t>7</w:t>
      </w:r>
      <w:r w:rsidRPr="00140A0A">
        <w:rPr>
          <w:rFonts w:ascii="Arial" w:hAnsi="Arial" w:cs="Arial"/>
          <w:sz w:val="20"/>
          <w:szCs w:val="20"/>
        </w:rPr>
        <w:t xml:space="preserve"> g/dL. Thrombocytopenia was defined as platelet count &lt;100 ×10⁹/L. Leukocytosis was defined as total white blood cell count &gt;11 ×10⁹/L, and absolute lymphocytosis as absolute lymphocyte count &gt;5 ×10⁹/L. Documented treatment was defined as receipt of at least one recorded therapeutic regimen. Patients recorded as alive or lost to follow-up at last contact were censored for survival analysis.</w:t>
      </w:r>
    </w:p>
    <w:p w14:paraId="6588C648" w14:textId="3686466C" w:rsidR="00D12868" w:rsidRPr="00140A0A" w:rsidRDefault="002B3A92" w:rsidP="00366663">
      <w:pPr>
        <w:spacing w:line="600" w:lineRule="auto"/>
        <w:jc w:val="both"/>
        <w:rPr>
          <w:rFonts w:ascii="Arial" w:hAnsi="Arial" w:cs="Arial"/>
          <w:sz w:val="20"/>
          <w:szCs w:val="20"/>
        </w:rPr>
      </w:pPr>
      <w:r w:rsidRPr="00140A0A">
        <w:rPr>
          <w:rFonts w:ascii="Arial" w:hAnsi="Arial" w:cs="Arial"/>
          <w:sz w:val="20"/>
          <w:szCs w:val="20"/>
        </w:rPr>
        <w:t>Data was collected using Microsoft® Excel and analyzed using SPSS® version 26</w:t>
      </w:r>
      <w:r w:rsidR="003A2916" w:rsidRPr="00140A0A">
        <w:rPr>
          <w:rFonts w:ascii="Arial" w:hAnsi="Arial" w:cs="Arial"/>
          <w:sz w:val="20"/>
          <w:szCs w:val="20"/>
        </w:rPr>
        <w:t>. Categorical variables were summarised as frequencies and percentages.</w:t>
      </w:r>
      <w:r w:rsidR="00664BFC" w:rsidRPr="00140A0A">
        <w:rPr>
          <w:rFonts w:ascii="Arial" w:hAnsi="Arial" w:cs="Arial"/>
          <w:sz w:val="20"/>
          <w:szCs w:val="20"/>
        </w:rPr>
        <w:t xml:space="preserve"> A p-value &lt;0.05 was taken as being statistically significant.</w:t>
      </w:r>
      <w:r w:rsidR="003A2916" w:rsidRPr="00140A0A">
        <w:rPr>
          <w:rFonts w:ascii="Arial" w:hAnsi="Arial" w:cs="Arial"/>
          <w:sz w:val="20"/>
          <w:szCs w:val="20"/>
        </w:rPr>
        <w:t xml:space="preserve"> Overall survival (OS) was estimated using the Kaplan–Meier method, defined from the time of diagnosis to </w:t>
      </w:r>
      <w:r w:rsidR="003A2916" w:rsidRPr="00140A0A">
        <w:rPr>
          <w:rFonts w:ascii="Arial" w:hAnsi="Arial" w:cs="Arial"/>
          <w:sz w:val="20"/>
          <w:szCs w:val="20"/>
        </w:rPr>
        <w:lastRenderedPageBreak/>
        <w:t xml:space="preserve">death from any cause or censoring at last contact. Ethical approval </w:t>
      </w:r>
      <w:r w:rsidR="00B36E12" w:rsidRPr="00140A0A">
        <w:rPr>
          <w:rFonts w:ascii="Arial" w:hAnsi="Arial" w:cs="Arial"/>
          <w:sz w:val="20"/>
          <w:szCs w:val="20"/>
        </w:rPr>
        <w:t>was</w:t>
      </w:r>
      <w:r w:rsidR="003A2916" w:rsidRPr="00140A0A">
        <w:rPr>
          <w:rFonts w:ascii="Arial" w:hAnsi="Arial" w:cs="Arial"/>
          <w:sz w:val="20"/>
          <w:szCs w:val="20"/>
        </w:rPr>
        <w:t xml:space="preserve"> be obtained from the </w:t>
      </w:r>
      <w:r w:rsidR="00B36E12" w:rsidRPr="00140A0A">
        <w:rPr>
          <w:rFonts w:ascii="Arial" w:hAnsi="Arial" w:cs="Arial"/>
          <w:sz w:val="20"/>
          <w:szCs w:val="20"/>
        </w:rPr>
        <w:t xml:space="preserve">hospital </w:t>
      </w:r>
      <w:r w:rsidR="003A2916" w:rsidRPr="00140A0A">
        <w:rPr>
          <w:rFonts w:ascii="Arial" w:hAnsi="Arial" w:cs="Arial"/>
          <w:sz w:val="20"/>
          <w:szCs w:val="20"/>
        </w:rPr>
        <w:t>ethics committee</w:t>
      </w:r>
      <w:r w:rsidR="00B36E12" w:rsidRPr="00140A0A">
        <w:rPr>
          <w:rFonts w:ascii="Arial" w:hAnsi="Arial" w:cs="Arial"/>
          <w:sz w:val="20"/>
          <w:szCs w:val="20"/>
        </w:rPr>
        <w:t>.</w:t>
      </w:r>
      <w:r w:rsidR="003A2916" w:rsidRPr="00140A0A">
        <w:rPr>
          <w:rFonts w:ascii="Arial" w:hAnsi="Arial" w:cs="Arial"/>
          <w:sz w:val="20"/>
          <w:szCs w:val="20"/>
        </w:rPr>
        <w:t xml:space="preserve"> </w:t>
      </w:r>
    </w:p>
    <w:p w14:paraId="4B2B9F08" w14:textId="2480D629" w:rsidR="00D12868" w:rsidRPr="00140A0A" w:rsidRDefault="00E012B8" w:rsidP="00366663">
      <w:pPr>
        <w:pStyle w:val="Heading1"/>
        <w:spacing w:line="600" w:lineRule="auto"/>
        <w:jc w:val="both"/>
        <w:rPr>
          <w:rFonts w:ascii="Arial" w:hAnsi="Arial" w:cs="Arial"/>
          <w:color w:val="auto"/>
          <w:sz w:val="22"/>
          <w:szCs w:val="22"/>
        </w:rPr>
      </w:pPr>
      <w:r w:rsidRPr="00140A0A">
        <w:rPr>
          <w:rFonts w:ascii="Arial" w:hAnsi="Arial" w:cs="Arial"/>
          <w:color w:val="auto"/>
          <w:sz w:val="22"/>
          <w:szCs w:val="22"/>
        </w:rPr>
        <w:t>RESULTS</w:t>
      </w:r>
    </w:p>
    <w:p w14:paraId="20016808" w14:textId="0715C68B" w:rsidR="000A7C4A" w:rsidRPr="00140A0A" w:rsidRDefault="003A2916" w:rsidP="00366663">
      <w:pPr>
        <w:spacing w:line="600" w:lineRule="auto"/>
        <w:jc w:val="both"/>
        <w:rPr>
          <w:rFonts w:ascii="Arial" w:hAnsi="Arial" w:cs="Arial"/>
          <w:sz w:val="20"/>
          <w:szCs w:val="20"/>
        </w:rPr>
      </w:pPr>
      <w:r w:rsidRPr="00140A0A">
        <w:rPr>
          <w:rFonts w:ascii="Arial" w:hAnsi="Arial" w:cs="Arial"/>
          <w:sz w:val="20"/>
          <w:szCs w:val="20"/>
        </w:rPr>
        <w:t xml:space="preserve">A total of 46 patients with CLL were included in the </w:t>
      </w:r>
      <w:r w:rsidR="00B36E12" w:rsidRPr="00140A0A">
        <w:rPr>
          <w:rFonts w:ascii="Arial" w:hAnsi="Arial" w:cs="Arial"/>
          <w:sz w:val="20"/>
          <w:szCs w:val="20"/>
        </w:rPr>
        <w:t>study</w:t>
      </w:r>
      <w:r w:rsidRPr="00140A0A">
        <w:rPr>
          <w:rFonts w:ascii="Arial" w:hAnsi="Arial" w:cs="Arial"/>
          <w:sz w:val="20"/>
          <w:szCs w:val="20"/>
        </w:rPr>
        <w:t xml:space="preserve">. The median age at diagnosis was 53.0 years (IQR 49.3–61.5), with a mean age of 54.6 ± 11.5 years. </w:t>
      </w:r>
      <w:r w:rsidR="00B36E12" w:rsidRPr="00140A0A">
        <w:rPr>
          <w:rFonts w:ascii="Arial" w:hAnsi="Arial" w:cs="Arial"/>
          <w:sz w:val="20"/>
          <w:szCs w:val="20"/>
        </w:rPr>
        <w:t>Females</w:t>
      </w:r>
      <w:r w:rsidRPr="00140A0A">
        <w:rPr>
          <w:rFonts w:ascii="Arial" w:hAnsi="Arial" w:cs="Arial"/>
          <w:sz w:val="20"/>
          <w:szCs w:val="20"/>
        </w:rPr>
        <w:t xml:space="preserve"> were</w:t>
      </w:r>
      <w:r w:rsidR="00B36E12" w:rsidRPr="00140A0A">
        <w:rPr>
          <w:rFonts w:ascii="Arial" w:hAnsi="Arial" w:cs="Arial"/>
          <w:sz w:val="20"/>
          <w:szCs w:val="20"/>
        </w:rPr>
        <w:t xml:space="preserve"> slightly more affected, n=</w:t>
      </w:r>
      <w:r w:rsidRPr="00140A0A">
        <w:rPr>
          <w:rFonts w:ascii="Arial" w:hAnsi="Arial" w:cs="Arial"/>
          <w:sz w:val="20"/>
          <w:szCs w:val="20"/>
        </w:rPr>
        <w:t xml:space="preserve"> 24</w:t>
      </w:r>
      <w:r w:rsidR="00B36E12" w:rsidRPr="00140A0A">
        <w:rPr>
          <w:rFonts w:ascii="Arial" w:hAnsi="Arial" w:cs="Arial"/>
          <w:sz w:val="20"/>
          <w:szCs w:val="20"/>
        </w:rPr>
        <w:t xml:space="preserve">, </w:t>
      </w:r>
      <w:r w:rsidRPr="00140A0A">
        <w:rPr>
          <w:rFonts w:ascii="Arial" w:hAnsi="Arial" w:cs="Arial"/>
          <w:sz w:val="20"/>
          <w:szCs w:val="20"/>
        </w:rPr>
        <w:t xml:space="preserve">52.2% </w:t>
      </w:r>
      <w:r w:rsidR="000A7C4A" w:rsidRPr="00140A0A">
        <w:rPr>
          <w:rFonts w:ascii="Arial" w:hAnsi="Arial" w:cs="Arial"/>
          <w:sz w:val="20"/>
          <w:szCs w:val="20"/>
        </w:rPr>
        <w:t>while males were</w:t>
      </w:r>
      <w:r w:rsidRPr="00140A0A">
        <w:rPr>
          <w:rFonts w:ascii="Arial" w:hAnsi="Arial" w:cs="Arial"/>
          <w:sz w:val="20"/>
          <w:szCs w:val="20"/>
        </w:rPr>
        <w:t xml:space="preserve"> </w:t>
      </w:r>
      <w:r w:rsidR="000A7C4A" w:rsidRPr="00140A0A">
        <w:rPr>
          <w:rFonts w:ascii="Arial" w:hAnsi="Arial" w:cs="Arial"/>
          <w:sz w:val="20"/>
          <w:szCs w:val="20"/>
        </w:rPr>
        <w:t xml:space="preserve">n= </w:t>
      </w:r>
      <w:r w:rsidRPr="00140A0A">
        <w:rPr>
          <w:rFonts w:ascii="Arial" w:hAnsi="Arial" w:cs="Arial"/>
          <w:sz w:val="20"/>
          <w:szCs w:val="20"/>
        </w:rPr>
        <w:t>22</w:t>
      </w:r>
      <w:r w:rsidR="000A7C4A" w:rsidRPr="00140A0A">
        <w:rPr>
          <w:rFonts w:ascii="Arial" w:hAnsi="Arial" w:cs="Arial"/>
          <w:sz w:val="20"/>
          <w:szCs w:val="20"/>
        </w:rPr>
        <w:t>,</w:t>
      </w:r>
      <w:r w:rsidRPr="00140A0A">
        <w:rPr>
          <w:rFonts w:ascii="Arial" w:hAnsi="Arial" w:cs="Arial"/>
          <w:sz w:val="20"/>
          <w:szCs w:val="20"/>
        </w:rPr>
        <w:t xml:space="preserve"> 47.8%, giving a male</w:t>
      </w:r>
      <w:r w:rsidR="000A7C4A" w:rsidRPr="00140A0A">
        <w:rPr>
          <w:rFonts w:ascii="Arial" w:hAnsi="Arial" w:cs="Arial"/>
          <w:sz w:val="20"/>
          <w:szCs w:val="20"/>
        </w:rPr>
        <w:t>-to-female</w:t>
      </w:r>
      <w:r w:rsidRPr="00140A0A">
        <w:rPr>
          <w:rFonts w:ascii="Arial" w:hAnsi="Arial" w:cs="Arial"/>
          <w:sz w:val="20"/>
          <w:szCs w:val="20"/>
        </w:rPr>
        <w:t xml:space="preserve"> ratio of 1:1.</w:t>
      </w:r>
      <w:r w:rsidR="000A7C4A" w:rsidRPr="00140A0A">
        <w:rPr>
          <w:rFonts w:ascii="Arial" w:hAnsi="Arial" w:cs="Arial"/>
          <w:sz w:val="20"/>
          <w:szCs w:val="20"/>
        </w:rPr>
        <w:t xml:space="preserve">1. </w:t>
      </w:r>
      <w:r w:rsidR="000A7C4A" w:rsidRPr="009B5E38">
        <w:rPr>
          <w:rFonts w:ascii="Arial" w:hAnsi="Arial" w:cs="Arial"/>
          <w:color w:val="EE0000"/>
          <w:sz w:val="20"/>
          <w:szCs w:val="20"/>
        </w:rPr>
        <w:t xml:space="preserve">Lymphadenopathy was present in 37 patients (80.4%), while </w:t>
      </w:r>
      <w:r w:rsidR="009B5E38" w:rsidRPr="009B5E38">
        <w:rPr>
          <w:rFonts w:ascii="Arial" w:hAnsi="Arial" w:cs="Arial"/>
          <w:color w:val="EE0000"/>
          <w:sz w:val="20"/>
          <w:szCs w:val="20"/>
        </w:rPr>
        <w:t xml:space="preserve">35 (76.6%) presented with easy fatigability. Other clinical features were recurrent fever (n=26, 56.5%), weight loss (n=24, 52.2%) and </w:t>
      </w:r>
      <w:r w:rsidR="000A7C4A" w:rsidRPr="009B5E38">
        <w:rPr>
          <w:rFonts w:ascii="Arial" w:hAnsi="Arial" w:cs="Arial"/>
          <w:color w:val="EE0000"/>
          <w:sz w:val="20"/>
          <w:szCs w:val="20"/>
        </w:rPr>
        <w:t xml:space="preserve">11 (23.9%) had </w:t>
      </w:r>
      <w:r w:rsidR="009B5E38" w:rsidRPr="009B5E38">
        <w:rPr>
          <w:rFonts w:ascii="Arial" w:hAnsi="Arial" w:cs="Arial"/>
          <w:color w:val="EE0000"/>
          <w:sz w:val="20"/>
          <w:szCs w:val="20"/>
        </w:rPr>
        <w:t>night sweats</w:t>
      </w:r>
      <w:r w:rsidR="000A7C4A" w:rsidRPr="009B5E38">
        <w:rPr>
          <w:rFonts w:ascii="Arial" w:hAnsi="Arial" w:cs="Arial"/>
          <w:color w:val="EE0000"/>
          <w:sz w:val="20"/>
          <w:szCs w:val="20"/>
        </w:rPr>
        <w:t>.</w:t>
      </w:r>
      <w:r w:rsidR="00F5254A">
        <w:rPr>
          <w:rFonts w:ascii="Arial" w:hAnsi="Arial" w:cs="Arial"/>
          <w:color w:val="EE0000"/>
          <w:sz w:val="20"/>
          <w:szCs w:val="20"/>
        </w:rPr>
        <w:t xml:space="preserve"> The median duration of</w:t>
      </w:r>
      <w:r w:rsidR="00F5254A" w:rsidRPr="00F5254A">
        <w:t xml:space="preserve"> </w:t>
      </w:r>
      <w:r w:rsidR="00F5254A" w:rsidRPr="00F5254A">
        <w:rPr>
          <w:rFonts w:ascii="Arial" w:hAnsi="Arial" w:cs="Arial"/>
          <w:color w:val="EE0000"/>
          <w:sz w:val="20"/>
          <w:szCs w:val="20"/>
        </w:rPr>
        <w:t>symptoms prior to presentation was 5.0 months (IQR 3.0–10.5).</w:t>
      </w:r>
      <w:r w:rsidR="000A7C4A" w:rsidRPr="009B5E38">
        <w:rPr>
          <w:rFonts w:ascii="Arial" w:hAnsi="Arial" w:cs="Arial"/>
          <w:color w:val="EE0000"/>
          <w:sz w:val="20"/>
          <w:szCs w:val="20"/>
        </w:rPr>
        <w:t xml:space="preserve"> </w:t>
      </w:r>
      <w:r w:rsidR="000A7C4A" w:rsidRPr="00140A0A">
        <w:rPr>
          <w:rFonts w:ascii="Arial" w:hAnsi="Arial" w:cs="Arial"/>
          <w:sz w:val="20"/>
          <w:szCs w:val="20"/>
        </w:rPr>
        <w:t xml:space="preserve">There were 30 (65.2%) cases with anaemia (haemoglobin &lt;10 g/dL), while 9 (19.6%) had severe anaemia (haemoglobin &lt;7 g/dL). </w:t>
      </w:r>
      <w:r w:rsidR="009442C4" w:rsidRPr="00140A0A">
        <w:rPr>
          <w:rFonts w:ascii="Arial" w:hAnsi="Arial" w:cs="Arial"/>
          <w:sz w:val="20"/>
          <w:szCs w:val="20"/>
        </w:rPr>
        <w:t>All patients had lymphocytic leukocytosis with absolute lymphocyte count &gt;5 X 10</w:t>
      </w:r>
      <w:r w:rsidR="009442C4" w:rsidRPr="00140A0A">
        <w:rPr>
          <w:rFonts w:ascii="Arial" w:hAnsi="Arial" w:cs="Arial"/>
          <w:sz w:val="20"/>
          <w:szCs w:val="20"/>
          <w:vertAlign w:val="superscript"/>
        </w:rPr>
        <w:t>9</w:t>
      </w:r>
      <w:r w:rsidR="009442C4" w:rsidRPr="00140A0A">
        <w:rPr>
          <w:rFonts w:ascii="Arial" w:hAnsi="Arial" w:cs="Arial"/>
          <w:sz w:val="20"/>
          <w:szCs w:val="20"/>
        </w:rPr>
        <w:t>/L. The median WBC was 81.9 ×10⁹/L (IQR: 53.6 – 121.0 ×10⁹/L). Eleven (23.9%) had t</w:t>
      </w:r>
      <w:r w:rsidRPr="00140A0A">
        <w:rPr>
          <w:rFonts w:ascii="Arial" w:hAnsi="Arial" w:cs="Arial"/>
          <w:sz w:val="20"/>
          <w:szCs w:val="20"/>
        </w:rPr>
        <w:t>hrombocytopenia</w:t>
      </w:r>
      <w:r w:rsidR="009442C4" w:rsidRPr="00140A0A">
        <w:rPr>
          <w:rFonts w:ascii="Arial" w:hAnsi="Arial" w:cs="Arial"/>
          <w:sz w:val="20"/>
          <w:szCs w:val="20"/>
        </w:rPr>
        <w:t xml:space="preserve">. </w:t>
      </w:r>
      <w:r w:rsidRPr="00140A0A">
        <w:rPr>
          <w:rFonts w:ascii="Arial" w:hAnsi="Arial" w:cs="Arial"/>
          <w:sz w:val="20"/>
          <w:szCs w:val="20"/>
        </w:rPr>
        <w:t xml:space="preserve"> </w:t>
      </w:r>
    </w:p>
    <w:p w14:paraId="2B6E6852" w14:textId="77777777" w:rsidR="00995887" w:rsidRPr="00140A0A" w:rsidRDefault="00995887" w:rsidP="00366663">
      <w:pPr>
        <w:spacing w:line="600" w:lineRule="auto"/>
        <w:rPr>
          <w:rFonts w:ascii="Arial" w:hAnsi="Arial" w:cs="Arial"/>
          <w:b/>
          <w:bCs/>
          <w:sz w:val="20"/>
          <w:szCs w:val="20"/>
        </w:rPr>
      </w:pPr>
      <w:r w:rsidRPr="00140A0A">
        <w:rPr>
          <w:rFonts w:ascii="Arial" w:hAnsi="Arial" w:cs="Arial"/>
          <w:b/>
          <w:bCs/>
          <w:sz w:val="20"/>
          <w:szCs w:val="20"/>
        </w:rPr>
        <w:t>Table 1. Baseline clinical and haematologic characteristics of the cohort (N = 46)</w:t>
      </w:r>
    </w:p>
    <w:tbl>
      <w:tblPr>
        <w:tblStyle w:val="PlainTable5"/>
        <w:tblW w:w="0" w:type="auto"/>
        <w:tblLook w:val="04A0" w:firstRow="1" w:lastRow="0" w:firstColumn="1" w:lastColumn="0" w:noHBand="0" w:noVBand="1"/>
      </w:tblPr>
      <w:tblGrid>
        <w:gridCol w:w="4824"/>
        <w:gridCol w:w="4824"/>
      </w:tblGrid>
      <w:tr w:rsidR="00995887" w:rsidRPr="00140A0A" w14:paraId="07A3029F" w14:textId="77777777" w:rsidTr="00810D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24" w:type="dxa"/>
          </w:tcPr>
          <w:p w14:paraId="45A4D8E5" w14:textId="77777777" w:rsidR="00995887" w:rsidRPr="00140A0A" w:rsidRDefault="00995887" w:rsidP="00366663">
            <w:pPr>
              <w:spacing w:line="600" w:lineRule="auto"/>
              <w:rPr>
                <w:rFonts w:ascii="Arial" w:hAnsi="Arial" w:cs="Arial"/>
                <w:b/>
                <w:bCs/>
                <w:sz w:val="20"/>
                <w:szCs w:val="20"/>
              </w:rPr>
            </w:pPr>
            <w:r w:rsidRPr="00140A0A">
              <w:rPr>
                <w:rFonts w:ascii="Arial" w:hAnsi="Arial" w:cs="Arial"/>
                <w:b/>
                <w:bCs/>
                <w:sz w:val="20"/>
                <w:szCs w:val="20"/>
              </w:rPr>
              <w:t>Variable</w:t>
            </w:r>
          </w:p>
        </w:tc>
        <w:tc>
          <w:tcPr>
            <w:tcW w:w="4824" w:type="dxa"/>
          </w:tcPr>
          <w:p w14:paraId="6021B17D" w14:textId="77777777" w:rsidR="00995887" w:rsidRPr="00140A0A" w:rsidRDefault="00995887" w:rsidP="00366663">
            <w:pPr>
              <w:spacing w:line="600" w:lineRule="auto"/>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140A0A">
              <w:rPr>
                <w:rFonts w:ascii="Arial" w:hAnsi="Arial" w:cs="Arial"/>
                <w:b/>
                <w:bCs/>
                <w:sz w:val="20"/>
                <w:szCs w:val="20"/>
              </w:rPr>
              <w:t>Value</w:t>
            </w:r>
          </w:p>
        </w:tc>
      </w:tr>
      <w:tr w:rsidR="00995887" w:rsidRPr="00140A0A" w14:paraId="48A4FE72" w14:textId="77777777" w:rsidTr="0081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4" w:type="dxa"/>
          </w:tcPr>
          <w:p w14:paraId="13A84B0E" w14:textId="77777777" w:rsidR="00995887" w:rsidRPr="00140A0A" w:rsidRDefault="00995887" w:rsidP="00366663">
            <w:pPr>
              <w:spacing w:line="600" w:lineRule="auto"/>
              <w:rPr>
                <w:rFonts w:ascii="Arial" w:hAnsi="Arial" w:cs="Arial"/>
                <w:sz w:val="20"/>
                <w:szCs w:val="20"/>
              </w:rPr>
            </w:pPr>
            <w:r w:rsidRPr="00140A0A">
              <w:rPr>
                <w:rFonts w:ascii="Arial" w:hAnsi="Arial" w:cs="Arial"/>
                <w:sz w:val="20"/>
                <w:szCs w:val="20"/>
              </w:rPr>
              <w:t>Age, years, median (IQR)</w:t>
            </w:r>
          </w:p>
        </w:tc>
        <w:tc>
          <w:tcPr>
            <w:tcW w:w="4824" w:type="dxa"/>
          </w:tcPr>
          <w:p w14:paraId="3A5421E4" w14:textId="77777777" w:rsidR="00995887" w:rsidRPr="00140A0A" w:rsidRDefault="00995887" w:rsidP="00366663">
            <w:pPr>
              <w:spacing w:line="60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0A0A">
              <w:rPr>
                <w:rFonts w:ascii="Arial" w:hAnsi="Arial" w:cs="Arial"/>
                <w:sz w:val="20"/>
                <w:szCs w:val="20"/>
              </w:rPr>
              <w:t>53.0 (49.3–61.5)</w:t>
            </w:r>
          </w:p>
        </w:tc>
      </w:tr>
      <w:tr w:rsidR="00995887" w:rsidRPr="00140A0A" w14:paraId="00D36360" w14:textId="77777777" w:rsidTr="00810D2B">
        <w:tc>
          <w:tcPr>
            <w:cnfStyle w:val="001000000000" w:firstRow="0" w:lastRow="0" w:firstColumn="1" w:lastColumn="0" w:oddVBand="0" w:evenVBand="0" w:oddHBand="0" w:evenHBand="0" w:firstRowFirstColumn="0" w:firstRowLastColumn="0" w:lastRowFirstColumn="0" w:lastRowLastColumn="0"/>
            <w:tcW w:w="4824" w:type="dxa"/>
          </w:tcPr>
          <w:p w14:paraId="7CC2345A" w14:textId="77777777" w:rsidR="00995887" w:rsidRPr="00140A0A" w:rsidRDefault="00995887" w:rsidP="00366663">
            <w:pPr>
              <w:spacing w:line="600" w:lineRule="auto"/>
              <w:rPr>
                <w:rFonts w:ascii="Arial" w:hAnsi="Arial" w:cs="Arial"/>
                <w:sz w:val="20"/>
                <w:szCs w:val="20"/>
              </w:rPr>
            </w:pPr>
            <w:r w:rsidRPr="00140A0A">
              <w:rPr>
                <w:rFonts w:ascii="Arial" w:hAnsi="Arial" w:cs="Arial"/>
                <w:sz w:val="20"/>
                <w:szCs w:val="20"/>
              </w:rPr>
              <w:t>Female sex</w:t>
            </w:r>
          </w:p>
        </w:tc>
        <w:tc>
          <w:tcPr>
            <w:tcW w:w="4824" w:type="dxa"/>
          </w:tcPr>
          <w:p w14:paraId="415F51D6" w14:textId="77777777" w:rsidR="00995887" w:rsidRPr="00140A0A" w:rsidRDefault="00995887" w:rsidP="00366663">
            <w:pPr>
              <w:spacing w:line="60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0A0A">
              <w:rPr>
                <w:rFonts w:ascii="Arial" w:hAnsi="Arial" w:cs="Arial"/>
                <w:sz w:val="20"/>
                <w:szCs w:val="20"/>
              </w:rPr>
              <w:t>24 (52.2)</w:t>
            </w:r>
          </w:p>
        </w:tc>
      </w:tr>
      <w:tr w:rsidR="00995887" w:rsidRPr="00140A0A" w14:paraId="513E872C" w14:textId="77777777" w:rsidTr="0081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4" w:type="dxa"/>
          </w:tcPr>
          <w:p w14:paraId="48980B2D" w14:textId="77777777" w:rsidR="00995887" w:rsidRPr="00140A0A" w:rsidRDefault="00995887" w:rsidP="00366663">
            <w:pPr>
              <w:spacing w:line="600" w:lineRule="auto"/>
              <w:rPr>
                <w:rFonts w:ascii="Arial" w:hAnsi="Arial" w:cs="Arial"/>
                <w:sz w:val="20"/>
                <w:szCs w:val="20"/>
              </w:rPr>
            </w:pPr>
            <w:r w:rsidRPr="00140A0A">
              <w:rPr>
                <w:rFonts w:ascii="Arial" w:hAnsi="Arial" w:cs="Arial"/>
                <w:sz w:val="20"/>
                <w:szCs w:val="20"/>
              </w:rPr>
              <w:t>Male sex</w:t>
            </w:r>
          </w:p>
        </w:tc>
        <w:tc>
          <w:tcPr>
            <w:tcW w:w="4824" w:type="dxa"/>
          </w:tcPr>
          <w:p w14:paraId="0BF1AB1F" w14:textId="77777777" w:rsidR="00995887" w:rsidRPr="00140A0A" w:rsidRDefault="00995887" w:rsidP="00366663">
            <w:pPr>
              <w:spacing w:line="60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0A0A">
              <w:rPr>
                <w:rFonts w:ascii="Arial" w:hAnsi="Arial" w:cs="Arial"/>
                <w:sz w:val="20"/>
                <w:szCs w:val="20"/>
              </w:rPr>
              <w:t>22 (47.8)</w:t>
            </w:r>
          </w:p>
        </w:tc>
      </w:tr>
      <w:tr w:rsidR="00995887" w:rsidRPr="00140A0A" w14:paraId="6E20C40F" w14:textId="77777777" w:rsidTr="00810D2B">
        <w:tc>
          <w:tcPr>
            <w:cnfStyle w:val="001000000000" w:firstRow="0" w:lastRow="0" w:firstColumn="1" w:lastColumn="0" w:oddVBand="0" w:evenVBand="0" w:oddHBand="0" w:evenHBand="0" w:firstRowFirstColumn="0" w:firstRowLastColumn="0" w:lastRowFirstColumn="0" w:lastRowLastColumn="0"/>
            <w:tcW w:w="4824" w:type="dxa"/>
          </w:tcPr>
          <w:p w14:paraId="66D484B0" w14:textId="77777777" w:rsidR="00995887" w:rsidRPr="00140A0A" w:rsidRDefault="00995887" w:rsidP="00366663">
            <w:pPr>
              <w:spacing w:line="600" w:lineRule="auto"/>
              <w:rPr>
                <w:rFonts w:ascii="Arial" w:hAnsi="Arial" w:cs="Arial"/>
                <w:sz w:val="20"/>
                <w:szCs w:val="20"/>
              </w:rPr>
            </w:pPr>
            <w:r w:rsidRPr="00140A0A">
              <w:rPr>
                <w:rFonts w:ascii="Arial" w:hAnsi="Arial" w:cs="Arial"/>
                <w:sz w:val="20"/>
                <w:szCs w:val="20"/>
              </w:rPr>
              <w:t>Rai stage III–IV</w:t>
            </w:r>
          </w:p>
        </w:tc>
        <w:tc>
          <w:tcPr>
            <w:tcW w:w="4824" w:type="dxa"/>
          </w:tcPr>
          <w:p w14:paraId="01F34EC0" w14:textId="77777777" w:rsidR="00995887" w:rsidRPr="00140A0A" w:rsidRDefault="00995887" w:rsidP="00366663">
            <w:pPr>
              <w:spacing w:line="60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0A0A">
              <w:rPr>
                <w:rFonts w:ascii="Arial" w:hAnsi="Arial" w:cs="Arial"/>
                <w:sz w:val="20"/>
                <w:szCs w:val="20"/>
              </w:rPr>
              <w:t>35 (76.1)</w:t>
            </w:r>
          </w:p>
        </w:tc>
      </w:tr>
      <w:tr w:rsidR="00995887" w:rsidRPr="00140A0A" w14:paraId="3B8C61E5" w14:textId="77777777" w:rsidTr="0081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4" w:type="dxa"/>
          </w:tcPr>
          <w:p w14:paraId="7A0E6903" w14:textId="77777777" w:rsidR="00995887" w:rsidRPr="00140A0A" w:rsidRDefault="00995887" w:rsidP="00366663">
            <w:pPr>
              <w:spacing w:line="600" w:lineRule="auto"/>
              <w:rPr>
                <w:rFonts w:ascii="Arial" w:hAnsi="Arial" w:cs="Arial"/>
                <w:sz w:val="20"/>
                <w:szCs w:val="20"/>
              </w:rPr>
            </w:pPr>
            <w:r w:rsidRPr="00140A0A">
              <w:rPr>
                <w:rFonts w:ascii="Arial" w:hAnsi="Arial" w:cs="Arial"/>
                <w:sz w:val="20"/>
                <w:szCs w:val="20"/>
              </w:rPr>
              <w:t>Binet stage C</w:t>
            </w:r>
          </w:p>
        </w:tc>
        <w:tc>
          <w:tcPr>
            <w:tcW w:w="4824" w:type="dxa"/>
          </w:tcPr>
          <w:p w14:paraId="15DF88B6" w14:textId="77777777" w:rsidR="00995887" w:rsidRPr="00140A0A" w:rsidRDefault="00995887" w:rsidP="00366663">
            <w:pPr>
              <w:spacing w:line="60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0A0A">
              <w:rPr>
                <w:rFonts w:ascii="Arial" w:hAnsi="Arial" w:cs="Arial"/>
                <w:sz w:val="20"/>
                <w:szCs w:val="20"/>
              </w:rPr>
              <w:t>25 (54.3)</w:t>
            </w:r>
          </w:p>
        </w:tc>
      </w:tr>
      <w:tr w:rsidR="00995887" w:rsidRPr="00140A0A" w14:paraId="49A32461" w14:textId="77777777" w:rsidTr="00810D2B">
        <w:tc>
          <w:tcPr>
            <w:cnfStyle w:val="001000000000" w:firstRow="0" w:lastRow="0" w:firstColumn="1" w:lastColumn="0" w:oddVBand="0" w:evenVBand="0" w:oddHBand="0" w:evenHBand="0" w:firstRowFirstColumn="0" w:firstRowLastColumn="0" w:lastRowFirstColumn="0" w:lastRowLastColumn="0"/>
            <w:tcW w:w="4824" w:type="dxa"/>
          </w:tcPr>
          <w:p w14:paraId="13945560" w14:textId="77777777" w:rsidR="00995887" w:rsidRPr="00140A0A" w:rsidRDefault="00995887" w:rsidP="00366663">
            <w:pPr>
              <w:spacing w:line="600" w:lineRule="auto"/>
              <w:rPr>
                <w:rFonts w:ascii="Arial" w:hAnsi="Arial" w:cs="Arial"/>
                <w:sz w:val="20"/>
                <w:szCs w:val="20"/>
              </w:rPr>
            </w:pPr>
            <w:r w:rsidRPr="00140A0A">
              <w:rPr>
                <w:rFonts w:ascii="Arial" w:hAnsi="Arial" w:cs="Arial"/>
                <w:sz w:val="20"/>
                <w:szCs w:val="20"/>
              </w:rPr>
              <w:t>Haemoglobin &lt;10 g/dL</w:t>
            </w:r>
          </w:p>
        </w:tc>
        <w:tc>
          <w:tcPr>
            <w:tcW w:w="4824" w:type="dxa"/>
          </w:tcPr>
          <w:p w14:paraId="3C9C0CC8" w14:textId="77777777" w:rsidR="00995887" w:rsidRPr="00140A0A" w:rsidRDefault="00995887" w:rsidP="00366663">
            <w:pPr>
              <w:spacing w:line="60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0A0A">
              <w:rPr>
                <w:rFonts w:ascii="Arial" w:hAnsi="Arial" w:cs="Arial"/>
                <w:sz w:val="20"/>
                <w:szCs w:val="20"/>
              </w:rPr>
              <w:t>30 (65.2)</w:t>
            </w:r>
          </w:p>
        </w:tc>
      </w:tr>
      <w:tr w:rsidR="00995887" w:rsidRPr="00140A0A" w14:paraId="4C1F10B5" w14:textId="77777777" w:rsidTr="0081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4" w:type="dxa"/>
          </w:tcPr>
          <w:p w14:paraId="12B78145" w14:textId="77777777" w:rsidR="00995887" w:rsidRPr="00140A0A" w:rsidRDefault="00995887" w:rsidP="00366663">
            <w:pPr>
              <w:spacing w:line="600" w:lineRule="auto"/>
              <w:rPr>
                <w:rFonts w:ascii="Arial" w:hAnsi="Arial" w:cs="Arial"/>
                <w:sz w:val="20"/>
                <w:szCs w:val="20"/>
              </w:rPr>
            </w:pPr>
            <w:r w:rsidRPr="00140A0A">
              <w:rPr>
                <w:rFonts w:ascii="Arial" w:hAnsi="Arial" w:cs="Arial"/>
                <w:sz w:val="20"/>
                <w:szCs w:val="20"/>
              </w:rPr>
              <w:t>Haemoglobin &lt;8 g/dL</w:t>
            </w:r>
          </w:p>
        </w:tc>
        <w:tc>
          <w:tcPr>
            <w:tcW w:w="4824" w:type="dxa"/>
          </w:tcPr>
          <w:p w14:paraId="24E6FA5A" w14:textId="77777777" w:rsidR="00995887" w:rsidRPr="00140A0A" w:rsidRDefault="00995887" w:rsidP="00366663">
            <w:pPr>
              <w:spacing w:line="60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0A0A">
              <w:rPr>
                <w:rFonts w:ascii="Arial" w:hAnsi="Arial" w:cs="Arial"/>
                <w:sz w:val="20"/>
                <w:szCs w:val="20"/>
              </w:rPr>
              <w:t>16 (34.8)</w:t>
            </w:r>
          </w:p>
        </w:tc>
      </w:tr>
      <w:tr w:rsidR="00995887" w:rsidRPr="00140A0A" w14:paraId="66936DCB" w14:textId="77777777" w:rsidTr="00810D2B">
        <w:tc>
          <w:tcPr>
            <w:cnfStyle w:val="001000000000" w:firstRow="0" w:lastRow="0" w:firstColumn="1" w:lastColumn="0" w:oddVBand="0" w:evenVBand="0" w:oddHBand="0" w:evenHBand="0" w:firstRowFirstColumn="0" w:firstRowLastColumn="0" w:lastRowFirstColumn="0" w:lastRowLastColumn="0"/>
            <w:tcW w:w="4824" w:type="dxa"/>
          </w:tcPr>
          <w:p w14:paraId="5ED0CA91" w14:textId="77777777" w:rsidR="00995887" w:rsidRPr="00140A0A" w:rsidRDefault="00995887" w:rsidP="00366663">
            <w:pPr>
              <w:spacing w:line="600" w:lineRule="auto"/>
              <w:rPr>
                <w:rFonts w:ascii="Arial" w:hAnsi="Arial" w:cs="Arial"/>
                <w:sz w:val="20"/>
                <w:szCs w:val="20"/>
              </w:rPr>
            </w:pPr>
            <w:r w:rsidRPr="00140A0A">
              <w:rPr>
                <w:rFonts w:ascii="Arial" w:hAnsi="Arial" w:cs="Arial"/>
                <w:sz w:val="20"/>
                <w:szCs w:val="20"/>
              </w:rPr>
              <w:lastRenderedPageBreak/>
              <w:t>Platelet count &lt;100 ×10⁹/L</w:t>
            </w:r>
          </w:p>
        </w:tc>
        <w:tc>
          <w:tcPr>
            <w:tcW w:w="4824" w:type="dxa"/>
          </w:tcPr>
          <w:p w14:paraId="0AF7FC37" w14:textId="77777777" w:rsidR="00995887" w:rsidRPr="00140A0A" w:rsidRDefault="00995887" w:rsidP="00366663">
            <w:pPr>
              <w:spacing w:line="60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0A0A">
              <w:rPr>
                <w:rFonts w:ascii="Arial" w:hAnsi="Arial" w:cs="Arial"/>
                <w:sz w:val="20"/>
                <w:szCs w:val="20"/>
              </w:rPr>
              <w:t>11 (23.9)</w:t>
            </w:r>
          </w:p>
        </w:tc>
      </w:tr>
      <w:tr w:rsidR="00995887" w:rsidRPr="00140A0A" w14:paraId="43339C82" w14:textId="77777777" w:rsidTr="0081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4" w:type="dxa"/>
          </w:tcPr>
          <w:p w14:paraId="40E7FE35" w14:textId="77777777" w:rsidR="00995887" w:rsidRPr="00140A0A" w:rsidRDefault="00995887" w:rsidP="00366663">
            <w:pPr>
              <w:spacing w:line="600" w:lineRule="auto"/>
              <w:rPr>
                <w:rFonts w:ascii="Arial" w:hAnsi="Arial" w:cs="Arial"/>
                <w:sz w:val="20"/>
                <w:szCs w:val="20"/>
              </w:rPr>
            </w:pPr>
            <w:r w:rsidRPr="00140A0A">
              <w:rPr>
                <w:rFonts w:ascii="Arial" w:hAnsi="Arial" w:cs="Arial"/>
                <w:sz w:val="20"/>
                <w:szCs w:val="20"/>
              </w:rPr>
              <w:t>WBC &gt;11 ×10⁹/L</w:t>
            </w:r>
          </w:p>
        </w:tc>
        <w:tc>
          <w:tcPr>
            <w:tcW w:w="4824" w:type="dxa"/>
          </w:tcPr>
          <w:p w14:paraId="1F0FFB97" w14:textId="77777777" w:rsidR="00995887" w:rsidRPr="00140A0A" w:rsidRDefault="00995887" w:rsidP="00366663">
            <w:pPr>
              <w:spacing w:line="60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0A0A">
              <w:rPr>
                <w:rFonts w:ascii="Arial" w:hAnsi="Arial" w:cs="Arial"/>
                <w:sz w:val="20"/>
                <w:szCs w:val="20"/>
              </w:rPr>
              <w:t>45 (97.8)</w:t>
            </w:r>
          </w:p>
        </w:tc>
      </w:tr>
    </w:tbl>
    <w:p w14:paraId="77746613" w14:textId="77777777" w:rsidR="00995887" w:rsidRPr="00140A0A" w:rsidRDefault="00995887" w:rsidP="00366663">
      <w:pPr>
        <w:spacing w:line="600" w:lineRule="auto"/>
        <w:rPr>
          <w:rFonts w:ascii="Arial" w:hAnsi="Arial" w:cs="Arial"/>
          <w:i/>
          <w:iCs/>
          <w:sz w:val="18"/>
          <w:szCs w:val="18"/>
        </w:rPr>
      </w:pPr>
      <w:r w:rsidRPr="00140A0A">
        <w:rPr>
          <w:rFonts w:ascii="Arial" w:hAnsi="Arial" w:cs="Arial"/>
          <w:i/>
          <w:iCs/>
          <w:sz w:val="18"/>
          <w:szCs w:val="18"/>
        </w:rPr>
        <w:t>Data are presented as n (%) unless otherwise stated.</w:t>
      </w:r>
    </w:p>
    <w:p w14:paraId="2D956897" w14:textId="77777777" w:rsidR="00995887" w:rsidRPr="00140A0A" w:rsidRDefault="00995887" w:rsidP="00366663">
      <w:pPr>
        <w:spacing w:line="600" w:lineRule="auto"/>
        <w:rPr>
          <w:rFonts w:ascii="Arial" w:hAnsi="Arial" w:cs="Arial"/>
          <w:sz w:val="20"/>
          <w:szCs w:val="20"/>
        </w:rPr>
      </w:pPr>
    </w:p>
    <w:p w14:paraId="61C4542C" w14:textId="0671D90B" w:rsidR="00995887" w:rsidRPr="00140A0A" w:rsidRDefault="00741EEC" w:rsidP="00741EEC">
      <w:pPr>
        <w:spacing w:line="600" w:lineRule="auto"/>
        <w:jc w:val="center"/>
        <w:rPr>
          <w:rFonts w:ascii="Arial" w:hAnsi="Arial" w:cs="Arial"/>
          <w:sz w:val="20"/>
          <w:szCs w:val="20"/>
        </w:rPr>
      </w:pPr>
      <w:r>
        <w:rPr>
          <w:noProof/>
        </w:rPr>
        <w:drawing>
          <wp:inline distT="0" distB="0" distL="0" distR="0" wp14:anchorId="58A024BB" wp14:editId="052F5A40">
            <wp:extent cx="4572000" cy="2743200"/>
            <wp:effectExtent l="0" t="0" r="0" b="0"/>
            <wp:docPr id="1435168219" name="Chart 1">
              <a:extLst xmlns:a="http://schemas.openxmlformats.org/drawingml/2006/main">
                <a:ext uri="{FF2B5EF4-FFF2-40B4-BE49-F238E27FC236}">
                  <a16:creationId xmlns:a16="http://schemas.microsoft.com/office/drawing/2014/main" id="{78EECC7A-3C9E-D077-3D52-3917095965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DE7FC5" w14:textId="1250A0D1" w:rsidR="00810D2B" w:rsidRPr="00140A0A" w:rsidRDefault="00810D2B" w:rsidP="00366663">
      <w:pPr>
        <w:spacing w:line="600" w:lineRule="auto"/>
        <w:rPr>
          <w:rFonts w:ascii="Arial" w:hAnsi="Arial" w:cs="Arial"/>
          <w:b/>
          <w:bCs/>
          <w:sz w:val="20"/>
          <w:szCs w:val="20"/>
        </w:rPr>
      </w:pPr>
      <w:r w:rsidRPr="00140A0A">
        <w:rPr>
          <w:rFonts w:ascii="Arial" w:hAnsi="Arial" w:cs="Arial"/>
          <w:b/>
          <w:bCs/>
          <w:sz w:val="20"/>
          <w:szCs w:val="20"/>
        </w:rPr>
        <w:t>Figure 1. Rai stage distribution at presentation</w:t>
      </w:r>
    </w:p>
    <w:p w14:paraId="0F59E9CD" w14:textId="5A386661" w:rsidR="001A3C30" w:rsidRPr="00140A0A" w:rsidRDefault="00995887" w:rsidP="00D9764A">
      <w:pPr>
        <w:spacing w:line="600" w:lineRule="auto"/>
        <w:jc w:val="both"/>
        <w:rPr>
          <w:rFonts w:ascii="Arial" w:hAnsi="Arial" w:cs="Arial"/>
          <w:i/>
          <w:iCs/>
          <w:sz w:val="18"/>
          <w:szCs w:val="18"/>
        </w:rPr>
      </w:pPr>
      <w:r w:rsidRPr="00140A0A">
        <w:rPr>
          <w:rFonts w:ascii="Arial" w:hAnsi="Arial" w:cs="Arial"/>
          <w:i/>
          <w:iCs/>
          <w:sz w:val="18"/>
          <w:szCs w:val="18"/>
        </w:rPr>
        <w:t>Bar chart showing the distribution of Rai stage at diagnosis among patients with chronic lymphocytic leukaemia in the cohort. Most patients presented with advanced-stage disease (Rai stage III–IV), indicating delayed specialist presentation and substantial disease burden at first evaluation.</w:t>
      </w:r>
    </w:p>
    <w:p w14:paraId="31FD25DF" w14:textId="7D06D3E6" w:rsidR="001A3C30" w:rsidRPr="00140A0A" w:rsidRDefault="0013695D" w:rsidP="00366663">
      <w:pPr>
        <w:spacing w:line="600" w:lineRule="auto"/>
        <w:rPr>
          <w:rFonts w:ascii="Arial" w:hAnsi="Arial" w:cs="Arial"/>
          <w:sz w:val="20"/>
          <w:szCs w:val="20"/>
        </w:rPr>
      </w:pPr>
      <w:r>
        <w:rPr>
          <w:noProof/>
        </w:rPr>
        <w:lastRenderedPageBreak/>
        <w:drawing>
          <wp:inline distT="0" distB="0" distL="0" distR="0" wp14:anchorId="09FC1D43" wp14:editId="214AE0E3">
            <wp:extent cx="4572000" cy="2743200"/>
            <wp:effectExtent l="0" t="0" r="0" b="0"/>
            <wp:docPr id="30119650" name="Chart 1">
              <a:extLst xmlns:a="http://schemas.openxmlformats.org/drawingml/2006/main">
                <a:ext uri="{FF2B5EF4-FFF2-40B4-BE49-F238E27FC236}">
                  <a16:creationId xmlns:a16="http://schemas.microsoft.com/office/drawing/2014/main" id="{D9BDA4C8-EB3D-6863-9887-EC834CCF87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4B1220" w14:textId="1F9B3B9E" w:rsidR="001A3C30" w:rsidRPr="00140A0A" w:rsidRDefault="001A3C30" w:rsidP="00366663">
      <w:pPr>
        <w:spacing w:line="600" w:lineRule="auto"/>
        <w:jc w:val="both"/>
        <w:rPr>
          <w:rFonts w:ascii="Arial" w:hAnsi="Arial" w:cs="Arial"/>
          <w:b/>
          <w:bCs/>
          <w:sz w:val="20"/>
          <w:szCs w:val="20"/>
        </w:rPr>
      </w:pPr>
      <w:r w:rsidRPr="00140A0A">
        <w:rPr>
          <w:rFonts w:ascii="Arial" w:hAnsi="Arial" w:cs="Arial"/>
          <w:b/>
          <w:bCs/>
          <w:sz w:val="20"/>
          <w:szCs w:val="20"/>
        </w:rPr>
        <w:t>Figure 2: Availability of Immunophenotyping</w:t>
      </w:r>
      <w:r w:rsidR="0013695D">
        <w:rPr>
          <w:rFonts w:ascii="Arial" w:hAnsi="Arial" w:cs="Arial"/>
          <w:b/>
          <w:bCs/>
          <w:sz w:val="20"/>
          <w:szCs w:val="20"/>
        </w:rPr>
        <w:t xml:space="preserve"> for CLL patients</w:t>
      </w:r>
      <w:r w:rsidRPr="00140A0A">
        <w:rPr>
          <w:rFonts w:ascii="Arial" w:hAnsi="Arial" w:cs="Arial"/>
          <w:b/>
          <w:bCs/>
          <w:sz w:val="20"/>
          <w:szCs w:val="20"/>
        </w:rPr>
        <w:t xml:space="preserve"> </w:t>
      </w:r>
    </w:p>
    <w:p w14:paraId="331EB90C" w14:textId="5FCAA148" w:rsidR="000E004C" w:rsidRPr="00140A0A" w:rsidRDefault="009442C4" w:rsidP="00366663">
      <w:pPr>
        <w:spacing w:line="600" w:lineRule="auto"/>
        <w:jc w:val="both"/>
        <w:rPr>
          <w:rFonts w:ascii="Arial" w:hAnsi="Arial" w:cs="Arial"/>
          <w:sz w:val="20"/>
          <w:szCs w:val="20"/>
        </w:rPr>
      </w:pPr>
      <w:r w:rsidRPr="00140A0A">
        <w:rPr>
          <w:rFonts w:ascii="Arial" w:hAnsi="Arial" w:cs="Arial"/>
          <w:sz w:val="20"/>
          <w:szCs w:val="20"/>
        </w:rPr>
        <w:t xml:space="preserve">Using </w:t>
      </w:r>
      <w:r w:rsidR="000A7C4A" w:rsidRPr="00140A0A">
        <w:rPr>
          <w:rFonts w:ascii="Arial" w:hAnsi="Arial" w:cs="Arial"/>
          <w:sz w:val="20"/>
          <w:szCs w:val="20"/>
        </w:rPr>
        <w:t xml:space="preserve">Rai staging, 35 (76.1%) had stage III–IV disease, including 24 (52.2%) with stage III and 11 (23.9%) with stage IV disease. </w:t>
      </w:r>
      <w:r w:rsidR="00876D7B" w:rsidRPr="00140A0A">
        <w:rPr>
          <w:rFonts w:ascii="Arial" w:hAnsi="Arial" w:cs="Arial"/>
          <w:sz w:val="20"/>
          <w:szCs w:val="20"/>
        </w:rPr>
        <w:t>With</w:t>
      </w:r>
      <w:r w:rsidR="000A7C4A" w:rsidRPr="00140A0A">
        <w:rPr>
          <w:rFonts w:ascii="Arial" w:hAnsi="Arial" w:cs="Arial"/>
          <w:sz w:val="20"/>
          <w:szCs w:val="20"/>
        </w:rPr>
        <w:t xml:space="preserve"> Binet staging, 25 (54.3%) had stage C disease, 16(34.8%) had stage B </w:t>
      </w:r>
      <w:r w:rsidR="004D549C" w:rsidRPr="00140A0A">
        <w:rPr>
          <w:rFonts w:ascii="Arial" w:hAnsi="Arial" w:cs="Arial"/>
          <w:sz w:val="20"/>
          <w:szCs w:val="20"/>
        </w:rPr>
        <w:t xml:space="preserve">while </w:t>
      </w:r>
      <w:r w:rsidR="000A7C4A" w:rsidRPr="00140A0A">
        <w:rPr>
          <w:rFonts w:ascii="Arial" w:hAnsi="Arial" w:cs="Arial"/>
          <w:sz w:val="20"/>
          <w:szCs w:val="20"/>
        </w:rPr>
        <w:t>4 (8.7%) had stage A disease</w:t>
      </w:r>
      <w:r w:rsidR="00876D7B" w:rsidRPr="00140A0A">
        <w:rPr>
          <w:rFonts w:ascii="Arial" w:hAnsi="Arial" w:cs="Arial"/>
          <w:sz w:val="20"/>
          <w:szCs w:val="20"/>
        </w:rPr>
        <w:t>, (see Figure 1).</w:t>
      </w:r>
      <w:r w:rsidR="00A9478D" w:rsidRPr="00140A0A">
        <w:rPr>
          <w:rFonts w:ascii="Arial" w:hAnsi="Arial" w:cs="Arial"/>
          <w:sz w:val="20"/>
          <w:szCs w:val="20"/>
        </w:rPr>
        <w:t xml:space="preserve"> </w:t>
      </w:r>
      <w:r w:rsidR="00907FCA" w:rsidRPr="00907FCA">
        <w:rPr>
          <w:rFonts w:ascii="Arial" w:hAnsi="Arial" w:cs="Arial"/>
          <w:sz w:val="20"/>
          <w:szCs w:val="20"/>
          <w:highlight w:val="yellow"/>
        </w:rPr>
        <w:t>CD20 status was not performed for 37 patients (80.4%); only 8 patients (17.4%) had CD20 performed,</w:t>
      </w:r>
      <w:r w:rsidR="00CC312B" w:rsidRPr="00907FCA">
        <w:rPr>
          <w:rFonts w:ascii="Arial" w:hAnsi="Arial" w:cs="Arial"/>
          <w:sz w:val="20"/>
          <w:szCs w:val="20"/>
          <w:highlight w:val="yellow"/>
        </w:rPr>
        <w:t xml:space="preserve"> which was positive in all cases.</w:t>
      </w:r>
      <w:r w:rsidR="00CC312B" w:rsidRPr="00140A0A">
        <w:rPr>
          <w:rFonts w:ascii="Arial" w:hAnsi="Arial" w:cs="Arial"/>
          <w:sz w:val="20"/>
          <w:szCs w:val="20"/>
        </w:rPr>
        <w:t xml:space="preserve"> CD3 results were available in only 3 patients, of whom 2 (4.3%) were negative and 1 (2.2%) was positive. CD5 and CD45 positivity were each documented in only 1 patient (2.2%) while CD10 was not done for any patient.</w:t>
      </w:r>
    </w:p>
    <w:p w14:paraId="4AF79036" w14:textId="5B87BAA5" w:rsidR="00DD4458" w:rsidRPr="00140A0A" w:rsidRDefault="003A2916" w:rsidP="00366663">
      <w:pPr>
        <w:spacing w:line="600" w:lineRule="auto"/>
        <w:jc w:val="both"/>
        <w:rPr>
          <w:rFonts w:ascii="Arial" w:hAnsi="Arial" w:cs="Arial"/>
          <w:sz w:val="20"/>
          <w:szCs w:val="20"/>
        </w:rPr>
      </w:pPr>
      <w:r w:rsidRPr="00140A0A">
        <w:rPr>
          <w:rFonts w:ascii="Arial" w:hAnsi="Arial" w:cs="Arial"/>
          <w:sz w:val="20"/>
          <w:szCs w:val="20"/>
        </w:rPr>
        <w:t>Overall, 38</w:t>
      </w:r>
      <w:r w:rsidR="00A9478D" w:rsidRPr="00140A0A">
        <w:rPr>
          <w:rFonts w:ascii="Arial" w:hAnsi="Arial" w:cs="Arial"/>
          <w:sz w:val="20"/>
          <w:szCs w:val="20"/>
        </w:rPr>
        <w:t xml:space="preserve"> </w:t>
      </w:r>
      <w:r w:rsidRPr="00140A0A">
        <w:rPr>
          <w:rFonts w:ascii="Arial" w:hAnsi="Arial" w:cs="Arial"/>
          <w:sz w:val="20"/>
          <w:szCs w:val="20"/>
        </w:rPr>
        <w:t>(82.6%)</w:t>
      </w:r>
      <w:r w:rsidR="00A9478D" w:rsidRPr="00140A0A">
        <w:rPr>
          <w:rFonts w:ascii="Arial" w:hAnsi="Arial" w:cs="Arial"/>
          <w:sz w:val="20"/>
          <w:szCs w:val="20"/>
        </w:rPr>
        <w:t xml:space="preserve"> </w:t>
      </w:r>
      <w:r w:rsidR="00963C7F" w:rsidRPr="00140A0A">
        <w:rPr>
          <w:rFonts w:ascii="Arial" w:hAnsi="Arial" w:cs="Arial"/>
          <w:sz w:val="20"/>
          <w:szCs w:val="20"/>
        </w:rPr>
        <w:t>received treatment</w:t>
      </w:r>
      <w:r w:rsidR="00A9478D" w:rsidRPr="00140A0A">
        <w:rPr>
          <w:rFonts w:ascii="Arial" w:hAnsi="Arial" w:cs="Arial"/>
          <w:sz w:val="20"/>
          <w:szCs w:val="20"/>
        </w:rPr>
        <w:t xml:space="preserve"> </w:t>
      </w:r>
      <w:r w:rsidRPr="00140A0A">
        <w:rPr>
          <w:rFonts w:ascii="Arial" w:hAnsi="Arial" w:cs="Arial"/>
          <w:sz w:val="20"/>
          <w:szCs w:val="20"/>
        </w:rPr>
        <w:t xml:space="preserve">while 8 (17.4%) </w:t>
      </w:r>
      <w:r w:rsidR="00963C7F" w:rsidRPr="00140A0A">
        <w:rPr>
          <w:rFonts w:ascii="Arial" w:hAnsi="Arial" w:cs="Arial"/>
          <w:sz w:val="20"/>
          <w:szCs w:val="20"/>
        </w:rPr>
        <w:t>were</w:t>
      </w:r>
      <w:r w:rsidRPr="00140A0A">
        <w:rPr>
          <w:rFonts w:ascii="Arial" w:hAnsi="Arial" w:cs="Arial"/>
          <w:sz w:val="20"/>
          <w:szCs w:val="20"/>
        </w:rPr>
        <w:t xml:space="preserve"> no</w:t>
      </w:r>
      <w:r w:rsidR="00963C7F" w:rsidRPr="00140A0A">
        <w:rPr>
          <w:rFonts w:ascii="Arial" w:hAnsi="Arial" w:cs="Arial"/>
          <w:sz w:val="20"/>
          <w:szCs w:val="20"/>
        </w:rPr>
        <w:t>t</w:t>
      </w:r>
      <w:r w:rsidRPr="00140A0A">
        <w:rPr>
          <w:rFonts w:ascii="Arial" w:hAnsi="Arial" w:cs="Arial"/>
          <w:sz w:val="20"/>
          <w:szCs w:val="20"/>
        </w:rPr>
        <w:t xml:space="preserve"> treat</w:t>
      </w:r>
      <w:r w:rsidR="00963C7F" w:rsidRPr="00140A0A">
        <w:rPr>
          <w:rFonts w:ascii="Arial" w:hAnsi="Arial" w:cs="Arial"/>
          <w:sz w:val="20"/>
          <w:szCs w:val="20"/>
        </w:rPr>
        <w:t>ed</w:t>
      </w:r>
      <w:r w:rsidRPr="00140A0A">
        <w:rPr>
          <w:rFonts w:ascii="Arial" w:hAnsi="Arial" w:cs="Arial"/>
          <w:sz w:val="20"/>
          <w:szCs w:val="20"/>
        </w:rPr>
        <w:t xml:space="preserve">. </w:t>
      </w:r>
      <w:r w:rsidR="00963C7F" w:rsidRPr="00140A0A">
        <w:rPr>
          <w:rFonts w:ascii="Arial" w:hAnsi="Arial" w:cs="Arial"/>
          <w:sz w:val="20"/>
          <w:szCs w:val="20"/>
        </w:rPr>
        <w:t xml:space="preserve">The most frequently prescribed regimen was chlorambucil </w:t>
      </w:r>
      <w:r w:rsidR="00470227" w:rsidRPr="00140A0A">
        <w:rPr>
          <w:rFonts w:ascii="Arial" w:hAnsi="Arial" w:cs="Arial"/>
          <w:sz w:val="20"/>
          <w:szCs w:val="20"/>
        </w:rPr>
        <w:t>and</w:t>
      </w:r>
      <w:r w:rsidR="00963C7F" w:rsidRPr="00140A0A">
        <w:rPr>
          <w:rFonts w:ascii="Arial" w:hAnsi="Arial" w:cs="Arial"/>
          <w:sz w:val="20"/>
          <w:szCs w:val="20"/>
        </w:rPr>
        <w:t xml:space="preserve"> prednisolone (CP) in 13 (28.3%) </w:t>
      </w:r>
      <w:r w:rsidR="00470227" w:rsidRPr="00140A0A">
        <w:rPr>
          <w:rFonts w:ascii="Arial" w:hAnsi="Arial" w:cs="Arial"/>
          <w:sz w:val="20"/>
          <w:szCs w:val="20"/>
        </w:rPr>
        <w:t xml:space="preserve">patients, </w:t>
      </w:r>
      <w:r w:rsidR="00963C7F" w:rsidRPr="00140A0A">
        <w:rPr>
          <w:rFonts w:ascii="Arial" w:hAnsi="Arial" w:cs="Arial"/>
          <w:sz w:val="20"/>
          <w:szCs w:val="20"/>
        </w:rPr>
        <w:t xml:space="preserve">followed by cyclophosphamide </w:t>
      </w:r>
      <w:r w:rsidR="00470227" w:rsidRPr="00140A0A">
        <w:rPr>
          <w:rFonts w:ascii="Arial" w:hAnsi="Arial" w:cs="Arial"/>
          <w:sz w:val="20"/>
          <w:szCs w:val="20"/>
        </w:rPr>
        <w:t>and</w:t>
      </w:r>
      <w:r w:rsidR="00963C7F" w:rsidRPr="00140A0A">
        <w:rPr>
          <w:rFonts w:ascii="Arial" w:hAnsi="Arial" w:cs="Arial"/>
          <w:sz w:val="20"/>
          <w:szCs w:val="20"/>
        </w:rPr>
        <w:t xml:space="preserve"> prednisolone (</w:t>
      </w:r>
      <w:proofErr w:type="spellStart"/>
      <w:r w:rsidR="00963C7F" w:rsidRPr="00140A0A">
        <w:rPr>
          <w:rFonts w:ascii="Arial" w:hAnsi="Arial" w:cs="Arial"/>
          <w:sz w:val="20"/>
          <w:szCs w:val="20"/>
        </w:rPr>
        <w:t>CyP</w:t>
      </w:r>
      <w:proofErr w:type="spellEnd"/>
      <w:r w:rsidR="00963C7F" w:rsidRPr="00140A0A">
        <w:rPr>
          <w:rFonts w:ascii="Arial" w:hAnsi="Arial" w:cs="Arial"/>
          <w:sz w:val="20"/>
          <w:szCs w:val="20"/>
        </w:rPr>
        <w:t xml:space="preserve">) in 7 (15.2%), </w:t>
      </w:r>
      <w:r w:rsidR="00470227" w:rsidRPr="00140A0A">
        <w:rPr>
          <w:rFonts w:ascii="Arial" w:hAnsi="Arial" w:cs="Arial"/>
          <w:sz w:val="20"/>
          <w:szCs w:val="20"/>
        </w:rPr>
        <w:t>cyclophosphamide, oncovin, prednisolone (</w:t>
      </w:r>
      <w:r w:rsidR="00963C7F" w:rsidRPr="00140A0A">
        <w:rPr>
          <w:rFonts w:ascii="Arial" w:hAnsi="Arial" w:cs="Arial"/>
          <w:sz w:val="20"/>
          <w:szCs w:val="20"/>
        </w:rPr>
        <w:t>COP</w:t>
      </w:r>
      <w:r w:rsidR="00470227" w:rsidRPr="00140A0A">
        <w:rPr>
          <w:rFonts w:ascii="Arial" w:hAnsi="Arial" w:cs="Arial"/>
          <w:sz w:val="20"/>
          <w:szCs w:val="20"/>
        </w:rPr>
        <w:t>) was</w:t>
      </w:r>
      <w:r w:rsidR="00963C7F" w:rsidRPr="00140A0A">
        <w:rPr>
          <w:rFonts w:ascii="Arial" w:hAnsi="Arial" w:cs="Arial"/>
          <w:sz w:val="20"/>
          <w:szCs w:val="20"/>
        </w:rPr>
        <w:t xml:space="preserve"> </w:t>
      </w:r>
      <w:r w:rsidR="00470227" w:rsidRPr="00140A0A">
        <w:rPr>
          <w:rFonts w:ascii="Arial" w:hAnsi="Arial" w:cs="Arial"/>
          <w:sz w:val="20"/>
          <w:szCs w:val="20"/>
        </w:rPr>
        <w:t>used for</w:t>
      </w:r>
      <w:r w:rsidR="00963C7F" w:rsidRPr="00140A0A">
        <w:rPr>
          <w:rFonts w:ascii="Arial" w:hAnsi="Arial" w:cs="Arial"/>
          <w:sz w:val="20"/>
          <w:szCs w:val="20"/>
        </w:rPr>
        <w:t xml:space="preserve"> 5 (10.9%), and</w:t>
      </w:r>
      <w:r w:rsidR="00470227" w:rsidRPr="00140A0A">
        <w:rPr>
          <w:rFonts w:ascii="Arial" w:hAnsi="Arial" w:cs="Arial"/>
          <w:sz w:val="20"/>
          <w:szCs w:val="20"/>
        </w:rPr>
        <w:t xml:space="preserve"> cyclophosphamide, </w:t>
      </w:r>
      <w:proofErr w:type="spellStart"/>
      <w:r w:rsidR="00470227" w:rsidRPr="00140A0A">
        <w:rPr>
          <w:rFonts w:ascii="Arial" w:hAnsi="Arial" w:cs="Arial"/>
          <w:sz w:val="20"/>
          <w:szCs w:val="20"/>
        </w:rPr>
        <w:t>hydroxodaunorubicin</w:t>
      </w:r>
      <w:proofErr w:type="spellEnd"/>
      <w:r w:rsidR="00470227" w:rsidRPr="00140A0A">
        <w:rPr>
          <w:rFonts w:ascii="Arial" w:hAnsi="Arial" w:cs="Arial"/>
          <w:sz w:val="20"/>
          <w:szCs w:val="20"/>
        </w:rPr>
        <w:t>, oncovin, prednisolone</w:t>
      </w:r>
      <w:r w:rsidR="00963C7F" w:rsidRPr="00140A0A">
        <w:rPr>
          <w:rFonts w:ascii="Arial" w:hAnsi="Arial" w:cs="Arial"/>
          <w:sz w:val="20"/>
          <w:szCs w:val="20"/>
        </w:rPr>
        <w:t xml:space="preserve"> </w:t>
      </w:r>
      <w:r w:rsidR="00470227" w:rsidRPr="00140A0A">
        <w:rPr>
          <w:rFonts w:ascii="Arial" w:hAnsi="Arial" w:cs="Arial"/>
          <w:sz w:val="20"/>
          <w:szCs w:val="20"/>
        </w:rPr>
        <w:t>(</w:t>
      </w:r>
      <w:r w:rsidR="00963C7F" w:rsidRPr="00140A0A">
        <w:rPr>
          <w:rFonts w:ascii="Arial" w:hAnsi="Arial" w:cs="Arial"/>
          <w:sz w:val="20"/>
          <w:szCs w:val="20"/>
        </w:rPr>
        <w:t>CHOP</w:t>
      </w:r>
      <w:r w:rsidR="00470227" w:rsidRPr="00140A0A">
        <w:rPr>
          <w:rFonts w:ascii="Arial" w:hAnsi="Arial" w:cs="Arial"/>
          <w:sz w:val="20"/>
          <w:szCs w:val="20"/>
        </w:rPr>
        <w:t>)</w:t>
      </w:r>
      <w:r w:rsidR="00963C7F" w:rsidRPr="00140A0A">
        <w:rPr>
          <w:rFonts w:ascii="Arial" w:hAnsi="Arial" w:cs="Arial"/>
          <w:sz w:val="20"/>
          <w:szCs w:val="20"/>
        </w:rPr>
        <w:t xml:space="preserve"> in 4 (8.7%)</w:t>
      </w:r>
      <w:r w:rsidR="00470227" w:rsidRPr="00140A0A">
        <w:rPr>
          <w:rFonts w:ascii="Arial" w:hAnsi="Arial" w:cs="Arial"/>
          <w:sz w:val="20"/>
          <w:szCs w:val="20"/>
        </w:rPr>
        <w:t xml:space="preserve"> cases</w:t>
      </w:r>
      <w:r w:rsidR="00963C7F" w:rsidRPr="00140A0A">
        <w:rPr>
          <w:rFonts w:ascii="Arial" w:hAnsi="Arial" w:cs="Arial"/>
          <w:sz w:val="20"/>
          <w:szCs w:val="20"/>
        </w:rPr>
        <w:t xml:space="preserve">. </w:t>
      </w:r>
      <w:r w:rsidR="00470227" w:rsidRPr="00140A0A">
        <w:rPr>
          <w:rFonts w:ascii="Arial" w:hAnsi="Arial" w:cs="Arial"/>
          <w:sz w:val="20"/>
          <w:szCs w:val="20"/>
        </w:rPr>
        <w:t xml:space="preserve">Two patients (4.3%) received vincristine plus prednisolone (VP). </w:t>
      </w:r>
      <w:r w:rsidR="00963C7F" w:rsidRPr="00140A0A">
        <w:rPr>
          <w:rFonts w:ascii="Arial" w:hAnsi="Arial" w:cs="Arial"/>
          <w:sz w:val="20"/>
          <w:szCs w:val="20"/>
        </w:rPr>
        <w:t>Rituximab-</w:t>
      </w:r>
      <w:r w:rsidR="00470227" w:rsidRPr="00140A0A">
        <w:rPr>
          <w:rFonts w:ascii="Arial" w:hAnsi="Arial" w:cs="Arial"/>
          <w:sz w:val="20"/>
          <w:szCs w:val="20"/>
        </w:rPr>
        <w:t xml:space="preserve"> (R) </w:t>
      </w:r>
      <w:r w:rsidR="00963C7F" w:rsidRPr="00140A0A">
        <w:rPr>
          <w:rFonts w:ascii="Arial" w:hAnsi="Arial" w:cs="Arial"/>
          <w:sz w:val="20"/>
          <w:szCs w:val="20"/>
        </w:rPr>
        <w:t>containing or targeted regimens were less commonly used</w:t>
      </w:r>
      <w:r w:rsidR="007D16FC" w:rsidRPr="00F70291">
        <w:rPr>
          <w:rFonts w:ascii="Arial" w:hAnsi="Arial" w:cs="Arial"/>
          <w:sz w:val="20"/>
          <w:szCs w:val="20"/>
        </w:rPr>
        <w:t xml:space="preserve">, </w:t>
      </w:r>
      <w:r w:rsidR="00E012B8" w:rsidRPr="00F70291">
        <w:rPr>
          <w:rFonts w:ascii="Arial" w:hAnsi="Arial" w:cs="Arial"/>
          <w:sz w:val="20"/>
          <w:szCs w:val="20"/>
        </w:rPr>
        <w:t>o</w:t>
      </w:r>
      <w:r w:rsidR="007D16FC" w:rsidRPr="00F70291">
        <w:rPr>
          <w:rFonts w:ascii="Arial" w:hAnsi="Arial" w:cs="Arial"/>
          <w:sz w:val="20"/>
          <w:szCs w:val="20"/>
        </w:rPr>
        <w:t xml:space="preserve">nly 6 </w:t>
      </w:r>
      <w:r w:rsidR="00907FCA" w:rsidRPr="00F70291">
        <w:rPr>
          <w:rFonts w:ascii="Arial" w:hAnsi="Arial" w:cs="Arial"/>
          <w:sz w:val="20"/>
          <w:szCs w:val="20"/>
        </w:rPr>
        <w:t>(13.0%) of total CLL patients</w:t>
      </w:r>
      <w:r w:rsidR="007D16FC" w:rsidRPr="00F70291">
        <w:rPr>
          <w:rFonts w:ascii="Arial" w:hAnsi="Arial" w:cs="Arial"/>
          <w:sz w:val="20"/>
          <w:szCs w:val="20"/>
        </w:rPr>
        <w:t xml:space="preserve"> </w:t>
      </w:r>
      <w:r w:rsidR="00907FCA" w:rsidRPr="001F04E7">
        <w:rPr>
          <w:rFonts w:ascii="Arial" w:hAnsi="Arial" w:cs="Arial"/>
          <w:color w:val="EE0000"/>
          <w:sz w:val="20"/>
          <w:szCs w:val="20"/>
        </w:rPr>
        <w:t xml:space="preserve">(and 6 of the 8 </w:t>
      </w:r>
      <w:r w:rsidR="00F70291" w:rsidRPr="001F04E7">
        <w:rPr>
          <w:rFonts w:ascii="Arial" w:hAnsi="Arial" w:cs="Arial"/>
          <w:color w:val="EE0000"/>
          <w:sz w:val="20"/>
          <w:szCs w:val="20"/>
        </w:rPr>
        <w:t xml:space="preserve">[75.0%] </w:t>
      </w:r>
      <w:r w:rsidR="00907FCA" w:rsidRPr="001F04E7">
        <w:rPr>
          <w:rFonts w:ascii="Arial" w:hAnsi="Arial" w:cs="Arial"/>
          <w:color w:val="EE0000"/>
          <w:sz w:val="20"/>
          <w:szCs w:val="20"/>
        </w:rPr>
        <w:t>patients who tested positive for CD20)</w:t>
      </w:r>
      <w:r w:rsidR="007D16FC" w:rsidRPr="001F04E7">
        <w:rPr>
          <w:rFonts w:ascii="Arial" w:hAnsi="Arial" w:cs="Arial"/>
          <w:color w:val="EE0000"/>
          <w:sz w:val="20"/>
          <w:szCs w:val="20"/>
        </w:rPr>
        <w:t xml:space="preserve"> received a rituximab-based regimen</w:t>
      </w:r>
      <w:r w:rsidR="00470227" w:rsidRPr="001F04E7">
        <w:rPr>
          <w:rFonts w:ascii="Arial" w:hAnsi="Arial" w:cs="Arial"/>
          <w:color w:val="EE0000"/>
          <w:sz w:val="20"/>
          <w:szCs w:val="20"/>
        </w:rPr>
        <w:t>:</w:t>
      </w:r>
      <w:r w:rsidR="00963C7F" w:rsidRPr="00F70291">
        <w:rPr>
          <w:rFonts w:ascii="Arial" w:hAnsi="Arial" w:cs="Arial"/>
          <w:b/>
          <w:bCs/>
          <w:color w:val="EE0000"/>
          <w:sz w:val="20"/>
          <w:szCs w:val="20"/>
        </w:rPr>
        <w:t xml:space="preserve"> </w:t>
      </w:r>
      <w:r w:rsidR="00963C7F" w:rsidRPr="00140A0A">
        <w:rPr>
          <w:rFonts w:ascii="Arial" w:hAnsi="Arial" w:cs="Arial"/>
          <w:sz w:val="20"/>
          <w:szCs w:val="20"/>
        </w:rPr>
        <w:t xml:space="preserve">R-ibrutinib in 3 patients (6.5%), R-CHOP in 2 (4.3%), R-COP in 1 </w:t>
      </w:r>
      <w:r w:rsidR="00963C7F" w:rsidRPr="00140A0A">
        <w:rPr>
          <w:rFonts w:ascii="Arial" w:hAnsi="Arial" w:cs="Arial"/>
          <w:sz w:val="20"/>
          <w:szCs w:val="20"/>
        </w:rPr>
        <w:lastRenderedPageBreak/>
        <w:t>(2.2%), and ibrutinib</w:t>
      </w:r>
      <w:r w:rsidR="00470227" w:rsidRPr="00140A0A">
        <w:rPr>
          <w:rFonts w:ascii="Arial" w:hAnsi="Arial" w:cs="Arial"/>
          <w:sz w:val="20"/>
          <w:szCs w:val="20"/>
        </w:rPr>
        <w:t xml:space="preserve"> plus </w:t>
      </w:r>
      <w:r w:rsidR="00963C7F" w:rsidRPr="00140A0A">
        <w:rPr>
          <w:rFonts w:ascii="Arial" w:hAnsi="Arial" w:cs="Arial"/>
          <w:sz w:val="20"/>
          <w:szCs w:val="20"/>
        </w:rPr>
        <w:t xml:space="preserve">venetoclax in 1 (2.2%). </w:t>
      </w:r>
      <w:r w:rsidR="00DD4458" w:rsidRPr="00140A0A">
        <w:rPr>
          <w:rFonts w:ascii="Arial" w:hAnsi="Arial" w:cs="Arial"/>
          <w:sz w:val="20"/>
          <w:szCs w:val="20"/>
        </w:rPr>
        <w:t>With regards to funding, treatment was financed out-of-pocket in majority of patients, n = 43 (93.5%), while 2 (4.3%) had company support and 1 (2.2%) had private health insurance support.</w:t>
      </w:r>
    </w:p>
    <w:p w14:paraId="66A9C3A0" w14:textId="5D5E2726" w:rsidR="00470227" w:rsidRPr="00140A0A" w:rsidRDefault="00470227" w:rsidP="00366663">
      <w:pPr>
        <w:spacing w:line="600" w:lineRule="auto"/>
        <w:rPr>
          <w:rFonts w:ascii="Arial" w:hAnsi="Arial" w:cs="Arial"/>
          <w:sz w:val="20"/>
          <w:szCs w:val="20"/>
        </w:rPr>
      </w:pPr>
    </w:p>
    <w:p w14:paraId="0010C3FC" w14:textId="1E3B5298" w:rsidR="00E012B8" w:rsidRPr="00140A0A" w:rsidRDefault="00E012B8" w:rsidP="00366663">
      <w:pPr>
        <w:spacing w:line="600" w:lineRule="auto"/>
        <w:rPr>
          <w:rFonts w:ascii="Arial" w:hAnsi="Arial" w:cs="Arial"/>
          <w:sz w:val="20"/>
          <w:szCs w:val="20"/>
        </w:rPr>
      </w:pPr>
    </w:p>
    <w:p w14:paraId="64DC65F6" w14:textId="7640868D" w:rsidR="00E012B8" w:rsidRPr="00140A0A" w:rsidRDefault="00E012B8" w:rsidP="00366663">
      <w:pPr>
        <w:spacing w:line="600" w:lineRule="auto"/>
        <w:rPr>
          <w:rFonts w:ascii="Arial" w:hAnsi="Arial" w:cs="Arial"/>
          <w:sz w:val="20"/>
          <w:szCs w:val="20"/>
        </w:rPr>
      </w:pPr>
    </w:p>
    <w:p w14:paraId="2476B68D" w14:textId="79460547" w:rsidR="00E012B8" w:rsidRPr="00140A0A" w:rsidRDefault="00E012B8" w:rsidP="00366663">
      <w:pPr>
        <w:spacing w:line="600" w:lineRule="auto"/>
        <w:rPr>
          <w:rFonts w:ascii="Arial" w:hAnsi="Arial" w:cs="Arial"/>
          <w:sz w:val="20"/>
          <w:szCs w:val="20"/>
        </w:rPr>
      </w:pPr>
    </w:p>
    <w:p w14:paraId="0E456EA1" w14:textId="18B1D774" w:rsidR="00E012B8" w:rsidRPr="00140A0A" w:rsidRDefault="00E012B8" w:rsidP="00366663">
      <w:pPr>
        <w:spacing w:line="600" w:lineRule="auto"/>
        <w:rPr>
          <w:rFonts w:ascii="Arial" w:hAnsi="Arial" w:cs="Arial"/>
          <w:sz w:val="20"/>
          <w:szCs w:val="20"/>
        </w:rPr>
      </w:pPr>
    </w:p>
    <w:p w14:paraId="79A3431F" w14:textId="77777777" w:rsidR="00E012B8" w:rsidRPr="00140A0A" w:rsidRDefault="00E012B8" w:rsidP="00366663">
      <w:pPr>
        <w:spacing w:line="600" w:lineRule="auto"/>
        <w:rPr>
          <w:rFonts w:ascii="Arial" w:hAnsi="Arial" w:cs="Arial"/>
          <w:sz w:val="20"/>
          <w:szCs w:val="20"/>
        </w:rPr>
      </w:pPr>
    </w:p>
    <w:p w14:paraId="592BA370" w14:textId="2BEE71B0" w:rsidR="00995887" w:rsidRPr="00140A0A" w:rsidRDefault="00995887" w:rsidP="00366663">
      <w:pPr>
        <w:spacing w:line="600" w:lineRule="auto"/>
        <w:rPr>
          <w:rFonts w:ascii="Arial" w:hAnsi="Arial" w:cs="Arial"/>
          <w:b/>
          <w:bCs/>
          <w:sz w:val="20"/>
          <w:szCs w:val="20"/>
        </w:rPr>
      </w:pPr>
      <w:r w:rsidRPr="00140A0A">
        <w:rPr>
          <w:rFonts w:ascii="Arial" w:hAnsi="Arial" w:cs="Arial"/>
          <w:b/>
          <w:bCs/>
          <w:sz w:val="20"/>
          <w:szCs w:val="20"/>
        </w:rPr>
        <w:t>Table 2. Treatment access and outcomes</w:t>
      </w:r>
    </w:p>
    <w:tbl>
      <w:tblPr>
        <w:tblStyle w:val="PlainTable5"/>
        <w:tblW w:w="0" w:type="auto"/>
        <w:jc w:val="center"/>
        <w:tblLook w:val="04A0" w:firstRow="1" w:lastRow="0" w:firstColumn="1" w:lastColumn="0" w:noHBand="0" w:noVBand="1"/>
      </w:tblPr>
      <w:tblGrid>
        <w:gridCol w:w="4824"/>
        <w:gridCol w:w="4824"/>
      </w:tblGrid>
      <w:tr w:rsidR="00995887" w:rsidRPr="00140A0A" w14:paraId="55D657DE" w14:textId="77777777" w:rsidTr="00791C4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4824" w:type="dxa"/>
          </w:tcPr>
          <w:p w14:paraId="7A29DFBE" w14:textId="77777777" w:rsidR="00995887" w:rsidRPr="00140A0A" w:rsidRDefault="00995887" w:rsidP="00366663">
            <w:pPr>
              <w:spacing w:line="600" w:lineRule="auto"/>
              <w:rPr>
                <w:rFonts w:ascii="Arial" w:hAnsi="Arial" w:cs="Arial"/>
                <w:b/>
                <w:bCs/>
                <w:sz w:val="20"/>
                <w:szCs w:val="20"/>
              </w:rPr>
            </w:pPr>
            <w:r w:rsidRPr="00140A0A">
              <w:rPr>
                <w:rFonts w:ascii="Arial" w:hAnsi="Arial" w:cs="Arial"/>
                <w:b/>
                <w:bCs/>
                <w:sz w:val="20"/>
                <w:szCs w:val="20"/>
              </w:rPr>
              <w:t>Variable</w:t>
            </w:r>
          </w:p>
        </w:tc>
        <w:tc>
          <w:tcPr>
            <w:tcW w:w="4824" w:type="dxa"/>
          </w:tcPr>
          <w:p w14:paraId="337976FB" w14:textId="4DF384D1" w:rsidR="00995887" w:rsidRPr="00140A0A" w:rsidRDefault="00995887" w:rsidP="00366663">
            <w:pPr>
              <w:spacing w:line="600" w:lineRule="auto"/>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140A0A">
              <w:rPr>
                <w:rFonts w:ascii="Arial" w:hAnsi="Arial" w:cs="Arial"/>
                <w:b/>
                <w:bCs/>
                <w:sz w:val="20"/>
                <w:szCs w:val="20"/>
              </w:rPr>
              <w:t>Value</w:t>
            </w:r>
            <w:r w:rsidR="00810D2B" w:rsidRPr="00140A0A">
              <w:rPr>
                <w:rFonts w:ascii="Arial" w:hAnsi="Arial" w:cs="Arial"/>
                <w:b/>
                <w:bCs/>
                <w:sz w:val="20"/>
                <w:szCs w:val="20"/>
              </w:rPr>
              <w:t xml:space="preserve"> n (%)</w:t>
            </w:r>
          </w:p>
        </w:tc>
      </w:tr>
      <w:tr w:rsidR="00995887" w:rsidRPr="00140A0A" w14:paraId="4F0F7C6C" w14:textId="77777777" w:rsidTr="00791C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4" w:type="dxa"/>
          </w:tcPr>
          <w:p w14:paraId="1AF5D3F1" w14:textId="77777777" w:rsidR="00995887" w:rsidRPr="00140A0A" w:rsidRDefault="00995887" w:rsidP="00366663">
            <w:pPr>
              <w:spacing w:line="600" w:lineRule="auto"/>
              <w:rPr>
                <w:rFonts w:ascii="Arial" w:hAnsi="Arial" w:cs="Arial"/>
                <w:sz w:val="20"/>
                <w:szCs w:val="20"/>
              </w:rPr>
            </w:pPr>
            <w:r w:rsidRPr="00140A0A">
              <w:rPr>
                <w:rFonts w:ascii="Arial" w:hAnsi="Arial" w:cs="Arial"/>
                <w:sz w:val="20"/>
                <w:szCs w:val="20"/>
              </w:rPr>
              <w:t>Received any documented treatment</w:t>
            </w:r>
          </w:p>
        </w:tc>
        <w:tc>
          <w:tcPr>
            <w:tcW w:w="4824" w:type="dxa"/>
          </w:tcPr>
          <w:p w14:paraId="63D0746E" w14:textId="77777777" w:rsidR="00995887" w:rsidRPr="00140A0A" w:rsidRDefault="00995887" w:rsidP="00366663">
            <w:pPr>
              <w:spacing w:line="60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0A0A">
              <w:rPr>
                <w:rFonts w:ascii="Arial" w:hAnsi="Arial" w:cs="Arial"/>
                <w:sz w:val="20"/>
                <w:szCs w:val="20"/>
              </w:rPr>
              <w:t>38 (82.6)</w:t>
            </w:r>
          </w:p>
        </w:tc>
      </w:tr>
      <w:tr w:rsidR="00995887" w:rsidRPr="00140A0A" w14:paraId="6C08BBB3" w14:textId="77777777" w:rsidTr="00791C43">
        <w:trPr>
          <w:jc w:val="center"/>
        </w:trPr>
        <w:tc>
          <w:tcPr>
            <w:cnfStyle w:val="001000000000" w:firstRow="0" w:lastRow="0" w:firstColumn="1" w:lastColumn="0" w:oddVBand="0" w:evenVBand="0" w:oddHBand="0" w:evenHBand="0" w:firstRowFirstColumn="0" w:firstRowLastColumn="0" w:lastRowFirstColumn="0" w:lastRowLastColumn="0"/>
            <w:tcW w:w="4824" w:type="dxa"/>
          </w:tcPr>
          <w:p w14:paraId="20251A9F" w14:textId="77777777" w:rsidR="00995887" w:rsidRPr="00140A0A" w:rsidRDefault="00995887" w:rsidP="00366663">
            <w:pPr>
              <w:spacing w:line="600" w:lineRule="auto"/>
              <w:rPr>
                <w:rFonts w:ascii="Arial" w:hAnsi="Arial" w:cs="Arial"/>
                <w:sz w:val="20"/>
                <w:szCs w:val="20"/>
              </w:rPr>
            </w:pPr>
            <w:r w:rsidRPr="00140A0A">
              <w:rPr>
                <w:rFonts w:ascii="Arial" w:hAnsi="Arial" w:cs="Arial"/>
                <w:sz w:val="20"/>
                <w:szCs w:val="20"/>
              </w:rPr>
              <w:t>Received no treatment</w:t>
            </w:r>
          </w:p>
        </w:tc>
        <w:tc>
          <w:tcPr>
            <w:tcW w:w="4824" w:type="dxa"/>
          </w:tcPr>
          <w:p w14:paraId="4A7B0201" w14:textId="77777777" w:rsidR="00995887" w:rsidRPr="00140A0A" w:rsidRDefault="00995887" w:rsidP="00366663">
            <w:pPr>
              <w:spacing w:line="60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0A0A">
              <w:rPr>
                <w:rFonts w:ascii="Arial" w:hAnsi="Arial" w:cs="Arial"/>
                <w:sz w:val="20"/>
                <w:szCs w:val="20"/>
              </w:rPr>
              <w:t>8 (17.4)</w:t>
            </w:r>
          </w:p>
        </w:tc>
      </w:tr>
      <w:tr w:rsidR="00995887" w:rsidRPr="00140A0A" w14:paraId="6EA98269" w14:textId="77777777" w:rsidTr="00791C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4" w:type="dxa"/>
          </w:tcPr>
          <w:p w14:paraId="2615ABFA" w14:textId="77777777" w:rsidR="00995887" w:rsidRPr="00140A0A" w:rsidRDefault="00995887" w:rsidP="00366663">
            <w:pPr>
              <w:spacing w:line="600" w:lineRule="auto"/>
              <w:rPr>
                <w:rFonts w:ascii="Arial" w:hAnsi="Arial" w:cs="Arial"/>
                <w:sz w:val="20"/>
                <w:szCs w:val="20"/>
              </w:rPr>
            </w:pPr>
            <w:r w:rsidRPr="00140A0A">
              <w:rPr>
                <w:rFonts w:ascii="Arial" w:hAnsi="Arial" w:cs="Arial"/>
                <w:sz w:val="20"/>
                <w:szCs w:val="20"/>
              </w:rPr>
              <w:t>Out-of-pocket treatment financing</w:t>
            </w:r>
          </w:p>
        </w:tc>
        <w:tc>
          <w:tcPr>
            <w:tcW w:w="4824" w:type="dxa"/>
          </w:tcPr>
          <w:p w14:paraId="287369AB" w14:textId="77777777" w:rsidR="00995887" w:rsidRPr="00140A0A" w:rsidRDefault="00995887" w:rsidP="00366663">
            <w:pPr>
              <w:spacing w:line="60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0A0A">
              <w:rPr>
                <w:rFonts w:ascii="Arial" w:hAnsi="Arial" w:cs="Arial"/>
                <w:sz w:val="20"/>
                <w:szCs w:val="20"/>
              </w:rPr>
              <w:t>43 (93.5)</w:t>
            </w:r>
          </w:p>
        </w:tc>
      </w:tr>
      <w:tr w:rsidR="00995887" w:rsidRPr="00140A0A" w14:paraId="27DF0919" w14:textId="77777777" w:rsidTr="00791C43">
        <w:trPr>
          <w:jc w:val="center"/>
        </w:trPr>
        <w:tc>
          <w:tcPr>
            <w:cnfStyle w:val="001000000000" w:firstRow="0" w:lastRow="0" w:firstColumn="1" w:lastColumn="0" w:oddVBand="0" w:evenVBand="0" w:oddHBand="0" w:evenHBand="0" w:firstRowFirstColumn="0" w:firstRowLastColumn="0" w:lastRowFirstColumn="0" w:lastRowLastColumn="0"/>
            <w:tcW w:w="4824" w:type="dxa"/>
          </w:tcPr>
          <w:p w14:paraId="77FCE64F" w14:textId="77777777" w:rsidR="00995887" w:rsidRPr="00140A0A" w:rsidRDefault="00995887" w:rsidP="00366663">
            <w:pPr>
              <w:spacing w:line="600" w:lineRule="auto"/>
              <w:rPr>
                <w:rFonts w:ascii="Arial" w:hAnsi="Arial" w:cs="Arial"/>
                <w:sz w:val="20"/>
                <w:szCs w:val="20"/>
              </w:rPr>
            </w:pPr>
            <w:r w:rsidRPr="00140A0A">
              <w:rPr>
                <w:rFonts w:ascii="Arial" w:hAnsi="Arial" w:cs="Arial"/>
                <w:sz w:val="20"/>
                <w:szCs w:val="20"/>
              </w:rPr>
              <w:t>Alive at last contact</w:t>
            </w:r>
          </w:p>
        </w:tc>
        <w:tc>
          <w:tcPr>
            <w:tcW w:w="4824" w:type="dxa"/>
          </w:tcPr>
          <w:p w14:paraId="3C1C61C1" w14:textId="77777777" w:rsidR="00995887" w:rsidRPr="00140A0A" w:rsidRDefault="00995887" w:rsidP="00366663">
            <w:pPr>
              <w:spacing w:line="60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0A0A">
              <w:rPr>
                <w:rFonts w:ascii="Arial" w:hAnsi="Arial" w:cs="Arial"/>
                <w:sz w:val="20"/>
                <w:szCs w:val="20"/>
              </w:rPr>
              <w:t>3 (6.5)</w:t>
            </w:r>
          </w:p>
        </w:tc>
      </w:tr>
      <w:tr w:rsidR="00995887" w:rsidRPr="00140A0A" w14:paraId="45649AFE" w14:textId="77777777" w:rsidTr="00791C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4" w:type="dxa"/>
          </w:tcPr>
          <w:p w14:paraId="326CD1B5" w14:textId="77777777" w:rsidR="00995887" w:rsidRPr="00140A0A" w:rsidRDefault="00995887" w:rsidP="00366663">
            <w:pPr>
              <w:spacing w:line="600" w:lineRule="auto"/>
              <w:rPr>
                <w:rFonts w:ascii="Arial" w:hAnsi="Arial" w:cs="Arial"/>
                <w:sz w:val="20"/>
                <w:szCs w:val="20"/>
              </w:rPr>
            </w:pPr>
            <w:r w:rsidRPr="00140A0A">
              <w:rPr>
                <w:rFonts w:ascii="Arial" w:hAnsi="Arial" w:cs="Arial"/>
                <w:sz w:val="20"/>
                <w:szCs w:val="20"/>
              </w:rPr>
              <w:t>Dead at last contact</w:t>
            </w:r>
          </w:p>
        </w:tc>
        <w:tc>
          <w:tcPr>
            <w:tcW w:w="4824" w:type="dxa"/>
          </w:tcPr>
          <w:p w14:paraId="13B5ED7D" w14:textId="77777777" w:rsidR="00995887" w:rsidRPr="00140A0A" w:rsidRDefault="00995887" w:rsidP="00366663">
            <w:pPr>
              <w:spacing w:line="60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0A0A">
              <w:rPr>
                <w:rFonts w:ascii="Arial" w:hAnsi="Arial" w:cs="Arial"/>
                <w:sz w:val="20"/>
                <w:szCs w:val="20"/>
              </w:rPr>
              <w:t>22 (47.8)</w:t>
            </w:r>
          </w:p>
        </w:tc>
      </w:tr>
      <w:tr w:rsidR="00995887" w:rsidRPr="00140A0A" w14:paraId="286A1EBE" w14:textId="77777777" w:rsidTr="00791C43">
        <w:trPr>
          <w:jc w:val="center"/>
        </w:trPr>
        <w:tc>
          <w:tcPr>
            <w:cnfStyle w:val="001000000000" w:firstRow="0" w:lastRow="0" w:firstColumn="1" w:lastColumn="0" w:oddVBand="0" w:evenVBand="0" w:oddHBand="0" w:evenHBand="0" w:firstRowFirstColumn="0" w:firstRowLastColumn="0" w:lastRowFirstColumn="0" w:lastRowLastColumn="0"/>
            <w:tcW w:w="4824" w:type="dxa"/>
          </w:tcPr>
          <w:p w14:paraId="3F9AE029" w14:textId="77777777" w:rsidR="00995887" w:rsidRPr="00140A0A" w:rsidRDefault="00995887" w:rsidP="00366663">
            <w:pPr>
              <w:spacing w:line="600" w:lineRule="auto"/>
              <w:rPr>
                <w:rFonts w:ascii="Arial" w:hAnsi="Arial" w:cs="Arial"/>
                <w:sz w:val="20"/>
                <w:szCs w:val="20"/>
              </w:rPr>
            </w:pPr>
            <w:r w:rsidRPr="00140A0A">
              <w:rPr>
                <w:rFonts w:ascii="Arial" w:hAnsi="Arial" w:cs="Arial"/>
                <w:sz w:val="20"/>
                <w:szCs w:val="20"/>
              </w:rPr>
              <w:t>Lost to follow-up</w:t>
            </w:r>
          </w:p>
        </w:tc>
        <w:tc>
          <w:tcPr>
            <w:tcW w:w="4824" w:type="dxa"/>
          </w:tcPr>
          <w:p w14:paraId="33964F39" w14:textId="77777777" w:rsidR="00995887" w:rsidRPr="00140A0A" w:rsidRDefault="00995887" w:rsidP="00366663">
            <w:pPr>
              <w:spacing w:line="60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0A0A">
              <w:rPr>
                <w:rFonts w:ascii="Arial" w:hAnsi="Arial" w:cs="Arial"/>
                <w:sz w:val="20"/>
                <w:szCs w:val="20"/>
              </w:rPr>
              <w:t>20 (43.5)</w:t>
            </w:r>
          </w:p>
        </w:tc>
      </w:tr>
      <w:tr w:rsidR="00995887" w:rsidRPr="00140A0A" w14:paraId="37A724CD" w14:textId="77777777" w:rsidTr="00791C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4" w:type="dxa"/>
          </w:tcPr>
          <w:p w14:paraId="0A2A1B1F" w14:textId="1F52A8CE" w:rsidR="00995887" w:rsidRPr="00140A0A" w:rsidRDefault="00995887" w:rsidP="00366663">
            <w:pPr>
              <w:spacing w:line="600" w:lineRule="auto"/>
              <w:rPr>
                <w:rFonts w:ascii="Arial" w:hAnsi="Arial" w:cs="Arial"/>
                <w:sz w:val="20"/>
                <w:szCs w:val="20"/>
              </w:rPr>
            </w:pPr>
            <w:r w:rsidRPr="00140A0A">
              <w:rPr>
                <w:rFonts w:ascii="Arial" w:hAnsi="Arial" w:cs="Arial"/>
                <w:sz w:val="20"/>
                <w:szCs w:val="20"/>
              </w:rPr>
              <w:t xml:space="preserve">Median time to last contact, </w:t>
            </w:r>
            <w:r w:rsidR="00810D2B" w:rsidRPr="00140A0A">
              <w:rPr>
                <w:rFonts w:ascii="Arial" w:hAnsi="Arial" w:cs="Arial"/>
                <w:sz w:val="20"/>
                <w:szCs w:val="20"/>
              </w:rPr>
              <w:t>(</w:t>
            </w:r>
            <w:r w:rsidRPr="00140A0A">
              <w:rPr>
                <w:rFonts w:ascii="Arial" w:hAnsi="Arial" w:cs="Arial"/>
                <w:sz w:val="20"/>
                <w:szCs w:val="20"/>
              </w:rPr>
              <w:t>months</w:t>
            </w:r>
            <w:r w:rsidR="00810D2B" w:rsidRPr="00140A0A">
              <w:rPr>
                <w:rFonts w:ascii="Arial" w:hAnsi="Arial" w:cs="Arial"/>
                <w:sz w:val="20"/>
                <w:szCs w:val="20"/>
              </w:rPr>
              <w:t>)</w:t>
            </w:r>
          </w:p>
        </w:tc>
        <w:tc>
          <w:tcPr>
            <w:tcW w:w="4824" w:type="dxa"/>
          </w:tcPr>
          <w:p w14:paraId="0C5F1B4E" w14:textId="77777777" w:rsidR="00995887" w:rsidRPr="00140A0A" w:rsidRDefault="00995887" w:rsidP="00366663">
            <w:pPr>
              <w:spacing w:line="60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0A0A">
              <w:rPr>
                <w:rFonts w:ascii="Arial" w:hAnsi="Arial" w:cs="Arial"/>
                <w:sz w:val="20"/>
                <w:szCs w:val="20"/>
              </w:rPr>
              <w:t>~12</w:t>
            </w:r>
          </w:p>
        </w:tc>
      </w:tr>
      <w:tr w:rsidR="00995887" w:rsidRPr="00140A0A" w14:paraId="44D523BF" w14:textId="77777777" w:rsidTr="00791C43">
        <w:trPr>
          <w:jc w:val="center"/>
        </w:trPr>
        <w:tc>
          <w:tcPr>
            <w:cnfStyle w:val="001000000000" w:firstRow="0" w:lastRow="0" w:firstColumn="1" w:lastColumn="0" w:oddVBand="0" w:evenVBand="0" w:oddHBand="0" w:evenHBand="0" w:firstRowFirstColumn="0" w:firstRowLastColumn="0" w:lastRowFirstColumn="0" w:lastRowLastColumn="0"/>
            <w:tcW w:w="4824" w:type="dxa"/>
          </w:tcPr>
          <w:p w14:paraId="223B9F6C" w14:textId="016A70E7" w:rsidR="00995887" w:rsidRPr="00140A0A" w:rsidRDefault="00995887" w:rsidP="00366663">
            <w:pPr>
              <w:spacing w:line="600" w:lineRule="auto"/>
              <w:rPr>
                <w:rFonts w:ascii="Arial" w:hAnsi="Arial" w:cs="Arial"/>
                <w:sz w:val="20"/>
                <w:szCs w:val="20"/>
              </w:rPr>
            </w:pPr>
            <w:r w:rsidRPr="00140A0A">
              <w:rPr>
                <w:rFonts w:ascii="Arial" w:hAnsi="Arial" w:cs="Arial"/>
                <w:sz w:val="20"/>
                <w:szCs w:val="20"/>
              </w:rPr>
              <w:t xml:space="preserve">Median observed overall survival, </w:t>
            </w:r>
            <w:r w:rsidR="00810D2B" w:rsidRPr="00140A0A">
              <w:rPr>
                <w:rFonts w:ascii="Arial" w:hAnsi="Arial" w:cs="Arial"/>
                <w:sz w:val="20"/>
                <w:szCs w:val="20"/>
              </w:rPr>
              <w:t>(</w:t>
            </w:r>
            <w:r w:rsidRPr="00140A0A">
              <w:rPr>
                <w:rFonts w:ascii="Arial" w:hAnsi="Arial" w:cs="Arial"/>
                <w:sz w:val="20"/>
                <w:szCs w:val="20"/>
              </w:rPr>
              <w:t>months</w:t>
            </w:r>
            <w:r w:rsidR="00810D2B" w:rsidRPr="00140A0A">
              <w:rPr>
                <w:rFonts w:ascii="Arial" w:hAnsi="Arial" w:cs="Arial"/>
                <w:sz w:val="20"/>
                <w:szCs w:val="20"/>
              </w:rPr>
              <w:t>)</w:t>
            </w:r>
          </w:p>
        </w:tc>
        <w:tc>
          <w:tcPr>
            <w:tcW w:w="4824" w:type="dxa"/>
          </w:tcPr>
          <w:p w14:paraId="645FA8A1" w14:textId="6A8D9EB5" w:rsidR="00995887" w:rsidRPr="00140A0A" w:rsidRDefault="00995887" w:rsidP="00366663">
            <w:pPr>
              <w:spacing w:line="60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0A0A">
              <w:rPr>
                <w:rFonts w:ascii="Arial" w:hAnsi="Arial" w:cs="Arial"/>
                <w:sz w:val="20"/>
                <w:szCs w:val="20"/>
              </w:rPr>
              <w:t>1</w:t>
            </w:r>
            <w:r w:rsidR="00810D2B" w:rsidRPr="00140A0A">
              <w:rPr>
                <w:rFonts w:ascii="Arial" w:hAnsi="Arial" w:cs="Arial"/>
                <w:sz w:val="20"/>
                <w:szCs w:val="20"/>
              </w:rPr>
              <w:t>6</w:t>
            </w:r>
            <w:r w:rsidRPr="00140A0A">
              <w:rPr>
                <w:rFonts w:ascii="Arial" w:hAnsi="Arial" w:cs="Arial"/>
                <w:sz w:val="20"/>
                <w:szCs w:val="20"/>
              </w:rPr>
              <w:t>.0</w:t>
            </w:r>
          </w:p>
        </w:tc>
      </w:tr>
    </w:tbl>
    <w:p w14:paraId="13AC8A00" w14:textId="77777777" w:rsidR="00E012B8" w:rsidRPr="00140A0A" w:rsidRDefault="00E012B8" w:rsidP="00366663">
      <w:pPr>
        <w:spacing w:line="600" w:lineRule="auto"/>
        <w:rPr>
          <w:rFonts w:ascii="Arial" w:hAnsi="Arial" w:cs="Arial"/>
          <w:sz w:val="20"/>
          <w:szCs w:val="20"/>
        </w:rPr>
      </w:pPr>
    </w:p>
    <w:p w14:paraId="312977FC" w14:textId="03164830" w:rsidR="00995887" w:rsidRPr="00140A0A" w:rsidRDefault="00F633A3" w:rsidP="00366663">
      <w:pPr>
        <w:spacing w:line="600" w:lineRule="auto"/>
        <w:rPr>
          <w:rFonts w:ascii="Arial" w:hAnsi="Arial" w:cs="Arial"/>
          <w:sz w:val="20"/>
          <w:szCs w:val="20"/>
        </w:rPr>
      </w:pPr>
      <w:r>
        <w:rPr>
          <w:noProof/>
        </w:rPr>
        <w:lastRenderedPageBreak/>
        <w:drawing>
          <wp:inline distT="0" distB="0" distL="0" distR="0" wp14:anchorId="08DBF876" wp14:editId="0FEF9A6E">
            <wp:extent cx="4572000" cy="2914651"/>
            <wp:effectExtent l="0" t="0" r="0" b="0"/>
            <wp:docPr id="749006965" name="Chart 1">
              <a:extLst xmlns:a="http://schemas.openxmlformats.org/drawingml/2006/main">
                <a:ext uri="{FF2B5EF4-FFF2-40B4-BE49-F238E27FC236}">
                  <a16:creationId xmlns:a16="http://schemas.microsoft.com/office/drawing/2014/main" id="{5D2CFF82-F094-68D4-AFEC-69E038B92F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0896CF" w14:textId="7230CC9B" w:rsidR="00EF6782" w:rsidRPr="00140A0A" w:rsidRDefault="00EF6782" w:rsidP="00366663">
      <w:pPr>
        <w:spacing w:line="600" w:lineRule="auto"/>
        <w:rPr>
          <w:rFonts w:ascii="Arial" w:hAnsi="Arial" w:cs="Arial"/>
          <w:b/>
          <w:bCs/>
          <w:sz w:val="20"/>
          <w:szCs w:val="20"/>
        </w:rPr>
      </w:pPr>
      <w:r w:rsidRPr="00140A0A">
        <w:rPr>
          <w:rFonts w:ascii="Arial" w:hAnsi="Arial" w:cs="Arial"/>
          <w:b/>
          <w:bCs/>
          <w:sz w:val="20"/>
          <w:szCs w:val="20"/>
        </w:rPr>
        <w:t xml:space="preserve">Figure </w:t>
      </w:r>
      <w:r w:rsidR="001A3C30" w:rsidRPr="00140A0A">
        <w:rPr>
          <w:rFonts w:ascii="Arial" w:hAnsi="Arial" w:cs="Arial"/>
          <w:b/>
          <w:bCs/>
          <w:sz w:val="20"/>
          <w:szCs w:val="20"/>
        </w:rPr>
        <w:t>3</w:t>
      </w:r>
      <w:r w:rsidRPr="00140A0A">
        <w:rPr>
          <w:rFonts w:ascii="Arial" w:hAnsi="Arial" w:cs="Arial"/>
          <w:b/>
          <w:bCs/>
          <w:sz w:val="20"/>
          <w:szCs w:val="20"/>
        </w:rPr>
        <w:t xml:space="preserve">. Treatment patterns in the </w:t>
      </w:r>
      <w:r w:rsidR="00F633A3">
        <w:rPr>
          <w:rFonts w:ascii="Arial" w:hAnsi="Arial" w:cs="Arial"/>
          <w:b/>
          <w:bCs/>
          <w:sz w:val="20"/>
          <w:szCs w:val="20"/>
        </w:rPr>
        <w:t>CLL patients</w:t>
      </w:r>
    </w:p>
    <w:p w14:paraId="1EECDB89" w14:textId="1BB4680E" w:rsidR="00995887" w:rsidRPr="00140A0A" w:rsidRDefault="00995887" w:rsidP="00D9764A">
      <w:pPr>
        <w:spacing w:line="600" w:lineRule="auto"/>
        <w:jc w:val="both"/>
        <w:rPr>
          <w:rFonts w:ascii="Arial" w:hAnsi="Arial" w:cs="Arial"/>
          <w:i/>
          <w:iCs/>
          <w:sz w:val="18"/>
          <w:szCs w:val="18"/>
        </w:rPr>
      </w:pPr>
      <w:r w:rsidRPr="00140A0A">
        <w:rPr>
          <w:rFonts w:ascii="Arial" w:hAnsi="Arial" w:cs="Arial"/>
          <w:i/>
          <w:iCs/>
          <w:sz w:val="18"/>
          <w:szCs w:val="18"/>
        </w:rPr>
        <w:t>Bar chart illustrating the frequency of prescribed treatment regimens. The treatment landscape was dominated by older cytotoxic or alkylator-based regimens, while use of targeted therapy was limited, reflecting constrained access to contemporary CLL treatment in routine practice.</w:t>
      </w:r>
    </w:p>
    <w:p w14:paraId="17173A45" w14:textId="77777777" w:rsidR="00995887" w:rsidRPr="00140A0A" w:rsidRDefault="00995887" w:rsidP="00366663">
      <w:pPr>
        <w:spacing w:line="600" w:lineRule="auto"/>
        <w:rPr>
          <w:rFonts w:ascii="Arial" w:hAnsi="Arial" w:cs="Arial"/>
          <w:sz w:val="20"/>
          <w:szCs w:val="20"/>
        </w:rPr>
      </w:pPr>
    </w:p>
    <w:p w14:paraId="64DADF2A" w14:textId="30F0ABEC" w:rsidR="00DD4458" w:rsidRPr="00140A0A" w:rsidRDefault="00B0385D" w:rsidP="00E012B8">
      <w:pPr>
        <w:spacing w:line="600" w:lineRule="auto"/>
        <w:jc w:val="both"/>
        <w:rPr>
          <w:rFonts w:ascii="Arial" w:hAnsi="Arial" w:cs="Arial"/>
          <w:sz w:val="20"/>
          <w:szCs w:val="20"/>
        </w:rPr>
      </w:pPr>
      <w:r w:rsidRPr="00140A0A">
        <w:rPr>
          <w:rFonts w:ascii="Arial" w:hAnsi="Arial" w:cs="Arial"/>
          <w:sz w:val="20"/>
          <w:szCs w:val="20"/>
        </w:rPr>
        <w:t xml:space="preserve">Of the 38 who received treatment, </w:t>
      </w:r>
      <w:r w:rsidR="00AB2BE5" w:rsidRPr="00140A0A">
        <w:rPr>
          <w:rFonts w:ascii="Arial" w:hAnsi="Arial" w:cs="Arial"/>
          <w:sz w:val="20"/>
          <w:szCs w:val="20"/>
        </w:rPr>
        <w:t>the</w:t>
      </w:r>
      <w:r w:rsidR="007D16FC" w:rsidRPr="00140A0A">
        <w:rPr>
          <w:rFonts w:ascii="Arial" w:hAnsi="Arial" w:cs="Arial"/>
          <w:sz w:val="20"/>
          <w:szCs w:val="20"/>
        </w:rPr>
        <w:t xml:space="preserve"> documented</w:t>
      </w:r>
      <w:r w:rsidR="00AB2BE5" w:rsidRPr="00140A0A">
        <w:rPr>
          <w:rFonts w:ascii="Arial" w:hAnsi="Arial" w:cs="Arial"/>
          <w:sz w:val="20"/>
          <w:szCs w:val="20"/>
        </w:rPr>
        <w:t xml:space="preserve"> overall response rate was 50.0%, with 1 patient (2.6%) achieving complete response and 18 (47.4%) achieving partial response. Ten patients (26.3%) did not respond to treatment,</w:t>
      </w:r>
      <w:r w:rsidRPr="00140A0A">
        <w:rPr>
          <w:rFonts w:ascii="Arial" w:hAnsi="Arial" w:cs="Arial"/>
          <w:sz w:val="20"/>
          <w:szCs w:val="20"/>
        </w:rPr>
        <w:t xml:space="preserve"> while there was no record</w:t>
      </w:r>
      <w:r w:rsidR="007D16FC" w:rsidRPr="00140A0A">
        <w:rPr>
          <w:rFonts w:ascii="Arial" w:hAnsi="Arial" w:cs="Arial"/>
          <w:sz w:val="20"/>
          <w:szCs w:val="20"/>
        </w:rPr>
        <w:t>ed</w:t>
      </w:r>
      <w:r w:rsidRPr="00140A0A">
        <w:rPr>
          <w:rFonts w:ascii="Arial" w:hAnsi="Arial" w:cs="Arial"/>
          <w:sz w:val="20"/>
          <w:szCs w:val="20"/>
        </w:rPr>
        <w:t xml:space="preserve"> response for 9 (</w:t>
      </w:r>
      <w:proofErr w:type="gramStart"/>
      <w:r w:rsidRPr="00140A0A">
        <w:rPr>
          <w:rFonts w:ascii="Arial" w:hAnsi="Arial" w:cs="Arial"/>
          <w:sz w:val="20"/>
          <w:szCs w:val="20"/>
        </w:rPr>
        <w:t>23.7)%</w:t>
      </w:r>
      <w:proofErr w:type="gramEnd"/>
      <w:r w:rsidR="00AB2BE5" w:rsidRPr="00140A0A">
        <w:rPr>
          <w:rFonts w:ascii="Arial" w:hAnsi="Arial" w:cs="Arial"/>
          <w:sz w:val="20"/>
          <w:szCs w:val="20"/>
        </w:rPr>
        <w:t xml:space="preserve"> cases</w:t>
      </w:r>
      <w:r w:rsidRPr="00140A0A">
        <w:rPr>
          <w:rFonts w:ascii="Arial" w:hAnsi="Arial" w:cs="Arial"/>
          <w:sz w:val="20"/>
          <w:szCs w:val="20"/>
        </w:rPr>
        <w:t>.</w:t>
      </w:r>
      <w:r w:rsidR="00AB2BE5" w:rsidRPr="00140A0A">
        <w:rPr>
          <w:rFonts w:ascii="Arial" w:hAnsi="Arial" w:cs="Arial"/>
          <w:sz w:val="20"/>
          <w:szCs w:val="20"/>
        </w:rPr>
        <w:t xml:space="preserve"> </w:t>
      </w:r>
      <w:r w:rsidRPr="00140A0A">
        <w:rPr>
          <w:rFonts w:ascii="Arial" w:hAnsi="Arial" w:cs="Arial"/>
          <w:sz w:val="20"/>
          <w:szCs w:val="20"/>
        </w:rPr>
        <w:t>At last contact, 22(47.8%) had died, 20 (43.5%) were lost to follow-up, 3 (6.5%) were alive, and outcome data were missing in 1 (2.2%).</w:t>
      </w:r>
      <w:r w:rsidR="00AB2BE5" w:rsidRPr="00140A0A">
        <w:rPr>
          <w:rFonts w:ascii="Arial" w:hAnsi="Arial" w:cs="Arial"/>
          <w:sz w:val="20"/>
          <w:szCs w:val="20"/>
        </w:rPr>
        <w:t xml:space="preserve"> The m</w:t>
      </w:r>
      <w:r w:rsidRPr="00140A0A">
        <w:rPr>
          <w:rFonts w:ascii="Arial" w:hAnsi="Arial" w:cs="Arial"/>
          <w:sz w:val="20"/>
          <w:szCs w:val="20"/>
        </w:rPr>
        <w:t xml:space="preserve">edian time from diagnosis to last recorded contact was approximately 12 months. Kaplan–Meier analysis </w:t>
      </w:r>
      <w:r w:rsidR="00AB2BE5" w:rsidRPr="00140A0A">
        <w:rPr>
          <w:rFonts w:ascii="Arial" w:hAnsi="Arial" w:cs="Arial"/>
          <w:sz w:val="20"/>
          <w:szCs w:val="20"/>
        </w:rPr>
        <w:t>gave</w:t>
      </w:r>
      <w:r w:rsidRPr="00140A0A">
        <w:rPr>
          <w:rFonts w:ascii="Arial" w:hAnsi="Arial" w:cs="Arial"/>
          <w:sz w:val="20"/>
          <w:szCs w:val="20"/>
        </w:rPr>
        <w:t xml:space="preserve"> a median overall survival </w:t>
      </w:r>
      <w:r w:rsidR="003A712E" w:rsidRPr="00140A0A">
        <w:rPr>
          <w:rFonts w:ascii="Arial" w:hAnsi="Arial" w:cs="Arial"/>
          <w:sz w:val="20"/>
          <w:szCs w:val="20"/>
        </w:rPr>
        <w:t xml:space="preserve">(OS) </w:t>
      </w:r>
      <w:r w:rsidRPr="00140A0A">
        <w:rPr>
          <w:rFonts w:ascii="Arial" w:hAnsi="Arial" w:cs="Arial"/>
          <w:sz w:val="20"/>
          <w:szCs w:val="20"/>
        </w:rPr>
        <w:t>of 1</w:t>
      </w:r>
      <w:r w:rsidR="003A712E" w:rsidRPr="00140A0A">
        <w:rPr>
          <w:rFonts w:ascii="Arial" w:hAnsi="Arial" w:cs="Arial"/>
          <w:sz w:val="20"/>
          <w:szCs w:val="20"/>
        </w:rPr>
        <w:t>6</w:t>
      </w:r>
      <w:r w:rsidRPr="00140A0A">
        <w:rPr>
          <w:rFonts w:ascii="Arial" w:hAnsi="Arial" w:cs="Arial"/>
          <w:sz w:val="20"/>
          <w:szCs w:val="20"/>
        </w:rPr>
        <w:t>.0 months for the cohort</w:t>
      </w:r>
      <w:r w:rsidR="003A712E" w:rsidRPr="00140A0A">
        <w:rPr>
          <w:rFonts w:ascii="Arial" w:hAnsi="Arial" w:cs="Arial"/>
          <w:sz w:val="20"/>
          <w:szCs w:val="20"/>
        </w:rPr>
        <w:t>, with estimated 6-month, 12-month, and 24-month OS rates of 80.6%, 66.2%, and 33.6%, respectively</w:t>
      </w:r>
      <w:r w:rsidRPr="00140A0A">
        <w:rPr>
          <w:rFonts w:ascii="Arial" w:hAnsi="Arial" w:cs="Arial"/>
          <w:sz w:val="20"/>
          <w:szCs w:val="20"/>
        </w:rPr>
        <w:t xml:space="preserve">. </w:t>
      </w:r>
      <w:r w:rsidR="003A712E" w:rsidRPr="00140A0A">
        <w:rPr>
          <w:rFonts w:ascii="Arial" w:hAnsi="Arial" w:cs="Arial"/>
          <w:sz w:val="20"/>
          <w:szCs w:val="20"/>
        </w:rPr>
        <w:t xml:space="preserve">Treated patients had a significantly longer median OS than untreated patients (17.0 vs 2.5 months; log-rank p &lt; .001). Estimated 12-month OS was 77.1% among treated patients compared with 0% among untreated patients. Patients who received chemotherapy had a </w:t>
      </w:r>
      <w:r w:rsidR="003A712E" w:rsidRPr="00140A0A">
        <w:rPr>
          <w:rFonts w:ascii="Arial" w:hAnsi="Arial" w:cs="Arial"/>
          <w:sz w:val="20"/>
          <w:szCs w:val="20"/>
        </w:rPr>
        <w:lastRenderedPageBreak/>
        <w:t>median OS of 16.5 months, whereas those who received rituximab-containing or targeted therapy had a median OS of 65.0 months, however, this difference was not statistically significant (log-rank p = .196), likely reflecting the very small number of patients in this subgroup.</w:t>
      </w:r>
      <w:r w:rsidR="00DD4458" w:rsidRPr="00140A0A">
        <w:rPr>
          <w:rFonts w:ascii="Arial" w:hAnsi="Arial" w:cs="Arial"/>
          <w:sz w:val="20"/>
          <w:szCs w:val="20"/>
        </w:rPr>
        <w:t xml:space="preserve"> </w:t>
      </w:r>
    </w:p>
    <w:p w14:paraId="1C003E99" w14:textId="77777777" w:rsidR="00E012B8" w:rsidRPr="00140A0A" w:rsidRDefault="00E012B8" w:rsidP="00E012B8">
      <w:pPr>
        <w:spacing w:line="600" w:lineRule="auto"/>
        <w:jc w:val="both"/>
        <w:rPr>
          <w:rFonts w:ascii="Arial" w:hAnsi="Arial" w:cs="Arial"/>
          <w:sz w:val="20"/>
          <w:szCs w:val="20"/>
        </w:rPr>
      </w:pPr>
    </w:p>
    <w:p w14:paraId="3045296E" w14:textId="33DF2201" w:rsidR="00DD4458" w:rsidRPr="00140A0A" w:rsidRDefault="00F633A3" w:rsidP="00366663">
      <w:pPr>
        <w:spacing w:line="600" w:lineRule="auto"/>
        <w:jc w:val="center"/>
        <w:rPr>
          <w:rFonts w:ascii="Arial" w:hAnsi="Arial" w:cs="Arial"/>
          <w:sz w:val="20"/>
          <w:szCs w:val="20"/>
        </w:rPr>
      </w:pPr>
      <w:r>
        <w:rPr>
          <w:noProof/>
        </w:rPr>
        <w:drawing>
          <wp:inline distT="0" distB="0" distL="0" distR="0" wp14:anchorId="12285D5A" wp14:editId="31920922">
            <wp:extent cx="4572000" cy="2562225"/>
            <wp:effectExtent l="0" t="0" r="0" b="9525"/>
            <wp:docPr id="644763914" name="Chart 1">
              <a:extLst xmlns:a="http://schemas.openxmlformats.org/drawingml/2006/main">
                <a:ext uri="{FF2B5EF4-FFF2-40B4-BE49-F238E27FC236}">
                  <a16:creationId xmlns:a16="http://schemas.microsoft.com/office/drawing/2014/main" id="{93EF8E36-9FE0-BA1A-A3E3-8A223B0B5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61E9E4" w14:textId="3B9DBF2A" w:rsidR="002A1CE8" w:rsidRPr="00140A0A" w:rsidRDefault="002A1CE8" w:rsidP="00366663">
      <w:pPr>
        <w:spacing w:line="600" w:lineRule="auto"/>
        <w:rPr>
          <w:rFonts w:ascii="Arial" w:hAnsi="Arial" w:cs="Arial"/>
          <w:b/>
          <w:bCs/>
          <w:sz w:val="20"/>
          <w:szCs w:val="20"/>
        </w:rPr>
      </w:pPr>
      <w:r w:rsidRPr="00140A0A">
        <w:rPr>
          <w:rFonts w:ascii="Arial" w:hAnsi="Arial" w:cs="Arial"/>
          <w:b/>
          <w:bCs/>
          <w:sz w:val="20"/>
          <w:szCs w:val="20"/>
        </w:rPr>
        <w:t xml:space="preserve">Figure </w:t>
      </w:r>
      <w:r w:rsidR="001A3C30" w:rsidRPr="00140A0A">
        <w:rPr>
          <w:rFonts w:ascii="Arial" w:hAnsi="Arial" w:cs="Arial"/>
          <w:b/>
          <w:bCs/>
          <w:sz w:val="20"/>
          <w:szCs w:val="20"/>
        </w:rPr>
        <w:t>4</w:t>
      </w:r>
      <w:r w:rsidRPr="00140A0A">
        <w:rPr>
          <w:rFonts w:ascii="Arial" w:hAnsi="Arial" w:cs="Arial"/>
          <w:b/>
          <w:bCs/>
          <w:sz w:val="20"/>
          <w:szCs w:val="20"/>
        </w:rPr>
        <w:t xml:space="preserve">: </w:t>
      </w:r>
      <w:r w:rsidR="00F633A3">
        <w:rPr>
          <w:rFonts w:ascii="Arial" w:hAnsi="Arial" w:cs="Arial"/>
          <w:b/>
          <w:bCs/>
          <w:sz w:val="20"/>
          <w:szCs w:val="20"/>
        </w:rPr>
        <w:t xml:space="preserve">CLL </w:t>
      </w:r>
      <w:r w:rsidRPr="00140A0A">
        <w:rPr>
          <w:rFonts w:ascii="Arial" w:hAnsi="Arial" w:cs="Arial"/>
          <w:b/>
          <w:bCs/>
          <w:sz w:val="20"/>
          <w:szCs w:val="20"/>
        </w:rPr>
        <w:t>Patient</w:t>
      </w:r>
      <w:r w:rsidR="00F633A3">
        <w:rPr>
          <w:rFonts w:ascii="Arial" w:hAnsi="Arial" w:cs="Arial"/>
          <w:b/>
          <w:bCs/>
          <w:sz w:val="20"/>
          <w:szCs w:val="20"/>
        </w:rPr>
        <w:t>s</w:t>
      </w:r>
      <w:r w:rsidRPr="00140A0A">
        <w:rPr>
          <w:rFonts w:ascii="Arial" w:hAnsi="Arial" w:cs="Arial"/>
          <w:b/>
          <w:bCs/>
          <w:sz w:val="20"/>
          <w:szCs w:val="20"/>
        </w:rPr>
        <w:t xml:space="preserve"> outcome at last contact</w:t>
      </w:r>
    </w:p>
    <w:p w14:paraId="68532E82" w14:textId="15EE9F4C" w:rsidR="00DD4458" w:rsidRPr="00140A0A" w:rsidRDefault="00DD4458" w:rsidP="00D9764A">
      <w:pPr>
        <w:spacing w:line="600" w:lineRule="auto"/>
        <w:jc w:val="both"/>
        <w:rPr>
          <w:rFonts w:ascii="Arial" w:hAnsi="Arial" w:cs="Arial"/>
          <w:i/>
          <w:iCs/>
          <w:sz w:val="18"/>
          <w:szCs w:val="18"/>
        </w:rPr>
      </w:pPr>
      <w:r w:rsidRPr="00140A0A">
        <w:rPr>
          <w:rFonts w:ascii="Arial" w:hAnsi="Arial" w:cs="Arial"/>
          <w:i/>
          <w:iCs/>
          <w:sz w:val="18"/>
          <w:szCs w:val="18"/>
        </w:rPr>
        <w:t>Bar chart showing patient status at last follow-up. A high proportion of patients had died or were lost to follow-up, highlighting the dual burden of mortality and attrition from care in this setting.</w:t>
      </w:r>
    </w:p>
    <w:p w14:paraId="4542366B" w14:textId="146D75AC" w:rsidR="00DD4458" w:rsidRPr="00140A0A" w:rsidRDefault="00DD4458" w:rsidP="00366663">
      <w:pPr>
        <w:spacing w:line="600" w:lineRule="auto"/>
        <w:rPr>
          <w:rFonts w:ascii="Arial" w:hAnsi="Arial" w:cs="Arial"/>
          <w:sz w:val="20"/>
          <w:szCs w:val="20"/>
        </w:rPr>
      </w:pPr>
      <w:r w:rsidRPr="00140A0A">
        <w:rPr>
          <w:rFonts w:ascii="Arial" w:hAnsi="Arial" w:cs="Arial"/>
          <w:noProof/>
          <w:sz w:val="20"/>
          <w:szCs w:val="20"/>
        </w:rPr>
        <w:lastRenderedPageBreak/>
        <w:drawing>
          <wp:inline distT="0" distB="0" distL="0" distR="0" wp14:anchorId="4D1D7FFE" wp14:editId="0B025D9E">
            <wp:extent cx="5082032" cy="2960230"/>
            <wp:effectExtent l="0" t="0" r="4445" b="0"/>
            <wp:docPr id="4" name="Picture 4" descr="The Kaplan-Meier survival curve illustrates that the survival probability for the treated group is higher than the untreated group over a period of 60 months post-diagnosi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Kaplan-Meier survival curve illustrates that the survival probability for the treated group is higher than the untreated group over a period of 60 months post-diagnosis.&#10;&#10;AI-generated content may be incorrect."/>
                    <pic:cNvPicPr/>
                  </pic:nvPicPr>
                  <pic:blipFill rotWithShape="1">
                    <a:blip r:embed="rId12"/>
                    <a:srcRect t="6802"/>
                    <a:stretch>
                      <a:fillRect/>
                    </a:stretch>
                  </pic:blipFill>
                  <pic:spPr bwMode="auto">
                    <a:xfrm>
                      <a:off x="0" y="0"/>
                      <a:ext cx="5085704" cy="2962369"/>
                    </a:xfrm>
                    <a:prstGeom prst="rect">
                      <a:avLst/>
                    </a:prstGeom>
                    <a:ln>
                      <a:noFill/>
                    </a:ln>
                    <a:extLst>
                      <a:ext uri="{53640926-AAD7-44D8-BBD7-CCE9431645EC}">
                        <a14:shadowObscured xmlns:a14="http://schemas.microsoft.com/office/drawing/2010/main"/>
                      </a:ext>
                    </a:extLst>
                  </pic:spPr>
                </pic:pic>
              </a:graphicData>
            </a:graphic>
          </wp:inline>
        </w:drawing>
      </w:r>
    </w:p>
    <w:p w14:paraId="2237FE6C" w14:textId="3D4A0786" w:rsidR="002A1CE8" w:rsidRPr="00140A0A" w:rsidRDefault="002A1CE8" w:rsidP="00366663">
      <w:pPr>
        <w:spacing w:line="600" w:lineRule="auto"/>
        <w:rPr>
          <w:rFonts w:ascii="Arial" w:hAnsi="Arial" w:cs="Arial"/>
          <w:b/>
          <w:bCs/>
          <w:sz w:val="20"/>
          <w:szCs w:val="20"/>
        </w:rPr>
      </w:pPr>
      <w:r w:rsidRPr="00140A0A">
        <w:rPr>
          <w:rFonts w:ascii="Arial" w:hAnsi="Arial" w:cs="Arial"/>
          <w:b/>
          <w:bCs/>
          <w:sz w:val="20"/>
          <w:szCs w:val="20"/>
        </w:rPr>
        <w:t xml:space="preserve">Figure </w:t>
      </w:r>
      <w:r w:rsidR="001A3C30" w:rsidRPr="00140A0A">
        <w:rPr>
          <w:rFonts w:ascii="Arial" w:hAnsi="Arial" w:cs="Arial"/>
          <w:b/>
          <w:bCs/>
          <w:sz w:val="20"/>
          <w:szCs w:val="20"/>
        </w:rPr>
        <w:t>5</w:t>
      </w:r>
      <w:r w:rsidRPr="00140A0A">
        <w:rPr>
          <w:rFonts w:ascii="Arial" w:hAnsi="Arial" w:cs="Arial"/>
          <w:b/>
          <w:bCs/>
          <w:sz w:val="20"/>
          <w:szCs w:val="20"/>
        </w:rPr>
        <w:t>. Kaplan–Meier survival according to treatment exposure</w:t>
      </w:r>
    </w:p>
    <w:p w14:paraId="182E8E80" w14:textId="74CE1CE9" w:rsidR="00DD4458" w:rsidRPr="00140A0A" w:rsidRDefault="00DD4458" w:rsidP="00D9764A">
      <w:pPr>
        <w:spacing w:line="600" w:lineRule="auto"/>
        <w:jc w:val="both"/>
        <w:rPr>
          <w:rFonts w:ascii="Arial" w:hAnsi="Arial" w:cs="Arial"/>
          <w:i/>
          <w:iCs/>
          <w:sz w:val="18"/>
          <w:szCs w:val="18"/>
        </w:rPr>
      </w:pPr>
      <w:r w:rsidRPr="00140A0A">
        <w:rPr>
          <w:rFonts w:ascii="Arial" w:hAnsi="Arial" w:cs="Arial"/>
          <w:i/>
          <w:iCs/>
          <w:sz w:val="18"/>
          <w:szCs w:val="18"/>
        </w:rPr>
        <w:t>Kaplan–Meier curves comparing observed overall survival between patients with documented treatment exposure and those who received no treatment. Untreated patients appeared to have shorter survival; however, this comparison should be interpreted cautiously because of the small sample size, treatment-selection bias, and high rate of censoring due to loss to follow-up.</w:t>
      </w:r>
    </w:p>
    <w:p w14:paraId="2CAE00E9" w14:textId="627D4AAD" w:rsidR="00D12868" w:rsidRPr="00140A0A" w:rsidRDefault="00D9764A" w:rsidP="00D9764A">
      <w:pPr>
        <w:pStyle w:val="Heading1"/>
        <w:spacing w:line="600" w:lineRule="auto"/>
        <w:jc w:val="both"/>
        <w:rPr>
          <w:rFonts w:ascii="Arial" w:hAnsi="Arial" w:cs="Arial"/>
          <w:color w:val="auto"/>
          <w:sz w:val="22"/>
          <w:szCs w:val="22"/>
        </w:rPr>
      </w:pPr>
      <w:r w:rsidRPr="00140A0A">
        <w:rPr>
          <w:rFonts w:ascii="Arial" w:hAnsi="Arial" w:cs="Arial"/>
          <w:color w:val="auto"/>
          <w:sz w:val="22"/>
          <w:szCs w:val="22"/>
        </w:rPr>
        <w:t>DISCUSSION</w:t>
      </w:r>
    </w:p>
    <w:p w14:paraId="28768090" w14:textId="7DB6A25A" w:rsidR="009D08BE" w:rsidRPr="00140A0A" w:rsidRDefault="009D08BE" w:rsidP="00D9764A">
      <w:pPr>
        <w:spacing w:line="600" w:lineRule="auto"/>
        <w:jc w:val="both"/>
        <w:rPr>
          <w:rFonts w:ascii="Arial" w:hAnsi="Arial" w:cs="Arial"/>
          <w:sz w:val="20"/>
          <w:szCs w:val="20"/>
          <w:vertAlign w:val="superscript"/>
        </w:rPr>
      </w:pPr>
      <w:r w:rsidRPr="00140A0A">
        <w:rPr>
          <w:rFonts w:ascii="Arial" w:hAnsi="Arial" w:cs="Arial"/>
          <w:sz w:val="20"/>
          <w:szCs w:val="20"/>
        </w:rPr>
        <w:t>The median age at presentation of our patients was relatively younger at 53 years, unlike that reported in high-income countries where CLL is typically diagnosed in the sixth to seventh decade of life</w:t>
      </w:r>
      <w:r w:rsidR="00810D2B" w:rsidRPr="00140A0A">
        <w:rPr>
          <w:rFonts w:ascii="Arial" w:hAnsi="Arial" w:cs="Arial"/>
          <w:sz w:val="20"/>
          <w:szCs w:val="20"/>
        </w:rPr>
        <w:t>.</w:t>
      </w:r>
      <w:r w:rsidR="005002CF" w:rsidRPr="00140A0A">
        <w:rPr>
          <w:rFonts w:ascii="Arial" w:hAnsi="Arial" w:cs="Arial"/>
          <w:sz w:val="20"/>
          <w:szCs w:val="20"/>
          <w:vertAlign w:val="superscript"/>
        </w:rPr>
        <w:t>1,</w:t>
      </w:r>
      <w:r w:rsidR="005471C6" w:rsidRPr="00140A0A">
        <w:rPr>
          <w:rFonts w:ascii="Arial" w:hAnsi="Arial" w:cs="Arial"/>
          <w:sz w:val="20"/>
          <w:szCs w:val="20"/>
          <w:vertAlign w:val="superscript"/>
        </w:rPr>
        <w:t>4</w:t>
      </w:r>
      <w:r w:rsidR="00810D2B" w:rsidRPr="00140A0A">
        <w:rPr>
          <w:rFonts w:ascii="Arial" w:hAnsi="Arial" w:cs="Arial"/>
          <w:sz w:val="20"/>
          <w:szCs w:val="20"/>
        </w:rPr>
        <w:t xml:space="preserve"> </w:t>
      </w:r>
      <w:r w:rsidRPr="00140A0A">
        <w:rPr>
          <w:rFonts w:ascii="Arial" w:hAnsi="Arial" w:cs="Arial"/>
          <w:sz w:val="20"/>
          <w:szCs w:val="20"/>
        </w:rPr>
        <w:t xml:space="preserve">Similar findings </w:t>
      </w:r>
      <w:r w:rsidR="006848F6" w:rsidRPr="00140A0A">
        <w:rPr>
          <w:rFonts w:ascii="Arial" w:hAnsi="Arial" w:cs="Arial"/>
          <w:sz w:val="20"/>
          <w:szCs w:val="20"/>
        </w:rPr>
        <w:t xml:space="preserve">of a younger age in African population </w:t>
      </w:r>
      <w:r w:rsidRPr="00140A0A">
        <w:rPr>
          <w:rFonts w:ascii="Arial" w:hAnsi="Arial" w:cs="Arial"/>
          <w:sz w:val="20"/>
          <w:szCs w:val="20"/>
        </w:rPr>
        <w:t xml:space="preserve">have been reported </w:t>
      </w:r>
      <w:r w:rsidR="008310D9" w:rsidRPr="00140A0A">
        <w:rPr>
          <w:rFonts w:ascii="Arial" w:hAnsi="Arial" w:cs="Arial"/>
          <w:sz w:val="20"/>
          <w:szCs w:val="20"/>
        </w:rPr>
        <w:t>by</w:t>
      </w:r>
      <w:r w:rsidRPr="00140A0A">
        <w:rPr>
          <w:rFonts w:ascii="Arial" w:hAnsi="Arial" w:cs="Arial"/>
          <w:sz w:val="20"/>
          <w:szCs w:val="20"/>
        </w:rPr>
        <w:t xml:space="preserve"> other studies</w:t>
      </w:r>
      <w:r w:rsidR="00D75CA6" w:rsidRPr="00140A0A">
        <w:rPr>
          <w:rFonts w:ascii="Arial" w:hAnsi="Arial" w:cs="Arial"/>
          <w:sz w:val="20"/>
          <w:szCs w:val="20"/>
          <w:vertAlign w:val="superscript"/>
        </w:rPr>
        <w:t>11,12</w:t>
      </w:r>
      <w:r w:rsidR="00D75CA6" w:rsidRPr="00140A0A">
        <w:rPr>
          <w:rFonts w:ascii="Arial" w:hAnsi="Arial" w:cs="Arial"/>
          <w:sz w:val="20"/>
          <w:szCs w:val="20"/>
        </w:rPr>
        <w:t>.</w:t>
      </w:r>
      <w:r w:rsidR="008310D9" w:rsidRPr="00140A0A">
        <w:rPr>
          <w:rFonts w:ascii="Arial" w:hAnsi="Arial" w:cs="Arial"/>
          <w:sz w:val="20"/>
          <w:szCs w:val="20"/>
        </w:rPr>
        <w:t xml:space="preserve">This </w:t>
      </w:r>
      <w:r w:rsidR="00A327BD" w:rsidRPr="00140A0A">
        <w:rPr>
          <w:rFonts w:ascii="Arial" w:hAnsi="Arial" w:cs="Arial"/>
          <w:sz w:val="20"/>
          <w:szCs w:val="20"/>
        </w:rPr>
        <w:t xml:space="preserve">difference in median age </w:t>
      </w:r>
      <w:r w:rsidR="008310D9" w:rsidRPr="00140A0A">
        <w:rPr>
          <w:rFonts w:ascii="Arial" w:hAnsi="Arial" w:cs="Arial"/>
          <w:sz w:val="20"/>
          <w:szCs w:val="20"/>
        </w:rPr>
        <w:t>may be due to</w:t>
      </w:r>
      <w:r w:rsidR="00A327BD" w:rsidRPr="00140A0A">
        <w:rPr>
          <w:rFonts w:ascii="Arial" w:hAnsi="Arial" w:cs="Arial"/>
          <w:sz w:val="20"/>
          <w:szCs w:val="20"/>
        </w:rPr>
        <w:t xml:space="preserve"> racial or ethnic differences,</w:t>
      </w:r>
      <w:r w:rsidRPr="00140A0A">
        <w:rPr>
          <w:rFonts w:ascii="Arial" w:hAnsi="Arial" w:cs="Arial"/>
          <w:sz w:val="20"/>
          <w:szCs w:val="20"/>
        </w:rPr>
        <w:t xml:space="preserve"> </w:t>
      </w:r>
      <w:r w:rsidR="003D73A1" w:rsidRPr="00140A0A">
        <w:rPr>
          <w:rFonts w:ascii="Arial" w:hAnsi="Arial" w:cs="Arial"/>
          <w:sz w:val="20"/>
          <w:szCs w:val="20"/>
        </w:rPr>
        <w:t xml:space="preserve">population age </w:t>
      </w:r>
      <w:r w:rsidRPr="00140A0A">
        <w:rPr>
          <w:rFonts w:ascii="Arial" w:hAnsi="Arial" w:cs="Arial"/>
          <w:sz w:val="20"/>
          <w:szCs w:val="20"/>
        </w:rPr>
        <w:t>structure, referral patterns, and possible underdiagnosis in older populations</w:t>
      </w:r>
      <w:r w:rsidR="00810D2B" w:rsidRPr="00140A0A">
        <w:rPr>
          <w:rFonts w:ascii="Arial" w:hAnsi="Arial" w:cs="Arial"/>
          <w:sz w:val="20"/>
          <w:szCs w:val="20"/>
        </w:rPr>
        <w:t xml:space="preserve">. </w:t>
      </w:r>
      <w:r w:rsidRPr="00140A0A">
        <w:rPr>
          <w:rFonts w:ascii="Arial" w:hAnsi="Arial" w:cs="Arial"/>
          <w:sz w:val="20"/>
          <w:szCs w:val="20"/>
        </w:rPr>
        <w:t>The younger age distribution has important implications in low-resource settings, where patients are often economically active and may face substantial financial hardship during prolonged cancer care.</w:t>
      </w:r>
      <w:r w:rsidR="005471C6" w:rsidRPr="00140A0A">
        <w:rPr>
          <w:rFonts w:ascii="Arial" w:hAnsi="Arial" w:cs="Arial"/>
          <w:sz w:val="20"/>
          <w:szCs w:val="20"/>
          <w:vertAlign w:val="superscript"/>
        </w:rPr>
        <w:t>1</w:t>
      </w:r>
      <w:r w:rsidR="002B0EBB" w:rsidRPr="00140A0A">
        <w:rPr>
          <w:rFonts w:ascii="Arial" w:hAnsi="Arial" w:cs="Arial"/>
          <w:sz w:val="20"/>
          <w:szCs w:val="20"/>
          <w:vertAlign w:val="superscript"/>
        </w:rPr>
        <w:t>3</w:t>
      </w:r>
    </w:p>
    <w:p w14:paraId="5478DF95" w14:textId="5C067122" w:rsidR="009D08BE" w:rsidRPr="00140A0A" w:rsidRDefault="00404C1C" w:rsidP="00D9764A">
      <w:pPr>
        <w:spacing w:line="600" w:lineRule="auto"/>
        <w:jc w:val="both"/>
        <w:rPr>
          <w:rFonts w:ascii="Arial" w:hAnsi="Arial" w:cs="Arial"/>
          <w:sz w:val="20"/>
          <w:szCs w:val="20"/>
        </w:rPr>
      </w:pPr>
      <w:r w:rsidRPr="00140A0A">
        <w:rPr>
          <w:rFonts w:ascii="Arial" w:hAnsi="Arial" w:cs="Arial"/>
          <w:sz w:val="20"/>
          <w:szCs w:val="20"/>
        </w:rPr>
        <w:lastRenderedPageBreak/>
        <w:t xml:space="preserve">Over three-quarters of patients presented with advanced Rai stage III–IV disease, and more than half had Binet stage C disease, </w:t>
      </w:r>
      <w:r w:rsidR="00664BFC" w:rsidRPr="00140A0A">
        <w:rPr>
          <w:rFonts w:ascii="Arial" w:hAnsi="Arial" w:cs="Arial"/>
          <w:sz w:val="20"/>
          <w:szCs w:val="20"/>
        </w:rPr>
        <w:t xml:space="preserve">which suggests delayed diagnosis or referral </w:t>
      </w:r>
      <w:r w:rsidR="009D08BE" w:rsidRPr="00140A0A">
        <w:rPr>
          <w:rFonts w:ascii="Arial" w:hAnsi="Arial" w:cs="Arial"/>
          <w:sz w:val="20"/>
          <w:szCs w:val="20"/>
        </w:rPr>
        <w:t xml:space="preserve">to specialist care. </w:t>
      </w:r>
      <w:r w:rsidR="00296EBB" w:rsidRPr="00140A0A">
        <w:rPr>
          <w:rFonts w:ascii="Arial" w:hAnsi="Arial" w:cs="Arial"/>
          <w:sz w:val="20"/>
          <w:szCs w:val="20"/>
        </w:rPr>
        <w:t>These findings are consistent with previous Nigerian studies and underscore the importance of improving earlier diagnosis and linkage to specialist care.</w:t>
      </w:r>
      <w:r w:rsidR="00E13596" w:rsidRPr="00140A0A">
        <w:rPr>
          <w:rFonts w:ascii="Arial" w:hAnsi="Arial" w:cs="Arial"/>
          <w:sz w:val="20"/>
          <w:szCs w:val="20"/>
          <w:vertAlign w:val="superscript"/>
        </w:rPr>
        <w:t>11,12</w:t>
      </w:r>
      <w:r w:rsidR="005471C6" w:rsidRPr="00140A0A">
        <w:rPr>
          <w:rFonts w:ascii="Arial" w:hAnsi="Arial" w:cs="Arial"/>
          <w:sz w:val="20"/>
          <w:szCs w:val="20"/>
          <w:vertAlign w:val="superscript"/>
        </w:rPr>
        <w:t>,</w:t>
      </w:r>
      <w:r w:rsidR="00E13596" w:rsidRPr="00140A0A">
        <w:rPr>
          <w:rFonts w:ascii="Arial" w:hAnsi="Arial" w:cs="Arial"/>
          <w:sz w:val="20"/>
          <w:szCs w:val="20"/>
          <w:vertAlign w:val="superscript"/>
        </w:rPr>
        <w:t>14,15</w:t>
      </w:r>
      <w:r w:rsidR="00513A69">
        <w:rPr>
          <w:rFonts w:ascii="Arial" w:hAnsi="Arial" w:cs="Arial"/>
          <w:sz w:val="20"/>
          <w:szCs w:val="20"/>
          <w:vertAlign w:val="superscript"/>
        </w:rPr>
        <w:t>,16</w:t>
      </w:r>
      <w:r w:rsidR="00296EBB" w:rsidRPr="00140A0A">
        <w:rPr>
          <w:rFonts w:ascii="Arial" w:hAnsi="Arial" w:cs="Arial"/>
          <w:sz w:val="20"/>
          <w:szCs w:val="20"/>
        </w:rPr>
        <w:t xml:space="preserve"> </w:t>
      </w:r>
      <w:r w:rsidR="001F04E7" w:rsidRPr="001F04E7">
        <w:rPr>
          <w:rFonts w:ascii="Arial" w:hAnsi="Arial" w:cs="Arial"/>
          <w:color w:val="EE0000"/>
          <w:sz w:val="20"/>
          <w:szCs w:val="20"/>
        </w:rPr>
        <w:t xml:space="preserve">Our patients had late </w:t>
      </w:r>
      <w:r w:rsidR="00513A69">
        <w:rPr>
          <w:rFonts w:ascii="Arial" w:hAnsi="Arial" w:cs="Arial"/>
          <w:color w:val="EE0000"/>
          <w:sz w:val="20"/>
          <w:szCs w:val="20"/>
        </w:rPr>
        <w:t>presentation</w:t>
      </w:r>
      <w:r w:rsidR="001F04E7" w:rsidRPr="001F04E7">
        <w:rPr>
          <w:rFonts w:ascii="Arial" w:hAnsi="Arial" w:cs="Arial"/>
          <w:color w:val="EE0000"/>
          <w:sz w:val="20"/>
          <w:szCs w:val="20"/>
        </w:rPr>
        <w:t xml:space="preserve"> because t</w:t>
      </w:r>
      <w:r w:rsidR="00664BFC" w:rsidRPr="001F04E7">
        <w:rPr>
          <w:rFonts w:ascii="Arial" w:hAnsi="Arial" w:cs="Arial"/>
          <w:color w:val="EE0000"/>
          <w:sz w:val="20"/>
          <w:szCs w:val="20"/>
        </w:rPr>
        <w:t xml:space="preserve">here is poor health-seeking </w:t>
      </w:r>
      <w:proofErr w:type="spellStart"/>
      <w:r w:rsidR="00664BFC" w:rsidRPr="001F04E7">
        <w:rPr>
          <w:rFonts w:ascii="Arial" w:hAnsi="Arial" w:cs="Arial"/>
          <w:color w:val="EE0000"/>
          <w:sz w:val="20"/>
          <w:szCs w:val="20"/>
        </w:rPr>
        <w:t>behaviour</w:t>
      </w:r>
      <w:proofErr w:type="spellEnd"/>
      <w:r w:rsidR="00664BFC" w:rsidRPr="001F04E7">
        <w:rPr>
          <w:rFonts w:ascii="Arial" w:hAnsi="Arial" w:cs="Arial"/>
          <w:color w:val="EE0000"/>
          <w:sz w:val="20"/>
          <w:szCs w:val="20"/>
        </w:rPr>
        <w:t xml:space="preserve"> in our environment</w:t>
      </w:r>
      <w:r w:rsidRPr="001F04E7">
        <w:rPr>
          <w:rFonts w:ascii="Arial" w:hAnsi="Arial" w:cs="Arial"/>
          <w:color w:val="EE0000"/>
          <w:sz w:val="20"/>
          <w:szCs w:val="20"/>
        </w:rPr>
        <w:t xml:space="preserve"> due to socio-economic factors, religious and cultural beliefs and lack of awareness. Often, many patients first seek medical attention in local pharmacies before presenting to the hospital, leading to </w:t>
      </w:r>
      <w:r w:rsidR="00664BFC" w:rsidRPr="001F04E7">
        <w:rPr>
          <w:rFonts w:ascii="Arial" w:hAnsi="Arial" w:cs="Arial"/>
          <w:color w:val="EE0000"/>
          <w:sz w:val="20"/>
          <w:szCs w:val="20"/>
        </w:rPr>
        <w:t xml:space="preserve">late presentation </w:t>
      </w:r>
      <w:r w:rsidRPr="001F04E7">
        <w:rPr>
          <w:rFonts w:ascii="Arial" w:hAnsi="Arial" w:cs="Arial"/>
          <w:color w:val="EE0000"/>
          <w:sz w:val="20"/>
          <w:szCs w:val="20"/>
        </w:rPr>
        <w:t>at</w:t>
      </w:r>
      <w:r w:rsidR="00664BFC" w:rsidRPr="001F04E7">
        <w:rPr>
          <w:rFonts w:ascii="Arial" w:hAnsi="Arial" w:cs="Arial"/>
          <w:color w:val="EE0000"/>
          <w:sz w:val="20"/>
          <w:szCs w:val="20"/>
        </w:rPr>
        <w:t xml:space="preserve"> the hospital for care. </w:t>
      </w:r>
      <w:r w:rsidR="00664BFC" w:rsidRPr="001F04E7">
        <w:rPr>
          <w:rFonts w:ascii="Arial" w:hAnsi="Arial" w:cs="Arial"/>
          <w:b/>
          <w:bCs/>
          <w:color w:val="EE0000"/>
          <w:sz w:val="20"/>
          <w:szCs w:val="20"/>
        </w:rPr>
        <w:t xml:space="preserve"> </w:t>
      </w:r>
      <w:r w:rsidR="00296EBB" w:rsidRPr="00140A0A">
        <w:rPr>
          <w:rFonts w:ascii="Arial" w:hAnsi="Arial" w:cs="Arial"/>
          <w:sz w:val="20"/>
          <w:szCs w:val="20"/>
        </w:rPr>
        <w:t>The baseline haematologic findings further support this interpretation. There was a high prevalence of anaemia and thrombocytopenia in our patients, suggesting significant bone marrow compromise at time of presentation, although autoantibodies to red cells and platelets may also play a role in development of these cytopoenias in CLL.</w:t>
      </w:r>
      <w:r w:rsidR="00296388" w:rsidRPr="00140A0A">
        <w:rPr>
          <w:rFonts w:ascii="Arial" w:hAnsi="Arial" w:cs="Arial"/>
          <w:sz w:val="20"/>
          <w:szCs w:val="20"/>
          <w:vertAlign w:val="superscript"/>
        </w:rPr>
        <w:t>1</w:t>
      </w:r>
      <w:r w:rsidR="00513A69">
        <w:rPr>
          <w:rFonts w:ascii="Arial" w:hAnsi="Arial" w:cs="Arial"/>
          <w:sz w:val="20"/>
          <w:szCs w:val="20"/>
          <w:vertAlign w:val="superscript"/>
        </w:rPr>
        <w:t>7</w:t>
      </w:r>
      <w:r w:rsidR="00296388" w:rsidRPr="00140A0A">
        <w:rPr>
          <w:rFonts w:ascii="Arial" w:hAnsi="Arial" w:cs="Arial"/>
          <w:sz w:val="20"/>
          <w:szCs w:val="20"/>
          <w:vertAlign w:val="superscript"/>
        </w:rPr>
        <w:t>,1</w:t>
      </w:r>
      <w:r w:rsidR="00513A69">
        <w:rPr>
          <w:rFonts w:ascii="Arial" w:hAnsi="Arial" w:cs="Arial"/>
          <w:sz w:val="20"/>
          <w:szCs w:val="20"/>
          <w:vertAlign w:val="superscript"/>
        </w:rPr>
        <w:t>8</w:t>
      </w:r>
      <w:r w:rsidR="00296EBB" w:rsidRPr="00140A0A">
        <w:rPr>
          <w:rFonts w:ascii="Arial" w:hAnsi="Arial" w:cs="Arial"/>
          <w:sz w:val="20"/>
          <w:szCs w:val="20"/>
        </w:rPr>
        <w:t xml:space="preserve"> </w:t>
      </w:r>
      <w:r w:rsidR="009D08BE" w:rsidRPr="00140A0A">
        <w:rPr>
          <w:rFonts w:ascii="Arial" w:hAnsi="Arial" w:cs="Arial"/>
          <w:sz w:val="20"/>
          <w:szCs w:val="20"/>
        </w:rPr>
        <w:t>The predominance of advanced disease in this cohort likely reflects gaps in early detection, limited access to diagnostic services, and barriers to timely referral.</w:t>
      </w:r>
    </w:p>
    <w:p w14:paraId="348E2D70" w14:textId="026E5D94" w:rsidR="00CC312B" w:rsidRPr="00140A0A" w:rsidRDefault="00CC312B" w:rsidP="00D9764A">
      <w:pPr>
        <w:spacing w:line="600" w:lineRule="auto"/>
        <w:jc w:val="both"/>
        <w:rPr>
          <w:rFonts w:ascii="Arial" w:hAnsi="Arial" w:cs="Arial"/>
          <w:sz w:val="20"/>
          <w:szCs w:val="20"/>
        </w:rPr>
      </w:pPr>
      <w:r w:rsidRPr="00140A0A">
        <w:rPr>
          <w:rFonts w:ascii="Arial" w:hAnsi="Arial" w:cs="Arial"/>
          <w:sz w:val="20"/>
          <w:szCs w:val="20"/>
        </w:rPr>
        <w:t>A notable finding in this study was the marked paucity of immunophenotyping data, which highlights an important diagnostic gap in the evaluation of CLL in our environment. Immunophenotyping is central to the accurate diagnosis of CLL, but the majority of our patients did not have immunophenotyping done. CD20 status was unavailable for most patients, while CD5, CD3, CD10, and CD45 were performed for only a very small minority of cases. This reflects the limited access to flow cytometry and immunophenotypic work-up, as patients who had the test done had to have their samples shipped to an external laboratory for the test to be done thereby increasing the financial burden of performing the test due to unavailability of a flow cytometer in our centre at the time of writing this report.</w:t>
      </w:r>
      <w:r w:rsidR="00633CAB" w:rsidRPr="00140A0A">
        <w:rPr>
          <w:rFonts w:ascii="Arial" w:hAnsi="Arial" w:cs="Arial"/>
          <w:sz w:val="20"/>
          <w:szCs w:val="20"/>
          <w:vertAlign w:val="superscript"/>
        </w:rPr>
        <w:t>1</w:t>
      </w:r>
      <w:r w:rsidR="00513A69">
        <w:rPr>
          <w:rFonts w:ascii="Arial" w:hAnsi="Arial" w:cs="Arial"/>
          <w:sz w:val="20"/>
          <w:szCs w:val="20"/>
          <w:vertAlign w:val="superscript"/>
        </w:rPr>
        <w:t>9</w:t>
      </w:r>
      <w:r w:rsidRPr="00140A0A">
        <w:rPr>
          <w:rFonts w:ascii="Arial" w:hAnsi="Arial" w:cs="Arial"/>
          <w:sz w:val="20"/>
          <w:szCs w:val="20"/>
        </w:rPr>
        <w:t xml:space="preserve"> In routine CLL practice, markers such as CD5, CD19, CD20, CD23, and light-chain restriction are essential for diagnostic confirmation and for distinguishing CLL from other mature B-cell lymphoproliferative disorders.</w:t>
      </w:r>
      <w:r w:rsidR="00225F7C" w:rsidRPr="00140A0A">
        <w:rPr>
          <w:rFonts w:ascii="Arial" w:hAnsi="Arial" w:cs="Arial"/>
          <w:sz w:val="20"/>
          <w:szCs w:val="20"/>
          <w:vertAlign w:val="superscript"/>
        </w:rPr>
        <w:t>1,</w:t>
      </w:r>
      <w:r w:rsidR="00513A69">
        <w:rPr>
          <w:rFonts w:ascii="Arial" w:hAnsi="Arial" w:cs="Arial"/>
          <w:sz w:val="20"/>
          <w:szCs w:val="20"/>
          <w:vertAlign w:val="superscript"/>
        </w:rPr>
        <w:t>20</w:t>
      </w:r>
      <w:r w:rsidR="005F724E" w:rsidRPr="00140A0A">
        <w:rPr>
          <w:rFonts w:ascii="Arial" w:hAnsi="Arial" w:cs="Arial"/>
          <w:sz w:val="20"/>
          <w:szCs w:val="20"/>
          <w:vertAlign w:val="superscript"/>
        </w:rPr>
        <w:t>,2</w:t>
      </w:r>
      <w:r w:rsidR="00513A69">
        <w:rPr>
          <w:rFonts w:ascii="Arial" w:hAnsi="Arial" w:cs="Arial"/>
          <w:sz w:val="20"/>
          <w:szCs w:val="20"/>
          <w:vertAlign w:val="superscript"/>
        </w:rPr>
        <w:t>1</w:t>
      </w:r>
      <w:r w:rsidRPr="00140A0A">
        <w:rPr>
          <w:rFonts w:ascii="Arial" w:hAnsi="Arial" w:cs="Arial"/>
          <w:sz w:val="20"/>
          <w:szCs w:val="20"/>
        </w:rPr>
        <w:t xml:space="preserve"> The scarcity of these data in our cohort </w:t>
      </w:r>
      <w:r w:rsidR="003D1C91" w:rsidRPr="00140A0A">
        <w:rPr>
          <w:rFonts w:ascii="Arial" w:hAnsi="Arial" w:cs="Arial"/>
          <w:sz w:val="20"/>
          <w:szCs w:val="20"/>
        </w:rPr>
        <w:t>highlights</w:t>
      </w:r>
      <w:r w:rsidRPr="00140A0A">
        <w:rPr>
          <w:rFonts w:ascii="Arial" w:hAnsi="Arial" w:cs="Arial"/>
          <w:sz w:val="20"/>
          <w:szCs w:val="20"/>
        </w:rPr>
        <w:t xml:space="preserve"> that </w:t>
      </w:r>
      <w:r w:rsidRPr="00140A0A">
        <w:rPr>
          <w:rFonts w:ascii="Arial" w:hAnsi="Arial" w:cs="Arial"/>
          <w:sz w:val="20"/>
          <w:szCs w:val="20"/>
        </w:rPr>
        <w:lastRenderedPageBreak/>
        <w:t>diagnostic pathways remain constrained</w:t>
      </w:r>
      <w:r w:rsidR="003D1C91" w:rsidRPr="00140A0A">
        <w:rPr>
          <w:rFonts w:ascii="Arial" w:hAnsi="Arial" w:cs="Arial"/>
          <w:sz w:val="20"/>
          <w:szCs w:val="20"/>
        </w:rPr>
        <w:t xml:space="preserve">. </w:t>
      </w:r>
      <w:r w:rsidRPr="00140A0A">
        <w:rPr>
          <w:rFonts w:ascii="Arial" w:hAnsi="Arial" w:cs="Arial"/>
          <w:sz w:val="20"/>
          <w:szCs w:val="20"/>
        </w:rPr>
        <w:t>This finding further underscores the broader structural limitations affecting haematologic cancer care in resource-constrained environments</w:t>
      </w:r>
      <w:r w:rsidR="00C32F8B" w:rsidRPr="00140A0A">
        <w:rPr>
          <w:rFonts w:ascii="Arial" w:hAnsi="Arial" w:cs="Arial"/>
          <w:sz w:val="20"/>
          <w:szCs w:val="20"/>
        </w:rPr>
        <w:t>.</w:t>
      </w:r>
    </w:p>
    <w:p w14:paraId="73547A5C" w14:textId="695CE3A9" w:rsidR="009D08BE" w:rsidRPr="00140A0A" w:rsidRDefault="003D73A1" w:rsidP="00D9764A">
      <w:pPr>
        <w:spacing w:line="600" w:lineRule="auto"/>
        <w:jc w:val="both"/>
        <w:rPr>
          <w:rFonts w:ascii="Arial" w:hAnsi="Arial" w:cs="Arial"/>
          <w:sz w:val="20"/>
          <w:szCs w:val="20"/>
        </w:rPr>
      </w:pPr>
      <w:r w:rsidRPr="00140A0A">
        <w:rPr>
          <w:rFonts w:ascii="Arial" w:hAnsi="Arial" w:cs="Arial"/>
          <w:sz w:val="20"/>
          <w:szCs w:val="20"/>
        </w:rPr>
        <w:t xml:space="preserve">The treatment data highlights a major therapeutic access gap. Management for those who received treatment was dominated by older cytotoxic or pragmatic regimens, with very limited use of targeted therapy. </w:t>
      </w:r>
      <w:r w:rsidR="009C4ADC" w:rsidRPr="00140A0A">
        <w:rPr>
          <w:rFonts w:ascii="Arial" w:hAnsi="Arial" w:cs="Arial"/>
          <w:sz w:val="20"/>
          <w:szCs w:val="20"/>
        </w:rPr>
        <w:t>Choice of therapy was largely determined by patients’ ability to pay out of pocket, reflecting the strong influence of financial constraints on access to care in this resource-constrained setting. As a result, affordability played a critical role in the selection of treatment regimens. A</w:t>
      </w:r>
      <w:r w:rsidR="009D08BE" w:rsidRPr="00140A0A">
        <w:rPr>
          <w:rFonts w:ascii="Arial" w:hAnsi="Arial" w:cs="Arial"/>
          <w:sz w:val="20"/>
          <w:szCs w:val="20"/>
        </w:rPr>
        <w:t>lkylator-based and combination chemotherapy regimens</w:t>
      </w:r>
      <w:r w:rsidR="009C4ADC" w:rsidRPr="00140A0A">
        <w:rPr>
          <w:rFonts w:ascii="Arial" w:hAnsi="Arial" w:cs="Arial"/>
          <w:sz w:val="20"/>
          <w:szCs w:val="20"/>
        </w:rPr>
        <w:t xml:space="preserve"> dominated the treatment regimens for our patients</w:t>
      </w:r>
      <w:r w:rsidR="009D08BE" w:rsidRPr="00140A0A">
        <w:rPr>
          <w:rFonts w:ascii="Arial" w:hAnsi="Arial" w:cs="Arial"/>
          <w:sz w:val="20"/>
          <w:szCs w:val="20"/>
        </w:rPr>
        <w:t>, with only a small proportion receiving</w:t>
      </w:r>
      <w:r w:rsidR="009C4ADC" w:rsidRPr="00140A0A">
        <w:rPr>
          <w:rFonts w:ascii="Arial" w:hAnsi="Arial" w:cs="Arial"/>
          <w:sz w:val="20"/>
          <w:szCs w:val="20"/>
        </w:rPr>
        <w:t xml:space="preserve"> </w:t>
      </w:r>
      <w:r w:rsidR="0096501C" w:rsidRPr="00140A0A">
        <w:rPr>
          <w:rFonts w:ascii="Arial" w:hAnsi="Arial" w:cs="Arial"/>
          <w:sz w:val="20"/>
          <w:szCs w:val="20"/>
        </w:rPr>
        <w:t>chemoimmunotherapy with</w:t>
      </w:r>
      <w:r w:rsidR="009D08BE" w:rsidRPr="00140A0A">
        <w:rPr>
          <w:rFonts w:ascii="Arial" w:hAnsi="Arial" w:cs="Arial"/>
          <w:sz w:val="20"/>
          <w:szCs w:val="20"/>
        </w:rPr>
        <w:t xml:space="preserve"> rituximab-</w:t>
      </w:r>
      <w:r w:rsidR="0096501C" w:rsidRPr="00140A0A">
        <w:rPr>
          <w:rFonts w:ascii="Arial" w:hAnsi="Arial" w:cs="Arial"/>
          <w:sz w:val="20"/>
          <w:szCs w:val="20"/>
        </w:rPr>
        <w:t>based regimens</w:t>
      </w:r>
      <w:r w:rsidR="009D08BE" w:rsidRPr="00140A0A">
        <w:rPr>
          <w:rFonts w:ascii="Arial" w:hAnsi="Arial" w:cs="Arial"/>
          <w:sz w:val="20"/>
          <w:szCs w:val="20"/>
        </w:rPr>
        <w:t xml:space="preserve"> or targeted therapies. This</w:t>
      </w:r>
      <w:r w:rsidR="0096501C" w:rsidRPr="00140A0A">
        <w:rPr>
          <w:rFonts w:ascii="Arial" w:hAnsi="Arial" w:cs="Arial"/>
          <w:sz w:val="20"/>
          <w:szCs w:val="20"/>
        </w:rPr>
        <w:t xml:space="preserve"> is in</w:t>
      </w:r>
      <w:r w:rsidR="009D08BE" w:rsidRPr="00140A0A">
        <w:rPr>
          <w:rFonts w:ascii="Arial" w:hAnsi="Arial" w:cs="Arial"/>
          <w:sz w:val="20"/>
          <w:szCs w:val="20"/>
        </w:rPr>
        <w:t xml:space="preserve"> contrast</w:t>
      </w:r>
      <w:r w:rsidR="0096501C" w:rsidRPr="00140A0A">
        <w:rPr>
          <w:rFonts w:ascii="Arial" w:hAnsi="Arial" w:cs="Arial"/>
          <w:sz w:val="20"/>
          <w:szCs w:val="20"/>
        </w:rPr>
        <w:t xml:space="preserve"> to management of</w:t>
      </w:r>
      <w:r w:rsidR="009D08BE" w:rsidRPr="00140A0A">
        <w:rPr>
          <w:rFonts w:ascii="Arial" w:hAnsi="Arial" w:cs="Arial"/>
          <w:sz w:val="20"/>
          <w:szCs w:val="20"/>
        </w:rPr>
        <w:t xml:space="preserve"> CLL in high-income settings, where targeted agents such</w:t>
      </w:r>
      <w:r w:rsidR="001C6D44" w:rsidRPr="00140A0A">
        <w:rPr>
          <w:rFonts w:ascii="Arial" w:hAnsi="Arial" w:cs="Arial"/>
          <w:sz w:val="20"/>
          <w:szCs w:val="20"/>
        </w:rPr>
        <w:t xml:space="preserve"> as</w:t>
      </w:r>
      <w:r w:rsidR="009D08BE" w:rsidRPr="00140A0A">
        <w:rPr>
          <w:rFonts w:ascii="Arial" w:hAnsi="Arial" w:cs="Arial"/>
          <w:sz w:val="20"/>
          <w:szCs w:val="20"/>
        </w:rPr>
        <w:t xml:space="preserve"> </w:t>
      </w:r>
      <w:proofErr w:type="spellStart"/>
      <w:r w:rsidR="0096501C" w:rsidRPr="00140A0A">
        <w:rPr>
          <w:rFonts w:ascii="Arial" w:hAnsi="Arial" w:cs="Arial"/>
          <w:sz w:val="20"/>
          <w:szCs w:val="20"/>
        </w:rPr>
        <w:t>ibtutinib</w:t>
      </w:r>
      <w:proofErr w:type="spellEnd"/>
      <w:r w:rsidR="001C6D44" w:rsidRPr="00140A0A">
        <w:rPr>
          <w:rFonts w:ascii="Arial" w:hAnsi="Arial" w:cs="Arial"/>
          <w:sz w:val="20"/>
          <w:szCs w:val="20"/>
        </w:rPr>
        <w:t>,</w:t>
      </w:r>
      <w:r w:rsidR="0096501C" w:rsidRPr="00140A0A">
        <w:rPr>
          <w:rFonts w:ascii="Arial" w:hAnsi="Arial" w:cs="Arial"/>
          <w:sz w:val="20"/>
          <w:szCs w:val="20"/>
        </w:rPr>
        <w:t xml:space="preserve"> the </w:t>
      </w:r>
      <w:r w:rsidR="009D08BE" w:rsidRPr="00140A0A">
        <w:rPr>
          <w:rFonts w:ascii="Arial" w:hAnsi="Arial" w:cs="Arial"/>
          <w:sz w:val="20"/>
          <w:szCs w:val="20"/>
        </w:rPr>
        <w:t>Bruton tyrosine kinase</w:t>
      </w:r>
      <w:r w:rsidR="001C6D44" w:rsidRPr="00140A0A">
        <w:rPr>
          <w:rFonts w:ascii="Arial" w:hAnsi="Arial" w:cs="Arial"/>
          <w:sz w:val="20"/>
          <w:szCs w:val="20"/>
        </w:rPr>
        <w:t xml:space="preserve"> (BTK)</w:t>
      </w:r>
      <w:r w:rsidR="009D08BE" w:rsidRPr="00140A0A">
        <w:rPr>
          <w:rFonts w:ascii="Arial" w:hAnsi="Arial" w:cs="Arial"/>
          <w:sz w:val="20"/>
          <w:szCs w:val="20"/>
        </w:rPr>
        <w:t xml:space="preserve"> inhibitor</w:t>
      </w:r>
      <w:r w:rsidR="001C6D44" w:rsidRPr="00140A0A">
        <w:rPr>
          <w:rFonts w:ascii="Arial" w:hAnsi="Arial" w:cs="Arial"/>
          <w:sz w:val="20"/>
          <w:szCs w:val="20"/>
        </w:rPr>
        <w:t>;</w:t>
      </w:r>
      <w:r w:rsidR="009D08BE" w:rsidRPr="00140A0A">
        <w:rPr>
          <w:rFonts w:ascii="Arial" w:hAnsi="Arial" w:cs="Arial"/>
          <w:sz w:val="20"/>
          <w:szCs w:val="20"/>
        </w:rPr>
        <w:t xml:space="preserve"> and </w:t>
      </w:r>
      <w:r w:rsidR="0096501C" w:rsidRPr="00140A0A">
        <w:rPr>
          <w:rFonts w:ascii="Arial" w:hAnsi="Arial" w:cs="Arial"/>
          <w:sz w:val="20"/>
          <w:szCs w:val="20"/>
        </w:rPr>
        <w:t>venetocla</w:t>
      </w:r>
      <w:r w:rsidR="001C6D44" w:rsidRPr="00140A0A">
        <w:rPr>
          <w:rFonts w:ascii="Arial" w:hAnsi="Arial" w:cs="Arial"/>
          <w:sz w:val="20"/>
          <w:szCs w:val="20"/>
        </w:rPr>
        <w:t>x</w:t>
      </w:r>
      <w:r w:rsidR="0096501C" w:rsidRPr="00140A0A">
        <w:rPr>
          <w:rFonts w:ascii="Arial" w:hAnsi="Arial" w:cs="Arial"/>
          <w:sz w:val="20"/>
          <w:szCs w:val="20"/>
        </w:rPr>
        <w:t xml:space="preserve"> </w:t>
      </w:r>
      <w:r w:rsidR="001C6D44" w:rsidRPr="00140A0A">
        <w:rPr>
          <w:rFonts w:ascii="Arial" w:hAnsi="Arial" w:cs="Arial"/>
          <w:sz w:val="20"/>
          <w:szCs w:val="20"/>
        </w:rPr>
        <w:t>(which inhibits</w:t>
      </w:r>
      <w:r w:rsidR="0096501C" w:rsidRPr="00140A0A">
        <w:rPr>
          <w:rFonts w:ascii="Arial" w:hAnsi="Arial" w:cs="Arial"/>
          <w:sz w:val="20"/>
          <w:szCs w:val="20"/>
        </w:rPr>
        <w:t xml:space="preserve"> </w:t>
      </w:r>
      <w:r w:rsidR="009D08BE" w:rsidRPr="00140A0A">
        <w:rPr>
          <w:rFonts w:ascii="Arial" w:hAnsi="Arial" w:cs="Arial"/>
          <w:sz w:val="20"/>
          <w:szCs w:val="20"/>
        </w:rPr>
        <w:t>BCL2</w:t>
      </w:r>
      <w:r w:rsidR="001C6D44" w:rsidRPr="00140A0A">
        <w:rPr>
          <w:rFonts w:ascii="Arial" w:hAnsi="Arial" w:cs="Arial"/>
          <w:sz w:val="20"/>
          <w:szCs w:val="20"/>
        </w:rPr>
        <w:t>)</w:t>
      </w:r>
      <w:r w:rsidR="009D08BE" w:rsidRPr="00140A0A">
        <w:rPr>
          <w:rFonts w:ascii="Arial" w:hAnsi="Arial" w:cs="Arial"/>
          <w:sz w:val="20"/>
          <w:szCs w:val="20"/>
        </w:rPr>
        <w:t xml:space="preserve"> have</w:t>
      </w:r>
      <w:r w:rsidR="0096501C" w:rsidRPr="00140A0A">
        <w:rPr>
          <w:rFonts w:ascii="Arial" w:hAnsi="Arial" w:cs="Arial"/>
          <w:sz w:val="20"/>
          <w:szCs w:val="20"/>
        </w:rPr>
        <w:t xml:space="preserve"> taken the frontline in treatment of CLL</w:t>
      </w:r>
      <w:r w:rsidR="009D08BE" w:rsidRPr="00140A0A">
        <w:rPr>
          <w:rFonts w:ascii="Arial" w:hAnsi="Arial" w:cs="Arial"/>
          <w:sz w:val="20"/>
          <w:szCs w:val="20"/>
        </w:rPr>
        <w:t>.</w:t>
      </w:r>
      <w:r w:rsidR="00C32F8B" w:rsidRPr="00140A0A">
        <w:rPr>
          <w:rFonts w:ascii="Arial" w:hAnsi="Arial" w:cs="Arial"/>
          <w:sz w:val="20"/>
          <w:szCs w:val="20"/>
          <w:vertAlign w:val="superscript"/>
        </w:rPr>
        <w:t>2</w:t>
      </w:r>
      <w:r w:rsidR="00513A69">
        <w:rPr>
          <w:rFonts w:ascii="Arial" w:hAnsi="Arial" w:cs="Arial"/>
          <w:sz w:val="20"/>
          <w:szCs w:val="20"/>
          <w:vertAlign w:val="superscript"/>
        </w:rPr>
        <w:t>2 -  25</w:t>
      </w:r>
      <w:r w:rsidR="009D08BE" w:rsidRPr="00140A0A">
        <w:rPr>
          <w:rFonts w:ascii="Arial" w:hAnsi="Arial" w:cs="Arial"/>
          <w:sz w:val="20"/>
          <w:szCs w:val="20"/>
        </w:rPr>
        <w:t xml:space="preserve"> The limited use of rituximab-based regimens (13.0% in this cohort) highlights a critical therapeutic gap and suggests that</w:t>
      </w:r>
      <w:r w:rsidR="0096501C" w:rsidRPr="00140A0A">
        <w:rPr>
          <w:rFonts w:ascii="Arial" w:hAnsi="Arial" w:cs="Arial"/>
          <w:sz w:val="20"/>
          <w:szCs w:val="20"/>
        </w:rPr>
        <w:t xml:space="preserve"> </w:t>
      </w:r>
      <w:r w:rsidR="009D08BE" w:rsidRPr="00140A0A">
        <w:rPr>
          <w:rFonts w:ascii="Arial" w:hAnsi="Arial" w:cs="Arial"/>
          <w:sz w:val="20"/>
          <w:szCs w:val="20"/>
        </w:rPr>
        <w:t>access</w:t>
      </w:r>
      <w:r w:rsidR="0096501C" w:rsidRPr="00140A0A">
        <w:rPr>
          <w:rFonts w:ascii="Arial" w:hAnsi="Arial" w:cs="Arial"/>
          <w:sz w:val="20"/>
          <w:szCs w:val="20"/>
        </w:rPr>
        <w:t xml:space="preserve"> </w:t>
      </w:r>
      <w:r w:rsidR="009D08BE" w:rsidRPr="00140A0A">
        <w:rPr>
          <w:rFonts w:ascii="Arial" w:hAnsi="Arial" w:cs="Arial"/>
          <w:sz w:val="20"/>
          <w:szCs w:val="20"/>
        </w:rPr>
        <w:t>to standard-of-care treatment remains restricted.</w:t>
      </w:r>
    </w:p>
    <w:p w14:paraId="0AE71974" w14:textId="4EA5C0A7" w:rsidR="009D08BE" w:rsidRPr="00140A0A" w:rsidRDefault="009D08BE" w:rsidP="00D9764A">
      <w:pPr>
        <w:spacing w:line="600" w:lineRule="auto"/>
        <w:jc w:val="both"/>
        <w:rPr>
          <w:rFonts w:ascii="Arial" w:hAnsi="Arial" w:cs="Arial"/>
          <w:sz w:val="20"/>
          <w:szCs w:val="20"/>
          <w:vertAlign w:val="superscript"/>
        </w:rPr>
      </w:pPr>
      <w:r w:rsidRPr="00140A0A">
        <w:rPr>
          <w:rFonts w:ascii="Arial" w:hAnsi="Arial" w:cs="Arial"/>
          <w:sz w:val="20"/>
          <w:szCs w:val="20"/>
        </w:rPr>
        <w:t xml:space="preserve">The most striking health system finding in this study was the near-universal reliance on out-of-pocket financing, observed in over 90% of patients. In </w:t>
      </w:r>
      <w:r w:rsidR="006602A1" w:rsidRPr="00140A0A">
        <w:rPr>
          <w:rFonts w:ascii="Arial" w:hAnsi="Arial" w:cs="Arial"/>
          <w:sz w:val="20"/>
          <w:szCs w:val="20"/>
        </w:rPr>
        <w:t>a low-medium income</w:t>
      </w:r>
      <w:r w:rsidRPr="00140A0A">
        <w:rPr>
          <w:rFonts w:ascii="Arial" w:hAnsi="Arial" w:cs="Arial"/>
          <w:sz w:val="20"/>
          <w:szCs w:val="20"/>
        </w:rPr>
        <w:t xml:space="preserve"> setting</w:t>
      </w:r>
      <w:r w:rsidR="006602A1" w:rsidRPr="00140A0A">
        <w:rPr>
          <w:rFonts w:ascii="Arial" w:hAnsi="Arial" w:cs="Arial"/>
          <w:sz w:val="20"/>
          <w:szCs w:val="20"/>
        </w:rPr>
        <w:t xml:space="preserve"> such as ours where health insurance and the awareness thereof is limited;</w:t>
      </w:r>
      <w:r w:rsidRPr="00140A0A">
        <w:rPr>
          <w:rFonts w:ascii="Arial" w:hAnsi="Arial" w:cs="Arial"/>
          <w:sz w:val="20"/>
          <w:szCs w:val="20"/>
        </w:rPr>
        <w:t xml:space="preserve"> </w:t>
      </w:r>
      <w:r w:rsidR="006602A1" w:rsidRPr="00140A0A">
        <w:rPr>
          <w:rFonts w:ascii="Arial" w:hAnsi="Arial" w:cs="Arial"/>
          <w:sz w:val="20"/>
          <w:szCs w:val="20"/>
        </w:rPr>
        <w:t xml:space="preserve">late hospital presentation, </w:t>
      </w:r>
      <w:r w:rsidRPr="00140A0A">
        <w:rPr>
          <w:rFonts w:ascii="Arial" w:hAnsi="Arial" w:cs="Arial"/>
          <w:sz w:val="20"/>
          <w:szCs w:val="20"/>
        </w:rPr>
        <w:t>access to diagnos</w:t>
      </w:r>
      <w:r w:rsidR="006602A1" w:rsidRPr="00140A0A">
        <w:rPr>
          <w:rFonts w:ascii="Arial" w:hAnsi="Arial" w:cs="Arial"/>
          <w:sz w:val="20"/>
          <w:szCs w:val="20"/>
        </w:rPr>
        <w:t>tics</w:t>
      </w:r>
      <w:r w:rsidRPr="00140A0A">
        <w:rPr>
          <w:rFonts w:ascii="Arial" w:hAnsi="Arial" w:cs="Arial"/>
          <w:sz w:val="20"/>
          <w:szCs w:val="20"/>
        </w:rPr>
        <w:t>, treatment initiation, continuation of therapy, and supportive care is largely dependent on personal financial capa</w:t>
      </w:r>
      <w:r w:rsidR="006602A1" w:rsidRPr="00140A0A">
        <w:rPr>
          <w:rFonts w:ascii="Arial" w:hAnsi="Arial" w:cs="Arial"/>
          <w:sz w:val="20"/>
          <w:szCs w:val="20"/>
        </w:rPr>
        <w:t>bility</w:t>
      </w:r>
      <w:r w:rsidRPr="00140A0A">
        <w:rPr>
          <w:rFonts w:ascii="Arial" w:hAnsi="Arial" w:cs="Arial"/>
          <w:sz w:val="20"/>
          <w:szCs w:val="20"/>
        </w:rPr>
        <w:t>.</w:t>
      </w:r>
      <w:r w:rsidR="00241B27" w:rsidRPr="00140A0A">
        <w:rPr>
          <w:rFonts w:ascii="Arial" w:hAnsi="Arial" w:cs="Arial"/>
          <w:sz w:val="20"/>
          <w:szCs w:val="20"/>
          <w:vertAlign w:val="superscript"/>
        </w:rPr>
        <w:t>2</w:t>
      </w:r>
      <w:r w:rsidR="00513A69">
        <w:rPr>
          <w:rFonts w:ascii="Arial" w:hAnsi="Arial" w:cs="Arial"/>
          <w:sz w:val="20"/>
          <w:szCs w:val="20"/>
          <w:vertAlign w:val="superscript"/>
        </w:rPr>
        <w:t>6</w:t>
      </w:r>
      <w:r w:rsidRPr="00140A0A">
        <w:rPr>
          <w:rFonts w:ascii="Arial" w:hAnsi="Arial" w:cs="Arial"/>
          <w:sz w:val="20"/>
          <w:szCs w:val="20"/>
        </w:rPr>
        <w:t xml:space="preserve"> This financing structure likely contributes to</w:t>
      </w:r>
      <w:r w:rsidR="006602A1" w:rsidRPr="00140A0A">
        <w:rPr>
          <w:rFonts w:ascii="Arial" w:hAnsi="Arial" w:cs="Arial"/>
          <w:sz w:val="20"/>
          <w:szCs w:val="20"/>
        </w:rPr>
        <w:t xml:space="preserve"> </w:t>
      </w:r>
      <w:r w:rsidRPr="00140A0A">
        <w:rPr>
          <w:rFonts w:ascii="Arial" w:hAnsi="Arial" w:cs="Arial"/>
          <w:sz w:val="20"/>
          <w:szCs w:val="20"/>
        </w:rPr>
        <w:t xml:space="preserve">incomplete treatment courses, and discontinuity of care. </w:t>
      </w:r>
      <w:r w:rsidR="006602A1" w:rsidRPr="00140A0A">
        <w:rPr>
          <w:rFonts w:ascii="Arial" w:hAnsi="Arial" w:cs="Arial"/>
          <w:sz w:val="20"/>
          <w:szCs w:val="20"/>
        </w:rPr>
        <w:t>Therefore</w:t>
      </w:r>
      <w:r w:rsidRPr="00140A0A">
        <w:rPr>
          <w:rFonts w:ascii="Arial" w:hAnsi="Arial" w:cs="Arial"/>
          <w:sz w:val="20"/>
          <w:szCs w:val="20"/>
        </w:rPr>
        <w:t xml:space="preserve">, financial toxicity is not merely a secondary consequence of cancer care but a </w:t>
      </w:r>
      <w:r w:rsidR="006602A1" w:rsidRPr="00140A0A">
        <w:rPr>
          <w:rFonts w:ascii="Arial" w:hAnsi="Arial" w:cs="Arial"/>
          <w:sz w:val="20"/>
          <w:szCs w:val="20"/>
        </w:rPr>
        <w:t>core</w:t>
      </w:r>
      <w:r w:rsidRPr="00140A0A">
        <w:rPr>
          <w:rFonts w:ascii="Arial" w:hAnsi="Arial" w:cs="Arial"/>
          <w:sz w:val="20"/>
          <w:szCs w:val="20"/>
        </w:rPr>
        <w:t xml:space="preserve"> determinant of treatment access and outcomes.</w:t>
      </w:r>
    </w:p>
    <w:p w14:paraId="431A1E69" w14:textId="59FF42A9" w:rsidR="009D08BE" w:rsidRPr="00140A0A" w:rsidRDefault="009D08BE" w:rsidP="00D9764A">
      <w:pPr>
        <w:spacing w:line="600" w:lineRule="auto"/>
        <w:jc w:val="both"/>
        <w:rPr>
          <w:rFonts w:ascii="Arial" w:hAnsi="Arial" w:cs="Arial"/>
          <w:sz w:val="20"/>
          <w:szCs w:val="20"/>
        </w:rPr>
      </w:pPr>
      <w:r w:rsidRPr="00140A0A">
        <w:rPr>
          <w:rFonts w:ascii="Arial" w:hAnsi="Arial" w:cs="Arial"/>
          <w:sz w:val="20"/>
          <w:szCs w:val="20"/>
        </w:rPr>
        <w:t xml:space="preserve">Survival outcomes in this cohort were poor </w:t>
      </w:r>
      <w:r w:rsidR="006602A1" w:rsidRPr="00140A0A">
        <w:rPr>
          <w:rFonts w:ascii="Arial" w:hAnsi="Arial" w:cs="Arial"/>
          <w:sz w:val="20"/>
          <w:szCs w:val="20"/>
        </w:rPr>
        <w:t xml:space="preserve">when </w:t>
      </w:r>
      <w:r w:rsidRPr="00140A0A">
        <w:rPr>
          <w:rFonts w:ascii="Arial" w:hAnsi="Arial" w:cs="Arial"/>
          <w:sz w:val="20"/>
          <w:szCs w:val="20"/>
        </w:rPr>
        <w:t xml:space="preserve">compared </w:t>
      </w:r>
      <w:r w:rsidR="006602A1" w:rsidRPr="00140A0A">
        <w:rPr>
          <w:rFonts w:ascii="Arial" w:hAnsi="Arial" w:cs="Arial"/>
          <w:sz w:val="20"/>
          <w:szCs w:val="20"/>
        </w:rPr>
        <w:t xml:space="preserve">to patients treated in </w:t>
      </w:r>
      <w:r w:rsidRPr="00140A0A">
        <w:rPr>
          <w:rFonts w:ascii="Arial" w:hAnsi="Arial" w:cs="Arial"/>
          <w:sz w:val="20"/>
          <w:szCs w:val="20"/>
        </w:rPr>
        <w:t>well-resourced settings</w:t>
      </w:r>
      <w:r w:rsidR="006602A1" w:rsidRPr="00140A0A">
        <w:rPr>
          <w:rFonts w:ascii="Arial" w:hAnsi="Arial" w:cs="Arial"/>
          <w:sz w:val="20"/>
          <w:szCs w:val="20"/>
        </w:rPr>
        <w:t xml:space="preserve"> with access to newer targeted agents</w:t>
      </w:r>
      <w:r w:rsidRPr="00140A0A">
        <w:rPr>
          <w:rFonts w:ascii="Arial" w:hAnsi="Arial" w:cs="Arial"/>
          <w:sz w:val="20"/>
          <w:szCs w:val="20"/>
        </w:rPr>
        <w:t xml:space="preserve">. The median overall survival of 16.0 months is substantially shorter than </w:t>
      </w:r>
      <w:r w:rsidR="001C6D44" w:rsidRPr="00140A0A">
        <w:rPr>
          <w:rFonts w:ascii="Arial" w:hAnsi="Arial" w:cs="Arial"/>
          <w:sz w:val="20"/>
          <w:szCs w:val="20"/>
        </w:rPr>
        <w:t xml:space="preserve">that </w:t>
      </w:r>
      <w:r w:rsidRPr="00140A0A">
        <w:rPr>
          <w:rFonts w:ascii="Arial" w:hAnsi="Arial" w:cs="Arial"/>
          <w:sz w:val="20"/>
          <w:szCs w:val="20"/>
        </w:rPr>
        <w:lastRenderedPageBreak/>
        <w:t>reported in studies from high-income countries, where median survival</w:t>
      </w:r>
      <w:r w:rsidR="001C6D44" w:rsidRPr="00140A0A">
        <w:rPr>
          <w:rFonts w:ascii="Arial" w:hAnsi="Arial" w:cs="Arial"/>
          <w:sz w:val="20"/>
          <w:szCs w:val="20"/>
        </w:rPr>
        <w:t xml:space="preserve"> has improved from about 3.5 years in the pre-2005 era to about 7.8 years due to the impact of BTK and BCL-2 inhibitors in</w:t>
      </w:r>
      <w:r w:rsidR="00C864E3" w:rsidRPr="00140A0A">
        <w:rPr>
          <w:rFonts w:ascii="Arial" w:hAnsi="Arial" w:cs="Arial"/>
          <w:sz w:val="20"/>
          <w:szCs w:val="20"/>
        </w:rPr>
        <w:t xml:space="preserve"> the management of</w:t>
      </w:r>
      <w:r w:rsidR="001C6D44" w:rsidRPr="00140A0A">
        <w:rPr>
          <w:rFonts w:ascii="Arial" w:hAnsi="Arial" w:cs="Arial"/>
          <w:sz w:val="20"/>
          <w:szCs w:val="20"/>
        </w:rPr>
        <w:t xml:space="preserve"> CLL.</w:t>
      </w:r>
      <w:r w:rsidR="00C32F8B" w:rsidRPr="00140A0A">
        <w:rPr>
          <w:rFonts w:ascii="Arial" w:hAnsi="Arial" w:cs="Arial"/>
          <w:sz w:val="20"/>
          <w:szCs w:val="20"/>
          <w:vertAlign w:val="superscript"/>
        </w:rPr>
        <w:t>2</w:t>
      </w:r>
      <w:r w:rsidR="00513A69">
        <w:rPr>
          <w:rFonts w:ascii="Arial" w:hAnsi="Arial" w:cs="Arial"/>
          <w:sz w:val="20"/>
          <w:szCs w:val="20"/>
          <w:vertAlign w:val="superscript"/>
        </w:rPr>
        <w:t>7</w:t>
      </w:r>
      <w:r w:rsidR="00A661A5" w:rsidRPr="00140A0A">
        <w:rPr>
          <w:rFonts w:ascii="Arial" w:hAnsi="Arial" w:cs="Arial"/>
          <w:sz w:val="20"/>
          <w:szCs w:val="20"/>
          <w:vertAlign w:val="superscript"/>
        </w:rPr>
        <w:t>,</w:t>
      </w:r>
      <w:r w:rsidR="00513A69">
        <w:rPr>
          <w:rFonts w:ascii="Arial" w:hAnsi="Arial" w:cs="Arial"/>
          <w:sz w:val="20"/>
          <w:szCs w:val="20"/>
          <w:vertAlign w:val="superscript"/>
        </w:rPr>
        <w:t xml:space="preserve"> </w:t>
      </w:r>
      <w:r w:rsidR="00A661A5" w:rsidRPr="00140A0A">
        <w:rPr>
          <w:rFonts w:ascii="Arial" w:hAnsi="Arial" w:cs="Arial"/>
          <w:sz w:val="20"/>
          <w:szCs w:val="20"/>
          <w:vertAlign w:val="superscript"/>
        </w:rPr>
        <w:t>2</w:t>
      </w:r>
      <w:r w:rsidR="00513A69">
        <w:rPr>
          <w:rFonts w:ascii="Arial" w:hAnsi="Arial" w:cs="Arial"/>
          <w:sz w:val="20"/>
          <w:szCs w:val="20"/>
          <w:vertAlign w:val="superscript"/>
        </w:rPr>
        <w:t>8, 29</w:t>
      </w:r>
      <w:r w:rsidR="001C6D44" w:rsidRPr="00140A0A">
        <w:rPr>
          <w:rFonts w:ascii="Arial" w:hAnsi="Arial" w:cs="Arial"/>
          <w:sz w:val="20"/>
          <w:szCs w:val="20"/>
        </w:rPr>
        <w:t xml:space="preserve"> </w:t>
      </w:r>
      <w:r w:rsidR="00C864E3" w:rsidRPr="00140A0A">
        <w:rPr>
          <w:rFonts w:ascii="Arial" w:hAnsi="Arial" w:cs="Arial"/>
          <w:sz w:val="20"/>
          <w:szCs w:val="20"/>
        </w:rPr>
        <w:t>Despite this poor median survival in our patients</w:t>
      </w:r>
      <w:r w:rsidRPr="00140A0A">
        <w:rPr>
          <w:rFonts w:ascii="Arial" w:hAnsi="Arial" w:cs="Arial"/>
          <w:sz w:val="20"/>
          <w:szCs w:val="20"/>
        </w:rPr>
        <w:t xml:space="preserve">, </w:t>
      </w:r>
      <w:r w:rsidR="00C864E3" w:rsidRPr="00140A0A">
        <w:rPr>
          <w:rFonts w:ascii="Arial" w:hAnsi="Arial" w:cs="Arial"/>
          <w:sz w:val="20"/>
          <w:szCs w:val="20"/>
        </w:rPr>
        <w:t xml:space="preserve">those who did not receive treatment </w:t>
      </w:r>
      <w:r w:rsidRPr="00140A0A">
        <w:rPr>
          <w:rFonts w:ascii="Arial" w:hAnsi="Arial" w:cs="Arial"/>
          <w:sz w:val="20"/>
          <w:szCs w:val="20"/>
        </w:rPr>
        <w:t xml:space="preserve">had a </w:t>
      </w:r>
      <w:r w:rsidR="00C864E3" w:rsidRPr="00140A0A">
        <w:rPr>
          <w:rFonts w:ascii="Arial" w:hAnsi="Arial" w:cs="Arial"/>
          <w:sz w:val="20"/>
          <w:szCs w:val="20"/>
        </w:rPr>
        <w:t>significantly</w:t>
      </w:r>
      <w:r w:rsidRPr="00140A0A">
        <w:rPr>
          <w:rFonts w:ascii="Arial" w:hAnsi="Arial" w:cs="Arial"/>
          <w:sz w:val="20"/>
          <w:szCs w:val="20"/>
        </w:rPr>
        <w:t xml:space="preserve"> shorter survival than treated patients (2.5 vs 17.0 months</w:t>
      </w:r>
      <w:r w:rsidR="00C864E3" w:rsidRPr="00140A0A">
        <w:rPr>
          <w:rFonts w:ascii="Arial" w:hAnsi="Arial" w:cs="Arial"/>
          <w:sz w:val="20"/>
          <w:szCs w:val="20"/>
        </w:rPr>
        <w:t>, p &lt; .001</w:t>
      </w:r>
      <w:r w:rsidRPr="00140A0A">
        <w:rPr>
          <w:rFonts w:ascii="Arial" w:hAnsi="Arial" w:cs="Arial"/>
          <w:sz w:val="20"/>
          <w:szCs w:val="20"/>
        </w:rPr>
        <w:t xml:space="preserve">), suggesting that lack of access to therapy </w:t>
      </w:r>
      <w:r w:rsidR="00C864E3" w:rsidRPr="00140A0A">
        <w:rPr>
          <w:rFonts w:ascii="Arial" w:hAnsi="Arial" w:cs="Arial"/>
          <w:sz w:val="20"/>
          <w:szCs w:val="20"/>
        </w:rPr>
        <w:t>had</w:t>
      </w:r>
      <w:r w:rsidRPr="00140A0A">
        <w:rPr>
          <w:rFonts w:ascii="Arial" w:hAnsi="Arial" w:cs="Arial"/>
          <w:sz w:val="20"/>
          <w:szCs w:val="20"/>
        </w:rPr>
        <w:t xml:space="preserve"> a profound impact on outcome. </w:t>
      </w:r>
      <w:r w:rsidR="0099642A" w:rsidRPr="00140A0A">
        <w:rPr>
          <w:rFonts w:ascii="Arial" w:hAnsi="Arial" w:cs="Arial"/>
          <w:sz w:val="20"/>
          <w:szCs w:val="20"/>
        </w:rPr>
        <w:t>This finding reinforces the importance of treatment access as a key determinant of outcomes and highlights the adverse impact of gaps in therapy availability in this setting.</w:t>
      </w:r>
    </w:p>
    <w:p w14:paraId="0D7F7708" w14:textId="54D27F03" w:rsidR="009D08BE" w:rsidRPr="00140A0A" w:rsidRDefault="009D08BE" w:rsidP="00D9764A">
      <w:pPr>
        <w:spacing w:line="600" w:lineRule="auto"/>
        <w:jc w:val="both"/>
        <w:rPr>
          <w:rFonts w:ascii="Arial" w:hAnsi="Arial" w:cs="Arial"/>
          <w:sz w:val="20"/>
          <w:szCs w:val="20"/>
        </w:rPr>
      </w:pPr>
      <w:r w:rsidRPr="00140A0A">
        <w:rPr>
          <w:rFonts w:ascii="Arial" w:hAnsi="Arial" w:cs="Arial"/>
          <w:sz w:val="20"/>
          <w:szCs w:val="20"/>
        </w:rPr>
        <w:t xml:space="preserve">Although patients who received rituximab-containing or targeted therapy </w:t>
      </w:r>
      <w:r w:rsidR="00B8742B" w:rsidRPr="00140A0A">
        <w:rPr>
          <w:rFonts w:ascii="Arial" w:hAnsi="Arial" w:cs="Arial"/>
          <w:sz w:val="20"/>
          <w:szCs w:val="20"/>
        </w:rPr>
        <w:t xml:space="preserve">in this study </w:t>
      </w:r>
      <w:r w:rsidRPr="00140A0A">
        <w:rPr>
          <w:rFonts w:ascii="Arial" w:hAnsi="Arial" w:cs="Arial"/>
          <w:sz w:val="20"/>
          <w:szCs w:val="20"/>
        </w:rPr>
        <w:t xml:space="preserve">appeared to have longer survival than those treated with chemotherapy alone, this difference was not statistically significant. This is most likely due to the very small number of patients in the rituximab/targeted subgroup, as well as potential treatment-selection bias. </w:t>
      </w:r>
      <w:r w:rsidR="00B8742B" w:rsidRPr="00140A0A">
        <w:rPr>
          <w:rFonts w:ascii="Arial" w:hAnsi="Arial" w:cs="Arial"/>
          <w:sz w:val="20"/>
          <w:szCs w:val="20"/>
        </w:rPr>
        <w:t>However</w:t>
      </w:r>
      <w:r w:rsidRPr="00140A0A">
        <w:rPr>
          <w:rFonts w:ascii="Arial" w:hAnsi="Arial" w:cs="Arial"/>
          <w:sz w:val="20"/>
          <w:szCs w:val="20"/>
        </w:rPr>
        <w:t xml:space="preserve">, the direction of effect </w:t>
      </w:r>
      <w:r w:rsidR="00B8742B" w:rsidRPr="00140A0A">
        <w:rPr>
          <w:rFonts w:ascii="Arial" w:hAnsi="Arial" w:cs="Arial"/>
          <w:sz w:val="20"/>
          <w:szCs w:val="20"/>
        </w:rPr>
        <w:t>seen in our patients is in keeping</w:t>
      </w:r>
      <w:r w:rsidRPr="00140A0A">
        <w:rPr>
          <w:rFonts w:ascii="Arial" w:hAnsi="Arial" w:cs="Arial"/>
          <w:sz w:val="20"/>
          <w:szCs w:val="20"/>
        </w:rPr>
        <w:t xml:space="preserve"> with </w:t>
      </w:r>
      <w:r w:rsidR="00B8742B" w:rsidRPr="00140A0A">
        <w:rPr>
          <w:rFonts w:ascii="Arial" w:hAnsi="Arial" w:cs="Arial"/>
          <w:sz w:val="20"/>
          <w:szCs w:val="20"/>
        </w:rPr>
        <w:t xml:space="preserve">already </w:t>
      </w:r>
      <w:r w:rsidRPr="00140A0A">
        <w:rPr>
          <w:rFonts w:ascii="Arial" w:hAnsi="Arial" w:cs="Arial"/>
          <w:sz w:val="20"/>
          <w:szCs w:val="20"/>
        </w:rPr>
        <w:t xml:space="preserve">established evidence supporting improved outcomes with </w:t>
      </w:r>
      <w:r w:rsidR="00B8742B" w:rsidRPr="00140A0A">
        <w:rPr>
          <w:rFonts w:ascii="Arial" w:hAnsi="Arial" w:cs="Arial"/>
          <w:sz w:val="20"/>
          <w:szCs w:val="20"/>
        </w:rPr>
        <w:t>novel targeted drugs</w:t>
      </w:r>
      <w:r w:rsidRPr="00140A0A">
        <w:rPr>
          <w:rFonts w:ascii="Arial" w:hAnsi="Arial" w:cs="Arial"/>
          <w:sz w:val="20"/>
          <w:szCs w:val="20"/>
        </w:rPr>
        <w:t>.</w:t>
      </w:r>
    </w:p>
    <w:p w14:paraId="7C697C33" w14:textId="7638E309" w:rsidR="009D08BE" w:rsidRPr="00140A0A" w:rsidRDefault="009D08BE" w:rsidP="00D9764A">
      <w:pPr>
        <w:spacing w:line="600" w:lineRule="auto"/>
        <w:jc w:val="both"/>
        <w:rPr>
          <w:rFonts w:ascii="Arial" w:hAnsi="Arial" w:cs="Arial"/>
          <w:sz w:val="20"/>
          <w:szCs w:val="20"/>
          <w:vertAlign w:val="superscript"/>
        </w:rPr>
      </w:pPr>
      <w:r w:rsidRPr="00140A0A">
        <w:rPr>
          <w:rFonts w:ascii="Arial" w:hAnsi="Arial" w:cs="Arial"/>
          <w:sz w:val="20"/>
          <w:szCs w:val="20"/>
        </w:rPr>
        <w:t>The</w:t>
      </w:r>
      <w:r w:rsidR="00B8742B" w:rsidRPr="00140A0A">
        <w:rPr>
          <w:rFonts w:ascii="Arial" w:hAnsi="Arial" w:cs="Arial"/>
          <w:sz w:val="20"/>
          <w:szCs w:val="20"/>
        </w:rPr>
        <w:t>re was a</w:t>
      </w:r>
      <w:r w:rsidRPr="00140A0A">
        <w:rPr>
          <w:rFonts w:ascii="Arial" w:hAnsi="Arial" w:cs="Arial"/>
          <w:sz w:val="20"/>
          <w:szCs w:val="20"/>
        </w:rPr>
        <w:t xml:space="preserve"> high proportion </w:t>
      </w:r>
      <w:r w:rsidR="00BE0F4D" w:rsidRPr="00140A0A">
        <w:rPr>
          <w:rFonts w:ascii="Arial" w:hAnsi="Arial" w:cs="Arial"/>
          <w:sz w:val="20"/>
          <w:szCs w:val="20"/>
        </w:rPr>
        <w:t xml:space="preserve">of </w:t>
      </w:r>
      <w:r w:rsidRPr="00140A0A">
        <w:rPr>
          <w:rFonts w:ascii="Arial" w:hAnsi="Arial" w:cs="Arial"/>
          <w:sz w:val="20"/>
          <w:szCs w:val="20"/>
        </w:rPr>
        <w:t>lost to follow-up</w:t>
      </w:r>
      <w:r w:rsidR="00BE0F4D" w:rsidRPr="00140A0A">
        <w:rPr>
          <w:rFonts w:ascii="Arial" w:hAnsi="Arial" w:cs="Arial"/>
          <w:sz w:val="20"/>
          <w:szCs w:val="20"/>
        </w:rPr>
        <w:t xml:space="preserve"> cases</w:t>
      </w:r>
      <w:r w:rsidRPr="00140A0A">
        <w:rPr>
          <w:rFonts w:ascii="Arial" w:hAnsi="Arial" w:cs="Arial"/>
          <w:sz w:val="20"/>
          <w:szCs w:val="20"/>
        </w:rPr>
        <w:t xml:space="preserve"> </w:t>
      </w:r>
      <w:r w:rsidR="00B8742B" w:rsidRPr="00140A0A">
        <w:rPr>
          <w:rFonts w:ascii="Arial" w:hAnsi="Arial" w:cs="Arial"/>
          <w:sz w:val="20"/>
          <w:szCs w:val="20"/>
        </w:rPr>
        <w:t xml:space="preserve">which </w:t>
      </w:r>
      <w:r w:rsidR="00E763AA" w:rsidRPr="00140A0A">
        <w:rPr>
          <w:rFonts w:ascii="Arial" w:hAnsi="Arial" w:cs="Arial"/>
          <w:sz w:val="20"/>
          <w:szCs w:val="20"/>
        </w:rPr>
        <w:t>pose</w:t>
      </w:r>
      <w:r w:rsidR="00BE0F4D" w:rsidRPr="00140A0A">
        <w:rPr>
          <w:rFonts w:ascii="Arial" w:hAnsi="Arial" w:cs="Arial"/>
          <w:sz w:val="20"/>
          <w:szCs w:val="20"/>
        </w:rPr>
        <w:t>d</w:t>
      </w:r>
      <w:r w:rsidR="00E763AA" w:rsidRPr="00140A0A">
        <w:rPr>
          <w:rFonts w:ascii="Arial" w:hAnsi="Arial" w:cs="Arial"/>
          <w:sz w:val="20"/>
          <w:szCs w:val="20"/>
        </w:rPr>
        <w:t xml:space="preserve"> a </w:t>
      </w:r>
      <w:r w:rsidRPr="00140A0A">
        <w:rPr>
          <w:rFonts w:ascii="Arial" w:hAnsi="Arial" w:cs="Arial"/>
          <w:sz w:val="20"/>
          <w:szCs w:val="20"/>
        </w:rPr>
        <w:t>challenge</w:t>
      </w:r>
      <w:r w:rsidR="00E763AA" w:rsidRPr="00140A0A">
        <w:rPr>
          <w:rFonts w:ascii="Arial" w:hAnsi="Arial" w:cs="Arial"/>
          <w:sz w:val="20"/>
          <w:szCs w:val="20"/>
        </w:rPr>
        <w:t xml:space="preserve"> by </w:t>
      </w:r>
      <w:r w:rsidRPr="00140A0A">
        <w:rPr>
          <w:rFonts w:ascii="Arial" w:hAnsi="Arial" w:cs="Arial"/>
          <w:sz w:val="20"/>
          <w:szCs w:val="20"/>
        </w:rPr>
        <w:t>significantly limit</w:t>
      </w:r>
      <w:r w:rsidR="00E763AA" w:rsidRPr="00140A0A">
        <w:rPr>
          <w:rFonts w:ascii="Arial" w:hAnsi="Arial" w:cs="Arial"/>
          <w:sz w:val="20"/>
          <w:szCs w:val="20"/>
        </w:rPr>
        <w:t>ing</w:t>
      </w:r>
      <w:r w:rsidRPr="00140A0A">
        <w:rPr>
          <w:rFonts w:ascii="Arial" w:hAnsi="Arial" w:cs="Arial"/>
          <w:sz w:val="20"/>
          <w:szCs w:val="20"/>
        </w:rPr>
        <w:t xml:space="preserve"> the precision of survival estimates</w:t>
      </w:r>
      <w:r w:rsidR="00E763AA" w:rsidRPr="00140A0A">
        <w:rPr>
          <w:rFonts w:ascii="Arial" w:hAnsi="Arial" w:cs="Arial"/>
          <w:sz w:val="20"/>
          <w:szCs w:val="20"/>
        </w:rPr>
        <w:t xml:space="preserve"> for our patients</w:t>
      </w:r>
      <w:r w:rsidRPr="00140A0A">
        <w:rPr>
          <w:rFonts w:ascii="Arial" w:hAnsi="Arial" w:cs="Arial"/>
          <w:sz w:val="20"/>
          <w:szCs w:val="20"/>
        </w:rPr>
        <w:t xml:space="preserve">. In </w:t>
      </w:r>
      <w:r w:rsidR="00BE0F4D" w:rsidRPr="00140A0A">
        <w:rPr>
          <w:rFonts w:ascii="Arial" w:hAnsi="Arial" w:cs="Arial"/>
          <w:sz w:val="20"/>
          <w:szCs w:val="20"/>
        </w:rPr>
        <w:t xml:space="preserve">our </w:t>
      </w:r>
      <w:r w:rsidRPr="00140A0A">
        <w:rPr>
          <w:rFonts w:ascii="Arial" w:hAnsi="Arial" w:cs="Arial"/>
          <w:sz w:val="20"/>
          <w:szCs w:val="20"/>
        </w:rPr>
        <w:t xml:space="preserve">low-resource setting, loss to follow-up </w:t>
      </w:r>
      <w:r w:rsidR="00BE0F4D" w:rsidRPr="00140A0A">
        <w:rPr>
          <w:rFonts w:ascii="Arial" w:hAnsi="Arial" w:cs="Arial"/>
          <w:sz w:val="20"/>
          <w:szCs w:val="20"/>
        </w:rPr>
        <w:t xml:space="preserve">cases </w:t>
      </w:r>
      <w:r w:rsidRPr="00140A0A">
        <w:rPr>
          <w:rFonts w:ascii="Arial" w:hAnsi="Arial" w:cs="Arial"/>
          <w:sz w:val="20"/>
          <w:szCs w:val="20"/>
        </w:rPr>
        <w:t xml:space="preserve">often reflects underlying systemic issues such as </w:t>
      </w:r>
      <w:r w:rsidR="00BE0F4D" w:rsidRPr="00140A0A">
        <w:rPr>
          <w:rFonts w:ascii="Arial" w:hAnsi="Arial" w:cs="Arial"/>
          <w:sz w:val="20"/>
          <w:szCs w:val="20"/>
        </w:rPr>
        <w:t xml:space="preserve">geographic barriers as patients may have to travel a distance to access care, this is compounded by </w:t>
      </w:r>
      <w:r w:rsidRPr="00140A0A">
        <w:rPr>
          <w:rFonts w:ascii="Arial" w:hAnsi="Arial" w:cs="Arial"/>
          <w:sz w:val="20"/>
          <w:szCs w:val="20"/>
        </w:rPr>
        <w:t xml:space="preserve">financial constraints, </w:t>
      </w:r>
      <w:r w:rsidR="00BE0F4D" w:rsidRPr="00140A0A">
        <w:rPr>
          <w:rFonts w:ascii="Arial" w:hAnsi="Arial" w:cs="Arial"/>
          <w:sz w:val="20"/>
          <w:szCs w:val="20"/>
        </w:rPr>
        <w:t xml:space="preserve">and </w:t>
      </w:r>
      <w:r w:rsidRPr="00140A0A">
        <w:rPr>
          <w:rFonts w:ascii="Arial" w:hAnsi="Arial" w:cs="Arial"/>
          <w:sz w:val="20"/>
          <w:szCs w:val="20"/>
        </w:rPr>
        <w:t>health system fragmentation. Th</w:t>
      </w:r>
      <w:r w:rsidR="00BE0F4D" w:rsidRPr="00140A0A">
        <w:rPr>
          <w:rFonts w:ascii="Arial" w:hAnsi="Arial" w:cs="Arial"/>
          <w:sz w:val="20"/>
          <w:szCs w:val="20"/>
        </w:rPr>
        <w:t>erefore</w:t>
      </w:r>
      <w:r w:rsidRPr="00140A0A">
        <w:rPr>
          <w:rFonts w:ascii="Arial" w:hAnsi="Arial" w:cs="Arial"/>
          <w:sz w:val="20"/>
          <w:szCs w:val="20"/>
        </w:rPr>
        <w:t>,</w:t>
      </w:r>
      <w:r w:rsidR="00BE0F4D" w:rsidRPr="00140A0A">
        <w:rPr>
          <w:rFonts w:ascii="Arial" w:hAnsi="Arial" w:cs="Arial"/>
          <w:sz w:val="20"/>
          <w:szCs w:val="20"/>
        </w:rPr>
        <w:t xml:space="preserve"> the high number of lost to follow up cases reflects </w:t>
      </w:r>
      <w:r w:rsidRPr="00140A0A">
        <w:rPr>
          <w:rFonts w:ascii="Arial" w:hAnsi="Arial" w:cs="Arial"/>
          <w:sz w:val="20"/>
          <w:szCs w:val="20"/>
        </w:rPr>
        <w:t>gaps in the continuity of cancer care.</w:t>
      </w:r>
    </w:p>
    <w:p w14:paraId="3EA12756" w14:textId="7E4A81BA" w:rsidR="009D08BE" w:rsidRPr="00140A0A" w:rsidRDefault="009D08BE" w:rsidP="00D9764A">
      <w:pPr>
        <w:spacing w:line="600" w:lineRule="auto"/>
        <w:jc w:val="both"/>
        <w:rPr>
          <w:rFonts w:ascii="Arial" w:hAnsi="Arial" w:cs="Arial"/>
          <w:sz w:val="20"/>
          <w:szCs w:val="20"/>
        </w:rPr>
      </w:pPr>
      <w:r w:rsidRPr="00140A0A">
        <w:rPr>
          <w:rFonts w:ascii="Arial" w:hAnsi="Arial" w:cs="Arial"/>
          <w:sz w:val="20"/>
          <w:szCs w:val="20"/>
        </w:rPr>
        <w:t>This study provides real-world evidence of substantial care gaps in the management of CLL</w:t>
      </w:r>
      <w:r w:rsidR="00BE0F4D" w:rsidRPr="00140A0A">
        <w:rPr>
          <w:rFonts w:ascii="Arial" w:hAnsi="Arial" w:cs="Arial"/>
          <w:sz w:val="20"/>
          <w:szCs w:val="20"/>
        </w:rPr>
        <w:t xml:space="preserve"> patients</w:t>
      </w:r>
      <w:r w:rsidRPr="00140A0A">
        <w:rPr>
          <w:rFonts w:ascii="Arial" w:hAnsi="Arial" w:cs="Arial"/>
          <w:sz w:val="20"/>
          <w:szCs w:val="20"/>
        </w:rPr>
        <w:t xml:space="preserve"> in a Nigerian tertiary hospital cohort. The principal findings were the predominance of advanced-stage disease at presentation, a high burden of cytopenias, limited access to rituximab-based and targeted therapies, overwhelming reliance on out-of-pocket financing, and poor early outcomes characterized by high mortality and significant loss to follow-up. </w:t>
      </w:r>
      <w:r w:rsidR="00BE0F4D" w:rsidRPr="00140A0A">
        <w:rPr>
          <w:rFonts w:ascii="Arial" w:hAnsi="Arial" w:cs="Arial"/>
          <w:sz w:val="20"/>
          <w:szCs w:val="20"/>
        </w:rPr>
        <w:t>T</w:t>
      </w:r>
      <w:r w:rsidRPr="00140A0A">
        <w:rPr>
          <w:rFonts w:ascii="Arial" w:hAnsi="Arial" w:cs="Arial"/>
          <w:sz w:val="20"/>
          <w:szCs w:val="20"/>
        </w:rPr>
        <w:t>hese findings</w:t>
      </w:r>
      <w:r w:rsidR="00BE0F4D" w:rsidRPr="00140A0A">
        <w:rPr>
          <w:rFonts w:ascii="Arial" w:hAnsi="Arial" w:cs="Arial"/>
          <w:sz w:val="20"/>
          <w:szCs w:val="20"/>
        </w:rPr>
        <w:t xml:space="preserve"> put together suggest</w:t>
      </w:r>
      <w:r w:rsidRPr="00140A0A">
        <w:rPr>
          <w:rFonts w:ascii="Arial" w:hAnsi="Arial" w:cs="Arial"/>
          <w:sz w:val="20"/>
          <w:szCs w:val="20"/>
        </w:rPr>
        <w:t xml:space="preserve"> that </w:t>
      </w:r>
      <w:r w:rsidR="00BE0F4D" w:rsidRPr="00140A0A">
        <w:rPr>
          <w:rFonts w:ascii="Arial" w:hAnsi="Arial" w:cs="Arial"/>
          <w:sz w:val="20"/>
          <w:szCs w:val="20"/>
        </w:rPr>
        <w:t xml:space="preserve">the outcome of </w:t>
      </w:r>
      <w:r w:rsidRPr="00140A0A">
        <w:rPr>
          <w:rFonts w:ascii="Arial" w:hAnsi="Arial" w:cs="Arial"/>
          <w:sz w:val="20"/>
          <w:szCs w:val="20"/>
        </w:rPr>
        <w:t>CLL</w:t>
      </w:r>
      <w:r w:rsidR="00BE0F4D" w:rsidRPr="00140A0A">
        <w:rPr>
          <w:rFonts w:ascii="Arial" w:hAnsi="Arial" w:cs="Arial"/>
          <w:sz w:val="20"/>
          <w:szCs w:val="20"/>
        </w:rPr>
        <w:t xml:space="preserve"> in our </w:t>
      </w:r>
      <w:r w:rsidR="00C46725" w:rsidRPr="00140A0A">
        <w:rPr>
          <w:rFonts w:ascii="Arial" w:hAnsi="Arial" w:cs="Arial"/>
          <w:sz w:val="20"/>
          <w:szCs w:val="20"/>
        </w:rPr>
        <w:t>setting</w:t>
      </w:r>
      <w:r w:rsidR="00BE0F4D" w:rsidRPr="00140A0A">
        <w:rPr>
          <w:rFonts w:ascii="Arial" w:hAnsi="Arial" w:cs="Arial"/>
          <w:sz w:val="20"/>
          <w:szCs w:val="20"/>
        </w:rPr>
        <w:t xml:space="preserve"> is not just shaped by disease biology, but also by </w:t>
      </w:r>
      <w:r w:rsidRPr="00140A0A">
        <w:rPr>
          <w:rFonts w:ascii="Arial" w:hAnsi="Arial" w:cs="Arial"/>
          <w:sz w:val="20"/>
          <w:szCs w:val="20"/>
        </w:rPr>
        <w:t>health system</w:t>
      </w:r>
      <w:r w:rsidR="00C46725" w:rsidRPr="00140A0A">
        <w:rPr>
          <w:rFonts w:ascii="Arial" w:hAnsi="Arial" w:cs="Arial"/>
          <w:sz w:val="20"/>
          <w:szCs w:val="20"/>
        </w:rPr>
        <w:t>, access to care</w:t>
      </w:r>
      <w:r w:rsidRPr="00140A0A">
        <w:rPr>
          <w:rFonts w:ascii="Arial" w:hAnsi="Arial" w:cs="Arial"/>
          <w:sz w:val="20"/>
          <w:szCs w:val="20"/>
        </w:rPr>
        <w:t xml:space="preserve"> </w:t>
      </w:r>
      <w:r w:rsidR="00BE0F4D" w:rsidRPr="00140A0A">
        <w:rPr>
          <w:rFonts w:ascii="Arial" w:hAnsi="Arial" w:cs="Arial"/>
          <w:sz w:val="20"/>
          <w:szCs w:val="20"/>
        </w:rPr>
        <w:t xml:space="preserve">and financial </w:t>
      </w:r>
      <w:r w:rsidRPr="00140A0A">
        <w:rPr>
          <w:rFonts w:ascii="Arial" w:hAnsi="Arial" w:cs="Arial"/>
          <w:sz w:val="20"/>
          <w:szCs w:val="20"/>
        </w:rPr>
        <w:t>constraints.</w:t>
      </w:r>
    </w:p>
    <w:p w14:paraId="0596561F" w14:textId="350790CB" w:rsidR="009D08BE" w:rsidRPr="00140A0A" w:rsidRDefault="006B0266" w:rsidP="00D9764A">
      <w:pPr>
        <w:spacing w:line="600" w:lineRule="auto"/>
        <w:jc w:val="both"/>
        <w:rPr>
          <w:rFonts w:ascii="Arial" w:hAnsi="Arial" w:cs="Arial"/>
          <w:sz w:val="20"/>
          <w:szCs w:val="20"/>
        </w:rPr>
      </w:pPr>
      <w:bookmarkStart w:id="0" w:name="_Hlk226466664"/>
      <w:r w:rsidRPr="00140A0A">
        <w:rPr>
          <w:rFonts w:ascii="Arial" w:hAnsi="Arial" w:cs="Arial"/>
          <w:sz w:val="20"/>
          <w:szCs w:val="20"/>
        </w:rPr>
        <w:lastRenderedPageBreak/>
        <w:t>This study</w:t>
      </w:r>
      <w:r w:rsidR="009D08BE" w:rsidRPr="00140A0A">
        <w:rPr>
          <w:rFonts w:ascii="Arial" w:hAnsi="Arial" w:cs="Arial"/>
          <w:sz w:val="20"/>
          <w:szCs w:val="20"/>
        </w:rPr>
        <w:t xml:space="preserve"> highlights multiple, interconnected gaps across the care continuum, including delayed presentation, limited</w:t>
      </w:r>
      <w:r w:rsidR="00C46725" w:rsidRPr="00140A0A">
        <w:rPr>
          <w:rFonts w:ascii="Arial" w:hAnsi="Arial" w:cs="Arial"/>
          <w:sz w:val="20"/>
          <w:szCs w:val="20"/>
        </w:rPr>
        <w:t xml:space="preserve"> diagnostics and</w:t>
      </w:r>
      <w:r w:rsidR="009D08BE" w:rsidRPr="00140A0A">
        <w:rPr>
          <w:rFonts w:ascii="Arial" w:hAnsi="Arial" w:cs="Arial"/>
          <w:sz w:val="20"/>
          <w:szCs w:val="20"/>
        </w:rPr>
        <w:t xml:space="preserve"> access to effective therapy, financial barriers, and poor retention in care. These findings have important implications for clinical practice and health policy</w:t>
      </w:r>
      <w:bookmarkEnd w:id="0"/>
      <w:r w:rsidR="009D08BE" w:rsidRPr="00140A0A">
        <w:rPr>
          <w:rFonts w:ascii="Arial" w:hAnsi="Arial" w:cs="Arial"/>
          <w:sz w:val="20"/>
          <w:szCs w:val="20"/>
        </w:rPr>
        <w:t>.</w:t>
      </w:r>
    </w:p>
    <w:p w14:paraId="7372A499" w14:textId="780E5211" w:rsidR="009D08BE" w:rsidRPr="00140A0A" w:rsidRDefault="009D08BE" w:rsidP="00D9764A">
      <w:pPr>
        <w:spacing w:line="600" w:lineRule="auto"/>
        <w:jc w:val="both"/>
        <w:rPr>
          <w:rFonts w:ascii="Arial" w:hAnsi="Arial" w:cs="Arial"/>
          <w:sz w:val="20"/>
          <w:szCs w:val="20"/>
        </w:rPr>
      </w:pPr>
      <w:r w:rsidRPr="00140A0A">
        <w:rPr>
          <w:rFonts w:ascii="Arial" w:hAnsi="Arial" w:cs="Arial"/>
          <w:sz w:val="20"/>
          <w:szCs w:val="20"/>
        </w:rPr>
        <w:t xml:space="preserve">Efforts to improve CLL outcomes in similar settings should focus on strengthening early diagnostic pathways, improving access to affordable and evidence-based therapies, expanding health insurance coverage, and developing structured systems for long-term follow-up. Addressing these gaps will be essential </w:t>
      </w:r>
      <w:r w:rsidR="00C46725" w:rsidRPr="00140A0A">
        <w:rPr>
          <w:rFonts w:ascii="Arial" w:hAnsi="Arial" w:cs="Arial"/>
          <w:sz w:val="20"/>
          <w:szCs w:val="20"/>
        </w:rPr>
        <w:t>in</w:t>
      </w:r>
      <w:r w:rsidRPr="00140A0A">
        <w:rPr>
          <w:rFonts w:ascii="Arial" w:hAnsi="Arial" w:cs="Arial"/>
          <w:sz w:val="20"/>
          <w:szCs w:val="20"/>
        </w:rPr>
        <w:t xml:space="preserve"> reducing </w:t>
      </w:r>
      <w:r w:rsidR="00C46725" w:rsidRPr="00140A0A">
        <w:rPr>
          <w:rFonts w:ascii="Arial" w:hAnsi="Arial" w:cs="Arial"/>
          <w:sz w:val="20"/>
          <w:szCs w:val="20"/>
        </w:rPr>
        <w:t xml:space="preserve">the </w:t>
      </w:r>
      <w:r w:rsidRPr="00140A0A">
        <w:rPr>
          <w:rFonts w:ascii="Arial" w:hAnsi="Arial" w:cs="Arial"/>
          <w:sz w:val="20"/>
          <w:szCs w:val="20"/>
        </w:rPr>
        <w:t xml:space="preserve">disparities in </w:t>
      </w:r>
      <w:r w:rsidR="00C46725" w:rsidRPr="00140A0A">
        <w:rPr>
          <w:rFonts w:ascii="Arial" w:hAnsi="Arial" w:cs="Arial"/>
          <w:sz w:val="20"/>
          <w:szCs w:val="20"/>
        </w:rPr>
        <w:t xml:space="preserve">outcome of </w:t>
      </w:r>
      <w:r w:rsidRPr="00140A0A">
        <w:rPr>
          <w:rFonts w:ascii="Arial" w:hAnsi="Arial" w:cs="Arial"/>
          <w:sz w:val="20"/>
          <w:szCs w:val="20"/>
        </w:rPr>
        <w:t>CLL between low- and high-resource settings.</w:t>
      </w:r>
    </w:p>
    <w:p w14:paraId="37199399" w14:textId="75284EF9" w:rsidR="000E004C" w:rsidRPr="00140A0A" w:rsidRDefault="00D9764A" w:rsidP="00D9764A">
      <w:pPr>
        <w:spacing w:line="600" w:lineRule="auto"/>
        <w:jc w:val="both"/>
        <w:rPr>
          <w:rFonts w:ascii="Arial" w:hAnsi="Arial" w:cs="Arial"/>
          <w:b/>
          <w:bCs/>
          <w:sz w:val="22"/>
        </w:rPr>
      </w:pPr>
      <w:r w:rsidRPr="00140A0A">
        <w:rPr>
          <w:rFonts w:ascii="Arial" w:hAnsi="Arial" w:cs="Arial"/>
          <w:b/>
          <w:bCs/>
          <w:sz w:val="22"/>
        </w:rPr>
        <w:t>CONCLUSION</w:t>
      </w:r>
    </w:p>
    <w:p w14:paraId="597C4544" w14:textId="228C5D0A" w:rsidR="006B0266" w:rsidRPr="00140A0A" w:rsidRDefault="00C46725" w:rsidP="00D9764A">
      <w:pPr>
        <w:spacing w:line="600" w:lineRule="auto"/>
        <w:jc w:val="both"/>
        <w:rPr>
          <w:rFonts w:ascii="Arial" w:hAnsi="Arial" w:cs="Arial"/>
          <w:sz w:val="20"/>
          <w:szCs w:val="20"/>
        </w:rPr>
      </w:pPr>
      <w:r w:rsidRPr="00140A0A">
        <w:rPr>
          <w:rFonts w:ascii="Arial" w:hAnsi="Arial" w:cs="Arial"/>
          <w:sz w:val="20"/>
          <w:szCs w:val="20"/>
        </w:rPr>
        <w:t xml:space="preserve">In conclusion, </w:t>
      </w:r>
      <w:bookmarkStart w:id="1" w:name="_Hlk226466647"/>
      <w:r w:rsidR="000E004C" w:rsidRPr="00140A0A">
        <w:rPr>
          <w:rFonts w:ascii="Arial" w:hAnsi="Arial" w:cs="Arial"/>
          <w:sz w:val="20"/>
          <w:szCs w:val="20"/>
        </w:rPr>
        <w:t>this study identifies major real-world care gaps in the management of CLL in a tertiary hospital in Nigeria which included late-stage presentation, substantial baseline haematologic burden, limited diagnostics, restricted access to contemporary therapy, overwhelming dependence on out-of-pocket financing, and high attrition from care</w:t>
      </w:r>
      <w:bookmarkEnd w:id="1"/>
      <w:r w:rsidR="000E004C" w:rsidRPr="00140A0A">
        <w:rPr>
          <w:rFonts w:ascii="Arial" w:hAnsi="Arial" w:cs="Arial"/>
          <w:sz w:val="20"/>
          <w:szCs w:val="20"/>
        </w:rPr>
        <w:t xml:space="preserve">. </w:t>
      </w:r>
      <w:r w:rsidR="00234227" w:rsidRPr="00140A0A">
        <w:rPr>
          <w:rFonts w:ascii="Arial" w:hAnsi="Arial" w:cs="Arial"/>
          <w:sz w:val="20"/>
          <w:szCs w:val="20"/>
        </w:rPr>
        <w:t>Therefore,</w:t>
      </w:r>
      <w:r w:rsidR="000E004C" w:rsidRPr="00140A0A">
        <w:rPr>
          <w:rFonts w:ascii="Arial" w:hAnsi="Arial" w:cs="Arial"/>
          <w:sz w:val="20"/>
          <w:szCs w:val="20"/>
        </w:rPr>
        <w:t xml:space="preserve"> the</w:t>
      </w:r>
      <w:r w:rsidRPr="00140A0A">
        <w:rPr>
          <w:rFonts w:ascii="Arial" w:hAnsi="Arial" w:cs="Arial"/>
          <w:sz w:val="20"/>
          <w:szCs w:val="20"/>
        </w:rPr>
        <w:t xml:space="preserve"> burden of CLL was shaped not only by disease characteristics, but also by major deficiencies across the real-world care pathway.</w:t>
      </w:r>
      <w:r w:rsidR="000E004C" w:rsidRPr="00140A0A">
        <w:rPr>
          <w:rFonts w:ascii="Arial" w:hAnsi="Arial" w:cs="Arial"/>
          <w:sz w:val="20"/>
          <w:szCs w:val="20"/>
        </w:rPr>
        <w:t xml:space="preserve"> These care delivery failures likely contribute materially to adverse outcomes. Strengthening earlier diagnosis, financial protection, and longitudinal retention in specialist haematology care may be essential to improving survival in CLL in resource-constrained settings.</w:t>
      </w:r>
    </w:p>
    <w:p w14:paraId="01E2911D" w14:textId="153EA307" w:rsidR="000E004C" w:rsidRPr="00140A0A" w:rsidRDefault="00D9764A" w:rsidP="00D9764A">
      <w:pPr>
        <w:spacing w:line="600" w:lineRule="auto"/>
        <w:jc w:val="both"/>
        <w:rPr>
          <w:rFonts w:ascii="Arial" w:hAnsi="Arial" w:cs="Arial"/>
          <w:b/>
          <w:bCs/>
          <w:sz w:val="22"/>
        </w:rPr>
      </w:pPr>
      <w:r w:rsidRPr="00140A0A">
        <w:rPr>
          <w:rFonts w:ascii="Arial" w:hAnsi="Arial" w:cs="Arial"/>
          <w:b/>
          <w:bCs/>
          <w:sz w:val="22"/>
        </w:rPr>
        <w:t>STUDY LIMITATIONS</w:t>
      </w:r>
    </w:p>
    <w:p w14:paraId="6BE5AA2C" w14:textId="76730D9F" w:rsidR="000E004C" w:rsidRPr="002C505C" w:rsidRDefault="000E004C" w:rsidP="00D9764A">
      <w:pPr>
        <w:spacing w:line="600" w:lineRule="auto"/>
        <w:jc w:val="both"/>
        <w:rPr>
          <w:rFonts w:ascii="Arial" w:hAnsi="Arial" w:cs="Arial"/>
          <w:color w:val="EE0000"/>
          <w:sz w:val="20"/>
          <w:szCs w:val="20"/>
        </w:rPr>
      </w:pPr>
      <w:r w:rsidRPr="002C505C">
        <w:rPr>
          <w:rFonts w:ascii="Arial" w:hAnsi="Arial" w:cs="Arial"/>
          <w:color w:val="EE0000"/>
          <w:sz w:val="20"/>
          <w:szCs w:val="20"/>
        </w:rPr>
        <w:t>This study is not without limitations. Firstly, due to the retrospective design there was a lot of missing data with a high rate of loss to follow-up. Secondly this was a relatively small, single-</w:t>
      </w:r>
      <w:proofErr w:type="spellStart"/>
      <w:r w:rsidRPr="002C505C">
        <w:rPr>
          <w:rFonts w:ascii="Arial" w:hAnsi="Arial" w:cs="Arial"/>
          <w:color w:val="EE0000"/>
          <w:sz w:val="20"/>
          <w:szCs w:val="20"/>
        </w:rPr>
        <w:t>centre</w:t>
      </w:r>
      <w:proofErr w:type="spellEnd"/>
      <w:r w:rsidRPr="002C505C">
        <w:rPr>
          <w:rFonts w:ascii="Arial" w:hAnsi="Arial" w:cs="Arial"/>
          <w:color w:val="EE0000"/>
          <w:sz w:val="20"/>
          <w:szCs w:val="20"/>
        </w:rPr>
        <w:t xml:space="preserve"> </w:t>
      </w:r>
      <w:r w:rsidR="00741EEC">
        <w:rPr>
          <w:rFonts w:ascii="Arial" w:hAnsi="Arial" w:cs="Arial"/>
          <w:color w:val="EE0000"/>
          <w:sz w:val="20"/>
          <w:szCs w:val="20"/>
        </w:rPr>
        <w:t>study</w:t>
      </w:r>
      <w:r w:rsidRPr="002C505C">
        <w:rPr>
          <w:rFonts w:ascii="Arial" w:hAnsi="Arial" w:cs="Arial"/>
          <w:color w:val="EE0000"/>
          <w:sz w:val="20"/>
          <w:szCs w:val="20"/>
        </w:rPr>
        <w:t>. Additionally, treatment allocation was not randomized, and comparisons between treatment groups are subject to confounding. Despite these limitations, this study provides valuable insights into real-world CLL care in a resource-constrained setting.</w:t>
      </w:r>
    </w:p>
    <w:p w14:paraId="1B57AFF3" w14:textId="77777777" w:rsidR="00602664" w:rsidRPr="00602664" w:rsidRDefault="00602664" w:rsidP="00602664">
      <w:pPr>
        <w:keepNext/>
        <w:keepLines/>
        <w:spacing w:before="480" w:after="0" w:line="600" w:lineRule="auto"/>
        <w:jc w:val="both"/>
        <w:outlineLvl w:val="0"/>
        <w:rPr>
          <w:rFonts w:ascii="Arial" w:eastAsiaTheme="majorEastAsia" w:hAnsi="Arial" w:cs="Arial"/>
          <w:b/>
          <w:bCs/>
          <w:sz w:val="22"/>
        </w:rPr>
      </w:pPr>
      <w:r w:rsidRPr="00602664">
        <w:rPr>
          <w:rFonts w:ascii="Arial" w:eastAsiaTheme="majorEastAsia" w:hAnsi="Arial" w:cs="Arial"/>
          <w:b/>
          <w:bCs/>
          <w:sz w:val="22"/>
        </w:rPr>
        <w:lastRenderedPageBreak/>
        <w:t>CONFLICTS OF INTEREST</w:t>
      </w:r>
    </w:p>
    <w:p w14:paraId="0E05AD76" w14:textId="77777777" w:rsidR="00602664" w:rsidRPr="00602664" w:rsidRDefault="00602664" w:rsidP="00602664">
      <w:pPr>
        <w:spacing w:line="600" w:lineRule="auto"/>
        <w:jc w:val="both"/>
        <w:rPr>
          <w:rFonts w:ascii="Arial" w:hAnsi="Arial" w:cs="Arial"/>
          <w:sz w:val="20"/>
          <w:szCs w:val="20"/>
        </w:rPr>
      </w:pPr>
      <w:r w:rsidRPr="00602664">
        <w:rPr>
          <w:rFonts w:ascii="Arial" w:hAnsi="Arial" w:cs="Arial"/>
          <w:sz w:val="20"/>
          <w:szCs w:val="20"/>
        </w:rPr>
        <w:t>The authors declare that they have no competing interests.</w:t>
      </w:r>
    </w:p>
    <w:p w14:paraId="0ADC337B" w14:textId="77777777" w:rsidR="00602664" w:rsidRPr="00602664" w:rsidRDefault="00602664" w:rsidP="00602664">
      <w:pPr>
        <w:spacing w:line="600" w:lineRule="auto"/>
        <w:jc w:val="both"/>
        <w:rPr>
          <w:rFonts w:ascii="Arial" w:hAnsi="Arial" w:cs="Arial"/>
          <w:b/>
          <w:bCs/>
          <w:color w:val="EE0000"/>
          <w:sz w:val="20"/>
          <w:szCs w:val="20"/>
        </w:rPr>
      </w:pPr>
      <w:r w:rsidRPr="00602664">
        <w:rPr>
          <w:rFonts w:ascii="Arial" w:hAnsi="Arial" w:cs="Arial"/>
          <w:b/>
          <w:bCs/>
          <w:color w:val="EE0000"/>
          <w:sz w:val="20"/>
          <w:szCs w:val="20"/>
        </w:rPr>
        <w:t>ETHICAL APPROVAL</w:t>
      </w:r>
    </w:p>
    <w:p w14:paraId="3CAF9E38" w14:textId="77777777" w:rsidR="00602664" w:rsidRPr="00602664" w:rsidRDefault="00602664" w:rsidP="00602664">
      <w:pPr>
        <w:spacing w:line="600" w:lineRule="auto"/>
        <w:jc w:val="both"/>
        <w:rPr>
          <w:rFonts w:ascii="Arial" w:hAnsi="Arial" w:cs="Arial"/>
          <w:color w:val="EE0000"/>
          <w:sz w:val="20"/>
          <w:szCs w:val="20"/>
        </w:rPr>
      </w:pPr>
      <w:r w:rsidRPr="00602664">
        <w:rPr>
          <w:rFonts w:ascii="Arial" w:hAnsi="Arial" w:cs="Arial"/>
          <w:color w:val="EE0000"/>
          <w:sz w:val="20"/>
          <w:szCs w:val="20"/>
        </w:rPr>
        <w:t>This was gotten from the Institution’s Ethics and Research Committee (Protocol Number: UPTH/ADM/90/S.11/VOL.XI/2187).</w:t>
      </w:r>
    </w:p>
    <w:p w14:paraId="6E6C5157" w14:textId="4C795EFB" w:rsidR="001B2C46" w:rsidRDefault="001B2C46" w:rsidP="00D9764A">
      <w:pPr>
        <w:spacing w:line="600" w:lineRule="auto"/>
        <w:jc w:val="both"/>
        <w:rPr>
          <w:rFonts w:ascii="Arial" w:hAnsi="Arial" w:cs="Arial"/>
          <w:sz w:val="20"/>
          <w:szCs w:val="20"/>
        </w:rPr>
      </w:pPr>
      <w:bookmarkStart w:id="2" w:name="_GoBack"/>
      <w:bookmarkEnd w:id="2"/>
    </w:p>
    <w:p w14:paraId="673D9E12" w14:textId="41E5FF0B" w:rsidR="001B2C46" w:rsidRDefault="001B2C46" w:rsidP="00D9764A">
      <w:pPr>
        <w:spacing w:line="600" w:lineRule="auto"/>
        <w:jc w:val="both"/>
        <w:rPr>
          <w:rFonts w:ascii="Arial" w:hAnsi="Arial" w:cs="Arial"/>
          <w:sz w:val="20"/>
          <w:szCs w:val="20"/>
        </w:rPr>
      </w:pPr>
    </w:p>
    <w:p w14:paraId="44352EA7" w14:textId="77777777" w:rsidR="001B2C46" w:rsidRPr="001B2C46" w:rsidRDefault="001B2C46" w:rsidP="001B2C46">
      <w:pPr>
        <w:spacing w:after="0" w:line="240" w:lineRule="auto"/>
        <w:rPr>
          <w:rFonts w:eastAsia="Calibri" w:cs="Times New Roman"/>
          <w:kern w:val="2"/>
          <w:sz w:val="22"/>
          <w:highlight w:val="yellow"/>
        </w:rPr>
      </w:pPr>
      <w:bookmarkStart w:id="3" w:name="_Hlk198031404"/>
      <w:bookmarkStart w:id="4" w:name="_Hlk219125673"/>
      <w:r w:rsidRPr="001B2C46">
        <w:rPr>
          <w:rFonts w:eastAsia="Calibri" w:cs="Times New Roman"/>
          <w:kern w:val="2"/>
          <w:sz w:val="22"/>
          <w:highlight w:val="yellow"/>
        </w:rPr>
        <w:t>Disclaimer (Artificial intelligence)</w:t>
      </w:r>
    </w:p>
    <w:p w14:paraId="474B9010" w14:textId="77777777" w:rsidR="001B2C46" w:rsidRPr="001B2C46" w:rsidRDefault="001B2C46" w:rsidP="001B2C46">
      <w:pPr>
        <w:spacing w:after="0" w:line="240" w:lineRule="auto"/>
        <w:rPr>
          <w:rFonts w:eastAsia="Calibri" w:cs="Times New Roman"/>
          <w:kern w:val="2"/>
          <w:sz w:val="22"/>
          <w:highlight w:val="yellow"/>
        </w:rPr>
      </w:pPr>
    </w:p>
    <w:p w14:paraId="38E29605" w14:textId="77777777" w:rsidR="001B2C46" w:rsidRPr="001B2C46" w:rsidRDefault="001B2C46" w:rsidP="001B2C46">
      <w:pPr>
        <w:spacing w:after="0" w:line="240" w:lineRule="auto"/>
        <w:rPr>
          <w:rFonts w:eastAsia="Calibri" w:cs="Times New Roman"/>
          <w:kern w:val="2"/>
          <w:sz w:val="22"/>
          <w:highlight w:val="yellow"/>
        </w:rPr>
      </w:pPr>
      <w:r w:rsidRPr="001B2C46">
        <w:rPr>
          <w:rFonts w:eastAsia="Calibri" w:cs="Times New Roman"/>
          <w:kern w:val="2"/>
          <w:sz w:val="22"/>
          <w:highlight w:val="yellow"/>
        </w:rPr>
        <w:t xml:space="preserve">Author(s) hereby declare that NO generative AI technologies such as Large Language Models (ChatGPT, COPILOT, etc.) and text-to-image generators have been used during the writing or editing of this manuscript. </w:t>
      </w:r>
    </w:p>
    <w:bookmarkEnd w:id="3"/>
    <w:p w14:paraId="67A22058" w14:textId="77777777" w:rsidR="001B2C46" w:rsidRPr="001B2C46" w:rsidRDefault="001B2C46" w:rsidP="001B2C46">
      <w:pPr>
        <w:rPr>
          <w:rFonts w:ascii="Calibri" w:eastAsia="Calibri" w:hAnsi="Calibri" w:cs="Times New Roman"/>
          <w:sz w:val="28"/>
        </w:rPr>
      </w:pPr>
    </w:p>
    <w:bookmarkEnd w:id="4"/>
    <w:p w14:paraId="2F760F0E" w14:textId="77777777" w:rsidR="001B2C46" w:rsidRPr="00140A0A" w:rsidRDefault="001B2C46" w:rsidP="00D9764A">
      <w:pPr>
        <w:spacing w:line="600" w:lineRule="auto"/>
        <w:jc w:val="both"/>
        <w:rPr>
          <w:rFonts w:ascii="Arial" w:hAnsi="Arial" w:cs="Arial"/>
          <w:sz w:val="20"/>
          <w:szCs w:val="20"/>
        </w:rPr>
      </w:pPr>
    </w:p>
    <w:p w14:paraId="15A0A551" w14:textId="4661DC97" w:rsidR="00D12868" w:rsidRPr="00140A0A" w:rsidRDefault="00D9764A" w:rsidP="00366663">
      <w:pPr>
        <w:pStyle w:val="Heading1"/>
        <w:spacing w:line="600" w:lineRule="auto"/>
        <w:rPr>
          <w:rFonts w:ascii="Arial" w:hAnsi="Arial" w:cs="Arial"/>
          <w:sz w:val="20"/>
          <w:szCs w:val="20"/>
        </w:rPr>
      </w:pPr>
      <w:r w:rsidRPr="00140A0A">
        <w:rPr>
          <w:rFonts w:ascii="Arial" w:hAnsi="Arial" w:cs="Arial"/>
          <w:color w:val="auto"/>
          <w:sz w:val="20"/>
          <w:szCs w:val="20"/>
        </w:rPr>
        <w:t>REFERENCES</w:t>
      </w:r>
    </w:p>
    <w:p w14:paraId="252E0BA7" w14:textId="0CF2C0E6" w:rsidR="00F146C0" w:rsidRPr="00140A0A" w:rsidRDefault="00F146C0" w:rsidP="00D9764A">
      <w:pPr>
        <w:pStyle w:val="ListParagraph"/>
        <w:numPr>
          <w:ilvl w:val="0"/>
          <w:numId w:val="11"/>
        </w:numPr>
        <w:spacing w:line="600" w:lineRule="auto"/>
        <w:jc w:val="both"/>
        <w:rPr>
          <w:rFonts w:ascii="Arial" w:hAnsi="Arial" w:cs="Arial"/>
          <w:sz w:val="20"/>
          <w:szCs w:val="20"/>
        </w:rPr>
      </w:pPr>
      <w:proofErr w:type="spellStart"/>
      <w:r w:rsidRPr="00140A0A">
        <w:rPr>
          <w:rFonts w:ascii="Arial" w:hAnsi="Arial" w:cs="Arial"/>
          <w:color w:val="212121"/>
          <w:sz w:val="20"/>
          <w:szCs w:val="20"/>
          <w:shd w:val="clear" w:color="auto" w:fill="FFFFFF"/>
        </w:rPr>
        <w:t>Hallek</w:t>
      </w:r>
      <w:proofErr w:type="spellEnd"/>
      <w:r w:rsidRPr="00140A0A">
        <w:rPr>
          <w:rFonts w:ascii="Arial" w:hAnsi="Arial" w:cs="Arial"/>
          <w:color w:val="212121"/>
          <w:sz w:val="20"/>
          <w:szCs w:val="20"/>
          <w:shd w:val="clear" w:color="auto" w:fill="FFFFFF"/>
        </w:rPr>
        <w:t xml:space="preserve"> M. Chronic Lymphocytic Leukemia: 2025 Update on the Epidemiology, Pathogenesis, Diagnosis, and Therapy. Am J </w:t>
      </w:r>
      <w:proofErr w:type="spellStart"/>
      <w:r w:rsidRPr="00140A0A">
        <w:rPr>
          <w:rFonts w:ascii="Arial" w:hAnsi="Arial" w:cs="Arial"/>
          <w:color w:val="212121"/>
          <w:sz w:val="20"/>
          <w:szCs w:val="20"/>
          <w:shd w:val="clear" w:color="auto" w:fill="FFFFFF"/>
        </w:rPr>
        <w:t>Hematol</w:t>
      </w:r>
      <w:proofErr w:type="spellEnd"/>
      <w:r w:rsidRPr="00140A0A">
        <w:rPr>
          <w:rFonts w:ascii="Arial" w:hAnsi="Arial" w:cs="Arial"/>
          <w:color w:val="212121"/>
          <w:sz w:val="20"/>
          <w:szCs w:val="20"/>
          <w:shd w:val="clear" w:color="auto" w:fill="FFFFFF"/>
        </w:rPr>
        <w:t xml:space="preserve">. 2025 Mar;100(3):450-480. </w:t>
      </w:r>
      <w:proofErr w:type="spellStart"/>
      <w:r w:rsidRPr="00140A0A">
        <w:rPr>
          <w:rFonts w:ascii="Arial" w:hAnsi="Arial" w:cs="Arial"/>
          <w:color w:val="212121"/>
          <w:sz w:val="20"/>
          <w:szCs w:val="20"/>
          <w:shd w:val="clear" w:color="auto" w:fill="FFFFFF"/>
        </w:rPr>
        <w:t>doi</w:t>
      </w:r>
      <w:proofErr w:type="spellEnd"/>
      <w:r w:rsidRPr="00140A0A">
        <w:rPr>
          <w:rFonts w:ascii="Arial" w:hAnsi="Arial" w:cs="Arial"/>
          <w:color w:val="212121"/>
          <w:sz w:val="20"/>
          <w:szCs w:val="20"/>
          <w:shd w:val="clear" w:color="auto" w:fill="FFFFFF"/>
        </w:rPr>
        <w:t xml:space="preserve">: 10.1002/ajh.27546. </w:t>
      </w:r>
      <w:proofErr w:type="spellStart"/>
      <w:r w:rsidRPr="00140A0A">
        <w:rPr>
          <w:rFonts w:ascii="Arial" w:hAnsi="Arial" w:cs="Arial"/>
          <w:color w:val="212121"/>
          <w:sz w:val="20"/>
          <w:szCs w:val="20"/>
          <w:shd w:val="clear" w:color="auto" w:fill="FFFFFF"/>
        </w:rPr>
        <w:t>Epub</w:t>
      </w:r>
      <w:proofErr w:type="spellEnd"/>
      <w:r w:rsidRPr="00140A0A">
        <w:rPr>
          <w:rFonts w:ascii="Arial" w:hAnsi="Arial" w:cs="Arial"/>
          <w:color w:val="212121"/>
          <w:sz w:val="20"/>
          <w:szCs w:val="20"/>
          <w:shd w:val="clear" w:color="auto" w:fill="FFFFFF"/>
        </w:rPr>
        <w:t xml:space="preserve"> 2025 Jan 28. </w:t>
      </w:r>
    </w:p>
    <w:p w14:paraId="7BEABDAC" w14:textId="6A71B399" w:rsidR="00F146C0" w:rsidRPr="00140A0A" w:rsidRDefault="00F146C0" w:rsidP="00D9764A">
      <w:pPr>
        <w:pStyle w:val="ListParagraph"/>
        <w:numPr>
          <w:ilvl w:val="0"/>
          <w:numId w:val="11"/>
        </w:numPr>
        <w:spacing w:line="600" w:lineRule="auto"/>
        <w:jc w:val="both"/>
        <w:rPr>
          <w:rFonts w:ascii="Arial" w:hAnsi="Arial" w:cs="Arial"/>
          <w:sz w:val="20"/>
          <w:szCs w:val="20"/>
        </w:rPr>
      </w:pPr>
      <w:r w:rsidRPr="00140A0A">
        <w:rPr>
          <w:rFonts w:ascii="Arial" w:hAnsi="Arial" w:cs="Arial"/>
          <w:color w:val="1B1B1B"/>
          <w:sz w:val="20"/>
          <w:szCs w:val="20"/>
          <w:shd w:val="clear" w:color="auto" w:fill="FFFFFF"/>
        </w:rPr>
        <w:t>Yao Y, Lin X, Li F, Jin J, Wang H. The global burden and attributable risk factors of chronic lymphocytic leukemia in 204 countries and territories from 1990 to 2019: analysis based on the global burden of disease study 2019. Biomed Eng Online. 2022 Jan 11;21(1):4.</w:t>
      </w:r>
    </w:p>
    <w:p w14:paraId="7B402FFF" w14:textId="614E7F9E" w:rsidR="00F146C0" w:rsidRPr="00140A0A" w:rsidRDefault="00C452EC" w:rsidP="00D9764A">
      <w:pPr>
        <w:pStyle w:val="ListParagraph"/>
        <w:numPr>
          <w:ilvl w:val="0"/>
          <w:numId w:val="11"/>
        </w:numPr>
        <w:spacing w:line="600" w:lineRule="auto"/>
        <w:jc w:val="both"/>
        <w:rPr>
          <w:rFonts w:ascii="Arial" w:hAnsi="Arial" w:cs="Arial"/>
          <w:sz w:val="20"/>
          <w:szCs w:val="20"/>
        </w:rPr>
      </w:pPr>
      <w:r w:rsidRPr="00140A0A">
        <w:rPr>
          <w:rFonts w:ascii="Arial" w:hAnsi="Arial" w:cs="Arial"/>
          <w:color w:val="1C1D1E"/>
          <w:sz w:val="20"/>
          <w:szCs w:val="20"/>
          <w:shd w:val="clear" w:color="auto" w:fill="FFFFFF"/>
        </w:rPr>
        <w:t>Mattsson, M., Sandin, F., Kimby, E., Höglund, M. and Glimelius, I. (2020), Increasing prevalence of chronic lymphocytic leukemia with an estimated future rise: A nationwide population-based study. Am J Hematol, 95: E36-E38.</w:t>
      </w:r>
    </w:p>
    <w:p w14:paraId="3EF9D303" w14:textId="5CE5801C" w:rsidR="00C452EC" w:rsidRPr="00140A0A" w:rsidRDefault="00621973" w:rsidP="00D9764A">
      <w:pPr>
        <w:pStyle w:val="ListParagraph"/>
        <w:numPr>
          <w:ilvl w:val="0"/>
          <w:numId w:val="11"/>
        </w:numPr>
        <w:spacing w:line="600" w:lineRule="auto"/>
        <w:jc w:val="both"/>
        <w:rPr>
          <w:rFonts w:ascii="Arial" w:hAnsi="Arial" w:cs="Arial"/>
          <w:sz w:val="20"/>
          <w:szCs w:val="20"/>
        </w:rPr>
      </w:pPr>
      <w:proofErr w:type="spellStart"/>
      <w:r w:rsidRPr="001B2C46">
        <w:rPr>
          <w:rFonts w:ascii="Arial" w:hAnsi="Arial" w:cs="Arial"/>
          <w:color w:val="222222"/>
          <w:sz w:val="20"/>
          <w:szCs w:val="20"/>
          <w:shd w:val="clear" w:color="auto" w:fill="FFFFFF"/>
          <w:lang w:val="fr-FR"/>
        </w:rPr>
        <w:lastRenderedPageBreak/>
        <w:t>Maqhuzu</w:t>
      </w:r>
      <w:proofErr w:type="spellEnd"/>
      <w:r w:rsidRPr="001B2C46">
        <w:rPr>
          <w:rFonts w:ascii="Arial" w:hAnsi="Arial" w:cs="Arial"/>
          <w:color w:val="222222"/>
          <w:sz w:val="20"/>
          <w:szCs w:val="20"/>
          <w:shd w:val="clear" w:color="auto" w:fill="FFFFFF"/>
          <w:lang w:val="fr-FR"/>
        </w:rPr>
        <w:t xml:space="preserve">, P.N., </w:t>
      </w:r>
      <w:proofErr w:type="spellStart"/>
      <w:r w:rsidRPr="001B2C46">
        <w:rPr>
          <w:rFonts w:ascii="Arial" w:hAnsi="Arial" w:cs="Arial"/>
          <w:color w:val="222222"/>
          <w:sz w:val="20"/>
          <w:szCs w:val="20"/>
          <w:shd w:val="clear" w:color="auto" w:fill="FFFFFF"/>
          <w:lang w:val="fr-FR"/>
        </w:rPr>
        <w:t>Bocuk</w:t>
      </w:r>
      <w:proofErr w:type="spellEnd"/>
      <w:r w:rsidRPr="001B2C46">
        <w:rPr>
          <w:rFonts w:ascii="Arial" w:hAnsi="Arial" w:cs="Arial"/>
          <w:color w:val="222222"/>
          <w:sz w:val="20"/>
          <w:szCs w:val="20"/>
          <w:shd w:val="clear" w:color="auto" w:fill="FFFFFF"/>
          <w:lang w:val="fr-FR"/>
        </w:rPr>
        <w:t xml:space="preserve">, D., </w:t>
      </w:r>
      <w:proofErr w:type="spellStart"/>
      <w:r w:rsidRPr="001B2C46">
        <w:rPr>
          <w:rFonts w:ascii="Arial" w:hAnsi="Arial" w:cs="Arial"/>
          <w:color w:val="222222"/>
          <w:sz w:val="20"/>
          <w:szCs w:val="20"/>
          <w:shd w:val="clear" w:color="auto" w:fill="FFFFFF"/>
          <w:lang w:val="fr-FR"/>
        </w:rPr>
        <w:t>Boelz</w:t>
      </w:r>
      <w:proofErr w:type="spellEnd"/>
      <w:r w:rsidRPr="001B2C46">
        <w:rPr>
          <w:rFonts w:ascii="Arial" w:hAnsi="Arial" w:cs="Arial"/>
          <w:color w:val="222222"/>
          <w:sz w:val="20"/>
          <w:szCs w:val="20"/>
          <w:shd w:val="clear" w:color="auto" w:fill="FFFFFF"/>
          <w:lang w:val="fr-FR"/>
        </w:rPr>
        <w:t>, S. </w:t>
      </w:r>
      <w:r w:rsidRPr="001B2C46">
        <w:rPr>
          <w:rFonts w:ascii="Arial" w:hAnsi="Arial" w:cs="Arial"/>
          <w:i/>
          <w:iCs/>
          <w:color w:val="222222"/>
          <w:sz w:val="20"/>
          <w:szCs w:val="20"/>
          <w:shd w:val="clear" w:color="auto" w:fill="FFFFFF"/>
          <w:lang w:val="fr-FR"/>
        </w:rPr>
        <w:t>et al.</w:t>
      </w:r>
      <w:r w:rsidRPr="001B2C46">
        <w:rPr>
          <w:rFonts w:ascii="Arial" w:hAnsi="Arial" w:cs="Arial"/>
          <w:color w:val="222222"/>
          <w:sz w:val="20"/>
          <w:szCs w:val="20"/>
          <w:shd w:val="clear" w:color="auto" w:fill="FFFFFF"/>
          <w:lang w:val="fr-FR"/>
        </w:rPr>
        <w:t> </w:t>
      </w:r>
      <w:r w:rsidRPr="00140A0A">
        <w:rPr>
          <w:rFonts w:ascii="Arial" w:hAnsi="Arial" w:cs="Arial"/>
          <w:color w:val="222222"/>
          <w:sz w:val="20"/>
          <w:szCs w:val="20"/>
          <w:shd w:val="clear" w:color="auto" w:fill="FFFFFF"/>
        </w:rPr>
        <w:t>Epidemiology of chronic lymphocytic leukaemia in Germany: A retrospective analysis of administrative claims data. </w:t>
      </w:r>
      <w:r w:rsidRPr="00140A0A">
        <w:rPr>
          <w:rFonts w:ascii="Arial" w:hAnsi="Arial" w:cs="Arial"/>
          <w:i/>
          <w:iCs/>
          <w:color w:val="222222"/>
          <w:sz w:val="20"/>
          <w:szCs w:val="20"/>
          <w:shd w:val="clear" w:color="auto" w:fill="FFFFFF"/>
        </w:rPr>
        <w:t>Ann Hematol</w:t>
      </w:r>
      <w:r w:rsidRPr="00140A0A">
        <w:rPr>
          <w:rFonts w:ascii="Arial" w:hAnsi="Arial" w:cs="Arial"/>
          <w:color w:val="222222"/>
          <w:sz w:val="20"/>
          <w:szCs w:val="20"/>
          <w:shd w:val="clear" w:color="auto" w:fill="FFFFFF"/>
        </w:rPr>
        <w:t> 104, 5237–5256 (2025)</w:t>
      </w:r>
    </w:p>
    <w:p w14:paraId="0DA8CA20" w14:textId="38058847" w:rsidR="00621973" w:rsidRPr="00140A0A" w:rsidRDefault="00875F4B" w:rsidP="00D9764A">
      <w:pPr>
        <w:pStyle w:val="ListParagraph"/>
        <w:numPr>
          <w:ilvl w:val="0"/>
          <w:numId w:val="11"/>
        </w:numPr>
        <w:spacing w:line="600" w:lineRule="auto"/>
        <w:jc w:val="both"/>
        <w:rPr>
          <w:rFonts w:ascii="Arial" w:hAnsi="Arial" w:cs="Arial"/>
          <w:sz w:val="20"/>
          <w:szCs w:val="20"/>
        </w:rPr>
      </w:pPr>
      <w:r w:rsidRPr="00140A0A">
        <w:rPr>
          <w:rFonts w:ascii="Arial" w:hAnsi="Arial" w:cs="Arial"/>
          <w:color w:val="1B1B1B"/>
          <w:sz w:val="20"/>
          <w:szCs w:val="20"/>
          <w:shd w:val="clear" w:color="auto" w:fill="FFFFFF"/>
        </w:rPr>
        <w:t xml:space="preserve">Sander B, Campo E, Hsi ED. Chronic lymphocytic leukaemia/small lymphocytic lymphoma and mantle cell lymphoma: from early lesions to transformation. </w:t>
      </w:r>
      <w:proofErr w:type="spellStart"/>
      <w:r w:rsidRPr="00140A0A">
        <w:rPr>
          <w:rFonts w:ascii="Arial" w:hAnsi="Arial" w:cs="Arial"/>
          <w:color w:val="1B1B1B"/>
          <w:sz w:val="20"/>
          <w:szCs w:val="20"/>
          <w:shd w:val="clear" w:color="auto" w:fill="FFFFFF"/>
        </w:rPr>
        <w:t>Virchows</w:t>
      </w:r>
      <w:proofErr w:type="spellEnd"/>
      <w:r w:rsidRPr="00140A0A">
        <w:rPr>
          <w:rFonts w:ascii="Arial" w:hAnsi="Arial" w:cs="Arial"/>
          <w:color w:val="1B1B1B"/>
          <w:sz w:val="20"/>
          <w:szCs w:val="20"/>
          <w:shd w:val="clear" w:color="auto" w:fill="FFFFFF"/>
        </w:rPr>
        <w:t xml:space="preserve"> Arch. 2023 Jan;482(1)</w:t>
      </w:r>
    </w:p>
    <w:p w14:paraId="0113A890" w14:textId="77777777" w:rsidR="00F92A54" w:rsidRPr="00140A0A" w:rsidRDefault="00875F4B" w:rsidP="00D9764A">
      <w:pPr>
        <w:pStyle w:val="ListParagraph"/>
        <w:numPr>
          <w:ilvl w:val="0"/>
          <w:numId w:val="11"/>
        </w:numPr>
        <w:spacing w:line="600" w:lineRule="auto"/>
        <w:jc w:val="both"/>
        <w:rPr>
          <w:rFonts w:ascii="Arial" w:hAnsi="Arial" w:cs="Arial"/>
          <w:sz w:val="20"/>
          <w:szCs w:val="20"/>
        </w:rPr>
      </w:pPr>
      <w:r w:rsidRPr="00140A0A">
        <w:rPr>
          <w:rFonts w:ascii="Arial" w:hAnsi="Arial" w:cs="Arial"/>
          <w:color w:val="1B1B1B"/>
          <w:sz w:val="20"/>
          <w:szCs w:val="20"/>
          <w:shd w:val="clear" w:color="auto" w:fill="FFFFFF"/>
        </w:rPr>
        <w:t xml:space="preserve">Devi A, Thielemans L, </w:t>
      </w:r>
      <w:proofErr w:type="spellStart"/>
      <w:r w:rsidRPr="00140A0A">
        <w:rPr>
          <w:rFonts w:ascii="Arial" w:hAnsi="Arial" w:cs="Arial"/>
          <w:color w:val="1B1B1B"/>
          <w:sz w:val="20"/>
          <w:szCs w:val="20"/>
          <w:shd w:val="clear" w:color="auto" w:fill="FFFFFF"/>
        </w:rPr>
        <w:t>Ladikou</w:t>
      </w:r>
      <w:proofErr w:type="spellEnd"/>
      <w:r w:rsidRPr="00140A0A">
        <w:rPr>
          <w:rFonts w:ascii="Arial" w:hAnsi="Arial" w:cs="Arial"/>
          <w:color w:val="1B1B1B"/>
          <w:sz w:val="20"/>
          <w:szCs w:val="20"/>
          <w:shd w:val="clear" w:color="auto" w:fill="FFFFFF"/>
        </w:rPr>
        <w:t xml:space="preserve"> EE, Nandra TK, </w:t>
      </w:r>
      <w:proofErr w:type="spellStart"/>
      <w:r w:rsidRPr="00140A0A">
        <w:rPr>
          <w:rFonts w:ascii="Arial" w:hAnsi="Arial" w:cs="Arial"/>
          <w:color w:val="1B1B1B"/>
          <w:sz w:val="20"/>
          <w:szCs w:val="20"/>
          <w:shd w:val="clear" w:color="auto" w:fill="FFFFFF"/>
        </w:rPr>
        <w:t>Chevassut</w:t>
      </w:r>
      <w:proofErr w:type="spellEnd"/>
      <w:r w:rsidRPr="00140A0A">
        <w:rPr>
          <w:rFonts w:ascii="Arial" w:hAnsi="Arial" w:cs="Arial"/>
          <w:color w:val="1B1B1B"/>
          <w:sz w:val="20"/>
          <w:szCs w:val="20"/>
          <w:shd w:val="clear" w:color="auto" w:fill="FFFFFF"/>
        </w:rPr>
        <w:t xml:space="preserve"> T. Lymphocytosis and chronic lymphocytic leukaemia: investigation and management. Clin Med (Lond). 2022 May;22(3):225-229.</w:t>
      </w:r>
    </w:p>
    <w:p w14:paraId="60C0B47E" w14:textId="3971050A" w:rsidR="00875F4B" w:rsidRPr="00140A0A" w:rsidRDefault="00C12EE2" w:rsidP="00D9764A">
      <w:pPr>
        <w:pStyle w:val="ListParagraph"/>
        <w:numPr>
          <w:ilvl w:val="0"/>
          <w:numId w:val="11"/>
        </w:numPr>
        <w:spacing w:line="600" w:lineRule="auto"/>
        <w:jc w:val="both"/>
        <w:rPr>
          <w:rFonts w:ascii="Arial" w:hAnsi="Arial" w:cs="Arial"/>
          <w:sz w:val="20"/>
          <w:szCs w:val="20"/>
        </w:rPr>
      </w:pPr>
      <w:hyperlink r:id="rId13" w:history="1">
        <w:r w:rsidR="00F92A54" w:rsidRPr="00140A0A">
          <w:rPr>
            <w:rFonts w:ascii="Arial" w:hAnsi="Arial" w:cs="Arial"/>
            <w:color w:val="000000" w:themeColor="text1"/>
            <w:sz w:val="20"/>
            <w:szCs w:val="20"/>
            <w:bdr w:val="none" w:sz="0" w:space="0" w:color="auto" w:frame="1"/>
          </w:rPr>
          <w:t>Michael Hallek</w:t>
        </w:r>
      </w:hyperlink>
      <w:r w:rsidR="00F92A54" w:rsidRPr="00140A0A">
        <w:rPr>
          <w:rFonts w:ascii="Arial" w:hAnsi="Arial" w:cs="Arial"/>
          <w:color w:val="000000" w:themeColor="text1"/>
          <w:sz w:val="20"/>
          <w:szCs w:val="20"/>
          <w:bdr w:val="none" w:sz="0" w:space="0" w:color="auto" w:frame="1"/>
        </w:rPr>
        <w:t>,</w:t>
      </w:r>
      <w:r w:rsidR="00F92A54" w:rsidRPr="00140A0A">
        <w:rPr>
          <w:rFonts w:ascii="Arial" w:hAnsi="Arial" w:cs="Arial"/>
          <w:color w:val="000000" w:themeColor="text1"/>
          <w:sz w:val="20"/>
          <w:szCs w:val="20"/>
        </w:rPr>
        <w:t xml:space="preserve"> </w:t>
      </w:r>
      <w:hyperlink r:id="rId14" w:history="1">
        <w:r w:rsidR="00F92A54" w:rsidRPr="00140A0A">
          <w:rPr>
            <w:rFonts w:ascii="Arial" w:hAnsi="Arial" w:cs="Arial"/>
            <w:color w:val="000000" w:themeColor="text1"/>
            <w:sz w:val="20"/>
            <w:szCs w:val="20"/>
            <w:bdr w:val="none" w:sz="0" w:space="0" w:color="auto" w:frame="1"/>
          </w:rPr>
          <w:t>Bruce D. Cheson</w:t>
        </w:r>
      </w:hyperlink>
      <w:r w:rsidR="00F92A54" w:rsidRPr="00140A0A">
        <w:rPr>
          <w:rFonts w:ascii="Arial" w:hAnsi="Arial" w:cs="Arial"/>
          <w:color w:val="000000" w:themeColor="text1"/>
          <w:sz w:val="20"/>
          <w:szCs w:val="20"/>
          <w:bdr w:val="none" w:sz="0" w:space="0" w:color="auto" w:frame="1"/>
        </w:rPr>
        <w:t xml:space="preserve">, </w:t>
      </w:r>
      <w:hyperlink r:id="rId15" w:history="1">
        <w:r w:rsidR="00F92A54" w:rsidRPr="00140A0A">
          <w:rPr>
            <w:rFonts w:ascii="Arial" w:hAnsi="Arial" w:cs="Arial"/>
            <w:color w:val="000000" w:themeColor="text1"/>
            <w:sz w:val="20"/>
            <w:szCs w:val="20"/>
            <w:bdr w:val="none" w:sz="0" w:space="0" w:color="auto" w:frame="1"/>
          </w:rPr>
          <w:t xml:space="preserve">Daniel </w:t>
        </w:r>
        <w:proofErr w:type="spellStart"/>
        <w:r w:rsidR="00F92A54" w:rsidRPr="00140A0A">
          <w:rPr>
            <w:rFonts w:ascii="Arial" w:hAnsi="Arial" w:cs="Arial"/>
            <w:color w:val="000000" w:themeColor="text1"/>
            <w:sz w:val="20"/>
            <w:szCs w:val="20"/>
            <w:bdr w:val="none" w:sz="0" w:space="0" w:color="auto" w:frame="1"/>
          </w:rPr>
          <w:t>Catovsky</w:t>
        </w:r>
        <w:proofErr w:type="spellEnd"/>
      </w:hyperlink>
      <w:r w:rsidR="00F92A54" w:rsidRPr="00140A0A">
        <w:rPr>
          <w:rFonts w:ascii="Arial" w:hAnsi="Arial" w:cs="Arial"/>
          <w:color w:val="000000" w:themeColor="text1"/>
          <w:sz w:val="20"/>
          <w:szCs w:val="20"/>
          <w:bdr w:val="none" w:sz="0" w:space="0" w:color="auto" w:frame="1"/>
        </w:rPr>
        <w:t>,</w:t>
      </w:r>
      <w:r w:rsidR="00F92A54" w:rsidRPr="00140A0A">
        <w:rPr>
          <w:rFonts w:ascii="Arial" w:hAnsi="Arial" w:cs="Arial"/>
          <w:color w:val="000000" w:themeColor="text1"/>
          <w:sz w:val="20"/>
          <w:szCs w:val="20"/>
        </w:rPr>
        <w:t xml:space="preserve"> </w:t>
      </w:r>
      <w:hyperlink r:id="rId16" w:history="1">
        <w:r w:rsidR="00F92A54" w:rsidRPr="00140A0A">
          <w:rPr>
            <w:rFonts w:ascii="Arial" w:hAnsi="Arial" w:cs="Arial"/>
            <w:color w:val="000000" w:themeColor="text1"/>
            <w:sz w:val="20"/>
            <w:szCs w:val="20"/>
            <w:bdr w:val="none" w:sz="0" w:space="0" w:color="auto" w:frame="1"/>
          </w:rPr>
          <w:t xml:space="preserve">Federico </w:t>
        </w:r>
        <w:proofErr w:type="spellStart"/>
        <w:r w:rsidR="00F92A54" w:rsidRPr="00140A0A">
          <w:rPr>
            <w:rFonts w:ascii="Arial" w:hAnsi="Arial" w:cs="Arial"/>
            <w:color w:val="000000" w:themeColor="text1"/>
            <w:sz w:val="20"/>
            <w:szCs w:val="20"/>
            <w:bdr w:val="none" w:sz="0" w:space="0" w:color="auto" w:frame="1"/>
          </w:rPr>
          <w:t>Caligaris-Cappio</w:t>
        </w:r>
        <w:proofErr w:type="spellEnd"/>
      </w:hyperlink>
      <w:r w:rsidR="00F92A54" w:rsidRPr="00140A0A">
        <w:rPr>
          <w:rFonts w:ascii="Arial" w:hAnsi="Arial" w:cs="Arial"/>
          <w:color w:val="000000" w:themeColor="text1"/>
          <w:sz w:val="20"/>
          <w:szCs w:val="20"/>
          <w:bdr w:val="none" w:sz="0" w:space="0" w:color="auto" w:frame="1"/>
        </w:rPr>
        <w:t>,</w:t>
      </w:r>
      <w:r w:rsidR="00F92A54" w:rsidRPr="00140A0A">
        <w:rPr>
          <w:rFonts w:ascii="Arial" w:hAnsi="Arial" w:cs="Arial"/>
          <w:color w:val="000000" w:themeColor="text1"/>
          <w:sz w:val="20"/>
          <w:szCs w:val="20"/>
        </w:rPr>
        <w:t xml:space="preserve"> </w:t>
      </w:r>
      <w:hyperlink r:id="rId17" w:history="1">
        <w:r w:rsidR="00F92A54" w:rsidRPr="00140A0A">
          <w:rPr>
            <w:rFonts w:ascii="Arial" w:hAnsi="Arial" w:cs="Arial"/>
            <w:color w:val="000000" w:themeColor="text1"/>
            <w:sz w:val="20"/>
            <w:szCs w:val="20"/>
            <w:bdr w:val="none" w:sz="0" w:space="0" w:color="auto" w:frame="1"/>
          </w:rPr>
          <w:t xml:space="preserve">Guillermo </w:t>
        </w:r>
        <w:proofErr w:type="spellStart"/>
        <w:r w:rsidR="00F92A54" w:rsidRPr="00140A0A">
          <w:rPr>
            <w:rFonts w:ascii="Arial" w:hAnsi="Arial" w:cs="Arial"/>
            <w:color w:val="000000" w:themeColor="text1"/>
            <w:sz w:val="20"/>
            <w:szCs w:val="20"/>
            <w:bdr w:val="none" w:sz="0" w:space="0" w:color="auto" w:frame="1"/>
          </w:rPr>
          <w:t>Dighiero</w:t>
        </w:r>
        <w:proofErr w:type="spellEnd"/>
      </w:hyperlink>
      <w:r w:rsidR="00F92A54" w:rsidRPr="00140A0A">
        <w:rPr>
          <w:rFonts w:ascii="Arial" w:hAnsi="Arial" w:cs="Arial"/>
          <w:color w:val="000000" w:themeColor="text1"/>
          <w:sz w:val="20"/>
          <w:szCs w:val="20"/>
          <w:bdr w:val="none" w:sz="0" w:space="0" w:color="auto" w:frame="1"/>
        </w:rPr>
        <w:t>,</w:t>
      </w:r>
      <w:r w:rsidR="00F92A54" w:rsidRPr="00140A0A">
        <w:rPr>
          <w:rFonts w:ascii="Arial" w:hAnsi="Arial" w:cs="Arial"/>
          <w:color w:val="000000" w:themeColor="text1"/>
          <w:sz w:val="20"/>
          <w:szCs w:val="20"/>
        </w:rPr>
        <w:t xml:space="preserve"> </w:t>
      </w:r>
      <w:hyperlink r:id="rId18" w:history="1">
        <w:r w:rsidR="00F92A54" w:rsidRPr="00140A0A">
          <w:rPr>
            <w:rFonts w:ascii="Arial" w:hAnsi="Arial" w:cs="Arial"/>
            <w:color w:val="000000" w:themeColor="text1"/>
            <w:sz w:val="20"/>
            <w:szCs w:val="20"/>
            <w:bdr w:val="none" w:sz="0" w:space="0" w:color="auto" w:frame="1"/>
          </w:rPr>
          <w:t xml:space="preserve">Hartmut </w:t>
        </w:r>
        <w:proofErr w:type="spellStart"/>
        <w:r w:rsidR="00F92A54" w:rsidRPr="00140A0A">
          <w:rPr>
            <w:rFonts w:ascii="Arial" w:hAnsi="Arial" w:cs="Arial"/>
            <w:color w:val="000000" w:themeColor="text1"/>
            <w:sz w:val="20"/>
            <w:szCs w:val="20"/>
            <w:bdr w:val="none" w:sz="0" w:space="0" w:color="auto" w:frame="1"/>
          </w:rPr>
          <w:t>Döhner</w:t>
        </w:r>
        <w:proofErr w:type="spellEnd"/>
      </w:hyperlink>
      <w:r w:rsidR="00F92A54" w:rsidRPr="00140A0A">
        <w:rPr>
          <w:rFonts w:ascii="Arial" w:hAnsi="Arial" w:cs="Arial"/>
          <w:color w:val="000000" w:themeColor="text1"/>
          <w:sz w:val="20"/>
          <w:szCs w:val="20"/>
          <w:bdr w:val="none" w:sz="0" w:space="0" w:color="auto" w:frame="1"/>
        </w:rPr>
        <w:t xml:space="preserve"> et al. </w:t>
      </w:r>
      <w:proofErr w:type="spellStart"/>
      <w:r w:rsidR="00F92A54" w:rsidRPr="00140A0A">
        <w:rPr>
          <w:rFonts w:ascii="Arial" w:hAnsi="Arial" w:cs="Arial"/>
          <w:color w:val="1C1D1F"/>
          <w:kern w:val="36"/>
          <w:sz w:val="20"/>
          <w:szCs w:val="20"/>
        </w:rPr>
        <w:t>iwCLL</w:t>
      </w:r>
      <w:proofErr w:type="spellEnd"/>
      <w:r w:rsidR="00F92A54" w:rsidRPr="00140A0A">
        <w:rPr>
          <w:rFonts w:ascii="Arial" w:hAnsi="Arial" w:cs="Arial"/>
          <w:color w:val="1C1D1F"/>
          <w:kern w:val="36"/>
          <w:sz w:val="20"/>
          <w:szCs w:val="20"/>
        </w:rPr>
        <w:t xml:space="preserve"> guidelines for diagnosis, indications for treatment, response assessment, and supportive management of CLL</w:t>
      </w:r>
      <w:r w:rsidR="00BF2F71">
        <w:rPr>
          <w:rFonts w:ascii="Arial" w:hAnsi="Arial" w:cs="Arial"/>
          <w:color w:val="1C1D1F"/>
          <w:kern w:val="36"/>
          <w:sz w:val="20"/>
          <w:szCs w:val="20"/>
        </w:rPr>
        <w:t xml:space="preserve">. </w:t>
      </w:r>
      <w:r w:rsidR="00F92A54" w:rsidRPr="00140A0A">
        <w:rPr>
          <w:rStyle w:val="Emphasis"/>
          <w:rFonts w:ascii="Arial" w:hAnsi="Arial" w:cs="Arial"/>
          <w:color w:val="1A1A1A"/>
          <w:sz w:val="20"/>
          <w:szCs w:val="20"/>
          <w:bdr w:val="none" w:sz="0" w:space="0" w:color="auto" w:frame="1"/>
          <w:shd w:val="clear" w:color="auto" w:fill="FFFFFF"/>
        </w:rPr>
        <w:t>Blood</w:t>
      </w:r>
      <w:r w:rsidR="00F92A54" w:rsidRPr="00140A0A">
        <w:rPr>
          <w:rFonts w:ascii="Arial" w:hAnsi="Arial" w:cs="Arial"/>
          <w:color w:val="1A1A1A"/>
          <w:sz w:val="20"/>
          <w:szCs w:val="20"/>
          <w:shd w:val="clear" w:color="auto" w:fill="FFFFFF"/>
        </w:rPr>
        <w:t> (2018) 131 (25): 2745–2760.</w:t>
      </w:r>
    </w:p>
    <w:p w14:paraId="532C57E9" w14:textId="254CD1F7" w:rsidR="00C11F20" w:rsidRPr="00140A0A" w:rsidRDefault="007170BA" w:rsidP="00D9764A">
      <w:pPr>
        <w:pStyle w:val="ListParagraph"/>
        <w:numPr>
          <w:ilvl w:val="0"/>
          <w:numId w:val="11"/>
        </w:numPr>
        <w:spacing w:line="600" w:lineRule="auto"/>
        <w:jc w:val="both"/>
        <w:rPr>
          <w:rFonts w:ascii="Arial" w:hAnsi="Arial" w:cs="Arial"/>
          <w:sz w:val="20"/>
          <w:szCs w:val="20"/>
        </w:rPr>
      </w:pPr>
      <w:proofErr w:type="spellStart"/>
      <w:r w:rsidRPr="00140A0A">
        <w:rPr>
          <w:rFonts w:ascii="Arial" w:hAnsi="Arial" w:cs="Arial"/>
          <w:color w:val="1C1D1E"/>
          <w:sz w:val="20"/>
          <w:szCs w:val="20"/>
          <w:shd w:val="clear" w:color="auto" w:fill="FFFFFF"/>
        </w:rPr>
        <w:t>Rawstron</w:t>
      </w:r>
      <w:proofErr w:type="spellEnd"/>
      <w:r w:rsidRPr="00140A0A">
        <w:rPr>
          <w:rFonts w:ascii="Arial" w:hAnsi="Arial" w:cs="Arial"/>
          <w:color w:val="1C1D1E"/>
          <w:sz w:val="20"/>
          <w:szCs w:val="20"/>
          <w:shd w:val="clear" w:color="auto" w:fill="FFFFFF"/>
        </w:rPr>
        <w:t xml:space="preserve"> AC, Kreuzer K-A, </w:t>
      </w:r>
      <w:proofErr w:type="spellStart"/>
      <w:r w:rsidRPr="00140A0A">
        <w:rPr>
          <w:rFonts w:ascii="Arial" w:hAnsi="Arial" w:cs="Arial"/>
          <w:color w:val="1C1D1E"/>
          <w:sz w:val="20"/>
          <w:szCs w:val="20"/>
          <w:shd w:val="clear" w:color="auto" w:fill="FFFFFF"/>
        </w:rPr>
        <w:t>Soosapilla</w:t>
      </w:r>
      <w:proofErr w:type="spellEnd"/>
      <w:r w:rsidRPr="00140A0A">
        <w:rPr>
          <w:rFonts w:ascii="Arial" w:hAnsi="Arial" w:cs="Arial"/>
          <w:color w:val="1C1D1E"/>
          <w:sz w:val="20"/>
          <w:szCs w:val="20"/>
          <w:shd w:val="clear" w:color="auto" w:fill="FFFFFF"/>
        </w:rPr>
        <w:t xml:space="preserve"> A, </w:t>
      </w:r>
      <w:proofErr w:type="spellStart"/>
      <w:r w:rsidRPr="00140A0A">
        <w:rPr>
          <w:rFonts w:ascii="Arial" w:hAnsi="Arial" w:cs="Arial"/>
          <w:color w:val="1C1D1E"/>
          <w:sz w:val="20"/>
          <w:szCs w:val="20"/>
          <w:shd w:val="clear" w:color="auto" w:fill="FFFFFF"/>
        </w:rPr>
        <w:t>Spacek</w:t>
      </w:r>
      <w:proofErr w:type="spellEnd"/>
      <w:r w:rsidRPr="00140A0A">
        <w:rPr>
          <w:rFonts w:ascii="Arial" w:hAnsi="Arial" w:cs="Arial"/>
          <w:color w:val="1C1D1E"/>
          <w:sz w:val="20"/>
          <w:szCs w:val="20"/>
          <w:shd w:val="clear" w:color="auto" w:fill="FFFFFF"/>
        </w:rPr>
        <w:t xml:space="preserve"> M, </w:t>
      </w:r>
      <w:proofErr w:type="spellStart"/>
      <w:r w:rsidRPr="00140A0A">
        <w:rPr>
          <w:rFonts w:ascii="Arial" w:hAnsi="Arial" w:cs="Arial"/>
          <w:color w:val="1C1D1E"/>
          <w:sz w:val="20"/>
          <w:szCs w:val="20"/>
          <w:shd w:val="clear" w:color="auto" w:fill="FFFFFF"/>
        </w:rPr>
        <w:t>Stehlikova</w:t>
      </w:r>
      <w:proofErr w:type="spellEnd"/>
      <w:r w:rsidRPr="00140A0A">
        <w:rPr>
          <w:rFonts w:ascii="Arial" w:hAnsi="Arial" w:cs="Arial"/>
          <w:color w:val="1C1D1E"/>
          <w:sz w:val="20"/>
          <w:szCs w:val="20"/>
          <w:shd w:val="clear" w:color="auto" w:fill="FFFFFF"/>
        </w:rPr>
        <w:t xml:space="preserve"> O, </w:t>
      </w:r>
      <w:proofErr w:type="spellStart"/>
      <w:r w:rsidRPr="00140A0A">
        <w:rPr>
          <w:rFonts w:ascii="Arial" w:hAnsi="Arial" w:cs="Arial"/>
          <w:color w:val="1C1D1E"/>
          <w:sz w:val="20"/>
          <w:szCs w:val="20"/>
          <w:shd w:val="clear" w:color="auto" w:fill="FFFFFF"/>
        </w:rPr>
        <w:t>Gambell</w:t>
      </w:r>
      <w:proofErr w:type="spellEnd"/>
      <w:r w:rsidRPr="00140A0A">
        <w:rPr>
          <w:rFonts w:ascii="Arial" w:hAnsi="Arial" w:cs="Arial"/>
          <w:color w:val="1C1D1E"/>
          <w:sz w:val="20"/>
          <w:szCs w:val="20"/>
          <w:shd w:val="clear" w:color="auto" w:fill="FFFFFF"/>
        </w:rPr>
        <w:t xml:space="preserve"> P, McIver-Brown N et al. Reproducible Diagnosis of Chronic Lymphocytic Leukemia by Flow Cytometry: </w:t>
      </w:r>
      <w:proofErr w:type="gramStart"/>
      <w:r w:rsidRPr="00140A0A">
        <w:rPr>
          <w:rFonts w:ascii="Arial" w:hAnsi="Arial" w:cs="Arial"/>
          <w:color w:val="1C1D1E"/>
          <w:sz w:val="20"/>
          <w:szCs w:val="20"/>
          <w:shd w:val="clear" w:color="auto" w:fill="FFFFFF"/>
        </w:rPr>
        <w:t>An</w:t>
      </w:r>
      <w:proofErr w:type="gramEnd"/>
      <w:r w:rsidRPr="00140A0A">
        <w:rPr>
          <w:rFonts w:ascii="Arial" w:hAnsi="Arial" w:cs="Arial"/>
          <w:color w:val="1C1D1E"/>
          <w:sz w:val="20"/>
          <w:szCs w:val="20"/>
          <w:shd w:val="clear" w:color="auto" w:fill="FFFFFF"/>
        </w:rPr>
        <w:t xml:space="preserve"> European Research Initiative on CLL (ERIC) &amp; European Society for Clinical Cell Analysis (ESCCA) </w:t>
      </w:r>
      <w:proofErr w:type="spellStart"/>
      <w:r w:rsidRPr="00140A0A">
        <w:rPr>
          <w:rFonts w:ascii="Arial" w:hAnsi="Arial" w:cs="Arial"/>
          <w:color w:val="1C1D1E"/>
          <w:sz w:val="20"/>
          <w:szCs w:val="20"/>
          <w:shd w:val="clear" w:color="auto" w:fill="FFFFFF"/>
        </w:rPr>
        <w:t>Harmonisation</w:t>
      </w:r>
      <w:proofErr w:type="spellEnd"/>
      <w:r w:rsidRPr="00140A0A">
        <w:rPr>
          <w:rFonts w:ascii="Arial" w:hAnsi="Arial" w:cs="Arial"/>
          <w:color w:val="1C1D1E"/>
          <w:sz w:val="20"/>
          <w:szCs w:val="20"/>
          <w:shd w:val="clear" w:color="auto" w:fill="FFFFFF"/>
        </w:rPr>
        <w:t xml:space="preserve"> Project. Cytometry Part B 2018; 94B: 121–128.</w:t>
      </w:r>
    </w:p>
    <w:p w14:paraId="66FC6316" w14:textId="3AED5E10" w:rsidR="007B4321" w:rsidRPr="00140A0A" w:rsidRDefault="00231C54" w:rsidP="00D9764A">
      <w:pPr>
        <w:pStyle w:val="ListParagraph"/>
        <w:numPr>
          <w:ilvl w:val="0"/>
          <w:numId w:val="11"/>
        </w:numPr>
        <w:spacing w:line="600" w:lineRule="auto"/>
        <w:jc w:val="both"/>
        <w:rPr>
          <w:rFonts w:ascii="Arial" w:hAnsi="Arial" w:cs="Arial"/>
          <w:sz w:val="20"/>
          <w:szCs w:val="20"/>
        </w:rPr>
      </w:pPr>
      <w:r w:rsidRPr="00140A0A">
        <w:rPr>
          <w:rFonts w:ascii="Arial" w:hAnsi="Arial" w:cs="Arial"/>
          <w:color w:val="1B1B1B"/>
          <w:sz w:val="20"/>
          <w:szCs w:val="20"/>
          <w:shd w:val="clear" w:color="auto" w:fill="FFFFFF"/>
        </w:rPr>
        <w:t>Pérez-Carretero C, González-Gascón-Y-Marín I, Rodríguez-Vicente AE, Quijada-</w:t>
      </w:r>
      <w:proofErr w:type="spellStart"/>
      <w:r w:rsidRPr="00140A0A">
        <w:rPr>
          <w:rFonts w:ascii="Arial" w:hAnsi="Arial" w:cs="Arial"/>
          <w:color w:val="1B1B1B"/>
          <w:sz w:val="20"/>
          <w:szCs w:val="20"/>
          <w:shd w:val="clear" w:color="auto" w:fill="FFFFFF"/>
        </w:rPr>
        <w:t>Álamo</w:t>
      </w:r>
      <w:proofErr w:type="spellEnd"/>
      <w:r w:rsidRPr="00140A0A">
        <w:rPr>
          <w:rFonts w:ascii="Arial" w:hAnsi="Arial" w:cs="Arial"/>
          <w:color w:val="1B1B1B"/>
          <w:sz w:val="20"/>
          <w:szCs w:val="20"/>
          <w:shd w:val="clear" w:color="auto" w:fill="FFFFFF"/>
        </w:rPr>
        <w:t xml:space="preserve"> M, Hernández-Rivas JÁ, Hernández-Sánchez M, Hernández-Rivas JM. The Evolving Landscape of Chronic Lymphocytic Leukemia on Diagnosis, Prognosis and Treatment. Diagnostics (Basel). 2021 May 10;11(5):853.</w:t>
      </w:r>
    </w:p>
    <w:p w14:paraId="131D483F" w14:textId="57D7CB52" w:rsidR="00231C54" w:rsidRPr="00140A0A" w:rsidRDefault="00AF3099" w:rsidP="00D9764A">
      <w:pPr>
        <w:pStyle w:val="ListParagraph"/>
        <w:numPr>
          <w:ilvl w:val="0"/>
          <w:numId w:val="11"/>
        </w:numPr>
        <w:spacing w:line="600" w:lineRule="auto"/>
        <w:jc w:val="both"/>
        <w:rPr>
          <w:rFonts w:ascii="Arial" w:hAnsi="Arial" w:cs="Arial"/>
          <w:sz w:val="20"/>
          <w:szCs w:val="20"/>
        </w:rPr>
      </w:pPr>
      <w:proofErr w:type="spellStart"/>
      <w:r w:rsidRPr="00140A0A">
        <w:rPr>
          <w:rFonts w:ascii="Arial" w:hAnsi="Arial" w:cs="Arial"/>
          <w:color w:val="212121"/>
          <w:sz w:val="20"/>
          <w:szCs w:val="20"/>
          <w:shd w:val="clear" w:color="auto" w:fill="FFFFFF"/>
        </w:rPr>
        <w:t>Chiattone</w:t>
      </w:r>
      <w:proofErr w:type="spellEnd"/>
      <w:r w:rsidRPr="00140A0A">
        <w:rPr>
          <w:rFonts w:ascii="Arial" w:hAnsi="Arial" w:cs="Arial"/>
          <w:color w:val="212121"/>
          <w:sz w:val="20"/>
          <w:szCs w:val="20"/>
          <w:shd w:val="clear" w:color="auto" w:fill="FFFFFF"/>
        </w:rPr>
        <w:t xml:space="preserve"> CS, </w:t>
      </w:r>
      <w:proofErr w:type="spellStart"/>
      <w:r w:rsidRPr="00140A0A">
        <w:rPr>
          <w:rFonts w:ascii="Arial" w:hAnsi="Arial" w:cs="Arial"/>
          <w:color w:val="212121"/>
          <w:sz w:val="20"/>
          <w:szCs w:val="20"/>
          <w:shd w:val="clear" w:color="auto" w:fill="FFFFFF"/>
        </w:rPr>
        <w:t>Gabus</w:t>
      </w:r>
      <w:proofErr w:type="spellEnd"/>
      <w:r w:rsidRPr="00140A0A">
        <w:rPr>
          <w:rFonts w:ascii="Arial" w:hAnsi="Arial" w:cs="Arial"/>
          <w:color w:val="212121"/>
          <w:sz w:val="20"/>
          <w:szCs w:val="20"/>
          <w:shd w:val="clear" w:color="auto" w:fill="FFFFFF"/>
        </w:rPr>
        <w:t xml:space="preserve"> R, Pavlovsky MA, Akinola NO, Varghese AM, </w:t>
      </w:r>
      <w:proofErr w:type="spellStart"/>
      <w:r w:rsidRPr="00140A0A">
        <w:rPr>
          <w:rFonts w:ascii="Arial" w:hAnsi="Arial" w:cs="Arial"/>
          <w:color w:val="212121"/>
          <w:sz w:val="20"/>
          <w:szCs w:val="20"/>
          <w:shd w:val="clear" w:color="auto" w:fill="FFFFFF"/>
        </w:rPr>
        <w:t>Arrais</w:t>
      </w:r>
      <w:proofErr w:type="spellEnd"/>
      <w:r w:rsidRPr="00140A0A">
        <w:rPr>
          <w:rFonts w:ascii="Arial" w:hAnsi="Arial" w:cs="Arial"/>
          <w:color w:val="212121"/>
          <w:sz w:val="20"/>
          <w:szCs w:val="20"/>
          <w:shd w:val="clear" w:color="auto" w:fill="FFFFFF"/>
        </w:rPr>
        <w:t>-Rodrigues C. Management of Chronic Lymphocytic Leukemia in Less-Resourced Countries. Cancer J. 2021 Jul-Aug 01;27(4):314-319.</w:t>
      </w:r>
    </w:p>
    <w:p w14:paraId="4A7C12D9" w14:textId="65D5544D" w:rsidR="00C653E7" w:rsidRPr="00140A0A" w:rsidRDefault="00C653E7" w:rsidP="00D9764A">
      <w:pPr>
        <w:pStyle w:val="ListParagraph"/>
        <w:numPr>
          <w:ilvl w:val="0"/>
          <w:numId w:val="11"/>
        </w:numPr>
        <w:spacing w:line="600" w:lineRule="auto"/>
        <w:jc w:val="both"/>
        <w:rPr>
          <w:rFonts w:ascii="Arial" w:hAnsi="Arial" w:cs="Arial"/>
          <w:sz w:val="20"/>
          <w:szCs w:val="20"/>
        </w:rPr>
      </w:pPr>
      <w:r w:rsidRPr="00140A0A">
        <w:rPr>
          <w:rFonts w:ascii="Arial" w:hAnsi="Arial" w:cs="Arial"/>
          <w:color w:val="353535"/>
          <w:sz w:val="20"/>
          <w:szCs w:val="20"/>
          <w:shd w:val="clear" w:color="auto" w:fill="FFFFFF"/>
        </w:rPr>
        <w:t xml:space="preserve">Akaba, Kingsley; </w:t>
      </w:r>
      <w:proofErr w:type="spellStart"/>
      <w:r w:rsidRPr="00140A0A">
        <w:rPr>
          <w:rFonts w:ascii="Arial" w:hAnsi="Arial" w:cs="Arial"/>
          <w:color w:val="353535"/>
          <w:sz w:val="20"/>
          <w:szCs w:val="20"/>
          <w:shd w:val="clear" w:color="auto" w:fill="FFFFFF"/>
        </w:rPr>
        <w:t>Enang</w:t>
      </w:r>
      <w:proofErr w:type="spellEnd"/>
      <w:r w:rsidRPr="00140A0A">
        <w:rPr>
          <w:rFonts w:ascii="Arial" w:hAnsi="Arial" w:cs="Arial"/>
          <w:color w:val="353535"/>
          <w:sz w:val="20"/>
          <w:szCs w:val="20"/>
          <w:shd w:val="clear" w:color="auto" w:fill="FFFFFF"/>
        </w:rPr>
        <w:t>, Ofem</w:t>
      </w:r>
      <w:r w:rsidRPr="00140A0A">
        <w:rPr>
          <w:rFonts w:ascii="Arial" w:hAnsi="Arial" w:cs="Arial"/>
          <w:color w:val="353535"/>
          <w:sz w:val="20"/>
          <w:szCs w:val="20"/>
          <w:shd w:val="clear" w:color="auto" w:fill="FFFFFF"/>
          <w:vertAlign w:val="superscript"/>
        </w:rPr>
        <w:t>1</w:t>
      </w:r>
      <w:r w:rsidRPr="00140A0A">
        <w:rPr>
          <w:rFonts w:ascii="Arial" w:hAnsi="Arial" w:cs="Arial"/>
          <w:color w:val="353535"/>
          <w:sz w:val="20"/>
          <w:szCs w:val="20"/>
          <w:shd w:val="clear" w:color="auto" w:fill="FFFFFF"/>
        </w:rPr>
        <w:t xml:space="preserve">; </w:t>
      </w:r>
      <w:proofErr w:type="spellStart"/>
      <w:r w:rsidRPr="00140A0A">
        <w:rPr>
          <w:rFonts w:ascii="Arial" w:hAnsi="Arial" w:cs="Arial"/>
          <w:color w:val="353535"/>
          <w:sz w:val="20"/>
          <w:szCs w:val="20"/>
          <w:shd w:val="clear" w:color="auto" w:fill="FFFFFF"/>
        </w:rPr>
        <w:t>Igwilo</w:t>
      </w:r>
      <w:proofErr w:type="spellEnd"/>
      <w:r w:rsidRPr="00140A0A">
        <w:rPr>
          <w:rFonts w:ascii="Arial" w:hAnsi="Arial" w:cs="Arial"/>
          <w:color w:val="353535"/>
          <w:sz w:val="20"/>
          <w:szCs w:val="20"/>
          <w:shd w:val="clear" w:color="auto" w:fill="FFFFFF"/>
        </w:rPr>
        <w:t xml:space="preserve">, Hilary; </w:t>
      </w:r>
      <w:proofErr w:type="spellStart"/>
      <w:r w:rsidRPr="00140A0A">
        <w:rPr>
          <w:rFonts w:ascii="Arial" w:hAnsi="Arial" w:cs="Arial"/>
          <w:color w:val="353535"/>
          <w:sz w:val="20"/>
          <w:szCs w:val="20"/>
          <w:shd w:val="clear" w:color="auto" w:fill="FFFFFF"/>
        </w:rPr>
        <w:t>Eduve</w:t>
      </w:r>
      <w:proofErr w:type="spellEnd"/>
      <w:r w:rsidRPr="00140A0A">
        <w:rPr>
          <w:rFonts w:ascii="Arial" w:hAnsi="Arial" w:cs="Arial"/>
          <w:color w:val="353535"/>
          <w:sz w:val="20"/>
          <w:szCs w:val="20"/>
          <w:shd w:val="clear" w:color="auto" w:fill="FFFFFF"/>
        </w:rPr>
        <w:t>, Victor</w:t>
      </w:r>
      <w:r w:rsidRPr="00140A0A">
        <w:rPr>
          <w:rFonts w:ascii="Arial" w:hAnsi="Arial" w:cs="Arial"/>
          <w:color w:val="353535"/>
          <w:sz w:val="20"/>
          <w:szCs w:val="20"/>
          <w:shd w:val="clear" w:color="auto" w:fill="FFFFFF"/>
          <w:vertAlign w:val="superscript"/>
        </w:rPr>
        <w:t>2</w:t>
      </w:r>
      <w:r w:rsidRPr="00140A0A">
        <w:rPr>
          <w:rFonts w:ascii="Arial" w:hAnsi="Arial" w:cs="Arial"/>
          <w:color w:val="353535"/>
          <w:sz w:val="20"/>
          <w:szCs w:val="20"/>
          <w:shd w:val="clear" w:color="auto" w:fill="FFFFFF"/>
        </w:rPr>
        <w:t>; Akaba, Edakabasi</w:t>
      </w:r>
      <w:r w:rsidRPr="00140A0A">
        <w:rPr>
          <w:rFonts w:ascii="Arial" w:hAnsi="Arial" w:cs="Arial"/>
          <w:color w:val="353535"/>
          <w:sz w:val="20"/>
          <w:szCs w:val="20"/>
          <w:shd w:val="clear" w:color="auto" w:fill="FFFFFF"/>
          <w:vertAlign w:val="superscript"/>
        </w:rPr>
        <w:t>3</w:t>
      </w:r>
      <w:r w:rsidRPr="00140A0A">
        <w:rPr>
          <w:rFonts w:ascii="Arial" w:hAnsi="Arial" w:cs="Arial"/>
          <w:color w:val="353535"/>
          <w:sz w:val="20"/>
          <w:szCs w:val="20"/>
          <w:shd w:val="clear" w:color="auto" w:fill="FFFFFF"/>
        </w:rPr>
        <w:t xml:space="preserve">; Cletus, </w:t>
      </w:r>
      <w:proofErr w:type="spellStart"/>
      <w:r w:rsidRPr="00140A0A">
        <w:rPr>
          <w:rFonts w:ascii="Arial" w:hAnsi="Arial" w:cs="Arial"/>
          <w:color w:val="353535"/>
          <w:sz w:val="20"/>
          <w:szCs w:val="20"/>
          <w:shd w:val="clear" w:color="auto" w:fill="FFFFFF"/>
        </w:rPr>
        <w:t>Omini</w:t>
      </w:r>
      <w:proofErr w:type="spellEnd"/>
      <w:r w:rsidRPr="00140A0A">
        <w:rPr>
          <w:rFonts w:ascii="Arial" w:hAnsi="Arial" w:cs="Arial"/>
          <w:color w:val="353535"/>
          <w:sz w:val="20"/>
          <w:szCs w:val="20"/>
          <w:shd w:val="clear" w:color="auto" w:fill="FFFFFF"/>
        </w:rPr>
        <w:t xml:space="preserve">; </w:t>
      </w:r>
      <w:proofErr w:type="spellStart"/>
      <w:r w:rsidRPr="00140A0A">
        <w:rPr>
          <w:rFonts w:ascii="Arial" w:hAnsi="Arial" w:cs="Arial"/>
          <w:color w:val="353535"/>
          <w:sz w:val="20"/>
          <w:szCs w:val="20"/>
          <w:shd w:val="clear" w:color="auto" w:fill="FFFFFF"/>
        </w:rPr>
        <w:t>Oshatuyi</w:t>
      </w:r>
      <w:proofErr w:type="spellEnd"/>
      <w:r w:rsidRPr="00140A0A">
        <w:rPr>
          <w:rFonts w:ascii="Arial" w:hAnsi="Arial" w:cs="Arial"/>
          <w:color w:val="353535"/>
          <w:sz w:val="20"/>
          <w:szCs w:val="20"/>
          <w:shd w:val="clear" w:color="auto" w:fill="FFFFFF"/>
        </w:rPr>
        <w:t>, Olukayode</w:t>
      </w:r>
      <w:r w:rsidRPr="00140A0A">
        <w:rPr>
          <w:rFonts w:ascii="Arial" w:hAnsi="Arial" w:cs="Arial"/>
          <w:color w:val="353535"/>
          <w:sz w:val="20"/>
          <w:szCs w:val="20"/>
          <w:shd w:val="clear" w:color="auto" w:fill="FFFFFF"/>
          <w:vertAlign w:val="superscript"/>
        </w:rPr>
        <w:t>4</w:t>
      </w:r>
      <w:r w:rsidRPr="00140A0A">
        <w:rPr>
          <w:rFonts w:ascii="Arial" w:hAnsi="Arial" w:cs="Arial"/>
          <w:color w:val="353535"/>
          <w:sz w:val="20"/>
          <w:szCs w:val="20"/>
          <w:shd w:val="clear" w:color="auto" w:fill="FFFFFF"/>
        </w:rPr>
        <w:t>. Demographic Pattern of Chronic Lymphocytic Leukemia in a Tertiary Hospital in Calabar, South-South Nigeria. Annals of African Medicine 19(3</w:t>
      </w:r>
      <w:proofErr w:type="gramStart"/>
      <w:r w:rsidRPr="00140A0A">
        <w:rPr>
          <w:rFonts w:ascii="Arial" w:hAnsi="Arial" w:cs="Arial"/>
          <w:color w:val="353535"/>
          <w:sz w:val="20"/>
          <w:szCs w:val="20"/>
          <w:shd w:val="clear" w:color="auto" w:fill="FFFFFF"/>
        </w:rPr>
        <w:t>):p</w:t>
      </w:r>
      <w:proofErr w:type="gramEnd"/>
      <w:r w:rsidRPr="00140A0A">
        <w:rPr>
          <w:rFonts w:ascii="Arial" w:hAnsi="Arial" w:cs="Arial"/>
          <w:color w:val="353535"/>
          <w:sz w:val="20"/>
          <w:szCs w:val="20"/>
          <w:shd w:val="clear" w:color="auto" w:fill="FFFFFF"/>
        </w:rPr>
        <w:t xml:space="preserve"> 203-206, Jul–Sep 2020.</w:t>
      </w:r>
    </w:p>
    <w:p w14:paraId="5EE40B8C" w14:textId="6AEB140D" w:rsidR="00C653E7" w:rsidRPr="00140A0A" w:rsidRDefault="00437B63" w:rsidP="00D9764A">
      <w:pPr>
        <w:pStyle w:val="ListParagraph"/>
        <w:numPr>
          <w:ilvl w:val="0"/>
          <w:numId w:val="11"/>
        </w:numPr>
        <w:spacing w:line="600" w:lineRule="auto"/>
        <w:jc w:val="both"/>
        <w:rPr>
          <w:rFonts w:ascii="Arial" w:hAnsi="Arial" w:cs="Arial"/>
          <w:sz w:val="20"/>
          <w:szCs w:val="20"/>
        </w:rPr>
      </w:pPr>
      <w:r w:rsidRPr="00140A0A">
        <w:rPr>
          <w:rFonts w:ascii="Arial" w:hAnsi="Arial" w:cs="Arial"/>
          <w:color w:val="212121"/>
          <w:sz w:val="20"/>
          <w:szCs w:val="20"/>
          <w:shd w:val="clear" w:color="auto" w:fill="FFFFFF"/>
        </w:rPr>
        <w:lastRenderedPageBreak/>
        <w:t xml:space="preserve">Madu AJ, Korubo K, Okoye A, </w:t>
      </w:r>
      <w:proofErr w:type="spellStart"/>
      <w:r w:rsidRPr="00140A0A">
        <w:rPr>
          <w:rFonts w:ascii="Arial" w:hAnsi="Arial" w:cs="Arial"/>
          <w:color w:val="212121"/>
          <w:sz w:val="20"/>
          <w:szCs w:val="20"/>
          <w:shd w:val="clear" w:color="auto" w:fill="FFFFFF"/>
        </w:rPr>
        <w:t>Ajuba</w:t>
      </w:r>
      <w:proofErr w:type="spellEnd"/>
      <w:r w:rsidRPr="00140A0A">
        <w:rPr>
          <w:rFonts w:ascii="Arial" w:hAnsi="Arial" w:cs="Arial"/>
          <w:color w:val="212121"/>
          <w:sz w:val="20"/>
          <w:szCs w:val="20"/>
          <w:shd w:val="clear" w:color="auto" w:fill="FFFFFF"/>
        </w:rPr>
        <w:t xml:space="preserve"> I, </w:t>
      </w:r>
      <w:proofErr w:type="spellStart"/>
      <w:r w:rsidRPr="00140A0A">
        <w:rPr>
          <w:rFonts w:ascii="Arial" w:hAnsi="Arial" w:cs="Arial"/>
          <w:color w:val="212121"/>
          <w:sz w:val="20"/>
          <w:szCs w:val="20"/>
          <w:shd w:val="clear" w:color="auto" w:fill="FFFFFF"/>
        </w:rPr>
        <w:t>Duru</w:t>
      </w:r>
      <w:proofErr w:type="spellEnd"/>
      <w:r w:rsidRPr="00140A0A">
        <w:rPr>
          <w:rFonts w:ascii="Arial" w:hAnsi="Arial" w:cs="Arial"/>
          <w:color w:val="212121"/>
          <w:sz w:val="20"/>
          <w:szCs w:val="20"/>
          <w:shd w:val="clear" w:color="auto" w:fill="FFFFFF"/>
        </w:rPr>
        <w:t xml:space="preserve"> AN, </w:t>
      </w:r>
      <w:proofErr w:type="spellStart"/>
      <w:r w:rsidRPr="00140A0A">
        <w:rPr>
          <w:rFonts w:ascii="Arial" w:hAnsi="Arial" w:cs="Arial"/>
          <w:color w:val="212121"/>
          <w:sz w:val="20"/>
          <w:szCs w:val="20"/>
          <w:shd w:val="clear" w:color="auto" w:fill="FFFFFF"/>
        </w:rPr>
        <w:t>Ugwu</w:t>
      </w:r>
      <w:proofErr w:type="spellEnd"/>
      <w:r w:rsidRPr="00140A0A">
        <w:rPr>
          <w:rFonts w:ascii="Arial" w:hAnsi="Arial" w:cs="Arial"/>
          <w:color w:val="212121"/>
          <w:sz w:val="20"/>
          <w:szCs w:val="20"/>
          <w:shd w:val="clear" w:color="auto" w:fill="FFFFFF"/>
        </w:rPr>
        <w:t xml:space="preserve"> AO, </w:t>
      </w:r>
      <w:proofErr w:type="spellStart"/>
      <w:r w:rsidRPr="00140A0A">
        <w:rPr>
          <w:rFonts w:ascii="Arial" w:hAnsi="Arial" w:cs="Arial"/>
          <w:color w:val="212121"/>
          <w:sz w:val="20"/>
          <w:szCs w:val="20"/>
          <w:shd w:val="clear" w:color="auto" w:fill="FFFFFF"/>
        </w:rPr>
        <w:t>Nnachi</w:t>
      </w:r>
      <w:proofErr w:type="spellEnd"/>
      <w:r w:rsidRPr="00140A0A">
        <w:rPr>
          <w:rFonts w:ascii="Arial" w:hAnsi="Arial" w:cs="Arial"/>
          <w:color w:val="212121"/>
          <w:sz w:val="20"/>
          <w:szCs w:val="20"/>
          <w:shd w:val="clear" w:color="auto" w:fill="FFFFFF"/>
        </w:rPr>
        <w:t xml:space="preserve"> O, Okoye HC. Presenting features and treatment outcomes of chronic lymphocytic leukaemia in a resource poor Southern Nigeria. Malawi Med J. 2019 Jun;31(2):144-149. </w:t>
      </w:r>
    </w:p>
    <w:p w14:paraId="2F27D91C" w14:textId="46410F11" w:rsidR="00437B63" w:rsidRPr="00140A0A" w:rsidRDefault="009A44D0" w:rsidP="00D9764A">
      <w:pPr>
        <w:pStyle w:val="ListParagraph"/>
        <w:numPr>
          <w:ilvl w:val="0"/>
          <w:numId w:val="11"/>
        </w:numPr>
        <w:spacing w:line="600" w:lineRule="auto"/>
        <w:jc w:val="both"/>
        <w:rPr>
          <w:rFonts w:ascii="Arial" w:hAnsi="Arial" w:cs="Arial"/>
          <w:sz w:val="20"/>
          <w:szCs w:val="20"/>
        </w:rPr>
      </w:pPr>
      <w:r w:rsidRPr="00140A0A">
        <w:rPr>
          <w:rFonts w:ascii="Arial" w:hAnsi="Arial" w:cs="Arial"/>
          <w:color w:val="1B1B1B"/>
          <w:sz w:val="20"/>
          <w:szCs w:val="20"/>
          <w:shd w:val="clear" w:color="auto" w:fill="FFFFFF"/>
        </w:rPr>
        <w:t xml:space="preserve">Mustapha MI, Ali-Gombe M, Abdullahi A, </w:t>
      </w:r>
      <w:proofErr w:type="spellStart"/>
      <w:r w:rsidRPr="00140A0A">
        <w:rPr>
          <w:rFonts w:ascii="Arial" w:hAnsi="Arial" w:cs="Arial"/>
          <w:color w:val="1B1B1B"/>
          <w:sz w:val="20"/>
          <w:szCs w:val="20"/>
          <w:shd w:val="clear" w:color="auto" w:fill="FFFFFF"/>
        </w:rPr>
        <w:t>Adenipekun</w:t>
      </w:r>
      <w:proofErr w:type="spellEnd"/>
      <w:r w:rsidRPr="00140A0A">
        <w:rPr>
          <w:rFonts w:ascii="Arial" w:hAnsi="Arial" w:cs="Arial"/>
          <w:color w:val="1B1B1B"/>
          <w:sz w:val="20"/>
          <w:szCs w:val="20"/>
          <w:shd w:val="clear" w:color="auto" w:fill="FFFFFF"/>
        </w:rPr>
        <w:t xml:space="preserve"> A, Campbell OB. Financial Burden of Cancer on Patients Treated at a Tertiary Health Facility in South West Nigeria. J West </w:t>
      </w:r>
      <w:proofErr w:type="spellStart"/>
      <w:r w:rsidRPr="00140A0A">
        <w:rPr>
          <w:rFonts w:ascii="Arial" w:hAnsi="Arial" w:cs="Arial"/>
          <w:color w:val="1B1B1B"/>
          <w:sz w:val="20"/>
          <w:szCs w:val="20"/>
          <w:shd w:val="clear" w:color="auto" w:fill="FFFFFF"/>
        </w:rPr>
        <w:t>Afr</w:t>
      </w:r>
      <w:proofErr w:type="spellEnd"/>
      <w:r w:rsidRPr="00140A0A">
        <w:rPr>
          <w:rFonts w:ascii="Arial" w:hAnsi="Arial" w:cs="Arial"/>
          <w:color w:val="1B1B1B"/>
          <w:sz w:val="20"/>
          <w:szCs w:val="20"/>
          <w:shd w:val="clear" w:color="auto" w:fill="FFFFFF"/>
        </w:rPr>
        <w:t xml:space="preserve"> Coll Surg. 2020 Oct-Dec;10(4):23-29</w:t>
      </w:r>
    </w:p>
    <w:p w14:paraId="0E07F1BC" w14:textId="02C0D69A" w:rsidR="009A44D0" w:rsidRPr="00140A0A" w:rsidRDefault="00EA70C9" w:rsidP="00D9764A">
      <w:pPr>
        <w:pStyle w:val="ListParagraph"/>
        <w:numPr>
          <w:ilvl w:val="0"/>
          <w:numId w:val="11"/>
        </w:numPr>
        <w:spacing w:line="600" w:lineRule="auto"/>
        <w:jc w:val="both"/>
        <w:rPr>
          <w:rFonts w:ascii="Arial" w:hAnsi="Arial" w:cs="Arial"/>
          <w:sz w:val="20"/>
          <w:szCs w:val="20"/>
        </w:rPr>
      </w:pPr>
      <w:proofErr w:type="spellStart"/>
      <w:r w:rsidRPr="001B2C46">
        <w:rPr>
          <w:rFonts w:ascii="Arial" w:hAnsi="Arial" w:cs="Arial"/>
          <w:color w:val="494949"/>
          <w:sz w:val="20"/>
          <w:szCs w:val="20"/>
          <w:shd w:val="clear" w:color="auto" w:fill="FFFFFF"/>
          <w:lang w:val="fr-FR"/>
        </w:rPr>
        <w:t>Omoti</w:t>
      </w:r>
      <w:proofErr w:type="spellEnd"/>
      <w:r w:rsidRPr="001B2C46">
        <w:rPr>
          <w:rFonts w:ascii="Arial" w:hAnsi="Arial" w:cs="Arial"/>
          <w:color w:val="494949"/>
          <w:sz w:val="20"/>
          <w:szCs w:val="20"/>
          <w:shd w:val="clear" w:color="auto" w:fill="FFFFFF"/>
          <w:lang w:val="fr-FR"/>
        </w:rPr>
        <w:t xml:space="preserve"> CE, </w:t>
      </w:r>
      <w:proofErr w:type="spellStart"/>
      <w:r w:rsidRPr="001B2C46">
        <w:rPr>
          <w:rFonts w:ascii="Arial" w:hAnsi="Arial" w:cs="Arial"/>
          <w:color w:val="494949"/>
          <w:sz w:val="20"/>
          <w:szCs w:val="20"/>
          <w:shd w:val="clear" w:color="auto" w:fill="FFFFFF"/>
          <w:lang w:val="fr-FR"/>
        </w:rPr>
        <w:t>Awodu</w:t>
      </w:r>
      <w:proofErr w:type="spellEnd"/>
      <w:r w:rsidRPr="001B2C46">
        <w:rPr>
          <w:rFonts w:ascii="Arial" w:hAnsi="Arial" w:cs="Arial"/>
          <w:color w:val="494949"/>
          <w:sz w:val="20"/>
          <w:szCs w:val="20"/>
          <w:shd w:val="clear" w:color="auto" w:fill="FFFFFF"/>
          <w:lang w:val="fr-FR"/>
        </w:rPr>
        <w:t xml:space="preserve"> OA, </w:t>
      </w:r>
      <w:proofErr w:type="spellStart"/>
      <w:r w:rsidRPr="001B2C46">
        <w:rPr>
          <w:rFonts w:ascii="Arial" w:hAnsi="Arial" w:cs="Arial"/>
          <w:color w:val="494949"/>
          <w:sz w:val="20"/>
          <w:szCs w:val="20"/>
          <w:shd w:val="clear" w:color="auto" w:fill="FFFFFF"/>
          <w:lang w:val="fr-FR"/>
        </w:rPr>
        <w:t>Bazuaye</w:t>
      </w:r>
      <w:proofErr w:type="spellEnd"/>
      <w:r w:rsidRPr="001B2C46">
        <w:rPr>
          <w:rFonts w:ascii="Arial" w:hAnsi="Arial" w:cs="Arial"/>
          <w:color w:val="494949"/>
          <w:sz w:val="20"/>
          <w:szCs w:val="20"/>
          <w:shd w:val="clear" w:color="auto" w:fill="FFFFFF"/>
          <w:lang w:val="fr-FR"/>
        </w:rPr>
        <w:t xml:space="preserve"> GN. </w:t>
      </w:r>
      <w:r w:rsidRPr="00140A0A">
        <w:rPr>
          <w:rFonts w:ascii="Arial" w:hAnsi="Arial" w:cs="Arial"/>
          <w:color w:val="494949"/>
          <w:sz w:val="20"/>
          <w:szCs w:val="20"/>
          <w:shd w:val="clear" w:color="auto" w:fill="FFFFFF"/>
        </w:rPr>
        <w:t xml:space="preserve">Chronic lymphoid </w:t>
      </w:r>
      <w:proofErr w:type="spellStart"/>
      <w:r w:rsidRPr="00140A0A">
        <w:rPr>
          <w:rFonts w:ascii="Arial" w:hAnsi="Arial" w:cs="Arial"/>
          <w:color w:val="494949"/>
          <w:sz w:val="20"/>
          <w:szCs w:val="20"/>
          <w:shd w:val="clear" w:color="auto" w:fill="FFFFFF"/>
        </w:rPr>
        <w:t>leukaemia</w:t>
      </w:r>
      <w:proofErr w:type="spellEnd"/>
      <w:r w:rsidRPr="00140A0A">
        <w:rPr>
          <w:rFonts w:ascii="Arial" w:hAnsi="Arial" w:cs="Arial"/>
          <w:color w:val="494949"/>
          <w:sz w:val="20"/>
          <w:szCs w:val="20"/>
          <w:shd w:val="clear" w:color="auto" w:fill="FFFFFF"/>
        </w:rPr>
        <w:t xml:space="preserve">: </w:t>
      </w:r>
      <w:proofErr w:type="spellStart"/>
      <w:r w:rsidRPr="00140A0A">
        <w:rPr>
          <w:rFonts w:ascii="Arial" w:hAnsi="Arial" w:cs="Arial"/>
          <w:color w:val="494949"/>
          <w:sz w:val="20"/>
          <w:szCs w:val="20"/>
          <w:shd w:val="clear" w:color="auto" w:fill="FFFFFF"/>
        </w:rPr>
        <w:t>clinico-haematological</w:t>
      </w:r>
      <w:proofErr w:type="spellEnd"/>
      <w:r w:rsidRPr="00140A0A">
        <w:rPr>
          <w:rFonts w:ascii="Arial" w:hAnsi="Arial" w:cs="Arial"/>
          <w:color w:val="494949"/>
          <w:sz w:val="20"/>
          <w:szCs w:val="20"/>
          <w:shd w:val="clear" w:color="auto" w:fill="FFFFFF"/>
        </w:rPr>
        <w:t xml:space="preserve"> correlation and outcome in a single institution in Niger Delta region of Nigeria. International Journal of Laboratory Hematology. 2007 Dec;29(6)</w:t>
      </w:r>
    </w:p>
    <w:p w14:paraId="56EC4C19" w14:textId="09CEE61D" w:rsidR="00EA70C9" w:rsidRPr="00140A0A" w:rsidRDefault="00EA70C9" w:rsidP="00D9764A">
      <w:pPr>
        <w:pStyle w:val="ListParagraph"/>
        <w:numPr>
          <w:ilvl w:val="0"/>
          <w:numId w:val="11"/>
        </w:numPr>
        <w:spacing w:line="600" w:lineRule="auto"/>
        <w:jc w:val="both"/>
        <w:rPr>
          <w:rFonts w:ascii="Arial" w:hAnsi="Arial" w:cs="Arial"/>
          <w:sz w:val="20"/>
          <w:szCs w:val="20"/>
        </w:rPr>
      </w:pPr>
      <w:r w:rsidRPr="00140A0A">
        <w:rPr>
          <w:rFonts w:ascii="Arial" w:hAnsi="Arial" w:cs="Arial"/>
          <w:sz w:val="20"/>
          <w:szCs w:val="20"/>
          <w:shd w:val="clear" w:color="auto" w:fill="FFFFFF"/>
        </w:rPr>
        <w:t xml:space="preserve">Osho, P., </w:t>
      </w:r>
      <w:proofErr w:type="spellStart"/>
      <w:r w:rsidRPr="00140A0A">
        <w:rPr>
          <w:rFonts w:ascii="Arial" w:hAnsi="Arial" w:cs="Arial"/>
          <w:sz w:val="20"/>
          <w:szCs w:val="20"/>
          <w:shd w:val="clear" w:color="auto" w:fill="FFFFFF"/>
        </w:rPr>
        <w:t>Koledoye</w:t>
      </w:r>
      <w:proofErr w:type="spellEnd"/>
      <w:r w:rsidRPr="00140A0A">
        <w:rPr>
          <w:rFonts w:ascii="Arial" w:hAnsi="Arial" w:cs="Arial"/>
          <w:sz w:val="20"/>
          <w:szCs w:val="20"/>
          <w:shd w:val="clear" w:color="auto" w:fill="FFFFFF"/>
        </w:rPr>
        <w:t xml:space="preserve">, V., Matilda, O. A., &amp; </w:t>
      </w:r>
      <w:proofErr w:type="spellStart"/>
      <w:r w:rsidRPr="00140A0A">
        <w:rPr>
          <w:rFonts w:ascii="Arial" w:hAnsi="Arial" w:cs="Arial"/>
          <w:sz w:val="20"/>
          <w:szCs w:val="20"/>
          <w:shd w:val="clear" w:color="auto" w:fill="FFFFFF"/>
        </w:rPr>
        <w:t>Adijat</w:t>
      </w:r>
      <w:proofErr w:type="spellEnd"/>
      <w:r w:rsidRPr="00140A0A">
        <w:rPr>
          <w:rFonts w:ascii="Arial" w:hAnsi="Arial" w:cs="Arial"/>
          <w:sz w:val="20"/>
          <w:szCs w:val="20"/>
          <w:shd w:val="clear" w:color="auto" w:fill="FFFFFF"/>
        </w:rPr>
        <w:t>, J. A. (2022). Demographic Pattern of Chronic Myeloid Leukaemia and Chronic Lymphocytic Leukaemia in University of Medical Sciences Teaching Hospital Ondo State South-West Nigeria. </w:t>
      </w:r>
      <w:r w:rsidRPr="00140A0A">
        <w:rPr>
          <w:rFonts w:ascii="Arial" w:hAnsi="Arial" w:cs="Arial"/>
          <w:i/>
          <w:iCs/>
          <w:sz w:val="20"/>
          <w:szCs w:val="20"/>
          <w:shd w:val="clear" w:color="auto" w:fill="FFFFFF"/>
        </w:rPr>
        <w:t>British Journal of Healthcare and Medical Research</w:t>
      </w:r>
      <w:r w:rsidRPr="00140A0A">
        <w:rPr>
          <w:rFonts w:ascii="Arial" w:hAnsi="Arial" w:cs="Arial"/>
          <w:sz w:val="20"/>
          <w:szCs w:val="20"/>
          <w:shd w:val="clear" w:color="auto" w:fill="FFFFFF"/>
        </w:rPr>
        <w:t>, </w:t>
      </w:r>
      <w:r w:rsidRPr="00140A0A">
        <w:rPr>
          <w:rFonts w:ascii="Arial" w:hAnsi="Arial" w:cs="Arial"/>
          <w:i/>
          <w:iCs/>
          <w:sz w:val="20"/>
          <w:szCs w:val="20"/>
          <w:shd w:val="clear" w:color="auto" w:fill="FFFFFF"/>
        </w:rPr>
        <w:t>9</w:t>
      </w:r>
      <w:r w:rsidRPr="00140A0A">
        <w:rPr>
          <w:rFonts w:ascii="Arial" w:hAnsi="Arial" w:cs="Arial"/>
          <w:sz w:val="20"/>
          <w:szCs w:val="20"/>
          <w:shd w:val="clear" w:color="auto" w:fill="FFFFFF"/>
        </w:rPr>
        <w:t>(5), 86–93</w:t>
      </w:r>
    </w:p>
    <w:p w14:paraId="7FC6A372" w14:textId="12E23A7A" w:rsidR="00513A69" w:rsidRPr="00513A69" w:rsidRDefault="00513A69" w:rsidP="00D9764A">
      <w:pPr>
        <w:pStyle w:val="ListParagraph"/>
        <w:numPr>
          <w:ilvl w:val="0"/>
          <w:numId w:val="11"/>
        </w:numPr>
        <w:spacing w:line="600" w:lineRule="auto"/>
        <w:jc w:val="both"/>
        <w:rPr>
          <w:rFonts w:ascii="Arial" w:hAnsi="Arial" w:cs="Arial"/>
          <w:sz w:val="20"/>
          <w:szCs w:val="20"/>
        </w:rPr>
      </w:pPr>
      <w:proofErr w:type="spellStart"/>
      <w:r w:rsidRPr="00513A69">
        <w:rPr>
          <w:rFonts w:ascii="Arial" w:hAnsi="Arial" w:cs="Arial"/>
          <w:sz w:val="20"/>
          <w:szCs w:val="20"/>
        </w:rPr>
        <w:t>Korubo</w:t>
      </w:r>
      <w:proofErr w:type="spellEnd"/>
      <w:r w:rsidRPr="00513A69">
        <w:rPr>
          <w:rFonts w:ascii="Arial" w:hAnsi="Arial" w:cs="Arial"/>
          <w:sz w:val="20"/>
          <w:szCs w:val="20"/>
        </w:rPr>
        <w:t xml:space="preserve"> KI, </w:t>
      </w:r>
      <w:proofErr w:type="spellStart"/>
      <w:r w:rsidRPr="00513A69">
        <w:rPr>
          <w:rFonts w:ascii="Arial" w:hAnsi="Arial" w:cs="Arial"/>
          <w:sz w:val="20"/>
          <w:szCs w:val="20"/>
        </w:rPr>
        <w:t>Okite</w:t>
      </w:r>
      <w:proofErr w:type="spellEnd"/>
      <w:r w:rsidRPr="00513A69">
        <w:rPr>
          <w:rFonts w:ascii="Arial" w:hAnsi="Arial" w:cs="Arial"/>
          <w:sz w:val="20"/>
          <w:szCs w:val="20"/>
        </w:rPr>
        <w:t xml:space="preserve"> UP, </w:t>
      </w:r>
      <w:proofErr w:type="spellStart"/>
      <w:r w:rsidRPr="00513A69">
        <w:rPr>
          <w:rFonts w:ascii="Arial" w:hAnsi="Arial" w:cs="Arial"/>
          <w:sz w:val="20"/>
          <w:szCs w:val="20"/>
        </w:rPr>
        <w:t>Ezeugwu</w:t>
      </w:r>
      <w:proofErr w:type="spellEnd"/>
      <w:r w:rsidRPr="00513A69">
        <w:rPr>
          <w:rFonts w:ascii="Arial" w:hAnsi="Arial" w:cs="Arial"/>
          <w:sz w:val="20"/>
          <w:szCs w:val="20"/>
        </w:rPr>
        <w:t xml:space="preserve"> SI. Chronic Lymphocytic Leukemia: Prognostic Factors at Presentation in a Resource-Limited Center. JCO Glob Oncol. 2021 </w:t>
      </w:r>
      <w:proofErr w:type="gramStart"/>
      <w:r w:rsidRPr="00513A69">
        <w:rPr>
          <w:rFonts w:ascii="Arial" w:hAnsi="Arial" w:cs="Arial"/>
          <w:sz w:val="20"/>
          <w:szCs w:val="20"/>
        </w:rPr>
        <w:t>Jan;7:56</w:t>
      </w:r>
      <w:proofErr w:type="gramEnd"/>
      <w:r w:rsidRPr="00513A69">
        <w:rPr>
          <w:rFonts w:ascii="Arial" w:hAnsi="Arial" w:cs="Arial"/>
          <w:sz w:val="20"/>
          <w:szCs w:val="20"/>
        </w:rPr>
        <w:t xml:space="preserve">-62. </w:t>
      </w:r>
      <w:proofErr w:type="spellStart"/>
      <w:r w:rsidRPr="00513A69">
        <w:rPr>
          <w:rFonts w:ascii="Arial" w:hAnsi="Arial" w:cs="Arial"/>
          <w:sz w:val="20"/>
          <w:szCs w:val="20"/>
        </w:rPr>
        <w:t>doi</w:t>
      </w:r>
      <w:proofErr w:type="spellEnd"/>
      <w:r w:rsidRPr="00513A69">
        <w:rPr>
          <w:rFonts w:ascii="Arial" w:hAnsi="Arial" w:cs="Arial"/>
          <w:sz w:val="20"/>
          <w:szCs w:val="20"/>
        </w:rPr>
        <w:t>: 10.1200/GO.20.00276. PMID: 33434067; PMCID: PMC8081540.</w:t>
      </w:r>
    </w:p>
    <w:p w14:paraId="5422BC28" w14:textId="30AD3492" w:rsidR="00EA70C9" w:rsidRPr="00140A0A" w:rsidRDefault="00296388" w:rsidP="00D9764A">
      <w:pPr>
        <w:pStyle w:val="ListParagraph"/>
        <w:numPr>
          <w:ilvl w:val="0"/>
          <w:numId w:val="11"/>
        </w:numPr>
        <w:spacing w:line="600" w:lineRule="auto"/>
        <w:jc w:val="both"/>
        <w:rPr>
          <w:rFonts w:ascii="Arial" w:hAnsi="Arial" w:cs="Arial"/>
          <w:sz w:val="20"/>
          <w:szCs w:val="20"/>
        </w:rPr>
      </w:pPr>
      <w:r w:rsidRPr="00140A0A">
        <w:rPr>
          <w:rFonts w:ascii="Arial" w:hAnsi="Arial" w:cs="Arial"/>
          <w:color w:val="1B1B1B"/>
          <w:sz w:val="20"/>
          <w:szCs w:val="20"/>
          <w:shd w:val="clear" w:color="auto" w:fill="FFFFFF"/>
        </w:rPr>
        <w:t xml:space="preserve">Tsang M, Parikh SA. A Concise Review of Autoimmune Cytopenias in Chronic Lymphocytic Leukemia. </w:t>
      </w:r>
      <w:proofErr w:type="spellStart"/>
      <w:r w:rsidRPr="00140A0A">
        <w:rPr>
          <w:rFonts w:ascii="Arial" w:hAnsi="Arial" w:cs="Arial"/>
          <w:color w:val="1B1B1B"/>
          <w:sz w:val="20"/>
          <w:szCs w:val="20"/>
          <w:shd w:val="clear" w:color="auto" w:fill="FFFFFF"/>
        </w:rPr>
        <w:t>Curr</w:t>
      </w:r>
      <w:proofErr w:type="spellEnd"/>
      <w:r w:rsidRPr="00140A0A">
        <w:rPr>
          <w:rFonts w:ascii="Arial" w:hAnsi="Arial" w:cs="Arial"/>
          <w:color w:val="1B1B1B"/>
          <w:sz w:val="20"/>
          <w:szCs w:val="20"/>
          <w:shd w:val="clear" w:color="auto" w:fill="FFFFFF"/>
        </w:rPr>
        <w:t xml:space="preserve"> </w:t>
      </w:r>
      <w:proofErr w:type="spellStart"/>
      <w:r w:rsidRPr="00140A0A">
        <w:rPr>
          <w:rFonts w:ascii="Arial" w:hAnsi="Arial" w:cs="Arial"/>
          <w:color w:val="1B1B1B"/>
          <w:sz w:val="20"/>
          <w:szCs w:val="20"/>
          <w:shd w:val="clear" w:color="auto" w:fill="FFFFFF"/>
        </w:rPr>
        <w:t>Hematol</w:t>
      </w:r>
      <w:proofErr w:type="spellEnd"/>
      <w:r w:rsidRPr="00140A0A">
        <w:rPr>
          <w:rFonts w:ascii="Arial" w:hAnsi="Arial" w:cs="Arial"/>
          <w:color w:val="1B1B1B"/>
          <w:sz w:val="20"/>
          <w:szCs w:val="20"/>
          <w:shd w:val="clear" w:color="auto" w:fill="FFFFFF"/>
        </w:rPr>
        <w:t xml:space="preserve"> </w:t>
      </w:r>
      <w:proofErr w:type="spellStart"/>
      <w:r w:rsidRPr="00140A0A">
        <w:rPr>
          <w:rFonts w:ascii="Arial" w:hAnsi="Arial" w:cs="Arial"/>
          <w:color w:val="1B1B1B"/>
          <w:sz w:val="20"/>
          <w:szCs w:val="20"/>
          <w:shd w:val="clear" w:color="auto" w:fill="FFFFFF"/>
        </w:rPr>
        <w:t>Malig</w:t>
      </w:r>
      <w:proofErr w:type="spellEnd"/>
      <w:r w:rsidRPr="00140A0A">
        <w:rPr>
          <w:rFonts w:ascii="Arial" w:hAnsi="Arial" w:cs="Arial"/>
          <w:color w:val="1B1B1B"/>
          <w:sz w:val="20"/>
          <w:szCs w:val="20"/>
          <w:shd w:val="clear" w:color="auto" w:fill="FFFFFF"/>
        </w:rPr>
        <w:t xml:space="preserve"> Rep. 2017 Feb;12(1):29-38</w:t>
      </w:r>
    </w:p>
    <w:p w14:paraId="7F331D50" w14:textId="1C07DF70" w:rsidR="00296388" w:rsidRPr="00140A0A" w:rsidRDefault="00296388" w:rsidP="00D9764A">
      <w:pPr>
        <w:pStyle w:val="ListParagraph"/>
        <w:numPr>
          <w:ilvl w:val="0"/>
          <w:numId w:val="11"/>
        </w:numPr>
        <w:spacing w:line="600" w:lineRule="auto"/>
        <w:jc w:val="both"/>
        <w:rPr>
          <w:rFonts w:ascii="Arial" w:hAnsi="Arial" w:cs="Arial"/>
          <w:sz w:val="20"/>
          <w:szCs w:val="20"/>
        </w:rPr>
      </w:pPr>
      <w:proofErr w:type="spellStart"/>
      <w:r w:rsidRPr="00140A0A">
        <w:rPr>
          <w:rFonts w:ascii="Arial" w:hAnsi="Arial" w:cs="Arial"/>
          <w:sz w:val="20"/>
          <w:szCs w:val="20"/>
        </w:rPr>
        <w:t>Fattizzo</w:t>
      </w:r>
      <w:proofErr w:type="spellEnd"/>
      <w:r w:rsidRPr="00140A0A">
        <w:rPr>
          <w:rFonts w:ascii="Arial" w:hAnsi="Arial" w:cs="Arial"/>
          <w:sz w:val="20"/>
          <w:szCs w:val="20"/>
        </w:rPr>
        <w:t xml:space="preserve"> B and </w:t>
      </w:r>
      <w:proofErr w:type="spellStart"/>
      <w:r w:rsidRPr="00140A0A">
        <w:rPr>
          <w:rFonts w:ascii="Arial" w:hAnsi="Arial" w:cs="Arial"/>
          <w:sz w:val="20"/>
          <w:szCs w:val="20"/>
        </w:rPr>
        <w:t>Barcellini</w:t>
      </w:r>
      <w:proofErr w:type="spellEnd"/>
      <w:r w:rsidRPr="00140A0A">
        <w:rPr>
          <w:rFonts w:ascii="Arial" w:hAnsi="Arial" w:cs="Arial"/>
          <w:sz w:val="20"/>
          <w:szCs w:val="20"/>
        </w:rPr>
        <w:t xml:space="preserve"> W (2020) Autoimmune Cytopenias in Chronic Lymphocytic Leukemia: Focus on Molecular Aspects. Front. Oncol. 9:1435</w:t>
      </w:r>
    </w:p>
    <w:p w14:paraId="07C302C7" w14:textId="501158A3" w:rsidR="00296388" w:rsidRPr="00140A0A" w:rsidRDefault="00613BA9" w:rsidP="00D9764A">
      <w:pPr>
        <w:pStyle w:val="ListParagraph"/>
        <w:numPr>
          <w:ilvl w:val="0"/>
          <w:numId w:val="11"/>
        </w:numPr>
        <w:spacing w:line="600" w:lineRule="auto"/>
        <w:jc w:val="both"/>
        <w:rPr>
          <w:rFonts w:ascii="Arial" w:hAnsi="Arial" w:cs="Arial"/>
          <w:sz w:val="20"/>
          <w:szCs w:val="20"/>
        </w:rPr>
      </w:pPr>
      <w:r w:rsidRPr="00140A0A">
        <w:rPr>
          <w:rFonts w:ascii="Arial" w:hAnsi="Arial" w:cs="Arial"/>
          <w:color w:val="2A2A2A"/>
          <w:sz w:val="20"/>
          <w:szCs w:val="20"/>
          <w:shd w:val="clear" w:color="auto" w:fill="FFFFFF"/>
        </w:rPr>
        <w:t>Jonathan Tucci, Jeremy W Jacobs, Zainab U Ibrahim, Aminu A Yusuf, Ali Bala Umar, Danny A Milner, Quentin Eichbaum, Vanderbilt Pathology Program in Global Health, Survey of anatomic and clinical pathology services and infrastructure in Nigeria, </w:t>
      </w:r>
      <w:r w:rsidRPr="00140A0A">
        <w:rPr>
          <w:rStyle w:val="Emphasis"/>
          <w:rFonts w:ascii="Arial" w:hAnsi="Arial" w:cs="Arial"/>
          <w:color w:val="2A2A2A"/>
          <w:sz w:val="20"/>
          <w:szCs w:val="20"/>
          <w:bdr w:val="none" w:sz="0" w:space="0" w:color="auto" w:frame="1"/>
          <w:shd w:val="clear" w:color="auto" w:fill="FFFFFF"/>
        </w:rPr>
        <w:t>American Journal of Clinical Pathology</w:t>
      </w:r>
      <w:r w:rsidRPr="00140A0A">
        <w:rPr>
          <w:rFonts w:ascii="Arial" w:hAnsi="Arial" w:cs="Arial"/>
          <w:color w:val="2A2A2A"/>
          <w:sz w:val="20"/>
          <w:szCs w:val="20"/>
          <w:shd w:val="clear" w:color="auto" w:fill="FFFFFF"/>
        </w:rPr>
        <w:t>, Volume 163, Issue 4, April 2025, Pages 586–600</w:t>
      </w:r>
    </w:p>
    <w:p w14:paraId="38110FFD" w14:textId="6B74BCFB" w:rsidR="00613BA9" w:rsidRPr="00140A0A" w:rsidRDefault="00FD2AE8" w:rsidP="00D9764A">
      <w:pPr>
        <w:pStyle w:val="ListParagraph"/>
        <w:numPr>
          <w:ilvl w:val="0"/>
          <w:numId w:val="11"/>
        </w:numPr>
        <w:spacing w:line="600" w:lineRule="auto"/>
        <w:jc w:val="both"/>
        <w:rPr>
          <w:rFonts w:ascii="Arial" w:hAnsi="Arial" w:cs="Arial"/>
          <w:sz w:val="20"/>
          <w:szCs w:val="20"/>
        </w:rPr>
      </w:pPr>
      <w:proofErr w:type="spellStart"/>
      <w:r w:rsidRPr="00140A0A">
        <w:rPr>
          <w:rFonts w:ascii="Arial" w:hAnsi="Arial" w:cs="Arial"/>
          <w:color w:val="1B1B1B"/>
          <w:sz w:val="20"/>
          <w:szCs w:val="20"/>
          <w:shd w:val="clear" w:color="auto" w:fill="FFFFFF"/>
        </w:rPr>
        <w:lastRenderedPageBreak/>
        <w:t>Cabeçadas</w:t>
      </w:r>
      <w:proofErr w:type="spellEnd"/>
      <w:r w:rsidRPr="00140A0A">
        <w:rPr>
          <w:rFonts w:ascii="Arial" w:hAnsi="Arial" w:cs="Arial"/>
          <w:color w:val="1B1B1B"/>
          <w:sz w:val="20"/>
          <w:szCs w:val="20"/>
          <w:shd w:val="clear" w:color="auto" w:fill="FFFFFF"/>
        </w:rPr>
        <w:t xml:space="preserve"> J, Nava VE, </w:t>
      </w:r>
      <w:proofErr w:type="spellStart"/>
      <w:r w:rsidRPr="00140A0A">
        <w:rPr>
          <w:rFonts w:ascii="Arial" w:hAnsi="Arial" w:cs="Arial"/>
          <w:color w:val="1B1B1B"/>
          <w:sz w:val="20"/>
          <w:szCs w:val="20"/>
          <w:shd w:val="clear" w:color="auto" w:fill="FFFFFF"/>
        </w:rPr>
        <w:t>Ascensao</w:t>
      </w:r>
      <w:proofErr w:type="spellEnd"/>
      <w:r w:rsidRPr="00140A0A">
        <w:rPr>
          <w:rFonts w:ascii="Arial" w:hAnsi="Arial" w:cs="Arial"/>
          <w:color w:val="1B1B1B"/>
          <w:sz w:val="20"/>
          <w:szCs w:val="20"/>
          <w:shd w:val="clear" w:color="auto" w:fill="FFFFFF"/>
        </w:rPr>
        <w:t xml:space="preserve"> JL, Gomes da Silva M. How to Diagnose and Treat CD5-Positive Lymphomas Involving the Spleen. Curr Oncol. 2021 Nov 11;28(6):4611-4633</w:t>
      </w:r>
    </w:p>
    <w:p w14:paraId="3216E48E" w14:textId="2D14C781" w:rsidR="00FD2AE8" w:rsidRPr="00140A0A" w:rsidRDefault="00FD2AE8" w:rsidP="00D9764A">
      <w:pPr>
        <w:pStyle w:val="ListParagraph"/>
        <w:numPr>
          <w:ilvl w:val="0"/>
          <w:numId w:val="11"/>
        </w:numPr>
        <w:spacing w:line="600" w:lineRule="auto"/>
        <w:jc w:val="both"/>
        <w:rPr>
          <w:rFonts w:ascii="Arial" w:hAnsi="Arial" w:cs="Arial"/>
          <w:sz w:val="20"/>
          <w:szCs w:val="20"/>
        </w:rPr>
      </w:pPr>
      <w:proofErr w:type="spellStart"/>
      <w:r w:rsidRPr="00140A0A">
        <w:rPr>
          <w:rFonts w:ascii="Arial" w:hAnsi="Arial" w:cs="Arial"/>
          <w:color w:val="1B1B1B"/>
          <w:sz w:val="20"/>
          <w:szCs w:val="20"/>
          <w:shd w:val="clear" w:color="auto" w:fill="FFFFFF"/>
        </w:rPr>
        <w:t>Niyonizeye</w:t>
      </w:r>
      <w:proofErr w:type="spellEnd"/>
      <w:r w:rsidRPr="00140A0A">
        <w:rPr>
          <w:rFonts w:ascii="Arial" w:hAnsi="Arial" w:cs="Arial"/>
          <w:color w:val="1B1B1B"/>
          <w:sz w:val="20"/>
          <w:szCs w:val="20"/>
          <w:shd w:val="clear" w:color="auto" w:fill="FFFFFF"/>
        </w:rPr>
        <w:t xml:space="preserve"> E, Wang X, Yan D, Richard SA, Ren H, Fu L, Chen Y, Yuan X, Yue B. Building a new score system for the diagnosis and differential diagnosis of typical CLL/SLL, atypical CLL/SLL, and MCL based on the flow cytometry immunophenotyping. Ann Hematol. 2025 Mar;104(3):1807-1819.</w:t>
      </w:r>
    </w:p>
    <w:p w14:paraId="2C91F5D0" w14:textId="5A94E266" w:rsidR="00FD2AE8" w:rsidRPr="00140A0A" w:rsidRDefault="005E1B42" w:rsidP="00D9764A">
      <w:pPr>
        <w:pStyle w:val="ListParagraph"/>
        <w:numPr>
          <w:ilvl w:val="0"/>
          <w:numId w:val="11"/>
        </w:numPr>
        <w:spacing w:line="600" w:lineRule="auto"/>
        <w:jc w:val="both"/>
        <w:rPr>
          <w:rFonts w:ascii="Arial" w:hAnsi="Arial" w:cs="Arial"/>
          <w:sz w:val="20"/>
          <w:szCs w:val="20"/>
        </w:rPr>
      </w:pPr>
      <w:r w:rsidRPr="00140A0A">
        <w:rPr>
          <w:rFonts w:ascii="Arial" w:hAnsi="Arial" w:cs="Arial"/>
          <w:color w:val="1B1B1B"/>
          <w:sz w:val="20"/>
          <w:szCs w:val="20"/>
          <w:shd w:val="clear" w:color="auto" w:fill="FFFFFF"/>
        </w:rPr>
        <w:t xml:space="preserve">Robak T, </w:t>
      </w:r>
      <w:proofErr w:type="spellStart"/>
      <w:r w:rsidRPr="00140A0A">
        <w:rPr>
          <w:rFonts w:ascii="Arial" w:hAnsi="Arial" w:cs="Arial"/>
          <w:color w:val="1B1B1B"/>
          <w:sz w:val="20"/>
          <w:szCs w:val="20"/>
          <w:shd w:val="clear" w:color="auto" w:fill="FFFFFF"/>
        </w:rPr>
        <w:t>Witkowska</w:t>
      </w:r>
      <w:proofErr w:type="spellEnd"/>
      <w:r w:rsidRPr="00140A0A">
        <w:rPr>
          <w:rFonts w:ascii="Arial" w:hAnsi="Arial" w:cs="Arial"/>
          <w:color w:val="1B1B1B"/>
          <w:sz w:val="20"/>
          <w:szCs w:val="20"/>
          <w:shd w:val="clear" w:color="auto" w:fill="FFFFFF"/>
        </w:rPr>
        <w:t xml:space="preserve"> M, </w:t>
      </w:r>
      <w:proofErr w:type="spellStart"/>
      <w:r w:rsidRPr="00140A0A">
        <w:rPr>
          <w:rFonts w:ascii="Arial" w:hAnsi="Arial" w:cs="Arial"/>
          <w:color w:val="1B1B1B"/>
          <w:sz w:val="20"/>
          <w:szCs w:val="20"/>
          <w:shd w:val="clear" w:color="auto" w:fill="FFFFFF"/>
        </w:rPr>
        <w:t>Smolewski</w:t>
      </w:r>
      <w:proofErr w:type="spellEnd"/>
      <w:r w:rsidRPr="00140A0A">
        <w:rPr>
          <w:rFonts w:ascii="Arial" w:hAnsi="Arial" w:cs="Arial"/>
          <w:color w:val="1B1B1B"/>
          <w:sz w:val="20"/>
          <w:szCs w:val="20"/>
          <w:shd w:val="clear" w:color="auto" w:fill="FFFFFF"/>
        </w:rPr>
        <w:t xml:space="preserve"> P. The Role of Bruton's Kinase Inhibitors in Chronic Lymphocytic Leukemia: Current Status and Future Directions. Cancers (Basel). 2022 Feb 2;14(3):771</w:t>
      </w:r>
    </w:p>
    <w:p w14:paraId="64AC1736" w14:textId="45B7905D" w:rsidR="005E1B42" w:rsidRPr="00140A0A" w:rsidRDefault="00715092" w:rsidP="00D9764A">
      <w:pPr>
        <w:pStyle w:val="ListParagraph"/>
        <w:numPr>
          <w:ilvl w:val="0"/>
          <w:numId w:val="11"/>
        </w:numPr>
        <w:spacing w:line="600" w:lineRule="auto"/>
        <w:jc w:val="both"/>
        <w:rPr>
          <w:rFonts w:ascii="Arial" w:hAnsi="Arial" w:cs="Arial"/>
          <w:sz w:val="20"/>
          <w:szCs w:val="20"/>
        </w:rPr>
      </w:pPr>
      <w:r w:rsidRPr="00140A0A">
        <w:rPr>
          <w:rFonts w:ascii="Arial" w:hAnsi="Arial" w:cs="Arial"/>
          <w:color w:val="1B1B1B"/>
          <w:sz w:val="20"/>
          <w:szCs w:val="20"/>
          <w:shd w:val="clear" w:color="auto" w:fill="FFFFFF"/>
        </w:rPr>
        <w:t xml:space="preserve">Lovell AR, Jammal N, Bose P. Selecting the optimal BTK inhibitor therapy in CLL: rationale and practical considerations. </w:t>
      </w:r>
      <w:proofErr w:type="spellStart"/>
      <w:r w:rsidRPr="00140A0A">
        <w:rPr>
          <w:rFonts w:ascii="Arial" w:hAnsi="Arial" w:cs="Arial"/>
          <w:color w:val="1B1B1B"/>
          <w:sz w:val="20"/>
          <w:szCs w:val="20"/>
          <w:shd w:val="clear" w:color="auto" w:fill="FFFFFF"/>
        </w:rPr>
        <w:t>Ther</w:t>
      </w:r>
      <w:proofErr w:type="spellEnd"/>
      <w:r w:rsidRPr="00140A0A">
        <w:rPr>
          <w:rFonts w:ascii="Arial" w:hAnsi="Arial" w:cs="Arial"/>
          <w:color w:val="1B1B1B"/>
          <w:sz w:val="20"/>
          <w:szCs w:val="20"/>
          <w:shd w:val="clear" w:color="auto" w:fill="FFFFFF"/>
        </w:rPr>
        <w:t xml:space="preserve"> Adv </w:t>
      </w:r>
      <w:proofErr w:type="spellStart"/>
      <w:r w:rsidRPr="00140A0A">
        <w:rPr>
          <w:rFonts w:ascii="Arial" w:hAnsi="Arial" w:cs="Arial"/>
          <w:color w:val="1B1B1B"/>
          <w:sz w:val="20"/>
          <w:szCs w:val="20"/>
          <w:shd w:val="clear" w:color="auto" w:fill="FFFFFF"/>
        </w:rPr>
        <w:t>Hematol</w:t>
      </w:r>
      <w:proofErr w:type="spellEnd"/>
      <w:r w:rsidRPr="00140A0A">
        <w:rPr>
          <w:rFonts w:ascii="Arial" w:hAnsi="Arial" w:cs="Arial"/>
          <w:color w:val="1B1B1B"/>
          <w:sz w:val="20"/>
          <w:szCs w:val="20"/>
          <w:shd w:val="clear" w:color="auto" w:fill="FFFFFF"/>
        </w:rPr>
        <w:t>. 2022 Aug 9;13</w:t>
      </w:r>
    </w:p>
    <w:p w14:paraId="18745418" w14:textId="40E72E25" w:rsidR="00715092" w:rsidRPr="00140A0A" w:rsidRDefault="00715092" w:rsidP="00D9764A">
      <w:pPr>
        <w:pStyle w:val="ListParagraph"/>
        <w:numPr>
          <w:ilvl w:val="0"/>
          <w:numId w:val="11"/>
        </w:numPr>
        <w:spacing w:line="600" w:lineRule="auto"/>
        <w:jc w:val="both"/>
        <w:rPr>
          <w:rFonts w:ascii="Arial" w:hAnsi="Arial" w:cs="Arial"/>
          <w:sz w:val="20"/>
          <w:szCs w:val="20"/>
        </w:rPr>
      </w:pPr>
      <w:proofErr w:type="spellStart"/>
      <w:r w:rsidRPr="00140A0A">
        <w:rPr>
          <w:rFonts w:ascii="Arial" w:hAnsi="Arial" w:cs="Arial"/>
          <w:color w:val="1B1B1B"/>
          <w:sz w:val="20"/>
          <w:szCs w:val="20"/>
          <w:shd w:val="clear" w:color="auto" w:fill="FFFFFF"/>
        </w:rPr>
        <w:t>Nasnas</w:t>
      </w:r>
      <w:proofErr w:type="spellEnd"/>
      <w:r w:rsidRPr="00140A0A">
        <w:rPr>
          <w:rFonts w:ascii="Arial" w:hAnsi="Arial" w:cs="Arial"/>
          <w:color w:val="1B1B1B"/>
          <w:sz w:val="20"/>
          <w:szCs w:val="20"/>
          <w:shd w:val="clear" w:color="auto" w:fill="FFFFFF"/>
        </w:rPr>
        <w:t xml:space="preserve"> P, </w:t>
      </w:r>
      <w:proofErr w:type="spellStart"/>
      <w:r w:rsidRPr="00140A0A">
        <w:rPr>
          <w:rFonts w:ascii="Arial" w:hAnsi="Arial" w:cs="Arial"/>
          <w:color w:val="1B1B1B"/>
          <w:sz w:val="20"/>
          <w:szCs w:val="20"/>
          <w:shd w:val="clear" w:color="auto" w:fill="FFFFFF"/>
        </w:rPr>
        <w:t>Cerchione</w:t>
      </w:r>
      <w:proofErr w:type="spellEnd"/>
      <w:r w:rsidRPr="00140A0A">
        <w:rPr>
          <w:rFonts w:ascii="Arial" w:hAnsi="Arial" w:cs="Arial"/>
          <w:color w:val="1B1B1B"/>
          <w:sz w:val="20"/>
          <w:szCs w:val="20"/>
          <w:shd w:val="clear" w:color="auto" w:fill="FFFFFF"/>
        </w:rPr>
        <w:t xml:space="preserve"> C, </w:t>
      </w:r>
      <w:proofErr w:type="spellStart"/>
      <w:r w:rsidRPr="00140A0A">
        <w:rPr>
          <w:rFonts w:ascii="Arial" w:hAnsi="Arial" w:cs="Arial"/>
          <w:color w:val="1B1B1B"/>
          <w:sz w:val="20"/>
          <w:szCs w:val="20"/>
          <w:shd w:val="clear" w:color="auto" w:fill="FFFFFF"/>
        </w:rPr>
        <w:t>Musuraca</w:t>
      </w:r>
      <w:proofErr w:type="spellEnd"/>
      <w:r w:rsidRPr="00140A0A">
        <w:rPr>
          <w:rFonts w:ascii="Arial" w:hAnsi="Arial" w:cs="Arial"/>
          <w:color w:val="1B1B1B"/>
          <w:sz w:val="20"/>
          <w:szCs w:val="20"/>
          <w:shd w:val="clear" w:color="auto" w:fill="FFFFFF"/>
        </w:rPr>
        <w:t xml:space="preserve"> G, Martinelli G, </w:t>
      </w:r>
      <w:proofErr w:type="spellStart"/>
      <w:r w:rsidRPr="00140A0A">
        <w:rPr>
          <w:rFonts w:ascii="Arial" w:hAnsi="Arial" w:cs="Arial"/>
          <w:color w:val="1B1B1B"/>
          <w:sz w:val="20"/>
          <w:szCs w:val="20"/>
          <w:shd w:val="clear" w:color="auto" w:fill="FFFFFF"/>
        </w:rPr>
        <w:t>Ferrajoli</w:t>
      </w:r>
      <w:proofErr w:type="spellEnd"/>
      <w:r w:rsidRPr="00140A0A">
        <w:rPr>
          <w:rFonts w:ascii="Arial" w:hAnsi="Arial" w:cs="Arial"/>
          <w:color w:val="1B1B1B"/>
          <w:sz w:val="20"/>
          <w:szCs w:val="20"/>
          <w:shd w:val="clear" w:color="auto" w:fill="FFFFFF"/>
        </w:rPr>
        <w:t xml:space="preserve"> A. How I Manage Chronic Lymphocytic Leukemia. </w:t>
      </w:r>
      <w:proofErr w:type="spellStart"/>
      <w:r w:rsidRPr="00140A0A">
        <w:rPr>
          <w:rFonts w:ascii="Arial" w:hAnsi="Arial" w:cs="Arial"/>
          <w:color w:val="1B1B1B"/>
          <w:sz w:val="20"/>
          <w:szCs w:val="20"/>
          <w:shd w:val="clear" w:color="auto" w:fill="FFFFFF"/>
        </w:rPr>
        <w:t>Hematol</w:t>
      </w:r>
      <w:proofErr w:type="spellEnd"/>
      <w:r w:rsidRPr="00140A0A">
        <w:rPr>
          <w:rFonts w:ascii="Arial" w:hAnsi="Arial" w:cs="Arial"/>
          <w:color w:val="1B1B1B"/>
          <w:sz w:val="20"/>
          <w:szCs w:val="20"/>
          <w:shd w:val="clear" w:color="auto" w:fill="FFFFFF"/>
        </w:rPr>
        <w:t xml:space="preserve"> Rep. 2023 Aug 1;15(3):454-464</w:t>
      </w:r>
    </w:p>
    <w:p w14:paraId="0933FB71" w14:textId="114F242C" w:rsidR="00152438" w:rsidRPr="00140A0A" w:rsidRDefault="00152438" w:rsidP="00D9764A">
      <w:pPr>
        <w:pStyle w:val="ListParagraph"/>
        <w:numPr>
          <w:ilvl w:val="0"/>
          <w:numId w:val="11"/>
        </w:numPr>
        <w:spacing w:line="600" w:lineRule="auto"/>
        <w:jc w:val="both"/>
        <w:rPr>
          <w:rFonts w:ascii="Arial" w:hAnsi="Arial" w:cs="Arial"/>
          <w:sz w:val="20"/>
          <w:szCs w:val="20"/>
        </w:rPr>
      </w:pPr>
      <w:r w:rsidRPr="00140A0A">
        <w:rPr>
          <w:rFonts w:ascii="Arial" w:hAnsi="Arial" w:cs="Arial"/>
          <w:color w:val="222222"/>
          <w:sz w:val="20"/>
          <w:szCs w:val="20"/>
          <w:shd w:val="clear" w:color="auto" w:fill="FFFFFF"/>
        </w:rPr>
        <w:t>Hampel, P.J., Parikh, S.A. Chronic lymphocytic leukemia treatment algorithm 2022. </w:t>
      </w:r>
      <w:r w:rsidRPr="00140A0A">
        <w:rPr>
          <w:rFonts w:ascii="Arial" w:hAnsi="Arial" w:cs="Arial"/>
          <w:i/>
          <w:iCs/>
          <w:color w:val="222222"/>
          <w:sz w:val="20"/>
          <w:szCs w:val="20"/>
          <w:shd w:val="clear" w:color="auto" w:fill="FFFFFF"/>
        </w:rPr>
        <w:t>Blood Cancer J.</w:t>
      </w:r>
      <w:r w:rsidRPr="00140A0A">
        <w:rPr>
          <w:rFonts w:ascii="Arial" w:hAnsi="Arial" w:cs="Arial"/>
          <w:color w:val="222222"/>
          <w:sz w:val="20"/>
          <w:szCs w:val="20"/>
          <w:shd w:val="clear" w:color="auto" w:fill="FFFFFF"/>
        </w:rPr>
        <w:t xml:space="preserve"> 12, 161 (2022). </w:t>
      </w:r>
      <w:hyperlink r:id="rId19" w:history="1">
        <w:r w:rsidR="00FF3300" w:rsidRPr="00140A0A">
          <w:rPr>
            <w:rStyle w:val="Hyperlink"/>
            <w:rFonts w:ascii="Arial" w:hAnsi="Arial" w:cs="Arial"/>
            <w:sz w:val="20"/>
            <w:szCs w:val="20"/>
            <w:shd w:val="clear" w:color="auto" w:fill="FFFFFF"/>
          </w:rPr>
          <w:t>https://doi.org/10.1038/s41408-022-00756-9</w:t>
        </w:r>
      </w:hyperlink>
    </w:p>
    <w:p w14:paraId="24515178" w14:textId="1A3FA64A" w:rsidR="00FF3300" w:rsidRPr="00140A0A" w:rsidRDefault="00FF3300" w:rsidP="00D9764A">
      <w:pPr>
        <w:pStyle w:val="ListParagraph"/>
        <w:numPr>
          <w:ilvl w:val="0"/>
          <w:numId w:val="11"/>
        </w:numPr>
        <w:spacing w:line="600" w:lineRule="auto"/>
        <w:jc w:val="both"/>
        <w:rPr>
          <w:rFonts w:ascii="Arial" w:hAnsi="Arial" w:cs="Arial"/>
          <w:sz w:val="20"/>
          <w:szCs w:val="20"/>
        </w:rPr>
      </w:pPr>
      <w:proofErr w:type="spellStart"/>
      <w:r w:rsidRPr="00140A0A">
        <w:rPr>
          <w:rFonts w:ascii="Arial" w:hAnsi="Arial" w:cs="Arial"/>
          <w:color w:val="1B1B1B"/>
          <w:sz w:val="20"/>
          <w:szCs w:val="20"/>
          <w:shd w:val="clear" w:color="auto" w:fill="FFFFFF"/>
        </w:rPr>
        <w:t>Eze</w:t>
      </w:r>
      <w:proofErr w:type="spellEnd"/>
      <w:r w:rsidRPr="00140A0A">
        <w:rPr>
          <w:rFonts w:ascii="Arial" w:hAnsi="Arial" w:cs="Arial"/>
          <w:color w:val="1B1B1B"/>
          <w:sz w:val="20"/>
          <w:szCs w:val="20"/>
          <w:shd w:val="clear" w:color="auto" w:fill="FFFFFF"/>
        </w:rPr>
        <w:t xml:space="preserve"> P, </w:t>
      </w:r>
      <w:proofErr w:type="spellStart"/>
      <w:r w:rsidRPr="00140A0A">
        <w:rPr>
          <w:rFonts w:ascii="Arial" w:hAnsi="Arial" w:cs="Arial"/>
          <w:color w:val="1B1B1B"/>
          <w:sz w:val="20"/>
          <w:szCs w:val="20"/>
          <w:shd w:val="clear" w:color="auto" w:fill="FFFFFF"/>
        </w:rPr>
        <w:t>Aniebo</w:t>
      </w:r>
      <w:proofErr w:type="spellEnd"/>
      <w:r w:rsidRPr="00140A0A">
        <w:rPr>
          <w:rFonts w:ascii="Arial" w:hAnsi="Arial" w:cs="Arial"/>
          <w:color w:val="1B1B1B"/>
          <w:sz w:val="20"/>
          <w:szCs w:val="20"/>
          <w:shd w:val="clear" w:color="auto" w:fill="FFFFFF"/>
        </w:rPr>
        <w:t xml:space="preserve"> CL, </w:t>
      </w:r>
      <w:proofErr w:type="spellStart"/>
      <w:r w:rsidRPr="00140A0A">
        <w:rPr>
          <w:rFonts w:ascii="Arial" w:hAnsi="Arial" w:cs="Arial"/>
          <w:color w:val="1B1B1B"/>
          <w:sz w:val="20"/>
          <w:szCs w:val="20"/>
          <w:shd w:val="clear" w:color="auto" w:fill="FFFFFF"/>
        </w:rPr>
        <w:t>Ilechukwu</w:t>
      </w:r>
      <w:proofErr w:type="spellEnd"/>
      <w:r w:rsidRPr="00140A0A">
        <w:rPr>
          <w:rFonts w:ascii="Arial" w:hAnsi="Arial" w:cs="Arial"/>
          <w:color w:val="1B1B1B"/>
          <w:sz w:val="20"/>
          <w:szCs w:val="20"/>
          <w:shd w:val="clear" w:color="auto" w:fill="FFFFFF"/>
        </w:rPr>
        <w:t xml:space="preserve"> S, Lawani LO. Understanding Unmet Healthcare Needs in Nigeria: Implications for Universal Health Coverage. Health Serv Insights. 2025 Mar 31;18</w:t>
      </w:r>
    </w:p>
    <w:p w14:paraId="479716E2" w14:textId="347506B4" w:rsidR="00A01851" w:rsidRPr="00140A0A" w:rsidRDefault="00A01851" w:rsidP="00D9764A">
      <w:pPr>
        <w:pStyle w:val="ListParagraph"/>
        <w:numPr>
          <w:ilvl w:val="0"/>
          <w:numId w:val="11"/>
        </w:numPr>
        <w:spacing w:after="0" w:line="600" w:lineRule="auto"/>
        <w:jc w:val="both"/>
        <w:rPr>
          <w:rFonts w:ascii="Arial" w:hAnsi="Arial" w:cs="Arial"/>
          <w:color w:val="000000" w:themeColor="text1"/>
          <w:sz w:val="20"/>
          <w:szCs w:val="20"/>
        </w:rPr>
      </w:pPr>
      <w:r w:rsidRPr="00140A0A">
        <w:rPr>
          <w:rFonts w:ascii="Arial" w:hAnsi="Arial" w:cs="Arial"/>
          <w:color w:val="000000" w:themeColor="text1"/>
          <w:sz w:val="20"/>
          <w:szCs w:val="20"/>
        </w:rPr>
        <w:t xml:space="preserve">Nilanjan Ghosh, Jeff P. Sharman, Meghan Gutierrez, </w:t>
      </w:r>
      <w:proofErr w:type="spellStart"/>
      <w:r w:rsidRPr="00140A0A">
        <w:rPr>
          <w:rFonts w:ascii="Arial" w:hAnsi="Arial" w:cs="Arial"/>
          <w:color w:val="000000" w:themeColor="text1"/>
          <w:sz w:val="20"/>
          <w:szCs w:val="20"/>
        </w:rPr>
        <w:t>Wasiulla</w:t>
      </w:r>
      <w:proofErr w:type="spellEnd"/>
      <w:r w:rsidRPr="00140A0A">
        <w:rPr>
          <w:rFonts w:ascii="Arial" w:hAnsi="Arial" w:cs="Arial"/>
          <w:color w:val="000000" w:themeColor="text1"/>
          <w:sz w:val="20"/>
          <w:szCs w:val="20"/>
        </w:rPr>
        <w:t xml:space="preserve"> Khan, </w:t>
      </w:r>
      <w:proofErr w:type="spellStart"/>
      <w:r w:rsidRPr="00140A0A">
        <w:rPr>
          <w:rFonts w:ascii="Arial" w:hAnsi="Arial" w:cs="Arial"/>
          <w:color w:val="000000" w:themeColor="text1"/>
          <w:sz w:val="20"/>
          <w:szCs w:val="20"/>
        </w:rPr>
        <w:t>Zaina</w:t>
      </w:r>
      <w:proofErr w:type="spellEnd"/>
      <w:r w:rsidRPr="00140A0A">
        <w:rPr>
          <w:rFonts w:ascii="Arial" w:hAnsi="Arial" w:cs="Arial"/>
          <w:color w:val="000000" w:themeColor="text1"/>
          <w:sz w:val="20"/>
          <w:szCs w:val="20"/>
        </w:rPr>
        <w:t xml:space="preserve"> P. Qureshi, Anat Raz, Vincent Girardi, Gabriel S. </w:t>
      </w:r>
      <w:proofErr w:type="spellStart"/>
      <w:r w:rsidRPr="00140A0A">
        <w:rPr>
          <w:rFonts w:ascii="Arial" w:hAnsi="Arial" w:cs="Arial"/>
          <w:color w:val="000000" w:themeColor="text1"/>
          <w:sz w:val="20"/>
          <w:szCs w:val="20"/>
        </w:rPr>
        <w:t>Krigsfeld</w:t>
      </w:r>
      <w:proofErr w:type="spellEnd"/>
      <w:r w:rsidRPr="00140A0A">
        <w:rPr>
          <w:rFonts w:ascii="Arial" w:hAnsi="Arial" w:cs="Arial"/>
          <w:color w:val="000000" w:themeColor="text1"/>
          <w:sz w:val="20"/>
          <w:szCs w:val="20"/>
        </w:rPr>
        <w:t xml:space="preserve">, Jacqueline C. Barrientos. Real-World Treatment Patterns and Outcomes by Line of Therapy and Race in Patients With Chronic Lymphocytic Leukemia/Small Lymphocytic Lymphoma Treated in the United States: Results from the Final Analysis of the Prospective, Observational, inform CLL </w:t>
      </w:r>
      <w:proofErr w:type="spellStart"/>
      <w:proofErr w:type="gramStart"/>
      <w:r w:rsidRPr="00140A0A">
        <w:rPr>
          <w:rFonts w:ascii="Arial" w:hAnsi="Arial" w:cs="Arial"/>
          <w:color w:val="000000" w:themeColor="text1"/>
          <w:sz w:val="20"/>
          <w:szCs w:val="20"/>
        </w:rPr>
        <w:t>Registry,Clinical</w:t>
      </w:r>
      <w:proofErr w:type="spellEnd"/>
      <w:proofErr w:type="gramEnd"/>
      <w:r w:rsidRPr="00140A0A">
        <w:rPr>
          <w:rFonts w:ascii="Arial" w:hAnsi="Arial" w:cs="Arial"/>
          <w:color w:val="000000" w:themeColor="text1"/>
          <w:sz w:val="20"/>
          <w:szCs w:val="20"/>
        </w:rPr>
        <w:t xml:space="preserve"> Lymphoma Myeloma and </w:t>
      </w:r>
      <w:proofErr w:type="spellStart"/>
      <w:r w:rsidRPr="00140A0A">
        <w:rPr>
          <w:rFonts w:ascii="Arial" w:hAnsi="Arial" w:cs="Arial"/>
          <w:color w:val="000000" w:themeColor="text1"/>
          <w:sz w:val="20"/>
          <w:szCs w:val="20"/>
        </w:rPr>
        <w:t>Leukemia,Volume</w:t>
      </w:r>
      <w:proofErr w:type="spellEnd"/>
      <w:r w:rsidRPr="00140A0A">
        <w:rPr>
          <w:rFonts w:ascii="Arial" w:hAnsi="Arial" w:cs="Arial"/>
          <w:color w:val="000000" w:themeColor="text1"/>
          <w:sz w:val="20"/>
          <w:szCs w:val="20"/>
        </w:rPr>
        <w:t xml:space="preserve"> 24, Issue 9,2024,Pages e301-e313</w:t>
      </w:r>
    </w:p>
    <w:p w14:paraId="0A7014E2" w14:textId="13B29007" w:rsidR="00FF3300" w:rsidRPr="00140A0A" w:rsidRDefault="00D953A8" w:rsidP="00D9764A">
      <w:pPr>
        <w:pStyle w:val="ListParagraph"/>
        <w:numPr>
          <w:ilvl w:val="0"/>
          <w:numId w:val="11"/>
        </w:numPr>
        <w:spacing w:line="600" w:lineRule="auto"/>
        <w:jc w:val="both"/>
        <w:rPr>
          <w:rFonts w:ascii="Arial" w:hAnsi="Arial" w:cs="Arial"/>
          <w:sz w:val="20"/>
          <w:szCs w:val="20"/>
        </w:rPr>
      </w:pPr>
      <w:r w:rsidRPr="00140A0A">
        <w:rPr>
          <w:rFonts w:ascii="Arial" w:hAnsi="Arial" w:cs="Arial"/>
          <w:color w:val="1B1B1B"/>
          <w:sz w:val="20"/>
          <w:szCs w:val="20"/>
          <w:shd w:val="clear" w:color="auto" w:fill="FFFFFF"/>
        </w:rPr>
        <w:lastRenderedPageBreak/>
        <w:t xml:space="preserve">Lin KH, Huynh L, Yang X, </w:t>
      </w:r>
      <w:proofErr w:type="spellStart"/>
      <w:r w:rsidRPr="00140A0A">
        <w:rPr>
          <w:rFonts w:ascii="Arial" w:hAnsi="Arial" w:cs="Arial"/>
          <w:color w:val="1B1B1B"/>
          <w:sz w:val="20"/>
          <w:szCs w:val="20"/>
          <w:shd w:val="clear" w:color="auto" w:fill="FFFFFF"/>
        </w:rPr>
        <w:t>Zanardo</w:t>
      </w:r>
      <w:proofErr w:type="spellEnd"/>
      <w:r w:rsidRPr="00140A0A">
        <w:rPr>
          <w:rFonts w:ascii="Arial" w:hAnsi="Arial" w:cs="Arial"/>
          <w:color w:val="1B1B1B"/>
          <w:sz w:val="20"/>
          <w:szCs w:val="20"/>
          <w:shd w:val="clear" w:color="auto" w:fill="FFFFFF"/>
        </w:rPr>
        <w:t xml:space="preserve"> E, </w:t>
      </w:r>
      <w:proofErr w:type="spellStart"/>
      <w:r w:rsidRPr="00140A0A">
        <w:rPr>
          <w:rFonts w:ascii="Arial" w:hAnsi="Arial" w:cs="Arial"/>
          <w:color w:val="1B1B1B"/>
          <w:sz w:val="20"/>
          <w:szCs w:val="20"/>
          <w:shd w:val="clear" w:color="auto" w:fill="FFFFFF"/>
        </w:rPr>
        <w:t>Liborski</w:t>
      </w:r>
      <w:proofErr w:type="spellEnd"/>
      <w:r w:rsidRPr="00140A0A">
        <w:rPr>
          <w:rFonts w:ascii="Arial" w:hAnsi="Arial" w:cs="Arial"/>
          <w:color w:val="1B1B1B"/>
          <w:sz w:val="20"/>
          <w:szCs w:val="20"/>
          <w:shd w:val="clear" w:color="auto" w:fill="FFFFFF"/>
        </w:rPr>
        <w:t xml:space="preserve"> D, McDonough MM, Farooqui MZH, De Nigris E, Gandra SR, Duh MS, Brown JR, Davids MS. Clinical Outcomes in Patients </w:t>
      </w:r>
      <w:proofErr w:type="gramStart"/>
      <w:r w:rsidRPr="00140A0A">
        <w:rPr>
          <w:rFonts w:ascii="Arial" w:hAnsi="Arial" w:cs="Arial"/>
          <w:color w:val="1B1B1B"/>
          <w:sz w:val="20"/>
          <w:szCs w:val="20"/>
          <w:shd w:val="clear" w:color="auto" w:fill="FFFFFF"/>
        </w:rPr>
        <w:t>With</w:t>
      </w:r>
      <w:proofErr w:type="gramEnd"/>
      <w:r w:rsidRPr="00140A0A">
        <w:rPr>
          <w:rFonts w:ascii="Arial" w:hAnsi="Arial" w:cs="Arial"/>
          <w:color w:val="1B1B1B"/>
          <w:sz w:val="20"/>
          <w:szCs w:val="20"/>
          <w:shd w:val="clear" w:color="auto" w:fill="FFFFFF"/>
        </w:rPr>
        <w:t xml:space="preserve"> CLL Treated With BTKi at a Large US Cancer Center. Adv </w:t>
      </w:r>
      <w:proofErr w:type="spellStart"/>
      <w:r w:rsidRPr="00140A0A">
        <w:rPr>
          <w:rFonts w:ascii="Arial" w:hAnsi="Arial" w:cs="Arial"/>
          <w:color w:val="1B1B1B"/>
          <w:sz w:val="20"/>
          <w:szCs w:val="20"/>
          <w:shd w:val="clear" w:color="auto" w:fill="FFFFFF"/>
        </w:rPr>
        <w:t>Hematol</w:t>
      </w:r>
      <w:proofErr w:type="spellEnd"/>
      <w:r w:rsidRPr="00140A0A">
        <w:rPr>
          <w:rFonts w:ascii="Arial" w:hAnsi="Arial" w:cs="Arial"/>
          <w:color w:val="1B1B1B"/>
          <w:sz w:val="20"/>
          <w:szCs w:val="20"/>
          <w:shd w:val="clear" w:color="auto" w:fill="FFFFFF"/>
        </w:rPr>
        <w:t>. 2025 Nov 30;2025</w:t>
      </w:r>
    </w:p>
    <w:p w14:paraId="70F14264" w14:textId="3C6D27EE" w:rsidR="00D953A8" w:rsidRPr="00140A0A" w:rsidRDefault="00D953A8" w:rsidP="00D9764A">
      <w:pPr>
        <w:pStyle w:val="ListParagraph"/>
        <w:numPr>
          <w:ilvl w:val="0"/>
          <w:numId w:val="11"/>
        </w:numPr>
        <w:spacing w:line="600" w:lineRule="auto"/>
        <w:jc w:val="both"/>
        <w:rPr>
          <w:rFonts w:ascii="Arial" w:hAnsi="Arial" w:cs="Arial"/>
          <w:sz w:val="20"/>
          <w:szCs w:val="20"/>
        </w:rPr>
      </w:pPr>
      <w:r w:rsidRPr="00140A0A">
        <w:rPr>
          <w:rFonts w:ascii="Arial" w:hAnsi="Arial" w:cs="Arial"/>
          <w:color w:val="212121"/>
          <w:sz w:val="20"/>
          <w:szCs w:val="20"/>
          <w:shd w:val="clear" w:color="auto" w:fill="FFFFFF"/>
        </w:rPr>
        <w:t xml:space="preserve">Tadmor T, Melamed G, Alapi H, Gazit S, Patalon T, Rokach L. Improved Survival of Patients </w:t>
      </w:r>
      <w:proofErr w:type="gramStart"/>
      <w:r w:rsidRPr="00140A0A">
        <w:rPr>
          <w:rFonts w:ascii="Arial" w:hAnsi="Arial" w:cs="Arial"/>
          <w:color w:val="212121"/>
          <w:sz w:val="20"/>
          <w:szCs w:val="20"/>
          <w:shd w:val="clear" w:color="auto" w:fill="FFFFFF"/>
        </w:rPr>
        <w:t>With</w:t>
      </w:r>
      <w:proofErr w:type="gramEnd"/>
      <w:r w:rsidRPr="00140A0A">
        <w:rPr>
          <w:rFonts w:ascii="Arial" w:hAnsi="Arial" w:cs="Arial"/>
          <w:color w:val="212121"/>
          <w:sz w:val="20"/>
          <w:szCs w:val="20"/>
          <w:shd w:val="clear" w:color="auto" w:fill="FFFFFF"/>
        </w:rPr>
        <w:t xml:space="preserve"> Chronic Lymphocytic Leukemia Between 1998-2022, Including the Era of Target Therapies With BCL2 and BTK Inhibitors. Anticancer Res. 2024 May;44(5):2109-2115</w:t>
      </w:r>
    </w:p>
    <w:p w14:paraId="6C22F105" w14:textId="77777777" w:rsidR="00D953A8" w:rsidRPr="002D6FA2" w:rsidRDefault="00D953A8" w:rsidP="004B0D4C">
      <w:pPr>
        <w:pStyle w:val="ListParagraph"/>
        <w:rPr>
          <w:rFonts w:ascii="Arial" w:hAnsi="Arial" w:cs="Arial"/>
          <w:sz w:val="20"/>
          <w:szCs w:val="20"/>
        </w:rPr>
      </w:pPr>
    </w:p>
    <w:sectPr w:rsidR="00D953A8" w:rsidRPr="002D6FA2" w:rsidSect="00034616">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EE108" w14:textId="77777777" w:rsidR="00C12EE2" w:rsidRDefault="00C12EE2" w:rsidP="00C75372">
      <w:pPr>
        <w:spacing w:after="0" w:line="240" w:lineRule="auto"/>
      </w:pPr>
      <w:r>
        <w:separator/>
      </w:r>
    </w:p>
  </w:endnote>
  <w:endnote w:type="continuationSeparator" w:id="0">
    <w:p w14:paraId="6FBDA7C6" w14:textId="77777777" w:rsidR="00C12EE2" w:rsidRDefault="00C12EE2" w:rsidP="00C75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3CEB" w14:textId="77777777" w:rsidR="00D50DCE" w:rsidRDefault="00D50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468684"/>
      <w:docPartObj>
        <w:docPartGallery w:val="Page Numbers (Bottom of Page)"/>
        <w:docPartUnique/>
      </w:docPartObj>
    </w:sdtPr>
    <w:sdtEndPr>
      <w:rPr>
        <w:noProof/>
      </w:rPr>
    </w:sdtEndPr>
    <w:sdtContent>
      <w:p w14:paraId="6D7DA7B4" w14:textId="37FECB5D" w:rsidR="00C75372" w:rsidRDefault="00C753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91880A" w14:textId="77777777" w:rsidR="00C75372" w:rsidRDefault="00C75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D8DA4" w14:textId="77777777" w:rsidR="00D50DCE" w:rsidRDefault="00D50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C15FF" w14:textId="77777777" w:rsidR="00C12EE2" w:rsidRDefault="00C12EE2" w:rsidP="00C75372">
      <w:pPr>
        <w:spacing w:after="0" w:line="240" w:lineRule="auto"/>
      </w:pPr>
      <w:r>
        <w:separator/>
      </w:r>
    </w:p>
  </w:footnote>
  <w:footnote w:type="continuationSeparator" w:id="0">
    <w:p w14:paraId="6D7CA848" w14:textId="77777777" w:rsidR="00C12EE2" w:rsidRDefault="00C12EE2" w:rsidP="00C75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DA8FE" w14:textId="33916A48" w:rsidR="00D50DCE" w:rsidRDefault="00C12EE2">
    <w:pPr>
      <w:pStyle w:val="Header"/>
    </w:pPr>
    <w:r>
      <w:rPr>
        <w:noProof/>
      </w:rPr>
      <w:pict w14:anchorId="09163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34954" o:spid="_x0000_s2050" type="#_x0000_t136" style="position:absolute;margin-left:0;margin-top:0;width:612.05pt;height:6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5A96B" w14:textId="5694A0FD" w:rsidR="00D50DCE" w:rsidRDefault="00C12EE2">
    <w:pPr>
      <w:pStyle w:val="Header"/>
    </w:pPr>
    <w:r>
      <w:rPr>
        <w:noProof/>
      </w:rPr>
      <w:pict w14:anchorId="4EDED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34955" o:spid="_x0000_s2051" type="#_x0000_t136" style="position:absolute;margin-left:0;margin-top:0;width:612.05pt;height:6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48932" w14:textId="51668FEA" w:rsidR="00D50DCE" w:rsidRDefault="00C12EE2">
    <w:pPr>
      <w:pStyle w:val="Header"/>
    </w:pPr>
    <w:r>
      <w:rPr>
        <w:noProof/>
      </w:rPr>
      <w:pict w14:anchorId="32646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34953" o:spid="_x0000_s2049" type="#_x0000_t136" style="position:absolute;margin-left:0;margin-top:0;width:612.05pt;height:6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050249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B3B3F07"/>
    <w:multiLevelType w:val="hybridMultilevel"/>
    <w:tmpl w:val="161A42D2"/>
    <w:lvl w:ilvl="0" w:tplc="217CD44C">
      <w:start w:val="1"/>
      <w:numFmt w:val="decimal"/>
      <w:lvlText w:val="%1."/>
      <w:lvlJc w:val="left"/>
      <w:pPr>
        <w:ind w:left="720" w:hanging="360"/>
      </w:pPr>
      <w:rPr>
        <w:rFonts w:ascii="Segoe UI" w:hAnsi="Segoe UI" w:cs="Segoe UI"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D86"/>
    <w:rsid w:val="00034616"/>
    <w:rsid w:val="000418EC"/>
    <w:rsid w:val="0006063C"/>
    <w:rsid w:val="000A7C4A"/>
    <w:rsid w:val="000B3E1C"/>
    <w:rsid w:val="000C0C39"/>
    <w:rsid w:val="000E004C"/>
    <w:rsid w:val="000F2F43"/>
    <w:rsid w:val="000F58E6"/>
    <w:rsid w:val="0010174E"/>
    <w:rsid w:val="0010755B"/>
    <w:rsid w:val="0013695D"/>
    <w:rsid w:val="00137877"/>
    <w:rsid w:val="00140A0A"/>
    <w:rsid w:val="0015074B"/>
    <w:rsid w:val="00152438"/>
    <w:rsid w:val="0016633B"/>
    <w:rsid w:val="0019721F"/>
    <w:rsid w:val="001A3C30"/>
    <w:rsid w:val="001A79E5"/>
    <w:rsid w:val="001B2C46"/>
    <w:rsid w:val="001C6D44"/>
    <w:rsid w:val="001F04E7"/>
    <w:rsid w:val="00225F7C"/>
    <w:rsid w:val="00231C54"/>
    <w:rsid w:val="00234227"/>
    <w:rsid w:val="00241B27"/>
    <w:rsid w:val="00271747"/>
    <w:rsid w:val="00286EA3"/>
    <w:rsid w:val="00296388"/>
    <w:rsid w:val="0029639D"/>
    <w:rsid w:val="00296EBB"/>
    <w:rsid w:val="002A1BB8"/>
    <w:rsid w:val="002A1CE8"/>
    <w:rsid w:val="002B0941"/>
    <w:rsid w:val="002B0EBB"/>
    <w:rsid w:val="002B3A92"/>
    <w:rsid w:val="002B54E7"/>
    <w:rsid w:val="002C1C38"/>
    <w:rsid w:val="002C505C"/>
    <w:rsid w:val="002D5647"/>
    <w:rsid w:val="002D6FA2"/>
    <w:rsid w:val="002E77B1"/>
    <w:rsid w:val="00326F90"/>
    <w:rsid w:val="00366663"/>
    <w:rsid w:val="00372CB5"/>
    <w:rsid w:val="003763D6"/>
    <w:rsid w:val="003A2916"/>
    <w:rsid w:val="003A690F"/>
    <w:rsid w:val="003A712E"/>
    <w:rsid w:val="003D1C91"/>
    <w:rsid w:val="003D73A1"/>
    <w:rsid w:val="003F56F9"/>
    <w:rsid w:val="00401FE3"/>
    <w:rsid w:val="00404C1C"/>
    <w:rsid w:val="004152BA"/>
    <w:rsid w:val="00425A15"/>
    <w:rsid w:val="00433FA5"/>
    <w:rsid w:val="00437B63"/>
    <w:rsid w:val="00455B5E"/>
    <w:rsid w:val="004567D7"/>
    <w:rsid w:val="00470227"/>
    <w:rsid w:val="004856C8"/>
    <w:rsid w:val="00487A62"/>
    <w:rsid w:val="004B0D4C"/>
    <w:rsid w:val="004B5E9C"/>
    <w:rsid w:val="004D2572"/>
    <w:rsid w:val="004D3357"/>
    <w:rsid w:val="004D549C"/>
    <w:rsid w:val="004D58B9"/>
    <w:rsid w:val="005002CF"/>
    <w:rsid w:val="005038E9"/>
    <w:rsid w:val="00506D8E"/>
    <w:rsid w:val="00513A69"/>
    <w:rsid w:val="005178DE"/>
    <w:rsid w:val="00530A1B"/>
    <w:rsid w:val="00545373"/>
    <w:rsid w:val="005471C6"/>
    <w:rsid w:val="005520A8"/>
    <w:rsid w:val="005D35E0"/>
    <w:rsid w:val="005E1B42"/>
    <w:rsid w:val="005F36F7"/>
    <w:rsid w:val="005F724E"/>
    <w:rsid w:val="00602664"/>
    <w:rsid w:val="00613BA9"/>
    <w:rsid w:val="00621973"/>
    <w:rsid w:val="00633CAB"/>
    <w:rsid w:val="006602A1"/>
    <w:rsid w:val="00664BFC"/>
    <w:rsid w:val="006848F6"/>
    <w:rsid w:val="006A1BBA"/>
    <w:rsid w:val="006A70A8"/>
    <w:rsid w:val="006B0266"/>
    <w:rsid w:val="006B543D"/>
    <w:rsid w:val="00715092"/>
    <w:rsid w:val="007159F6"/>
    <w:rsid w:val="007170BA"/>
    <w:rsid w:val="007338F3"/>
    <w:rsid w:val="00734EF1"/>
    <w:rsid w:val="00736941"/>
    <w:rsid w:val="00741EEC"/>
    <w:rsid w:val="007841F9"/>
    <w:rsid w:val="00791C43"/>
    <w:rsid w:val="007B3D6A"/>
    <w:rsid w:val="007B4321"/>
    <w:rsid w:val="007D16FC"/>
    <w:rsid w:val="007D193E"/>
    <w:rsid w:val="007D72FC"/>
    <w:rsid w:val="007E3934"/>
    <w:rsid w:val="007E4A0A"/>
    <w:rsid w:val="00810D2B"/>
    <w:rsid w:val="00821C70"/>
    <w:rsid w:val="00827058"/>
    <w:rsid w:val="008310D9"/>
    <w:rsid w:val="00853C81"/>
    <w:rsid w:val="00875F4B"/>
    <w:rsid w:val="00876D7B"/>
    <w:rsid w:val="008808B8"/>
    <w:rsid w:val="00897284"/>
    <w:rsid w:val="008A36B2"/>
    <w:rsid w:val="008B2292"/>
    <w:rsid w:val="008D303C"/>
    <w:rsid w:val="008D3B43"/>
    <w:rsid w:val="009015F0"/>
    <w:rsid w:val="00907FCA"/>
    <w:rsid w:val="00912B8C"/>
    <w:rsid w:val="00932E5B"/>
    <w:rsid w:val="00942887"/>
    <w:rsid w:val="009442C4"/>
    <w:rsid w:val="00950544"/>
    <w:rsid w:val="00963C7F"/>
    <w:rsid w:val="00963D42"/>
    <w:rsid w:val="0096501C"/>
    <w:rsid w:val="00986D06"/>
    <w:rsid w:val="00995887"/>
    <w:rsid w:val="0099642A"/>
    <w:rsid w:val="009A44D0"/>
    <w:rsid w:val="009B5E38"/>
    <w:rsid w:val="009C4ADC"/>
    <w:rsid w:val="009D08BE"/>
    <w:rsid w:val="009D13E0"/>
    <w:rsid w:val="009E2B5B"/>
    <w:rsid w:val="009E5179"/>
    <w:rsid w:val="009F4168"/>
    <w:rsid w:val="009F6C08"/>
    <w:rsid w:val="00A01851"/>
    <w:rsid w:val="00A061D6"/>
    <w:rsid w:val="00A327BD"/>
    <w:rsid w:val="00A4448B"/>
    <w:rsid w:val="00A661A5"/>
    <w:rsid w:val="00A75034"/>
    <w:rsid w:val="00A769EC"/>
    <w:rsid w:val="00A9478D"/>
    <w:rsid w:val="00AA1D8D"/>
    <w:rsid w:val="00AB2BE5"/>
    <w:rsid w:val="00AF3099"/>
    <w:rsid w:val="00B0385D"/>
    <w:rsid w:val="00B116EA"/>
    <w:rsid w:val="00B36E12"/>
    <w:rsid w:val="00B47730"/>
    <w:rsid w:val="00B8742B"/>
    <w:rsid w:val="00B91732"/>
    <w:rsid w:val="00B9213B"/>
    <w:rsid w:val="00BA1784"/>
    <w:rsid w:val="00BA7B44"/>
    <w:rsid w:val="00BC3933"/>
    <w:rsid w:val="00BD30B0"/>
    <w:rsid w:val="00BE0F4D"/>
    <w:rsid w:val="00BE3B19"/>
    <w:rsid w:val="00BF2F71"/>
    <w:rsid w:val="00C11F20"/>
    <w:rsid w:val="00C12EE2"/>
    <w:rsid w:val="00C31103"/>
    <w:rsid w:val="00C32F8B"/>
    <w:rsid w:val="00C35299"/>
    <w:rsid w:val="00C452EC"/>
    <w:rsid w:val="00C46725"/>
    <w:rsid w:val="00C5339C"/>
    <w:rsid w:val="00C653E7"/>
    <w:rsid w:val="00C6591C"/>
    <w:rsid w:val="00C75372"/>
    <w:rsid w:val="00C864E3"/>
    <w:rsid w:val="00C93858"/>
    <w:rsid w:val="00CB0664"/>
    <w:rsid w:val="00CB2E4A"/>
    <w:rsid w:val="00CC312B"/>
    <w:rsid w:val="00CD065B"/>
    <w:rsid w:val="00CF5300"/>
    <w:rsid w:val="00D12868"/>
    <w:rsid w:val="00D2629F"/>
    <w:rsid w:val="00D3108C"/>
    <w:rsid w:val="00D357F1"/>
    <w:rsid w:val="00D50DCE"/>
    <w:rsid w:val="00D74252"/>
    <w:rsid w:val="00D75CA6"/>
    <w:rsid w:val="00D80D79"/>
    <w:rsid w:val="00D83990"/>
    <w:rsid w:val="00D95182"/>
    <w:rsid w:val="00D953A8"/>
    <w:rsid w:val="00D9764A"/>
    <w:rsid w:val="00DD4458"/>
    <w:rsid w:val="00E012B8"/>
    <w:rsid w:val="00E07884"/>
    <w:rsid w:val="00E11128"/>
    <w:rsid w:val="00E13596"/>
    <w:rsid w:val="00E25609"/>
    <w:rsid w:val="00E414D2"/>
    <w:rsid w:val="00E43E15"/>
    <w:rsid w:val="00E763AA"/>
    <w:rsid w:val="00E82CB6"/>
    <w:rsid w:val="00EA398B"/>
    <w:rsid w:val="00EA70C9"/>
    <w:rsid w:val="00EF6782"/>
    <w:rsid w:val="00F146C0"/>
    <w:rsid w:val="00F302A3"/>
    <w:rsid w:val="00F522EA"/>
    <w:rsid w:val="00F5254A"/>
    <w:rsid w:val="00F54FF7"/>
    <w:rsid w:val="00F633A3"/>
    <w:rsid w:val="00F70291"/>
    <w:rsid w:val="00F9124B"/>
    <w:rsid w:val="00F92A54"/>
    <w:rsid w:val="00FB4156"/>
    <w:rsid w:val="00FC693F"/>
    <w:rsid w:val="00FD2AE8"/>
    <w:rsid w:val="00FF3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DBCDE9E"/>
  <w14:defaultImageDpi w14:val="300"/>
  <w15:docId w15:val="{8EEDB91B-E0B5-48DD-A1BA-1640E674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dnoteText">
    <w:name w:val="endnote text"/>
    <w:basedOn w:val="Normal"/>
    <w:link w:val="EndnoteTextChar"/>
    <w:uiPriority w:val="99"/>
    <w:unhideWhenUsed/>
    <w:rsid w:val="007D193E"/>
    <w:pPr>
      <w:spacing w:after="0" w:line="240" w:lineRule="auto"/>
    </w:pPr>
    <w:rPr>
      <w:sz w:val="20"/>
      <w:szCs w:val="20"/>
    </w:rPr>
  </w:style>
  <w:style w:type="character" w:customStyle="1" w:styleId="EndnoteTextChar">
    <w:name w:val="Endnote Text Char"/>
    <w:basedOn w:val="DefaultParagraphFont"/>
    <w:link w:val="EndnoteText"/>
    <w:uiPriority w:val="99"/>
    <w:rsid w:val="007D193E"/>
    <w:rPr>
      <w:rFonts w:ascii="Times New Roman" w:eastAsia="Times New Roman" w:hAnsi="Times New Roman"/>
      <w:sz w:val="20"/>
      <w:szCs w:val="20"/>
    </w:rPr>
  </w:style>
  <w:style w:type="character" w:styleId="EndnoteReference">
    <w:name w:val="endnote reference"/>
    <w:basedOn w:val="DefaultParagraphFont"/>
    <w:uiPriority w:val="99"/>
    <w:semiHidden/>
    <w:unhideWhenUsed/>
    <w:rsid w:val="007D193E"/>
    <w:rPr>
      <w:vertAlign w:val="superscript"/>
    </w:rPr>
  </w:style>
  <w:style w:type="character" w:styleId="Hyperlink">
    <w:name w:val="Hyperlink"/>
    <w:basedOn w:val="DefaultParagraphFont"/>
    <w:uiPriority w:val="99"/>
    <w:unhideWhenUsed/>
    <w:rsid w:val="00B9213B"/>
    <w:rPr>
      <w:color w:val="0000FF" w:themeColor="hyperlink"/>
      <w:u w:val="single"/>
    </w:rPr>
  </w:style>
  <w:style w:type="character" w:styleId="UnresolvedMention">
    <w:name w:val="Unresolved Mention"/>
    <w:basedOn w:val="DefaultParagraphFont"/>
    <w:uiPriority w:val="99"/>
    <w:semiHidden/>
    <w:unhideWhenUsed/>
    <w:rsid w:val="00B9213B"/>
    <w:rPr>
      <w:color w:val="605E5C"/>
      <w:shd w:val="clear" w:color="auto" w:fill="E1DFDD"/>
    </w:rPr>
  </w:style>
  <w:style w:type="table" w:styleId="PlainTable5">
    <w:name w:val="Plain Table 5"/>
    <w:basedOn w:val="TableNormal"/>
    <w:uiPriority w:val="99"/>
    <w:rsid w:val="00810D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javascrip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https://doi.org/10.1038/s41408-022-00756-9"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javascript:;"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Percentage (%)</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tx>
                <c:rich>
                  <a:bodyPr/>
                  <a:lstStyle/>
                  <a:p>
                    <a:fld id="{BC3A8FD7-FC0C-4658-8253-4C3728C00D1E}" type="VALUE">
                      <a:rPr lang="en-US">
                        <a:solidFill>
                          <a:schemeClr val="tx1"/>
                        </a:solidFill>
                      </a:rPr>
                      <a:pPr/>
                      <a:t>[VALUE]</a:t>
                    </a:fld>
                    <a:endParaRPr lang="en-IN"/>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53F-4551-93D0-74BCEB054AA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Sheet2!$A$2:$A$7</c:f>
              <c:strCache>
                <c:ptCount val="5"/>
                <c:pt idx="0">
                  <c:v>Stage 0</c:v>
                </c:pt>
                <c:pt idx="1">
                  <c:v>Stage I</c:v>
                </c:pt>
                <c:pt idx="2">
                  <c:v>Stage II</c:v>
                </c:pt>
                <c:pt idx="3">
                  <c:v>Stage III</c:v>
                </c:pt>
                <c:pt idx="4">
                  <c:v>Stage IV</c:v>
                </c:pt>
              </c:strCache>
            </c:strRef>
          </c:cat>
          <c:val>
            <c:numRef>
              <c:f>Sheet2!$B$2:$B$7</c:f>
              <c:numCache>
                <c:formatCode>General</c:formatCode>
                <c:ptCount val="6"/>
                <c:pt idx="0">
                  <c:v>2.2000000000000002</c:v>
                </c:pt>
                <c:pt idx="1">
                  <c:v>8.6999999999999993</c:v>
                </c:pt>
                <c:pt idx="2">
                  <c:v>10.9</c:v>
                </c:pt>
                <c:pt idx="3">
                  <c:v>52.2</c:v>
                </c:pt>
                <c:pt idx="4">
                  <c:v>23.9</c:v>
                </c:pt>
              </c:numCache>
            </c:numRef>
          </c:val>
          <c:extLst>
            <c:ext xmlns:c16="http://schemas.microsoft.com/office/drawing/2014/chart" uri="{C3380CC4-5D6E-409C-BE32-E72D297353CC}">
              <c16:uniqueId val="{00000001-E53F-4551-93D0-74BCEB054AA1}"/>
            </c:ext>
          </c:extLst>
        </c:ser>
        <c:dLbls>
          <c:dLblPos val="inEnd"/>
          <c:showLegendKey val="0"/>
          <c:showVal val="1"/>
          <c:showCatName val="0"/>
          <c:showSerName val="0"/>
          <c:showPercent val="0"/>
          <c:showBubbleSize val="0"/>
        </c:dLbls>
        <c:gapWidth val="41"/>
        <c:axId val="1320060431"/>
        <c:axId val="1320051791"/>
      </c:barChart>
      <c:catAx>
        <c:axId val="132006043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Rai Stage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320051791"/>
        <c:crosses val="autoZero"/>
        <c:auto val="1"/>
        <c:lblAlgn val="ctr"/>
        <c:lblOffset val="100"/>
        <c:noMultiLvlLbl val="0"/>
      </c:catAx>
      <c:valAx>
        <c:axId val="1320051791"/>
        <c:scaling>
          <c:orientation val="minMax"/>
        </c:scaling>
        <c:delete val="1"/>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sz="1200"/>
                  <a:t>Percentage</a:t>
                </a:r>
                <a:r>
                  <a:rPr lang="en-US" sz="1200" baseline="0"/>
                  <a:t>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320060431"/>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Sheet4!$B$1</c:f>
              <c:strCache>
                <c:ptCount val="1"/>
                <c:pt idx="0">
                  <c:v>Available (%)</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2C5-476F-8C5B-BFB9954AAF13}"/>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2C5-476F-8C5B-BFB9954AAF13}"/>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2C5-476F-8C5B-BFB9954AAF13}"/>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2C5-476F-8C5B-BFB9954AAF1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Sheet4!$A$2:$A$5</c:f>
              <c:strCache>
                <c:ptCount val="4"/>
                <c:pt idx="0">
                  <c:v>CD20</c:v>
                </c:pt>
                <c:pt idx="1">
                  <c:v>CD3</c:v>
                </c:pt>
                <c:pt idx="2">
                  <c:v>CD5</c:v>
                </c:pt>
                <c:pt idx="3">
                  <c:v>CD45</c:v>
                </c:pt>
              </c:strCache>
            </c:strRef>
          </c:cat>
          <c:val>
            <c:numRef>
              <c:f>Sheet4!$B$2:$B$5</c:f>
              <c:numCache>
                <c:formatCode>General</c:formatCode>
                <c:ptCount val="4"/>
                <c:pt idx="0">
                  <c:v>17.399999999999999</c:v>
                </c:pt>
                <c:pt idx="1">
                  <c:v>6.5</c:v>
                </c:pt>
                <c:pt idx="2">
                  <c:v>2.2000000000000002</c:v>
                </c:pt>
                <c:pt idx="3">
                  <c:v>2.2000000000000002</c:v>
                </c:pt>
              </c:numCache>
            </c:numRef>
          </c:val>
          <c:extLst>
            <c:ext xmlns:c16="http://schemas.microsoft.com/office/drawing/2014/chart" uri="{C3380CC4-5D6E-409C-BE32-E72D297353CC}">
              <c16:uniqueId val="{00000008-92C5-476F-8C5B-BFB9954AAF1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Sheet5!$B$1</c:f>
              <c:strCache>
                <c:ptCount val="1"/>
                <c:pt idx="0">
                  <c:v>Percentage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Sheet5!$A$2:$A$11</c:f>
              <c:strCache>
                <c:ptCount val="10"/>
                <c:pt idx="0">
                  <c:v>CP</c:v>
                </c:pt>
                <c:pt idx="1">
                  <c:v>Not treated</c:v>
                </c:pt>
                <c:pt idx="2">
                  <c:v>CyP</c:v>
                </c:pt>
                <c:pt idx="3">
                  <c:v>COP</c:v>
                </c:pt>
                <c:pt idx="4">
                  <c:v>CHOP</c:v>
                </c:pt>
                <c:pt idx="5">
                  <c:v>R-Ibrutinib</c:v>
                </c:pt>
                <c:pt idx="6">
                  <c:v>R-CHOP</c:v>
                </c:pt>
                <c:pt idx="7">
                  <c:v>VP</c:v>
                </c:pt>
                <c:pt idx="8">
                  <c:v>R-COP</c:v>
                </c:pt>
                <c:pt idx="9">
                  <c:v>Ibrutinib–Venetoclax</c:v>
                </c:pt>
              </c:strCache>
            </c:strRef>
          </c:cat>
          <c:val>
            <c:numRef>
              <c:f>Sheet5!$B$2:$B$11</c:f>
              <c:numCache>
                <c:formatCode>General</c:formatCode>
                <c:ptCount val="10"/>
                <c:pt idx="0">
                  <c:v>28.3</c:v>
                </c:pt>
                <c:pt idx="1">
                  <c:v>17.399999999999999</c:v>
                </c:pt>
                <c:pt idx="2">
                  <c:v>15.2</c:v>
                </c:pt>
                <c:pt idx="3">
                  <c:v>10.9</c:v>
                </c:pt>
                <c:pt idx="4">
                  <c:v>8.6999999999999993</c:v>
                </c:pt>
                <c:pt idx="5">
                  <c:v>6.5</c:v>
                </c:pt>
                <c:pt idx="6">
                  <c:v>4.3</c:v>
                </c:pt>
                <c:pt idx="7">
                  <c:v>4.3</c:v>
                </c:pt>
                <c:pt idx="8">
                  <c:v>2.2000000000000002</c:v>
                </c:pt>
                <c:pt idx="9">
                  <c:v>2.2000000000000002</c:v>
                </c:pt>
              </c:numCache>
            </c:numRef>
          </c:val>
          <c:extLst>
            <c:ext xmlns:c16="http://schemas.microsoft.com/office/drawing/2014/chart" uri="{C3380CC4-5D6E-409C-BE32-E72D297353CC}">
              <c16:uniqueId val="{00000000-9B50-403C-9BC5-A84DC09765EF}"/>
            </c:ext>
          </c:extLst>
        </c:ser>
        <c:dLbls>
          <c:showLegendKey val="0"/>
          <c:showVal val="0"/>
          <c:showCatName val="0"/>
          <c:showSerName val="0"/>
          <c:showPercent val="0"/>
          <c:showBubbleSize val="0"/>
        </c:dLbls>
        <c:gapWidth val="115"/>
        <c:overlap val="-20"/>
        <c:axId val="1528179087"/>
        <c:axId val="1528174767"/>
      </c:barChart>
      <c:catAx>
        <c:axId val="1528179087"/>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b="1"/>
                  <a:t>Treatment Regimens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8174767"/>
        <c:crosses val="autoZero"/>
        <c:auto val="1"/>
        <c:lblAlgn val="ctr"/>
        <c:lblOffset val="100"/>
        <c:noMultiLvlLbl val="0"/>
      </c:catAx>
      <c:valAx>
        <c:axId val="152817476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b="1"/>
                  <a:t>Percentage of CLL</a:t>
                </a:r>
                <a:r>
                  <a:rPr lang="en-US" sz="1200" b="1" baseline="0"/>
                  <a:t> Patients</a:t>
                </a:r>
                <a:r>
                  <a:rPr lang="en-US" sz="1200" b="1"/>
                  <a:t> (%)</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81790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Sheet6!$B$1</c:f>
              <c:strCache>
                <c:ptCount val="1"/>
                <c:pt idx="0">
                  <c:v>Percentage of CLL Patients (%)</c:v>
                </c:pt>
              </c:strCache>
            </c:strRef>
          </c:tx>
          <c:spPr>
            <a:solidFill>
              <a:schemeClr val="accent1"/>
            </a:solidFill>
            <a:ln>
              <a:noFill/>
            </a:ln>
            <a:effectLst/>
          </c:spPr>
          <c:invertIfNegative val="0"/>
          <c:cat>
            <c:strRef>
              <c:f>Sheet6!$A$2:$A$4</c:f>
              <c:strCache>
                <c:ptCount val="3"/>
                <c:pt idx="0">
                  <c:v>Alive</c:v>
                </c:pt>
                <c:pt idx="1">
                  <c:v>Dead</c:v>
                </c:pt>
                <c:pt idx="2">
                  <c:v>Lost to follow-up</c:v>
                </c:pt>
              </c:strCache>
            </c:strRef>
          </c:cat>
          <c:val>
            <c:numRef>
              <c:f>Sheet6!$B$2:$B$4</c:f>
              <c:numCache>
                <c:formatCode>General</c:formatCode>
                <c:ptCount val="3"/>
                <c:pt idx="0">
                  <c:v>6.5</c:v>
                </c:pt>
                <c:pt idx="1">
                  <c:v>47.8</c:v>
                </c:pt>
                <c:pt idx="2">
                  <c:v>43.5</c:v>
                </c:pt>
              </c:numCache>
            </c:numRef>
          </c:val>
          <c:extLst>
            <c:ext xmlns:c16="http://schemas.microsoft.com/office/drawing/2014/chart" uri="{C3380CC4-5D6E-409C-BE32-E72D297353CC}">
              <c16:uniqueId val="{00000000-7575-47B2-9B3A-9DCEA2356C69}"/>
            </c:ext>
          </c:extLst>
        </c:ser>
        <c:dLbls>
          <c:showLegendKey val="0"/>
          <c:showVal val="0"/>
          <c:showCatName val="0"/>
          <c:showSerName val="0"/>
          <c:showPercent val="0"/>
          <c:showBubbleSize val="0"/>
        </c:dLbls>
        <c:gapWidth val="219"/>
        <c:overlap val="-27"/>
        <c:axId val="1528120047"/>
        <c:axId val="1528130607"/>
      </c:barChart>
      <c:catAx>
        <c:axId val="15281200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Outcome at last contact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8130607"/>
        <c:crosses val="autoZero"/>
        <c:auto val="1"/>
        <c:lblAlgn val="ctr"/>
        <c:lblOffset val="100"/>
        <c:noMultiLvlLbl val="0"/>
      </c:catAx>
      <c:valAx>
        <c:axId val="15281306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Percentage</a:t>
                </a:r>
                <a:r>
                  <a:rPr lang="en-US" sz="1200" b="1" baseline="0"/>
                  <a:t> of CLL Patients (%)</a:t>
                </a:r>
                <a:endParaRPr lang="en-US" sz="1200"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81200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1C354-C388-458A-BE50-230611E4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4396</Words>
  <Characters>25061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1089</cp:lastModifiedBy>
  <cp:revision>3</cp:revision>
  <dcterms:created xsi:type="dcterms:W3CDTF">2026-04-20T22:01:00Z</dcterms:created>
  <dcterms:modified xsi:type="dcterms:W3CDTF">2026-04-24T09:46:00Z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0787e036-c678-4752-a5b7-3e7cf1592e66</vt:lpwstr>
  </property>
</Properties>
</file>