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B71FC" w14:textId="5C90A36B" w:rsidR="00A139C6" w:rsidRDefault="00A139C6">
      <w:pPr>
        <w:pStyle w:val="Heading1"/>
        <w:spacing w:before="73" w:line="360" w:lineRule="auto"/>
        <w:ind w:right="713"/>
      </w:pPr>
    </w:p>
    <w:p w14:paraId="33DA15AA" w14:textId="5888EFFF" w:rsidR="00A139C6" w:rsidRDefault="00C1295E">
      <w:pPr>
        <w:pStyle w:val="Heading1"/>
        <w:spacing w:before="73" w:line="360" w:lineRule="auto"/>
        <w:ind w:right="713"/>
      </w:pPr>
      <w:r w:rsidRPr="00C1295E">
        <w:t xml:space="preserve">Prevalence </w:t>
      </w:r>
      <w:r w:rsidR="00A139C6" w:rsidRPr="00A139C6">
        <w:rPr>
          <w:highlight w:val="yellow"/>
        </w:rPr>
        <w:t>of Cervical Cancer Among Women Aged 20–60 Years in Assam Using Liquid-Based Cytology</w:t>
      </w:r>
    </w:p>
    <w:p w14:paraId="4E9CAF6F" w14:textId="77777777" w:rsidR="00E60B82" w:rsidRDefault="00E60B82">
      <w:pPr>
        <w:pStyle w:val="Heading1"/>
        <w:spacing w:before="73" w:line="360" w:lineRule="auto"/>
        <w:ind w:right="713"/>
      </w:pPr>
    </w:p>
    <w:p w14:paraId="24A98C1C" w14:textId="77777777" w:rsidR="00E60B82" w:rsidRDefault="00E60B82">
      <w:pPr>
        <w:pStyle w:val="BodyText"/>
        <w:spacing w:before="4"/>
        <w:rPr>
          <w:sz w:val="20"/>
        </w:rPr>
      </w:pPr>
    </w:p>
    <w:p w14:paraId="6D3E8C8B" w14:textId="77777777" w:rsidR="00E60B82" w:rsidRDefault="00DA2B74">
      <w:pPr>
        <w:spacing w:line="360" w:lineRule="auto"/>
        <w:ind w:left="567" w:right="567"/>
        <w:jc w:val="both"/>
        <w:outlineLvl w:val="2"/>
        <w:rPr>
          <w:rFonts w:eastAsia="Calibri"/>
          <w:b/>
          <w:bCs/>
          <w:sz w:val="24"/>
          <w:szCs w:val="24"/>
        </w:rPr>
      </w:pPr>
      <w:r>
        <w:rPr>
          <w:rFonts w:eastAsia="Calibri"/>
          <w:b/>
          <w:bCs/>
          <w:spacing w:val="-2"/>
          <w:sz w:val="24"/>
          <w:szCs w:val="24"/>
        </w:rPr>
        <w:t>ABSTRACT</w:t>
      </w:r>
    </w:p>
    <w:p w14:paraId="6CA7DC50" w14:textId="7DD496CE" w:rsidR="00E60B82" w:rsidRDefault="00DA2B74">
      <w:pPr>
        <w:pStyle w:val="BodyText"/>
        <w:spacing w:line="360" w:lineRule="auto"/>
        <w:ind w:left="567" w:right="567"/>
        <w:jc w:val="both"/>
      </w:pPr>
      <w:r>
        <w:t xml:space="preserve">Cervical cancer is the leading cause of cancer death and the third most common cancer in women worldwide, the second most common cancer in India. Around 90% of cases of cervical cancer are found in low- and middle-income nations, and deaths from cervical cancer in high-income nations have more than halved. </w:t>
      </w:r>
      <w:r>
        <w:rPr>
          <w:b/>
        </w:rPr>
        <w:t xml:space="preserve">Objective: </w:t>
      </w:r>
      <w:r>
        <w:t xml:space="preserve">Prevalence of cervical cancer in women aged 20-60 years in Assam using Liquid Based Cytology (LBC) as a diagnostic tool. </w:t>
      </w:r>
      <w:r>
        <w:rPr>
          <w:b/>
        </w:rPr>
        <w:t xml:space="preserve">Methodology: </w:t>
      </w:r>
      <w:r>
        <w:t xml:space="preserve">This study was carried out in the Department of Pathology, </w:t>
      </w:r>
      <w:proofErr w:type="spellStart"/>
      <w:r>
        <w:t>Pratiksha</w:t>
      </w:r>
      <w:proofErr w:type="spellEnd"/>
      <w:r>
        <w:t xml:space="preserve"> Hospital, </w:t>
      </w:r>
      <w:proofErr w:type="spellStart"/>
      <w:proofErr w:type="gramStart"/>
      <w:r>
        <w:t>Guwahati,Assam</w:t>
      </w:r>
      <w:proofErr w:type="spellEnd"/>
      <w:proofErr w:type="gramEnd"/>
      <w:r>
        <w:t xml:space="preserve">, India, from 01.04.2023 to 15.09.2023. Around 150 pap smears were taken from women between the ages of 20 and 60 years using the Liquid Based Method (LBC). </w:t>
      </w:r>
      <w:r>
        <w:rPr>
          <w:b/>
        </w:rPr>
        <w:t xml:space="preserve">Results: </w:t>
      </w:r>
      <w:r>
        <w:t xml:space="preserve">All samples (n=150) received in the pathology department were processed for cytological investigation through LBC. It was observed that 62 patients had normal smear or NILM. 66 had inflammatory smears. 11 had ASCUS. 6 had LSIL. 4 had HSIL. 1 SCC was diagnosed. </w:t>
      </w:r>
      <w:r>
        <w:rPr>
          <w:b/>
        </w:rPr>
        <w:t xml:space="preserve">Conclusion: </w:t>
      </w:r>
      <w:r>
        <w:t xml:space="preserve">Pap smear testing is a very useful, simple, and safe tool for detecting precancerous cervical epithelial lesions. LBC can be a better alternative to conventional smear because of a lower rate of unsatisfactory smears. Every woman above the age of 30 years should undergo routine cervical cancer screening. </w:t>
      </w:r>
    </w:p>
    <w:p w14:paraId="0F996AFE" w14:textId="77700D13" w:rsidR="00E60B82" w:rsidRDefault="00DA2B74">
      <w:pPr>
        <w:pStyle w:val="BodyText"/>
        <w:spacing w:line="360" w:lineRule="auto"/>
        <w:ind w:left="567" w:right="567"/>
        <w:jc w:val="both"/>
        <w:rPr>
          <w:spacing w:val="-4"/>
        </w:rPr>
      </w:pPr>
      <w:r>
        <w:rPr>
          <w:b/>
        </w:rPr>
        <w:t xml:space="preserve">Keywords: </w:t>
      </w:r>
      <w:r>
        <w:t xml:space="preserve">Cervical Cancer, LBC, ASCUS, HSIL, LSIL, </w:t>
      </w:r>
      <w:r>
        <w:rPr>
          <w:spacing w:val="-4"/>
        </w:rPr>
        <w:t xml:space="preserve">SCC </w:t>
      </w:r>
    </w:p>
    <w:p w14:paraId="1BF7BC40" w14:textId="77777777" w:rsidR="00E60B82" w:rsidRDefault="00E60B82">
      <w:pPr>
        <w:pStyle w:val="BodyText"/>
        <w:spacing w:line="360" w:lineRule="auto"/>
        <w:ind w:left="567" w:right="567"/>
        <w:jc w:val="both"/>
        <w:rPr>
          <w:spacing w:val="-4"/>
        </w:rPr>
      </w:pPr>
    </w:p>
    <w:p w14:paraId="376F7B08" w14:textId="77777777" w:rsidR="00E60B82" w:rsidRDefault="00DA2B74">
      <w:pPr>
        <w:pStyle w:val="Heading1"/>
        <w:ind w:left="567" w:right="567"/>
        <w:jc w:val="both"/>
        <w:rPr>
          <w:sz w:val="24"/>
        </w:rPr>
      </w:pPr>
      <w:r>
        <w:rPr>
          <w:spacing w:val="-2"/>
          <w:sz w:val="24"/>
        </w:rPr>
        <w:t>INTRODUCTION</w:t>
      </w:r>
    </w:p>
    <w:p w14:paraId="07C8527F" w14:textId="77777777" w:rsidR="007773CB" w:rsidRDefault="00DA2B74" w:rsidP="007773CB">
      <w:pPr>
        <w:pStyle w:val="BodyText"/>
        <w:spacing w:line="360" w:lineRule="auto"/>
        <w:ind w:left="567" w:right="567"/>
        <w:jc w:val="both"/>
      </w:pPr>
      <w:r>
        <w:t xml:space="preserve">                 </w:t>
      </w:r>
    </w:p>
    <w:p w14:paraId="6D644601" w14:textId="41F3EE71" w:rsidR="007773CB" w:rsidRPr="00AF2458" w:rsidRDefault="007773CB" w:rsidP="00AD6806">
      <w:pPr>
        <w:pStyle w:val="BodyText"/>
        <w:spacing w:line="360" w:lineRule="auto"/>
        <w:ind w:left="567" w:right="567"/>
        <w:jc w:val="both"/>
        <w:rPr>
          <w:lang w:val="en-IN"/>
        </w:rPr>
      </w:pPr>
      <w:r>
        <w:t xml:space="preserve">Cervical cancer is the leading cause of cancer death in women </w:t>
      </w:r>
      <w:proofErr w:type="gramStart"/>
      <w:r>
        <w:t>worldwide(</w:t>
      </w:r>
      <w:proofErr w:type="gramEnd"/>
      <w:r>
        <w:t xml:space="preserve">Liu </w:t>
      </w:r>
      <w:r>
        <w:rPr>
          <w:i/>
          <w:iCs/>
        </w:rPr>
        <w:t>et al</w:t>
      </w:r>
      <w:r>
        <w:t xml:space="preserve"> 2019) and the third most common cancer in women worldwide. The second most common cancer in India </w:t>
      </w:r>
      <w:r>
        <w:rPr>
          <w:bCs/>
        </w:rPr>
        <w:t>(</w:t>
      </w:r>
      <w:proofErr w:type="spellStart"/>
      <w:r>
        <w:rPr>
          <w:bCs/>
        </w:rPr>
        <w:t>Saranath</w:t>
      </w:r>
      <w:proofErr w:type="spellEnd"/>
      <w:r>
        <w:rPr>
          <w:bCs/>
        </w:rPr>
        <w:t xml:space="preserve"> et al 2014).</w:t>
      </w:r>
      <w:r>
        <w:t xml:space="preserve"> The gap in incidence between developing and developed countries has dramatically narrowed in recent years.</w:t>
      </w:r>
      <w:r w:rsidRPr="009654B3">
        <w:rPr>
          <w:lang w:val="en-IN" w:eastAsia="en-IN"/>
        </w:rPr>
        <w:t xml:space="preserve"> </w:t>
      </w:r>
      <w:r w:rsidRPr="009654B3">
        <w:rPr>
          <w:lang w:val="en-IN"/>
        </w:rPr>
        <w:t xml:space="preserve">On the other hand, due to inadequate or </w:t>
      </w:r>
      <w:proofErr w:type="spellStart"/>
      <w:r w:rsidRPr="009654B3">
        <w:rPr>
          <w:lang w:val="en-IN"/>
        </w:rPr>
        <w:t>nonexistent</w:t>
      </w:r>
      <w:proofErr w:type="spellEnd"/>
      <w:r w:rsidRPr="009654B3">
        <w:rPr>
          <w:lang w:val="en-IN"/>
        </w:rPr>
        <w:t xml:space="preserve"> screening programs, cervical cancer is still mostly uncontrolled in high-risk developing nations.</w:t>
      </w:r>
      <w:r>
        <w:t xml:space="preserve"> Cervical cancer is still a major problem in underdeveloped nations like INDIA (Ullah </w:t>
      </w:r>
      <w:r>
        <w:rPr>
          <w:i/>
          <w:iCs/>
        </w:rPr>
        <w:t xml:space="preserve">et al.2021, Pankaj et al </w:t>
      </w:r>
      <w:proofErr w:type="gramStart"/>
      <w:r>
        <w:rPr>
          <w:i/>
          <w:iCs/>
        </w:rPr>
        <w:t>2018 )</w:t>
      </w:r>
      <w:proofErr w:type="gramEnd"/>
      <w:r>
        <w:rPr>
          <w:b/>
        </w:rPr>
        <w:t xml:space="preserve">. </w:t>
      </w:r>
      <w:r>
        <w:t xml:space="preserve">Around 90% of cases of cervical cancer are found in low- and middle-income nations where there are no </w:t>
      </w:r>
      <w:proofErr w:type="spellStart"/>
      <w:r>
        <w:t>organised</w:t>
      </w:r>
      <w:proofErr w:type="spellEnd"/>
      <w:r>
        <w:t xml:space="preserve"> screening or HPV immunization </w:t>
      </w:r>
      <w:proofErr w:type="spellStart"/>
      <w:r>
        <w:t>programmes</w:t>
      </w:r>
      <w:proofErr w:type="spellEnd"/>
      <w:r>
        <w:t xml:space="preserve">. Since the implementation of formal screening </w:t>
      </w:r>
      <w:proofErr w:type="spellStart"/>
      <w:r>
        <w:t>programmes</w:t>
      </w:r>
      <w:proofErr w:type="spellEnd"/>
      <w:r>
        <w:t xml:space="preserve"> 30 years ago, the incidence and death of cervical cancer in high-income nations have more than halved </w:t>
      </w:r>
      <w:r>
        <w:rPr>
          <w:bCs/>
        </w:rPr>
        <w:t xml:space="preserve">(Cohen </w:t>
      </w:r>
      <w:r>
        <w:rPr>
          <w:bCs/>
          <w:i/>
          <w:iCs/>
        </w:rPr>
        <w:t>et al</w:t>
      </w:r>
      <w:r>
        <w:rPr>
          <w:bCs/>
        </w:rPr>
        <w:t xml:space="preserve"> 2019).</w:t>
      </w:r>
      <w:r>
        <w:t xml:space="preserve"> The death rate from cervical cancer is 18 times higher in low and middle-income countries than it is in wealthy nations, and over 85% of cervical </w:t>
      </w:r>
      <w:r>
        <w:lastRenderedPageBreak/>
        <w:t>cancer deaths globally take place in underdeveloped or developing nations</w:t>
      </w:r>
      <w:r>
        <w:rPr>
          <w:bCs/>
        </w:rPr>
        <w:t xml:space="preserve"> (Small Jr </w:t>
      </w:r>
      <w:r>
        <w:rPr>
          <w:bCs/>
          <w:i/>
          <w:iCs/>
        </w:rPr>
        <w:t>et al</w:t>
      </w:r>
      <w:r>
        <w:rPr>
          <w:bCs/>
        </w:rPr>
        <w:t xml:space="preserve"> 2017).</w:t>
      </w:r>
      <w:r>
        <w:t xml:space="preserve">Human papillomavirus (HPV) infection is believed to be an important cause of cervical cancer, Cervical cancer is caused by sexually transmitted human papillomaviruses (HPV), according to various studies, having several sexual partners, having poor personal and sexual hygiene, smoking, low socioeconomic position, and early sexual engagement are some of the risk factors for cervical cancer </w:t>
      </w:r>
      <w:r>
        <w:rPr>
          <w:rFonts w:ascii="Time new roman" w:hAnsi="Time new roman"/>
        </w:rPr>
        <w:t xml:space="preserve">The primary </w:t>
      </w:r>
      <w:proofErr w:type="spellStart"/>
      <w:r>
        <w:rPr>
          <w:rFonts w:ascii="Time new roman" w:hAnsi="Time new roman"/>
        </w:rPr>
        <w:t>aetiological</w:t>
      </w:r>
      <w:proofErr w:type="spellEnd"/>
      <w:r>
        <w:rPr>
          <w:rFonts w:ascii="Time new roman" w:hAnsi="Time new roman"/>
        </w:rPr>
        <w:t xml:space="preserve"> factor in the development of cancer is human papilloma. Cervical cancer does not always result from HPV infections in women. High-Risk HPV genotypes cause a normal cell to progress into a pre-cancerous lesion and, later, into an invasive lesion</w:t>
      </w:r>
      <w:r>
        <w:t xml:space="preserve"> (Jain et al (Jain </w:t>
      </w:r>
      <w:r>
        <w:rPr>
          <w:i/>
          <w:iCs/>
        </w:rPr>
        <w:t>et al</w:t>
      </w:r>
      <w:r>
        <w:t xml:space="preserve"> 2022; </w:t>
      </w:r>
      <w:proofErr w:type="spellStart"/>
      <w:r>
        <w:t>Balasubramaniam</w:t>
      </w:r>
      <w:proofErr w:type="spellEnd"/>
      <w:r>
        <w:t xml:space="preserve"> </w:t>
      </w:r>
      <w:r>
        <w:rPr>
          <w:i/>
          <w:iCs/>
        </w:rPr>
        <w:t>et al</w:t>
      </w:r>
      <w:r>
        <w:t xml:space="preserve"> 2019)</w:t>
      </w:r>
      <w:r>
        <w:rPr>
          <w:bCs/>
        </w:rPr>
        <w:t xml:space="preserve"> </w:t>
      </w:r>
      <w:r>
        <w:rPr>
          <w:rFonts w:ascii="Time new roman" w:hAnsi="Time new roman"/>
          <w:color w:val="000000"/>
          <w:shd w:val="clear" w:color="auto" w:fill="FFFFFF"/>
        </w:rPr>
        <w:t xml:space="preserve">these changes, especially in young women, </w:t>
      </w:r>
      <w:r>
        <w:rPr>
          <w:rFonts w:ascii="Time new roman" w:hAnsi="Time new roman"/>
          <w:bCs/>
          <w:color w:val="000000"/>
          <w:shd w:val="clear" w:color="auto" w:fill="FFFFFF"/>
        </w:rPr>
        <w:t>usually</w:t>
      </w:r>
      <w:r>
        <w:rPr>
          <w:rFonts w:ascii="Time new roman" w:hAnsi="Time new roman"/>
          <w:color w:val="000000"/>
          <w:shd w:val="clear" w:color="auto" w:fill="FFFFFF"/>
        </w:rPr>
        <w:t xml:space="preserve"> revert to normal cells due to an intact immune response and rapid </w:t>
      </w:r>
      <w:r>
        <w:rPr>
          <w:rFonts w:ascii="Time new roman" w:hAnsi="Time new roman"/>
          <w:bCs/>
          <w:color w:val="000000"/>
          <w:shd w:val="clear" w:color="auto" w:fill="FFFFFF"/>
        </w:rPr>
        <w:t>cell</w:t>
      </w:r>
      <w:r>
        <w:rPr>
          <w:rFonts w:ascii="Time new roman" w:hAnsi="Time new roman"/>
          <w:color w:val="000000"/>
          <w:shd w:val="clear" w:color="auto" w:fill="FFFFFF"/>
        </w:rPr>
        <w:t xml:space="preserve"> turnover </w:t>
      </w:r>
      <w:r>
        <w:rPr>
          <w:rFonts w:ascii="Time new roman" w:hAnsi="Time new roman"/>
          <w:bCs/>
          <w:color w:val="000000"/>
          <w:shd w:val="clear" w:color="auto" w:fill="FFFFFF"/>
        </w:rPr>
        <w:t>in</w:t>
      </w:r>
      <w:r>
        <w:rPr>
          <w:rFonts w:ascii="Time new roman" w:hAnsi="Time new roman"/>
          <w:color w:val="000000"/>
          <w:shd w:val="clear" w:color="auto" w:fill="FFFFFF"/>
        </w:rPr>
        <w:t xml:space="preserve"> the cervix (</w:t>
      </w:r>
      <w:r>
        <w:rPr>
          <w:rFonts w:eastAsia="Calibri"/>
          <w:color w:val="222222"/>
          <w:shd w:val="clear" w:color="auto" w:fill="FFFFFF"/>
        </w:rPr>
        <w:t>Mello</w:t>
      </w:r>
      <w:r>
        <w:rPr>
          <w:rFonts w:ascii="Time new roman" w:hAnsi="Time new roman"/>
          <w:color w:val="000000"/>
          <w:shd w:val="clear" w:color="auto" w:fill="FFFFFF"/>
        </w:rPr>
        <w:t xml:space="preserve"> et al 2021). </w:t>
      </w:r>
      <w:r w:rsidR="00AD6806" w:rsidRPr="00AD6806">
        <w:rPr>
          <w:rFonts w:ascii="Time new roman" w:hAnsi="Time new roman"/>
          <w:color w:val="000000"/>
          <w:shd w:val="clear" w:color="auto" w:fill="FFFFFF"/>
        </w:rPr>
        <w:t xml:space="preserve">Cervical intraepithelial neoplasia (CIN) is widely </w:t>
      </w:r>
      <w:proofErr w:type="spellStart"/>
      <w:r w:rsidR="00AD6806" w:rsidRPr="00AD6806">
        <w:rPr>
          <w:rFonts w:ascii="Time new roman" w:hAnsi="Time new roman"/>
          <w:color w:val="000000"/>
          <w:shd w:val="clear" w:color="auto" w:fill="FFFFFF"/>
        </w:rPr>
        <w:t>recognised</w:t>
      </w:r>
      <w:proofErr w:type="spellEnd"/>
      <w:r w:rsidR="00AD6806" w:rsidRPr="00AD6806">
        <w:rPr>
          <w:rFonts w:ascii="Time new roman" w:hAnsi="Time new roman"/>
          <w:color w:val="000000"/>
          <w:shd w:val="clear" w:color="auto" w:fill="FFFFFF"/>
        </w:rPr>
        <w:t xml:space="preserve"> as a precursor lesion to invasive cervical cancer, representing a key stage in the continuum of cervical carcinogenesis. If these lesions indeed form part of a progressive biological spectrum, it is reasonable to expect that they share common epidemiological and </w:t>
      </w:r>
      <w:proofErr w:type="spellStart"/>
      <w:r w:rsidR="00AD6806" w:rsidRPr="00AD6806">
        <w:rPr>
          <w:rFonts w:ascii="Time new roman" w:hAnsi="Time new roman"/>
          <w:color w:val="000000"/>
          <w:shd w:val="clear" w:color="auto" w:fill="FFFFFF"/>
        </w:rPr>
        <w:t>aetiological</w:t>
      </w:r>
      <w:proofErr w:type="spellEnd"/>
      <w:r w:rsidR="00AD6806" w:rsidRPr="00AD6806">
        <w:rPr>
          <w:rFonts w:ascii="Time new roman" w:hAnsi="Time new roman"/>
          <w:color w:val="000000"/>
          <w:shd w:val="clear" w:color="auto" w:fill="FFFFFF"/>
        </w:rPr>
        <w:t xml:space="preserve"> characteristics. Factors implicated in the early phases of this process are likely to be consistent across different stages, whereas those influencing progression to invasive disease may diverge.</w:t>
      </w:r>
      <w:r w:rsidR="0065499D">
        <w:rPr>
          <w:rFonts w:ascii="Time new roman" w:hAnsi="Time new roman"/>
          <w:color w:val="000000"/>
          <w:shd w:val="clear" w:color="auto" w:fill="FFFFFF"/>
        </w:rPr>
        <w:t xml:space="preserve"> </w:t>
      </w:r>
      <w:r w:rsidR="00AD6806" w:rsidRPr="00AD6806">
        <w:rPr>
          <w:rFonts w:ascii="Time new roman" w:hAnsi="Time new roman"/>
          <w:color w:val="000000"/>
          <w:shd w:val="clear" w:color="auto" w:fill="FFFFFF"/>
        </w:rPr>
        <w:t>Sexual and infectious determinants, particularly those related to human papillomavirus (HPV) transmission, have been strongly implicated as risk factors for both intraepithelial lesions and invasive cervical cancer. In contrast, certain reproductive and hormonal factors, such as high parity and prolonged oral contraceptive use, appear to be more closely associated with an increased risk of invasive neoplasia rather than with the initial development of CIN.</w:t>
      </w:r>
      <w:r w:rsidR="0065499D">
        <w:rPr>
          <w:rFonts w:ascii="Time new roman" w:hAnsi="Time new roman"/>
          <w:color w:val="000000"/>
          <w:shd w:val="clear" w:color="auto" w:fill="FFFFFF"/>
        </w:rPr>
        <w:t xml:space="preserve"> </w:t>
      </w:r>
      <w:r w:rsidR="00AD6806" w:rsidRPr="00AD6806">
        <w:rPr>
          <w:rFonts w:ascii="Time new roman" w:hAnsi="Time new roman"/>
          <w:color w:val="000000"/>
          <w:shd w:val="clear" w:color="auto" w:fill="FFFFFF"/>
        </w:rPr>
        <w:t xml:space="preserve">Furthermore, the relationship between reproductive factors, </w:t>
      </w:r>
      <w:proofErr w:type="spellStart"/>
      <w:r w:rsidR="00AD6806" w:rsidRPr="00AD6806">
        <w:rPr>
          <w:rFonts w:ascii="Time new roman" w:hAnsi="Time new roman"/>
          <w:color w:val="000000"/>
          <w:shd w:val="clear" w:color="auto" w:fill="FFFFFF"/>
        </w:rPr>
        <w:t>behavioural</w:t>
      </w:r>
      <w:proofErr w:type="spellEnd"/>
      <w:r w:rsidR="00AD6806" w:rsidRPr="00AD6806">
        <w:rPr>
          <w:rFonts w:ascii="Time new roman" w:hAnsi="Time new roman"/>
          <w:color w:val="000000"/>
          <w:shd w:val="clear" w:color="auto" w:fill="FFFFFF"/>
        </w:rPr>
        <w:t xml:space="preserve"> exposures (including smoking), and other established or potential risk determinants may vary according to the severity of CIN. In particular, differential associations have been observed across grades of dysplasia, especially in mild to moderate lesions, suggesting that the contribution of these factors may change during disease progression (</w:t>
      </w:r>
      <w:proofErr w:type="spellStart"/>
      <w:r w:rsidR="00AD6806" w:rsidRPr="00AD6806">
        <w:rPr>
          <w:rFonts w:ascii="Time new roman" w:hAnsi="Time new roman"/>
          <w:color w:val="000000"/>
          <w:shd w:val="clear" w:color="auto" w:fill="FFFFFF"/>
        </w:rPr>
        <w:t>Parazzini</w:t>
      </w:r>
      <w:proofErr w:type="spellEnd"/>
      <w:r w:rsidR="00AD6806" w:rsidRPr="00AD6806">
        <w:rPr>
          <w:rFonts w:ascii="Time new roman" w:hAnsi="Time new roman"/>
          <w:color w:val="000000"/>
          <w:shd w:val="clear" w:color="auto" w:fill="FFFFFF"/>
        </w:rPr>
        <w:t xml:space="preserve"> et al., 1992).</w:t>
      </w:r>
      <w:r w:rsidRPr="00917F90">
        <w:t xml:space="preserve"> </w:t>
      </w:r>
      <w:r w:rsidRPr="00A440BD">
        <w:t>T</w:t>
      </w:r>
      <w:r w:rsidRPr="00A440BD">
        <w:rPr>
          <w:color w:val="000000"/>
          <w:shd w:val="clear" w:color="auto" w:fill="FFFFFF"/>
        </w:rPr>
        <w:t xml:space="preserve">he Food and Drug Administration has approved two first-generation LBC technologies: </w:t>
      </w:r>
      <w:proofErr w:type="spellStart"/>
      <w:r w:rsidRPr="00A440BD">
        <w:rPr>
          <w:color w:val="000000"/>
          <w:shd w:val="clear" w:color="auto" w:fill="FFFFFF"/>
        </w:rPr>
        <w:t>SurePath</w:t>
      </w:r>
      <w:proofErr w:type="spellEnd"/>
      <w:r w:rsidRPr="00A440BD">
        <w:rPr>
          <w:color w:val="000000"/>
          <w:shd w:val="clear" w:color="auto" w:fill="FFFFFF"/>
        </w:rPr>
        <w:t xml:space="preserve"> and </w:t>
      </w:r>
      <w:proofErr w:type="spellStart"/>
      <w:r w:rsidRPr="00A440BD">
        <w:rPr>
          <w:color w:val="000000"/>
          <w:shd w:val="clear" w:color="auto" w:fill="FFFFFF"/>
        </w:rPr>
        <w:t>ThinPrep</w:t>
      </w:r>
      <w:proofErr w:type="spellEnd"/>
      <w:r>
        <w:rPr>
          <w:color w:val="000000"/>
          <w:shd w:val="clear" w:color="auto" w:fill="FFFFFF"/>
        </w:rPr>
        <w:t xml:space="preserve"> (Patel et al 2023).</w:t>
      </w:r>
      <w:r>
        <w:t xml:space="preserve"> LBC is a type of cervical cancer screening test that uses a liquid medium to preserve and removes most of the debris, blood, and secretions either by filtration and a random sample is applied in a thin layer to a glass slide, avoiding overlapping cells density gradient centrifugation. It examine cervical cells for signs of precancerous and cancerous conditions </w:t>
      </w:r>
      <w:r>
        <w:rPr>
          <w:rFonts w:ascii="Time new roman" w:hAnsi="Time new roman"/>
          <w:bCs/>
          <w:color w:val="000000"/>
          <w:shd w:val="clear" w:color="auto" w:fill="FFFFFF"/>
        </w:rPr>
        <w:t>greatly</w:t>
      </w:r>
      <w:r>
        <w:rPr>
          <w:rFonts w:ascii="Time new roman" w:hAnsi="Time new roman"/>
          <w:color w:val="000000"/>
          <w:shd w:val="clear" w:color="auto" w:fill="FFFFFF"/>
        </w:rPr>
        <w:t xml:space="preserve"> improve the diagnostic </w:t>
      </w:r>
      <w:r>
        <w:rPr>
          <w:rFonts w:ascii="Time new roman" w:hAnsi="Time new roman"/>
          <w:bCs/>
          <w:color w:val="000000"/>
          <w:shd w:val="clear" w:color="auto" w:fill="FFFFFF"/>
        </w:rPr>
        <w:t>rate</w:t>
      </w:r>
      <w:r>
        <w:rPr>
          <w:rFonts w:ascii="Time new roman" w:hAnsi="Time new roman"/>
          <w:color w:val="000000"/>
          <w:shd w:val="clear" w:color="auto" w:fill="FFFFFF"/>
        </w:rPr>
        <w:t xml:space="preserve"> of related diseases, </w:t>
      </w:r>
      <w:r>
        <w:rPr>
          <w:rFonts w:ascii="Time new roman" w:hAnsi="Time new roman"/>
          <w:bCs/>
          <w:color w:val="000000"/>
          <w:shd w:val="clear" w:color="auto" w:fill="FFFFFF"/>
        </w:rPr>
        <w:t>the</w:t>
      </w:r>
      <w:r>
        <w:rPr>
          <w:rFonts w:ascii="Time new roman" w:hAnsi="Time new roman"/>
          <w:color w:val="000000"/>
          <w:shd w:val="clear" w:color="auto" w:fill="FFFFFF"/>
        </w:rPr>
        <w:t xml:space="preserve"> sensitivity and specificity of cervical lesion screening, and overcome the high </w:t>
      </w:r>
      <w:r>
        <w:rPr>
          <w:rFonts w:ascii="Time new roman" w:hAnsi="Time new roman"/>
          <w:bCs/>
          <w:color w:val="000000"/>
          <w:shd w:val="clear" w:color="auto" w:fill="FFFFFF"/>
        </w:rPr>
        <w:t>false negative</w:t>
      </w:r>
      <w:r>
        <w:rPr>
          <w:rFonts w:ascii="Time new roman" w:hAnsi="Time new roman"/>
          <w:color w:val="000000"/>
          <w:shd w:val="clear" w:color="auto" w:fill="FFFFFF"/>
        </w:rPr>
        <w:t xml:space="preserve"> rate </w:t>
      </w:r>
      <w:r>
        <w:rPr>
          <w:rFonts w:ascii="Time new roman" w:hAnsi="Time new roman"/>
          <w:bCs/>
          <w:color w:val="000000"/>
          <w:shd w:val="clear" w:color="auto" w:fill="FFFFFF"/>
        </w:rPr>
        <w:t>of</w:t>
      </w:r>
      <w:r>
        <w:rPr>
          <w:rFonts w:ascii="Time new roman" w:hAnsi="Time new roman"/>
          <w:color w:val="000000"/>
          <w:shd w:val="clear" w:color="auto" w:fill="FFFFFF"/>
        </w:rPr>
        <w:t xml:space="preserve"> traditional </w:t>
      </w:r>
      <w:r>
        <w:rPr>
          <w:rFonts w:ascii="Time new roman" w:hAnsi="Time new roman"/>
          <w:bCs/>
          <w:color w:val="000000"/>
          <w:shd w:val="clear" w:color="auto" w:fill="FFFFFF"/>
        </w:rPr>
        <w:t>diagnosis</w:t>
      </w:r>
      <w:r>
        <w:t xml:space="preserve">. It frequently serves as a cervical cancer screening tool. This is the first technical advance in cervical cytology in over 50 years (Banerjee et al 2022, </w:t>
      </w:r>
      <w:proofErr w:type="spellStart"/>
      <w:r>
        <w:t>Fahdi</w:t>
      </w:r>
      <w:proofErr w:type="spellEnd"/>
      <w:r>
        <w:t xml:space="preserve"> </w:t>
      </w:r>
      <w:proofErr w:type="spellStart"/>
      <w:r>
        <w:t>kanavati</w:t>
      </w:r>
      <w:proofErr w:type="spellEnd"/>
      <w:r>
        <w:t xml:space="preserve"> et al 2022, Li Ma et al 2019). LBC has the advantage of faster reporting, </w:t>
      </w:r>
      <w:proofErr w:type="spellStart"/>
      <w:r>
        <w:t>sofewer</w:t>
      </w:r>
      <w:proofErr w:type="spellEnd"/>
      <w:r>
        <w:t xml:space="preserve"> cases are missed (Shreya Raj et al 2022).</w:t>
      </w:r>
      <w:r w:rsidR="007E5CA6">
        <w:t xml:space="preserve"> </w:t>
      </w:r>
      <w:r>
        <w:t xml:space="preserve">It has also been shown to be more sensitive than conventional cytology in detecting atypical cells of undetermined significance (ASC-US) and squamous cells injury (SIL) Joseph </w:t>
      </w:r>
      <w:proofErr w:type="spellStart"/>
      <w:r>
        <w:t>Monsonege</w:t>
      </w:r>
      <w:proofErr w:type="spellEnd"/>
      <w:r>
        <w:t xml:space="preserve"> et </w:t>
      </w:r>
      <w:r>
        <w:lastRenderedPageBreak/>
        <w:t>al 2011).</w:t>
      </w:r>
    </w:p>
    <w:p w14:paraId="5D24CE46" w14:textId="77777777" w:rsidR="00E60B82" w:rsidRDefault="00E60B82">
      <w:pPr>
        <w:pStyle w:val="BodyText"/>
        <w:spacing w:line="360" w:lineRule="auto"/>
        <w:ind w:left="567" w:right="567"/>
        <w:jc w:val="both"/>
      </w:pPr>
    </w:p>
    <w:p w14:paraId="5BAE550F" w14:textId="77777777" w:rsidR="00E60B82" w:rsidRPr="00FA0833" w:rsidRDefault="00DA2B74">
      <w:pPr>
        <w:pStyle w:val="BodyText"/>
        <w:spacing w:line="360" w:lineRule="auto"/>
        <w:ind w:left="567" w:right="567"/>
        <w:jc w:val="both"/>
        <w:rPr>
          <w:b/>
          <w:bCs/>
          <w:lang w:val="en-IN"/>
        </w:rPr>
      </w:pPr>
      <w:r w:rsidRPr="00FA0833">
        <w:rPr>
          <w:b/>
          <w:bCs/>
          <w:lang w:val="en-IN"/>
        </w:rPr>
        <w:t>REVIEW OF LITERATURES</w:t>
      </w:r>
    </w:p>
    <w:p w14:paraId="5C5C082B" w14:textId="77777777" w:rsidR="00A91116" w:rsidRPr="00A91116" w:rsidRDefault="00A91116" w:rsidP="00A91116">
      <w:pPr>
        <w:pStyle w:val="BodyText"/>
        <w:spacing w:line="360" w:lineRule="auto"/>
        <w:ind w:left="567" w:right="567" w:firstLineChars="300" w:firstLine="720"/>
        <w:jc w:val="both"/>
        <w:rPr>
          <w:lang w:val="en-IN"/>
        </w:rPr>
      </w:pPr>
      <w:r w:rsidRPr="00A91116">
        <w:rPr>
          <w:lang w:val="en-IN"/>
        </w:rPr>
        <w:t xml:space="preserve">In a study conducted by </w:t>
      </w:r>
      <w:proofErr w:type="spellStart"/>
      <w:r w:rsidRPr="00A91116">
        <w:rPr>
          <w:lang w:val="en-IN"/>
        </w:rPr>
        <w:t>Sania</w:t>
      </w:r>
      <w:proofErr w:type="spellEnd"/>
      <w:r w:rsidRPr="00A91116">
        <w:rPr>
          <w:lang w:val="en-IN"/>
        </w:rPr>
        <w:t xml:space="preserve"> S. Ullah et al. (2021) at </w:t>
      </w:r>
      <w:proofErr w:type="spellStart"/>
      <w:r w:rsidRPr="00A91116">
        <w:rPr>
          <w:lang w:val="en-IN"/>
        </w:rPr>
        <w:t>Silchar</w:t>
      </w:r>
      <w:proofErr w:type="spellEnd"/>
      <w:r w:rsidRPr="00A91116">
        <w:rPr>
          <w:lang w:val="en-IN"/>
        </w:rPr>
        <w:t xml:space="preserve"> Medical College and Hospital, a total of 1,714 cervical Pap smear tests were performed on women aged 18–80 years presenting with various gynaecological complaints between May 2018 and April 2020. Among these, 808 cases were reported as normal smears, while 636 cases showed inflammatory changes. Epithelial abnormalities included 22 cases of atypical squamous cells of undetermined significance (ASCUS), 80 cases of low-grade squamous intraepithelial lesions (LSIL), and 12 cases of high-grade squamous intraepithelial lesions (HSIL). Additionally, three cases of bacterial vaginosis and three cases of squamous cell carcinoma (SCC) were identified. The authors emphasised that the Papanicolaou (Pap) smear remains a widely accepted and effective screening tool for the early detection of cervical abnormalities. However, in countries such as India, where a substantial proportion of the population resides in rural areas with low socio-economic status, early age at marriage, and limited access to healthcare facilities, the implementation of large-scale screening programmes poses considerable challenges. The study highlighted the need for cost-effective and accessible screening strategies, including the training of medical and paramedical personnel at the primary healthcare level, and recommended the initiation of Pap smear screening from the age of 30 years.</w:t>
      </w:r>
    </w:p>
    <w:p w14:paraId="51B23508" w14:textId="77777777" w:rsidR="00A91116" w:rsidRPr="00A91116" w:rsidRDefault="00A91116" w:rsidP="00A91116">
      <w:pPr>
        <w:pStyle w:val="BodyText"/>
        <w:spacing w:line="360" w:lineRule="auto"/>
        <w:ind w:left="567" w:right="567" w:firstLineChars="300" w:firstLine="720"/>
        <w:jc w:val="both"/>
        <w:rPr>
          <w:lang w:val="en-IN"/>
        </w:rPr>
      </w:pPr>
    </w:p>
    <w:p w14:paraId="3DB7BE48" w14:textId="7FEA5A1D" w:rsidR="00A91116" w:rsidRDefault="00A91116" w:rsidP="00A91116">
      <w:pPr>
        <w:pStyle w:val="BodyText"/>
        <w:spacing w:line="360" w:lineRule="auto"/>
        <w:ind w:left="567" w:right="567" w:firstLineChars="300" w:firstLine="720"/>
        <w:jc w:val="both"/>
        <w:rPr>
          <w:lang w:val="en-IN"/>
        </w:rPr>
      </w:pPr>
      <w:r w:rsidRPr="00A91116">
        <w:rPr>
          <w:lang w:val="en-IN"/>
        </w:rPr>
        <w:t xml:space="preserve">Similarly, a study by </w:t>
      </w:r>
      <w:proofErr w:type="spellStart"/>
      <w:r w:rsidRPr="00A91116">
        <w:rPr>
          <w:lang w:val="en-IN"/>
        </w:rPr>
        <w:t>Getnet</w:t>
      </w:r>
      <w:proofErr w:type="spellEnd"/>
      <w:r w:rsidRPr="00A91116">
        <w:rPr>
          <w:lang w:val="en-IN"/>
        </w:rPr>
        <w:t xml:space="preserve"> </w:t>
      </w:r>
      <w:proofErr w:type="spellStart"/>
      <w:r w:rsidRPr="00A91116">
        <w:rPr>
          <w:lang w:val="en-IN"/>
        </w:rPr>
        <w:t>Tesfaw</w:t>
      </w:r>
      <w:proofErr w:type="spellEnd"/>
      <w:r w:rsidRPr="00A91116">
        <w:rPr>
          <w:lang w:val="en-IN"/>
        </w:rPr>
        <w:t xml:space="preserve"> et al. (2020) evaluated cervical cancer screening among women aged 21–65 years using liquid-based cytology (LBC) and visual inspection with acetic acid (VIA). A total of 448 participants were included, with 42% (n = 188) aged between 31 and 40 years, and only two participants aged above 60 years. Of the total cohort, 419 (93.5%) underwent LBC, 294 (65.6%) underwent VIA, and 272 (60.7%) were screened using both methods. Among women screened by LBC, 305 (72.8%) were negative for intraepithelial lesion or malignancy (NILM), 97 (23.2%) had LSIL, and 17 (4.1%) had HSIL. The prevalence of cervical lesions was generally lower in both younger and older age groups, with the highest burden observed among women aged 41–50 years, accounting for 40% of LSIL and 59% of HSIL cases.</w:t>
      </w:r>
      <w:r w:rsidR="00BB47F1">
        <w:rPr>
          <w:lang w:val="en-IN"/>
        </w:rPr>
        <w:t xml:space="preserve"> </w:t>
      </w:r>
      <w:r w:rsidRPr="00A91116">
        <w:rPr>
          <w:lang w:val="en-IN"/>
        </w:rPr>
        <w:t xml:space="preserve">Furthermore, women aged 51–60 years exhibited a significantly higher likelihood of developing abnormal epithelial lesions compared to those aged 21–30 years (adjusted odds ratio = 20.9; 95% confidence interval: 7.2–60.9; p = 0.00). Among 47 (10.8%) HIV-positive participants, 14 (32.56%) had epithelial abnormalities, including 10 cases (23.3%) of LSIL and 4 cases (9.3%) of HSIL. In VIA screening, 18 (6.1%) women tested positive, while among those screened by both LBC and VIA, only 6 (2.2%) were positive on both tests. The agreement between LBC and VIA was found to be weak but statistically significant (kappa value = 0.155; p = 0.006). These findings underscore the variability in screening outcomes across different modalities and highlight the importance of optimising screening strategies for effective </w:t>
      </w:r>
      <w:r w:rsidRPr="00A91116">
        <w:rPr>
          <w:lang w:val="en-IN"/>
        </w:rPr>
        <w:lastRenderedPageBreak/>
        <w:t>cervical cancer prevention.</w:t>
      </w:r>
    </w:p>
    <w:p w14:paraId="053D41B3" w14:textId="77777777" w:rsidR="00577903" w:rsidRDefault="00DE2C86" w:rsidP="00DE2C86">
      <w:pPr>
        <w:pStyle w:val="BodyText"/>
        <w:spacing w:line="360" w:lineRule="auto"/>
        <w:ind w:left="567" w:right="567"/>
        <w:jc w:val="both"/>
        <w:rPr>
          <w:b/>
          <w:bCs/>
          <w:lang w:val="en-IN"/>
        </w:rPr>
      </w:pPr>
      <w:r w:rsidRPr="00577903">
        <w:rPr>
          <w:bCs/>
          <w:lang w:val="en-IN"/>
        </w:rPr>
        <w:t xml:space="preserve">A retrospective record-based study conducted by </w:t>
      </w:r>
      <w:proofErr w:type="spellStart"/>
      <w:r w:rsidRPr="00577903">
        <w:rPr>
          <w:bCs/>
          <w:lang w:val="en-IN"/>
        </w:rPr>
        <w:t>Nito</w:t>
      </w:r>
      <w:proofErr w:type="spellEnd"/>
      <w:r w:rsidRPr="00577903">
        <w:rPr>
          <w:bCs/>
          <w:lang w:val="en-IN"/>
        </w:rPr>
        <w:t xml:space="preserve"> </w:t>
      </w:r>
      <w:proofErr w:type="spellStart"/>
      <w:r w:rsidRPr="00577903">
        <w:rPr>
          <w:bCs/>
          <w:lang w:val="en-IN"/>
        </w:rPr>
        <w:t>Yepthomi</w:t>
      </w:r>
      <w:proofErr w:type="spellEnd"/>
      <w:r w:rsidRPr="00577903">
        <w:rPr>
          <w:bCs/>
          <w:lang w:val="en-IN"/>
        </w:rPr>
        <w:t xml:space="preserve"> et al. (2022) at the Christian Institute of Health Sciences and Research, India, evaluated cervical cytology findings over a two-year period from May 2019 to May 2021. The study included a total of 711 women whose specimens were processed using liquid-based cytology (LBC). Of these, 20 samples (2.81%) were deemed unsatisfactory and subsequently excluded from analysis.</w:t>
      </w:r>
      <w:r w:rsidRPr="00577903">
        <w:rPr>
          <w:bCs/>
          <w:lang w:val="en-IN"/>
        </w:rPr>
        <w:t xml:space="preserve"> </w:t>
      </w:r>
      <w:r w:rsidRPr="00577903">
        <w:rPr>
          <w:bCs/>
          <w:lang w:val="en-IN"/>
        </w:rPr>
        <w:t>Among the remaining 691 evaluable samples, 16.35% (113/691) exhibited abnormal cytological findings. Within this subset, the most frequently observed abnormality was atypical squamous cells of undetermined significance (ASC-US), accounting for 48.67% (55/113) of cases. This was followed by atypical squamous cells—cannot exclude high-grade lesion (ASC-H) in 22.12% (25/113) of cases. High-grade squamous intraepithelial lesions (HSIL) comprised 17.69% (20/113), while low-grade squamous intraepithelial lesions (LSIL) accounted for 7.96% (9/113). In addition, a small proportion of cases included malignant lesions, with 2.65% (3/113) identified as spindle cell carcinoma and 0.88% (1/113) as adenocarcinoma.</w:t>
      </w:r>
      <w:r w:rsidRPr="00577903">
        <w:rPr>
          <w:bCs/>
          <w:lang w:val="en-IN"/>
        </w:rPr>
        <w:t xml:space="preserve"> </w:t>
      </w:r>
      <w:r w:rsidRPr="00577903">
        <w:rPr>
          <w:bCs/>
          <w:lang w:val="en-IN"/>
        </w:rPr>
        <w:t>These findings highlight the spectrum of cytological abnormalities detected through LBC and underscore its utility as a reliable screening modality for the early detection of precancerous and malignant cervical lesions.</w:t>
      </w:r>
      <w:r w:rsidR="00DA2B74">
        <w:rPr>
          <w:lang w:val="en-IN"/>
        </w:rPr>
        <w:t xml:space="preserve">           </w:t>
      </w:r>
      <w:r w:rsidR="00DA2B74" w:rsidRPr="002623B2">
        <w:rPr>
          <w:b/>
          <w:bCs/>
          <w:lang w:val="en-IN"/>
        </w:rPr>
        <w:t xml:space="preserve"> </w:t>
      </w:r>
    </w:p>
    <w:p w14:paraId="70ABEB1D" w14:textId="22962F54" w:rsidR="001158CB" w:rsidRDefault="001158CB" w:rsidP="001158CB">
      <w:pPr>
        <w:pStyle w:val="NormalWeb"/>
      </w:pPr>
      <w:r>
        <w:t xml:space="preserve">A retrospective record-based study conducted by </w:t>
      </w:r>
      <w:proofErr w:type="spellStart"/>
      <w:r>
        <w:t>Raushan</w:t>
      </w:r>
      <w:proofErr w:type="spellEnd"/>
      <w:r>
        <w:t xml:space="preserve"> Chaudhary et al. (2022) at Darbhanga Medical College and Hospital evaluated cervical cytological findings over a nine-month period. The study included 100 women who were referred from the Department of Obstetrics and </w:t>
      </w:r>
      <w:proofErr w:type="spellStart"/>
      <w:r>
        <w:t>Gynaecology</w:t>
      </w:r>
      <w:proofErr w:type="spellEnd"/>
      <w:r>
        <w:t xml:space="preserve"> for Pap smear examination in the pathology department.</w:t>
      </w:r>
      <w:r>
        <w:t xml:space="preserve"> </w:t>
      </w:r>
      <w:bookmarkStart w:id="0" w:name="_GoBack"/>
      <w:bookmarkEnd w:id="0"/>
      <w:r>
        <w:t>Among the study population, abnormal cytological findings were predominantly represented by atypical squamous cells of undetermined significance (ASC-US), accounting for 50% of cases. This was followed by atypical squamous cells—cannot exclude high-grade lesions (ASC-H) in 25% of cases, high-grade squamous intraepithelial lesions (HSIL) in 15%, and low-grade squamous intraepithelial lesions (LSIL) in 5%. Malignant lesions were relatively infrequent, with squamous cell carcinoma (SCC) reported in approximately 3% of cases and adenocarcinoma in 1%.</w:t>
      </w:r>
      <w:r>
        <w:t xml:space="preserve"> </w:t>
      </w:r>
      <w:r>
        <w:t>Clinically, the most common presenting complaints among women with abnormal cytology were lower abdominal pain (25%) and vaginal discharge (20%). The mean age of women exhibiting abnormal cytological findings was 40 years, indicating a higher burden of disease in the middle-aged population. Notably, the study also highlighted that 20% of women with abnormal cytology had presented for routine cervical cancer screening rather than symptom-driven consultation.</w:t>
      </w:r>
      <w:r>
        <w:t xml:space="preserve"> </w:t>
      </w:r>
      <w:r>
        <w:t xml:space="preserve">These findings underscore the importance of routine screening </w:t>
      </w:r>
      <w:proofErr w:type="spellStart"/>
      <w:r>
        <w:t>programmes</w:t>
      </w:r>
      <w:proofErr w:type="spellEnd"/>
      <w:r>
        <w:t xml:space="preserve"> in the early detection of cervical epithelial abnormalities, particularly in resource-limited settings, where opportunistic screening may play a crucial role in reducing the burden of cervical cancer.</w:t>
      </w:r>
    </w:p>
    <w:p w14:paraId="334C4C26" w14:textId="41954A44" w:rsidR="005D6608" w:rsidRDefault="005D6608" w:rsidP="005D6608">
      <w:pPr>
        <w:pStyle w:val="NormalWeb"/>
      </w:pPr>
      <w:r>
        <w:t xml:space="preserve">A study conducted by Neha </w:t>
      </w:r>
      <w:proofErr w:type="spellStart"/>
      <w:r>
        <w:t>Bagga</w:t>
      </w:r>
      <w:proofErr w:type="spellEnd"/>
      <w:r>
        <w:t xml:space="preserve"> et al. (2019) at All India Institute of Medical Sciences Jodhpur evaluated cervical cytology using liquid-based cytology (LBC) over a period of one year. A total of 1,087 cervical smears were </w:t>
      </w:r>
      <w:proofErr w:type="spellStart"/>
      <w:r>
        <w:t>analysed</w:t>
      </w:r>
      <w:proofErr w:type="spellEnd"/>
      <w:r>
        <w:t xml:space="preserve">, of which 999 (91.9%) were deemed satisfactory, while 88 (8.0%) were </w:t>
      </w:r>
      <w:proofErr w:type="spellStart"/>
      <w:r>
        <w:t>categorised</w:t>
      </w:r>
      <w:proofErr w:type="spellEnd"/>
      <w:r>
        <w:t xml:space="preserve"> as unsatisfactory. The predominant cause of unsatisfactory smears was inadequate squamous cellularity, observed in 70 cases (79.5%). Other contributing factors included dense inflammation obscuring the squamous epithelium in 8 cases (9.1%) and a combination of inflammation with reduced epithelial cellularity in 10 cases (11.4%).</w:t>
      </w:r>
      <w:r w:rsidR="009F4DAC">
        <w:t xml:space="preserve"> </w:t>
      </w:r>
      <w:r>
        <w:t xml:space="preserve">Among the 999 satisfactory smears, the majority, 959 cases (96%), were reported as negative for intraepithelial lesion or malignancy (NILM), whereas 40 cases (4%) demonstrated epithelial abnormalities. These abnormal cases constituted 3.6% (40/1,087) of the total smears examined. In addition to epithelial abnormalities, a range of infectious and reactive conditions was identified, including bacterial vaginosis in 209 cases (21.8%), </w:t>
      </w:r>
      <w:r>
        <w:rPr>
          <w:rStyle w:val="Emphasis"/>
        </w:rPr>
        <w:t>Candida</w:t>
      </w:r>
      <w:r>
        <w:t xml:space="preserve"> infection in 77 cases (8.0%), co-infection with bacterial vaginosis and </w:t>
      </w:r>
      <w:r>
        <w:rPr>
          <w:rStyle w:val="Emphasis"/>
        </w:rPr>
        <w:t>Candida</w:t>
      </w:r>
      <w:r>
        <w:t xml:space="preserve"> in 12 cases (1.2%), and </w:t>
      </w:r>
      <w:r>
        <w:rPr>
          <w:rStyle w:val="Emphasis"/>
        </w:rPr>
        <w:lastRenderedPageBreak/>
        <w:t>Trichomonas vaginalis</w:t>
      </w:r>
      <w:r>
        <w:t xml:space="preserve"> in one case. Reactive cellular changes were observed in 193 cases (20.1%), while altered or mixed microbial flora was reported in 112 cases (11.7%).</w:t>
      </w:r>
      <w:r w:rsidR="009F4DAC">
        <w:t xml:space="preserve"> </w:t>
      </w:r>
      <w:r>
        <w:t xml:space="preserve">Within the 40 cases exhibiting epithelial abnormalities, atypical squamous cells of undetermined significance (ASCUS) were the most common finding, accounting for 40% (16/40) of cases. This was followed by atypical squamous cells—cannot exclude high-grade lesion (ASC-H) in 20% (8/40), high-grade squamous intraepithelial lesions (HSIL) in 17% (7/40), low-grade squamous intraepithelial lesions (LSIL) in 10% (4/40), atypical glandular cells </w:t>
      </w:r>
      <w:proofErr w:type="spellStart"/>
      <w:r>
        <w:t>favouring</w:t>
      </w:r>
      <w:proofErr w:type="spellEnd"/>
      <w:r>
        <w:t xml:space="preserve"> neoplasia (AGC-FN) in 3% (1/40), and squamous cell carcinoma (SCC) in 10% (4/40). No cases of LSIL-ASCH overlap or secondary malignancy were identified.</w:t>
      </w:r>
      <w:r w:rsidR="009F4DAC">
        <w:t xml:space="preserve"> </w:t>
      </w:r>
      <w:r>
        <w:t>The authors concluded that liquid-based cytology is an effective method for both screening and diagnosing cervical abnormalities. Furthermore, they observed that the degree of concordance between cytological findings and histopathological diagnosis improved with increasing severity of lesions. Notably, this study represents one of the largest evaluations of LBC-based cervical screening conducted in Western Rajasthan.</w:t>
      </w:r>
    </w:p>
    <w:p w14:paraId="36E6D86C" w14:textId="77777777" w:rsidR="00E60B82" w:rsidRDefault="00E60B82">
      <w:pPr>
        <w:pStyle w:val="Heading1"/>
        <w:spacing w:line="360" w:lineRule="auto"/>
        <w:ind w:left="0" w:right="567" w:firstLineChars="150" w:firstLine="361"/>
        <w:jc w:val="both"/>
        <w:rPr>
          <w:sz w:val="24"/>
          <w:szCs w:val="24"/>
          <w:lang w:val="en-IN"/>
        </w:rPr>
      </w:pPr>
    </w:p>
    <w:p w14:paraId="7A2BA192" w14:textId="77777777" w:rsidR="00E60B82" w:rsidRDefault="00DA2B74">
      <w:pPr>
        <w:pStyle w:val="Heading1"/>
        <w:spacing w:line="360" w:lineRule="auto"/>
        <w:ind w:left="0" w:right="567" w:firstLineChars="150" w:firstLine="361"/>
        <w:jc w:val="both"/>
        <w:rPr>
          <w:sz w:val="24"/>
          <w:szCs w:val="24"/>
        </w:rPr>
      </w:pPr>
      <w:r>
        <w:rPr>
          <w:sz w:val="24"/>
          <w:szCs w:val="24"/>
        </w:rPr>
        <w:t xml:space="preserve">MATERIAL AND </w:t>
      </w:r>
      <w:r>
        <w:rPr>
          <w:spacing w:val="-2"/>
          <w:sz w:val="24"/>
          <w:szCs w:val="24"/>
        </w:rPr>
        <w:t>METHOD</w:t>
      </w:r>
    </w:p>
    <w:p w14:paraId="76E24942" w14:textId="77777777" w:rsidR="00E60B82" w:rsidRDefault="00DA2B74">
      <w:pPr>
        <w:pStyle w:val="BodyText"/>
        <w:spacing w:line="360" w:lineRule="auto"/>
        <w:ind w:left="567" w:firstLineChars="400" w:firstLine="960"/>
        <w:rPr>
          <w:rFonts w:eastAsia="Calibri"/>
          <w:b/>
          <w:bCs/>
        </w:rPr>
      </w:pPr>
      <w:r>
        <w:t xml:space="preserve"> From the period of six months, an observational research study was conducted for a total number of 150 pap smears taken from women between the ages of 20 and 60 years using the Liquid Based Method (LBC) from Dept of Pathology, </w:t>
      </w:r>
      <w:proofErr w:type="spellStart"/>
      <w:r>
        <w:t>Pratiksha</w:t>
      </w:r>
      <w:proofErr w:type="spellEnd"/>
      <w:r>
        <w:t xml:space="preserve"> Hospital, Guwahati, ASSAM, INDIA, from 01.04.2023 to 15.09.2023</w:t>
      </w:r>
    </w:p>
    <w:p w14:paraId="6A2513CC" w14:textId="77777777" w:rsidR="00E60B82" w:rsidRDefault="00DA2B74">
      <w:pPr>
        <w:pStyle w:val="BodyText"/>
        <w:spacing w:line="360" w:lineRule="auto"/>
        <w:ind w:left="567" w:right="567" w:firstLineChars="400" w:firstLine="960"/>
        <w:jc w:val="both"/>
      </w:pPr>
      <w:r>
        <w:t xml:space="preserve"> Trained staff collected Pap cervical smear samples in accordance with the manufacturer's instructions for using the Liquid Based Cytology (LBC) direct to slide method. The LBC approach improves visibility, evaluation, and cellular preservation by successfully capturing entire cellular samples within a consistent, limited area. Within 24 hours of receipt, the samples were processed and stained, and the pathologist reported the slides using the most recent Bethesda methodology. The pre-filled pro form was used to obtain information on the patient's age, marital status, religion, transitional area, reproductive history, present gynecological symptoms (if any), date of Pap smear, and results. All screened women received their results after the screening process, and those with abnormal cytology were sent to the Department of Obstetrics and Gynecology for further necessary examinations and treatment.</w:t>
      </w:r>
    </w:p>
    <w:p w14:paraId="6A7348EB" w14:textId="77777777" w:rsidR="00E60B82" w:rsidRDefault="00E60B82">
      <w:pPr>
        <w:pStyle w:val="BodyText"/>
        <w:spacing w:before="126"/>
      </w:pPr>
    </w:p>
    <w:p w14:paraId="09F206D5" w14:textId="77777777" w:rsidR="00E60B82" w:rsidRDefault="00DA2B74">
      <w:pPr>
        <w:pStyle w:val="Heading1"/>
        <w:ind w:left="567" w:right="567"/>
        <w:jc w:val="both"/>
        <w:rPr>
          <w:sz w:val="24"/>
          <w:szCs w:val="24"/>
        </w:rPr>
      </w:pPr>
      <w:r>
        <w:rPr>
          <w:sz w:val="24"/>
          <w:szCs w:val="24"/>
        </w:rPr>
        <w:t xml:space="preserve">RESULTS </w:t>
      </w:r>
    </w:p>
    <w:p w14:paraId="49AC67F0" w14:textId="77777777" w:rsidR="00E60B82" w:rsidRDefault="00E60B82">
      <w:pPr>
        <w:pStyle w:val="Heading1"/>
        <w:ind w:left="567" w:right="567"/>
        <w:jc w:val="both"/>
        <w:rPr>
          <w:sz w:val="24"/>
          <w:szCs w:val="24"/>
        </w:rPr>
      </w:pPr>
    </w:p>
    <w:p w14:paraId="430B8B54" w14:textId="77777777" w:rsidR="00E60B82" w:rsidRDefault="00DA2B74">
      <w:pPr>
        <w:pStyle w:val="Heading1"/>
        <w:ind w:left="567" w:right="567"/>
        <w:jc w:val="both"/>
        <w:rPr>
          <w:sz w:val="24"/>
          <w:szCs w:val="24"/>
        </w:rPr>
      </w:pPr>
      <w:r>
        <w:rPr>
          <w:b w:val="0"/>
          <w:bCs w:val="0"/>
          <w:sz w:val="24"/>
          <w:szCs w:val="24"/>
        </w:rPr>
        <w:t>The results have been tabulated under</w:t>
      </w:r>
      <w:r>
        <w:rPr>
          <w:b w:val="0"/>
          <w:sz w:val="24"/>
          <w:szCs w:val="24"/>
        </w:rPr>
        <w:t xml:space="preserve"> the </w:t>
      </w:r>
      <w:r>
        <w:rPr>
          <w:b w:val="0"/>
          <w:bCs w:val="0"/>
          <w:sz w:val="24"/>
          <w:szCs w:val="24"/>
        </w:rPr>
        <w:t>respective objectives.</w:t>
      </w:r>
    </w:p>
    <w:p w14:paraId="2CECEB16" w14:textId="77777777" w:rsidR="00E60B82" w:rsidRDefault="00DA2B74">
      <w:pPr>
        <w:ind w:left="567" w:right="567"/>
        <w:jc w:val="both"/>
        <w:outlineLvl w:val="2"/>
        <w:rPr>
          <w:rFonts w:eastAsia="Calibri" w:cs="Calibri"/>
          <w:b/>
          <w:bCs/>
          <w:sz w:val="24"/>
          <w:szCs w:val="24"/>
        </w:rPr>
      </w:pPr>
      <w:r>
        <w:rPr>
          <w:rFonts w:eastAsia="Calibri"/>
          <w:b/>
          <w:bCs/>
          <w:sz w:val="24"/>
          <w:szCs w:val="24"/>
        </w:rPr>
        <w:t xml:space="preserve"> Distribution</w:t>
      </w:r>
      <w:r>
        <w:rPr>
          <w:rFonts w:eastAsia="Calibri" w:cs="Calibri"/>
          <w:b/>
          <w:bCs/>
          <w:sz w:val="24"/>
          <w:szCs w:val="24"/>
        </w:rPr>
        <w:t xml:space="preserve"> of </w:t>
      </w:r>
      <w:r>
        <w:rPr>
          <w:rFonts w:eastAsia="Calibri" w:cs="Calibri"/>
          <w:b/>
          <w:bCs/>
          <w:spacing w:val="-2"/>
          <w:sz w:val="24"/>
          <w:szCs w:val="24"/>
        </w:rPr>
        <w:t>patients</w:t>
      </w:r>
      <w:r>
        <w:rPr>
          <w:rFonts w:eastAsia="Calibri"/>
          <w:b/>
          <w:bCs/>
          <w:sz w:val="24"/>
          <w:szCs w:val="24"/>
        </w:rPr>
        <w:t xml:space="preserve"> according to the PAP Smear</w:t>
      </w:r>
    </w:p>
    <w:p w14:paraId="18036F1B" w14:textId="77777777" w:rsidR="00E60B82" w:rsidRDefault="00DA2B74">
      <w:pPr>
        <w:pStyle w:val="BodyText"/>
        <w:spacing w:line="360" w:lineRule="auto"/>
        <w:ind w:left="567" w:right="567"/>
        <w:jc w:val="both"/>
      </w:pPr>
      <w:r>
        <w:tab/>
      </w:r>
      <w:r>
        <w:tab/>
        <w:t>All samples (n=150) received in the pathology department were processed for cytological investigation through Liquid Based Cytology (LBC). Out of 150 cervical PAP smears that were received from 1April 2023 to 15 September 2023. It was observed that 62 patients had NILM. 66 had inflammatory smears.11 had ASCUS. 6 had LSIL. 4 had HSIL. 1 SCC was diagnosed. Show in (table no 1). The overall percentage of normal smear is 41.3%, Inflammatory smear is 44%, ASCUS 7.3%, LSIL 4%, HSIL 2.7%, and SCC 0.7%.</w:t>
      </w:r>
    </w:p>
    <w:p w14:paraId="28401360" w14:textId="77777777" w:rsidR="00E60B82" w:rsidRDefault="00DA2B74">
      <w:pPr>
        <w:spacing w:before="209"/>
        <w:ind w:left="472"/>
        <w:jc w:val="both"/>
        <w:sectPr w:rsidR="00E60B82">
          <w:headerReference w:type="even" r:id="rId8"/>
          <w:headerReference w:type="default" r:id="rId9"/>
          <w:footerReference w:type="even" r:id="rId10"/>
          <w:footerReference w:type="default" r:id="rId11"/>
          <w:headerReference w:type="first" r:id="rId12"/>
          <w:footerReference w:type="first" r:id="rId13"/>
          <w:type w:val="continuous"/>
          <w:pgSz w:w="11910" w:h="16840"/>
          <w:pgMar w:top="475" w:right="562" w:bottom="274" w:left="432" w:header="720" w:footer="720" w:gutter="0"/>
          <w:cols w:space="720"/>
        </w:sectPr>
      </w:pPr>
      <w:r>
        <w:rPr>
          <w:b/>
          <w:sz w:val="20"/>
        </w:rPr>
        <w:t xml:space="preserve">Table 1: Distribution of patient according to PAP smear </w:t>
      </w:r>
      <w:r>
        <w:rPr>
          <w:b/>
          <w:spacing w:val="-2"/>
          <w:sz w:val="20"/>
        </w:rPr>
        <w:t>finding.</w:t>
      </w:r>
    </w:p>
    <w:p w14:paraId="540577D9" w14:textId="77777777" w:rsidR="00E60B82" w:rsidRDefault="00E60B82">
      <w:pPr>
        <w:pStyle w:val="BodyText"/>
        <w:spacing w:before="3"/>
        <w:rPr>
          <w:sz w:val="16"/>
        </w:rPr>
      </w:pPr>
    </w:p>
    <w:tbl>
      <w:tblPr>
        <w:tblW w:w="0" w:type="auto"/>
        <w:tblInd w:w="1370" w:type="dxa"/>
        <w:tblLayout w:type="fixed"/>
        <w:tblCellMar>
          <w:left w:w="0" w:type="dxa"/>
          <w:right w:w="0" w:type="dxa"/>
        </w:tblCellMar>
        <w:tblLook w:val="04A0" w:firstRow="1" w:lastRow="0" w:firstColumn="1" w:lastColumn="0" w:noHBand="0" w:noVBand="1"/>
      </w:tblPr>
      <w:tblGrid>
        <w:gridCol w:w="2587"/>
        <w:gridCol w:w="2913"/>
        <w:gridCol w:w="2725"/>
      </w:tblGrid>
      <w:tr w:rsidR="00E60B82" w14:paraId="70BAD174" w14:textId="77777777">
        <w:trPr>
          <w:trHeight w:val="556"/>
        </w:trPr>
        <w:tc>
          <w:tcPr>
            <w:tcW w:w="2587" w:type="dxa"/>
            <w:tcBorders>
              <w:top w:val="single" w:sz="4" w:space="0" w:color="000000"/>
              <w:bottom w:val="single" w:sz="4" w:space="0" w:color="000000"/>
            </w:tcBorders>
          </w:tcPr>
          <w:p w14:paraId="70D3A19C" w14:textId="77777777" w:rsidR="00E60B82" w:rsidRDefault="00DA2B74">
            <w:pPr>
              <w:pStyle w:val="TableParagraph"/>
              <w:spacing w:line="265" w:lineRule="exact"/>
              <w:ind w:left="823"/>
              <w:jc w:val="left"/>
              <w:rPr>
                <w:sz w:val="24"/>
              </w:rPr>
            </w:pPr>
            <w:r>
              <w:rPr>
                <w:spacing w:val="-2"/>
                <w:sz w:val="24"/>
              </w:rPr>
              <w:t>R</w:t>
            </w:r>
            <w:proofErr w:type="spellStart"/>
            <w:r>
              <w:rPr>
                <w:spacing w:val="-2"/>
                <w:sz w:val="24"/>
                <w:lang w:val="en-IN"/>
              </w:rPr>
              <w:t>esults</w:t>
            </w:r>
            <w:proofErr w:type="spellEnd"/>
          </w:p>
        </w:tc>
        <w:tc>
          <w:tcPr>
            <w:tcW w:w="2913" w:type="dxa"/>
            <w:tcBorders>
              <w:top w:val="single" w:sz="4" w:space="0" w:color="000000"/>
              <w:bottom w:val="single" w:sz="4" w:space="0" w:color="000000"/>
            </w:tcBorders>
          </w:tcPr>
          <w:p w14:paraId="01EBDF74" w14:textId="77777777" w:rsidR="00E60B82" w:rsidRDefault="00DA2B74">
            <w:pPr>
              <w:pStyle w:val="TableParagraph"/>
              <w:spacing w:line="265" w:lineRule="exact"/>
              <w:ind w:right="54"/>
              <w:rPr>
                <w:sz w:val="24"/>
                <w:lang w:val="en-IN"/>
              </w:rPr>
            </w:pPr>
            <w:r>
              <w:rPr>
                <w:sz w:val="24"/>
                <w:lang w:val="en-IN"/>
              </w:rPr>
              <w:t>No. of Patients</w:t>
            </w:r>
          </w:p>
        </w:tc>
        <w:tc>
          <w:tcPr>
            <w:tcW w:w="2725" w:type="dxa"/>
            <w:tcBorders>
              <w:top w:val="single" w:sz="4" w:space="0" w:color="000000"/>
              <w:bottom w:val="single" w:sz="4" w:space="0" w:color="000000"/>
            </w:tcBorders>
          </w:tcPr>
          <w:p w14:paraId="50E80955" w14:textId="77777777" w:rsidR="00E60B82" w:rsidRDefault="00DA2B74">
            <w:pPr>
              <w:pStyle w:val="TableParagraph"/>
              <w:spacing w:line="265" w:lineRule="exact"/>
              <w:ind w:left="1" w:right="156"/>
              <w:rPr>
                <w:sz w:val="24"/>
              </w:rPr>
            </w:pPr>
            <w:r>
              <w:rPr>
                <w:spacing w:val="-2"/>
                <w:sz w:val="24"/>
              </w:rPr>
              <w:t>P</w:t>
            </w:r>
            <w:proofErr w:type="spellStart"/>
            <w:r>
              <w:rPr>
                <w:spacing w:val="-2"/>
                <w:sz w:val="24"/>
                <w:lang w:val="en-IN"/>
              </w:rPr>
              <w:t>ercentage</w:t>
            </w:r>
            <w:proofErr w:type="spellEnd"/>
          </w:p>
        </w:tc>
      </w:tr>
      <w:tr w:rsidR="00E60B82" w14:paraId="52B9A49D" w14:textId="77777777">
        <w:trPr>
          <w:trHeight w:val="334"/>
        </w:trPr>
        <w:tc>
          <w:tcPr>
            <w:tcW w:w="2587" w:type="dxa"/>
            <w:tcBorders>
              <w:top w:val="single" w:sz="4" w:space="0" w:color="000000"/>
            </w:tcBorders>
          </w:tcPr>
          <w:p w14:paraId="4A023C3C" w14:textId="77777777" w:rsidR="00E60B82" w:rsidRDefault="00DA2B74">
            <w:pPr>
              <w:pStyle w:val="TableParagraph"/>
              <w:spacing w:line="265" w:lineRule="exact"/>
              <w:ind w:left="105"/>
              <w:jc w:val="left"/>
              <w:rPr>
                <w:sz w:val="24"/>
              </w:rPr>
            </w:pPr>
            <w:r>
              <w:rPr>
                <w:sz w:val="24"/>
              </w:rPr>
              <w:t xml:space="preserve">Normal </w:t>
            </w:r>
            <w:r>
              <w:rPr>
                <w:spacing w:val="-2"/>
                <w:sz w:val="24"/>
              </w:rPr>
              <w:t>smear</w:t>
            </w:r>
          </w:p>
        </w:tc>
        <w:tc>
          <w:tcPr>
            <w:tcW w:w="2913" w:type="dxa"/>
            <w:tcBorders>
              <w:top w:val="single" w:sz="4" w:space="0" w:color="000000"/>
            </w:tcBorders>
          </w:tcPr>
          <w:p w14:paraId="52CDB59E" w14:textId="77777777" w:rsidR="00E60B82" w:rsidRDefault="00DA2B74">
            <w:pPr>
              <w:pStyle w:val="TableParagraph"/>
              <w:spacing w:line="265" w:lineRule="exact"/>
              <w:ind w:left="6" w:right="54"/>
              <w:rPr>
                <w:sz w:val="24"/>
              </w:rPr>
            </w:pPr>
            <w:r>
              <w:rPr>
                <w:spacing w:val="-5"/>
                <w:sz w:val="24"/>
              </w:rPr>
              <w:t>62</w:t>
            </w:r>
          </w:p>
        </w:tc>
        <w:tc>
          <w:tcPr>
            <w:tcW w:w="2725" w:type="dxa"/>
            <w:tcBorders>
              <w:top w:val="single" w:sz="4" w:space="0" w:color="000000"/>
            </w:tcBorders>
          </w:tcPr>
          <w:p w14:paraId="38BD56D9" w14:textId="77777777" w:rsidR="00E60B82" w:rsidRDefault="00DA2B74">
            <w:pPr>
              <w:pStyle w:val="TableParagraph"/>
              <w:spacing w:line="265" w:lineRule="exact"/>
              <w:ind w:right="156"/>
              <w:rPr>
                <w:sz w:val="24"/>
              </w:rPr>
            </w:pPr>
            <w:r>
              <w:rPr>
                <w:spacing w:val="-2"/>
                <w:sz w:val="24"/>
              </w:rPr>
              <w:t>41.3%</w:t>
            </w:r>
          </w:p>
        </w:tc>
      </w:tr>
      <w:tr w:rsidR="00E60B82" w14:paraId="21FF983C" w14:textId="77777777">
        <w:trPr>
          <w:trHeight w:val="406"/>
        </w:trPr>
        <w:tc>
          <w:tcPr>
            <w:tcW w:w="2587" w:type="dxa"/>
          </w:tcPr>
          <w:p w14:paraId="36ECF673" w14:textId="77777777" w:rsidR="00E60B82" w:rsidRDefault="00DA2B74">
            <w:pPr>
              <w:pStyle w:val="TableParagraph"/>
              <w:spacing w:before="58"/>
              <w:ind w:left="105"/>
              <w:jc w:val="left"/>
              <w:rPr>
                <w:sz w:val="24"/>
              </w:rPr>
            </w:pPr>
            <w:r>
              <w:rPr>
                <w:sz w:val="24"/>
              </w:rPr>
              <w:t xml:space="preserve">Inflammatory </w:t>
            </w:r>
            <w:r>
              <w:rPr>
                <w:spacing w:val="-2"/>
                <w:sz w:val="24"/>
              </w:rPr>
              <w:t>smears</w:t>
            </w:r>
          </w:p>
        </w:tc>
        <w:tc>
          <w:tcPr>
            <w:tcW w:w="2913" w:type="dxa"/>
          </w:tcPr>
          <w:p w14:paraId="3BB76455" w14:textId="77777777" w:rsidR="00E60B82" w:rsidRDefault="00DA2B74">
            <w:pPr>
              <w:pStyle w:val="TableParagraph"/>
              <w:spacing w:before="58"/>
              <w:ind w:left="6" w:right="54"/>
              <w:rPr>
                <w:sz w:val="24"/>
              </w:rPr>
            </w:pPr>
            <w:r>
              <w:rPr>
                <w:spacing w:val="-5"/>
                <w:sz w:val="24"/>
              </w:rPr>
              <w:t>66</w:t>
            </w:r>
          </w:p>
        </w:tc>
        <w:tc>
          <w:tcPr>
            <w:tcW w:w="2725" w:type="dxa"/>
          </w:tcPr>
          <w:p w14:paraId="0590E075" w14:textId="77777777" w:rsidR="00E60B82" w:rsidRDefault="00DA2B74">
            <w:pPr>
              <w:pStyle w:val="TableParagraph"/>
              <w:spacing w:before="58"/>
              <w:ind w:left="4" w:right="156"/>
              <w:rPr>
                <w:sz w:val="24"/>
              </w:rPr>
            </w:pPr>
            <w:r>
              <w:rPr>
                <w:spacing w:val="-5"/>
                <w:sz w:val="24"/>
              </w:rPr>
              <w:t>44%</w:t>
            </w:r>
          </w:p>
        </w:tc>
      </w:tr>
      <w:tr w:rsidR="00E60B82" w14:paraId="733A9350" w14:textId="77777777">
        <w:trPr>
          <w:trHeight w:val="422"/>
        </w:trPr>
        <w:tc>
          <w:tcPr>
            <w:tcW w:w="2587" w:type="dxa"/>
          </w:tcPr>
          <w:p w14:paraId="65800452" w14:textId="77777777" w:rsidR="00E60B82" w:rsidRDefault="00DA2B74">
            <w:pPr>
              <w:pStyle w:val="TableParagraph"/>
              <w:spacing w:before="62"/>
              <w:ind w:left="105"/>
              <w:jc w:val="left"/>
              <w:rPr>
                <w:sz w:val="24"/>
              </w:rPr>
            </w:pPr>
            <w:r>
              <w:rPr>
                <w:spacing w:val="-2"/>
                <w:sz w:val="24"/>
              </w:rPr>
              <w:t>ASCUS</w:t>
            </w:r>
          </w:p>
        </w:tc>
        <w:tc>
          <w:tcPr>
            <w:tcW w:w="2913" w:type="dxa"/>
          </w:tcPr>
          <w:p w14:paraId="7B32A569" w14:textId="77777777" w:rsidR="00E60B82" w:rsidRDefault="00DA2B74">
            <w:pPr>
              <w:pStyle w:val="TableParagraph"/>
              <w:spacing w:before="62"/>
              <w:ind w:left="6" w:right="54"/>
              <w:rPr>
                <w:sz w:val="24"/>
              </w:rPr>
            </w:pPr>
            <w:r>
              <w:rPr>
                <w:spacing w:val="-5"/>
                <w:sz w:val="24"/>
              </w:rPr>
              <w:t>11</w:t>
            </w:r>
          </w:p>
        </w:tc>
        <w:tc>
          <w:tcPr>
            <w:tcW w:w="2725" w:type="dxa"/>
          </w:tcPr>
          <w:p w14:paraId="6100B55D" w14:textId="77777777" w:rsidR="00E60B82" w:rsidRDefault="00DA2B74">
            <w:pPr>
              <w:pStyle w:val="TableParagraph"/>
              <w:spacing w:before="62"/>
              <w:ind w:left="4" w:right="156"/>
              <w:rPr>
                <w:sz w:val="24"/>
              </w:rPr>
            </w:pPr>
            <w:r>
              <w:rPr>
                <w:spacing w:val="-4"/>
                <w:sz w:val="24"/>
              </w:rPr>
              <w:t>7.3%</w:t>
            </w:r>
          </w:p>
        </w:tc>
      </w:tr>
      <w:tr w:rsidR="00E60B82" w14:paraId="425445E8" w14:textId="77777777">
        <w:trPr>
          <w:trHeight w:val="430"/>
        </w:trPr>
        <w:tc>
          <w:tcPr>
            <w:tcW w:w="2587" w:type="dxa"/>
          </w:tcPr>
          <w:p w14:paraId="29325ECC" w14:textId="77777777" w:rsidR="00E60B82" w:rsidRDefault="00DA2B74">
            <w:pPr>
              <w:pStyle w:val="TableParagraph"/>
              <w:spacing w:before="74"/>
              <w:ind w:left="105"/>
              <w:jc w:val="left"/>
              <w:rPr>
                <w:sz w:val="24"/>
              </w:rPr>
            </w:pPr>
            <w:r>
              <w:rPr>
                <w:spacing w:val="-4"/>
                <w:sz w:val="24"/>
              </w:rPr>
              <w:t>LSIL</w:t>
            </w:r>
          </w:p>
        </w:tc>
        <w:tc>
          <w:tcPr>
            <w:tcW w:w="2913" w:type="dxa"/>
          </w:tcPr>
          <w:p w14:paraId="0C6B7FF8" w14:textId="77777777" w:rsidR="00E60B82" w:rsidRDefault="00DA2B74">
            <w:pPr>
              <w:pStyle w:val="TableParagraph"/>
              <w:spacing w:before="74"/>
              <w:ind w:left="15" w:right="54"/>
              <w:rPr>
                <w:sz w:val="24"/>
              </w:rPr>
            </w:pPr>
            <w:r>
              <w:rPr>
                <w:spacing w:val="-10"/>
                <w:sz w:val="24"/>
              </w:rPr>
              <w:t>6</w:t>
            </w:r>
          </w:p>
        </w:tc>
        <w:tc>
          <w:tcPr>
            <w:tcW w:w="2725" w:type="dxa"/>
          </w:tcPr>
          <w:p w14:paraId="131907FE" w14:textId="77777777" w:rsidR="00E60B82" w:rsidRDefault="00DA2B74">
            <w:pPr>
              <w:pStyle w:val="TableParagraph"/>
              <w:spacing w:before="74"/>
              <w:ind w:left="4" w:right="156"/>
              <w:rPr>
                <w:sz w:val="24"/>
              </w:rPr>
            </w:pPr>
            <w:r>
              <w:rPr>
                <w:spacing w:val="-5"/>
                <w:sz w:val="24"/>
              </w:rPr>
              <w:t>4%</w:t>
            </w:r>
          </w:p>
        </w:tc>
      </w:tr>
      <w:tr w:rsidR="00E60B82" w14:paraId="5CB493E8" w14:textId="77777777">
        <w:trPr>
          <w:trHeight w:val="423"/>
        </w:trPr>
        <w:tc>
          <w:tcPr>
            <w:tcW w:w="2587" w:type="dxa"/>
          </w:tcPr>
          <w:p w14:paraId="360ABCAF" w14:textId="77777777" w:rsidR="00E60B82" w:rsidRDefault="00DA2B74">
            <w:pPr>
              <w:pStyle w:val="TableParagraph"/>
              <w:spacing w:before="70"/>
              <w:ind w:left="105"/>
              <w:jc w:val="left"/>
              <w:rPr>
                <w:sz w:val="24"/>
              </w:rPr>
            </w:pPr>
            <w:r>
              <w:rPr>
                <w:spacing w:val="-4"/>
                <w:sz w:val="24"/>
              </w:rPr>
              <w:t>HSIL</w:t>
            </w:r>
          </w:p>
        </w:tc>
        <w:tc>
          <w:tcPr>
            <w:tcW w:w="2913" w:type="dxa"/>
          </w:tcPr>
          <w:p w14:paraId="54F55286" w14:textId="77777777" w:rsidR="00E60B82" w:rsidRDefault="00DA2B74">
            <w:pPr>
              <w:pStyle w:val="TableParagraph"/>
              <w:spacing w:before="70"/>
              <w:ind w:left="15" w:right="54"/>
              <w:rPr>
                <w:sz w:val="24"/>
              </w:rPr>
            </w:pPr>
            <w:r>
              <w:rPr>
                <w:spacing w:val="-10"/>
                <w:sz w:val="24"/>
              </w:rPr>
              <w:t>4</w:t>
            </w:r>
          </w:p>
        </w:tc>
        <w:tc>
          <w:tcPr>
            <w:tcW w:w="2725" w:type="dxa"/>
          </w:tcPr>
          <w:p w14:paraId="626BCD6C" w14:textId="77777777" w:rsidR="00E60B82" w:rsidRDefault="00DA2B74">
            <w:pPr>
              <w:pStyle w:val="TableParagraph"/>
              <w:spacing w:before="70"/>
              <w:ind w:left="4" w:right="156"/>
              <w:rPr>
                <w:sz w:val="24"/>
              </w:rPr>
            </w:pPr>
            <w:r>
              <w:rPr>
                <w:spacing w:val="-4"/>
                <w:sz w:val="24"/>
              </w:rPr>
              <w:t>2.7%</w:t>
            </w:r>
          </w:p>
        </w:tc>
      </w:tr>
      <w:tr w:rsidR="00E60B82" w14:paraId="2D705F08" w14:textId="77777777">
        <w:trPr>
          <w:trHeight w:val="422"/>
        </w:trPr>
        <w:tc>
          <w:tcPr>
            <w:tcW w:w="2587" w:type="dxa"/>
          </w:tcPr>
          <w:p w14:paraId="169B05CC" w14:textId="77777777" w:rsidR="00E60B82" w:rsidRDefault="00DA2B74">
            <w:pPr>
              <w:pStyle w:val="TableParagraph"/>
              <w:spacing w:before="67"/>
              <w:ind w:left="105"/>
              <w:jc w:val="left"/>
              <w:rPr>
                <w:sz w:val="24"/>
              </w:rPr>
            </w:pPr>
            <w:r>
              <w:rPr>
                <w:spacing w:val="-5"/>
                <w:sz w:val="24"/>
              </w:rPr>
              <w:t>SCC</w:t>
            </w:r>
          </w:p>
        </w:tc>
        <w:tc>
          <w:tcPr>
            <w:tcW w:w="2913" w:type="dxa"/>
          </w:tcPr>
          <w:p w14:paraId="543A26C5" w14:textId="77777777" w:rsidR="00E60B82" w:rsidRDefault="00DA2B74">
            <w:pPr>
              <w:pStyle w:val="TableParagraph"/>
              <w:spacing w:before="67"/>
              <w:ind w:left="15" w:right="54"/>
              <w:rPr>
                <w:sz w:val="24"/>
              </w:rPr>
            </w:pPr>
            <w:r>
              <w:rPr>
                <w:spacing w:val="-10"/>
                <w:sz w:val="24"/>
              </w:rPr>
              <w:t>1</w:t>
            </w:r>
          </w:p>
        </w:tc>
        <w:tc>
          <w:tcPr>
            <w:tcW w:w="2725" w:type="dxa"/>
          </w:tcPr>
          <w:p w14:paraId="55EE2E3B" w14:textId="77777777" w:rsidR="00E60B82" w:rsidRDefault="00DA2B74">
            <w:pPr>
              <w:pStyle w:val="TableParagraph"/>
              <w:spacing w:before="67"/>
              <w:ind w:left="4" w:right="156"/>
              <w:rPr>
                <w:sz w:val="24"/>
              </w:rPr>
            </w:pPr>
            <w:r>
              <w:rPr>
                <w:spacing w:val="-4"/>
                <w:sz w:val="24"/>
              </w:rPr>
              <w:t>0.7%</w:t>
            </w:r>
          </w:p>
        </w:tc>
      </w:tr>
      <w:tr w:rsidR="00E60B82" w14:paraId="35493E42" w14:textId="77777777">
        <w:trPr>
          <w:trHeight w:val="345"/>
        </w:trPr>
        <w:tc>
          <w:tcPr>
            <w:tcW w:w="2587" w:type="dxa"/>
          </w:tcPr>
          <w:p w14:paraId="4AFA8854" w14:textId="77777777" w:rsidR="00E60B82" w:rsidRDefault="00DA2B74">
            <w:pPr>
              <w:pStyle w:val="TableParagraph"/>
              <w:spacing w:before="69" w:line="256" w:lineRule="exact"/>
              <w:ind w:left="105"/>
              <w:jc w:val="left"/>
              <w:rPr>
                <w:sz w:val="24"/>
              </w:rPr>
            </w:pPr>
            <w:r>
              <w:rPr>
                <w:spacing w:val="-2"/>
                <w:sz w:val="24"/>
              </w:rPr>
              <w:t>Total</w:t>
            </w:r>
          </w:p>
        </w:tc>
        <w:tc>
          <w:tcPr>
            <w:tcW w:w="2913" w:type="dxa"/>
          </w:tcPr>
          <w:p w14:paraId="084CD0DE" w14:textId="77777777" w:rsidR="00E60B82" w:rsidRDefault="00DA2B74">
            <w:pPr>
              <w:pStyle w:val="TableParagraph"/>
              <w:spacing w:before="69" w:line="256" w:lineRule="exact"/>
              <w:ind w:left="6" w:right="54"/>
              <w:rPr>
                <w:sz w:val="24"/>
              </w:rPr>
            </w:pPr>
            <w:r>
              <w:rPr>
                <w:spacing w:val="-5"/>
                <w:sz w:val="24"/>
              </w:rPr>
              <w:t>150</w:t>
            </w:r>
          </w:p>
        </w:tc>
        <w:tc>
          <w:tcPr>
            <w:tcW w:w="2725" w:type="dxa"/>
          </w:tcPr>
          <w:p w14:paraId="05F579AB" w14:textId="77777777" w:rsidR="00E60B82" w:rsidRDefault="00DA2B74">
            <w:pPr>
              <w:pStyle w:val="TableParagraph"/>
              <w:spacing w:before="69" w:line="256" w:lineRule="exact"/>
              <w:ind w:left="7" w:right="156"/>
              <w:rPr>
                <w:sz w:val="24"/>
              </w:rPr>
            </w:pPr>
            <w:r>
              <w:rPr>
                <w:spacing w:val="-4"/>
                <w:sz w:val="24"/>
              </w:rPr>
              <w:t>100%</w:t>
            </w:r>
          </w:p>
        </w:tc>
      </w:tr>
    </w:tbl>
    <w:p w14:paraId="55E6391A" w14:textId="77777777" w:rsidR="00E60B82" w:rsidRDefault="00A4551B">
      <w:pPr>
        <w:pStyle w:val="BodyText"/>
        <w:spacing w:before="5"/>
        <w:rPr>
          <w:b/>
          <w:sz w:val="20"/>
        </w:rPr>
      </w:pPr>
      <w:r>
        <w:rPr>
          <w:sz w:val="16"/>
        </w:rPr>
        <w:pict w14:anchorId="4B50849A">
          <v:shape id="Graphic 1" o:spid="_x0000_s1031" style="position:absolute;margin-left:95.4pt;margin-top:10.65pt;width:386.85pt;height:.5pt;z-index:-251657216;mso-wrap-distance-top:0;mso-wrap-distance-bottom:0;mso-position-horizontal-relative:page;mso-position-vertical-relative:text;mso-width-relative:page;mso-height-relative:page" coordsize="4912995,6350" o:spt="100" o:gfxdata="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9NSF9cA&#10;AAAJAQAADwAAAAAAAAABACAAAAAiAAAAZHJzL2Rvd25yZXYueG1sUEsBAhQAFAAAAAgAh07iQBUr&#10;G9AgAgAA3AQAAA4AAAAAAAAAAQAgAAAAJgEAAGRycy9lMm9Eb2MueG1sUEsFBgAAAAAGAAYAWQEA&#10;ALgFAAAAAA==&#10;" adj="0,,0" path="m4912741,l,,,6096r4912741,l4912741,xe" fillcolor="black" stroked="f">
            <v:stroke joinstyle="round"/>
            <v:formulas/>
            <v:path o:connecttype="segments"/>
            <v:textbox inset="0,0,0,0"/>
            <w10:wrap type="topAndBottom" anchorx="page"/>
          </v:shape>
        </w:pict>
      </w:r>
    </w:p>
    <w:p w14:paraId="424A09D6" w14:textId="77777777" w:rsidR="00E60B82" w:rsidRDefault="00E60B82">
      <w:pPr>
        <w:pStyle w:val="BodyText"/>
        <w:spacing w:before="105"/>
        <w:rPr>
          <w:b/>
          <w:sz w:val="20"/>
        </w:rPr>
      </w:pPr>
    </w:p>
    <w:p w14:paraId="2337DFC0" w14:textId="77777777" w:rsidR="00E60B82" w:rsidRDefault="00DA2B74">
      <w:pPr>
        <w:ind w:left="567" w:right="567"/>
        <w:jc w:val="both"/>
        <w:outlineLvl w:val="2"/>
        <w:rPr>
          <w:rFonts w:ascii="Calibri" w:eastAsia="Calibri" w:hAnsi="Calibri" w:cs="Calibri"/>
          <w:b/>
          <w:bCs/>
          <w:sz w:val="24"/>
          <w:szCs w:val="24"/>
        </w:rPr>
      </w:pPr>
      <w:r>
        <w:rPr>
          <w:rFonts w:eastAsia="Calibri"/>
          <w:b/>
          <w:bCs/>
          <w:sz w:val="24"/>
          <w:szCs w:val="24"/>
        </w:rPr>
        <w:t xml:space="preserve">Distribution of </w:t>
      </w:r>
      <w:r>
        <w:rPr>
          <w:rFonts w:eastAsia="Calibri"/>
          <w:b/>
          <w:bCs/>
          <w:spacing w:val="-2"/>
          <w:sz w:val="24"/>
          <w:szCs w:val="24"/>
        </w:rPr>
        <w:t xml:space="preserve">patients </w:t>
      </w:r>
      <w:r>
        <w:rPr>
          <w:rFonts w:eastAsia="Calibri"/>
          <w:b/>
          <w:bCs/>
          <w:sz w:val="24"/>
          <w:szCs w:val="24"/>
        </w:rPr>
        <w:t>according</w:t>
      </w:r>
      <w:r>
        <w:rPr>
          <w:rFonts w:eastAsia="Calibri" w:cs="Calibri"/>
          <w:b/>
          <w:bCs/>
          <w:sz w:val="24"/>
          <w:szCs w:val="24"/>
        </w:rPr>
        <w:t xml:space="preserve"> to age group and PAP smear finding</w:t>
      </w:r>
      <w:r>
        <w:rPr>
          <w:rFonts w:eastAsia="Calibri"/>
          <w:b/>
          <w:bCs/>
          <w:sz w:val="24"/>
          <w:szCs w:val="24"/>
        </w:rPr>
        <w:t>,</w:t>
      </w:r>
      <w:r>
        <w:rPr>
          <w:rFonts w:eastAsia="Calibri" w:cs="Calibri"/>
          <w:b/>
          <w:bCs/>
          <w:sz w:val="24"/>
          <w:szCs w:val="24"/>
        </w:rPr>
        <w:t xml:space="preserve"> the </w:t>
      </w:r>
    </w:p>
    <w:p w14:paraId="0AD12A3D" w14:textId="77777777" w:rsidR="00E60B82" w:rsidRDefault="00E60B82">
      <w:pPr>
        <w:ind w:left="567" w:right="567"/>
        <w:jc w:val="both"/>
        <w:outlineLvl w:val="2"/>
        <w:rPr>
          <w:rFonts w:eastAsia="Calibri" w:cs="Calibri"/>
          <w:b/>
          <w:bCs/>
          <w:sz w:val="24"/>
          <w:szCs w:val="24"/>
        </w:rPr>
      </w:pPr>
    </w:p>
    <w:p w14:paraId="318F87D7" w14:textId="77777777" w:rsidR="00E60B82" w:rsidRDefault="00DA2B74">
      <w:pPr>
        <w:pStyle w:val="BodyText"/>
        <w:spacing w:line="360" w:lineRule="auto"/>
        <w:ind w:left="567" w:right="567"/>
        <w:jc w:val="both"/>
      </w:pPr>
      <w:r>
        <w:t xml:space="preserve">                 In a study, a total of 150 patients were examined across various age groups. Among the patients aged 20- 29, 6 patients had negative results, and 5 patients had an inflammatory smear. In the 30-39 age group, 3 patients tested LSIL, 25 patients had negative, and 21 tested inflammatory smear, while 2,1,2 patients tested ASCUS, LSIL, HSIL in the 40-49 age groups 21 and 29 patients tested negative and inflammatory smear, in 50-60 age groups, the patient had tested 9 ASCUS, 2 LSIL, 2 HSIL, 1 SCC, 10 negative, and 11inflammatory smear. A p-value of 0.005 &lt; 0.05, corresponding to a chi-square test, indicates that there is a significant association between the age of patients and the result of the diagnosis.</w:t>
      </w:r>
    </w:p>
    <w:p w14:paraId="39568D28" w14:textId="77777777" w:rsidR="00E60B82" w:rsidRDefault="00E60B82">
      <w:pPr>
        <w:jc w:val="both"/>
        <w:rPr>
          <w:b/>
          <w:sz w:val="20"/>
        </w:rPr>
      </w:pPr>
    </w:p>
    <w:p w14:paraId="6BFB0C13" w14:textId="77777777" w:rsidR="00E60B82" w:rsidRDefault="00E60B82">
      <w:pPr>
        <w:ind w:left="542"/>
        <w:jc w:val="both"/>
        <w:rPr>
          <w:b/>
          <w:sz w:val="20"/>
        </w:rPr>
      </w:pPr>
    </w:p>
    <w:p w14:paraId="6AE85A9C" w14:textId="77777777" w:rsidR="00E60B82" w:rsidRDefault="00A4551B">
      <w:pPr>
        <w:jc w:val="both"/>
        <w:rPr>
          <w:b/>
          <w:sz w:val="20"/>
        </w:rPr>
      </w:pPr>
      <w:r>
        <w:rPr>
          <w:b/>
          <w:sz w:val="20"/>
        </w:rPr>
        <w:pict w14:anchorId="59F54601">
          <v:shape id="Graphic 2" o:spid="_x0000_s1036" style="position:absolute;left:0;text-align:left;margin-left:41.15pt;margin-top:-18.45pt;width:527.2pt;height:.5pt;z-index:251664384;mso-position-horizontal-relative:page;mso-width-relative:page;mso-height-relative:page" coordsize="6695440,6350" o:spt="100" o:gfxdata="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yV+&#10;E9oAAAALAQAADwAAAAAAAAABACAAAAAiAAAAZHJzL2Rvd25yZXYueG1sUEsBAhQAFAAAAAgAh07i&#10;QFHwVXkgAgAA3AQAAA4AAAAAAAAAAQAgAAAAKQEAAGRycy9lMm9Eb2MueG1sUEsFBgAAAAAGAAYA&#10;WQEAALsFAAAAAA==&#10;" adj="0,,0" path="m6694932,l,,,6096r6694932,l6694932,xe" fillcolor="black" stroked="f">
            <v:stroke joinstyle="round"/>
            <v:formulas/>
            <v:path o:connecttype="segments"/>
            <v:textbox inset="0,0,0,0"/>
            <w10:wrap anchorx="page"/>
          </v:shape>
        </w:pict>
      </w:r>
      <w:r w:rsidR="00DA2B74">
        <w:rPr>
          <w:b/>
          <w:sz w:val="20"/>
        </w:rPr>
        <w:t xml:space="preserve">Table2: Distribution of patients according to age group and PAP smear </w:t>
      </w:r>
      <w:r w:rsidR="00DA2B74">
        <w:rPr>
          <w:b/>
          <w:spacing w:val="-2"/>
          <w:sz w:val="20"/>
        </w:rPr>
        <w:t>findings.</w:t>
      </w:r>
    </w:p>
    <w:p w14:paraId="32464161" w14:textId="77777777" w:rsidR="00E60B82" w:rsidRDefault="00E60B82">
      <w:pPr>
        <w:pStyle w:val="BodyText"/>
        <w:spacing w:line="276" w:lineRule="auto"/>
        <w:jc w:val="both"/>
      </w:pPr>
    </w:p>
    <w:p w14:paraId="75C15348" w14:textId="77777777" w:rsidR="00E60B82" w:rsidRDefault="00E60B82">
      <w:pPr>
        <w:pStyle w:val="BodyText"/>
        <w:spacing w:before="5"/>
        <w:rPr>
          <w:sz w:val="2"/>
        </w:rPr>
      </w:pPr>
    </w:p>
    <w:tbl>
      <w:tblPr>
        <w:tblW w:w="0" w:type="auto"/>
        <w:tblInd w:w="715" w:type="dxa"/>
        <w:tblLayout w:type="fixed"/>
        <w:tblCellMar>
          <w:left w:w="0" w:type="dxa"/>
          <w:right w:w="0" w:type="dxa"/>
        </w:tblCellMar>
        <w:tblLook w:val="04A0" w:firstRow="1" w:lastRow="0" w:firstColumn="1" w:lastColumn="0" w:noHBand="0" w:noVBand="1"/>
      </w:tblPr>
      <w:tblGrid>
        <w:gridCol w:w="924"/>
        <w:gridCol w:w="808"/>
        <w:gridCol w:w="2137"/>
        <w:gridCol w:w="1018"/>
        <w:gridCol w:w="835"/>
        <w:gridCol w:w="849"/>
        <w:gridCol w:w="689"/>
        <w:gridCol w:w="1712"/>
        <w:gridCol w:w="1096"/>
      </w:tblGrid>
      <w:tr w:rsidR="00E60B82" w14:paraId="798AF974" w14:textId="77777777">
        <w:trPr>
          <w:trHeight w:val="695"/>
        </w:trPr>
        <w:tc>
          <w:tcPr>
            <w:tcW w:w="924" w:type="dxa"/>
            <w:tcBorders>
              <w:top w:val="single" w:sz="4" w:space="0" w:color="000000"/>
              <w:bottom w:val="single" w:sz="4" w:space="0" w:color="000000"/>
            </w:tcBorders>
          </w:tcPr>
          <w:p w14:paraId="14A4EB98" w14:textId="77777777" w:rsidR="00E60B82" w:rsidRDefault="00DA2B74">
            <w:pPr>
              <w:pStyle w:val="TableParagraph"/>
              <w:spacing w:before="1"/>
              <w:ind w:left="8" w:right="8"/>
              <w:rPr>
                <w:rFonts w:ascii="Calibri"/>
              </w:rPr>
            </w:pPr>
            <w:r>
              <w:rPr>
                <w:rFonts w:ascii="Calibri"/>
                <w:spacing w:val="-5"/>
              </w:rPr>
              <w:t>Age</w:t>
            </w:r>
          </w:p>
        </w:tc>
        <w:tc>
          <w:tcPr>
            <w:tcW w:w="808" w:type="dxa"/>
            <w:tcBorders>
              <w:top w:val="single" w:sz="4" w:space="0" w:color="000000"/>
              <w:bottom w:val="single" w:sz="4" w:space="0" w:color="000000"/>
            </w:tcBorders>
          </w:tcPr>
          <w:p w14:paraId="15EED234" w14:textId="77777777" w:rsidR="00E60B82" w:rsidRDefault="00DA2B74">
            <w:pPr>
              <w:pStyle w:val="TableParagraph"/>
              <w:spacing w:before="1"/>
              <w:ind w:left="91" w:right="7"/>
              <w:rPr>
                <w:rFonts w:ascii="Calibri"/>
              </w:rPr>
            </w:pPr>
            <w:r>
              <w:rPr>
                <w:rFonts w:ascii="Calibri"/>
                <w:spacing w:val="-4"/>
              </w:rPr>
              <w:t>NILM</w:t>
            </w:r>
          </w:p>
        </w:tc>
        <w:tc>
          <w:tcPr>
            <w:tcW w:w="2137" w:type="dxa"/>
            <w:tcBorders>
              <w:top w:val="single" w:sz="4" w:space="0" w:color="000000"/>
              <w:bottom w:val="single" w:sz="4" w:space="0" w:color="000000"/>
            </w:tcBorders>
          </w:tcPr>
          <w:p w14:paraId="0602E046" w14:textId="77777777" w:rsidR="00E60B82" w:rsidRDefault="00DA2B74">
            <w:pPr>
              <w:pStyle w:val="TableParagraph"/>
              <w:spacing w:before="1"/>
              <w:ind w:left="5" w:right="72"/>
              <w:rPr>
                <w:rFonts w:ascii="Calibri"/>
              </w:rPr>
            </w:pPr>
            <w:r>
              <w:rPr>
                <w:rFonts w:ascii="Calibri"/>
                <w:spacing w:val="-2"/>
              </w:rPr>
              <w:t>Inflammatory smear</w:t>
            </w:r>
          </w:p>
        </w:tc>
        <w:tc>
          <w:tcPr>
            <w:tcW w:w="1018" w:type="dxa"/>
            <w:tcBorders>
              <w:top w:val="single" w:sz="4" w:space="0" w:color="000000"/>
              <w:bottom w:val="single" w:sz="4" w:space="0" w:color="000000"/>
            </w:tcBorders>
          </w:tcPr>
          <w:p w14:paraId="37628691" w14:textId="77777777" w:rsidR="00E60B82" w:rsidRDefault="00DA2B74">
            <w:pPr>
              <w:pStyle w:val="TableParagraph"/>
              <w:spacing w:before="1"/>
              <w:ind w:right="39"/>
              <w:rPr>
                <w:rFonts w:ascii="Calibri"/>
              </w:rPr>
            </w:pPr>
            <w:r>
              <w:rPr>
                <w:rFonts w:ascii="Calibri"/>
                <w:spacing w:val="-2"/>
              </w:rPr>
              <w:t>ASCUS</w:t>
            </w:r>
          </w:p>
        </w:tc>
        <w:tc>
          <w:tcPr>
            <w:tcW w:w="835" w:type="dxa"/>
            <w:tcBorders>
              <w:top w:val="single" w:sz="4" w:space="0" w:color="000000"/>
              <w:bottom w:val="single" w:sz="4" w:space="0" w:color="000000"/>
            </w:tcBorders>
          </w:tcPr>
          <w:p w14:paraId="59D137CC" w14:textId="77777777" w:rsidR="00E60B82" w:rsidRDefault="00DA2B74">
            <w:pPr>
              <w:pStyle w:val="TableParagraph"/>
              <w:spacing w:before="1"/>
              <w:ind w:right="13"/>
              <w:rPr>
                <w:rFonts w:ascii="Calibri"/>
              </w:rPr>
            </w:pPr>
            <w:r>
              <w:rPr>
                <w:rFonts w:ascii="Calibri"/>
                <w:spacing w:val="-4"/>
              </w:rPr>
              <w:t>LSIL</w:t>
            </w:r>
          </w:p>
        </w:tc>
        <w:tc>
          <w:tcPr>
            <w:tcW w:w="849" w:type="dxa"/>
            <w:tcBorders>
              <w:top w:val="single" w:sz="4" w:space="0" w:color="000000"/>
              <w:bottom w:val="single" w:sz="4" w:space="0" w:color="000000"/>
            </w:tcBorders>
          </w:tcPr>
          <w:p w14:paraId="4A56861E" w14:textId="77777777" w:rsidR="00E60B82" w:rsidRDefault="00DA2B74">
            <w:pPr>
              <w:pStyle w:val="TableParagraph"/>
              <w:spacing w:before="1"/>
              <w:ind w:left="61" w:right="14"/>
              <w:rPr>
                <w:rFonts w:ascii="Calibri"/>
              </w:rPr>
            </w:pPr>
            <w:r>
              <w:rPr>
                <w:rFonts w:ascii="Calibri"/>
                <w:spacing w:val="-4"/>
              </w:rPr>
              <w:t>HSIL</w:t>
            </w:r>
          </w:p>
        </w:tc>
        <w:tc>
          <w:tcPr>
            <w:tcW w:w="689" w:type="dxa"/>
            <w:tcBorders>
              <w:top w:val="single" w:sz="4" w:space="0" w:color="000000"/>
              <w:bottom w:val="single" w:sz="4" w:space="0" w:color="000000"/>
            </w:tcBorders>
          </w:tcPr>
          <w:p w14:paraId="74641426" w14:textId="77777777" w:rsidR="00E60B82" w:rsidRDefault="00DA2B74">
            <w:pPr>
              <w:pStyle w:val="TableParagraph"/>
              <w:spacing w:before="1"/>
              <w:ind w:left="74" w:right="6"/>
              <w:rPr>
                <w:rFonts w:ascii="Calibri"/>
              </w:rPr>
            </w:pPr>
            <w:r>
              <w:rPr>
                <w:rFonts w:ascii="Calibri"/>
                <w:spacing w:val="-5"/>
              </w:rPr>
              <w:t>SCC</w:t>
            </w:r>
          </w:p>
        </w:tc>
        <w:tc>
          <w:tcPr>
            <w:tcW w:w="1712" w:type="dxa"/>
            <w:tcBorders>
              <w:top w:val="single" w:sz="4" w:space="0" w:color="000000"/>
              <w:bottom w:val="single" w:sz="4" w:space="0" w:color="000000"/>
            </w:tcBorders>
          </w:tcPr>
          <w:p w14:paraId="3E65DB2F" w14:textId="77777777" w:rsidR="00E60B82" w:rsidRDefault="00DA2B74">
            <w:pPr>
              <w:pStyle w:val="TableParagraph"/>
              <w:spacing w:before="1"/>
              <w:ind w:left="5" w:right="86"/>
              <w:rPr>
                <w:rFonts w:ascii="Calibri"/>
              </w:rPr>
            </w:pPr>
            <w:r>
              <w:rPr>
                <w:rFonts w:ascii="Calibri"/>
              </w:rPr>
              <w:t xml:space="preserve">Percentage </w:t>
            </w:r>
            <w:r>
              <w:rPr>
                <w:rFonts w:ascii="Calibri"/>
                <w:spacing w:val="-5"/>
              </w:rPr>
              <w:t>(%)</w:t>
            </w:r>
          </w:p>
        </w:tc>
        <w:tc>
          <w:tcPr>
            <w:tcW w:w="1096" w:type="dxa"/>
            <w:tcBorders>
              <w:top w:val="single" w:sz="4" w:space="0" w:color="000000"/>
              <w:bottom w:val="single" w:sz="4" w:space="0" w:color="000000"/>
            </w:tcBorders>
          </w:tcPr>
          <w:p w14:paraId="64966AC5" w14:textId="77777777" w:rsidR="00E60B82" w:rsidRDefault="00DA2B74">
            <w:pPr>
              <w:pStyle w:val="TableParagraph"/>
              <w:spacing w:before="1"/>
              <w:ind w:left="28"/>
              <w:rPr>
                <w:rFonts w:ascii="Calibri"/>
              </w:rPr>
            </w:pPr>
            <w:r>
              <w:rPr>
                <w:rFonts w:ascii="Calibri"/>
                <w:lang w:val="en-IN"/>
              </w:rPr>
              <w:t>p value</w:t>
            </w:r>
          </w:p>
        </w:tc>
      </w:tr>
      <w:tr w:rsidR="00E60B82" w14:paraId="33292260" w14:textId="77777777">
        <w:trPr>
          <w:trHeight w:val="385"/>
        </w:trPr>
        <w:tc>
          <w:tcPr>
            <w:tcW w:w="924" w:type="dxa"/>
            <w:tcBorders>
              <w:top w:val="single" w:sz="4" w:space="0" w:color="000000"/>
            </w:tcBorders>
          </w:tcPr>
          <w:p w14:paraId="6390DAF0" w14:textId="77777777" w:rsidR="00E60B82" w:rsidRDefault="00DA2B74">
            <w:pPr>
              <w:pStyle w:val="TableParagraph"/>
              <w:spacing w:before="1"/>
              <w:ind w:left="8" w:right="8"/>
              <w:rPr>
                <w:rFonts w:ascii="Calibri"/>
              </w:rPr>
            </w:pPr>
            <w:r>
              <w:rPr>
                <w:rFonts w:ascii="Calibri"/>
                <w:spacing w:val="-4"/>
              </w:rPr>
              <w:t>20-</w:t>
            </w:r>
            <w:r>
              <w:rPr>
                <w:rFonts w:ascii="Calibri"/>
                <w:spacing w:val="-5"/>
              </w:rPr>
              <w:t>29</w:t>
            </w:r>
          </w:p>
        </w:tc>
        <w:tc>
          <w:tcPr>
            <w:tcW w:w="808" w:type="dxa"/>
            <w:tcBorders>
              <w:top w:val="single" w:sz="4" w:space="0" w:color="000000"/>
            </w:tcBorders>
          </w:tcPr>
          <w:p w14:paraId="472C1682" w14:textId="77777777" w:rsidR="00E60B82" w:rsidRDefault="00DA2B74">
            <w:pPr>
              <w:pStyle w:val="TableParagraph"/>
              <w:spacing w:before="1"/>
              <w:ind w:left="91"/>
              <w:rPr>
                <w:rFonts w:ascii="Calibri"/>
              </w:rPr>
            </w:pPr>
            <w:r>
              <w:rPr>
                <w:rFonts w:ascii="Calibri"/>
                <w:spacing w:val="-10"/>
              </w:rPr>
              <w:t>6</w:t>
            </w:r>
          </w:p>
        </w:tc>
        <w:tc>
          <w:tcPr>
            <w:tcW w:w="2137" w:type="dxa"/>
            <w:tcBorders>
              <w:top w:val="single" w:sz="4" w:space="0" w:color="000000"/>
            </w:tcBorders>
          </w:tcPr>
          <w:p w14:paraId="01685398" w14:textId="77777777" w:rsidR="00E60B82" w:rsidRDefault="00DA2B74">
            <w:pPr>
              <w:pStyle w:val="TableParagraph"/>
              <w:spacing w:before="1"/>
              <w:ind w:left="11" w:right="72"/>
              <w:rPr>
                <w:rFonts w:ascii="Calibri"/>
              </w:rPr>
            </w:pPr>
            <w:r>
              <w:rPr>
                <w:rFonts w:ascii="Calibri"/>
                <w:spacing w:val="-10"/>
              </w:rPr>
              <w:t>5</w:t>
            </w:r>
          </w:p>
        </w:tc>
        <w:tc>
          <w:tcPr>
            <w:tcW w:w="1018" w:type="dxa"/>
            <w:tcBorders>
              <w:top w:val="single" w:sz="4" w:space="0" w:color="000000"/>
            </w:tcBorders>
          </w:tcPr>
          <w:p w14:paraId="1A5BA3F2" w14:textId="77777777" w:rsidR="00E60B82" w:rsidRDefault="00DA2B74">
            <w:pPr>
              <w:pStyle w:val="TableParagraph"/>
              <w:spacing w:before="1"/>
              <w:ind w:left="6" w:right="39"/>
              <w:rPr>
                <w:rFonts w:ascii="Calibri"/>
              </w:rPr>
            </w:pPr>
            <w:r>
              <w:rPr>
                <w:rFonts w:ascii="Calibri"/>
                <w:spacing w:val="-10"/>
              </w:rPr>
              <w:t>0</w:t>
            </w:r>
          </w:p>
        </w:tc>
        <w:tc>
          <w:tcPr>
            <w:tcW w:w="835" w:type="dxa"/>
            <w:tcBorders>
              <w:top w:val="single" w:sz="4" w:space="0" w:color="000000"/>
            </w:tcBorders>
          </w:tcPr>
          <w:p w14:paraId="48AD3775" w14:textId="77777777" w:rsidR="00E60B82" w:rsidRDefault="00DA2B74">
            <w:pPr>
              <w:pStyle w:val="TableParagraph"/>
              <w:spacing w:before="1"/>
              <w:ind w:left="9" w:right="13"/>
              <w:rPr>
                <w:rFonts w:ascii="Calibri"/>
              </w:rPr>
            </w:pPr>
            <w:r>
              <w:rPr>
                <w:rFonts w:ascii="Calibri"/>
                <w:spacing w:val="-10"/>
              </w:rPr>
              <w:t>0</w:t>
            </w:r>
          </w:p>
        </w:tc>
        <w:tc>
          <w:tcPr>
            <w:tcW w:w="849" w:type="dxa"/>
            <w:tcBorders>
              <w:top w:val="single" w:sz="4" w:space="0" w:color="000000"/>
            </w:tcBorders>
          </w:tcPr>
          <w:p w14:paraId="38355FDB" w14:textId="77777777" w:rsidR="00E60B82" w:rsidRDefault="00DA2B74">
            <w:pPr>
              <w:pStyle w:val="TableParagraph"/>
              <w:spacing w:before="1"/>
              <w:ind w:left="61"/>
              <w:rPr>
                <w:rFonts w:ascii="Calibri"/>
              </w:rPr>
            </w:pPr>
            <w:r>
              <w:rPr>
                <w:rFonts w:ascii="Calibri"/>
                <w:spacing w:val="-10"/>
              </w:rPr>
              <w:t>0</w:t>
            </w:r>
          </w:p>
        </w:tc>
        <w:tc>
          <w:tcPr>
            <w:tcW w:w="689" w:type="dxa"/>
            <w:tcBorders>
              <w:top w:val="single" w:sz="4" w:space="0" w:color="000000"/>
            </w:tcBorders>
          </w:tcPr>
          <w:p w14:paraId="72AB1658" w14:textId="77777777" w:rsidR="00E60B82" w:rsidRDefault="00DA2B74">
            <w:pPr>
              <w:pStyle w:val="TableParagraph"/>
              <w:spacing w:before="1"/>
              <w:ind w:left="74"/>
              <w:rPr>
                <w:rFonts w:ascii="Calibri"/>
              </w:rPr>
            </w:pPr>
            <w:r>
              <w:rPr>
                <w:rFonts w:ascii="Calibri"/>
                <w:spacing w:val="-10"/>
              </w:rPr>
              <w:t>0</w:t>
            </w:r>
          </w:p>
        </w:tc>
        <w:tc>
          <w:tcPr>
            <w:tcW w:w="1712" w:type="dxa"/>
            <w:tcBorders>
              <w:top w:val="single" w:sz="4" w:space="0" w:color="000000"/>
            </w:tcBorders>
          </w:tcPr>
          <w:p w14:paraId="28851A3E" w14:textId="77777777" w:rsidR="00E60B82" w:rsidRDefault="00DA2B74">
            <w:pPr>
              <w:pStyle w:val="TableParagraph"/>
              <w:spacing w:before="1"/>
              <w:ind w:left="2" w:right="86"/>
              <w:rPr>
                <w:rFonts w:ascii="Calibri"/>
              </w:rPr>
            </w:pPr>
            <w:r>
              <w:rPr>
                <w:rFonts w:ascii="Calibri"/>
                <w:spacing w:val="-2"/>
              </w:rPr>
              <w:t>7.33%</w:t>
            </w:r>
          </w:p>
        </w:tc>
        <w:tc>
          <w:tcPr>
            <w:tcW w:w="1096" w:type="dxa"/>
            <w:tcBorders>
              <w:top w:val="single" w:sz="4" w:space="0" w:color="000000"/>
            </w:tcBorders>
          </w:tcPr>
          <w:p w14:paraId="154C8222" w14:textId="77777777" w:rsidR="00E60B82" w:rsidRDefault="00E60B82">
            <w:pPr>
              <w:pStyle w:val="TableParagraph"/>
              <w:jc w:val="left"/>
            </w:pPr>
          </w:p>
        </w:tc>
      </w:tr>
      <w:tr w:rsidR="00E60B82" w14:paraId="224A6222" w14:textId="77777777">
        <w:trPr>
          <w:trHeight w:val="460"/>
        </w:trPr>
        <w:tc>
          <w:tcPr>
            <w:tcW w:w="924" w:type="dxa"/>
          </w:tcPr>
          <w:p w14:paraId="4C18966A" w14:textId="77777777" w:rsidR="00E60B82" w:rsidRDefault="00DA2B74">
            <w:pPr>
              <w:pStyle w:val="TableParagraph"/>
              <w:spacing w:before="75"/>
              <w:ind w:left="8" w:right="8"/>
              <w:rPr>
                <w:rFonts w:ascii="Calibri"/>
              </w:rPr>
            </w:pPr>
            <w:r>
              <w:rPr>
                <w:rFonts w:ascii="Calibri"/>
                <w:spacing w:val="-4"/>
              </w:rPr>
              <w:t>30-</w:t>
            </w:r>
            <w:r>
              <w:rPr>
                <w:rFonts w:ascii="Calibri"/>
                <w:spacing w:val="-5"/>
              </w:rPr>
              <w:t>39</w:t>
            </w:r>
          </w:p>
        </w:tc>
        <w:tc>
          <w:tcPr>
            <w:tcW w:w="808" w:type="dxa"/>
          </w:tcPr>
          <w:p w14:paraId="664F3CAB" w14:textId="77777777" w:rsidR="00E60B82" w:rsidRDefault="00DA2B74">
            <w:pPr>
              <w:pStyle w:val="TableParagraph"/>
              <w:spacing w:before="75"/>
              <w:ind w:left="91" w:right="6"/>
              <w:rPr>
                <w:rFonts w:ascii="Calibri"/>
              </w:rPr>
            </w:pPr>
            <w:r>
              <w:rPr>
                <w:rFonts w:ascii="Calibri"/>
                <w:spacing w:val="-5"/>
              </w:rPr>
              <w:t>25</w:t>
            </w:r>
          </w:p>
        </w:tc>
        <w:tc>
          <w:tcPr>
            <w:tcW w:w="2137" w:type="dxa"/>
          </w:tcPr>
          <w:p w14:paraId="08D75600" w14:textId="77777777" w:rsidR="00E60B82" w:rsidRDefault="00DA2B74">
            <w:pPr>
              <w:pStyle w:val="TableParagraph"/>
              <w:spacing w:before="75"/>
              <w:ind w:right="72"/>
              <w:rPr>
                <w:rFonts w:ascii="Calibri"/>
              </w:rPr>
            </w:pPr>
            <w:r>
              <w:rPr>
                <w:rFonts w:ascii="Calibri"/>
                <w:spacing w:val="-5"/>
              </w:rPr>
              <w:t>21</w:t>
            </w:r>
          </w:p>
        </w:tc>
        <w:tc>
          <w:tcPr>
            <w:tcW w:w="1018" w:type="dxa"/>
          </w:tcPr>
          <w:p w14:paraId="480AE45D" w14:textId="77777777" w:rsidR="00E60B82" w:rsidRDefault="00DA2B74">
            <w:pPr>
              <w:pStyle w:val="TableParagraph"/>
              <w:spacing w:before="75"/>
              <w:ind w:left="6" w:right="39"/>
              <w:rPr>
                <w:rFonts w:ascii="Calibri"/>
              </w:rPr>
            </w:pPr>
            <w:r>
              <w:rPr>
                <w:rFonts w:ascii="Calibri"/>
                <w:spacing w:val="-10"/>
              </w:rPr>
              <w:t>0</w:t>
            </w:r>
          </w:p>
        </w:tc>
        <w:tc>
          <w:tcPr>
            <w:tcW w:w="835" w:type="dxa"/>
          </w:tcPr>
          <w:p w14:paraId="64E79D9F" w14:textId="77777777" w:rsidR="00E60B82" w:rsidRDefault="00DA2B74">
            <w:pPr>
              <w:pStyle w:val="TableParagraph"/>
              <w:spacing w:before="75"/>
              <w:ind w:left="9" w:right="13"/>
              <w:rPr>
                <w:rFonts w:ascii="Calibri"/>
              </w:rPr>
            </w:pPr>
            <w:r>
              <w:rPr>
                <w:rFonts w:ascii="Calibri"/>
                <w:spacing w:val="-10"/>
              </w:rPr>
              <w:t>3</w:t>
            </w:r>
          </w:p>
        </w:tc>
        <w:tc>
          <w:tcPr>
            <w:tcW w:w="849" w:type="dxa"/>
          </w:tcPr>
          <w:p w14:paraId="2496D4CD" w14:textId="77777777" w:rsidR="00E60B82" w:rsidRDefault="00DA2B74">
            <w:pPr>
              <w:pStyle w:val="TableParagraph"/>
              <w:spacing w:before="75"/>
              <w:ind w:left="61"/>
              <w:rPr>
                <w:rFonts w:ascii="Calibri"/>
              </w:rPr>
            </w:pPr>
            <w:r>
              <w:rPr>
                <w:rFonts w:ascii="Calibri"/>
                <w:spacing w:val="-10"/>
              </w:rPr>
              <w:t>0</w:t>
            </w:r>
          </w:p>
        </w:tc>
        <w:tc>
          <w:tcPr>
            <w:tcW w:w="689" w:type="dxa"/>
          </w:tcPr>
          <w:p w14:paraId="496E6F80" w14:textId="77777777" w:rsidR="00E60B82" w:rsidRDefault="00DA2B74">
            <w:pPr>
              <w:pStyle w:val="TableParagraph"/>
              <w:spacing w:before="75"/>
              <w:ind w:left="74"/>
              <w:rPr>
                <w:rFonts w:ascii="Calibri"/>
              </w:rPr>
            </w:pPr>
            <w:r>
              <w:rPr>
                <w:rFonts w:ascii="Calibri"/>
                <w:spacing w:val="-10"/>
              </w:rPr>
              <w:t>0</w:t>
            </w:r>
          </w:p>
        </w:tc>
        <w:tc>
          <w:tcPr>
            <w:tcW w:w="1712" w:type="dxa"/>
          </w:tcPr>
          <w:p w14:paraId="2CB84FBA" w14:textId="77777777" w:rsidR="00E60B82" w:rsidRDefault="00DA2B74">
            <w:pPr>
              <w:pStyle w:val="TableParagraph"/>
              <w:spacing w:before="75"/>
              <w:ind w:left="2" w:right="86"/>
              <w:rPr>
                <w:rFonts w:ascii="Calibri"/>
              </w:rPr>
            </w:pPr>
            <w:r>
              <w:rPr>
                <w:rFonts w:ascii="Calibri"/>
                <w:spacing w:val="-2"/>
              </w:rPr>
              <w:t>32.66%</w:t>
            </w:r>
          </w:p>
        </w:tc>
        <w:tc>
          <w:tcPr>
            <w:tcW w:w="1096" w:type="dxa"/>
          </w:tcPr>
          <w:p w14:paraId="35D75E53" w14:textId="77777777" w:rsidR="00E60B82" w:rsidRDefault="00DA2B74">
            <w:pPr>
              <w:pStyle w:val="TableParagraph"/>
              <w:spacing w:before="75"/>
              <w:ind w:left="28"/>
              <w:rPr>
                <w:rFonts w:ascii="Calibri"/>
              </w:rPr>
            </w:pPr>
            <w:r>
              <w:rPr>
                <w:rFonts w:ascii="Calibri"/>
                <w:spacing w:val="-2"/>
              </w:rPr>
              <w:t>18.534</w:t>
            </w:r>
          </w:p>
        </w:tc>
      </w:tr>
      <w:tr w:rsidR="00E60B82" w14:paraId="62FA87B1" w14:textId="77777777">
        <w:trPr>
          <w:trHeight w:val="500"/>
        </w:trPr>
        <w:tc>
          <w:tcPr>
            <w:tcW w:w="924" w:type="dxa"/>
          </w:tcPr>
          <w:p w14:paraId="1AA36CE0" w14:textId="77777777" w:rsidR="00E60B82" w:rsidRDefault="00DA2B74">
            <w:pPr>
              <w:pStyle w:val="TableParagraph"/>
              <w:spacing w:before="77"/>
              <w:ind w:left="8" w:right="8"/>
              <w:rPr>
                <w:rFonts w:ascii="Calibri"/>
              </w:rPr>
            </w:pPr>
            <w:r>
              <w:rPr>
                <w:rFonts w:ascii="Calibri"/>
                <w:spacing w:val="-4"/>
              </w:rPr>
              <w:t>40-</w:t>
            </w:r>
            <w:r>
              <w:rPr>
                <w:rFonts w:ascii="Calibri"/>
                <w:spacing w:val="-5"/>
              </w:rPr>
              <w:t>49</w:t>
            </w:r>
          </w:p>
        </w:tc>
        <w:tc>
          <w:tcPr>
            <w:tcW w:w="808" w:type="dxa"/>
          </w:tcPr>
          <w:p w14:paraId="0A947B89" w14:textId="77777777" w:rsidR="00E60B82" w:rsidRDefault="00DA2B74">
            <w:pPr>
              <w:pStyle w:val="TableParagraph"/>
              <w:spacing w:before="77"/>
              <w:ind w:left="91" w:right="6"/>
              <w:rPr>
                <w:rFonts w:ascii="Calibri"/>
              </w:rPr>
            </w:pPr>
            <w:r>
              <w:rPr>
                <w:rFonts w:ascii="Calibri"/>
                <w:spacing w:val="-5"/>
              </w:rPr>
              <w:t>21</w:t>
            </w:r>
          </w:p>
        </w:tc>
        <w:tc>
          <w:tcPr>
            <w:tcW w:w="2137" w:type="dxa"/>
          </w:tcPr>
          <w:p w14:paraId="7D53E60C" w14:textId="77777777" w:rsidR="00E60B82" w:rsidRDefault="00DA2B74">
            <w:pPr>
              <w:pStyle w:val="TableParagraph"/>
              <w:spacing w:before="77"/>
              <w:ind w:right="72"/>
              <w:rPr>
                <w:rFonts w:ascii="Calibri"/>
              </w:rPr>
            </w:pPr>
            <w:r>
              <w:rPr>
                <w:rFonts w:ascii="Calibri"/>
                <w:spacing w:val="-5"/>
              </w:rPr>
              <w:t>29</w:t>
            </w:r>
          </w:p>
        </w:tc>
        <w:tc>
          <w:tcPr>
            <w:tcW w:w="1018" w:type="dxa"/>
          </w:tcPr>
          <w:p w14:paraId="16AD4BCE" w14:textId="77777777" w:rsidR="00E60B82" w:rsidRDefault="00DA2B74">
            <w:pPr>
              <w:pStyle w:val="TableParagraph"/>
              <w:spacing w:before="77"/>
              <w:ind w:left="6" w:right="39"/>
              <w:rPr>
                <w:rFonts w:ascii="Calibri"/>
              </w:rPr>
            </w:pPr>
            <w:r>
              <w:rPr>
                <w:rFonts w:ascii="Calibri"/>
                <w:spacing w:val="-10"/>
              </w:rPr>
              <w:t>2</w:t>
            </w:r>
          </w:p>
        </w:tc>
        <w:tc>
          <w:tcPr>
            <w:tcW w:w="835" w:type="dxa"/>
          </w:tcPr>
          <w:p w14:paraId="1141D19D" w14:textId="77777777" w:rsidR="00E60B82" w:rsidRDefault="00DA2B74">
            <w:pPr>
              <w:pStyle w:val="TableParagraph"/>
              <w:spacing w:before="77"/>
              <w:ind w:left="9" w:right="13"/>
              <w:rPr>
                <w:rFonts w:ascii="Calibri"/>
              </w:rPr>
            </w:pPr>
            <w:r>
              <w:rPr>
                <w:rFonts w:ascii="Calibri"/>
                <w:spacing w:val="-10"/>
              </w:rPr>
              <w:t>1</w:t>
            </w:r>
          </w:p>
        </w:tc>
        <w:tc>
          <w:tcPr>
            <w:tcW w:w="849" w:type="dxa"/>
          </w:tcPr>
          <w:p w14:paraId="25133B38" w14:textId="77777777" w:rsidR="00E60B82" w:rsidRDefault="00DA2B74">
            <w:pPr>
              <w:pStyle w:val="TableParagraph"/>
              <w:spacing w:before="77"/>
              <w:ind w:left="61"/>
              <w:rPr>
                <w:rFonts w:ascii="Calibri"/>
              </w:rPr>
            </w:pPr>
            <w:r>
              <w:rPr>
                <w:rFonts w:ascii="Calibri"/>
                <w:spacing w:val="-10"/>
              </w:rPr>
              <w:t>2</w:t>
            </w:r>
          </w:p>
        </w:tc>
        <w:tc>
          <w:tcPr>
            <w:tcW w:w="689" w:type="dxa"/>
          </w:tcPr>
          <w:p w14:paraId="6DD39C3F" w14:textId="77777777" w:rsidR="00E60B82" w:rsidRDefault="00DA2B74">
            <w:pPr>
              <w:pStyle w:val="TableParagraph"/>
              <w:spacing w:before="77"/>
              <w:ind w:left="74"/>
              <w:rPr>
                <w:rFonts w:ascii="Calibri"/>
              </w:rPr>
            </w:pPr>
            <w:r>
              <w:rPr>
                <w:rFonts w:ascii="Calibri"/>
                <w:spacing w:val="-10"/>
              </w:rPr>
              <w:t>0</w:t>
            </w:r>
          </w:p>
        </w:tc>
        <w:tc>
          <w:tcPr>
            <w:tcW w:w="1712" w:type="dxa"/>
          </w:tcPr>
          <w:p w14:paraId="6A1E12F9" w14:textId="77777777" w:rsidR="00E60B82" w:rsidRDefault="00DA2B74">
            <w:pPr>
              <w:pStyle w:val="TableParagraph"/>
              <w:spacing w:before="77"/>
              <w:ind w:left="2" w:right="86"/>
              <w:rPr>
                <w:rFonts w:ascii="Calibri"/>
              </w:rPr>
            </w:pPr>
            <w:r>
              <w:rPr>
                <w:rFonts w:ascii="Calibri"/>
                <w:spacing w:val="-2"/>
              </w:rPr>
              <w:t>36.66%</w:t>
            </w:r>
          </w:p>
        </w:tc>
        <w:tc>
          <w:tcPr>
            <w:tcW w:w="1096" w:type="dxa"/>
          </w:tcPr>
          <w:p w14:paraId="1ECABE7D" w14:textId="77777777" w:rsidR="00E60B82" w:rsidRDefault="00DA2B74">
            <w:pPr>
              <w:pStyle w:val="TableParagraph"/>
              <w:spacing w:before="77"/>
              <w:ind w:left="28" w:right="11"/>
              <w:rPr>
                <w:rFonts w:ascii="Calibri"/>
              </w:rPr>
            </w:pPr>
            <w:r>
              <w:rPr>
                <w:rFonts w:ascii="Calibri"/>
                <w:spacing w:val="-2"/>
              </w:rPr>
              <w:t>(0.005)</w:t>
            </w:r>
          </w:p>
        </w:tc>
      </w:tr>
      <w:tr w:rsidR="00E60B82" w14:paraId="4D70F97C" w14:textId="77777777">
        <w:trPr>
          <w:trHeight w:val="500"/>
        </w:trPr>
        <w:tc>
          <w:tcPr>
            <w:tcW w:w="924" w:type="dxa"/>
          </w:tcPr>
          <w:p w14:paraId="403479AD" w14:textId="77777777" w:rsidR="00E60B82" w:rsidRDefault="00DA2B74">
            <w:pPr>
              <w:pStyle w:val="TableParagraph"/>
              <w:spacing w:before="114"/>
              <w:ind w:left="8" w:right="8"/>
              <w:rPr>
                <w:rFonts w:ascii="Calibri"/>
              </w:rPr>
            </w:pPr>
            <w:r>
              <w:rPr>
                <w:rFonts w:ascii="Calibri"/>
                <w:spacing w:val="-4"/>
              </w:rPr>
              <w:t>50-</w:t>
            </w:r>
            <w:r>
              <w:rPr>
                <w:rFonts w:ascii="Calibri"/>
                <w:spacing w:val="-5"/>
              </w:rPr>
              <w:t>60</w:t>
            </w:r>
          </w:p>
        </w:tc>
        <w:tc>
          <w:tcPr>
            <w:tcW w:w="808" w:type="dxa"/>
          </w:tcPr>
          <w:p w14:paraId="382CBCA9" w14:textId="77777777" w:rsidR="00E60B82" w:rsidRDefault="00DA2B74">
            <w:pPr>
              <w:pStyle w:val="TableParagraph"/>
              <w:spacing w:before="114"/>
              <w:ind w:left="91" w:right="6"/>
              <w:rPr>
                <w:rFonts w:ascii="Calibri"/>
              </w:rPr>
            </w:pPr>
            <w:r>
              <w:rPr>
                <w:rFonts w:ascii="Calibri"/>
                <w:spacing w:val="-5"/>
              </w:rPr>
              <w:t>10</w:t>
            </w:r>
          </w:p>
        </w:tc>
        <w:tc>
          <w:tcPr>
            <w:tcW w:w="2137" w:type="dxa"/>
          </w:tcPr>
          <w:p w14:paraId="274E7EEE" w14:textId="77777777" w:rsidR="00E60B82" w:rsidRDefault="00DA2B74">
            <w:pPr>
              <w:pStyle w:val="TableParagraph"/>
              <w:spacing w:before="114"/>
              <w:ind w:right="72"/>
              <w:rPr>
                <w:rFonts w:ascii="Calibri"/>
              </w:rPr>
            </w:pPr>
            <w:r>
              <w:rPr>
                <w:rFonts w:ascii="Calibri"/>
                <w:spacing w:val="-5"/>
              </w:rPr>
              <w:t>11</w:t>
            </w:r>
          </w:p>
        </w:tc>
        <w:tc>
          <w:tcPr>
            <w:tcW w:w="1018" w:type="dxa"/>
          </w:tcPr>
          <w:p w14:paraId="09683AA5" w14:textId="77777777" w:rsidR="00E60B82" w:rsidRDefault="00DA2B74">
            <w:pPr>
              <w:pStyle w:val="TableParagraph"/>
              <w:spacing w:before="114"/>
              <w:ind w:left="6" w:right="39"/>
              <w:rPr>
                <w:rFonts w:ascii="Calibri"/>
              </w:rPr>
            </w:pPr>
            <w:r>
              <w:rPr>
                <w:rFonts w:ascii="Calibri"/>
                <w:spacing w:val="-10"/>
              </w:rPr>
              <w:t>9</w:t>
            </w:r>
          </w:p>
        </w:tc>
        <w:tc>
          <w:tcPr>
            <w:tcW w:w="835" w:type="dxa"/>
          </w:tcPr>
          <w:p w14:paraId="7E9E78AC" w14:textId="77777777" w:rsidR="00E60B82" w:rsidRDefault="00DA2B74">
            <w:pPr>
              <w:pStyle w:val="TableParagraph"/>
              <w:spacing w:before="114"/>
              <w:ind w:left="9" w:right="13"/>
              <w:rPr>
                <w:rFonts w:ascii="Calibri"/>
              </w:rPr>
            </w:pPr>
            <w:r>
              <w:rPr>
                <w:rFonts w:ascii="Calibri"/>
                <w:spacing w:val="-10"/>
              </w:rPr>
              <w:t>2</w:t>
            </w:r>
          </w:p>
        </w:tc>
        <w:tc>
          <w:tcPr>
            <w:tcW w:w="849" w:type="dxa"/>
          </w:tcPr>
          <w:p w14:paraId="2088492F" w14:textId="77777777" w:rsidR="00E60B82" w:rsidRDefault="00DA2B74">
            <w:pPr>
              <w:pStyle w:val="TableParagraph"/>
              <w:spacing w:before="114"/>
              <w:ind w:left="61"/>
              <w:rPr>
                <w:rFonts w:ascii="Calibri"/>
              </w:rPr>
            </w:pPr>
            <w:r>
              <w:rPr>
                <w:rFonts w:ascii="Calibri"/>
                <w:spacing w:val="-10"/>
              </w:rPr>
              <w:t>2</w:t>
            </w:r>
          </w:p>
        </w:tc>
        <w:tc>
          <w:tcPr>
            <w:tcW w:w="689" w:type="dxa"/>
          </w:tcPr>
          <w:p w14:paraId="276C5CBA" w14:textId="77777777" w:rsidR="00E60B82" w:rsidRDefault="00DA2B74">
            <w:pPr>
              <w:pStyle w:val="TableParagraph"/>
              <w:spacing w:before="114"/>
              <w:ind w:left="74"/>
              <w:rPr>
                <w:rFonts w:ascii="Calibri"/>
              </w:rPr>
            </w:pPr>
            <w:r>
              <w:rPr>
                <w:rFonts w:ascii="Calibri"/>
                <w:spacing w:val="-10"/>
              </w:rPr>
              <w:t>1</w:t>
            </w:r>
          </w:p>
        </w:tc>
        <w:tc>
          <w:tcPr>
            <w:tcW w:w="1712" w:type="dxa"/>
          </w:tcPr>
          <w:p w14:paraId="032E1E72" w14:textId="77777777" w:rsidR="00E60B82" w:rsidRDefault="00DA2B74">
            <w:pPr>
              <w:pStyle w:val="TableParagraph"/>
              <w:spacing w:before="114"/>
              <w:ind w:right="86"/>
              <w:rPr>
                <w:rFonts w:ascii="Calibri"/>
              </w:rPr>
            </w:pPr>
            <w:r>
              <w:rPr>
                <w:rFonts w:ascii="Calibri"/>
                <w:spacing w:val="-2"/>
              </w:rPr>
              <w:t>23.33</w:t>
            </w:r>
          </w:p>
        </w:tc>
        <w:tc>
          <w:tcPr>
            <w:tcW w:w="1096" w:type="dxa"/>
          </w:tcPr>
          <w:p w14:paraId="1B52AAD9" w14:textId="77777777" w:rsidR="00E60B82" w:rsidRDefault="00E60B82">
            <w:pPr>
              <w:pStyle w:val="TableParagraph"/>
              <w:jc w:val="left"/>
            </w:pPr>
          </w:p>
        </w:tc>
      </w:tr>
      <w:tr w:rsidR="00E60B82" w14:paraId="60BEC49D" w14:textId="77777777">
        <w:trPr>
          <w:trHeight w:val="342"/>
        </w:trPr>
        <w:tc>
          <w:tcPr>
            <w:tcW w:w="924" w:type="dxa"/>
          </w:tcPr>
          <w:p w14:paraId="021FF2CD" w14:textId="77777777" w:rsidR="00E60B82" w:rsidRDefault="00DA2B74">
            <w:pPr>
              <w:pStyle w:val="TableParagraph"/>
              <w:spacing w:before="77" w:line="245" w:lineRule="exact"/>
              <w:ind w:left="8"/>
              <w:rPr>
                <w:rFonts w:ascii="Calibri"/>
              </w:rPr>
            </w:pPr>
            <w:r>
              <w:rPr>
                <w:rFonts w:ascii="Calibri"/>
                <w:spacing w:val="-2"/>
              </w:rPr>
              <w:t>Total</w:t>
            </w:r>
          </w:p>
        </w:tc>
        <w:tc>
          <w:tcPr>
            <w:tcW w:w="808" w:type="dxa"/>
          </w:tcPr>
          <w:p w14:paraId="1EB25367" w14:textId="77777777" w:rsidR="00E60B82" w:rsidRDefault="00DA2B74">
            <w:pPr>
              <w:pStyle w:val="TableParagraph"/>
              <w:spacing w:before="77" w:line="245" w:lineRule="exact"/>
              <w:ind w:left="91" w:right="6"/>
              <w:rPr>
                <w:rFonts w:ascii="Calibri"/>
              </w:rPr>
            </w:pPr>
            <w:r>
              <w:rPr>
                <w:rFonts w:ascii="Calibri"/>
                <w:spacing w:val="-5"/>
              </w:rPr>
              <w:t>62</w:t>
            </w:r>
          </w:p>
        </w:tc>
        <w:tc>
          <w:tcPr>
            <w:tcW w:w="2137" w:type="dxa"/>
          </w:tcPr>
          <w:p w14:paraId="3A366159" w14:textId="77777777" w:rsidR="00E60B82" w:rsidRDefault="00DA2B74">
            <w:pPr>
              <w:pStyle w:val="TableParagraph"/>
              <w:spacing w:before="77" w:line="245" w:lineRule="exact"/>
              <w:ind w:right="72"/>
              <w:rPr>
                <w:rFonts w:ascii="Calibri"/>
              </w:rPr>
            </w:pPr>
            <w:r>
              <w:rPr>
                <w:rFonts w:ascii="Calibri"/>
                <w:spacing w:val="-5"/>
              </w:rPr>
              <w:t>66</w:t>
            </w:r>
          </w:p>
        </w:tc>
        <w:tc>
          <w:tcPr>
            <w:tcW w:w="1018" w:type="dxa"/>
          </w:tcPr>
          <w:p w14:paraId="53417663" w14:textId="77777777" w:rsidR="00E60B82" w:rsidRDefault="00DA2B74">
            <w:pPr>
              <w:pStyle w:val="TableParagraph"/>
              <w:spacing w:before="77" w:line="245" w:lineRule="exact"/>
              <w:ind w:right="39"/>
              <w:rPr>
                <w:rFonts w:ascii="Calibri"/>
              </w:rPr>
            </w:pPr>
            <w:r>
              <w:rPr>
                <w:rFonts w:ascii="Calibri"/>
                <w:spacing w:val="-5"/>
              </w:rPr>
              <w:t>11</w:t>
            </w:r>
          </w:p>
        </w:tc>
        <w:tc>
          <w:tcPr>
            <w:tcW w:w="835" w:type="dxa"/>
          </w:tcPr>
          <w:p w14:paraId="116792C1" w14:textId="77777777" w:rsidR="00E60B82" w:rsidRDefault="00DA2B74">
            <w:pPr>
              <w:pStyle w:val="TableParagraph"/>
              <w:spacing w:before="77" w:line="245" w:lineRule="exact"/>
              <w:ind w:left="9" w:right="13"/>
              <w:rPr>
                <w:rFonts w:ascii="Calibri"/>
              </w:rPr>
            </w:pPr>
            <w:r>
              <w:rPr>
                <w:rFonts w:ascii="Calibri"/>
                <w:spacing w:val="-10"/>
              </w:rPr>
              <w:t>6</w:t>
            </w:r>
          </w:p>
        </w:tc>
        <w:tc>
          <w:tcPr>
            <w:tcW w:w="849" w:type="dxa"/>
          </w:tcPr>
          <w:p w14:paraId="4D75A0F9" w14:textId="77777777" w:rsidR="00E60B82" w:rsidRDefault="00DA2B74">
            <w:pPr>
              <w:pStyle w:val="TableParagraph"/>
              <w:spacing w:before="77" w:line="245" w:lineRule="exact"/>
              <w:ind w:left="61"/>
              <w:rPr>
                <w:rFonts w:ascii="Calibri"/>
              </w:rPr>
            </w:pPr>
            <w:r>
              <w:rPr>
                <w:rFonts w:ascii="Calibri"/>
                <w:spacing w:val="-10"/>
              </w:rPr>
              <w:t>4</w:t>
            </w:r>
          </w:p>
        </w:tc>
        <w:tc>
          <w:tcPr>
            <w:tcW w:w="689" w:type="dxa"/>
          </w:tcPr>
          <w:p w14:paraId="34AD4667" w14:textId="77777777" w:rsidR="00E60B82" w:rsidRDefault="00DA2B74">
            <w:pPr>
              <w:pStyle w:val="TableParagraph"/>
              <w:spacing w:before="77" w:line="245" w:lineRule="exact"/>
              <w:ind w:left="74"/>
              <w:rPr>
                <w:rFonts w:ascii="Calibri"/>
              </w:rPr>
            </w:pPr>
            <w:r>
              <w:rPr>
                <w:rFonts w:ascii="Calibri"/>
                <w:spacing w:val="-10"/>
              </w:rPr>
              <w:t>1</w:t>
            </w:r>
          </w:p>
        </w:tc>
        <w:tc>
          <w:tcPr>
            <w:tcW w:w="1712" w:type="dxa"/>
          </w:tcPr>
          <w:p w14:paraId="76729E01" w14:textId="77777777" w:rsidR="00E60B82" w:rsidRDefault="00DA2B74">
            <w:pPr>
              <w:pStyle w:val="TableParagraph"/>
              <w:spacing w:before="77" w:line="245" w:lineRule="exact"/>
              <w:ind w:left="1" w:right="86"/>
              <w:rPr>
                <w:rFonts w:ascii="Calibri"/>
              </w:rPr>
            </w:pPr>
            <w:r>
              <w:rPr>
                <w:rFonts w:ascii="Calibri"/>
                <w:spacing w:val="-4"/>
              </w:rPr>
              <w:t>100%</w:t>
            </w:r>
          </w:p>
        </w:tc>
        <w:tc>
          <w:tcPr>
            <w:tcW w:w="1096" w:type="dxa"/>
          </w:tcPr>
          <w:p w14:paraId="26247C3C" w14:textId="77777777" w:rsidR="00E60B82" w:rsidRDefault="00E60B82">
            <w:pPr>
              <w:pStyle w:val="TableParagraph"/>
              <w:jc w:val="left"/>
            </w:pPr>
          </w:p>
        </w:tc>
      </w:tr>
    </w:tbl>
    <w:p w14:paraId="1189AB6E" w14:textId="77777777" w:rsidR="00E60B82" w:rsidRDefault="00E60B82">
      <w:pPr>
        <w:pStyle w:val="BodyText"/>
        <w:rPr>
          <w:sz w:val="20"/>
        </w:rPr>
      </w:pPr>
    </w:p>
    <w:p w14:paraId="6982601E" w14:textId="77777777" w:rsidR="00E60B82" w:rsidRDefault="00E60B82">
      <w:pPr>
        <w:pStyle w:val="BodyText"/>
        <w:spacing w:before="153"/>
        <w:rPr>
          <w:sz w:val="20"/>
        </w:rPr>
      </w:pPr>
    </w:p>
    <w:p w14:paraId="3F867102" w14:textId="77777777" w:rsidR="00E60B82" w:rsidRDefault="00E60B82">
      <w:pPr>
        <w:pStyle w:val="BodyText"/>
        <w:spacing w:before="137"/>
        <w:rPr>
          <w:b/>
          <w:sz w:val="20"/>
        </w:rPr>
      </w:pPr>
    </w:p>
    <w:p w14:paraId="60A6C77E" w14:textId="77777777" w:rsidR="00E60B82" w:rsidRDefault="00DA2B74">
      <w:pPr>
        <w:spacing w:line="360" w:lineRule="auto"/>
        <w:ind w:left="567" w:right="567"/>
        <w:jc w:val="both"/>
        <w:outlineLvl w:val="2"/>
        <w:rPr>
          <w:rFonts w:eastAsia="Calibri" w:cs="Calibri"/>
          <w:b/>
          <w:bCs/>
          <w:sz w:val="24"/>
          <w:szCs w:val="24"/>
        </w:rPr>
      </w:pPr>
      <w:r>
        <w:rPr>
          <w:rFonts w:eastAsia="Calibri"/>
          <w:b/>
          <w:bCs/>
          <w:sz w:val="24"/>
          <w:szCs w:val="24"/>
        </w:rPr>
        <w:t>Distribution</w:t>
      </w:r>
      <w:r>
        <w:rPr>
          <w:rFonts w:eastAsia="Calibri" w:cs="Calibri"/>
          <w:b/>
          <w:bCs/>
          <w:sz w:val="24"/>
          <w:szCs w:val="24"/>
        </w:rPr>
        <w:t xml:space="preserve"> of patients by their </w:t>
      </w:r>
      <w:r>
        <w:rPr>
          <w:rFonts w:eastAsia="Calibri"/>
          <w:b/>
          <w:bCs/>
          <w:spacing w:val="-2"/>
          <w:sz w:val="24"/>
          <w:szCs w:val="24"/>
        </w:rPr>
        <w:t>religion</w:t>
      </w:r>
      <w:r>
        <w:rPr>
          <w:rFonts w:eastAsia="Calibri" w:cs="Calibri"/>
          <w:b/>
          <w:bCs/>
          <w:spacing w:val="-2"/>
          <w:sz w:val="24"/>
          <w:szCs w:val="24"/>
        </w:rPr>
        <w:t>.</w:t>
      </w:r>
    </w:p>
    <w:p w14:paraId="794012E6" w14:textId="77777777" w:rsidR="00E60B82" w:rsidRDefault="00DA2B74">
      <w:pPr>
        <w:pStyle w:val="BodyText"/>
        <w:spacing w:line="360" w:lineRule="auto"/>
        <w:ind w:left="567" w:right="567"/>
        <w:jc w:val="both"/>
      </w:pPr>
      <w:r>
        <w:tab/>
      </w:r>
      <w:r>
        <w:tab/>
        <w:t xml:space="preserve">In the study of the total number of positive cases, among Christian patients, 7 tested positive (4.66%), while 15 Hindu patients tested positive (10%). Among the total number of negative, in the Christian group, 15 patients tested negative (10%). Among Hindus, 44 patients tested negative </w:t>
      </w:r>
      <w:r>
        <w:lastRenderedPageBreak/>
        <w:t xml:space="preserve">(29.33%), and there were 3 negative cases among Islamic patients2%). Total number of Inflammatory Smears, Christian patients had 8 cases of inflammatory smears (5.33%), while Hindu patients had the highest number of such cases at 51 (34%). In the Islamic group, there were 7 cases of inflammatory </w:t>
      </w:r>
      <w:proofErr w:type="gramStart"/>
      <w:r>
        <w:t>smears(</w:t>
      </w:r>
      <w:proofErr w:type="gramEnd"/>
      <w:r>
        <w:t>4.66%). There were a total of 22 positive cases, 62 negative cases, and 66 cases with inflammatory smears among all the patients, accounting for100% of the study population. A P-value of 0.103&gt; 0.05, corresponding to a chi-square test, indicates that there is no significant association between the religion of patients and the result of the diagnosis.</w:t>
      </w:r>
    </w:p>
    <w:p w14:paraId="36FEE186" w14:textId="77777777" w:rsidR="00E60B82" w:rsidRDefault="00E60B82">
      <w:pPr>
        <w:pStyle w:val="BodyText"/>
        <w:spacing w:before="1" w:line="360" w:lineRule="auto"/>
        <w:ind w:left="539" w:right="226"/>
        <w:jc w:val="both"/>
      </w:pPr>
    </w:p>
    <w:p w14:paraId="05C16A08" w14:textId="77777777" w:rsidR="00E60B82" w:rsidRDefault="00DA2B74">
      <w:pPr>
        <w:ind w:left="427"/>
        <w:rPr>
          <w:b/>
          <w:sz w:val="20"/>
        </w:rPr>
      </w:pPr>
      <w:r>
        <w:rPr>
          <w:b/>
          <w:sz w:val="20"/>
        </w:rPr>
        <w:t xml:space="preserve">Table3: Distribution of patients by </w:t>
      </w:r>
      <w:r>
        <w:rPr>
          <w:b/>
          <w:spacing w:val="-2"/>
          <w:sz w:val="20"/>
        </w:rPr>
        <w:t>religion.</w:t>
      </w:r>
    </w:p>
    <w:p w14:paraId="5A43AED2" w14:textId="77777777" w:rsidR="00E60B82" w:rsidRDefault="00E60B82">
      <w:pPr>
        <w:pStyle w:val="BodyText"/>
        <w:spacing w:before="149" w:after="1"/>
        <w:rPr>
          <w:sz w:val="20"/>
        </w:rPr>
      </w:pPr>
    </w:p>
    <w:tbl>
      <w:tblPr>
        <w:tblW w:w="0" w:type="auto"/>
        <w:tblInd w:w="946" w:type="dxa"/>
        <w:tblLayout w:type="fixed"/>
        <w:tblCellMar>
          <w:left w:w="0" w:type="dxa"/>
          <w:right w:w="0" w:type="dxa"/>
        </w:tblCellMar>
        <w:tblLook w:val="04A0" w:firstRow="1" w:lastRow="0" w:firstColumn="1" w:lastColumn="0" w:noHBand="0" w:noVBand="1"/>
      </w:tblPr>
      <w:tblGrid>
        <w:gridCol w:w="1145"/>
        <w:gridCol w:w="1522"/>
        <w:gridCol w:w="1489"/>
        <w:gridCol w:w="1624"/>
        <w:gridCol w:w="2023"/>
        <w:gridCol w:w="912"/>
      </w:tblGrid>
      <w:tr w:rsidR="00E60B82" w14:paraId="235E8BC7" w14:textId="77777777">
        <w:trPr>
          <w:trHeight w:val="810"/>
        </w:trPr>
        <w:tc>
          <w:tcPr>
            <w:tcW w:w="1145" w:type="dxa"/>
            <w:tcBorders>
              <w:top w:val="single" w:sz="4" w:space="0" w:color="000000"/>
              <w:bottom w:val="single" w:sz="4" w:space="0" w:color="000000"/>
            </w:tcBorders>
          </w:tcPr>
          <w:p w14:paraId="5098D5A2" w14:textId="77777777" w:rsidR="00E60B82" w:rsidRDefault="00DA2B74">
            <w:pPr>
              <w:pStyle w:val="TableParagraph"/>
              <w:spacing w:line="268" w:lineRule="exact"/>
              <w:ind w:left="105"/>
              <w:jc w:val="left"/>
              <w:rPr>
                <w:sz w:val="24"/>
              </w:rPr>
            </w:pPr>
            <w:r>
              <w:rPr>
                <w:spacing w:val="-2"/>
                <w:sz w:val="24"/>
              </w:rPr>
              <w:t>Religion</w:t>
            </w:r>
          </w:p>
        </w:tc>
        <w:tc>
          <w:tcPr>
            <w:tcW w:w="1522" w:type="dxa"/>
            <w:tcBorders>
              <w:top w:val="single" w:sz="4" w:space="0" w:color="000000"/>
              <w:bottom w:val="single" w:sz="4" w:space="0" w:color="000000"/>
            </w:tcBorders>
          </w:tcPr>
          <w:p w14:paraId="12489673" w14:textId="77777777" w:rsidR="00E60B82" w:rsidRDefault="00DA2B74">
            <w:pPr>
              <w:pStyle w:val="TableParagraph"/>
              <w:spacing w:line="235" w:lineRule="auto"/>
              <w:ind w:left="359" w:hanging="183"/>
              <w:jc w:val="left"/>
              <w:rPr>
                <w:sz w:val="24"/>
              </w:rPr>
            </w:pPr>
            <w:r>
              <w:rPr>
                <w:sz w:val="24"/>
              </w:rPr>
              <w:t xml:space="preserve">Total. No of </w:t>
            </w:r>
            <w:r>
              <w:rPr>
                <w:spacing w:val="-2"/>
                <w:sz w:val="24"/>
              </w:rPr>
              <w:t>positive</w:t>
            </w:r>
          </w:p>
        </w:tc>
        <w:tc>
          <w:tcPr>
            <w:tcW w:w="1489" w:type="dxa"/>
            <w:tcBorders>
              <w:top w:val="single" w:sz="4" w:space="0" w:color="000000"/>
              <w:bottom w:val="single" w:sz="4" w:space="0" w:color="000000"/>
            </w:tcBorders>
          </w:tcPr>
          <w:p w14:paraId="05C07127" w14:textId="77777777" w:rsidR="00E60B82" w:rsidRDefault="00DA2B74">
            <w:pPr>
              <w:pStyle w:val="TableParagraph"/>
              <w:spacing w:line="235" w:lineRule="auto"/>
              <w:ind w:left="369" w:hanging="152"/>
              <w:jc w:val="left"/>
              <w:rPr>
                <w:sz w:val="24"/>
              </w:rPr>
            </w:pPr>
            <w:r>
              <w:rPr>
                <w:spacing w:val="-2"/>
                <w:sz w:val="24"/>
              </w:rPr>
              <w:t>Total. No of negative</w:t>
            </w:r>
          </w:p>
        </w:tc>
        <w:tc>
          <w:tcPr>
            <w:tcW w:w="1624" w:type="dxa"/>
            <w:tcBorders>
              <w:top w:val="single" w:sz="4" w:space="0" w:color="000000"/>
              <w:bottom w:val="single" w:sz="4" w:space="0" w:color="000000"/>
            </w:tcBorders>
          </w:tcPr>
          <w:p w14:paraId="42C1A18F" w14:textId="77777777" w:rsidR="00E60B82" w:rsidRDefault="00DA2B74">
            <w:pPr>
              <w:pStyle w:val="TableParagraph"/>
              <w:spacing w:line="265" w:lineRule="exact"/>
              <w:ind w:left="166" w:firstLine="96"/>
              <w:jc w:val="left"/>
              <w:rPr>
                <w:sz w:val="24"/>
              </w:rPr>
            </w:pPr>
            <w:r>
              <w:rPr>
                <w:sz w:val="24"/>
              </w:rPr>
              <w:t xml:space="preserve">Total. No </w:t>
            </w:r>
            <w:r>
              <w:rPr>
                <w:spacing w:val="-5"/>
                <w:sz w:val="24"/>
              </w:rPr>
              <w:t>of</w:t>
            </w:r>
          </w:p>
          <w:p w14:paraId="195FD43A" w14:textId="77777777" w:rsidR="00E60B82" w:rsidRDefault="00DA2B74">
            <w:pPr>
              <w:pStyle w:val="TableParagraph"/>
              <w:spacing w:line="268" w:lineRule="exact"/>
              <w:ind w:left="532" w:hanging="366"/>
              <w:jc w:val="left"/>
              <w:rPr>
                <w:sz w:val="24"/>
              </w:rPr>
            </w:pPr>
            <w:r>
              <w:rPr>
                <w:spacing w:val="-4"/>
                <w:sz w:val="24"/>
              </w:rPr>
              <w:t xml:space="preserve">Inflammatory </w:t>
            </w:r>
            <w:r>
              <w:rPr>
                <w:spacing w:val="-2"/>
                <w:sz w:val="24"/>
              </w:rPr>
              <w:t>smear</w:t>
            </w:r>
          </w:p>
        </w:tc>
        <w:tc>
          <w:tcPr>
            <w:tcW w:w="2023" w:type="dxa"/>
            <w:tcBorders>
              <w:top w:val="single" w:sz="4" w:space="0" w:color="000000"/>
              <w:bottom w:val="single" w:sz="4" w:space="0" w:color="000000"/>
            </w:tcBorders>
          </w:tcPr>
          <w:p w14:paraId="77AE66F3" w14:textId="77777777" w:rsidR="00E60B82" w:rsidRDefault="00DA2B74">
            <w:pPr>
              <w:pStyle w:val="TableParagraph"/>
              <w:spacing w:line="268" w:lineRule="exact"/>
              <w:ind w:left="51" w:right="2"/>
              <w:rPr>
                <w:sz w:val="24"/>
              </w:rPr>
            </w:pPr>
            <w:r>
              <w:rPr>
                <w:sz w:val="24"/>
                <w:lang w:val="en-IN"/>
              </w:rPr>
              <w:t>Percentage of attending different religions</w:t>
            </w:r>
          </w:p>
        </w:tc>
        <w:tc>
          <w:tcPr>
            <w:tcW w:w="912" w:type="dxa"/>
            <w:tcBorders>
              <w:top w:val="single" w:sz="4" w:space="0" w:color="000000"/>
              <w:bottom w:val="single" w:sz="4" w:space="0" w:color="000000"/>
            </w:tcBorders>
          </w:tcPr>
          <w:p w14:paraId="78B06D50" w14:textId="77777777" w:rsidR="00E60B82" w:rsidRDefault="00DA2B74">
            <w:pPr>
              <w:pStyle w:val="TableParagraph"/>
              <w:spacing w:line="268" w:lineRule="exact"/>
              <w:ind w:left="48"/>
              <w:rPr>
                <w:sz w:val="24"/>
              </w:rPr>
            </w:pPr>
            <w:r>
              <w:rPr>
                <w:sz w:val="24"/>
              </w:rPr>
              <w:t>P</w:t>
            </w:r>
            <w:r>
              <w:rPr>
                <w:spacing w:val="-2"/>
                <w:sz w:val="24"/>
              </w:rPr>
              <w:t xml:space="preserve"> Value</w:t>
            </w:r>
          </w:p>
        </w:tc>
      </w:tr>
      <w:tr w:rsidR="00E60B82" w14:paraId="72D55AA4" w14:textId="77777777">
        <w:trPr>
          <w:trHeight w:val="354"/>
        </w:trPr>
        <w:tc>
          <w:tcPr>
            <w:tcW w:w="1145" w:type="dxa"/>
            <w:tcBorders>
              <w:top w:val="single" w:sz="4" w:space="0" w:color="000000"/>
            </w:tcBorders>
          </w:tcPr>
          <w:p w14:paraId="7D25128D" w14:textId="77777777" w:rsidR="00E60B82" w:rsidRDefault="00DA2B74">
            <w:pPr>
              <w:pStyle w:val="TableParagraph"/>
              <w:spacing w:line="265" w:lineRule="exact"/>
              <w:ind w:left="105"/>
              <w:jc w:val="left"/>
              <w:rPr>
                <w:sz w:val="24"/>
              </w:rPr>
            </w:pPr>
            <w:r>
              <w:rPr>
                <w:spacing w:val="-2"/>
                <w:sz w:val="24"/>
              </w:rPr>
              <w:t>Christian</w:t>
            </w:r>
          </w:p>
        </w:tc>
        <w:tc>
          <w:tcPr>
            <w:tcW w:w="1522" w:type="dxa"/>
            <w:tcBorders>
              <w:top w:val="single" w:sz="4" w:space="0" w:color="000000"/>
            </w:tcBorders>
          </w:tcPr>
          <w:p w14:paraId="1245B372" w14:textId="77777777" w:rsidR="00E60B82" w:rsidRDefault="00DA2B74">
            <w:pPr>
              <w:pStyle w:val="TableParagraph"/>
              <w:spacing w:line="265" w:lineRule="exact"/>
              <w:ind w:left="10" w:right="37"/>
              <w:rPr>
                <w:sz w:val="24"/>
              </w:rPr>
            </w:pPr>
            <w:r>
              <w:rPr>
                <w:spacing w:val="-10"/>
                <w:sz w:val="24"/>
              </w:rPr>
              <w:t>7</w:t>
            </w:r>
          </w:p>
        </w:tc>
        <w:tc>
          <w:tcPr>
            <w:tcW w:w="1489" w:type="dxa"/>
            <w:tcBorders>
              <w:top w:val="single" w:sz="4" w:space="0" w:color="000000"/>
            </w:tcBorders>
          </w:tcPr>
          <w:p w14:paraId="1701D896" w14:textId="77777777" w:rsidR="00E60B82" w:rsidRDefault="00DA2B74">
            <w:pPr>
              <w:pStyle w:val="TableParagraph"/>
              <w:spacing w:line="265" w:lineRule="exact"/>
              <w:ind w:left="51"/>
              <w:rPr>
                <w:sz w:val="24"/>
              </w:rPr>
            </w:pPr>
            <w:r>
              <w:rPr>
                <w:spacing w:val="-5"/>
                <w:sz w:val="24"/>
              </w:rPr>
              <w:t>15</w:t>
            </w:r>
          </w:p>
        </w:tc>
        <w:tc>
          <w:tcPr>
            <w:tcW w:w="1624" w:type="dxa"/>
            <w:tcBorders>
              <w:top w:val="single" w:sz="4" w:space="0" w:color="000000"/>
            </w:tcBorders>
          </w:tcPr>
          <w:p w14:paraId="3CDEA080" w14:textId="77777777" w:rsidR="00E60B82" w:rsidRDefault="00DA2B74">
            <w:pPr>
              <w:pStyle w:val="TableParagraph"/>
              <w:spacing w:line="265" w:lineRule="exact"/>
              <w:ind w:left="1"/>
              <w:rPr>
                <w:sz w:val="24"/>
              </w:rPr>
            </w:pPr>
            <w:r>
              <w:rPr>
                <w:spacing w:val="-5"/>
                <w:sz w:val="24"/>
              </w:rPr>
              <w:t>08</w:t>
            </w:r>
          </w:p>
        </w:tc>
        <w:tc>
          <w:tcPr>
            <w:tcW w:w="2023" w:type="dxa"/>
            <w:tcBorders>
              <w:top w:val="single" w:sz="4" w:space="0" w:color="000000"/>
            </w:tcBorders>
          </w:tcPr>
          <w:p w14:paraId="43C01635" w14:textId="77777777" w:rsidR="00E60B82" w:rsidRDefault="00DA2B74">
            <w:pPr>
              <w:pStyle w:val="TableParagraph"/>
              <w:spacing w:line="265" w:lineRule="exact"/>
              <w:ind w:left="51" w:right="2"/>
              <w:rPr>
                <w:sz w:val="24"/>
              </w:rPr>
            </w:pPr>
            <w:r>
              <w:rPr>
                <w:spacing w:val="-5"/>
                <w:sz w:val="24"/>
              </w:rPr>
              <w:t>20%</w:t>
            </w:r>
          </w:p>
        </w:tc>
        <w:tc>
          <w:tcPr>
            <w:tcW w:w="912" w:type="dxa"/>
            <w:tcBorders>
              <w:top w:val="single" w:sz="4" w:space="0" w:color="000000"/>
            </w:tcBorders>
          </w:tcPr>
          <w:p w14:paraId="3B20C293" w14:textId="77777777" w:rsidR="00E60B82" w:rsidRDefault="00E60B82">
            <w:pPr>
              <w:pStyle w:val="TableParagraph"/>
              <w:jc w:val="left"/>
            </w:pPr>
          </w:p>
        </w:tc>
      </w:tr>
      <w:tr w:rsidR="00E60B82" w14:paraId="6888C149" w14:textId="77777777">
        <w:trPr>
          <w:trHeight w:val="440"/>
        </w:trPr>
        <w:tc>
          <w:tcPr>
            <w:tcW w:w="1145" w:type="dxa"/>
          </w:tcPr>
          <w:p w14:paraId="7E032C3A" w14:textId="77777777" w:rsidR="00E60B82" w:rsidRDefault="00DA2B74">
            <w:pPr>
              <w:pStyle w:val="TableParagraph"/>
              <w:spacing w:before="79"/>
              <w:ind w:left="105"/>
              <w:jc w:val="left"/>
              <w:rPr>
                <w:sz w:val="24"/>
              </w:rPr>
            </w:pPr>
            <w:r>
              <w:rPr>
                <w:spacing w:val="-2"/>
                <w:sz w:val="24"/>
              </w:rPr>
              <w:t>Hindu</w:t>
            </w:r>
          </w:p>
        </w:tc>
        <w:tc>
          <w:tcPr>
            <w:tcW w:w="1522" w:type="dxa"/>
          </w:tcPr>
          <w:p w14:paraId="5AC4A794" w14:textId="77777777" w:rsidR="00E60B82" w:rsidRDefault="00DA2B74">
            <w:pPr>
              <w:pStyle w:val="TableParagraph"/>
              <w:spacing w:before="79"/>
              <w:ind w:right="37"/>
              <w:rPr>
                <w:sz w:val="24"/>
              </w:rPr>
            </w:pPr>
            <w:r>
              <w:rPr>
                <w:spacing w:val="-5"/>
                <w:sz w:val="24"/>
              </w:rPr>
              <w:t>15</w:t>
            </w:r>
          </w:p>
        </w:tc>
        <w:tc>
          <w:tcPr>
            <w:tcW w:w="1489" w:type="dxa"/>
          </w:tcPr>
          <w:p w14:paraId="455DB201" w14:textId="77777777" w:rsidR="00E60B82" w:rsidRDefault="00DA2B74">
            <w:pPr>
              <w:pStyle w:val="TableParagraph"/>
              <w:spacing w:before="79"/>
              <w:ind w:left="51"/>
              <w:rPr>
                <w:sz w:val="24"/>
              </w:rPr>
            </w:pPr>
            <w:r>
              <w:rPr>
                <w:spacing w:val="-5"/>
                <w:sz w:val="24"/>
              </w:rPr>
              <w:t>44</w:t>
            </w:r>
          </w:p>
        </w:tc>
        <w:tc>
          <w:tcPr>
            <w:tcW w:w="1624" w:type="dxa"/>
          </w:tcPr>
          <w:p w14:paraId="3682B704" w14:textId="77777777" w:rsidR="00E60B82" w:rsidRDefault="00DA2B74">
            <w:pPr>
              <w:pStyle w:val="TableParagraph"/>
              <w:spacing w:before="79"/>
              <w:ind w:left="1"/>
              <w:rPr>
                <w:sz w:val="24"/>
              </w:rPr>
            </w:pPr>
            <w:r>
              <w:rPr>
                <w:spacing w:val="-5"/>
                <w:sz w:val="24"/>
              </w:rPr>
              <w:t>51</w:t>
            </w:r>
          </w:p>
        </w:tc>
        <w:tc>
          <w:tcPr>
            <w:tcW w:w="2023" w:type="dxa"/>
          </w:tcPr>
          <w:p w14:paraId="4FB3E872" w14:textId="77777777" w:rsidR="00E60B82" w:rsidRDefault="00DA2B74">
            <w:pPr>
              <w:pStyle w:val="TableParagraph"/>
              <w:spacing w:before="79"/>
              <w:ind w:left="51"/>
              <w:rPr>
                <w:sz w:val="24"/>
              </w:rPr>
            </w:pPr>
            <w:r>
              <w:rPr>
                <w:spacing w:val="-2"/>
                <w:sz w:val="24"/>
              </w:rPr>
              <w:t>73.33%</w:t>
            </w:r>
          </w:p>
        </w:tc>
        <w:tc>
          <w:tcPr>
            <w:tcW w:w="912" w:type="dxa"/>
          </w:tcPr>
          <w:p w14:paraId="43E94F01" w14:textId="77777777" w:rsidR="00E60B82" w:rsidRDefault="00DA2B74">
            <w:pPr>
              <w:pStyle w:val="TableParagraph"/>
              <w:spacing w:before="79"/>
              <w:ind w:left="48" w:right="3"/>
              <w:rPr>
                <w:sz w:val="24"/>
              </w:rPr>
            </w:pPr>
            <w:r>
              <w:rPr>
                <w:spacing w:val="-2"/>
                <w:sz w:val="24"/>
              </w:rPr>
              <w:t>7.710</w:t>
            </w:r>
          </w:p>
        </w:tc>
      </w:tr>
      <w:tr w:rsidR="00E60B82" w14:paraId="29F6EA37" w14:textId="77777777">
        <w:trPr>
          <w:trHeight w:val="422"/>
        </w:trPr>
        <w:tc>
          <w:tcPr>
            <w:tcW w:w="1145" w:type="dxa"/>
          </w:tcPr>
          <w:p w14:paraId="616C0B3F" w14:textId="77777777" w:rsidR="00E60B82" w:rsidRDefault="00DA2B74">
            <w:pPr>
              <w:pStyle w:val="TableParagraph"/>
              <w:spacing w:before="75"/>
              <w:ind w:left="105"/>
              <w:jc w:val="left"/>
              <w:rPr>
                <w:sz w:val="24"/>
              </w:rPr>
            </w:pPr>
            <w:r>
              <w:rPr>
                <w:spacing w:val="-2"/>
                <w:sz w:val="24"/>
              </w:rPr>
              <w:t>Islam</w:t>
            </w:r>
          </w:p>
        </w:tc>
        <w:tc>
          <w:tcPr>
            <w:tcW w:w="1522" w:type="dxa"/>
          </w:tcPr>
          <w:p w14:paraId="08F86826" w14:textId="77777777" w:rsidR="00E60B82" w:rsidRDefault="00DA2B74">
            <w:pPr>
              <w:pStyle w:val="TableParagraph"/>
              <w:spacing w:before="75"/>
              <w:ind w:right="37"/>
              <w:rPr>
                <w:sz w:val="24"/>
              </w:rPr>
            </w:pPr>
            <w:r>
              <w:rPr>
                <w:spacing w:val="-5"/>
                <w:sz w:val="24"/>
              </w:rPr>
              <w:t>00</w:t>
            </w:r>
          </w:p>
        </w:tc>
        <w:tc>
          <w:tcPr>
            <w:tcW w:w="1489" w:type="dxa"/>
          </w:tcPr>
          <w:p w14:paraId="3CC041BD" w14:textId="77777777" w:rsidR="00E60B82" w:rsidRDefault="00DA2B74">
            <w:pPr>
              <w:pStyle w:val="TableParagraph"/>
              <w:spacing w:before="75"/>
              <w:ind w:left="51"/>
              <w:rPr>
                <w:sz w:val="24"/>
              </w:rPr>
            </w:pPr>
            <w:r>
              <w:rPr>
                <w:spacing w:val="-5"/>
                <w:sz w:val="24"/>
              </w:rPr>
              <w:t>03</w:t>
            </w:r>
          </w:p>
        </w:tc>
        <w:tc>
          <w:tcPr>
            <w:tcW w:w="1624" w:type="dxa"/>
          </w:tcPr>
          <w:p w14:paraId="36A6B186" w14:textId="77777777" w:rsidR="00E60B82" w:rsidRDefault="00DA2B74">
            <w:pPr>
              <w:pStyle w:val="TableParagraph"/>
              <w:spacing w:before="75"/>
              <w:ind w:left="1"/>
              <w:rPr>
                <w:sz w:val="24"/>
              </w:rPr>
            </w:pPr>
            <w:r>
              <w:rPr>
                <w:spacing w:val="-5"/>
                <w:sz w:val="24"/>
              </w:rPr>
              <w:t>07</w:t>
            </w:r>
          </w:p>
        </w:tc>
        <w:tc>
          <w:tcPr>
            <w:tcW w:w="2023" w:type="dxa"/>
          </w:tcPr>
          <w:p w14:paraId="33F52E8F" w14:textId="77777777" w:rsidR="00E60B82" w:rsidRDefault="00DA2B74">
            <w:pPr>
              <w:pStyle w:val="TableParagraph"/>
              <w:spacing w:before="75"/>
              <w:ind w:left="51"/>
              <w:rPr>
                <w:sz w:val="24"/>
              </w:rPr>
            </w:pPr>
            <w:r>
              <w:rPr>
                <w:spacing w:val="-2"/>
                <w:sz w:val="24"/>
              </w:rPr>
              <w:t>6.66%</w:t>
            </w:r>
          </w:p>
        </w:tc>
        <w:tc>
          <w:tcPr>
            <w:tcW w:w="912" w:type="dxa"/>
          </w:tcPr>
          <w:p w14:paraId="6007E55C" w14:textId="77777777" w:rsidR="00E60B82" w:rsidRDefault="00DA2B74">
            <w:pPr>
              <w:pStyle w:val="TableParagraph"/>
              <w:spacing w:before="75"/>
              <w:ind w:left="48" w:right="8"/>
              <w:rPr>
                <w:sz w:val="24"/>
              </w:rPr>
            </w:pPr>
            <w:r>
              <w:rPr>
                <w:spacing w:val="-2"/>
                <w:sz w:val="24"/>
              </w:rPr>
              <w:t>(0.103)</w:t>
            </w:r>
          </w:p>
        </w:tc>
      </w:tr>
      <w:tr w:rsidR="00E60B82" w14:paraId="34BD1D65" w14:textId="77777777">
        <w:trPr>
          <w:trHeight w:val="336"/>
        </w:trPr>
        <w:tc>
          <w:tcPr>
            <w:tcW w:w="1145" w:type="dxa"/>
          </w:tcPr>
          <w:p w14:paraId="00841A20" w14:textId="77777777" w:rsidR="00E60B82" w:rsidRDefault="00DA2B74">
            <w:pPr>
              <w:pStyle w:val="TableParagraph"/>
              <w:spacing w:before="61" w:line="256" w:lineRule="exact"/>
              <w:ind w:left="115"/>
              <w:jc w:val="left"/>
              <w:rPr>
                <w:sz w:val="24"/>
              </w:rPr>
            </w:pPr>
            <w:r>
              <w:rPr>
                <w:spacing w:val="-2"/>
                <w:sz w:val="24"/>
              </w:rPr>
              <w:t>Total</w:t>
            </w:r>
          </w:p>
        </w:tc>
        <w:tc>
          <w:tcPr>
            <w:tcW w:w="1522" w:type="dxa"/>
          </w:tcPr>
          <w:p w14:paraId="66EADE71" w14:textId="77777777" w:rsidR="00E60B82" w:rsidRDefault="00DA2B74">
            <w:pPr>
              <w:pStyle w:val="TableParagraph"/>
              <w:spacing w:before="61" w:line="256" w:lineRule="exact"/>
              <w:ind w:right="37"/>
              <w:rPr>
                <w:sz w:val="24"/>
              </w:rPr>
            </w:pPr>
            <w:r>
              <w:rPr>
                <w:spacing w:val="-5"/>
                <w:sz w:val="24"/>
              </w:rPr>
              <w:t>22</w:t>
            </w:r>
          </w:p>
        </w:tc>
        <w:tc>
          <w:tcPr>
            <w:tcW w:w="1489" w:type="dxa"/>
          </w:tcPr>
          <w:p w14:paraId="5B648452" w14:textId="77777777" w:rsidR="00E60B82" w:rsidRDefault="00DA2B74">
            <w:pPr>
              <w:pStyle w:val="TableParagraph"/>
              <w:spacing w:before="61" w:line="256" w:lineRule="exact"/>
              <w:ind w:left="51"/>
              <w:rPr>
                <w:sz w:val="24"/>
              </w:rPr>
            </w:pPr>
            <w:r>
              <w:rPr>
                <w:spacing w:val="-5"/>
                <w:sz w:val="24"/>
              </w:rPr>
              <w:t>62</w:t>
            </w:r>
          </w:p>
        </w:tc>
        <w:tc>
          <w:tcPr>
            <w:tcW w:w="1624" w:type="dxa"/>
          </w:tcPr>
          <w:p w14:paraId="3A3518FA" w14:textId="77777777" w:rsidR="00E60B82" w:rsidRDefault="00DA2B74">
            <w:pPr>
              <w:pStyle w:val="TableParagraph"/>
              <w:spacing w:before="61" w:line="256" w:lineRule="exact"/>
              <w:ind w:left="1"/>
              <w:rPr>
                <w:sz w:val="24"/>
              </w:rPr>
            </w:pPr>
            <w:r>
              <w:rPr>
                <w:spacing w:val="-5"/>
                <w:sz w:val="24"/>
              </w:rPr>
              <w:t>66</w:t>
            </w:r>
          </w:p>
        </w:tc>
        <w:tc>
          <w:tcPr>
            <w:tcW w:w="2023" w:type="dxa"/>
          </w:tcPr>
          <w:p w14:paraId="220C0AD6" w14:textId="77777777" w:rsidR="00E60B82" w:rsidRDefault="00DA2B74">
            <w:pPr>
              <w:pStyle w:val="TableParagraph"/>
              <w:spacing w:before="61" w:line="256" w:lineRule="exact"/>
              <w:ind w:left="51" w:right="2"/>
              <w:rPr>
                <w:sz w:val="24"/>
              </w:rPr>
            </w:pPr>
            <w:r>
              <w:rPr>
                <w:spacing w:val="-4"/>
                <w:sz w:val="24"/>
              </w:rPr>
              <w:t>100%</w:t>
            </w:r>
          </w:p>
        </w:tc>
        <w:tc>
          <w:tcPr>
            <w:tcW w:w="912" w:type="dxa"/>
          </w:tcPr>
          <w:p w14:paraId="43086951" w14:textId="77777777" w:rsidR="00E60B82" w:rsidRDefault="00E60B82">
            <w:pPr>
              <w:pStyle w:val="TableParagraph"/>
              <w:jc w:val="left"/>
            </w:pPr>
          </w:p>
        </w:tc>
      </w:tr>
    </w:tbl>
    <w:p w14:paraId="561D84C8" w14:textId="77777777" w:rsidR="00E60B82" w:rsidRDefault="00A4551B">
      <w:pPr>
        <w:pStyle w:val="BodyText"/>
        <w:spacing w:before="64"/>
        <w:rPr>
          <w:sz w:val="20"/>
        </w:rPr>
      </w:pPr>
      <w:r>
        <w:rPr>
          <w:sz w:val="20"/>
        </w:rPr>
        <w:pict w14:anchorId="3D791615">
          <v:shape id="Graphic 3" o:spid="_x0000_s1033" style="position:absolute;margin-left:70.2pt;margin-top:15.9pt;width:439.05pt;height:.5pt;z-index:-251656192;mso-wrap-distance-top:0;mso-wrap-distance-bottom:0;mso-position-horizontal-relative:page;mso-position-vertical-relative:text;mso-width-relative:page;mso-height-relative:page" coordsize="5575935,6350" o:spt="100" o:gfxdata="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LRx&#10;d9kAAAAKAQAADwAAAAAAAAABACAAAAAiAAAAZHJzL2Rvd25yZXYueG1sUEsBAhQAFAAAAAgAh07i&#10;QGY2Y0chAgAA3AQAAA4AAAAAAAAAAQAgAAAAKAEAAGRycy9lMm9Eb2MueG1sUEsFBgAAAAAGAAYA&#10;WQEAALsFAAAAAA==&#10;" adj="0,,0" path="m5575681,l,,,6095r5575681,l5575681,xe" fillcolor="black" stroked="f">
            <v:stroke joinstyle="round"/>
            <v:formulas/>
            <v:path o:connecttype="segments"/>
            <v:textbox inset="0,0,0,0"/>
            <w10:wrap type="topAndBottom" anchorx="page"/>
          </v:shape>
        </w:pict>
      </w:r>
    </w:p>
    <w:p w14:paraId="457BC55F" w14:textId="77777777" w:rsidR="00E60B82" w:rsidRDefault="00E60B82">
      <w:pPr>
        <w:pStyle w:val="BodyText"/>
        <w:spacing w:before="32"/>
        <w:rPr>
          <w:sz w:val="20"/>
        </w:rPr>
      </w:pPr>
    </w:p>
    <w:p w14:paraId="384FA9C0" w14:textId="77777777" w:rsidR="00E60B82" w:rsidRDefault="00DA2B74">
      <w:pPr>
        <w:ind w:left="427"/>
        <w:rPr>
          <w:b/>
          <w:sz w:val="20"/>
        </w:rPr>
      </w:pPr>
      <w:r>
        <w:rPr>
          <w:b/>
          <w:spacing w:val="-2"/>
          <w:sz w:val="20"/>
        </w:rPr>
        <w:t>.</w:t>
      </w:r>
    </w:p>
    <w:p w14:paraId="5B489B35" w14:textId="77777777" w:rsidR="00E60B82" w:rsidRDefault="00DA2B74">
      <w:pPr>
        <w:pStyle w:val="Heading3"/>
        <w:spacing w:line="360" w:lineRule="auto"/>
        <w:ind w:left="567" w:right="567"/>
        <w:jc w:val="both"/>
        <w:rPr>
          <w:rFonts w:ascii="Times New Roman" w:hAnsi="Times New Roman"/>
        </w:rPr>
      </w:pPr>
      <w:r>
        <w:rPr>
          <w:rFonts w:ascii="Times New Roman" w:hAnsi="Times New Roman" w:cs="Times New Roman"/>
        </w:rPr>
        <w:t>Distribution</w:t>
      </w:r>
      <w:r>
        <w:rPr>
          <w:rFonts w:ascii="Times New Roman" w:hAnsi="Times New Roman"/>
        </w:rPr>
        <w:t xml:space="preserve"> of patients by their marital status and their corresponding test </w:t>
      </w:r>
      <w:r>
        <w:rPr>
          <w:rFonts w:ascii="Times New Roman" w:hAnsi="Times New Roman"/>
          <w:spacing w:val="-2"/>
        </w:rPr>
        <w:t>results.</w:t>
      </w:r>
    </w:p>
    <w:p w14:paraId="0B77384B" w14:textId="77777777" w:rsidR="00E60B82" w:rsidRDefault="00DA2B74">
      <w:pPr>
        <w:pStyle w:val="BodyText"/>
        <w:spacing w:line="360" w:lineRule="auto"/>
        <w:ind w:left="567" w:right="567"/>
        <w:jc w:val="both"/>
      </w:pPr>
      <w:r>
        <w:t xml:space="preserve">               In the study, Patients are classified into two main groups: "Married" and "</w:t>
      </w:r>
      <w:proofErr w:type="spellStart"/>
      <w:r>
        <w:t>Unmarried."In</w:t>
      </w:r>
      <w:proofErr w:type="spellEnd"/>
      <w:r>
        <w:t xml:space="preserve"> total, No. of Positive Cases, </w:t>
      </w:r>
      <w:proofErr w:type="gramStart"/>
      <w:r>
        <w:t>Among</w:t>
      </w:r>
      <w:proofErr w:type="gramEnd"/>
      <w:r>
        <w:t xml:space="preserve"> married patients, 22 tested positive for a particular condition, while there were no positive cases among unmarried patients. In total, No. of Negative Cases, in the married group, 51patients tested negative (34%), while 11 unmarried patients tested negative (7.33%). Total No. of Inflammatory Smears, </w:t>
      </w:r>
      <w:proofErr w:type="gramStart"/>
      <w:r>
        <w:t>Among</w:t>
      </w:r>
      <w:proofErr w:type="gramEnd"/>
      <w:r>
        <w:t xml:space="preserve"> married patients, 53 cases (35.33%) of inflammatory smears were observed, while among unmarried patients, there were 13 such cases (8.66%). The overall percentage of married patients is 84%, and unmarried patients is 16%, accounting for 100% of the study population. A p-value of 0.041&lt;0.05, corresponding to chi-square test, indicates that there is a significant association between the marital status of patients and the result of the diagnosis.</w:t>
      </w:r>
    </w:p>
    <w:p w14:paraId="4781D2AA" w14:textId="77777777" w:rsidR="00E60B82" w:rsidRDefault="00E60B82">
      <w:pPr>
        <w:pStyle w:val="BodyText"/>
        <w:spacing w:line="276" w:lineRule="auto"/>
        <w:jc w:val="both"/>
      </w:pPr>
    </w:p>
    <w:p w14:paraId="34BD218D" w14:textId="77777777" w:rsidR="00E60B82" w:rsidRDefault="00DA2B74">
      <w:pPr>
        <w:rPr>
          <w:b/>
          <w:spacing w:val="-2"/>
          <w:sz w:val="20"/>
        </w:rPr>
      </w:pPr>
      <w:r>
        <w:rPr>
          <w:b/>
          <w:sz w:val="20"/>
          <w:lang w:val="en-IN"/>
        </w:rPr>
        <w:t xml:space="preserve"> </w:t>
      </w:r>
      <w:r w:rsidR="00A4551B">
        <w:rPr>
          <w:b/>
          <w:sz w:val="20"/>
        </w:rPr>
        <w:pict w14:anchorId="62104229">
          <v:shape id="Graphic 4" o:spid="_x0000_s1040" style="position:absolute;margin-left:60pt;margin-top:-13.75pt;width:508.55pt;height:.5pt;z-index:251665408;mso-position-horizontal-relative:page;mso-position-vertical-relative:text;mso-width-relative:page;mso-height-relative:page" coordsize="6458585,6350" o:spt="100" o:gfxdata="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qHcG3XAAAA&#10;DAEAAA8AAAAAAAAAAQAgAAAAIgAAAGRycy9kb3ducmV2LnhtbFBLAQIUABQAAAAIAIdO4kDlHsZ5&#10;HgIAANwEAAAOAAAAAAAAAAEAIAAAACYBAABkcnMvZTJvRG9jLnhtbFBLBQYAAAAABgAGAFkBAAC2&#10;BQAAAAA=&#10;" adj="0,,0" path="m6458458,l,,,6096r6458458,l6458458,xe" fillcolor="black" stroked="f">
            <v:stroke joinstyle="round"/>
            <v:formulas/>
            <v:path o:connecttype="segments"/>
            <v:textbox inset="0,0,0,0"/>
            <w10:wrap anchorx="page"/>
          </v:shape>
        </w:pict>
      </w:r>
      <w:r>
        <w:rPr>
          <w:b/>
          <w:sz w:val="20"/>
          <w:lang w:val="en-IN"/>
        </w:rPr>
        <w:t xml:space="preserve"> </w:t>
      </w:r>
      <w:r>
        <w:rPr>
          <w:b/>
          <w:sz w:val="20"/>
        </w:rPr>
        <w:t xml:space="preserve">Table 4: Distribution of patients by material </w:t>
      </w:r>
      <w:r>
        <w:rPr>
          <w:b/>
          <w:spacing w:val="-2"/>
          <w:sz w:val="20"/>
        </w:rPr>
        <w:t>status.</w:t>
      </w:r>
    </w:p>
    <w:p w14:paraId="26FD79E7" w14:textId="77777777" w:rsidR="00E60B82" w:rsidRDefault="00E60B82">
      <w:pPr>
        <w:rPr>
          <w:b/>
          <w:spacing w:val="-2"/>
          <w:sz w:val="20"/>
        </w:rPr>
      </w:pPr>
    </w:p>
    <w:p w14:paraId="7AA11FB7" w14:textId="77777777" w:rsidR="00E60B82" w:rsidRDefault="00E60B82"/>
    <w:tbl>
      <w:tblPr>
        <w:tblW w:w="0" w:type="auto"/>
        <w:tblInd w:w="717" w:type="dxa"/>
        <w:tblLayout w:type="fixed"/>
        <w:tblCellMar>
          <w:left w:w="0" w:type="dxa"/>
          <w:right w:w="0" w:type="dxa"/>
        </w:tblCellMar>
        <w:tblLook w:val="04A0" w:firstRow="1" w:lastRow="0" w:firstColumn="1" w:lastColumn="0" w:noHBand="0" w:noVBand="1"/>
      </w:tblPr>
      <w:tblGrid>
        <w:gridCol w:w="1554"/>
        <w:gridCol w:w="1430"/>
        <w:gridCol w:w="1468"/>
        <w:gridCol w:w="2246"/>
        <w:gridCol w:w="3494"/>
      </w:tblGrid>
      <w:tr w:rsidR="00E60B82" w14:paraId="41ECE5C5" w14:textId="77777777">
        <w:trPr>
          <w:trHeight w:val="834"/>
        </w:trPr>
        <w:tc>
          <w:tcPr>
            <w:tcW w:w="1554" w:type="dxa"/>
            <w:tcBorders>
              <w:top w:val="single" w:sz="4" w:space="0" w:color="000000"/>
              <w:bottom w:val="single" w:sz="4" w:space="0" w:color="000000"/>
            </w:tcBorders>
          </w:tcPr>
          <w:p w14:paraId="79CD0146" w14:textId="77777777" w:rsidR="00E60B82" w:rsidRDefault="00DA2B74">
            <w:pPr>
              <w:pStyle w:val="TableParagraph"/>
              <w:spacing w:line="268" w:lineRule="exact"/>
              <w:ind w:left="105"/>
              <w:jc w:val="left"/>
              <w:rPr>
                <w:sz w:val="24"/>
              </w:rPr>
            </w:pPr>
            <w:r>
              <w:rPr>
                <w:sz w:val="24"/>
              </w:rPr>
              <w:t xml:space="preserve">Marital </w:t>
            </w:r>
            <w:r>
              <w:rPr>
                <w:spacing w:val="-2"/>
                <w:sz w:val="24"/>
              </w:rPr>
              <w:t>status</w:t>
            </w:r>
          </w:p>
        </w:tc>
        <w:tc>
          <w:tcPr>
            <w:tcW w:w="1430" w:type="dxa"/>
            <w:tcBorders>
              <w:top w:val="single" w:sz="4" w:space="0" w:color="000000"/>
              <w:bottom w:val="single" w:sz="4" w:space="0" w:color="000000"/>
            </w:tcBorders>
          </w:tcPr>
          <w:p w14:paraId="489FA264" w14:textId="77777777" w:rsidR="00E60B82" w:rsidRDefault="00DA2B74">
            <w:pPr>
              <w:pStyle w:val="TableParagraph"/>
              <w:spacing w:line="268" w:lineRule="exact"/>
              <w:ind w:left="3" w:right="8"/>
              <w:rPr>
                <w:sz w:val="24"/>
              </w:rPr>
            </w:pPr>
            <w:r>
              <w:rPr>
                <w:sz w:val="24"/>
              </w:rPr>
              <w:t xml:space="preserve">Total. no </w:t>
            </w:r>
            <w:r>
              <w:rPr>
                <w:spacing w:val="-5"/>
                <w:sz w:val="24"/>
              </w:rPr>
              <w:t>of</w:t>
            </w:r>
          </w:p>
          <w:p w14:paraId="6263F75D" w14:textId="77777777" w:rsidR="00E60B82" w:rsidRDefault="00DA2B74">
            <w:pPr>
              <w:pStyle w:val="TableParagraph"/>
              <w:spacing w:before="269"/>
              <w:ind w:left="3" w:right="6"/>
              <w:rPr>
                <w:sz w:val="24"/>
              </w:rPr>
            </w:pPr>
            <w:r>
              <w:rPr>
                <w:spacing w:val="-2"/>
                <w:sz w:val="24"/>
              </w:rPr>
              <w:t>positive</w:t>
            </w:r>
          </w:p>
        </w:tc>
        <w:tc>
          <w:tcPr>
            <w:tcW w:w="1468" w:type="dxa"/>
            <w:tcBorders>
              <w:top w:val="single" w:sz="4" w:space="0" w:color="000000"/>
              <w:bottom w:val="single" w:sz="4" w:space="0" w:color="000000"/>
            </w:tcBorders>
          </w:tcPr>
          <w:p w14:paraId="45CC77C2" w14:textId="77777777" w:rsidR="00E60B82" w:rsidRDefault="00DA2B74">
            <w:pPr>
              <w:pStyle w:val="TableParagraph"/>
              <w:spacing w:line="268" w:lineRule="exact"/>
              <w:ind w:left="3" w:right="30"/>
              <w:rPr>
                <w:sz w:val="24"/>
              </w:rPr>
            </w:pPr>
            <w:r>
              <w:rPr>
                <w:sz w:val="24"/>
              </w:rPr>
              <w:t xml:space="preserve">Total. no </w:t>
            </w:r>
            <w:r>
              <w:rPr>
                <w:spacing w:val="-5"/>
                <w:sz w:val="24"/>
              </w:rPr>
              <w:t>of</w:t>
            </w:r>
          </w:p>
          <w:p w14:paraId="40516C9D" w14:textId="77777777" w:rsidR="00E60B82" w:rsidRDefault="00DA2B74">
            <w:pPr>
              <w:pStyle w:val="TableParagraph"/>
              <w:spacing w:before="269"/>
              <w:ind w:right="30"/>
              <w:rPr>
                <w:sz w:val="24"/>
              </w:rPr>
            </w:pPr>
            <w:r>
              <w:rPr>
                <w:spacing w:val="-2"/>
                <w:sz w:val="24"/>
              </w:rPr>
              <w:t>negative</w:t>
            </w:r>
          </w:p>
        </w:tc>
        <w:tc>
          <w:tcPr>
            <w:tcW w:w="2246" w:type="dxa"/>
            <w:tcBorders>
              <w:top w:val="single" w:sz="4" w:space="0" w:color="000000"/>
              <w:bottom w:val="single" w:sz="4" w:space="0" w:color="000000"/>
            </w:tcBorders>
          </w:tcPr>
          <w:p w14:paraId="51B08302" w14:textId="77777777" w:rsidR="00E60B82" w:rsidRDefault="00DA2B74">
            <w:pPr>
              <w:pStyle w:val="TableParagraph"/>
              <w:spacing w:line="268" w:lineRule="exact"/>
              <w:ind w:left="79" w:right="2"/>
              <w:rPr>
                <w:sz w:val="24"/>
              </w:rPr>
            </w:pPr>
            <w:r>
              <w:rPr>
                <w:sz w:val="24"/>
              </w:rPr>
              <w:t xml:space="preserve">Total. no </w:t>
            </w:r>
            <w:r>
              <w:rPr>
                <w:spacing w:val="-5"/>
                <w:sz w:val="24"/>
              </w:rPr>
              <w:t>of</w:t>
            </w:r>
          </w:p>
          <w:p w14:paraId="6B3E63EB" w14:textId="77777777" w:rsidR="00E60B82" w:rsidRDefault="00DA2B74">
            <w:pPr>
              <w:pStyle w:val="TableParagraph"/>
              <w:spacing w:before="269"/>
              <w:ind w:left="79" w:right="2"/>
              <w:rPr>
                <w:sz w:val="24"/>
              </w:rPr>
            </w:pPr>
            <w:r>
              <w:rPr>
                <w:sz w:val="24"/>
              </w:rPr>
              <w:t xml:space="preserve">Inflammatory </w:t>
            </w:r>
            <w:r>
              <w:rPr>
                <w:spacing w:val="-4"/>
                <w:sz w:val="24"/>
              </w:rPr>
              <w:t>smear</w:t>
            </w:r>
          </w:p>
        </w:tc>
        <w:tc>
          <w:tcPr>
            <w:tcW w:w="3494" w:type="dxa"/>
            <w:tcBorders>
              <w:top w:val="single" w:sz="4" w:space="0" w:color="000000"/>
              <w:bottom w:val="single" w:sz="4" w:space="0" w:color="000000"/>
            </w:tcBorders>
          </w:tcPr>
          <w:p w14:paraId="5969571A" w14:textId="77777777" w:rsidR="00E60B82" w:rsidRDefault="00DA2B74">
            <w:pPr>
              <w:pStyle w:val="TableParagraph"/>
              <w:tabs>
                <w:tab w:val="left" w:pos="2198"/>
              </w:tabs>
              <w:spacing w:line="268" w:lineRule="exact"/>
              <w:ind w:left="119"/>
              <w:jc w:val="left"/>
              <w:rPr>
                <w:sz w:val="24"/>
              </w:rPr>
            </w:pPr>
            <w:r>
              <w:rPr>
                <w:spacing w:val="-2"/>
                <w:sz w:val="24"/>
              </w:rPr>
              <w:t>Percentage (%)</w:t>
            </w:r>
            <w:r>
              <w:rPr>
                <w:sz w:val="24"/>
              </w:rPr>
              <w:tab/>
            </w:r>
            <w:r>
              <w:rPr>
                <w:sz w:val="24"/>
                <w:lang w:val="en-IN"/>
              </w:rPr>
              <w:t>p v</w:t>
            </w:r>
            <w:proofErr w:type="spellStart"/>
            <w:r>
              <w:rPr>
                <w:spacing w:val="-2"/>
                <w:sz w:val="24"/>
              </w:rPr>
              <w:t>alue</w:t>
            </w:r>
            <w:proofErr w:type="spellEnd"/>
          </w:p>
        </w:tc>
      </w:tr>
      <w:tr w:rsidR="00E60B82" w14:paraId="0383E35A" w14:textId="77777777">
        <w:trPr>
          <w:trHeight w:val="406"/>
        </w:trPr>
        <w:tc>
          <w:tcPr>
            <w:tcW w:w="1554" w:type="dxa"/>
            <w:tcBorders>
              <w:top w:val="single" w:sz="4" w:space="0" w:color="000000"/>
            </w:tcBorders>
          </w:tcPr>
          <w:p w14:paraId="450AEF94" w14:textId="77777777" w:rsidR="00E60B82" w:rsidRDefault="00DA2B74">
            <w:pPr>
              <w:pStyle w:val="TableParagraph"/>
              <w:spacing w:line="266" w:lineRule="exact"/>
              <w:ind w:left="105"/>
              <w:jc w:val="left"/>
              <w:rPr>
                <w:sz w:val="24"/>
              </w:rPr>
            </w:pPr>
            <w:r>
              <w:rPr>
                <w:spacing w:val="-2"/>
                <w:sz w:val="24"/>
              </w:rPr>
              <w:t>Married</w:t>
            </w:r>
          </w:p>
        </w:tc>
        <w:tc>
          <w:tcPr>
            <w:tcW w:w="1430" w:type="dxa"/>
            <w:tcBorders>
              <w:top w:val="single" w:sz="4" w:space="0" w:color="000000"/>
            </w:tcBorders>
          </w:tcPr>
          <w:p w14:paraId="7DF92636" w14:textId="77777777" w:rsidR="00E60B82" w:rsidRDefault="00DA2B74">
            <w:pPr>
              <w:pStyle w:val="TableParagraph"/>
              <w:spacing w:line="266" w:lineRule="exact"/>
              <w:ind w:left="3" w:right="7"/>
              <w:rPr>
                <w:sz w:val="24"/>
              </w:rPr>
            </w:pPr>
            <w:r>
              <w:rPr>
                <w:spacing w:val="-5"/>
                <w:sz w:val="24"/>
              </w:rPr>
              <w:t>22</w:t>
            </w:r>
          </w:p>
        </w:tc>
        <w:tc>
          <w:tcPr>
            <w:tcW w:w="1468" w:type="dxa"/>
            <w:tcBorders>
              <w:top w:val="single" w:sz="4" w:space="0" w:color="000000"/>
            </w:tcBorders>
          </w:tcPr>
          <w:p w14:paraId="50DC0BD5" w14:textId="77777777" w:rsidR="00E60B82" w:rsidRDefault="00DA2B74">
            <w:pPr>
              <w:pStyle w:val="TableParagraph"/>
              <w:spacing w:line="266" w:lineRule="exact"/>
              <w:ind w:right="30"/>
              <w:rPr>
                <w:sz w:val="24"/>
              </w:rPr>
            </w:pPr>
            <w:r>
              <w:rPr>
                <w:spacing w:val="-5"/>
                <w:sz w:val="24"/>
              </w:rPr>
              <w:t>51</w:t>
            </w:r>
          </w:p>
        </w:tc>
        <w:tc>
          <w:tcPr>
            <w:tcW w:w="2246" w:type="dxa"/>
            <w:tcBorders>
              <w:top w:val="single" w:sz="4" w:space="0" w:color="000000"/>
            </w:tcBorders>
          </w:tcPr>
          <w:p w14:paraId="38E0AF49" w14:textId="77777777" w:rsidR="00E60B82" w:rsidRDefault="00DA2B74">
            <w:pPr>
              <w:pStyle w:val="TableParagraph"/>
              <w:spacing w:line="266" w:lineRule="exact"/>
              <w:ind w:left="79"/>
              <w:rPr>
                <w:sz w:val="24"/>
              </w:rPr>
            </w:pPr>
            <w:r>
              <w:rPr>
                <w:spacing w:val="-5"/>
                <w:sz w:val="24"/>
              </w:rPr>
              <w:t>53</w:t>
            </w:r>
          </w:p>
        </w:tc>
        <w:tc>
          <w:tcPr>
            <w:tcW w:w="3494" w:type="dxa"/>
            <w:tcBorders>
              <w:top w:val="single" w:sz="4" w:space="0" w:color="000000"/>
            </w:tcBorders>
          </w:tcPr>
          <w:p w14:paraId="5D76E6A8" w14:textId="77777777" w:rsidR="00E60B82" w:rsidRDefault="00DA2B74">
            <w:pPr>
              <w:pStyle w:val="TableParagraph"/>
              <w:tabs>
                <w:tab w:val="left" w:pos="2315"/>
              </w:tabs>
              <w:spacing w:line="266" w:lineRule="exact"/>
              <w:ind w:left="602"/>
              <w:jc w:val="left"/>
              <w:rPr>
                <w:position w:val="1"/>
              </w:rPr>
            </w:pPr>
            <w:r>
              <w:rPr>
                <w:spacing w:val="-5"/>
                <w:sz w:val="24"/>
              </w:rPr>
              <w:t>84%</w:t>
            </w:r>
            <w:r>
              <w:rPr>
                <w:sz w:val="24"/>
              </w:rPr>
              <w:tab/>
            </w:r>
            <w:r>
              <w:rPr>
                <w:spacing w:val="-4"/>
                <w:position w:val="1"/>
              </w:rPr>
              <w:t>5.62</w:t>
            </w:r>
          </w:p>
        </w:tc>
      </w:tr>
      <w:tr w:rsidR="00E60B82" w14:paraId="527CEDB2" w14:textId="77777777">
        <w:trPr>
          <w:trHeight w:val="548"/>
        </w:trPr>
        <w:tc>
          <w:tcPr>
            <w:tcW w:w="1554" w:type="dxa"/>
          </w:tcPr>
          <w:p w14:paraId="3AC8539B" w14:textId="77777777" w:rsidR="00E60B82" w:rsidRDefault="00DA2B74">
            <w:pPr>
              <w:pStyle w:val="TableParagraph"/>
              <w:spacing w:before="130"/>
              <w:ind w:left="105"/>
              <w:jc w:val="left"/>
              <w:rPr>
                <w:sz w:val="24"/>
              </w:rPr>
            </w:pPr>
            <w:r>
              <w:rPr>
                <w:spacing w:val="-5"/>
                <w:sz w:val="24"/>
              </w:rPr>
              <w:t>Un-</w:t>
            </w:r>
            <w:r>
              <w:rPr>
                <w:spacing w:val="-2"/>
                <w:sz w:val="24"/>
              </w:rPr>
              <w:t>married</w:t>
            </w:r>
          </w:p>
        </w:tc>
        <w:tc>
          <w:tcPr>
            <w:tcW w:w="1430" w:type="dxa"/>
          </w:tcPr>
          <w:p w14:paraId="404B5FCA" w14:textId="77777777" w:rsidR="00E60B82" w:rsidRDefault="00DA2B74">
            <w:pPr>
              <w:pStyle w:val="TableParagraph"/>
              <w:spacing w:before="130"/>
              <w:ind w:left="8" w:right="5"/>
              <w:rPr>
                <w:sz w:val="24"/>
              </w:rPr>
            </w:pPr>
            <w:r>
              <w:rPr>
                <w:spacing w:val="-10"/>
                <w:sz w:val="24"/>
              </w:rPr>
              <w:t>0</w:t>
            </w:r>
          </w:p>
        </w:tc>
        <w:tc>
          <w:tcPr>
            <w:tcW w:w="1468" w:type="dxa"/>
          </w:tcPr>
          <w:p w14:paraId="7257BCC4" w14:textId="77777777" w:rsidR="00E60B82" w:rsidRDefault="00DA2B74">
            <w:pPr>
              <w:pStyle w:val="TableParagraph"/>
              <w:spacing w:before="130"/>
              <w:ind w:right="30"/>
              <w:rPr>
                <w:sz w:val="24"/>
              </w:rPr>
            </w:pPr>
            <w:r>
              <w:rPr>
                <w:spacing w:val="-5"/>
                <w:sz w:val="24"/>
              </w:rPr>
              <w:t>11</w:t>
            </w:r>
          </w:p>
        </w:tc>
        <w:tc>
          <w:tcPr>
            <w:tcW w:w="2246" w:type="dxa"/>
          </w:tcPr>
          <w:p w14:paraId="32EF7DAF" w14:textId="77777777" w:rsidR="00E60B82" w:rsidRDefault="00DA2B74">
            <w:pPr>
              <w:pStyle w:val="TableParagraph"/>
              <w:spacing w:before="130"/>
              <w:ind w:left="79"/>
              <w:rPr>
                <w:sz w:val="24"/>
              </w:rPr>
            </w:pPr>
            <w:r>
              <w:rPr>
                <w:spacing w:val="-5"/>
                <w:sz w:val="24"/>
              </w:rPr>
              <w:t>13</w:t>
            </w:r>
          </w:p>
        </w:tc>
        <w:tc>
          <w:tcPr>
            <w:tcW w:w="3494" w:type="dxa"/>
          </w:tcPr>
          <w:p w14:paraId="7969D20D" w14:textId="77777777" w:rsidR="00E60B82" w:rsidRDefault="00DA2B74">
            <w:pPr>
              <w:pStyle w:val="TableParagraph"/>
              <w:tabs>
                <w:tab w:val="left" w:pos="2188"/>
              </w:tabs>
              <w:spacing w:before="4" w:line="216" w:lineRule="auto"/>
              <w:ind w:left="602"/>
              <w:jc w:val="left"/>
            </w:pPr>
            <w:r>
              <w:rPr>
                <w:spacing w:val="-5"/>
                <w:position w:val="-14"/>
                <w:sz w:val="24"/>
              </w:rPr>
              <w:t>16%</w:t>
            </w:r>
            <w:r>
              <w:rPr>
                <w:position w:val="-14"/>
                <w:sz w:val="24"/>
              </w:rPr>
              <w:tab/>
            </w:r>
            <w:r>
              <w:rPr>
                <w:spacing w:val="-2"/>
              </w:rPr>
              <w:t>(0.041)</w:t>
            </w:r>
          </w:p>
        </w:tc>
      </w:tr>
      <w:tr w:rsidR="00E60B82" w14:paraId="3CFBADBC" w14:textId="77777777">
        <w:trPr>
          <w:trHeight w:val="407"/>
        </w:trPr>
        <w:tc>
          <w:tcPr>
            <w:tcW w:w="1554" w:type="dxa"/>
          </w:tcPr>
          <w:p w14:paraId="25FF7871" w14:textId="77777777" w:rsidR="00E60B82" w:rsidRDefault="00DA2B74">
            <w:pPr>
              <w:pStyle w:val="TableParagraph"/>
              <w:spacing w:before="131" w:line="256" w:lineRule="exact"/>
              <w:ind w:left="105"/>
              <w:jc w:val="left"/>
              <w:rPr>
                <w:sz w:val="24"/>
              </w:rPr>
            </w:pPr>
            <w:r>
              <w:rPr>
                <w:spacing w:val="-2"/>
                <w:sz w:val="24"/>
              </w:rPr>
              <w:lastRenderedPageBreak/>
              <w:t>Total</w:t>
            </w:r>
          </w:p>
        </w:tc>
        <w:tc>
          <w:tcPr>
            <w:tcW w:w="1430" w:type="dxa"/>
          </w:tcPr>
          <w:p w14:paraId="2B028F8A" w14:textId="77777777" w:rsidR="00E60B82" w:rsidRDefault="00DA2B74">
            <w:pPr>
              <w:pStyle w:val="TableParagraph"/>
              <w:spacing w:before="131" w:line="256" w:lineRule="exact"/>
              <w:ind w:left="3" w:right="7"/>
              <w:rPr>
                <w:sz w:val="24"/>
              </w:rPr>
            </w:pPr>
            <w:r>
              <w:rPr>
                <w:spacing w:val="-5"/>
                <w:sz w:val="24"/>
              </w:rPr>
              <w:t>22</w:t>
            </w:r>
          </w:p>
        </w:tc>
        <w:tc>
          <w:tcPr>
            <w:tcW w:w="1468" w:type="dxa"/>
          </w:tcPr>
          <w:p w14:paraId="17D55D98" w14:textId="77777777" w:rsidR="00E60B82" w:rsidRDefault="00DA2B74">
            <w:pPr>
              <w:pStyle w:val="TableParagraph"/>
              <w:spacing w:before="131" w:line="256" w:lineRule="exact"/>
              <w:ind w:right="30"/>
              <w:rPr>
                <w:sz w:val="24"/>
              </w:rPr>
            </w:pPr>
            <w:r>
              <w:rPr>
                <w:spacing w:val="-5"/>
                <w:sz w:val="24"/>
              </w:rPr>
              <w:t>62</w:t>
            </w:r>
          </w:p>
        </w:tc>
        <w:tc>
          <w:tcPr>
            <w:tcW w:w="2246" w:type="dxa"/>
          </w:tcPr>
          <w:p w14:paraId="1E0BD717" w14:textId="77777777" w:rsidR="00E60B82" w:rsidRDefault="00DA2B74">
            <w:pPr>
              <w:pStyle w:val="TableParagraph"/>
              <w:spacing w:before="131" w:line="256" w:lineRule="exact"/>
              <w:ind w:left="79"/>
              <w:rPr>
                <w:sz w:val="24"/>
              </w:rPr>
            </w:pPr>
            <w:r>
              <w:rPr>
                <w:spacing w:val="-5"/>
                <w:sz w:val="24"/>
              </w:rPr>
              <w:t>66</w:t>
            </w:r>
          </w:p>
        </w:tc>
        <w:tc>
          <w:tcPr>
            <w:tcW w:w="3494" w:type="dxa"/>
          </w:tcPr>
          <w:p w14:paraId="55C1E9F7" w14:textId="77777777" w:rsidR="00E60B82" w:rsidRDefault="00DA2B74">
            <w:pPr>
              <w:pStyle w:val="TableParagraph"/>
              <w:spacing w:before="131" w:line="256" w:lineRule="exact"/>
              <w:ind w:left="542"/>
              <w:jc w:val="left"/>
              <w:rPr>
                <w:sz w:val="24"/>
              </w:rPr>
            </w:pPr>
            <w:r>
              <w:rPr>
                <w:spacing w:val="-4"/>
                <w:sz w:val="24"/>
              </w:rPr>
              <w:t>100%</w:t>
            </w:r>
          </w:p>
        </w:tc>
      </w:tr>
    </w:tbl>
    <w:p w14:paraId="7A87C207" w14:textId="77777777" w:rsidR="00E60B82" w:rsidRDefault="00E60B82">
      <w:pPr>
        <w:sectPr w:rsidR="00E60B82">
          <w:headerReference w:type="default" r:id="rId14"/>
          <w:footerReference w:type="default" r:id="rId15"/>
          <w:pgSz w:w="11910" w:h="16840"/>
          <w:pgMar w:top="480" w:right="566" w:bottom="280" w:left="425" w:header="720" w:footer="720" w:gutter="0"/>
          <w:cols w:space="720"/>
        </w:sectPr>
      </w:pPr>
    </w:p>
    <w:p w14:paraId="0DA2251D" w14:textId="77777777" w:rsidR="00E60B82" w:rsidRDefault="00E60B82">
      <w:pPr>
        <w:pStyle w:val="BodyText"/>
        <w:spacing w:before="67"/>
        <w:rPr>
          <w:b/>
        </w:rPr>
      </w:pPr>
    </w:p>
    <w:p w14:paraId="6422E2B3" w14:textId="77777777" w:rsidR="00E60B82" w:rsidRDefault="00DA2B74">
      <w:pPr>
        <w:pStyle w:val="Heading3"/>
        <w:spacing w:line="360" w:lineRule="auto"/>
        <w:ind w:left="567" w:right="567"/>
        <w:jc w:val="both"/>
        <w:rPr>
          <w:rFonts w:ascii="Times New Roman" w:hAnsi="Times New Roman"/>
        </w:rPr>
      </w:pPr>
      <w:r>
        <w:rPr>
          <w:rFonts w:ascii="Times New Roman" w:hAnsi="Times New Roman" w:cs="Times New Roman"/>
        </w:rPr>
        <w:t>Distribution</w:t>
      </w:r>
      <w:r>
        <w:rPr>
          <w:rFonts w:ascii="Times New Roman" w:hAnsi="Times New Roman"/>
        </w:rPr>
        <w:t xml:space="preserve"> of patients based on their transitional area (either rural or urban) and their corresponding test results.</w:t>
      </w:r>
    </w:p>
    <w:p w14:paraId="295FDEEC" w14:textId="77777777" w:rsidR="00E60B82" w:rsidRDefault="00DA2B74">
      <w:pPr>
        <w:pStyle w:val="BodyText"/>
        <w:spacing w:line="360" w:lineRule="auto"/>
        <w:ind w:left="567" w:right="567"/>
        <w:jc w:val="both"/>
      </w:pPr>
      <w:r>
        <w:tab/>
        <w:t xml:space="preserve">In the study, Patients are divided into two categories: "Rural Area" and "Urban Area," representing their place of residence. total No. of Positive Cases, among patients living in rural areas, 9 tested </w:t>
      </w:r>
      <w:proofErr w:type="gramStart"/>
      <w:r>
        <w:t>positive(</w:t>
      </w:r>
      <w:proofErr w:type="gramEnd"/>
      <w:r>
        <w:t>40.90%) for a particular condition, while 13 urban residents tested positive (59.09%). The overall percentage of positive cases is 14.66%. The total row at the bottom summarizes the combined figures for each transitional area category. There were a total of 22 positive cases among all the patients, accounting for 100% of the study population.</w:t>
      </w:r>
    </w:p>
    <w:p w14:paraId="21840857" w14:textId="77777777" w:rsidR="00E60B82" w:rsidRDefault="00E60B82">
      <w:pPr>
        <w:pStyle w:val="BodyText"/>
        <w:rPr>
          <w:sz w:val="20"/>
        </w:rPr>
      </w:pPr>
    </w:p>
    <w:p w14:paraId="4300821C" w14:textId="77777777" w:rsidR="00E60B82" w:rsidRDefault="00DA2B74">
      <w:pPr>
        <w:rPr>
          <w:b/>
          <w:sz w:val="20"/>
        </w:rPr>
      </w:pPr>
      <w:r>
        <w:rPr>
          <w:b/>
          <w:sz w:val="20"/>
        </w:rPr>
        <w:t xml:space="preserve">Table5: Distribution of patients by transitional </w:t>
      </w:r>
      <w:r>
        <w:rPr>
          <w:b/>
          <w:spacing w:val="-4"/>
          <w:sz w:val="20"/>
        </w:rPr>
        <w:t>area.</w:t>
      </w:r>
    </w:p>
    <w:p w14:paraId="376876EC" w14:textId="77777777" w:rsidR="00E60B82" w:rsidRDefault="00E60B82">
      <w:pPr>
        <w:pStyle w:val="BodyText"/>
        <w:spacing w:line="276" w:lineRule="auto"/>
        <w:jc w:val="both"/>
        <w:rPr>
          <w:lang w:val="en-IN"/>
        </w:rPr>
      </w:pPr>
    </w:p>
    <w:tbl>
      <w:tblPr>
        <w:tblW w:w="0" w:type="auto"/>
        <w:tblInd w:w="1090" w:type="dxa"/>
        <w:tblLayout w:type="fixed"/>
        <w:tblCellMar>
          <w:left w:w="0" w:type="dxa"/>
          <w:right w:w="0" w:type="dxa"/>
        </w:tblCellMar>
        <w:tblLook w:val="04A0" w:firstRow="1" w:lastRow="0" w:firstColumn="1" w:lastColumn="0" w:noHBand="0" w:noVBand="1"/>
      </w:tblPr>
      <w:tblGrid>
        <w:gridCol w:w="2386"/>
        <w:gridCol w:w="3222"/>
        <w:gridCol w:w="2756"/>
      </w:tblGrid>
      <w:tr w:rsidR="00E60B82" w14:paraId="03E418D1" w14:textId="77777777">
        <w:trPr>
          <w:trHeight w:val="549"/>
        </w:trPr>
        <w:tc>
          <w:tcPr>
            <w:tcW w:w="2386" w:type="dxa"/>
            <w:tcBorders>
              <w:top w:val="single" w:sz="4" w:space="0" w:color="000000"/>
              <w:bottom w:val="single" w:sz="4" w:space="0" w:color="000000"/>
            </w:tcBorders>
          </w:tcPr>
          <w:p w14:paraId="7F44D8EB" w14:textId="77777777" w:rsidR="00E60B82" w:rsidRDefault="00DA2B74">
            <w:pPr>
              <w:pStyle w:val="TableParagraph"/>
              <w:spacing w:line="265" w:lineRule="exact"/>
              <w:ind w:left="105"/>
              <w:jc w:val="left"/>
              <w:rPr>
                <w:sz w:val="24"/>
              </w:rPr>
            </w:pPr>
            <w:r>
              <w:rPr>
                <w:sz w:val="24"/>
              </w:rPr>
              <w:t xml:space="preserve">Transitional </w:t>
            </w:r>
            <w:r>
              <w:rPr>
                <w:spacing w:val="-4"/>
                <w:sz w:val="24"/>
              </w:rPr>
              <w:t>area</w:t>
            </w:r>
          </w:p>
        </w:tc>
        <w:tc>
          <w:tcPr>
            <w:tcW w:w="3222" w:type="dxa"/>
            <w:tcBorders>
              <w:top w:val="single" w:sz="4" w:space="0" w:color="000000"/>
              <w:bottom w:val="single" w:sz="4" w:space="0" w:color="000000"/>
            </w:tcBorders>
          </w:tcPr>
          <w:p w14:paraId="0BC34483" w14:textId="77777777" w:rsidR="00E60B82" w:rsidRDefault="00DA2B74">
            <w:pPr>
              <w:pStyle w:val="TableParagraph"/>
              <w:spacing w:line="265" w:lineRule="exact"/>
              <w:ind w:left="71" w:right="12"/>
              <w:rPr>
                <w:sz w:val="24"/>
              </w:rPr>
            </w:pPr>
            <w:r>
              <w:rPr>
                <w:sz w:val="24"/>
              </w:rPr>
              <w:t xml:space="preserve">Total. no of </w:t>
            </w:r>
            <w:r>
              <w:rPr>
                <w:spacing w:val="-2"/>
                <w:sz w:val="24"/>
              </w:rPr>
              <w:t>positive</w:t>
            </w:r>
          </w:p>
        </w:tc>
        <w:tc>
          <w:tcPr>
            <w:tcW w:w="2756" w:type="dxa"/>
            <w:tcBorders>
              <w:top w:val="single" w:sz="4" w:space="0" w:color="000000"/>
              <w:bottom w:val="single" w:sz="4" w:space="0" w:color="000000"/>
            </w:tcBorders>
          </w:tcPr>
          <w:p w14:paraId="7EDD9613" w14:textId="77777777" w:rsidR="00E60B82" w:rsidRDefault="00DA2B74">
            <w:pPr>
              <w:pStyle w:val="TableParagraph"/>
              <w:spacing w:line="265" w:lineRule="exact"/>
              <w:ind w:left="3" w:right="61"/>
              <w:rPr>
                <w:sz w:val="24"/>
              </w:rPr>
            </w:pPr>
            <w:r>
              <w:rPr>
                <w:sz w:val="24"/>
              </w:rPr>
              <w:t xml:space="preserve">Percentage </w:t>
            </w:r>
            <w:r>
              <w:rPr>
                <w:spacing w:val="-5"/>
                <w:sz w:val="24"/>
              </w:rPr>
              <w:t>(%)</w:t>
            </w:r>
          </w:p>
        </w:tc>
      </w:tr>
      <w:tr w:rsidR="00E60B82" w14:paraId="2D24383C" w14:textId="77777777">
        <w:trPr>
          <w:trHeight w:val="407"/>
        </w:trPr>
        <w:tc>
          <w:tcPr>
            <w:tcW w:w="2386" w:type="dxa"/>
            <w:tcBorders>
              <w:top w:val="single" w:sz="4" w:space="0" w:color="000000"/>
            </w:tcBorders>
          </w:tcPr>
          <w:p w14:paraId="76C8307C" w14:textId="77777777" w:rsidR="00E60B82" w:rsidRDefault="00DA2B74">
            <w:pPr>
              <w:pStyle w:val="TableParagraph"/>
              <w:spacing w:line="268" w:lineRule="exact"/>
              <w:ind w:left="105"/>
              <w:jc w:val="left"/>
              <w:rPr>
                <w:sz w:val="24"/>
              </w:rPr>
            </w:pPr>
            <w:r>
              <w:rPr>
                <w:sz w:val="24"/>
              </w:rPr>
              <w:t xml:space="preserve">Rural </w:t>
            </w:r>
            <w:r>
              <w:rPr>
                <w:spacing w:val="-4"/>
                <w:sz w:val="24"/>
              </w:rPr>
              <w:t>area</w:t>
            </w:r>
          </w:p>
        </w:tc>
        <w:tc>
          <w:tcPr>
            <w:tcW w:w="3222" w:type="dxa"/>
            <w:tcBorders>
              <w:top w:val="single" w:sz="4" w:space="0" w:color="000000"/>
            </w:tcBorders>
          </w:tcPr>
          <w:p w14:paraId="29609006" w14:textId="77777777" w:rsidR="00E60B82" w:rsidRDefault="00DA2B74">
            <w:pPr>
              <w:pStyle w:val="TableParagraph"/>
              <w:spacing w:line="268" w:lineRule="exact"/>
              <w:ind w:left="71"/>
              <w:rPr>
                <w:sz w:val="24"/>
              </w:rPr>
            </w:pPr>
            <w:r>
              <w:rPr>
                <w:spacing w:val="-10"/>
                <w:sz w:val="24"/>
              </w:rPr>
              <w:t>9</w:t>
            </w:r>
          </w:p>
        </w:tc>
        <w:tc>
          <w:tcPr>
            <w:tcW w:w="2756" w:type="dxa"/>
            <w:tcBorders>
              <w:top w:val="single" w:sz="4" w:space="0" w:color="000000"/>
            </w:tcBorders>
          </w:tcPr>
          <w:p w14:paraId="213C5A31" w14:textId="77777777" w:rsidR="00E60B82" w:rsidRDefault="00DA2B74">
            <w:pPr>
              <w:pStyle w:val="TableParagraph"/>
              <w:spacing w:line="268" w:lineRule="exact"/>
              <w:ind w:left="947"/>
              <w:jc w:val="left"/>
              <w:rPr>
                <w:sz w:val="24"/>
              </w:rPr>
            </w:pPr>
            <w:r>
              <w:rPr>
                <w:sz w:val="24"/>
              </w:rPr>
              <w:t xml:space="preserve">40.90 </w:t>
            </w:r>
            <w:r>
              <w:rPr>
                <w:spacing w:val="-10"/>
                <w:sz w:val="24"/>
              </w:rPr>
              <w:t>%</w:t>
            </w:r>
          </w:p>
        </w:tc>
      </w:tr>
      <w:tr w:rsidR="00E60B82" w14:paraId="191E82FD" w14:textId="77777777">
        <w:trPr>
          <w:trHeight w:val="542"/>
        </w:trPr>
        <w:tc>
          <w:tcPr>
            <w:tcW w:w="2386" w:type="dxa"/>
          </w:tcPr>
          <w:p w14:paraId="549091A1" w14:textId="77777777" w:rsidR="00E60B82" w:rsidRDefault="00DA2B74">
            <w:pPr>
              <w:pStyle w:val="TableParagraph"/>
              <w:spacing w:before="129"/>
              <w:ind w:left="105"/>
              <w:jc w:val="left"/>
              <w:rPr>
                <w:sz w:val="24"/>
              </w:rPr>
            </w:pPr>
            <w:r>
              <w:rPr>
                <w:sz w:val="24"/>
              </w:rPr>
              <w:t xml:space="preserve">Urban </w:t>
            </w:r>
            <w:r>
              <w:rPr>
                <w:spacing w:val="-4"/>
                <w:sz w:val="24"/>
              </w:rPr>
              <w:t>area</w:t>
            </w:r>
          </w:p>
        </w:tc>
        <w:tc>
          <w:tcPr>
            <w:tcW w:w="3222" w:type="dxa"/>
          </w:tcPr>
          <w:p w14:paraId="1D19EF26" w14:textId="77777777" w:rsidR="00E60B82" w:rsidRDefault="00DA2B74">
            <w:pPr>
              <w:pStyle w:val="TableParagraph"/>
              <w:spacing w:before="129"/>
              <w:ind w:left="71" w:right="10"/>
              <w:rPr>
                <w:sz w:val="24"/>
              </w:rPr>
            </w:pPr>
            <w:r>
              <w:rPr>
                <w:spacing w:val="-5"/>
                <w:sz w:val="24"/>
              </w:rPr>
              <w:t>13</w:t>
            </w:r>
          </w:p>
        </w:tc>
        <w:tc>
          <w:tcPr>
            <w:tcW w:w="2756" w:type="dxa"/>
          </w:tcPr>
          <w:p w14:paraId="68BD13C6" w14:textId="77777777" w:rsidR="00E60B82" w:rsidRDefault="00DA2B74">
            <w:pPr>
              <w:pStyle w:val="TableParagraph"/>
              <w:spacing w:before="129"/>
              <w:ind w:left="4" w:right="61"/>
              <w:rPr>
                <w:sz w:val="24"/>
              </w:rPr>
            </w:pPr>
            <w:r>
              <w:rPr>
                <w:spacing w:val="-2"/>
                <w:sz w:val="24"/>
              </w:rPr>
              <w:t>59..09%</w:t>
            </w:r>
          </w:p>
        </w:tc>
      </w:tr>
      <w:tr w:rsidR="00E60B82" w14:paraId="09033FC5" w14:textId="77777777">
        <w:trPr>
          <w:trHeight w:val="402"/>
        </w:trPr>
        <w:tc>
          <w:tcPr>
            <w:tcW w:w="2386" w:type="dxa"/>
          </w:tcPr>
          <w:p w14:paraId="083FDB7D" w14:textId="77777777" w:rsidR="00E60B82" w:rsidRDefault="00DA2B74">
            <w:pPr>
              <w:pStyle w:val="TableParagraph"/>
              <w:spacing w:before="127" w:line="256" w:lineRule="exact"/>
              <w:ind w:left="105"/>
              <w:jc w:val="left"/>
              <w:rPr>
                <w:sz w:val="24"/>
              </w:rPr>
            </w:pPr>
            <w:r>
              <w:rPr>
                <w:spacing w:val="-2"/>
                <w:sz w:val="24"/>
              </w:rPr>
              <w:t>Total</w:t>
            </w:r>
          </w:p>
        </w:tc>
        <w:tc>
          <w:tcPr>
            <w:tcW w:w="3222" w:type="dxa"/>
          </w:tcPr>
          <w:p w14:paraId="0E8BE7E1" w14:textId="77777777" w:rsidR="00E60B82" w:rsidRDefault="00DA2B74">
            <w:pPr>
              <w:pStyle w:val="TableParagraph"/>
              <w:spacing w:before="127" w:line="256" w:lineRule="exact"/>
              <w:ind w:left="71" w:right="10"/>
              <w:rPr>
                <w:sz w:val="24"/>
              </w:rPr>
            </w:pPr>
            <w:r>
              <w:rPr>
                <w:spacing w:val="-5"/>
                <w:sz w:val="24"/>
              </w:rPr>
              <w:t>22</w:t>
            </w:r>
          </w:p>
        </w:tc>
        <w:tc>
          <w:tcPr>
            <w:tcW w:w="2756" w:type="dxa"/>
          </w:tcPr>
          <w:p w14:paraId="5FE2D86E" w14:textId="77777777" w:rsidR="00E60B82" w:rsidRDefault="00DA2B74">
            <w:pPr>
              <w:pStyle w:val="TableParagraph"/>
              <w:spacing w:before="127" w:line="256" w:lineRule="exact"/>
              <w:ind w:right="61"/>
              <w:rPr>
                <w:sz w:val="24"/>
              </w:rPr>
            </w:pPr>
            <w:r>
              <w:rPr>
                <w:spacing w:val="-2"/>
                <w:sz w:val="24"/>
              </w:rPr>
              <w:t>14.66%</w:t>
            </w:r>
          </w:p>
        </w:tc>
      </w:tr>
    </w:tbl>
    <w:p w14:paraId="3DBCED90" w14:textId="77777777" w:rsidR="00E60B82" w:rsidRDefault="00E60B82">
      <w:pPr>
        <w:pStyle w:val="BodyText"/>
        <w:spacing w:line="276" w:lineRule="auto"/>
        <w:jc w:val="both"/>
        <w:rPr>
          <w:lang w:val="en-IN"/>
        </w:rPr>
      </w:pPr>
    </w:p>
    <w:p w14:paraId="3E75A513" w14:textId="77777777" w:rsidR="00E60B82" w:rsidRDefault="00E60B82">
      <w:pPr>
        <w:pStyle w:val="BodyText"/>
        <w:spacing w:line="276" w:lineRule="auto"/>
        <w:jc w:val="both"/>
      </w:pPr>
    </w:p>
    <w:p w14:paraId="50CF6151" w14:textId="77777777" w:rsidR="00E60B82" w:rsidRDefault="00DA2B74">
      <w:pPr>
        <w:pStyle w:val="BodyText"/>
        <w:spacing w:line="276" w:lineRule="auto"/>
        <w:jc w:val="both"/>
      </w:pPr>
      <w:r>
        <w:rPr>
          <w:lang w:val="en-IN"/>
        </w:rPr>
        <w:t xml:space="preserve">              </w:t>
      </w:r>
      <w:r>
        <w:rPr>
          <w:noProof/>
        </w:rPr>
        <w:drawing>
          <wp:inline distT="0" distB="0" distL="0" distR="0" wp14:anchorId="38EE5BD1" wp14:editId="2B45232A">
            <wp:extent cx="3339465" cy="2168525"/>
            <wp:effectExtent l="0" t="0" r="13335" b="3175"/>
            <wp:docPr id="4" name="Picture 108" descr="C:\Users\Sandeep\Pictures\image of result\nega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8" descr="C:\Users\Sandeep\Pictures\image of result\negative.jpg"/>
                    <pic:cNvPicPr>
                      <a:picLocks noChangeAspect="1" noChangeArrowheads="1"/>
                    </pic:cNvPicPr>
                  </pic:nvPicPr>
                  <pic:blipFill>
                    <a:blip r:embed="rId16" cstate="print"/>
                    <a:srcRect/>
                    <a:stretch>
                      <a:fillRect/>
                    </a:stretch>
                  </pic:blipFill>
                  <pic:spPr>
                    <a:xfrm flipH="1">
                      <a:off x="0" y="0"/>
                      <a:ext cx="3339465" cy="2170494"/>
                    </a:xfrm>
                    <a:prstGeom prst="rect">
                      <a:avLst/>
                    </a:prstGeom>
                    <a:noFill/>
                    <a:ln w="9525">
                      <a:noFill/>
                      <a:miter lim="800000"/>
                      <a:headEnd/>
                      <a:tailEnd/>
                    </a:ln>
                  </pic:spPr>
                </pic:pic>
              </a:graphicData>
            </a:graphic>
          </wp:inline>
        </w:drawing>
      </w:r>
    </w:p>
    <w:p w14:paraId="2669252F" w14:textId="77777777" w:rsidR="00E60B82" w:rsidRDefault="00E60B82">
      <w:pPr>
        <w:pStyle w:val="BodyText"/>
        <w:spacing w:line="276" w:lineRule="auto"/>
        <w:jc w:val="both"/>
      </w:pPr>
    </w:p>
    <w:p w14:paraId="2B5305EC" w14:textId="77777777" w:rsidR="00E60B82" w:rsidRDefault="00DA2B74">
      <w:pPr>
        <w:pStyle w:val="BodyText"/>
        <w:spacing w:line="276" w:lineRule="auto"/>
        <w:ind w:firstLine="720"/>
        <w:jc w:val="both"/>
        <w:rPr>
          <w:lang w:val="en-IN"/>
        </w:rPr>
      </w:pPr>
      <w:r>
        <w:t>Fig 1: Negative</w:t>
      </w:r>
      <w:r>
        <w:rPr>
          <w:lang w:val="en-IN"/>
        </w:rPr>
        <w:t xml:space="preserve"> For Intraepithelial lesion &amp; </w:t>
      </w:r>
      <w:proofErr w:type="gramStart"/>
      <w:r>
        <w:rPr>
          <w:lang w:val="en-IN"/>
        </w:rPr>
        <w:t>Malignancy  (</w:t>
      </w:r>
      <w:proofErr w:type="gramEnd"/>
      <w:r>
        <w:rPr>
          <w:lang w:val="en-IN"/>
        </w:rPr>
        <w:t xml:space="preserve">NILM)     </w:t>
      </w:r>
    </w:p>
    <w:p w14:paraId="50F0D1A8" w14:textId="77777777" w:rsidR="00E60B82" w:rsidRDefault="00E60B82">
      <w:pPr>
        <w:pStyle w:val="BodyText"/>
        <w:spacing w:line="276" w:lineRule="auto"/>
        <w:ind w:firstLine="720"/>
        <w:jc w:val="both"/>
        <w:rPr>
          <w:lang w:val="en-IN"/>
        </w:rPr>
      </w:pPr>
    </w:p>
    <w:p w14:paraId="0C0748C0" w14:textId="77777777" w:rsidR="00E60B82" w:rsidRDefault="00DA2B74">
      <w:pPr>
        <w:pStyle w:val="BodyText"/>
        <w:spacing w:line="276" w:lineRule="auto"/>
        <w:ind w:firstLine="720"/>
        <w:jc w:val="both"/>
        <w:rPr>
          <w:b/>
          <w:lang w:val="en-IN"/>
        </w:rPr>
      </w:pPr>
      <w:r>
        <w:rPr>
          <w:b/>
          <w:lang w:val="en-IN"/>
        </w:rPr>
        <w:t xml:space="preserve">   </w:t>
      </w:r>
    </w:p>
    <w:p w14:paraId="5CB29544" w14:textId="77777777" w:rsidR="00E60B82" w:rsidRDefault="00DA2B74">
      <w:pPr>
        <w:pStyle w:val="BodyText"/>
        <w:spacing w:line="276" w:lineRule="auto"/>
        <w:ind w:firstLine="720"/>
        <w:jc w:val="both"/>
      </w:pPr>
      <w:r>
        <w:rPr>
          <w:b/>
          <w:noProof/>
        </w:rPr>
        <w:lastRenderedPageBreak/>
        <w:drawing>
          <wp:inline distT="0" distB="0" distL="0" distR="0" wp14:anchorId="1662CB9E" wp14:editId="672A1934">
            <wp:extent cx="3273425" cy="2168525"/>
            <wp:effectExtent l="0" t="0" r="3175" b="3175"/>
            <wp:docPr id="5" name="Picture 5" descr="C:\Users\Sandeep\Pictures\image of result\ASC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Sandeep\Pictures\image of result\ASCUS2.jpg"/>
                    <pic:cNvPicPr>
                      <a:picLocks noChangeAspect="1" noChangeArrowheads="1"/>
                    </pic:cNvPicPr>
                  </pic:nvPicPr>
                  <pic:blipFill>
                    <a:blip r:embed="rId17" cstate="print"/>
                    <a:srcRect/>
                    <a:stretch>
                      <a:fillRect/>
                    </a:stretch>
                  </pic:blipFill>
                  <pic:spPr>
                    <a:xfrm>
                      <a:off x="0" y="0"/>
                      <a:ext cx="3273425" cy="2173440"/>
                    </a:xfrm>
                    <a:prstGeom prst="rect">
                      <a:avLst/>
                    </a:prstGeom>
                    <a:noFill/>
                    <a:ln w="9525">
                      <a:noFill/>
                      <a:miter lim="800000"/>
                      <a:headEnd/>
                      <a:tailEnd/>
                    </a:ln>
                  </pic:spPr>
                </pic:pic>
              </a:graphicData>
            </a:graphic>
          </wp:inline>
        </w:drawing>
      </w:r>
      <w:r>
        <w:rPr>
          <w:lang w:val="en-IN"/>
        </w:rPr>
        <w:t xml:space="preserve">     </w:t>
      </w:r>
    </w:p>
    <w:p w14:paraId="4DF6C394" w14:textId="77777777" w:rsidR="00E60B82" w:rsidRDefault="00E60B82">
      <w:pPr>
        <w:pStyle w:val="BodyText"/>
        <w:spacing w:line="482" w:lineRule="auto"/>
        <w:ind w:right="226" w:firstLine="720"/>
      </w:pPr>
    </w:p>
    <w:p w14:paraId="567EA336" w14:textId="77777777" w:rsidR="00E60B82" w:rsidRDefault="00DA2B74">
      <w:pPr>
        <w:pStyle w:val="BodyText"/>
        <w:spacing w:line="482" w:lineRule="auto"/>
        <w:ind w:right="226" w:firstLine="720"/>
        <w:rPr>
          <w:lang w:val="en-IN"/>
        </w:rPr>
      </w:pPr>
      <w:r>
        <w:t xml:space="preserve">Fig 2: </w:t>
      </w:r>
      <w:r>
        <w:rPr>
          <w:lang w:val="en-IN"/>
        </w:rPr>
        <w:t xml:space="preserve">Atypical Squamous Cells of </w:t>
      </w:r>
      <w:proofErr w:type="spellStart"/>
      <w:r>
        <w:rPr>
          <w:lang w:val="en-IN"/>
        </w:rPr>
        <w:t>Undetermind</w:t>
      </w:r>
      <w:proofErr w:type="spellEnd"/>
      <w:r>
        <w:rPr>
          <w:lang w:val="en-IN"/>
        </w:rPr>
        <w:t xml:space="preserve"> Significance (ASCUS)</w:t>
      </w:r>
    </w:p>
    <w:p w14:paraId="6227ED37" w14:textId="77777777" w:rsidR="00E60B82" w:rsidRDefault="00E60B82">
      <w:pPr>
        <w:pStyle w:val="BodyText"/>
        <w:spacing w:line="482" w:lineRule="auto"/>
        <w:ind w:right="226" w:firstLine="720"/>
        <w:rPr>
          <w:lang w:val="en-IN"/>
        </w:rPr>
      </w:pPr>
    </w:p>
    <w:p w14:paraId="55A65496" w14:textId="77777777" w:rsidR="00E60B82" w:rsidRDefault="00DA2B74">
      <w:pPr>
        <w:pStyle w:val="BodyText"/>
        <w:spacing w:line="482" w:lineRule="auto"/>
        <w:ind w:right="226" w:firstLine="720"/>
        <w:rPr>
          <w:lang w:val="en-IN"/>
        </w:rPr>
      </w:pPr>
      <w:r>
        <w:rPr>
          <w:noProof/>
        </w:rPr>
        <w:drawing>
          <wp:inline distT="0" distB="0" distL="0" distR="0" wp14:anchorId="5515D18E" wp14:editId="4115237B">
            <wp:extent cx="3175000" cy="2305685"/>
            <wp:effectExtent l="0" t="0" r="6350" b="18415"/>
            <wp:docPr id="6" name="Picture 6" descr="C:\Users\Sandeep\Pictures\image of result\LS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Sandeep\Pictures\image of result\LSIL 2.jpg"/>
                    <pic:cNvPicPr>
                      <a:picLocks noChangeAspect="1" noChangeArrowheads="1"/>
                    </pic:cNvPicPr>
                  </pic:nvPicPr>
                  <pic:blipFill>
                    <a:blip r:embed="rId18" cstate="print"/>
                    <a:srcRect/>
                    <a:stretch>
                      <a:fillRect/>
                    </a:stretch>
                  </pic:blipFill>
                  <pic:spPr>
                    <a:xfrm>
                      <a:off x="0" y="0"/>
                      <a:ext cx="3175000" cy="2306572"/>
                    </a:xfrm>
                    <a:prstGeom prst="rect">
                      <a:avLst/>
                    </a:prstGeom>
                    <a:noFill/>
                    <a:ln w="9525">
                      <a:noFill/>
                      <a:miter lim="800000"/>
                      <a:headEnd/>
                      <a:tailEnd/>
                    </a:ln>
                  </pic:spPr>
                </pic:pic>
              </a:graphicData>
            </a:graphic>
          </wp:inline>
        </w:drawing>
      </w:r>
    </w:p>
    <w:p w14:paraId="5DC2A934" w14:textId="77777777" w:rsidR="00E60B82" w:rsidRDefault="00DA2B74">
      <w:pPr>
        <w:pStyle w:val="BodyText"/>
        <w:spacing w:line="276" w:lineRule="auto"/>
        <w:ind w:firstLine="720"/>
        <w:jc w:val="both"/>
        <w:rPr>
          <w:lang w:val="en-IN"/>
        </w:rPr>
      </w:pPr>
      <w:r>
        <w:t>Fig 3:</w:t>
      </w:r>
      <w:r>
        <w:rPr>
          <w:lang w:val="en-IN"/>
        </w:rPr>
        <w:t xml:space="preserve"> Low-Grade Squamous Intraepithelial Lesion</w:t>
      </w:r>
      <w:r>
        <w:tab/>
      </w:r>
      <w:r>
        <w:rPr>
          <w:lang w:val="en-IN"/>
        </w:rPr>
        <w:t>(LSIL)</w:t>
      </w:r>
    </w:p>
    <w:p w14:paraId="6DD8ED92" w14:textId="77777777" w:rsidR="00E60B82" w:rsidRDefault="00E60B82">
      <w:pPr>
        <w:pStyle w:val="BodyText"/>
        <w:spacing w:line="276" w:lineRule="auto"/>
        <w:ind w:firstLine="720"/>
        <w:jc w:val="both"/>
        <w:rPr>
          <w:lang w:val="en-IN"/>
        </w:rPr>
      </w:pPr>
    </w:p>
    <w:p w14:paraId="2557EA00" w14:textId="77777777" w:rsidR="00E60B82" w:rsidRDefault="00E60B82">
      <w:pPr>
        <w:pStyle w:val="BodyText"/>
        <w:spacing w:line="276" w:lineRule="auto"/>
        <w:ind w:firstLine="720"/>
        <w:jc w:val="both"/>
        <w:rPr>
          <w:lang w:val="en-IN"/>
        </w:rPr>
      </w:pPr>
    </w:p>
    <w:p w14:paraId="281029E7" w14:textId="77777777" w:rsidR="00E60B82" w:rsidRDefault="00DA2B74">
      <w:pPr>
        <w:pStyle w:val="BodyText"/>
        <w:spacing w:line="276" w:lineRule="auto"/>
        <w:ind w:firstLine="720"/>
        <w:jc w:val="both"/>
        <w:rPr>
          <w:lang w:val="en-IN"/>
        </w:rPr>
      </w:pPr>
      <w:r>
        <w:rPr>
          <w:noProof/>
        </w:rPr>
        <w:drawing>
          <wp:inline distT="0" distB="0" distL="0" distR="0" wp14:anchorId="62FEF8ED" wp14:editId="6AA094BB">
            <wp:extent cx="2927350" cy="2150110"/>
            <wp:effectExtent l="0" t="0" r="6350" b="2540"/>
            <wp:docPr id="8" name="Picture 8" descr="C:\Users\Sandeep\Pictures\image of result\H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Sandeep\Pictures\image of result\HSIL.jpg"/>
                    <pic:cNvPicPr>
                      <a:picLocks noChangeAspect="1" noChangeArrowheads="1"/>
                    </pic:cNvPicPr>
                  </pic:nvPicPr>
                  <pic:blipFill>
                    <a:blip r:embed="rId19"/>
                    <a:srcRect/>
                    <a:stretch>
                      <a:fillRect/>
                    </a:stretch>
                  </pic:blipFill>
                  <pic:spPr>
                    <a:xfrm flipV="1">
                      <a:off x="0" y="0"/>
                      <a:ext cx="2928068" cy="2150996"/>
                    </a:xfrm>
                    <a:prstGeom prst="rect">
                      <a:avLst/>
                    </a:prstGeom>
                    <a:noFill/>
                    <a:ln w="9525">
                      <a:noFill/>
                      <a:miter lim="800000"/>
                      <a:headEnd/>
                      <a:tailEnd/>
                    </a:ln>
                  </pic:spPr>
                </pic:pic>
              </a:graphicData>
            </a:graphic>
          </wp:inline>
        </w:drawing>
      </w:r>
    </w:p>
    <w:p w14:paraId="04754686" w14:textId="77777777" w:rsidR="00E60B82" w:rsidRDefault="00E60B82">
      <w:pPr>
        <w:pStyle w:val="BodyText"/>
        <w:spacing w:line="276" w:lineRule="auto"/>
        <w:jc w:val="both"/>
      </w:pPr>
    </w:p>
    <w:p w14:paraId="17E0A03B" w14:textId="77777777" w:rsidR="00E60B82" w:rsidRDefault="00DA2B74">
      <w:pPr>
        <w:pStyle w:val="BodyText"/>
        <w:spacing w:line="482" w:lineRule="auto"/>
        <w:ind w:right="226" w:firstLine="720"/>
        <w:rPr>
          <w:lang w:val="en-IN"/>
        </w:rPr>
      </w:pPr>
      <w:r>
        <w:t>Fig 4: H</w:t>
      </w:r>
      <w:proofErr w:type="spellStart"/>
      <w:r>
        <w:rPr>
          <w:lang w:val="en-IN"/>
        </w:rPr>
        <w:t>igh</w:t>
      </w:r>
      <w:proofErr w:type="spellEnd"/>
      <w:r>
        <w:rPr>
          <w:lang w:val="en-IN"/>
        </w:rPr>
        <w:t xml:space="preserve">-Grade Squamous </w:t>
      </w:r>
      <w:proofErr w:type="spellStart"/>
      <w:r>
        <w:rPr>
          <w:lang w:val="en-IN"/>
        </w:rPr>
        <w:t>Intaepithelial</w:t>
      </w:r>
      <w:proofErr w:type="spellEnd"/>
      <w:r>
        <w:rPr>
          <w:lang w:val="en-IN"/>
        </w:rPr>
        <w:t xml:space="preserve"> Lesion (HSIL)</w:t>
      </w:r>
    </w:p>
    <w:p w14:paraId="35502B56" w14:textId="77777777" w:rsidR="00E60B82" w:rsidRDefault="00E60B82">
      <w:pPr>
        <w:pStyle w:val="BodyText"/>
        <w:spacing w:line="276" w:lineRule="auto"/>
        <w:jc w:val="both"/>
        <w:rPr>
          <w:lang w:val="en-IN"/>
        </w:rPr>
      </w:pPr>
    </w:p>
    <w:p w14:paraId="6BEAAC62" w14:textId="77777777" w:rsidR="00E60B82" w:rsidRDefault="00E60B82">
      <w:pPr>
        <w:pStyle w:val="BodyText"/>
        <w:spacing w:line="276" w:lineRule="auto"/>
        <w:jc w:val="both"/>
        <w:rPr>
          <w:lang w:val="en-IN"/>
        </w:rPr>
      </w:pPr>
    </w:p>
    <w:p w14:paraId="1768F484" w14:textId="77777777" w:rsidR="00E60B82" w:rsidRDefault="00DA2B74">
      <w:pPr>
        <w:pStyle w:val="BodyText"/>
        <w:spacing w:line="276" w:lineRule="auto"/>
        <w:ind w:firstLine="720"/>
        <w:jc w:val="both"/>
      </w:pPr>
      <w:r>
        <w:rPr>
          <w:noProof/>
        </w:rPr>
        <w:drawing>
          <wp:inline distT="0" distB="0" distL="0" distR="0" wp14:anchorId="2D76B4B5" wp14:editId="3DFF5760">
            <wp:extent cx="2691765" cy="2069465"/>
            <wp:effectExtent l="0" t="0" r="13335" b="6985"/>
            <wp:docPr id="9" name="Picture 112" descr="C:\Users\Sandeep\Pictures\image of result\WhatsApp Image 2023-09-25 at 13.41.35_45d0b7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2" descr="C:\Users\Sandeep\Pictures\image of result\WhatsApp Image 2023-09-25 at 13.41.35_45d0b7a3.jpg"/>
                    <pic:cNvPicPr>
                      <a:picLocks noChangeAspect="1" noChangeArrowheads="1"/>
                    </pic:cNvPicPr>
                  </pic:nvPicPr>
                  <pic:blipFill>
                    <a:blip r:embed="rId20" cstate="print"/>
                    <a:srcRect/>
                    <a:stretch>
                      <a:fillRect/>
                    </a:stretch>
                  </pic:blipFill>
                  <pic:spPr>
                    <a:xfrm>
                      <a:off x="0" y="0"/>
                      <a:ext cx="2694583" cy="2071965"/>
                    </a:xfrm>
                    <a:prstGeom prst="rect">
                      <a:avLst/>
                    </a:prstGeom>
                    <a:noFill/>
                    <a:ln w="9525">
                      <a:noFill/>
                      <a:miter lim="800000"/>
                      <a:headEnd/>
                      <a:tailEnd/>
                    </a:ln>
                  </pic:spPr>
                </pic:pic>
              </a:graphicData>
            </a:graphic>
          </wp:inline>
        </w:drawing>
      </w:r>
    </w:p>
    <w:p w14:paraId="6EC6B92B" w14:textId="77777777" w:rsidR="00E60B82" w:rsidRDefault="00E60B82">
      <w:pPr>
        <w:pStyle w:val="BodyText"/>
        <w:spacing w:line="276" w:lineRule="auto"/>
        <w:ind w:firstLine="720"/>
        <w:jc w:val="both"/>
      </w:pPr>
    </w:p>
    <w:p w14:paraId="239CA415" w14:textId="77777777" w:rsidR="00E60B82" w:rsidRDefault="00DA2B74">
      <w:pPr>
        <w:pStyle w:val="BodyText"/>
        <w:spacing w:line="482" w:lineRule="auto"/>
        <w:ind w:right="226" w:firstLine="720"/>
        <w:rPr>
          <w:lang w:val="en-IN"/>
        </w:rPr>
      </w:pPr>
      <w:r>
        <w:t>Fig 5: S</w:t>
      </w:r>
      <w:proofErr w:type="spellStart"/>
      <w:r>
        <w:rPr>
          <w:lang w:val="en-IN"/>
        </w:rPr>
        <w:t>quamous</w:t>
      </w:r>
      <w:proofErr w:type="spellEnd"/>
      <w:r>
        <w:rPr>
          <w:lang w:val="en-IN"/>
        </w:rPr>
        <w:t xml:space="preserve"> Cell Carcinoma (SCC)</w:t>
      </w:r>
    </w:p>
    <w:p w14:paraId="7D3D0D32" w14:textId="77777777" w:rsidR="00E60B82" w:rsidRDefault="00E60B82">
      <w:pPr>
        <w:pStyle w:val="BodyText"/>
        <w:spacing w:line="482" w:lineRule="auto"/>
        <w:ind w:right="226" w:firstLine="720"/>
        <w:rPr>
          <w:lang w:val="en-IN"/>
        </w:rPr>
      </w:pPr>
    </w:p>
    <w:p w14:paraId="433246DE" w14:textId="77777777" w:rsidR="00E60B82" w:rsidRDefault="00DA2B74">
      <w:pPr>
        <w:pStyle w:val="Heading1"/>
        <w:spacing w:line="360" w:lineRule="auto"/>
        <w:ind w:left="567" w:right="567"/>
        <w:jc w:val="both"/>
        <w:rPr>
          <w:sz w:val="24"/>
          <w:szCs w:val="24"/>
        </w:rPr>
      </w:pPr>
      <w:r>
        <w:rPr>
          <w:spacing w:val="-2"/>
          <w:sz w:val="24"/>
          <w:szCs w:val="24"/>
        </w:rPr>
        <w:t>DISCUSSION</w:t>
      </w:r>
    </w:p>
    <w:p w14:paraId="7AD57D80" w14:textId="77777777" w:rsidR="00E60B82" w:rsidRDefault="00DA2B74">
      <w:pPr>
        <w:pStyle w:val="BodyText"/>
        <w:spacing w:line="360" w:lineRule="auto"/>
        <w:ind w:left="567" w:right="567"/>
        <w:jc w:val="both"/>
      </w:pPr>
      <w:r>
        <w:t xml:space="preserve">            Cervical cancer is a major public health problem worldwide, and Assam, India, is no exception to its impact on women's health. With changing lifestyles and population profiles in developing countries, non-communicable diseases are emerging as a major health problem that requires a proper control program before they become epidemics. Cancer was a major cause of morbidity and mortality. According to the National Cancer Registry program of India, cervical and breast cancer are the most common malignancies among women in India. For a certain age group, there should be an effective mass screening program to detect precancerous lesions before they develop into invasive cancer. This study aimed to investigate the prevalence of cervical cancer in women aged 20-60 years in Assam using liquid-based cytology (LBC) as a screening tool. Our results provide valuable information about the burden of cervical cancer in this region and the effectiveness of LBC as a diagnostic method. In our study, we collected 150 cervical screening samples, of which we have 11 patients aged 20-29,49 patients aged 30-39, 55 patients aged 40-49, and 35 patients aged 50-60, which revealed an alarming prevalence of cervical cancer among women aged 20 to 60 in Assam. The high incidence of cervical cancer in this region is consistent with global trends, where cervical cancer remains the leading cause of cancer mortality in women.</w:t>
      </w:r>
    </w:p>
    <w:p w14:paraId="0B786A0A" w14:textId="249B530F" w:rsidR="00E60B82" w:rsidRDefault="00DA2B74" w:rsidP="00FA0833">
      <w:pPr>
        <w:pStyle w:val="BodyText"/>
        <w:spacing w:line="360" w:lineRule="auto"/>
        <w:ind w:right="567"/>
        <w:jc w:val="both"/>
        <w:rPr>
          <w:b/>
        </w:rPr>
      </w:pPr>
      <w:r>
        <w:t xml:space="preserve">            Our study showed that there were 41% patients were negative for intraepithelial lesion or malignancy (normal smear). 44% had an inflammatory smear. 14.66% had positive while 7.33% had atypical squamous cells of undetermined origin (ASCUS). 2.66% had low-grade squamous intraepithelial lesions (LSIL). 4% had high-grade squamous cell injury (HSIL). 0.66% are Squamous cell carcinoma (SCC ASCUS progresses to LSIL, HSIL &amp; SCC. ASCUS was highest in the age group of 50- 60 years. LSIL and HSIL were </w:t>
      </w:r>
      <w:proofErr w:type="spellStart"/>
      <w:r>
        <w:t>scatteredly</w:t>
      </w:r>
      <w:proofErr w:type="spellEnd"/>
      <w:r>
        <w:t xml:space="preserve"> distributed amongst 40-60 years.</w:t>
      </w:r>
      <w:r>
        <w:rPr>
          <w:color w:val="0D0E1A"/>
        </w:rPr>
        <w:t xml:space="preserve"> Ullah </w:t>
      </w:r>
      <w:r>
        <w:rPr>
          <w:i/>
          <w:color w:val="0D0E1A"/>
        </w:rPr>
        <w:t>et</w:t>
      </w:r>
      <w:r>
        <w:rPr>
          <w:bCs/>
          <w:i/>
          <w:iCs/>
          <w:color w:val="0D0E1A"/>
        </w:rPr>
        <w:t xml:space="preserve"> al</w:t>
      </w:r>
      <w:r>
        <w:rPr>
          <w:bCs/>
          <w:color w:val="0D0E1A"/>
        </w:rPr>
        <w:t>.</w:t>
      </w:r>
      <w:r>
        <w:rPr>
          <w:b/>
          <w:color w:val="0D0E1A"/>
        </w:rPr>
        <w:t xml:space="preserve"> </w:t>
      </w:r>
      <w:r>
        <w:rPr>
          <w:color w:val="0D0E1A"/>
        </w:rPr>
        <w:t xml:space="preserve">did a similar study in the </w:t>
      </w:r>
      <w:r>
        <w:t xml:space="preserve">Pathology Department </w:t>
      </w:r>
      <w:proofErr w:type="gramStart"/>
      <w:r>
        <w:t xml:space="preserve">of  </w:t>
      </w:r>
      <w:proofErr w:type="spellStart"/>
      <w:r>
        <w:t>Silchar</w:t>
      </w:r>
      <w:proofErr w:type="spellEnd"/>
      <w:proofErr w:type="gramEnd"/>
      <w:r>
        <w:t xml:space="preserve"> Medical College and Hospital, Assam, India, and had the </w:t>
      </w:r>
      <w:proofErr w:type="spellStart"/>
      <w:r>
        <w:t>followingfindings</w:t>
      </w:r>
      <w:proofErr w:type="spellEnd"/>
      <w:r>
        <w:t xml:space="preserve">. They reported that </w:t>
      </w:r>
      <w:r>
        <w:rPr>
          <w:color w:val="0D0E1A"/>
        </w:rPr>
        <w:t xml:space="preserve">808 patients had an abnormal smear. 636had Inflammatorysmears.22 </w:t>
      </w:r>
      <w:r>
        <w:rPr>
          <w:color w:val="0D0E1A"/>
        </w:rPr>
        <w:lastRenderedPageBreak/>
        <w:t xml:space="preserve">had Atypical Squamous Cell of Undetermined </w:t>
      </w:r>
      <w:proofErr w:type="gramStart"/>
      <w:r>
        <w:rPr>
          <w:color w:val="0D0E1A"/>
        </w:rPr>
        <w:t>Significance(</w:t>
      </w:r>
      <w:proofErr w:type="gramEnd"/>
      <w:r>
        <w:rPr>
          <w:color w:val="0D0E1A"/>
        </w:rPr>
        <w:t xml:space="preserve">ASCUS). 80 had LSIL. 12 had HSIL. 3 had bacterial vaginosis .3 SCC </w:t>
      </w:r>
      <w:proofErr w:type="gramStart"/>
      <w:r>
        <w:rPr>
          <w:color w:val="0D0E1A"/>
        </w:rPr>
        <w:t>were.</w:t>
      </w:r>
      <w:r>
        <w:rPr>
          <w:b/>
          <w:color w:val="0D0E1A"/>
          <w:vertAlign w:val="superscript"/>
        </w:rPr>
        <w:t>[</w:t>
      </w:r>
      <w:proofErr w:type="gramEnd"/>
      <w:r>
        <w:rPr>
          <w:b/>
          <w:color w:val="0D0E1A"/>
          <w:vertAlign w:val="superscript"/>
        </w:rPr>
        <w:t>3]</w:t>
      </w:r>
      <w:r w:rsidR="001A412E">
        <w:rPr>
          <w:b/>
          <w:color w:val="0D0E1A"/>
          <w:vertAlign w:val="superscript"/>
        </w:rPr>
        <w:t xml:space="preserve"> </w:t>
      </w:r>
      <w:r w:rsidR="001A412E" w:rsidRPr="00551E46">
        <w:rPr>
          <w:bCs/>
        </w:rPr>
        <w:t>.</w:t>
      </w:r>
      <w:r w:rsidR="001A412E" w:rsidRPr="00C80446">
        <w:rPr>
          <w:bCs/>
          <w:lang w:val="en-IN"/>
        </w:rPr>
        <w:t xml:space="preserve"> </w:t>
      </w:r>
      <w:proofErr w:type="spellStart"/>
      <w:r w:rsidR="00F25A66" w:rsidRPr="00C80446">
        <w:rPr>
          <w:bCs/>
          <w:lang w:val="en-IN"/>
        </w:rPr>
        <w:t>Nito</w:t>
      </w:r>
      <w:proofErr w:type="spellEnd"/>
      <w:r w:rsidR="00F25A66" w:rsidRPr="00C80446">
        <w:rPr>
          <w:bCs/>
          <w:lang w:val="en-IN"/>
        </w:rPr>
        <w:t xml:space="preserve"> </w:t>
      </w:r>
      <w:proofErr w:type="spellStart"/>
      <w:r w:rsidR="00F25A66" w:rsidRPr="00C80446">
        <w:rPr>
          <w:bCs/>
          <w:lang w:val="en-IN"/>
        </w:rPr>
        <w:t>Yepthomi</w:t>
      </w:r>
      <w:proofErr w:type="spellEnd"/>
      <w:r w:rsidR="00F25A66" w:rsidRPr="00C80446">
        <w:rPr>
          <w:bCs/>
          <w:lang w:val="en-IN"/>
        </w:rPr>
        <w:t xml:space="preserve">, </w:t>
      </w:r>
      <w:r w:rsidR="001A412E" w:rsidRPr="00C80446">
        <w:rPr>
          <w:bCs/>
          <w:lang w:val="en-IN"/>
        </w:rPr>
        <w:t>et al</w:t>
      </w:r>
      <w:r w:rsidR="001A412E">
        <w:rPr>
          <w:lang w:val="en-IN"/>
        </w:rPr>
        <w:t xml:space="preserve">, 2022, they also                                                                                                                                                                                                                                                                                                                                                                                                                                                                                                                                                                                                                                                                                                                                                                                                                                                                                                                                                                                                                                                                                                                                                                                                                                                                                                                                                                                                                                                                                                                                                                                                                  did similar studied at the Christian Institute of Health Sciences and Research in Nagaland, India from May 2019 to May 2021, a retrospective record study was conducted on a total of 711 women, where 20 samples (2.81%) were rejected or discarded with unsatisfactory results. Of the remaining 691 samples, they were found that 16.35% (113/691) had abnormal results. It was observed that in women with abnormal cytology (16.35%), most cytology was presented in ASC-USA format, 48.67% (55/113), LSIL 7.96% (9/113), ASC-H 22.12% (25/113), 17.69% (20/113) were high-grade </w:t>
      </w:r>
      <w:proofErr w:type="spellStart"/>
      <w:r w:rsidR="001A412E">
        <w:rPr>
          <w:lang w:val="en-IN"/>
        </w:rPr>
        <w:t>intrasquamous</w:t>
      </w:r>
      <w:proofErr w:type="spellEnd"/>
      <w:r w:rsidR="001A412E">
        <w:rPr>
          <w:lang w:val="en-IN"/>
        </w:rPr>
        <w:t xml:space="preserve"> lesion (HSIL), while 2.65% (3/113) were spindle cells cancer and adenocarcinoma was 0.88% (1/113).</w:t>
      </w:r>
      <w:r w:rsidR="00F25A66">
        <w:rPr>
          <w:lang w:val="en-IN"/>
        </w:rPr>
        <w:t xml:space="preserve"> </w:t>
      </w:r>
      <w:proofErr w:type="spellStart"/>
      <w:r w:rsidR="00F25A66" w:rsidRPr="00551E46">
        <w:rPr>
          <w:b/>
          <w:bCs/>
          <w:lang w:val="en-IN"/>
        </w:rPr>
        <w:t>Raushan</w:t>
      </w:r>
      <w:proofErr w:type="spellEnd"/>
      <w:r w:rsidR="00F25A66" w:rsidRPr="00551E46">
        <w:rPr>
          <w:b/>
          <w:bCs/>
          <w:lang w:val="en-IN"/>
        </w:rPr>
        <w:t xml:space="preserve"> Chaudhary, et al, 2022</w:t>
      </w:r>
      <w:r w:rsidR="00F25A66">
        <w:rPr>
          <w:lang w:val="en-IN"/>
        </w:rPr>
        <w:t>, similar study they done at Darbhanga medical college and Hospital, Darbhanga, Bihar, India From the period of nine months, a retrospective the record review were performed for a total of 100 women .They found that in women with abnormal cytology, the majority of cytology presented was shown ASC-US with 50% (50/100), LSIL 5% (5/100), ASC-H 25% (25/100), 15% (15/100) were High grade squamous intraepithelial lesion (HSIL), while 2.65% (3/113) were Squamous cell carcinoma and adenocarcinoma stood at1% (1/100).</w:t>
      </w:r>
    </w:p>
    <w:p w14:paraId="2588B94E" w14:textId="77777777" w:rsidR="00E60B82" w:rsidRDefault="00DA2B74">
      <w:pPr>
        <w:pStyle w:val="Heading2"/>
        <w:spacing w:line="360" w:lineRule="auto"/>
        <w:ind w:left="567" w:right="567"/>
        <w:jc w:val="both"/>
        <w:rPr>
          <w:rFonts w:ascii="Times New Roman" w:hAnsi="Times New Roman"/>
          <w:b/>
          <w:sz w:val="24"/>
          <w:szCs w:val="24"/>
        </w:rPr>
      </w:pPr>
      <w:r>
        <w:rPr>
          <w:rFonts w:ascii="Times New Roman" w:hAnsi="Times New Roman"/>
          <w:b/>
          <w:spacing w:val="-2"/>
          <w:sz w:val="24"/>
          <w:szCs w:val="24"/>
        </w:rPr>
        <w:t>CONCLUSION</w:t>
      </w:r>
    </w:p>
    <w:p w14:paraId="0939BD9B" w14:textId="77777777" w:rsidR="00E60B82" w:rsidRDefault="00DA2B74">
      <w:pPr>
        <w:pStyle w:val="BodyText"/>
        <w:spacing w:line="360" w:lineRule="auto"/>
        <w:ind w:left="567" w:right="567"/>
        <w:jc w:val="both"/>
        <w:rPr>
          <w:color w:val="1F1F1F"/>
        </w:rPr>
      </w:pPr>
      <w:r>
        <w:t xml:space="preserve">                 This study underscores the significant prevalence of cervical cancer among women aged 20-60, as revealed through liquid-based cytology screening. Using liquid-based cytology, the incidence of cervical cancer in women aged 20 to 60 is as follows: 9% of women in their 20s and 29s, 31% of women in their 30 39s, 42% of women in their 40 49s, and 18% of women in their 50s and 60s. In this group of 20–60- year-olds, LBC detects cervical abnormalities and provides a promising option for early intervention and prevention. </w:t>
      </w:r>
      <w:r>
        <w:rPr>
          <w:color w:val="1F1F1F"/>
        </w:rPr>
        <w:t xml:space="preserve">Pap smear testing is a very useful, simple, economical, and safe tool for detecting precancerous cervical epithelial lesions. It should be established as a routine screening procedure </w:t>
      </w:r>
      <w:r>
        <w:rPr>
          <w:color w:val="1F1F1F"/>
          <w:spacing w:val="-5"/>
        </w:rPr>
        <w:t>to</w:t>
      </w:r>
      <w:r>
        <w:t xml:space="preserve"> </w:t>
      </w:r>
      <w:r>
        <w:rPr>
          <w:color w:val="1F1F1F"/>
        </w:rPr>
        <w:t xml:space="preserve">reduce the treatment burden, morbidity, and mortality. LBC improves sample quality by collecting cervical cell samples in a liquid medium, reducing sample degradation, and increasing the likelihood of obtaining high-quality specimens for analysis. LBC minimizes the rate of inadequate samples and enhances the detection of abnormal cells by debris, improving the visibility of cellular morphology. </w:t>
      </w:r>
      <w:r>
        <w:t xml:space="preserve">The study consisted of a sample size of 150 participants. </w:t>
      </w:r>
      <w:r>
        <w:rPr>
          <w:color w:val="1F1F1F"/>
        </w:rPr>
        <w:t>Every woman above the age of 30 years should undergo routine cervical cancer screening, even into the postmenopausal period. The Pap test has been regarded as the gold standard of cervical screening programs</w:t>
      </w:r>
    </w:p>
    <w:p w14:paraId="218AFE0B" w14:textId="77777777" w:rsidR="009B1DE1" w:rsidRDefault="009B1DE1">
      <w:pPr>
        <w:pStyle w:val="BodyText"/>
        <w:spacing w:line="360" w:lineRule="auto"/>
        <w:ind w:left="567" w:right="567"/>
        <w:jc w:val="both"/>
        <w:rPr>
          <w:color w:val="1F1F1F"/>
        </w:rPr>
      </w:pPr>
    </w:p>
    <w:p w14:paraId="0223C71C" w14:textId="646ACC83" w:rsidR="009B1DE1" w:rsidRDefault="009B1DE1" w:rsidP="009B1DE1">
      <w:pPr>
        <w:pStyle w:val="BodyText"/>
        <w:spacing w:line="360" w:lineRule="auto"/>
        <w:ind w:left="567" w:right="567"/>
        <w:jc w:val="both"/>
        <w:rPr>
          <w:b/>
          <w:bCs/>
          <w:lang w:val="en-IN"/>
        </w:rPr>
      </w:pPr>
      <w:r>
        <w:rPr>
          <w:b/>
          <w:bCs/>
          <w:lang w:val="en-IN"/>
        </w:rPr>
        <w:t>Ethic</w:t>
      </w:r>
      <w:r w:rsidR="00A139C6">
        <w:rPr>
          <w:b/>
          <w:bCs/>
          <w:lang w:val="en-IN"/>
        </w:rPr>
        <w:t>al</w:t>
      </w:r>
      <w:r>
        <w:rPr>
          <w:b/>
          <w:bCs/>
          <w:lang w:val="en-IN"/>
        </w:rPr>
        <w:t xml:space="preserve"> </w:t>
      </w:r>
      <w:r w:rsidR="00A139C6">
        <w:rPr>
          <w:b/>
          <w:bCs/>
          <w:lang w:val="en-IN"/>
        </w:rPr>
        <w:t>approval and consent</w:t>
      </w:r>
    </w:p>
    <w:p w14:paraId="319A1CDE" w14:textId="5CACD1D5" w:rsidR="009B1DE1" w:rsidRDefault="009B1DE1" w:rsidP="009B1DE1">
      <w:pPr>
        <w:pStyle w:val="BodyText"/>
        <w:spacing w:line="360" w:lineRule="auto"/>
        <w:ind w:left="567" w:right="567"/>
        <w:jc w:val="both"/>
        <w:rPr>
          <w:lang w:val="en-IN"/>
        </w:rPr>
      </w:pPr>
      <w:r>
        <w:rPr>
          <w:b/>
          <w:bCs/>
          <w:lang w:val="en-IN"/>
        </w:rPr>
        <w:t xml:space="preserve">            </w:t>
      </w:r>
      <w:r>
        <w:rPr>
          <w:lang w:val="en-IN"/>
        </w:rPr>
        <w:t>The study was approv</w:t>
      </w:r>
      <w:r w:rsidR="008A6835">
        <w:rPr>
          <w:lang w:val="en-IN"/>
        </w:rPr>
        <w:t>ed</w:t>
      </w:r>
      <w:r>
        <w:rPr>
          <w:lang w:val="en-IN"/>
        </w:rPr>
        <w:t xml:space="preserve"> by the institution of ethics committee of GEA National College under the </w:t>
      </w:r>
      <w:proofErr w:type="spellStart"/>
      <w:r>
        <w:rPr>
          <w:lang w:val="en-IN"/>
        </w:rPr>
        <w:t>Shrimanta</w:t>
      </w:r>
      <w:proofErr w:type="spellEnd"/>
      <w:r>
        <w:rPr>
          <w:lang w:val="en-IN"/>
        </w:rPr>
        <w:t xml:space="preserve"> </w:t>
      </w:r>
      <w:proofErr w:type="spellStart"/>
      <w:r>
        <w:rPr>
          <w:lang w:val="en-IN"/>
        </w:rPr>
        <w:t>shanskardeva</w:t>
      </w:r>
      <w:proofErr w:type="spellEnd"/>
      <w:r>
        <w:rPr>
          <w:lang w:val="en-IN"/>
        </w:rPr>
        <w:t xml:space="preserve"> </w:t>
      </w:r>
      <w:proofErr w:type="spellStart"/>
      <w:r>
        <w:rPr>
          <w:lang w:val="en-IN"/>
        </w:rPr>
        <w:t>Uniersity</w:t>
      </w:r>
      <w:proofErr w:type="spellEnd"/>
      <w:r>
        <w:rPr>
          <w:lang w:val="en-IN"/>
        </w:rPr>
        <w:t xml:space="preserve"> of Health Sciences </w:t>
      </w:r>
      <w:r w:rsidR="007B67CC">
        <w:rPr>
          <w:lang w:val="en-IN"/>
        </w:rPr>
        <w:t xml:space="preserve">(SSUHS) </w:t>
      </w:r>
      <w:r>
        <w:rPr>
          <w:lang w:val="en-IN"/>
        </w:rPr>
        <w:t xml:space="preserve">and the study was conduct under </w:t>
      </w:r>
      <w:proofErr w:type="spellStart"/>
      <w:r>
        <w:rPr>
          <w:lang w:val="en-IN"/>
        </w:rPr>
        <w:t>Pratiksha</w:t>
      </w:r>
      <w:proofErr w:type="spellEnd"/>
      <w:r>
        <w:rPr>
          <w:lang w:val="en-IN"/>
        </w:rPr>
        <w:t xml:space="preserve"> Hospital, Guwahati, Assam.</w:t>
      </w:r>
      <w:r w:rsidR="001E2168">
        <w:rPr>
          <w:lang w:val="en-IN"/>
        </w:rPr>
        <w:t xml:space="preserve"> </w:t>
      </w:r>
      <w:r w:rsidR="00EE3FDE">
        <w:rPr>
          <w:lang w:val="en-IN"/>
        </w:rPr>
        <w:t>All participants provided written informed consent</w:t>
      </w:r>
      <w:r w:rsidR="005C79CB">
        <w:rPr>
          <w:lang w:val="en-IN"/>
        </w:rPr>
        <w:t xml:space="preserve">, and </w:t>
      </w:r>
      <w:r w:rsidR="005C79CB">
        <w:rPr>
          <w:lang w:val="en-IN"/>
        </w:rPr>
        <w:lastRenderedPageBreak/>
        <w:t xml:space="preserve">confidential of data </w:t>
      </w:r>
      <w:r w:rsidR="009C3FF8">
        <w:rPr>
          <w:lang w:val="en-IN"/>
        </w:rPr>
        <w:t>was strictly maintain.</w:t>
      </w:r>
    </w:p>
    <w:p w14:paraId="11769D48" w14:textId="0E3944BB" w:rsidR="007B67CC" w:rsidRDefault="00F92CB0" w:rsidP="009B1DE1">
      <w:pPr>
        <w:pStyle w:val="BodyText"/>
        <w:spacing w:line="360" w:lineRule="auto"/>
        <w:ind w:left="567" w:right="567"/>
        <w:jc w:val="both"/>
        <w:rPr>
          <w:b/>
          <w:bCs/>
          <w:lang w:val="en-IN"/>
        </w:rPr>
      </w:pPr>
      <w:r>
        <w:rPr>
          <w:b/>
          <w:bCs/>
          <w:lang w:val="en-IN"/>
        </w:rPr>
        <w:t>Acknowledgement</w:t>
      </w:r>
    </w:p>
    <w:p w14:paraId="6FC3FC8F" w14:textId="30E7F8CE" w:rsidR="002320C8" w:rsidRPr="00D1248A" w:rsidRDefault="00D1248A" w:rsidP="009B1DE1">
      <w:pPr>
        <w:pStyle w:val="BodyText"/>
        <w:spacing w:line="360" w:lineRule="auto"/>
        <w:ind w:left="567" w:right="567"/>
        <w:jc w:val="both"/>
        <w:rPr>
          <w:lang w:val="en-IN"/>
        </w:rPr>
      </w:pPr>
      <w:r>
        <w:rPr>
          <w:b/>
          <w:bCs/>
          <w:lang w:val="en-IN"/>
        </w:rPr>
        <w:t xml:space="preserve">          </w:t>
      </w:r>
      <w:r w:rsidRPr="00CD1F81">
        <w:rPr>
          <w:lang w:val="en-IN"/>
        </w:rPr>
        <w:t xml:space="preserve"> We</w:t>
      </w:r>
      <w:r>
        <w:rPr>
          <w:lang w:val="en-IN"/>
        </w:rPr>
        <w:t xml:space="preserve"> would like to </w:t>
      </w:r>
      <w:r w:rsidR="000C3761">
        <w:rPr>
          <w:lang w:val="en-IN"/>
        </w:rPr>
        <w:t>express our sincere gratitude to the departme</w:t>
      </w:r>
      <w:r w:rsidR="005B1CFD">
        <w:rPr>
          <w:lang w:val="en-IN"/>
        </w:rPr>
        <w:t xml:space="preserve">nt of Pathology at </w:t>
      </w:r>
      <w:proofErr w:type="spellStart"/>
      <w:r w:rsidR="005B1CFD">
        <w:rPr>
          <w:lang w:val="en-IN"/>
        </w:rPr>
        <w:t>Pratiksha</w:t>
      </w:r>
      <w:proofErr w:type="spellEnd"/>
      <w:r w:rsidR="005B1CFD">
        <w:rPr>
          <w:lang w:val="en-IN"/>
        </w:rPr>
        <w:t xml:space="preserve"> </w:t>
      </w:r>
      <w:proofErr w:type="spellStart"/>
      <w:r w:rsidR="005B1CFD">
        <w:rPr>
          <w:lang w:val="en-IN"/>
        </w:rPr>
        <w:t>Hospitl</w:t>
      </w:r>
      <w:proofErr w:type="spellEnd"/>
      <w:r w:rsidR="005B1CFD">
        <w:rPr>
          <w:lang w:val="en-IN"/>
        </w:rPr>
        <w:t xml:space="preserve"> and</w:t>
      </w:r>
      <w:r w:rsidR="0008793A">
        <w:rPr>
          <w:lang w:val="en-IN"/>
        </w:rPr>
        <w:t xml:space="preserve"> the </w:t>
      </w:r>
      <w:proofErr w:type="spellStart"/>
      <w:r w:rsidR="0008793A">
        <w:rPr>
          <w:lang w:val="en-IN"/>
        </w:rPr>
        <w:t>faculity</w:t>
      </w:r>
      <w:proofErr w:type="spellEnd"/>
      <w:r w:rsidR="0008793A">
        <w:rPr>
          <w:lang w:val="en-IN"/>
        </w:rPr>
        <w:t xml:space="preserve"> of GEA National College</w:t>
      </w:r>
      <w:r w:rsidR="00780E89">
        <w:rPr>
          <w:lang w:val="en-IN"/>
        </w:rPr>
        <w:t xml:space="preserve"> for providing the necessary resources and support. </w:t>
      </w:r>
      <w:r w:rsidR="00A33F07">
        <w:rPr>
          <w:lang w:val="en-IN"/>
        </w:rPr>
        <w:t>We appreciated of all the individua</w:t>
      </w:r>
      <w:r w:rsidR="00A948CE">
        <w:rPr>
          <w:lang w:val="en-IN"/>
        </w:rPr>
        <w:t>ls who contributed their time and expertise to help</w:t>
      </w:r>
      <w:r w:rsidR="00CD1F81">
        <w:rPr>
          <w:lang w:val="en-IN"/>
        </w:rPr>
        <w:t xml:space="preserve"> me successfully complete this work.</w:t>
      </w:r>
    </w:p>
    <w:p w14:paraId="00524420" w14:textId="77777777" w:rsidR="009B1DE1" w:rsidRDefault="009B1DE1" w:rsidP="009B1DE1">
      <w:pPr>
        <w:pStyle w:val="BodyText"/>
        <w:spacing w:line="360" w:lineRule="auto"/>
        <w:ind w:left="567" w:right="567"/>
        <w:jc w:val="both"/>
        <w:rPr>
          <w:lang w:val="en-IN"/>
        </w:rPr>
      </w:pPr>
    </w:p>
    <w:p w14:paraId="6F0C3113" w14:textId="77777777" w:rsidR="009B1DE1" w:rsidRDefault="009B1DE1" w:rsidP="009B1DE1">
      <w:pPr>
        <w:pStyle w:val="BodyText"/>
        <w:spacing w:line="360" w:lineRule="auto"/>
        <w:ind w:left="567" w:right="567"/>
        <w:jc w:val="both"/>
        <w:rPr>
          <w:b/>
          <w:bCs/>
          <w:lang w:val="en-IN"/>
        </w:rPr>
      </w:pPr>
      <w:proofErr w:type="spellStart"/>
      <w:r>
        <w:rPr>
          <w:b/>
          <w:bCs/>
          <w:lang w:val="en-IN"/>
        </w:rPr>
        <w:t>Disclouser</w:t>
      </w:r>
      <w:proofErr w:type="spellEnd"/>
      <w:r>
        <w:rPr>
          <w:b/>
          <w:bCs/>
          <w:lang w:val="en-IN"/>
        </w:rPr>
        <w:t xml:space="preserve"> statement</w:t>
      </w:r>
    </w:p>
    <w:p w14:paraId="41C3A19C" w14:textId="7D24C259" w:rsidR="009B1DE1" w:rsidRDefault="009B1DE1" w:rsidP="009B1DE1">
      <w:pPr>
        <w:pStyle w:val="BodyText"/>
        <w:spacing w:line="360" w:lineRule="auto"/>
        <w:ind w:left="567" w:right="567"/>
        <w:jc w:val="both"/>
        <w:rPr>
          <w:lang w:val="en-IN"/>
        </w:rPr>
      </w:pPr>
      <w:r>
        <w:rPr>
          <w:lang w:val="en-IN"/>
        </w:rPr>
        <w:t>No potential conflict of interest was reported by the authors.</w:t>
      </w:r>
    </w:p>
    <w:p w14:paraId="0640D170" w14:textId="77777777" w:rsidR="00A139C6" w:rsidRDefault="00A139C6" w:rsidP="009B1DE1">
      <w:pPr>
        <w:pStyle w:val="BodyText"/>
        <w:spacing w:line="360" w:lineRule="auto"/>
        <w:ind w:left="567" w:right="567"/>
        <w:jc w:val="both"/>
        <w:rPr>
          <w:lang w:val="en-IN"/>
        </w:rPr>
      </w:pPr>
    </w:p>
    <w:p w14:paraId="3B9AE3C2" w14:textId="77777777" w:rsidR="00A139C6" w:rsidRPr="00A139C6" w:rsidRDefault="00A139C6" w:rsidP="00A139C6">
      <w:pPr>
        <w:pStyle w:val="BodyText"/>
        <w:spacing w:line="360" w:lineRule="auto"/>
        <w:ind w:left="567" w:right="567"/>
        <w:jc w:val="both"/>
        <w:rPr>
          <w:lang w:val="en-IN"/>
        </w:rPr>
      </w:pPr>
      <w:r w:rsidRPr="00A139C6">
        <w:rPr>
          <w:lang w:val="en-IN"/>
        </w:rPr>
        <w:t>Disclaimer (Artificial intelligence)</w:t>
      </w:r>
    </w:p>
    <w:p w14:paraId="50B02BE7" w14:textId="34EB1378" w:rsidR="00A139C6" w:rsidRDefault="00A139C6" w:rsidP="00A139C6">
      <w:pPr>
        <w:pStyle w:val="BodyText"/>
        <w:spacing w:line="360" w:lineRule="auto"/>
        <w:ind w:left="567" w:right="567"/>
        <w:jc w:val="both"/>
        <w:rPr>
          <w:lang w:val="en-IN"/>
        </w:rPr>
      </w:pPr>
      <w:r w:rsidRPr="00A139C6">
        <w:rPr>
          <w:lang w:val="en-IN"/>
        </w:rPr>
        <w:t>Author(s) hereby declare that NO generative AI technologies such as Large Language Models (</w:t>
      </w:r>
      <w:proofErr w:type="spellStart"/>
      <w:r w:rsidRPr="00A139C6">
        <w:rPr>
          <w:lang w:val="en-IN"/>
        </w:rPr>
        <w:t>ChatGPT</w:t>
      </w:r>
      <w:proofErr w:type="spellEnd"/>
      <w:r w:rsidRPr="00A139C6">
        <w:rPr>
          <w:lang w:val="en-IN"/>
        </w:rPr>
        <w:t>, COPILOT, etc.) and text-to-image generators have been used during the writing or editing of this manuscript.</w:t>
      </w:r>
    </w:p>
    <w:p w14:paraId="2406CC6C" w14:textId="77777777" w:rsidR="00ED609A" w:rsidRDefault="00ED609A" w:rsidP="009B1DE1">
      <w:pPr>
        <w:pStyle w:val="BodyText"/>
        <w:spacing w:line="360" w:lineRule="auto"/>
        <w:ind w:left="567" w:right="567"/>
        <w:jc w:val="both"/>
        <w:rPr>
          <w:lang w:val="en-IN"/>
        </w:rPr>
      </w:pPr>
    </w:p>
    <w:p w14:paraId="2ED5F4F7" w14:textId="3C0A177B" w:rsidR="00ED609A" w:rsidRDefault="00ED609A" w:rsidP="009B1DE1">
      <w:pPr>
        <w:pStyle w:val="BodyText"/>
        <w:spacing w:line="360" w:lineRule="auto"/>
        <w:ind w:left="567" w:right="567"/>
        <w:jc w:val="both"/>
        <w:rPr>
          <w:b/>
          <w:bCs/>
          <w:lang w:val="en-IN"/>
        </w:rPr>
      </w:pPr>
      <w:r>
        <w:rPr>
          <w:b/>
          <w:bCs/>
          <w:lang w:val="en-IN"/>
        </w:rPr>
        <w:t>REFERENCE</w:t>
      </w:r>
    </w:p>
    <w:p w14:paraId="46FA6758" w14:textId="77777777" w:rsidR="00417133" w:rsidRPr="00FA0833" w:rsidRDefault="00417133" w:rsidP="009B1DE1">
      <w:pPr>
        <w:pStyle w:val="BodyText"/>
        <w:spacing w:line="360" w:lineRule="auto"/>
        <w:ind w:left="567" w:right="567"/>
        <w:jc w:val="both"/>
        <w:rPr>
          <w:b/>
          <w:bCs/>
          <w:sz w:val="20"/>
          <w:szCs w:val="20"/>
          <w:lang w:val="en-IN"/>
        </w:rPr>
      </w:pPr>
    </w:p>
    <w:p w14:paraId="6556455A" w14:textId="77777777" w:rsidR="008126B6" w:rsidRPr="002928AF" w:rsidRDefault="008126B6" w:rsidP="008126B6">
      <w:pPr>
        <w:pStyle w:val="ListParagraph"/>
        <w:numPr>
          <w:ilvl w:val="0"/>
          <w:numId w:val="2"/>
        </w:numPr>
        <w:tabs>
          <w:tab w:val="left" w:pos="1147"/>
        </w:tabs>
        <w:spacing w:before="161" w:line="360" w:lineRule="auto"/>
        <w:ind w:right="231"/>
        <w:rPr>
          <w:sz w:val="20"/>
          <w:szCs w:val="20"/>
        </w:rPr>
      </w:pPr>
      <w:proofErr w:type="spellStart"/>
      <w:r w:rsidRPr="002928AF">
        <w:rPr>
          <w:sz w:val="20"/>
          <w:szCs w:val="20"/>
        </w:rPr>
        <w:t>LiuZ</w:t>
      </w:r>
      <w:proofErr w:type="spellEnd"/>
      <w:r w:rsidRPr="002928AF">
        <w:rPr>
          <w:sz w:val="20"/>
          <w:szCs w:val="20"/>
        </w:rPr>
        <w:t xml:space="preserve">, </w:t>
      </w:r>
      <w:proofErr w:type="spellStart"/>
      <w:r w:rsidRPr="002928AF">
        <w:rPr>
          <w:sz w:val="20"/>
          <w:szCs w:val="20"/>
        </w:rPr>
        <w:t>ShiH</w:t>
      </w:r>
      <w:proofErr w:type="spellEnd"/>
      <w:r w:rsidRPr="002928AF">
        <w:rPr>
          <w:sz w:val="20"/>
          <w:szCs w:val="20"/>
        </w:rPr>
        <w:t xml:space="preserve">. Prognostic Role of Squamous Cell Carcinoma </w:t>
      </w:r>
      <w:proofErr w:type="spellStart"/>
      <w:r w:rsidRPr="002928AF">
        <w:rPr>
          <w:sz w:val="20"/>
          <w:szCs w:val="20"/>
        </w:rPr>
        <w:t>Antigenin</w:t>
      </w:r>
      <w:proofErr w:type="spellEnd"/>
      <w:r w:rsidRPr="002928AF">
        <w:rPr>
          <w:sz w:val="20"/>
          <w:szCs w:val="20"/>
        </w:rPr>
        <w:t xml:space="preserve"> Cervical </w:t>
      </w:r>
      <w:proofErr w:type="gramStart"/>
      <w:r w:rsidRPr="002928AF">
        <w:rPr>
          <w:sz w:val="20"/>
          <w:szCs w:val="20"/>
        </w:rPr>
        <w:t>Cancer :</w:t>
      </w:r>
      <w:proofErr w:type="gramEnd"/>
      <w:r w:rsidRPr="002928AF">
        <w:rPr>
          <w:sz w:val="20"/>
          <w:szCs w:val="20"/>
        </w:rPr>
        <w:t xml:space="preserve"> </w:t>
      </w:r>
      <w:proofErr w:type="spellStart"/>
      <w:r w:rsidRPr="002928AF">
        <w:rPr>
          <w:sz w:val="20"/>
          <w:szCs w:val="20"/>
        </w:rPr>
        <w:t>AMeta</w:t>
      </w:r>
      <w:proofErr w:type="spellEnd"/>
      <w:r w:rsidRPr="002928AF">
        <w:rPr>
          <w:sz w:val="20"/>
          <w:szCs w:val="20"/>
        </w:rPr>
        <w:t xml:space="preserve">-analysis. Dis Markers. </w:t>
      </w:r>
      <w:proofErr w:type="gramStart"/>
      <w:r w:rsidRPr="002928AF">
        <w:rPr>
          <w:sz w:val="20"/>
          <w:szCs w:val="20"/>
        </w:rPr>
        <w:t>2019;2019:6710352</w:t>
      </w:r>
      <w:proofErr w:type="gramEnd"/>
      <w:r w:rsidRPr="002928AF">
        <w:rPr>
          <w:sz w:val="20"/>
          <w:szCs w:val="20"/>
        </w:rPr>
        <w:t>. Published 2019 Jun 2. doi:10.1155/2019/6710352</w:t>
      </w:r>
    </w:p>
    <w:p w14:paraId="39AF6FDA" w14:textId="77777777" w:rsidR="008126B6" w:rsidRPr="002928AF" w:rsidRDefault="008126B6" w:rsidP="008126B6">
      <w:pPr>
        <w:pStyle w:val="ListParagraph"/>
        <w:numPr>
          <w:ilvl w:val="0"/>
          <w:numId w:val="2"/>
        </w:numPr>
        <w:tabs>
          <w:tab w:val="left" w:pos="1147"/>
        </w:tabs>
        <w:spacing w:before="1" w:line="362" w:lineRule="auto"/>
        <w:ind w:right="248"/>
        <w:rPr>
          <w:sz w:val="20"/>
          <w:szCs w:val="20"/>
        </w:rPr>
      </w:pPr>
      <w:proofErr w:type="spellStart"/>
      <w:r w:rsidRPr="002928AF">
        <w:rPr>
          <w:sz w:val="20"/>
          <w:szCs w:val="20"/>
        </w:rPr>
        <w:t>Saranath</w:t>
      </w:r>
      <w:proofErr w:type="spellEnd"/>
      <w:r w:rsidRPr="002928AF">
        <w:rPr>
          <w:sz w:val="20"/>
          <w:szCs w:val="20"/>
        </w:rPr>
        <w:t>, D., &amp; Khanna, A. (2014). Current status of cancer burden: global and Indian scenario. Biomed Res J, 1(1),</w:t>
      </w:r>
      <w:r w:rsidRPr="002928AF">
        <w:rPr>
          <w:spacing w:val="-4"/>
          <w:sz w:val="20"/>
          <w:szCs w:val="20"/>
        </w:rPr>
        <w:t>1-5.</w:t>
      </w:r>
    </w:p>
    <w:p w14:paraId="1A62D617" w14:textId="77777777" w:rsidR="008126B6" w:rsidRPr="002928AF" w:rsidRDefault="008126B6" w:rsidP="008126B6">
      <w:pPr>
        <w:pStyle w:val="ListParagraph"/>
        <w:numPr>
          <w:ilvl w:val="0"/>
          <w:numId w:val="2"/>
        </w:numPr>
        <w:tabs>
          <w:tab w:val="left" w:pos="1147"/>
        </w:tabs>
        <w:spacing w:line="360" w:lineRule="auto"/>
        <w:ind w:right="248"/>
        <w:rPr>
          <w:rStyle w:val="CommentReference"/>
          <w:sz w:val="20"/>
          <w:szCs w:val="20"/>
        </w:rPr>
      </w:pPr>
      <w:r w:rsidRPr="002928AF">
        <w:rPr>
          <w:rStyle w:val="CommentReference"/>
          <w:sz w:val="20"/>
          <w:szCs w:val="20"/>
          <w:lang w:val="en-IN"/>
        </w:rPr>
        <w:t xml:space="preserve">IOSR Journal of Dental and Medical Sciences (IOSR-JDMS) e-ISSN: 2279-0853, p-ISSN: 2279-0861.Volume 20, Issue 3 Ser.2 (March. 2021), PP 51-54 </w:t>
      </w:r>
      <w:hyperlink r:id="rId21" w:history="1">
        <w:r w:rsidRPr="002928AF">
          <w:rPr>
            <w:rStyle w:val="Hyperlink"/>
            <w:sz w:val="20"/>
            <w:szCs w:val="20"/>
            <w:lang w:val="en-IN"/>
          </w:rPr>
          <w:t>www.iosrjournals.org</w:t>
        </w:r>
      </w:hyperlink>
    </w:p>
    <w:p w14:paraId="5CBBE64D" w14:textId="77777777" w:rsidR="008126B6" w:rsidRPr="002928AF" w:rsidRDefault="008126B6" w:rsidP="008126B6">
      <w:pPr>
        <w:pStyle w:val="ListParagraph"/>
        <w:numPr>
          <w:ilvl w:val="0"/>
          <w:numId w:val="2"/>
        </w:numPr>
        <w:tabs>
          <w:tab w:val="left" w:pos="1147"/>
        </w:tabs>
        <w:spacing w:line="360" w:lineRule="auto"/>
        <w:ind w:right="248"/>
        <w:rPr>
          <w:sz w:val="20"/>
          <w:szCs w:val="20"/>
        </w:rPr>
      </w:pPr>
      <w:r w:rsidRPr="002928AF">
        <w:rPr>
          <w:sz w:val="20"/>
          <w:szCs w:val="20"/>
        </w:rPr>
        <w:t xml:space="preserve">Pankaj, Sangeeta; Nazneen, Syed; Kumari, Simi; Kumari, </w:t>
      </w:r>
      <w:proofErr w:type="spellStart"/>
      <w:r w:rsidRPr="002928AF">
        <w:rPr>
          <w:sz w:val="20"/>
          <w:szCs w:val="20"/>
        </w:rPr>
        <w:t>Anjili</w:t>
      </w:r>
      <w:proofErr w:type="spellEnd"/>
      <w:r w:rsidRPr="002928AF">
        <w:rPr>
          <w:sz w:val="20"/>
          <w:szCs w:val="20"/>
        </w:rPr>
        <w:t>; Kumari, Anita; Kumari, Jaya; Choudhary, Vijayanand1; Kumar, Shishir2. Comparison of conventional Pap smear and liquid-based cytology: A study of cervical cancer screening at a tertiary care center in Bihar. Indian Journal of Cancer 55(1</w:t>
      </w:r>
      <w:proofErr w:type="gramStart"/>
      <w:r w:rsidRPr="002928AF">
        <w:rPr>
          <w:sz w:val="20"/>
          <w:szCs w:val="20"/>
        </w:rPr>
        <w:t>):p</w:t>
      </w:r>
      <w:proofErr w:type="gramEnd"/>
      <w:r w:rsidRPr="002928AF">
        <w:rPr>
          <w:sz w:val="20"/>
          <w:szCs w:val="20"/>
        </w:rPr>
        <w:t xml:space="preserve"> 80-83, Jan–Mar 2018. | DOI: 10.4103/ijc.IJC_352_17</w:t>
      </w:r>
    </w:p>
    <w:p w14:paraId="2F7F0FC9" w14:textId="77777777" w:rsidR="008126B6" w:rsidRPr="002928AF" w:rsidRDefault="008126B6" w:rsidP="008126B6">
      <w:pPr>
        <w:pStyle w:val="ListParagraph"/>
        <w:numPr>
          <w:ilvl w:val="0"/>
          <w:numId w:val="2"/>
        </w:numPr>
        <w:tabs>
          <w:tab w:val="left" w:pos="1147"/>
        </w:tabs>
        <w:spacing w:line="357" w:lineRule="auto"/>
        <w:ind w:right="235"/>
        <w:rPr>
          <w:sz w:val="20"/>
          <w:szCs w:val="20"/>
        </w:rPr>
      </w:pPr>
      <w:r w:rsidRPr="002928AF">
        <w:rPr>
          <w:color w:val="202020"/>
          <w:sz w:val="20"/>
          <w:szCs w:val="20"/>
        </w:rPr>
        <w:t xml:space="preserve">Cohen, Paul A. </w:t>
      </w:r>
      <w:proofErr w:type="spellStart"/>
      <w:r w:rsidRPr="002928AF">
        <w:rPr>
          <w:color w:val="202020"/>
          <w:sz w:val="20"/>
          <w:szCs w:val="20"/>
        </w:rPr>
        <w:t>Anjua</w:t>
      </w:r>
      <w:proofErr w:type="spellEnd"/>
      <w:r w:rsidRPr="002928AF">
        <w:rPr>
          <w:color w:val="202020"/>
          <w:sz w:val="20"/>
          <w:szCs w:val="20"/>
        </w:rPr>
        <w:t xml:space="preserve"> </w:t>
      </w:r>
      <w:proofErr w:type="spellStart"/>
      <w:r w:rsidRPr="002928AF">
        <w:rPr>
          <w:color w:val="202020"/>
          <w:sz w:val="20"/>
          <w:szCs w:val="20"/>
        </w:rPr>
        <w:t>Jhingran</w:t>
      </w:r>
      <w:proofErr w:type="spellEnd"/>
      <w:r w:rsidRPr="002928AF">
        <w:rPr>
          <w:color w:val="202020"/>
          <w:sz w:val="20"/>
          <w:szCs w:val="20"/>
        </w:rPr>
        <w:t xml:space="preserve">, Ana </w:t>
      </w:r>
      <w:proofErr w:type="spellStart"/>
      <w:proofErr w:type="gramStart"/>
      <w:r w:rsidRPr="002928AF">
        <w:rPr>
          <w:color w:val="202020"/>
          <w:sz w:val="20"/>
          <w:szCs w:val="20"/>
        </w:rPr>
        <w:t>Oaknin</w:t>
      </w:r>
      <w:proofErr w:type="spellEnd"/>
      <w:r w:rsidRPr="002928AF">
        <w:rPr>
          <w:color w:val="202020"/>
          <w:sz w:val="20"/>
          <w:szCs w:val="20"/>
        </w:rPr>
        <w:t xml:space="preserve"> ,and</w:t>
      </w:r>
      <w:proofErr w:type="gramEnd"/>
      <w:r w:rsidRPr="002928AF">
        <w:rPr>
          <w:color w:val="202020"/>
          <w:sz w:val="20"/>
          <w:szCs w:val="20"/>
        </w:rPr>
        <w:t xml:space="preserve"> LynetteDenny."Cervicalcancer."</w:t>
      </w:r>
      <w:r w:rsidRPr="002928AF">
        <w:rPr>
          <w:i/>
          <w:color w:val="202020"/>
          <w:sz w:val="20"/>
          <w:szCs w:val="20"/>
        </w:rPr>
        <w:t>TheLancet</w:t>
      </w:r>
      <w:r w:rsidRPr="002928AF">
        <w:rPr>
          <w:color w:val="202020"/>
          <w:sz w:val="20"/>
          <w:szCs w:val="20"/>
        </w:rPr>
        <w:t>393,no.10167 (2019): 169-182.</w:t>
      </w:r>
    </w:p>
    <w:p w14:paraId="388D5681" w14:textId="77777777" w:rsidR="008126B6" w:rsidRPr="002928AF" w:rsidRDefault="008126B6" w:rsidP="008126B6">
      <w:pPr>
        <w:pStyle w:val="ListParagraph"/>
        <w:numPr>
          <w:ilvl w:val="0"/>
          <w:numId w:val="2"/>
        </w:numPr>
        <w:tabs>
          <w:tab w:val="left" w:pos="1147"/>
        </w:tabs>
        <w:spacing w:line="360" w:lineRule="auto"/>
        <w:ind w:right="249"/>
        <w:rPr>
          <w:sz w:val="20"/>
          <w:szCs w:val="20"/>
        </w:rPr>
      </w:pPr>
      <w:r w:rsidRPr="002928AF">
        <w:rPr>
          <w:color w:val="1F1F1F"/>
          <w:sz w:val="20"/>
          <w:szCs w:val="20"/>
          <w:lang w:val="en-IN"/>
        </w:rPr>
        <w:t>S</w:t>
      </w:r>
      <w:r w:rsidRPr="002928AF">
        <w:rPr>
          <w:color w:val="202020"/>
          <w:sz w:val="20"/>
          <w:szCs w:val="20"/>
        </w:rPr>
        <w:t xml:space="preserve">mallJr,W.,Bacon,M.A.,Bajaj,A.,Chuang,L.T.,Fisher,B.J.,Harkenrider,M.M.,...&amp;Gaffney,D.K. (2017). Cervical cancer: a global health crisis. </w:t>
      </w:r>
      <w:r w:rsidRPr="002928AF">
        <w:rPr>
          <w:i/>
          <w:color w:val="202020"/>
          <w:sz w:val="20"/>
          <w:szCs w:val="20"/>
        </w:rPr>
        <w:t>Cancer</w:t>
      </w:r>
      <w:r w:rsidRPr="002928AF">
        <w:rPr>
          <w:color w:val="202020"/>
          <w:sz w:val="20"/>
          <w:szCs w:val="20"/>
        </w:rPr>
        <w:t xml:space="preserve">, </w:t>
      </w:r>
      <w:r w:rsidRPr="002928AF">
        <w:rPr>
          <w:i/>
          <w:color w:val="202020"/>
          <w:sz w:val="20"/>
          <w:szCs w:val="20"/>
        </w:rPr>
        <w:t>123</w:t>
      </w:r>
      <w:r w:rsidRPr="002928AF">
        <w:rPr>
          <w:color w:val="202020"/>
          <w:sz w:val="20"/>
          <w:szCs w:val="20"/>
        </w:rPr>
        <w:t>(13), 2404-2412.</w:t>
      </w:r>
    </w:p>
    <w:p w14:paraId="213C6D74" w14:textId="77777777" w:rsidR="008126B6" w:rsidRPr="002928AF" w:rsidRDefault="008126B6" w:rsidP="008126B6">
      <w:pPr>
        <w:pStyle w:val="ListParagraph"/>
        <w:numPr>
          <w:ilvl w:val="0"/>
          <w:numId w:val="2"/>
        </w:numPr>
        <w:tabs>
          <w:tab w:val="left" w:pos="1147"/>
        </w:tabs>
        <w:spacing w:before="1" w:line="360" w:lineRule="auto"/>
        <w:ind w:right="239"/>
        <w:rPr>
          <w:sz w:val="20"/>
          <w:szCs w:val="20"/>
        </w:rPr>
      </w:pPr>
      <w:proofErr w:type="spellStart"/>
      <w:r w:rsidRPr="002928AF">
        <w:rPr>
          <w:color w:val="1F1F1F"/>
          <w:sz w:val="20"/>
          <w:szCs w:val="20"/>
        </w:rPr>
        <w:t>JainMA</w:t>
      </w:r>
      <w:proofErr w:type="spellEnd"/>
      <w:r w:rsidRPr="002928AF">
        <w:rPr>
          <w:color w:val="1F1F1F"/>
          <w:sz w:val="20"/>
          <w:szCs w:val="20"/>
        </w:rPr>
        <w:t xml:space="preserve">, </w:t>
      </w:r>
      <w:proofErr w:type="spellStart"/>
      <w:r w:rsidRPr="002928AF">
        <w:rPr>
          <w:color w:val="1F1F1F"/>
          <w:sz w:val="20"/>
          <w:szCs w:val="20"/>
        </w:rPr>
        <w:t>Limaiem</w:t>
      </w:r>
      <w:proofErr w:type="spellEnd"/>
      <w:r w:rsidRPr="002928AF">
        <w:rPr>
          <w:color w:val="1F1F1F"/>
          <w:sz w:val="20"/>
          <w:szCs w:val="20"/>
        </w:rPr>
        <w:t xml:space="preserve"> F. Cervical Squamous Cell Carcinoma. In: </w:t>
      </w:r>
      <w:proofErr w:type="spellStart"/>
      <w:r w:rsidRPr="002928AF">
        <w:rPr>
          <w:i/>
          <w:color w:val="1F1F1F"/>
          <w:sz w:val="20"/>
          <w:szCs w:val="20"/>
        </w:rPr>
        <w:t>StatPearls</w:t>
      </w:r>
      <w:proofErr w:type="spellEnd"/>
      <w:r w:rsidRPr="002928AF">
        <w:rPr>
          <w:color w:val="1F1F1F"/>
          <w:sz w:val="20"/>
          <w:szCs w:val="20"/>
        </w:rPr>
        <w:t>. Treasure Island (FL): Stat Pearls Publishing; November 15, 2022.</w:t>
      </w:r>
    </w:p>
    <w:p w14:paraId="263FC5C5" w14:textId="77777777" w:rsidR="008126B6" w:rsidRPr="002928AF" w:rsidRDefault="008126B6" w:rsidP="008126B6">
      <w:pPr>
        <w:pStyle w:val="ListParagraph"/>
        <w:numPr>
          <w:ilvl w:val="0"/>
          <w:numId w:val="2"/>
        </w:numPr>
        <w:tabs>
          <w:tab w:val="left" w:pos="1147"/>
        </w:tabs>
        <w:spacing w:line="229" w:lineRule="exact"/>
        <w:rPr>
          <w:sz w:val="20"/>
          <w:szCs w:val="20"/>
        </w:rPr>
      </w:pPr>
      <w:proofErr w:type="spellStart"/>
      <w:r w:rsidRPr="002928AF">
        <w:rPr>
          <w:color w:val="202020"/>
          <w:sz w:val="20"/>
          <w:szCs w:val="20"/>
        </w:rPr>
        <w:t>Balasubramaniam</w:t>
      </w:r>
      <w:proofErr w:type="spellEnd"/>
      <w:r w:rsidRPr="002928AF">
        <w:rPr>
          <w:color w:val="202020"/>
          <w:sz w:val="20"/>
          <w:szCs w:val="20"/>
        </w:rPr>
        <w:t xml:space="preserve"> SD, Balakrishnan V, </w:t>
      </w:r>
      <w:proofErr w:type="spellStart"/>
      <w:r w:rsidRPr="002928AF">
        <w:rPr>
          <w:color w:val="202020"/>
          <w:sz w:val="20"/>
          <w:szCs w:val="20"/>
        </w:rPr>
        <w:t>OonCE</w:t>
      </w:r>
      <w:proofErr w:type="spellEnd"/>
      <w:r w:rsidRPr="002928AF">
        <w:rPr>
          <w:color w:val="202020"/>
          <w:sz w:val="20"/>
          <w:szCs w:val="20"/>
        </w:rPr>
        <w:t xml:space="preserve">, Kaur G. Key Molecular Events in Cervical Cancer </w:t>
      </w:r>
      <w:r w:rsidRPr="002928AF">
        <w:rPr>
          <w:color w:val="202020"/>
          <w:spacing w:val="-2"/>
          <w:sz w:val="20"/>
          <w:szCs w:val="20"/>
        </w:rPr>
        <w:t>Development.</w:t>
      </w:r>
    </w:p>
    <w:p w14:paraId="7792ED1B" w14:textId="77777777" w:rsidR="008126B6" w:rsidRPr="002928AF" w:rsidRDefault="008126B6" w:rsidP="008126B6">
      <w:pPr>
        <w:pStyle w:val="ListParagraph"/>
        <w:spacing w:before="116"/>
        <w:ind w:left="1507" w:firstLine="0"/>
        <w:rPr>
          <w:color w:val="202020"/>
          <w:spacing w:val="-2"/>
          <w:sz w:val="20"/>
          <w:szCs w:val="20"/>
        </w:rPr>
      </w:pPr>
      <w:r w:rsidRPr="002928AF">
        <w:rPr>
          <w:i/>
          <w:color w:val="202020"/>
          <w:sz w:val="20"/>
          <w:szCs w:val="20"/>
        </w:rPr>
        <w:t>Medicina</w:t>
      </w:r>
      <w:r w:rsidRPr="002928AF">
        <w:rPr>
          <w:color w:val="202020"/>
          <w:sz w:val="20"/>
          <w:szCs w:val="20"/>
        </w:rPr>
        <w:t>.2019;</w:t>
      </w:r>
      <w:r w:rsidRPr="002928AF">
        <w:rPr>
          <w:color w:val="202020"/>
          <w:spacing w:val="-2"/>
          <w:sz w:val="20"/>
          <w:szCs w:val="20"/>
        </w:rPr>
        <w:t>55(7):384</w:t>
      </w:r>
    </w:p>
    <w:p w14:paraId="5A9F1D24" w14:textId="77777777" w:rsidR="008126B6" w:rsidRPr="002928AF" w:rsidRDefault="008126B6" w:rsidP="008126B6">
      <w:pPr>
        <w:pStyle w:val="ListParagraph"/>
        <w:tabs>
          <w:tab w:val="left" w:pos="1147"/>
        </w:tabs>
        <w:spacing w:line="229" w:lineRule="exact"/>
        <w:ind w:left="1507" w:firstLine="0"/>
        <w:rPr>
          <w:sz w:val="20"/>
          <w:szCs w:val="20"/>
        </w:rPr>
      </w:pPr>
    </w:p>
    <w:p w14:paraId="252DE37E" w14:textId="77777777" w:rsidR="008126B6" w:rsidRPr="002928AF" w:rsidRDefault="008126B6" w:rsidP="008126B6">
      <w:pPr>
        <w:pStyle w:val="ListParagraph"/>
        <w:numPr>
          <w:ilvl w:val="0"/>
          <w:numId w:val="2"/>
        </w:numPr>
        <w:spacing w:before="116"/>
        <w:rPr>
          <w:sz w:val="20"/>
          <w:szCs w:val="20"/>
        </w:rPr>
      </w:pPr>
      <w:r w:rsidRPr="002928AF">
        <w:rPr>
          <w:sz w:val="20"/>
          <w:szCs w:val="20"/>
        </w:rPr>
        <w:t xml:space="preserve">Mello V, Sundstrom RK. Cervical Intraepithelial Neoplasia. [Updated 2023 Aug 8]. In: </w:t>
      </w:r>
      <w:proofErr w:type="spellStart"/>
      <w:r w:rsidRPr="002928AF">
        <w:rPr>
          <w:sz w:val="20"/>
          <w:szCs w:val="20"/>
        </w:rPr>
        <w:t>StatPearls</w:t>
      </w:r>
      <w:proofErr w:type="spellEnd"/>
      <w:r w:rsidRPr="002928AF">
        <w:rPr>
          <w:sz w:val="20"/>
          <w:szCs w:val="20"/>
        </w:rPr>
        <w:t xml:space="preserve"> [Internet]. Treasure Island (FL): </w:t>
      </w:r>
      <w:proofErr w:type="spellStart"/>
      <w:r w:rsidRPr="002928AF">
        <w:rPr>
          <w:sz w:val="20"/>
          <w:szCs w:val="20"/>
        </w:rPr>
        <w:t>StatPearls</w:t>
      </w:r>
      <w:proofErr w:type="spellEnd"/>
      <w:r w:rsidRPr="002928AF">
        <w:rPr>
          <w:sz w:val="20"/>
          <w:szCs w:val="20"/>
        </w:rPr>
        <w:t xml:space="preserve"> Publishing; 2026 Jan-. Available from: </w:t>
      </w:r>
      <w:hyperlink r:id="rId22" w:history="1">
        <w:r w:rsidRPr="002928AF">
          <w:rPr>
            <w:rStyle w:val="Hyperlink"/>
            <w:sz w:val="20"/>
            <w:szCs w:val="20"/>
          </w:rPr>
          <w:t>https://www.ncbi.nlm.nih.gov/books/NBK544371/</w:t>
        </w:r>
      </w:hyperlink>
    </w:p>
    <w:p w14:paraId="6C7D2473" w14:textId="77777777" w:rsidR="008126B6" w:rsidRPr="002928AF" w:rsidRDefault="008126B6" w:rsidP="008126B6">
      <w:pPr>
        <w:pStyle w:val="ListParagraph"/>
        <w:spacing w:before="116"/>
        <w:ind w:left="1507" w:firstLine="0"/>
        <w:rPr>
          <w:sz w:val="20"/>
          <w:szCs w:val="20"/>
        </w:rPr>
      </w:pPr>
    </w:p>
    <w:p w14:paraId="17EC3B27" w14:textId="77777777" w:rsidR="008126B6" w:rsidRPr="002928AF" w:rsidRDefault="008126B6" w:rsidP="008126B6">
      <w:pPr>
        <w:pStyle w:val="ListParagraph"/>
        <w:widowControl/>
        <w:numPr>
          <w:ilvl w:val="0"/>
          <w:numId w:val="2"/>
        </w:numPr>
        <w:autoSpaceDE/>
        <w:autoSpaceDN/>
        <w:spacing w:before="100" w:beforeAutospacing="1" w:after="160" w:line="480" w:lineRule="auto"/>
        <w:contextualSpacing/>
        <w:jc w:val="both"/>
        <w:rPr>
          <w:rFonts w:eastAsia="Calibri"/>
          <w:sz w:val="20"/>
          <w:szCs w:val="20"/>
        </w:rPr>
      </w:pPr>
      <w:proofErr w:type="spellStart"/>
      <w:r w:rsidRPr="002928AF">
        <w:rPr>
          <w:rFonts w:eastAsia="Calibri"/>
          <w:color w:val="222222"/>
          <w:sz w:val="20"/>
          <w:szCs w:val="20"/>
          <w:shd w:val="clear" w:color="auto" w:fill="FFFFFF"/>
        </w:rPr>
        <w:lastRenderedPageBreak/>
        <w:t>Parazzini</w:t>
      </w:r>
      <w:proofErr w:type="spellEnd"/>
      <w:r w:rsidRPr="002928AF">
        <w:rPr>
          <w:rFonts w:eastAsia="Calibri"/>
          <w:color w:val="222222"/>
          <w:sz w:val="20"/>
          <w:szCs w:val="20"/>
          <w:shd w:val="clear" w:color="auto" w:fill="FFFFFF"/>
        </w:rPr>
        <w:t xml:space="preserve">, F., </w:t>
      </w:r>
      <w:proofErr w:type="spellStart"/>
      <w:r w:rsidRPr="002928AF">
        <w:rPr>
          <w:rFonts w:eastAsia="Calibri"/>
          <w:color w:val="222222"/>
          <w:sz w:val="20"/>
          <w:szCs w:val="20"/>
          <w:shd w:val="clear" w:color="auto" w:fill="FFFFFF"/>
        </w:rPr>
        <w:t>Vecchia</w:t>
      </w:r>
      <w:proofErr w:type="spellEnd"/>
      <w:r w:rsidRPr="002928AF">
        <w:rPr>
          <w:rFonts w:eastAsia="Calibri"/>
          <w:color w:val="222222"/>
          <w:sz w:val="20"/>
          <w:szCs w:val="20"/>
          <w:shd w:val="clear" w:color="auto" w:fill="FFFFFF"/>
        </w:rPr>
        <w:t xml:space="preserve">, C. L., Negri, E., Fedele, L., </w:t>
      </w:r>
      <w:proofErr w:type="spellStart"/>
      <w:r w:rsidRPr="002928AF">
        <w:rPr>
          <w:rFonts w:eastAsia="Calibri"/>
          <w:color w:val="222222"/>
          <w:sz w:val="20"/>
          <w:szCs w:val="20"/>
          <w:shd w:val="clear" w:color="auto" w:fill="FFFFFF"/>
        </w:rPr>
        <w:t>Franceschi</w:t>
      </w:r>
      <w:proofErr w:type="spellEnd"/>
      <w:r w:rsidRPr="002928AF">
        <w:rPr>
          <w:rFonts w:eastAsia="Calibri"/>
          <w:color w:val="222222"/>
          <w:sz w:val="20"/>
          <w:szCs w:val="20"/>
          <w:shd w:val="clear" w:color="auto" w:fill="FFFFFF"/>
        </w:rPr>
        <w:t xml:space="preserve">, S., &amp; </w:t>
      </w:r>
      <w:proofErr w:type="spellStart"/>
      <w:r w:rsidRPr="002928AF">
        <w:rPr>
          <w:rFonts w:eastAsia="Calibri"/>
          <w:color w:val="222222"/>
          <w:sz w:val="20"/>
          <w:szCs w:val="20"/>
          <w:shd w:val="clear" w:color="auto" w:fill="FFFFFF"/>
        </w:rPr>
        <w:t>Gallotta</w:t>
      </w:r>
      <w:proofErr w:type="spellEnd"/>
      <w:r w:rsidRPr="002928AF">
        <w:rPr>
          <w:rFonts w:eastAsia="Calibri"/>
          <w:color w:val="222222"/>
          <w:sz w:val="20"/>
          <w:szCs w:val="20"/>
          <w:shd w:val="clear" w:color="auto" w:fill="FFFFFF"/>
        </w:rPr>
        <w:t xml:space="preserve">, L. (1992). Risk factors for cervical intraepithelial neoplasia. </w:t>
      </w:r>
      <w:r w:rsidRPr="002928AF">
        <w:rPr>
          <w:rFonts w:eastAsia="Calibri"/>
          <w:i/>
          <w:iCs/>
          <w:color w:val="222222"/>
          <w:sz w:val="20"/>
          <w:szCs w:val="20"/>
          <w:shd w:val="clear" w:color="auto" w:fill="FFFFFF"/>
        </w:rPr>
        <w:t>Cancer</w:t>
      </w:r>
      <w:r w:rsidRPr="002928AF">
        <w:rPr>
          <w:rFonts w:eastAsia="Calibri"/>
          <w:color w:val="222222"/>
          <w:sz w:val="20"/>
          <w:szCs w:val="20"/>
          <w:shd w:val="clear" w:color="auto" w:fill="FFFFFF"/>
        </w:rPr>
        <w:t xml:space="preserve">, </w:t>
      </w:r>
      <w:r w:rsidRPr="002928AF">
        <w:rPr>
          <w:rFonts w:eastAsia="Calibri"/>
          <w:i/>
          <w:iCs/>
          <w:color w:val="222222"/>
          <w:sz w:val="20"/>
          <w:szCs w:val="20"/>
          <w:shd w:val="clear" w:color="auto" w:fill="FFFFFF"/>
        </w:rPr>
        <w:t>69</w:t>
      </w:r>
      <w:r w:rsidRPr="002928AF">
        <w:rPr>
          <w:rFonts w:eastAsia="Calibri"/>
          <w:color w:val="222222"/>
          <w:sz w:val="20"/>
          <w:szCs w:val="20"/>
          <w:shd w:val="clear" w:color="auto" w:fill="FFFFFF"/>
        </w:rPr>
        <w:t>(9), 2276-2282.</w:t>
      </w:r>
    </w:p>
    <w:p w14:paraId="5CA605E2" w14:textId="77777777" w:rsidR="008126B6" w:rsidRPr="002928AF" w:rsidRDefault="008126B6" w:rsidP="008126B6">
      <w:pPr>
        <w:pStyle w:val="ListParagraph"/>
        <w:rPr>
          <w:rFonts w:eastAsia="Calibri"/>
          <w:sz w:val="20"/>
          <w:szCs w:val="20"/>
        </w:rPr>
      </w:pPr>
    </w:p>
    <w:p w14:paraId="683C8A36" w14:textId="77777777" w:rsidR="008126B6" w:rsidRPr="002928AF" w:rsidRDefault="008126B6" w:rsidP="008126B6">
      <w:pPr>
        <w:pStyle w:val="ListParagraph"/>
        <w:widowControl/>
        <w:numPr>
          <w:ilvl w:val="0"/>
          <w:numId w:val="2"/>
        </w:numPr>
        <w:autoSpaceDE/>
        <w:autoSpaceDN/>
        <w:spacing w:before="100" w:beforeAutospacing="1" w:after="160" w:line="480" w:lineRule="auto"/>
        <w:contextualSpacing/>
        <w:jc w:val="both"/>
        <w:rPr>
          <w:rFonts w:eastAsia="Calibri"/>
          <w:sz w:val="20"/>
          <w:szCs w:val="20"/>
        </w:rPr>
      </w:pPr>
      <w:r w:rsidRPr="002928AF">
        <w:rPr>
          <w:rFonts w:eastAsia="Calibri"/>
          <w:sz w:val="20"/>
          <w:szCs w:val="20"/>
        </w:rPr>
        <w:t xml:space="preserve">Patel*, </w:t>
      </w:r>
      <w:proofErr w:type="spellStart"/>
      <w:r w:rsidRPr="002928AF">
        <w:rPr>
          <w:rFonts w:eastAsia="Calibri"/>
          <w:sz w:val="20"/>
          <w:szCs w:val="20"/>
        </w:rPr>
        <w:t>Nirali</w:t>
      </w:r>
      <w:proofErr w:type="spellEnd"/>
      <w:r w:rsidRPr="002928AF">
        <w:rPr>
          <w:rFonts w:eastAsia="Calibri"/>
          <w:sz w:val="20"/>
          <w:szCs w:val="20"/>
        </w:rPr>
        <w:t xml:space="preserve">; </w:t>
      </w:r>
      <w:proofErr w:type="spellStart"/>
      <w:r w:rsidRPr="002928AF">
        <w:rPr>
          <w:rFonts w:eastAsia="Calibri"/>
          <w:sz w:val="20"/>
          <w:szCs w:val="20"/>
        </w:rPr>
        <w:t>Bavikar</w:t>
      </w:r>
      <w:proofErr w:type="spellEnd"/>
      <w:r w:rsidRPr="002928AF">
        <w:rPr>
          <w:rFonts w:eastAsia="Calibri"/>
          <w:sz w:val="20"/>
          <w:szCs w:val="20"/>
        </w:rPr>
        <w:t xml:space="preserve">, Rupali; Buch, Archana; Kulkarni, Mayuri; </w:t>
      </w:r>
      <w:proofErr w:type="spellStart"/>
      <w:r w:rsidRPr="002928AF">
        <w:rPr>
          <w:rFonts w:eastAsia="Calibri"/>
          <w:sz w:val="20"/>
          <w:szCs w:val="20"/>
        </w:rPr>
        <w:t>Dharwadkar</w:t>
      </w:r>
      <w:proofErr w:type="spellEnd"/>
      <w:r w:rsidRPr="002928AF">
        <w:rPr>
          <w:rFonts w:eastAsia="Calibri"/>
          <w:sz w:val="20"/>
          <w:szCs w:val="20"/>
        </w:rPr>
        <w:t xml:space="preserve">, </w:t>
      </w:r>
      <w:proofErr w:type="spellStart"/>
      <w:r w:rsidRPr="002928AF">
        <w:rPr>
          <w:rFonts w:eastAsia="Calibri"/>
          <w:sz w:val="20"/>
          <w:szCs w:val="20"/>
        </w:rPr>
        <w:t>Arpana</w:t>
      </w:r>
      <w:proofErr w:type="spellEnd"/>
      <w:r w:rsidRPr="002928AF">
        <w:rPr>
          <w:rFonts w:eastAsia="Calibri"/>
          <w:sz w:val="20"/>
          <w:szCs w:val="20"/>
        </w:rPr>
        <w:t>; Viswanathan, Vidya. A Comparison of Conventional Pap Smear and Liquid-Based Cytology for Cervical Cancer Screening. Gynecology and Minimally Invasive Therapy 12(2</w:t>
      </w:r>
      <w:proofErr w:type="gramStart"/>
      <w:r w:rsidRPr="002928AF">
        <w:rPr>
          <w:rFonts w:eastAsia="Calibri"/>
          <w:sz w:val="20"/>
          <w:szCs w:val="20"/>
        </w:rPr>
        <w:t>):p</w:t>
      </w:r>
      <w:proofErr w:type="gramEnd"/>
      <w:r w:rsidRPr="002928AF">
        <w:rPr>
          <w:rFonts w:eastAsia="Calibri"/>
          <w:sz w:val="20"/>
          <w:szCs w:val="20"/>
        </w:rPr>
        <w:t xml:space="preserve"> 77-82, Apr–Jun 2023. | DOI: 10.4103/gmit.gmit_118_22</w:t>
      </w:r>
    </w:p>
    <w:p w14:paraId="758F3505" w14:textId="77777777" w:rsidR="008126B6" w:rsidRPr="002928AF" w:rsidRDefault="008126B6" w:rsidP="008126B6">
      <w:pPr>
        <w:pStyle w:val="ListParagraph"/>
        <w:rPr>
          <w:rFonts w:eastAsia="Calibri"/>
          <w:sz w:val="20"/>
          <w:szCs w:val="20"/>
        </w:rPr>
      </w:pPr>
    </w:p>
    <w:p w14:paraId="11F2073E" w14:textId="77777777" w:rsidR="008126B6" w:rsidRPr="002928AF" w:rsidRDefault="008126B6" w:rsidP="008126B6">
      <w:pPr>
        <w:pStyle w:val="ListParagraph"/>
        <w:numPr>
          <w:ilvl w:val="0"/>
          <w:numId w:val="2"/>
        </w:numPr>
        <w:tabs>
          <w:tab w:val="left" w:pos="1147"/>
        </w:tabs>
        <w:spacing w:before="118"/>
        <w:rPr>
          <w:sz w:val="20"/>
          <w:szCs w:val="20"/>
        </w:rPr>
      </w:pPr>
      <w:r w:rsidRPr="002928AF">
        <w:rPr>
          <w:color w:val="202020"/>
          <w:sz w:val="20"/>
          <w:szCs w:val="20"/>
        </w:rPr>
        <w:t>Banerjee,D.,Mittal,S.,Mandal,R.,&amp;</w:t>
      </w:r>
      <w:proofErr w:type="spellStart"/>
      <w:r w:rsidRPr="002928AF">
        <w:rPr>
          <w:color w:val="202020"/>
          <w:sz w:val="20"/>
          <w:szCs w:val="20"/>
        </w:rPr>
        <w:t>Basu,P</w:t>
      </w:r>
      <w:proofErr w:type="spellEnd"/>
      <w:r w:rsidRPr="002928AF">
        <w:rPr>
          <w:color w:val="202020"/>
          <w:sz w:val="20"/>
          <w:szCs w:val="20"/>
        </w:rPr>
        <w:t>.(2022).Screening technologies for cervical cancer :</w:t>
      </w:r>
      <w:r w:rsidRPr="002928AF">
        <w:rPr>
          <w:color w:val="202020"/>
          <w:spacing w:val="-2"/>
          <w:sz w:val="20"/>
          <w:szCs w:val="20"/>
        </w:rPr>
        <w:t>Overview.</w:t>
      </w:r>
    </w:p>
    <w:p w14:paraId="0D0C83E8" w14:textId="77777777" w:rsidR="008126B6" w:rsidRPr="002928AF" w:rsidRDefault="008126B6" w:rsidP="008126B6">
      <w:pPr>
        <w:pStyle w:val="ListParagraph"/>
        <w:rPr>
          <w:sz w:val="20"/>
          <w:szCs w:val="20"/>
        </w:rPr>
      </w:pPr>
    </w:p>
    <w:p w14:paraId="342D1F78" w14:textId="77777777" w:rsidR="008126B6" w:rsidRPr="002928AF" w:rsidRDefault="008126B6" w:rsidP="008126B6">
      <w:pPr>
        <w:pStyle w:val="ListParagraph"/>
        <w:spacing w:before="113"/>
        <w:ind w:left="1507" w:firstLine="0"/>
        <w:rPr>
          <w:i/>
          <w:color w:val="202020"/>
          <w:spacing w:val="-5"/>
          <w:sz w:val="20"/>
          <w:szCs w:val="20"/>
        </w:rPr>
      </w:pPr>
      <w:r w:rsidRPr="002928AF">
        <w:rPr>
          <w:i/>
          <w:color w:val="202020"/>
          <w:sz w:val="20"/>
          <w:szCs w:val="20"/>
        </w:rPr>
        <w:t>Cytojournal</w:t>
      </w:r>
      <w:r w:rsidRPr="002928AF">
        <w:rPr>
          <w:color w:val="202020"/>
          <w:sz w:val="20"/>
          <w:szCs w:val="20"/>
        </w:rPr>
        <w:t>,</w:t>
      </w:r>
      <w:r w:rsidRPr="002928AF">
        <w:rPr>
          <w:i/>
          <w:color w:val="202020"/>
          <w:spacing w:val="-5"/>
          <w:sz w:val="20"/>
          <w:szCs w:val="20"/>
        </w:rPr>
        <w:t>19</w:t>
      </w:r>
    </w:p>
    <w:p w14:paraId="421CFD4F" w14:textId="77777777" w:rsidR="008126B6" w:rsidRPr="002928AF" w:rsidRDefault="008126B6" w:rsidP="008126B6">
      <w:pPr>
        <w:pStyle w:val="ListParagraph"/>
        <w:tabs>
          <w:tab w:val="left" w:pos="1147"/>
        </w:tabs>
        <w:spacing w:before="118"/>
        <w:ind w:left="1507" w:firstLine="0"/>
        <w:rPr>
          <w:sz w:val="20"/>
          <w:szCs w:val="20"/>
        </w:rPr>
      </w:pPr>
    </w:p>
    <w:p w14:paraId="6D2E9ACF" w14:textId="77777777" w:rsidR="008126B6" w:rsidRPr="002928AF" w:rsidRDefault="008126B6" w:rsidP="008126B6">
      <w:pPr>
        <w:pStyle w:val="ListParagraph"/>
        <w:widowControl/>
        <w:numPr>
          <w:ilvl w:val="0"/>
          <w:numId w:val="2"/>
        </w:numPr>
        <w:autoSpaceDE/>
        <w:autoSpaceDN/>
        <w:spacing w:before="100" w:beforeAutospacing="1" w:after="160" w:line="480" w:lineRule="auto"/>
        <w:contextualSpacing/>
        <w:jc w:val="both"/>
        <w:rPr>
          <w:rFonts w:eastAsia="Calibri"/>
          <w:sz w:val="20"/>
          <w:szCs w:val="20"/>
        </w:rPr>
      </w:pPr>
      <w:proofErr w:type="spellStart"/>
      <w:r w:rsidRPr="002D3659">
        <w:rPr>
          <w:rFonts w:eastAsia="Calibri"/>
          <w:color w:val="222222"/>
          <w:sz w:val="20"/>
          <w:szCs w:val="20"/>
          <w:shd w:val="clear" w:color="auto" w:fill="FFFFFF"/>
        </w:rPr>
        <w:t>Kanavati</w:t>
      </w:r>
      <w:proofErr w:type="spellEnd"/>
      <w:r w:rsidRPr="002D3659">
        <w:rPr>
          <w:rFonts w:eastAsia="Calibri"/>
          <w:color w:val="222222"/>
          <w:sz w:val="20"/>
          <w:szCs w:val="20"/>
          <w:shd w:val="clear" w:color="auto" w:fill="FFFFFF"/>
        </w:rPr>
        <w:t xml:space="preserve">, F., Hirose, N., Ishii, T., Fukuda, A., Ichihara, S., &amp; </w:t>
      </w:r>
      <w:proofErr w:type="spellStart"/>
      <w:r w:rsidRPr="002D3659">
        <w:rPr>
          <w:rFonts w:eastAsia="Calibri"/>
          <w:color w:val="222222"/>
          <w:sz w:val="20"/>
          <w:szCs w:val="20"/>
          <w:shd w:val="clear" w:color="auto" w:fill="FFFFFF"/>
        </w:rPr>
        <w:t>Tsuneki</w:t>
      </w:r>
      <w:proofErr w:type="spellEnd"/>
      <w:r w:rsidRPr="002D3659">
        <w:rPr>
          <w:rFonts w:eastAsia="Calibri"/>
          <w:color w:val="222222"/>
          <w:sz w:val="20"/>
          <w:szCs w:val="20"/>
          <w:shd w:val="clear" w:color="auto" w:fill="FFFFFF"/>
        </w:rPr>
        <w:t xml:space="preserve">, M. (2022). A deep learning model for cervical cancer screening on Liquid-Based cytology specimens in whole slide images. </w:t>
      </w:r>
      <w:r w:rsidRPr="002D3659">
        <w:rPr>
          <w:rFonts w:eastAsia="Calibri"/>
          <w:i/>
          <w:iCs/>
          <w:color w:val="222222"/>
          <w:sz w:val="20"/>
          <w:szCs w:val="20"/>
          <w:shd w:val="clear" w:color="auto" w:fill="FFFFFF"/>
        </w:rPr>
        <w:t>Cancers</w:t>
      </w:r>
      <w:r w:rsidRPr="002D3659">
        <w:rPr>
          <w:rFonts w:eastAsia="Calibri"/>
          <w:color w:val="222222"/>
          <w:sz w:val="20"/>
          <w:szCs w:val="20"/>
          <w:shd w:val="clear" w:color="auto" w:fill="FFFFFF"/>
        </w:rPr>
        <w:t xml:space="preserve">, </w:t>
      </w:r>
      <w:r w:rsidRPr="002D3659">
        <w:rPr>
          <w:rFonts w:eastAsia="Calibri"/>
          <w:i/>
          <w:iCs/>
          <w:color w:val="222222"/>
          <w:sz w:val="20"/>
          <w:szCs w:val="20"/>
          <w:shd w:val="clear" w:color="auto" w:fill="FFFFFF"/>
        </w:rPr>
        <w:t>14</w:t>
      </w:r>
      <w:r w:rsidRPr="002D3659">
        <w:rPr>
          <w:rFonts w:eastAsia="Calibri"/>
          <w:color w:val="222222"/>
          <w:sz w:val="20"/>
          <w:szCs w:val="20"/>
          <w:shd w:val="clear" w:color="auto" w:fill="FFFFFF"/>
        </w:rPr>
        <w:t>(5), 1159</w:t>
      </w:r>
    </w:p>
    <w:p w14:paraId="2FF5F29C" w14:textId="77777777" w:rsidR="008126B6" w:rsidRPr="002D3659" w:rsidRDefault="008126B6" w:rsidP="008126B6">
      <w:pPr>
        <w:pStyle w:val="ListParagraph"/>
        <w:widowControl/>
        <w:numPr>
          <w:ilvl w:val="0"/>
          <w:numId w:val="2"/>
        </w:numPr>
        <w:autoSpaceDE/>
        <w:autoSpaceDN/>
        <w:spacing w:before="100" w:beforeAutospacing="1" w:after="160" w:line="480" w:lineRule="auto"/>
        <w:contextualSpacing/>
        <w:jc w:val="both"/>
        <w:rPr>
          <w:rFonts w:eastAsia="Calibri"/>
          <w:sz w:val="20"/>
          <w:szCs w:val="20"/>
        </w:rPr>
      </w:pPr>
      <w:r w:rsidRPr="002D3659">
        <w:rPr>
          <w:sz w:val="20"/>
          <w:szCs w:val="20"/>
        </w:rPr>
        <w:t xml:space="preserve"> </w:t>
      </w:r>
      <w:r w:rsidRPr="002D3659">
        <w:rPr>
          <w:rFonts w:eastAsia="Calibri"/>
          <w:color w:val="222222"/>
          <w:sz w:val="20"/>
          <w:szCs w:val="20"/>
          <w:shd w:val="clear" w:color="auto" w:fill="FFFFFF"/>
        </w:rPr>
        <w:t xml:space="preserve">Ma, L., Wang, Y., Gao, X., Dai, Y., Zhang, Y., Wang, Z., ... &amp; </w:t>
      </w:r>
      <w:proofErr w:type="spellStart"/>
      <w:r w:rsidRPr="002D3659">
        <w:rPr>
          <w:rFonts w:eastAsia="Calibri"/>
          <w:color w:val="222222"/>
          <w:sz w:val="20"/>
          <w:szCs w:val="20"/>
          <w:shd w:val="clear" w:color="auto" w:fill="FFFFFF"/>
        </w:rPr>
        <w:t>Qiao</w:t>
      </w:r>
      <w:proofErr w:type="spellEnd"/>
      <w:r w:rsidRPr="002D3659">
        <w:rPr>
          <w:rFonts w:eastAsia="Calibri"/>
          <w:color w:val="222222"/>
          <w:sz w:val="20"/>
          <w:szCs w:val="20"/>
          <w:shd w:val="clear" w:color="auto" w:fill="FFFFFF"/>
        </w:rPr>
        <w:t xml:space="preserve">, Y. (2019). Economic evaluation of cervical cancer screening strategies in urban China. </w:t>
      </w:r>
      <w:r w:rsidRPr="002D3659">
        <w:rPr>
          <w:rFonts w:eastAsia="Calibri"/>
          <w:i/>
          <w:iCs/>
          <w:color w:val="222222"/>
          <w:sz w:val="20"/>
          <w:szCs w:val="20"/>
          <w:shd w:val="clear" w:color="auto" w:fill="FFFFFF"/>
        </w:rPr>
        <w:t>Chinese Journal of Cancer Research</w:t>
      </w:r>
      <w:r w:rsidRPr="002D3659">
        <w:rPr>
          <w:rFonts w:eastAsia="Calibri"/>
          <w:color w:val="222222"/>
          <w:sz w:val="20"/>
          <w:szCs w:val="20"/>
          <w:shd w:val="clear" w:color="auto" w:fill="FFFFFF"/>
        </w:rPr>
        <w:t xml:space="preserve">, </w:t>
      </w:r>
      <w:r w:rsidRPr="002D3659">
        <w:rPr>
          <w:rFonts w:eastAsia="Calibri"/>
          <w:i/>
          <w:iCs/>
          <w:color w:val="222222"/>
          <w:sz w:val="20"/>
          <w:szCs w:val="20"/>
          <w:shd w:val="clear" w:color="auto" w:fill="FFFFFF"/>
        </w:rPr>
        <w:t>31</w:t>
      </w:r>
      <w:r w:rsidRPr="002D3659">
        <w:rPr>
          <w:rFonts w:eastAsia="Calibri"/>
          <w:color w:val="222222"/>
          <w:sz w:val="20"/>
          <w:szCs w:val="20"/>
          <w:shd w:val="clear" w:color="auto" w:fill="FFFFFF"/>
        </w:rPr>
        <w:t>(6), 974</w:t>
      </w:r>
    </w:p>
    <w:p w14:paraId="3B60994B" w14:textId="77777777" w:rsidR="00E82F7A" w:rsidRPr="00C031ED" w:rsidRDefault="00E82F7A" w:rsidP="00E82F7A">
      <w:pPr>
        <w:pStyle w:val="ListParagraph"/>
        <w:widowControl/>
        <w:numPr>
          <w:ilvl w:val="0"/>
          <w:numId w:val="2"/>
        </w:numPr>
        <w:autoSpaceDE/>
        <w:autoSpaceDN/>
        <w:spacing w:before="100" w:beforeAutospacing="1" w:after="160" w:line="480" w:lineRule="auto"/>
        <w:contextualSpacing/>
        <w:jc w:val="both"/>
        <w:rPr>
          <w:rFonts w:eastAsia="Calibri"/>
          <w:sz w:val="20"/>
          <w:szCs w:val="20"/>
        </w:rPr>
      </w:pPr>
      <w:r w:rsidRPr="00C031ED">
        <w:rPr>
          <w:rFonts w:eastAsia="Calibri"/>
          <w:color w:val="222222"/>
          <w:sz w:val="20"/>
          <w:szCs w:val="20"/>
          <w:shd w:val="clear" w:color="auto" w:fill="FFFFFF"/>
        </w:rPr>
        <w:t xml:space="preserve">Raj, S., &amp; Srivastava, M. (2022). Comparative analysis of HPV DNA and LBC for screening of cervical cancer in women with unhealthy cervix. </w:t>
      </w:r>
      <w:r w:rsidRPr="00C031ED">
        <w:rPr>
          <w:rFonts w:eastAsia="Calibri"/>
          <w:i/>
          <w:iCs/>
          <w:color w:val="222222"/>
          <w:sz w:val="20"/>
          <w:szCs w:val="20"/>
          <w:shd w:val="clear" w:color="auto" w:fill="FFFFFF"/>
        </w:rPr>
        <w:t>Age</w:t>
      </w:r>
      <w:r w:rsidRPr="00C031ED">
        <w:rPr>
          <w:rFonts w:eastAsia="Calibri"/>
          <w:color w:val="222222"/>
          <w:sz w:val="20"/>
          <w:szCs w:val="20"/>
          <w:shd w:val="clear" w:color="auto" w:fill="FFFFFF"/>
        </w:rPr>
        <w:t xml:space="preserve">, </w:t>
      </w:r>
      <w:r w:rsidRPr="00C031ED">
        <w:rPr>
          <w:rFonts w:eastAsia="Calibri"/>
          <w:i/>
          <w:iCs/>
          <w:color w:val="222222"/>
          <w:sz w:val="20"/>
          <w:szCs w:val="20"/>
          <w:shd w:val="clear" w:color="auto" w:fill="FFFFFF"/>
        </w:rPr>
        <w:t>195</w:t>
      </w:r>
      <w:r w:rsidRPr="00C031ED">
        <w:rPr>
          <w:rFonts w:eastAsia="Calibri"/>
          <w:color w:val="222222"/>
          <w:sz w:val="20"/>
          <w:szCs w:val="20"/>
          <w:shd w:val="clear" w:color="auto" w:fill="FFFFFF"/>
        </w:rPr>
        <w:t>, 38-50.</w:t>
      </w:r>
    </w:p>
    <w:p w14:paraId="03E59922" w14:textId="77777777" w:rsidR="00E82F7A" w:rsidRPr="00C031ED" w:rsidRDefault="00E82F7A" w:rsidP="00E82F7A">
      <w:pPr>
        <w:pStyle w:val="ListParagraph"/>
        <w:widowControl/>
        <w:numPr>
          <w:ilvl w:val="0"/>
          <w:numId w:val="2"/>
        </w:numPr>
        <w:autoSpaceDE/>
        <w:autoSpaceDN/>
        <w:spacing w:before="100" w:beforeAutospacing="1" w:after="160" w:line="480" w:lineRule="auto"/>
        <w:contextualSpacing/>
        <w:jc w:val="both"/>
        <w:rPr>
          <w:rFonts w:eastAsia="Calibri"/>
          <w:sz w:val="20"/>
          <w:szCs w:val="20"/>
        </w:rPr>
      </w:pPr>
      <w:proofErr w:type="spellStart"/>
      <w:r w:rsidRPr="00C031ED">
        <w:rPr>
          <w:rFonts w:eastAsia="Calibri"/>
          <w:color w:val="222222"/>
          <w:sz w:val="20"/>
          <w:szCs w:val="20"/>
          <w:shd w:val="clear" w:color="auto" w:fill="FFFFFF"/>
        </w:rPr>
        <w:t>Monsonego</w:t>
      </w:r>
      <w:proofErr w:type="spellEnd"/>
      <w:r w:rsidRPr="00C031ED">
        <w:rPr>
          <w:rFonts w:eastAsia="Calibri"/>
          <w:color w:val="222222"/>
          <w:sz w:val="20"/>
          <w:szCs w:val="20"/>
          <w:shd w:val="clear" w:color="auto" w:fill="FFFFFF"/>
        </w:rPr>
        <w:t xml:space="preserve">, J., Hudgens, M. G., </w:t>
      </w:r>
      <w:proofErr w:type="spellStart"/>
      <w:r w:rsidRPr="00C031ED">
        <w:rPr>
          <w:rFonts w:eastAsia="Calibri"/>
          <w:color w:val="222222"/>
          <w:sz w:val="20"/>
          <w:szCs w:val="20"/>
          <w:shd w:val="clear" w:color="auto" w:fill="FFFFFF"/>
        </w:rPr>
        <w:t>Zerat</w:t>
      </w:r>
      <w:proofErr w:type="spellEnd"/>
      <w:r w:rsidRPr="00C031ED">
        <w:rPr>
          <w:rFonts w:eastAsia="Calibri"/>
          <w:color w:val="222222"/>
          <w:sz w:val="20"/>
          <w:szCs w:val="20"/>
          <w:shd w:val="clear" w:color="auto" w:fill="FFFFFF"/>
        </w:rPr>
        <w:t xml:space="preserve">, L., </w:t>
      </w:r>
      <w:proofErr w:type="spellStart"/>
      <w:r w:rsidRPr="00C031ED">
        <w:rPr>
          <w:rFonts w:eastAsia="Calibri"/>
          <w:color w:val="222222"/>
          <w:sz w:val="20"/>
          <w:szCs w:val="20"/>
          <w:shd w:val="clear" w:color="auto" w:fill="FFFFFF"/>
        </w:rPr>
        <w:t>Zerat</w:t>
      </w:r>
      <w:proofErr w:type="spellEnd"/>
      <w:r w:rsidRPr="00C031ED">
        <w:rPr>
          <w:rFonts w:eastAsia="Calibri"/>
          <w:color w:val="222222"/>
          <w:sz w:val="20"/>
          <w:szCs w:val="20"/>
          <w:shd w:val="clear" w:color="auto" w:fill="FFFFFF"/>
        </w:rPr>
        <w:t xml:space="preserve">, J. C., </w:t>
      </w:r>
      <w:proofErr w:type="spellStart"/>
      <w:r w:rsidRPr="00C031ED">
        <w:rPr>
          <w:rFonts w:eastAsia="Calibri"/>
          <w:color w:val="222222"/>
          <w:sz w:val="20"/>
          <w:szCs w:val="20"/>
          <w:shd w:val="clear" w:color="auto" w:fill="FFFFFF"/>
        </w:rPr>
        <w:t>Syrjänen</w:t>
      </w:r>
      <w:proofErr w:type="spellEnd"/>
      <w:r w:rsidRPr="00C031ED">
        <w:rPr>
          <w:rFonts w:eastAsia="Calibri"/>
          <w:color w:val="222222"/>
          <w:sz w:val="20"/>
          <w:szCs w:val="20"/>
          <w:shd w:val="clear" w:color="auto" w:fill="FFFFFF"/>
        </w:rPr>
        <w:t xml:space="preserve">, K., </w:t>
      </w:r>
      <w:proofErr w:type="spellStart"/>
      <w:r w:rsidRPr="00C031ED">
        <w:rPr>
          <w:rFonts w:eastAsia="Calibri"/>
          <w:color w:val="222222"/>
          <w:sz w:val="20"/>
          <w:szCs w:val="20"/>
          <w:shd w:val="clear" w:color="auto" w:fill="FFFFFF"/>
        </w:rPr>
        <w:t>Halfon</w:t>
      </w:r>
      <w:proofErr w:type="spellEnd"/>
      <w:r w:rsidRPr="00C031ED">
        <w:rPr>
          <w:rFonts w:eastAsia="Calibri"/>
          <w:color w:val="222222"/>
          <w:sz w:val="20"/>
          <w:szCs w:val="20"/>
          <w:shd w:val="clear" w:color="auto" w:fill="FFFFFF"/>
        </w:rPr>
        <w:t xml:space="preserve">, P., ... &amp; Smith, J. S. (2011). Evaluation of oncogenic human papillomavirus RNA and DNA tests with liquid‐based cytology in primary cervical cancer screening: the FASE study. </w:t>
      </w:r>
      <w:r w:rsidRPr="00C031ED">
        <w:rPr>
          <w:rFonts w:eastAsia="Calibri"/>
          <w:i/>
          <w:iCs/>
          <w:color w:val="222222"/>
          <w:sz w:val="20"/>
          <w:szCs w:val="20"/>
          <w:shd w:val="clear" w:color="auto" w:fill="FFFFFF"/>
        </w:rPr>
        <w:t>International Journal of Cancer</w:t>
      </w:r>
      <w:r w:rsidRPr="00C031ED">
        <w:rPr>
          <w:rFonts w:eastAsia="Calibri"/>
          <w:color w:val="222222"/>
          <w:sz w:val="20"/>
          <w:szCs w:val="20"/>
          <w:shd w:val="clear" w:color="auto" w:fill="FFFFFF"/>
        </w:rPr>
        <w:t xml:space="preserve">, </w:t>
      </w:r>
      <w:r w:rsidRPr="00C031ED">
        <w:rPr>
          <w:rFonts w:eastAsia="Calibri"/>
          <w:i/>
          <w:iCs/>
          <w:color w:val="222222"/>
          <w:sz w:val="20"/>
          <w:szCs w:val="20"/>
          <w:shd w:val="clear" w:color="auto" w:fill="FFFFFF"/>
        </w:rPr>
        <w:t>129</w:t>
      </w:r>
      <w:r w:rsidRPr="00C031ED">
        <w:rPr>
          <w:rFonts w:eastAsia="Calibri"/>
          <w:color w:val="222222"/>
          <w:sz w:val="20"/>
          <w:szCs w:val="20"/>
          <w:shd w:val="clear" w:color="auto" w:fill="FFFFFF"/>
        </w:rPr>
        <w:t>(3), 691-701.</w:t>
      </w:r>
    </w:p>
    <w:p w14:paraId="1A305A63" w14:textId="77777777" w:rsidR="00E82F7A" w:rsidRPr="00C031ED" w:rsidRDefault="00E82F7A" w:rsidP="00E82F7A">
      <w:pPr>
        <w:pStyle w:val="ListParagraph"/>
        <w:widowControl/>
        <w:numPr>
          <w:ilvl w:val="0"/>
          <w:numId w:val="2"/>
        </w:numPr>
        <w:autoSpaceDE/>
        <w:autoSpaceDN/>
        <w:spacing w:before="100" w:beforeAutospacing="1" w:after="160" w:line="480" w:lineRule="auto"/>
        <w:contextualSpacing/>
        <w:jc w:val="both"/>
        <w:rPr>
          <w:rFonts w:eastAsia="Calibri"/>
          <w:sz w:val="20"/>
          <w:szCs w:val="20"/>
        </w:rPr>
      </w:pPr>
      <w:proofErr w:type="spellStart"/>
      <w:r w:rsidRPr="00C031ED">
        <w:rPr>
          <w:rFonts w:eastAsia="Calibri"/>
          <w:color w:val="212121"/>
          <w:sz w:val="20"/>
          <w:szCs w:val="20"/>
          <w:shd w:val="clear" w:color="auto" w:fill="FFFFFF"/>
        </w:rPr>
        <w:t>Tesfaw</w:t>
      </w:r>
      <w:proofErr w:type="spellEnd"/>
      <w:r w:rsidRPr="00C031ED">
        <w:rPr>
          <w:rFonts w:eastAsia="Calibri"/>
          <w:color w:val="212121"/>
          <w:sz w:val="20"/>
          <w:szCs w:val="20"/>
          <w:shd w:val="clear" w:color="auto" w:fill="FFFFFF"/>
        </w:rPr>
        <w:t xml:space="preserve"> G, Ahmed Y, </w:t>
      </w:r>
      <w:proofErr w:type="spellStart"/>
      <w:r w:rsidRPr="00C031ED">
        <w:rPr>
          <w:rFonts w:eastAsia="Calibri"/>
          <w:color w:val="212121"/>
          <w:sz w:val="20"/>
          <w:szCs w:val="20"/>
          <w:shd w:val="clear" w:color="auto" w:fill="FFFFFF"/>
        </w:rPr>
        <w:t>Gedefaw</w:t>
      </w:r>
      <w:proofErr w:type="spellEnd"/>
      <w:r w:rsidRPr="00C031ED">
        <w:rPr>
          <w:rFonts w:eastAsia="Calibri"/>
          <w:color w:val="212121"/>
          <w:sz w:val="20"/>
          <w:szCs w:val="20"/>
          <w:shd w:val="clear" w:color="auto" w:fill="FFFFFF"/>
        </w:rPr>
        <w:t xml:space="preserve"> L, et al. Liquid-based cytology for the detection of cervical intraepithelial lesions in </w:t>
      </w:r>
      <w:proofErr w:type="spellStart"/>
      <w:r w:rsidRPr="00C031ED">
        <w:rPr>
          <w:rFonts w:eastAsia="Calibri"/>
          <w:color w:val="212121"/>
          <w:sz w:val="20"/>
          <w:szCs w:val="20"/>
          <w:shd w:val="clear" w:color="auto" w:fill="FFFFFF"/>
        </w:rPr>
        <w:t>Jimma</w:t>
      </w:r>
      <w:proofErr w:type="spellEnd"/>
      <w:r w:rsidRPr="00C031ED">
        <w:rPr>
          <w:rFonts w:eastAsia="Calibri"/>
          <w:color w:val="212121"/>
          <w:sz w:val="20"/>
          <w:szCs w:val="20"/>
          <w:shd w:val="clear" w:color="auto" w:fill="FFFFFF"/>
        </w:rPr>
        <w:t xml:space="preserve"> town, Ethiopia. </w:t>
      </w:r>
      <w:r w:rsidRPr="00C031ED">
        <w:rPr>
          <w:rFonts w:eastAsia="Calibri"/>
          <w:i/>
          <w:iCs/>
          <w:color w:val="212121"/>
          <w:sz w:val="20"/>
          <w:szCs w:val="20"/>
          <w:shd w:val="clear" w:color="auto" w:fill="FFFFFF"/>
        </w:rPr>
        <w:t>BMC Cancer</w:t>
      </w:r>
      <w:r w:rsidRPr="00C031ED">
        <w:rPr>
          <w:rFonts w:eastAsia="Calibri"/>
          <w:color w:val="212121"/>
          <w:sz w:val="20"/>
          <w:szCs w:val="20"/>
          <w:shd w:val="clear" w:color="auto" w:fill="FFFFFF"/>
        </w:rPr>
        <w:t>. 2020;20(1):706. Published 2020 Jul 29. doi:10.1186/s12885-020-07201-9</w:t>
      </w:r>
    </w:p>
    <w:p w14:paraId="4C0841CF" w14:textId="77777777" w:rsidR="00E82F7A" w:rsidRPr="00C031ED" w:rsidRDefault="00E82F7A" w:rsidP="00E82F7A">
      <w:pPr>
        <w:pStyle w:val="ListParagraph"/>
        <w:widowControl/>
        <w:numPr>
          <w:ilvl w:val="0"/>
          <w:numId w:val="2"/>
        </w:numPr>
        <w:autoSpaceDE/>
        <w:autoSpaceDN/>
        <w:spacing w:before="100" w:beforeAutospacing="1" w:after="160" w:line="480" w:lineRule="auto"/>
        <w:contextualSpacing/>
        <w:jc w:val="both"/>
        <w:rPr>
          <w:rFonts w:eastAsia="Calibri"/>
          <w:sz w:val="20"/>
          <w:szCs w:val="20"/>
        </w:rPr>
      </w:pPr>
      <w:proofErr w:type="spellStart"/>
      <w:r w:rsidRPr="00C031ED">
        <w:rPr>
          <w:rFonts w:eastAsia="Calibri"/>
          <w:color w:val="222222"/>
          <w:sz w:val="20"/>
          <w:szCs w:val="20"/>
          <w:shd w:val="clear" w:color="auto" w:fill="FFFFFF"/>
        </w:rPr>
        <w:t>Yepthomi</w:t>
      </w:r>
      <w:proofErr w:type="spellEnd"/>
      <w:r w:rsidRPr="00C031ED">
        <w:rPr>
          <w:rFonts w:eastAsia="Calibri"/>
          <w:color w:val="222222"/>
          <w:sz w:val="20"/>
          <w:szCs w:val="20"/>
          <w:shd w:val="clear" w:color="auto" w:fill="FFFFFF"/>
        </w:rPr>
        <w:t xml:space="preserve">, N., </w:t>
      </w:r>
      <w:proofErr w:type="spellStart"/>
      <w:r w:rsidRPr="00C031ED">
        <w:rPr>
          <w:rFonts w:eastAsia="Calibri"/>
          <w:color w:val="222222"/>
          <w:sz w:val="20"/>
          <w:szCs w:val="20"/>
          <w:shd w:val="clear" w:color="auto" w:fill="FFFFFF"/>
        </w:rPr>
        <w:t>Miachieo</w:t>
      </w:r>
      <w:proofErr w:type="spellEnd"/>
      <w:r w:rsidRPr="00C031ED">
        <w:rPr>
          <w:rFonts w:eastAsia="Calibri"/>
          <w:color w:val="222222"/>
          <w:sz w:val="20"/>
          <w:szCs w:val="20"/>
          <w:shd w:val="clear" w:color="auto" w:fill="FFFFFF"/>
        </w:rPr>
        <w:t xml:space="preserve">, N., Vise, E., Jamir, B., Momin, R., &amp; </w:t>
      </w:r>
      <w:proofErr w:type="spellStart"/>
      <w:r w:rsidRPr="00C031ED">
        <w:rPr>
          <w:rFonts w:eastAsia="Calibri"/>
          <w:color w:val="222222"/>
          <w:sz w:val="20"/>
          <w:szCs w:val="20"/>
          <w:shd w:val="clear" w:color="auto" w:fill="FFFFFF"/>
        </w:rPr>
        <w:t>Jimo</w:t>
      </w:r>
      <w:proofErr w:type="spellEnd"/>
      <w:r w:rsidRPr="00C031ED">
        <w:rPr>
          <w:rFonts w:eastAsia="Calibri"/>
          <w:color w:val="222222"/>
          <w:sz w:val="20"/>
          <w:szCs w:val="20"/>
          <w:shd w:val="clear" w:color="auto" w:fill="FFFFFF"/>
        </w:rPr>
        <w:t>, K. Cervical cancer screening using liquid-based cytology (LBC) in a secondary care hospital in Northeast India.</w:t>
      </w:r>
    </w:p>
    <w:p w14:paraId="73D184BA" w14:textId="77777777" w:rsidR="00E82F7A" w:rsidRPr="00C031ED" w:rsidRDefault="00E82F7A" w:rsidP="00E82F7A">
      <w:pPr>
        <w:pStyle w:val="ListParagraph"/>
        <w:widowControl/>
        <w:numPr>
          <w:ilvl w:val="0"/>
          <w:numId w:val="2"/>
        </w:numPr>
        <w:autoSpaceDE/>
        <w:autoSpaceDN/>
        <w:spacing w:before="100" w:beforeAutospacing="1" w:after="160" w:line="480" w:lineRule="auto"/>
        <w:contextualSpacing/>
        <w:jc w:val="both"/>
        <w:rPr>
          <w:rFonts w:eastAsia="Calibri"/>
          <w:sz w:val="20"/>
          <w:szCs w:val="20"/>
        </w:rPr>
      </w:pPr>
      <w:r w:rsidRPr="00C031ED">
        <w:rPr>
          <w:rFonts w:eastAsia="Calibri"/>
          <w:sz w:val="20"/>
          <w:szCs w:val="20"/>
        </w:rPr>
        <w:t>International Journal of Pharmaceutical and Clinical Research 2022; 14(10); 537-541  Original Research Article  A Retrospective Determination of a Fraction of Pap Cervical  Smear Finding through LBC</w:t>
      </w:r>
    </w:p>
    <w:p w14:paraId="47DDCE4D" w14:textId="77777777" w:rsidR="00E82F7A" w:rsidRPr="00C031ED" w:rsidRDefault="00E82F7A" w:rsidP="00E82F7A">
      <w:pPr>
        <w:pStyle w:val="ListParagraph"/>
        <w:widowControl/>
        <w:numPr>
          <w:ilvl w:val="0"/>
          <w:numId w:val="2"/>
        </w:numPr>
        <w:autoSpaceDE/>
        <w:autoSpaceDN/>
        <w:spacing w:before="100" w:beforeAutospacing="1" w:after="160" w:line="480" w:lineRule="auto"/>
        <w:contextualSpacing/>
        <w:jc w:val="both"/>
        <w:rPr>
          <w:rFonts w:eastAsia="Calibri"/>
          <w:sz w:val="20"/>
          <w:szCs w:val="20"/>
        </w:rPr>
      </w:pPr>
      <w:proofErr w:type="spellStart"/>
      <w:r w:rsidRPr="00C031ED">
        <w:rPr>
          <w:rFonts w:eastAsia="Calibri"/>
          <w:color w:val="222222"/>
          <w:sz w:val="20"/>
          <w:szCs w:val="20"/>
          <w:shd w:val="clear" w:color="auto" w:fill="FFFFFF"/>
        </w:rPr>
        <w:t>Bagga</w:t>
      </w:r>
      <w:proofErr w:type="spellEnd"/>
      <w:r w:rsidRPr="00C031ED">
        <w:rPr>
          <w:rFonts w:eastAsia="Calibri"/>
          <w:color w:val="222222"/>
          <w:sz w:val="20"/>
          <w:szCs w:val="20"/>
          <w:shd w:val="clear" w:color="auto" w:fill="FFFFFF"/>
        </w:rPr>
        <w:t xml:space="preserve">, N., </w:t>
      </w:r>
      <w:proofErr w:type="spellStart"/>
      <w:r w:rsidRPr="00C031ED">
        <w:rPr>
          <w:rFonts w:eastAsia="Calibri"/>
          <w:color w:val="222222"/>
          <w:sz w:val="20"/>
          <w:szCs w:val="20"/>
          <w:shd w:val="clear" w:color="auto" w:fill="FFFFFF"/>
        </w:rPr>
        <w:t>Elhence</w:t>
      </w:r>
      <w:proofErr w:type="spellEnd"/>
      <w:r w:rsidRPr="00C031ED">
        <w:rPr>
          <w:rFonts w:eastAsia="Calibri"/>
          <w:color w:val="222222"/>
          <w:sz w:val="20"/>
          <w:szCs w:val="20"/>
          <w:shd w:val="clear" w:color="auto" w:fill="FFFFFF"/>
        </w:rPr>
        <w:t xml:space="preserve">, P., Rao, M., </w:t>
      </w:r>
      <w:proofErr w:type="spellStart"/>
      <w:r w:rsidRPr="00C031ED">
        <w:rPr>
          <w:rFonts w:eastAsia="Calibri"/>
          <w:color w:val="222222"/>
          <w:sz w:val="20"/>
          <w:szCs w:val="20"/>
          <w:shd w:val="clear" w:color="auto" w:fill="FFFFFF"/>
        </w:rPr>
        <w:t>Nalwa</w:t>
      </w:r>
      <w:proofErr w:type="spellEnd"/>
      <w:r w:rsidRPr="00C031ED">
        <w:rPr>
          <w:rFonts w:eastAsia="Calibri"/>
          <w:color w:val="222222"/>
          <w:sz w:val="20"/>
          <w:szCs w:val="20"/>
          <w:shd w:val="clear" w:color="auto" w:fill="FFFFFF"/>
        </w:rPr>
        <w:t xml:space="preserve">, A., </w:t>
      </w:r>
      <w:proofErr w:type="spellStart"/>
      <w:r w:rsidRPr="00C031ED">
        <w:rPr>
          <w:rFonts w:eastAsia="Calibri"/>
          <w:color w:val="222222"/>
          <w:sz w:val="20"/>
          <w:szCs w:val="20"/>
          <w:shd w:val="clear" w:color="auto" w:fill="FFFFFF"/>
        </w:rPr>
        <w:t>Khera</w:t>
      </w:r>
      <w:proofErr w:type="spellEnd"/>
      <w:r w:rsidRPr="00C031ED">
        <w:rPr>
          <w:rFonts w:eastAsia="Calibri"/>
          <w:color w:val="222222"/>
          <w:sz w:val="20"/>
          <w:szCs w:val="20"/>
          <w:shd w:val="clear" w:color="auto" w:fill="FFFFFF"/>
        </w:rPr>
        <w:t xml:space="preserve">, S., Bharti, J. N., ... &amp; Shekhar, S. (2019). A prospective study of cervical lesions diagnosed by liquid based cytology in Western Rajasthan, India population. </w:t>
      </w:r>
      <w:r w:rsidRPr="00C031ED">
        <w:rPr>
          <w:rFonts w:eastAsia="Calibri"/>
          <w:i/>
          <w:iCs/>
          <w:color w:val="222222"/>
          <w:sz w:val="20"/>
          <w:szCs w:val="20"/>
          <w:shd w:val="clear" w:color="auto" w:fill="FFFFFF"/>
        </w:rPr>
        <w:t>International Journal of Research in Medical Sciences</w:t>
      </w:r>
      <w:r w:rsidRPr="00C031ED">
        <w:rPr>
          <w:rFonts w:eastAsia="Calibri"/>
          <w:color w:val="222222"/>
          <w:sz w:val="20"/>
          <w:szCs w:val="20"/>
          <w:shd w:val="clear" w:color="auto" w:fill="FFFFFF"/>
        </w:rPr>
        <w:t xml:space="preserve">, </w:t>
      </w:r>
      <w:r w:rsidRPr="00C031ED">
        <w:rPr>
          <w:rFonts w:eastAsia="Calibri"/>
          <w:i/>
          <w:iCs/>
          <w:color w:val="222222"/>
          <w:sz w:val="20"/>
          <w:szCs w:val="20"/>
          <w:shd w:val="clear" w:color="auto" w:fill="FFFFFF"/>
        </w:rPr>
        <w:t>7</w:t>
      </w:r>
      <w:r w:rsidRPr="00C031ED">
        <w:rPr>
          <w:rFonts w:eastAsia="Calibri"/>
          <w:color w:val="222222"/>
          <w:sz w:val="20"/>
          <w:szCs w:val="20"/>
          <w:shd w:val="clear" w:color="auto" w:fill="FFFFFF"/>
        </w:rPr>
        <w:t>(12), 4573.</w:t>
      </w:r>
    </w:p>
    <w:p w14:paraId="210A6F46" w14:textId="77777777" w:rsidR="00A71CFA" w:rsidRPr="002928AF" w:rsidRDefault="00A71CFA" w:rsidP="00E82F7A">
      <w:pPr>
        <w:pStyle w:val="ListParagraph"/>
        <w:widowControl/>
        <w:autoSpaceDE/>
        <w:autoSpaceDN/>
        <w:spacing w:before="100" w:beforeAutospacing="1" w:after="160" w:line="480" w:lineRule="auto"/>
        <w:ind w:left="1507" w:firstLine="0"/>
        <w:contextualSpacing/>
        <w:jc w:val="both"/>
        <w:rPr>
          <w:rFonts w:eastAsia="Calibri"/>
          <w:sz w:val="20"/>
          <w:szCs w:val="20"/>
        </w:rPr>
      </w:pPr>
    </w:p>
    <w:p w14:paraId="09690472" w14:textId="77777777" w:rsidR="008126B6" w:rsidRPr="002928AF" w:rsidRDefault="008126B6" w:rsidP="008126B6">
      <w:pPr>
        <w:tabs>
          <w:tab w:val="left" w:pos="1147"/>
        </w:tabs>
        <w:spacing w:before="118"/>
        <w:rPr>
          <w:sz w:val="20"/>
          <w:szCs w:val="20"/>
        </w:rPr>
      </w:pPr>
    </w:p>
    <w:p w14:paraId="1CDC3E9E" w14:textId="77777777" w:rsidR="008126B6" w:rsidRPr="002928AF" w:rsidRDefault="008126B6" w:rsidP="008126B6">
      <w:pPr>
        <w:pStyle w:val="ListParagraph"/>
        <w:tabs>
          <w:tab w:val="left" w:pos="1147"/>
        </w:tabs>
        <w:spacing w:before="118"/>
        <w:ind w:left="1507" w:firstLine="0"/>
        <w:rPr>
          <w:sz w:val="20"/>
          <w:szCs w:val="20"/>
        </w:rPr>
      </w:pPr>
    </w:p>
    <w:p w14:paraId="44F65A52" w14:textId="77777777" w:rsidR="00FA1C05" w:rsidRPr="002B4C20" w:rsidRDefault="00FA1C05" w:rsidP="009B1DE1">
      <w:pPr>
        <w:pStyle w:val="BodyText"/>
        <w:spacing w:line="360" w:lineRule="auto"/>
        <w:ind w:left="567" w:right="567"/>
        <w:jc w:val="both"/>
        <w:rPr>
          <w:b/>
          <w:bCs/>
          <w:lang w:val="en-IN"/>
        </w:rPr>
      </w:pPr>
    </w:p>
    <w:p w14:paraId="5745B04E" w14:textId="77777777" w:rsidR="009B1DE1" w:rsidRDefault="009B1DE1">
      <w:pPr>
        <w:pStyle w:val="BodyText"/>
        <w:spacing w:line="360" w:lineRule="auto"/>
        <w:ind w:left="567" w:right="567"/>
        <w:jc w:val="both"/>
        <w:rPr>
          <w:color w:val="1F1F1F"/>
        </w:rPr>
      </w:pPr>
    </w:p>
    <w:p w14:paraId="24F69921" w14:textId="77777777" w:rsidR="00735A13" w:rsidRDefault="00497634">
      <w:pPr>
        <w:pStyle w:val="BodyText"/>
        <w:spacing w:line="276" w:lineRule="auto"/>
        <w:jc w:val="both"/>
      </w:pPr>
      <w:r>
        <w:t xml:space="preserve">         </w:t>
      </w:r>
    </w:p>
    <w:p w14:paraId="4C27A5AF" w14:textId="5FEFA2D5" w:rsidR="00497634" w:rsidRPr="00DA2B74" w:rsidRDefault="00DA2B74">
      <w:pPr>
        <w:pStyle w:val="BodyText"/>
        <w:spacing w:line="276" w:lineRule="auto"/>
        <w:jc w:val="both"/>
      </w:pPr>
      <w:r>
        <w:lastRenderedPageBreak/>
        <w:t xml:space="preserve">                      </w:t>
      </w:r>
      <w:r w:rsidR="00497634">
        <w:t xml:space="preserve">                                                                                 </w:t>
      </w:r>
    </w:p>
    <w:p w14:paraId="07BBDF5B" w14:textId="2ACE4A93" w:rsidR="00E60B82" w:rsidRDefault="00497634">
      <w:pPr>
        <w:pStyle w:val="BodyText"/>
        <w:spacing w:line="276" w:lineRule="auto"/>
        <w:jc w:val="both"/>
      </w:pPr>
      <w:r>
        <w:t xml:space="preserve">                            </w:t>
      </w:r>
    </w:p>
    <w:p w14:paraId="05FCB91F" w14:textId="77777777" w:rsidR="009140AA" w:rsidRDefault="009140AA" w:rsidP="002623B2">
      <w:pPr>
        <w:pStyle w:val="ListParagraph"/>
        <w:widowControl/>
        <w:autoSpaceDE/>
        <w:autoSpaceDN/>
        <w:spacing w:before="100" w:beforeAutospacing="1" w:after="160" w:line="480" w:lineRule="auto"/>
        <w:ind w:left="1507" w:firstLine="0"/>
        <w:contextualSpacing/>
        <w:jc w:val="both"/>
        <w:rPr>
          <w:rFonts w:eastAsia="Calibri"/>
          <w:sz w:val="24"/>
          <w:szCs w:val="24"/>
        </w:rPr>
      </w:pPr>
    </w:p>
    <w:p w14:paraId="0D2561BE" w14:textId="77777777" w:rsidR="00C80797" w:rsidRPr="00C80797" w:rsidRDefault="00C80797" w:rsidP="00C80797">
      <w:pPr>
        <w:tabs>
          <w:tab w:val="left" w:pos="1147"/>
        </w:tabs>
        <w:spacing w:before="118"/>
        <w:rPr>
          <w:sz w:val="20"/>
        </w:rPr>
      </w:pPr>
    </w:p>
    <w:p w14:paraId="06AD72CF" w14:textId="77777777" w:rsidR="0096087D" w:rsidRPr="00551E46" w:rsidRDefault="0096087D" w:rsidP="00551E46">
      <w:pPr>
        <w:pStyle w:val="ListParagraph"/>
        <w:spacing w:before="113"/>
        <w:ind w:left="1507" w:firstLine="0"/>
        <w:rPr>
          <w:i/>
          <w:color w:val="202020"/>
          <w:spacing w:val="-5"/>
          <w:sz w:val="20"/>
        </w:rPr>
      </w:pPr>
    </w:p>
    <w:p w14:paraId="27ED181F" w14:textId="77777777" w:rsidR="00D47D41" w:rsidRPr="00551E46" w:rsidRDefault="00D47D41" w:rsidP="00551E46">
      <w:pPr>
        <w:pStyle w:val="ListParagraph"/>
        <w:tabs>
          <w:tab w:val="left" w:pos="1147"/>
        </w:tabs>
        <w:spacing w:line="229" w:lineRule="exact"/>
        <w:ind w:left="1507" w:firstLine="0"/>
        <w:rPr>
          <w:sz w:val="20"/>
        </w:rPr>
      </w:pPr>
    </w:p>
    <w:p w14:paraId="25B5485E" w14:textId="77777777" w:rsidR="00D32064" w:rsidRDefault="00D32064" w:rsidP="00551E46">
      <w:pPr>
        <w:spacing w:before="113"/>
        <w:rPr>
          <w:color w:val="202020"/>
          <w:spacing w:val="-5"/>
          <w:sz w:val="20"/>
        </w:rPr>
        <w:sectPr w:rsidR="00D32064">
          <w:pgSz w:w="11910" w:h="16840"/>
          <w:pgMar w:top="560" w:right="566" w:bottom="280" w:left="425" w:header="720" w:footer="720" w:gutter="0"/>
          <w:cols w:space="720"/>
        </w:sectPr>
      </w:pPr>
    </w:p>
    <w:p w14:paraId="36A607CE" w14:textId="77777777" w:rsidR="00E60B82" w:rsidRDefault="00E60B82">
      <w:pPr>
        <w:pStyle w:val="BodyText"/>
        <w:tabs>
          <w:tab w:val="left" w:pos="4267"/>
          <w:tab w:val="left" w:pos="7688"/>
        </w:tabs>
        <w:sectPr w:rsidR="00E60B82">
          <w:pgSz w:w="11910" w:h="16840"/>
          <w:pgMar w:top="540" w:right="566" w:bottom="280" w:left="425" w:header="720" w:footer="720" w:gutter="0"/>
          <w:cols w:space="720"/>
        </w:sectPr>
      </w:pPr>
    </w:p>
    <w:p w14:paraId="1A863285" w14:textId="77777777" w:rsidR="00E60B82" w:rsidRDefault="00E60B82">
      <w:pPr>
        <w:spacing w:before="113"/>
        <w:rPr>
          <w:sz w:val="20"/>
        </w:rPr>
      </w:pPr>
    </w:p>
    <w:sectPr w:rsidR="00E60B82">
      <w:pgSz w:w="11910" w:h="16840"/>
      <w:pgMar w:top="480" w:right="566"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485DB" w14:textId="77777777" w:rsidR="00A4551B" w:rsidRDefault="00A4551B">
      <w:r>
        <w:separator/>
      </w:r>
    </w:p>
  </w:endnote>
  <w:endnote w:type="continuationSeparator" w:id="0">
    <w:p w14:paraId="08FD8293" w14:textId="77777777" w:rsidR="00A4551B" w:rsidRDefault="00A4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 new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C68D" w14:textId="77777777" w:rsidR="00E60B82" w:rsidRDefault="00E60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5511" w14:textId="77777777" w:rsidR="00E60B82" w:rsidRDefault="00E60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5C732" w14:textId="77777777" w:rsidR="00E60B82" w:rsidRDefault="00E60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BB29" w14:textId="77777777" w:rsidR="00E60B82" w:rsidRDefault="00E60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291CB" w14:textId="77777777" w:rsidR="00A4551B" w:rsidRDefault="00A4551B">
      <w:r>
        <w:separator/>
      </w:r>
    </w:p>
  </w:footnote>
  <w:footnote w:type="continuationSeparator" w:id="0">
    <w:p w14:paraId="7BD50DC1" w14:textId="77777777" w:rsidR="00A4551B" w:rsidRDefault="00A4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DDB8B" w14:textId="77777777" w:rsidR="00E60B82" w:rsidRDefault="00A4551B">
    <w:pPr>
      <w:pStyle w:val="Header"/>
    </w:pPr>
    <w:r>
      <w:pict w14:anchorId="755EA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46141" o:spid="_x0000_s2054" type="#_x0000_t136" style="position:absolute;margin-left:0;margin-top:0;width:691.7pt;height:78.05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E4A71" w14:textId="77777777" w:rsidR="00E60B82" w:rsidRDefault="00A4551B">
    <w:pPr>
      <w:pStyle w:val="Header"/>
    </w:pPr>
    <w:r>
      <w:pict w14:anchorId="6F7C8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91.7pt;height:78.05pt;rotation:315;z-index:-25165312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8D8E6" w14:textId="77777777" w:rsidR="00E60B82" w:rsidRDefault="00A4551B">
    <w:pPr>
      <w:pStyle w:val="Header"/>
    </w:pPr>
    <w:r>
      <w:pict w14:anchorId="5E292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46140" o:spid="_x0000_s2052" type="#_x0000_t136" style="position:absolute;margin-left:0;margin-top:0;width:691.7pt;height:78.0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E627" w14:textId="77777777" w:rsidR="00E60B82" w:rsidRDefault="00A4551B">
    <w:pPr>
      <w:pStyle w:val="Header"/>
    </w:pPr>
    <w:r>
      <w:pict w14:anchorId="56903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46142" o:spid="_x0000_s2051" type="#_x0000_t136" style="position:absolute;margin-left:0;margin-top:0;width:691.7pt;height:78.0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114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117" w:hanging="360"/>
      </w:pPr>
      <w:rPr>
        <w:rFonts w:hint="default"/>
        <w:lang w:val="en-US" w:eastAsia="en-US" w:bidi="ar-SA"/>
      </w:rPr>
    </w:lvl>
    <w:lvl w:ilvl="2">
      <w:numFmt w:val="bullet"/>
      <w:lvlText w:val="•"/>
      <w:lvlJc w:val="left"/>
      <w:pPr>
        <w:ind w:left="3095" w:hanging="360"/>
      </w:pPr>
      <w:rPr>
        <w:rFonts w:hint="default"/>
        <w:lang w:val="en-US" w:eastAsia="en-US" w:bidi="ar-SA"/>
      </w:rPr>
    </w:lvl>
    <w:lvl w:ilvl="3">
      <w:numFmt w:val="bullet"/>
      <w:lvlText w:val="•"/>
      <w:lvlJc w:val="left"/>
      <w:pPr>
        <w:ind w:left="4072" w:hanging="360"/>
      </w:pPr>
      <w:rPr>
        <w:rFonts w:hint="default"/>
        <w:lang w:val="en-US" w:eastAsia="en-US" w:bidi="ar-SA"/>
      </w:rPr>
    </w:lvl>
    <w:lvl w:ilvl="4">
      <w:numFmt w:val="bullet"/>
      <w:lvlText w:val="•"/>
      <w:lvlJc w:val="left"/>
      <w:pPr>
        <w:ind w:left="5050" w:hanging="360"/>
      </w:pPr>
      <w:rPr>
        <w:rFonts w:hint="default"/>
        <w:lang w:val="en-US" w:eastAsia="en-US" w:bidi="ar-SA"/>
      </w:rPr>
    </w:lvl>
    <w:lvl w:ilvl="5">
      <w:numFmt w:val="bullet"/>
      <w:lvlText w:val="•"/>
      <w:lvlJc w:val="left"/>
      <w:pPr>
        <w:ind w:left="6027" w:hanging="360"/>
      </w:pPr>
      <w:rPr>
        <w:rFonts w:hint="default"/>
        <w:lang w:val="en-US" w:eastAsia="en-US" w:bidi="ar-SA"/>
      </w:rPr>
    </w:lvl>
    <w:lvl w:ilvl="6">
      <w:numFmt w:val="bullet"/>
      <w:lvlText w:val="•"/>
      <w:lvlJc w:val="left"/>
      <w:pPr>
        <w:ind w:left="7005" w:hanging="360"/>
      </w:pPr>
      <w:rPr>
        <w:rFonts w:hint="default"/>
        <w:lang w:val="en-US" w:eastAsia="en-US" w:bidi="ar-SA"/>
      </w:rPr>
    </w:lvl>
    <w:lvl w:ilvl="7">
      <w:numFmt w:val="bullet"/>
      <w:lvlText w:val="•"/>
      <w:lvlJc w:val="left"/>
      <w:pPr>
        <w:ind w:left="7982" w:hanging="360"/>
      </w:pPr>
      <w:rPr>
        <w:rFonts w:hint="default"/>
        <w:lang w:val="en-US" w:eastAsia="en-US" w:bidi="ar-SA"/>
      </w:rPr>
    </w:lvl>
    <w:lvl w:ilvl="8">
      <w:numFmt w:val="bullet"/>
      <w:lvlText w:val="•"/>
      <w:lvlJc w:val="left"/>
      <w:pPr>
        <w:ind w:left="8960" w:hanging="360"/>
      </w:pPr>
      <w:rPr>
        <w:rFonts w:hint="default"/>
        <w:lang w:val="en-US" w:eastAsia="en-US" w:bidi="ar-SA"/>
      </w:rPr>
    </w:lvl>
  </w:abstractNum>
  <w:abstractNum w:abstractNumId="1" w15:restartNumberingAfterBreak="0">
    <w:nsid w:val="3F11241B"/>
    <w:multiLevelType w:val="hybridMultilevel"/>
    <w:tmpl w:val="A30E02C6"/>
    <w:lvl w:ilvl="0" w:tplc="4009000F">
      <w:start w:val="1"/>
      <w:numFmt w:val="decimal"/>
      <w:lvlText w:val="%1."/>
      <w:lvlJc w:val="left"/>
      <w:pPr>
        <w:ind w:left="1507" w:hanging="360"/>
      </w:pPr>
    </w:lvl>
    <w:lvl w:ilvl="1" w:tplc="40090019" w:tentative="1">
      <w:start w:val="1"/>
      <w:numFmt w:val="lowerLetter"/>
      <w:lvlText w:val="%2."/>
      <w:lvlJc w:val="left"/>
      <w:pPr>
        <w:ind w:left="2227" w:hanging="360"/>
      </w:pPr>
    </w:lvl>
    <w:lvl w:ilvl="2" w:tplc="4009001B" w:tentative="1">
      <w:start w:val="1"/>
      <w:numFmt w:val="lowerRoman"/>
      <w:lvlText w:val="%3."/>
      <w:lvlJc w:val="right"/>
      <w:pPr>
        <w:ind w:left="2947" w:hanging="180"/>
      </w:pPr>
    </w:lvl>
    <w:lvl w:ilvl="3" w:tplc="4009000F" w:tentative="1">
      <w:start w:val="1"/>
      <w:numFmt w:val="decimal"/>
      <w:lvlText w:val="%4."/>
      <w:lvlJc w:val="left"/>
      <w:pPr>
        <w:ind w:left="3667" w:hanging="360"/>
      </w:pPr>
    </w:lvl>
    <w:lvl w:ilvl="4" w:tplc="40090019" w:tentative="1">
      <w:start w:val="1"/>
      <w:numFmt w:val="lowerLetter"/>
      <w:lvlText w:val="%5."/>
      <w:lvlJc w:val="left"/>
      <w:pPr>
        <w:ind w:left="4387" w:hanging="360"/>
      </w:pPr>
    </w:lvl>
    <w:lvl w:ilvl="5" w:tplc="4009001B" w:tentative="1">
      <w:start w:val="1"/>
      <w:numFmt w:val="lowerRoman"/>
      <w:lvlText w:val="%6."/>
      <w:lvlJc w:val="right"/>
      <w:pPr>
        <w:ind w:left="5107" w:hanging="180"/>
      </w:pPr>
    </w:lvl>
    <w:lvl w:ilvl="6" w:tplc="4009000F" w:tentative="1">
      <w:start w:val="1"/>
      <w:numFmt w:val="decimal"/>
      <w:lvlText w:val="%7."/>
      <w:lvlJc w:val="left"/>
      <w:pPr>
        <w:ind w:left="5827" w:hanging="360"/>
      </w:pPr>
    </w:lvl>
    <w:lvl w:ilvl="7" w:tplc="40090019" w:tentative="1">
      <w:start w:val="1"/>
      <w:numFmt w:val="lowerLetter"/>
      <w:lvlText w:val="%8."/>
      <w:lvlJc w:val="left"/>
      <w:pPr>
        <w:ind w:left="6547" w:hanging="360"/>
      </w:pPr>
    </w:lvl>
    <w:lvl w:ilvl="8" w:tplc="4009001B" w:tentative="1">
      <w:start w:val="1"/>
      <w:numFmt w:val="lowerRoman"/>
      <w:lvlText w:val="%9."/>
      <w:lvlJc w:val="right"/>
      <w:pPr>
        <w:ind w:left="7267" w:hanging="180"/>
      </w:pPr>
    </w:lvl>
  </w:abstractNum>
  <w:abstractNum w:abstractNumId="2" w15:restartNumberingAfterBreak="0">
    <w:nsid w:val="55224BB0"/>
    <w:multiLevelType w:val="multilevel"/>
    <w:tmpl w:val="55224BB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0NTc0NrQ0NTY3MTBX0lEKTi0uzszPAykwrgUAqpYT9ywAAAA="/>
  </w:docVars>
  <w:rsids>
    <w:rsidRoot w:val="00D30250"/>
    <w:rsid w:val="00004475"/>
    <w:rsid w:val="00015FBB"/>
    <w:rsid w:val="00084188"/>
    <w:rsid w:val="00084F5E"/>
    <w:rsid w:val="00085AA1"/>
    <w:rsid w:val="0008793A"/>
    <w:rsid w:val="000B33EB"/>
    <w:rsid w:val="000C325F"/>
    <w:rsid w:val="000C3761"/>
    <w:rsid w:val="000C797F"/>
    <w:rsid w:val="000F54B5"/>
    <w:rsid w:val="001158CB"/>
    <w:rsid w:val="00121091"/>
    <w:rsid w:val="001239BB"/>
    <w:rsid w:val="00124AE5"/>
    <w:rsid w:val="00126DEF"/>
    <w:rsid w:val="00146198"/>
    <w:rsid w:val="00147CCF"/>
    <w:rsid w:val="00150FA1"/>
    <w:rsid w:val="00155EED"/>
    <w:rsid w:val="00163736"/>
    <w:rsid w:val="001A412E"/>
    <w:rsid w:val="001B7082"/>
    <w:rsid w:val="001C4751"/>
    <w:rsid w:val="001D4D38"/>
    <w:rsid w:val="001E2168"/>
    <w:rsid w:val="001E3D7B"/>
    <w:rsid w:val="001E7513"/>
    <w:rsid w:val="001F227E"/>
    <w:rsid w:val="0020140E"/>
    <w:rsid w:val="0021591A"/>
    <w:rsid w:val="0023168D"/>
    <w:rsid w:val="002320C8"/>
    <w:rsid w:val="0023483B"/>
    <w:rsid w:val="00234DFE"/>
    <w:rsid w:val="00245AB5"/>
    <w:rsid w:val="00251930"/>
    <w:rsid w:val="002530FA"/>
    <w:rsid w:val="002623B2"/>
    <w:rsid w:val="002639C2"/>
    <w:rsid w:val="00265E9E"/>
    <w:rsid w:val="00270756"/>
    <w:rsid w:val="0029195D"/>
    <w:rsid w:val="00291996"/>
    <w:rsid w:val="002928AF"/>
    <w:rsid w:val="00294855"/>
    <w:rsid w:val="00297717"/>
    <w:rsid w:val="002A3C02"/>
    <w:rsid w:val="002B258F"/>
    <w:rsid w:val="002B4C20"/>
    <w:rsid w:val="002D24E4"/>
    <w:rsid w:val="002D3659"/>
    <w:rsid w:val="002E024C"/>
    <w:rsid w:val="002E2B6C"/>
    <w:rsid w:val="002F191E"/>
    <w:rsid w:val="002F61FC"/>
    <w:rsid w:val="00314E12"/>
    <w:rsid w:val="00325E56"/>
    <w:rsid w:val="00326E73"/>
    <w:rsid w:val="00352575"/>
    <w:rsid w:val="00357F5D"/>
    <w:rsid w:val="003659A8"/>
    <w:rsid w:val="0037404C"/>
    <w:rsid w:val="003964B6"/>
    <w:rsid w:val="003A70C1"/>
    <w:rsid w:val="003A737A"/>
    <w:rsid w:val="003A75BC"/>
    <w:rsid w:val="003B2F60"/>
    <w:rsid w:val="003C2ECD"/>
    <w:rsid w:val="003E3383"/>
    <w:rsid w:val="003E6262"/>
    <w:rsid w:val="003E77A6"/>
    <w:rsid w:val="003F09BA"/>
    <w:rsid w:val="00417133"/>
    <w:rsid w:val="004229F9"/>
    <w:rsid w:val="00423F51"/>
    <w:rsid w:val="0042431C"/>
    <w:rsid w:val="00435E4F"/>
    <w:rsid w:val="00453B2E"/>
    <w:rsid w:val="00472FD5"/>
    <w:rsid w:val="004914EC"/>
    <w:rsid w:val="00495458"/>
    <w:rsid w:val="00497634"/>
    <w:rsid w:val="004B3B50"/>
    <w:rsid w:val="004B7092"/>
    <w:rsid w:val="004C7411"/>
    <w:rsid w:val="004E3C17"/>
    <w:rsid w:val="004E4249"/>
    <w:rsid w:val="004E644E"/>
    <w:rsid w:val="004F3536"/>
    <w:rsid w:val="004F7732"/>
    <w:rsid w:val="005020D0"/>
    <w:rsid w:val="00521694"/>
    <w:rsid w:val="00533B9C"/>
    <w:rsid w:val="0054502E"/>
    <w:rsid w:val="00551E46"/>
    <w:rsid w:val="005641F9"/>
    <w:rsid w:val="00566FE8"/>
    <w:rsid w:val="00577903"/>
    <w:rsid w:val="005916ED"/>
    <w:rsid w:val="005B1002"/>
    <w:rsid w:val="005B1CFD"/>
    <w:rsid w:val="005C0535"/>
    <w:rsid w:val="005C79CB"/>
    <w:rsid w:val="005C7D1F"/>
    <w:rsid w:val="005D6608"/>
    <w:rsid w:val="005E5AC5"/>
    <w:rsid w:val="005F2C90"/>
    <w:rsid w:val="00603BB5"/>
    <w:rsid w:val="0065499D"/>
    <w:rsid w:val="00667DA8"/>
    <w:rsid w:val="006764C4"/>
    <w:rsid w:val="006800AA"/>
    <w:rsid w:val="00682F1B"/>
    <w:rsid w:val="00683FFB"/>
    <w:rsid w:val="006A1739"/>
    <w:rsid w:val="006B2AAB"/>
    <w:rsid w:val="006C49B9"/>
    <w:rsid w:val="006D4C2A"/>
    <w:rsid w:val="006E77D4"/>
    <w:rsid w:val="006F749D"/>
    <w:rsid w:val="00735A13"/>
    <w:rsid w:val="00750493"/>
    <w:rsid w:val="007773CB"/>
    <w:rsid w:val="00780E89"/>
    <w:rsid w:val="007B527C"/>
    <w:rsid w:val="007B67CC"/>
    <w:rsid w:val="007E5CA6"/>
    <w:rsid w:val="00802823"/>
    <w:rsid w:val="008051C3"/>
    <w:rsid w:val="008126B6"/>
    <w:rsid w:val="00840173"/>
    <w:rsid w:val="00845809"/>
    <w:rsid w:val="00845D9F"/>
    <w:rsid w:val="00852263"/>
    <w:rsid w:val="0085427C"/>
    <w:rsid w:val="00863746"/>
    <w:rsid w:val="00866627"/>
    <w:rsid w:val="0087262A"/>
    <w:rsid w:val="008870F0"/>
    <w:rsid w:val="00895667"/>
    <w:rsid w:val="008A2E8F"/>
    <w:rsid w:val="008A5441"/>
    <w:rsid w:val="008A6835"/>
    <w:rsid w:val="008B33F2"/>
    <w:rsid w:val="008B488C"/>
    <w:rsid w:val="008F5CEB"/>
    <w:rsid w:val="00912BD7"/>
    <w:rsid w:val="009140AA"/>
    <w:rsid w:val="00957A43"/>
    <w:rsid w:val="0096087D"/>
    <w:rsid w:val="0097187D"/>
    <w:rsid w:val="00993BD3"/>
    <w:rsid w:val="00994785"/>
    <w:rsid w:val="009B1DE1"/>
    <w:rsid w:val="009B71C8"/>
    <w:rsid w:val="009B7F22"/>
    <w:rsid w:val="009C2DC9"/>
    <w:rsid w:val="009C2F9D"/>
    <w:rsid w:val="009C3FF8"/>
    <w:rsid w:val="009C501A"/>
    <w:rsid w:val="009D4DE5"/>
    <w:rsid w:val="009F4DAC"/>
    <w:rsid w:val="009F5260"/>
    <w:rsid w:val="00A03A1E"/>
    <w:rsid w:val="00A139C6"/>
    <w:rsid w:val="00A25F34"/>
    <w:rsid w:val="00A3158D"/>
    <w:rsid w:val="00A33F07"/>
    <w:rsid w:val="00A3761F"/>
    <w:rsid w:val="00A40662"/>
    <w:rsid w:val="00A44936"/>
    <w:rsid w:val="00A4551B"/>
    <w:rsid w:val="00A47DE4"/>
    <w:rsid w:val="00A57CB7"/>
    <w:rsid w:val="00A71CFA"/>
    <w:rsid w:val="00A91116"/>
    <w:rsid w:val="00A948CE"/>
    <w:rsid w:val="00AA6EEF"/>
    <w:rsid w:val="00AC0CEA"/>
    <w:rsid w:val="00AC2432"/>
    <w:rsid w:val="00AD6806"/>
    <w:rsid w:val="00AE2738"/>
    <w:rsid w:val="00B43B09"/>
    <w:rsid w:val="00B84B09"/>
    <w:rsid w:val="00BB47F1"/>
    <w:rsid w:val="00BD256C"/>
    <w:rsid w:val="00BD3AAC"/>
    <w:rsid w:val="00BD3B74"/>
    <w:rsid w:val="00BE53EF"/>
    <w:rsid w:val="00BE7A0D"/>
    <w:rsid w:val="00C0125C"/>
    <w:rsid w:val="00C029F8"/>
    <w:rsid w:val="00C1295E"/>
    <w:rsid w:val="00C45486"/>
    <w:rsid w:val="00C45F4E"/>
    <w:rsid w:val="00C51FF3"/>
    <w:rsid w:val="00C674F5"/>
    <w:rsid w:val="00C73BD7"/>
    <w:rsid w:val="00C759B1"/>
    <w:rsid w:val="00C80446"/>
    <w:rsid w:val="00C80797"/>
    <w:rsid w:val="00C968ED"/>
    <w:rsid w:val="00CD1F81"/>
    <w:rsid w:val="00CD3874"/>
    <w:rsid w:val="00CD5949"/>
    <w:rsid w:val="00CE307F"/>
    <w:rsid w:val="00CF084E"/>
    <w:rsid w:val="00D1248A"/>
    <w:rsid w:val="00D17094"/>
    <w:rsid w:val="00D30250"/>
    <w:rsid w:val="00D32064"/>
    <w:rsid w:val="00D37119"/>
    <w:rsid w:val="00D40E8D"/>
    <w:rsid w:val="00D4101E"/>
    <w:rsid w:val="00D431C0"/>
    <w:rsid w:val="00D47D41"/>
    <w:rsid w:val="00D65CF4"/>
    <w:rsid w:val="00D749E8"/>
    <w:rsid w:val="00D83BAD"/>
    <w:rsid w:val="00DA2B74"/>
    <w:rsid w:val="00DC1EB5"/>
    <w:rsid w:val="00DC6834"/>
    <w:rsid w:val="00DC6FB5"/>
    <w:rsid w:val="00DE2C86"/>
    <w:rsid w:val="00DE4BDE"/>
    <w:rsid w:val="00DE576A"/>
    <w:rsid w:val="00DE6B73"/>
    <w:rsid w:val="00E26980"/>
    <w:rsid w:val="00E3076D"/>
    <w:rsid w:val="00E3490B"/>
    <w:rsid w:val="00E414D2"/>
    <w:rsid w:val="00E57CC9"/>
    <w:rsid w:val="00E60B82"/>
    <w:rsid w:val="00E70486"/>
    <w:rsid w:val="00E71C41"/>
    <w:rsid w:val="00E74F91"/>
    <w:rsid w:val="00E82F7A"/>
    <w:rsid w:val="00E843AC"/>
    <w:rsid w:val="00E95929"/>
    <w:rsid w:val="00EB42EB"/>
    <w:rsid w:val="00ED609A"/>
    <w:rsid w:val="00ED7FFB"/>
    <w:rsid w:val="00EE3FDE"/>
    <w:rsid w:val="00EE47EB"/>
    <w:rsid w:val="00F05C61"/>
    <w:rsid w:val="00F05E53"/>
    <w:rsid w:val="00F11302"/>
    <w:rsid w:val="00F25A66"/>
    <w:rsid w:val="00F321A1"/>
    <w:rsid w:val="00F32957"/>
    <w:rsid w:val="00F42F83"/>
    <w:rsid w:val="00F45CAC"/>
    <w:rsid w:val="00F7324A"/>
    <w:rsid w:val="00F742D6"/>
    <w:rsid w:val="00F7699F"/>
    <w:rsid w:val="00F92CB0"/>
    <w:rsid w:val="00FA0833"/>
    <w:rsid w:val="00FA1430"/>
    <w:rsid w:val="00FA1C05"/>
    <w:rsid w:val="00FD5A03"/>
    <w:rsid w:val="00FD5EBB"/>
    <w:rsid w:val="00FE3687"/>
    <w:rsid w:val="065C7BDB"/>
    <w:rsid w:val="07A1191C"/>
    <w:rsid w:val="0B507BB8"/>
    <w:rsid w:val="134E713E"/>
    <w:rsid w:val="681F33B7"/>
    <w:rsid w:val="704F06F1"/>
    <w:rsid w:val="7CC9063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28E4A533"/>
  <w15:docId w15:val="{7145BC5A-9335-4312-A6BA-130B3292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ind w:left="427"/>
      <w:outlineLvl w:val="0"/>
    </w:pPr>
    <w:rPr>
      <w:b/>
      <w:bCs/>
      <w:sz w:val="28"/>
      <w:szCs w:val="28"/>
    </w:rPr>
  </w:style>
  <w:style w:type="paragraph" w:styleId="Heading2">
    <w:name w:val="heading 2"/>
    <w:basedOn w:val="Normal"/>
    <w:uiPriority w:val="1"/>
    <w:qFormat/>
    <w:pPr>
      <w:ind w:left="427"/>
      <w:outlineLvl w:val="1"/>
    </w:pPr>
    <w:rPr>
      <w:rFonts w:ascii="Calibri" w:eastAsia="Calibri" w:hAnsi="Calibri" w:cs="Calibri"/>
      <w:sz w:val="28"/>
      <w:szCs w:val="28"/>
    </w:rPr>
  </w:style>
  <w:style w:type="paragraph" w:styleId="Heading3">
    <w:name w:val="heading 3"/>
    <w:basedOn w:val="Normal"/>
    <w:uiPriority w:val="1"/>
    <w:qFormat/>
    <w:pPr>
      <w:ind w:left="127"/>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iPriority w:val="99"/>
    <w:qFormat/>
    <w:rPr>
      <w:sz w:val="24"/>
      <w:szCs w:val="24"/>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99"/>
    <w:qFormat/>
    <w:pPr>
      <w:ind w:left="1147" w:hanging="360"/>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imes New Roman" w:eastAsia="Times New Roman" w:hAnsi="Times New Roman" w:cs="Times New Roman"/>
      <w:sz w:val="22"/>
      <w:szCs w:val="22"/>
    </w:rPr>
  </w:style>
  <w:style w:type="character" w:customStyle="1" w:styleId="FooterChar">
    <w:name w:val="Footer Char"/>
    <w:basedOn w:val="DefaultParagraphFont"/>
    <w:link w:val="Footer"/>
    <w:qFormat/>
    <w:rPr>
      <w:rFonts w:ascii="Times New Roman" w:eastAsia="Times New Roman" w:hAnsi="Times New Roman" w:cs="Times New Roman"/>
      <w:sz w:val="22"/>
      <w:szCs w:val="22"/>
    </w:rPr>
  </w:style>
  <w:style w:type="paragraph" w:customStyle="1" w:styleId="Revision1">
    <w:name w:val="Revision1"/>
    <w:hidden/>
    <w:uiPriority w:val="99"/>
    <w:unhideWhenUsed/>
    <w:qFormat/>
    <w:rPr>
      <w:rFonts w:eastAsia="Times New Roman"/>
      <w:sz w:val="22"/>
      <w:szCs w:val="22"/>
      <w:lang w:val="en-US" w:eastAsia="en-US"/>
    </w:rPr>
  </w:style>
  <w:style w:type="character" w:customStyle="1" w:styleId="CommentTextChar">
    <w:name w:val="Comment Text Char"/>
    <w:basedOn w:val="DefaultParagraphFont"/>
    <w:link w:val="CommentText"/>
    <w:rPr>
      <w:rFonts w:ascii="Times New Roman" w:eastAsia="Times New Roman" w:hAnsi="Times New Roman" w:cs="Times New Roma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rPr>
  </w:style>
  <w:style w:type="paragraph" w:customStyle="1" w:styleId="Revision2">
    <w:name w:val="Revision2"/>
    <w:hidden/>
    <w:uiPriority w:val="99"/>
    <w:unhideWhenUsed/>
    <w:rPr>
      <w:rFonts w:eastAsia="Times New Roman"/>
      <w:sz w:val="22"/>
      <w:szCs w:val="22"/>
      <w:lang w:val="en-US" w:eastAsia="en-US"/>
    </w:rPr>
  </w:style>
  <w:style w:type="paragraph" w:styleId="Revision">
    <w:name w:val="Revision"/>
    <w:hidden/>
    <w:uiPriority w:val="99"/>
    <w:semiHidden/>
    <w:rsid w:val="002F61FC"/>
    <w:rPr>
      <w:rFonts w:eastAsia="Times New Roman"/>
      <w:sz w:val="22"/>
      <w:szCs w:val="22"/>
      <w:lang w:val="en-US" w:eastAsia="en-US"/>
    </w:rPr>
  </w:style>
  <w:style w:type="character" w:customStyle="1" w:styleId="UnresolvedMention2">
    <w:name w:val="Unresolved Mention2"/>
    <w:basedOn w:val="DefaultParagraphFont"/>
    <w:uiPriority w:val="99"/>
    <w:semiHidden/>
    <w:unhideWhenUsed/>
    <w:rsid w:val="00A47DE4"/>
    <w:rPr>
      <w:color w:val="605E5C"/>
      <w:shd w:val="clear" w:color="auto" w:fill="E1DFDD"/>
    </w:rPr>
  </w:style>
  <w:style w:type="paragraph" w:styleId="NormalWeb">
    <w:name w:val="Normal (Web)"/>
    <w:basedOn w:val="Normal"/>
    <w:uiPriority w:val="99"/>
    <w:unhideWhenUsed/>
    <w:rsid w:val="005D6608"/>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D66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45531">
      <w:bodyDiv w:val="1"/>
      <w:marLeft w:val="0"/>
      <w:marRight w:val="0"/>
      <w:marTop w:val="0"/>
      <w:marBottom w:val="0"/>
      <w:divBdr>
        <w:top w:val="none" w:sz="0" w:space="0" w:color="auto"/>
        <w:left w:val="none" w:sz="0" w:space="0" w:color="auto"/>
        <w:bottom w:val="none" w:sz="0" w:space="0" w:color="auto"/>
        <w:right w:val="none" w:sz="0" w:space="0" w:color="auto"/>
      </w:divBdr>
    </w:div>
    <w:div w:id="589002639">
      <w:bodyDiv w:val="1"/>
      <w:marLeft w:val="0"/>
      <w:marRight w:val="0"/>
      <w:marTop w:val="0"/>
      <w:marBottom w:val="0"/>
      <w:divBdr>
        <w:top w:val="none" w:sz="0" w:space="0" w:color="auto"/>
        <w:left w:val="none" w:sz="0" w:space="0" w:color="auto"/>
        <w:bottom w:val="none" w:sz="0" w:space="0" w:color="auto"/>
        <w:right w:val="none" w:sz="0" w:space="0" w:color="auto"/>
      </w:divBdr>
    </w:div>
    <w:div w:id="808548183">
      <w:bodyDiv w:val="1"/>
      <w:marLeft w:val="0"/>
      <w:marRight w:val="0"/>
      <w:marTop w:val="0"/>
      <w:marBottom w:val="0"/>
      <w:divBdr>
        <w:top w:val="none" w:sz="0" w:space="0" w:color="auto"/>
        <w:left w:val="none" w:sz="0" w:space="0" w:color="auto"/>
        <w:bottom w:val="none" w:sz="0" w:space="0" w:color="auto"/>
        <w:right w:val="none" w:sz="0" w:space="0" w:color="auto"/>
      </w:divBdr>
    </w:div>
    <w:div w:id="1094201739">
      <w:bodyDiv w:val="1"/>
      <w:marLeft w:val="0"/>
      <w:marRight w:val="0"/>
      <w:marTop w:val="0"/>
      <w:marBottom w:val="0"/>
      <w:divBdr>
        <w:top w:val="none" w:sz="0" w:space="0" w:color="auto"/>
        <w:left w:val="none" w:sz="0" w:space="0" w:color="auto"/>
        <w:bottom w:val="none" w:sz="0" w:space="0" w:color="auto"/>
        <w:right w:val="none" w:sz="0" w:space="0" w:color="auto"/>
      </w:divBdr>
    </w:div>
    <w:div w:id="1148088718">
      <w:bodyDiv w:val="1"/>
      <w:marLeft w:val="0"/>
      <w:marRight w:val="0"/>
      <w:marTop w:val="0"/>
      <w:marBottom w:val="0"/>
      <w:divBdr>
        <w:top w:val="none" w:sz="0" w:space="0" w:color="auto"/>
        <w:left w:val="none" w:sz="0" w:space="0" w:color="auto"/>
        <w:bottom w:val="none" w:sz="0" w:space="0" w:color="auto"/>
        <w:right w:val="none" w:sz="0" w:space="0" w:color="auto"/>
      </w:divBdr>
    </w:div>
    <w:div w:id="1254166727">
      <w:bodyDiv w:val="1"/>
      <w:marLeft w:val="0"/>
      <w:marRight w:val="0"/>
      <w:marTop w:val="0"/>
      <w:marBottom w:val="0"/>
      <w:divBdr>
        <w:top w:val="none" w:sz="0" w:space="0" w:color="auto"/>
        <w:left w:val="none" w:sz="0" w:space="0" w:color="auto"/>
        <w:bottom w:val="none" w:sz="0" w:space="0" w:color="auto"/>
        <w:right w:val="none" w:sz="0" w:space="0" w:color="auto"/>
      </w:divBdr>
    </w:div>
    <w:div w:id="1536456933">
      <w:bodyDiv w:val="1"/>
      <w:marLeft w:val="0"/>
      <w:marRight w:val="0"/>
      <w:marTop w:val="0"/>
      <w:marBottom w:val="0"/>
      <w:divBdr>
        <w:top w:val="none" w:sz="0" w:space="0" w:color="auto"/>
        <w:left w:val="none" w:sz="0" w:space="0" w:color="auto"/>
        <w:bottom w:val="none" w:sz="0" w:space="0" w:color="auto"/>
        <w:right w:val="none" w:sz="0" w:space="0" w:color="auto"/>
      </w:divBdr>
    </w:div>
    <w:div w:id="2114861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www.iosrjournals.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ncbi.nlm.nih.gov/books/NBK544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Info spid="_x0000_s1030"/>
    <customShpInfo spid="_x0000_s1028"/>
    <customShpInfo spid="_x0000_s1027"/>
    <customShpInfo spid="_x0000_s2055"/>
    <customShpInfo spid="_x0000_s2060"/>
    <customShpInfo spid="_x0000_s2057"/>
    <customShpInfo spid="_x0000_s2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4980</Words>
  <Characters>28391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Sandeep</dc:creator>
  <cp:lastModifiedBy>SDI 1020</cp:lastModifiedBy>
  <cp:revision>40</cp:revision>
  <cp:lastPrinted>2026-02-28T06:43:00Z</cp:lastPrinted>
  <dcterms:created xsi:type="dcterms:W3CDTF">2026-04-18T11:37:00Z</dcterms:created>
  <dcterms:modified xsi:type="dcterms:W3CDTF">2026-04-20T12:36:00Z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2025-07-06T00:00:00Z</vt:filetime>
  </property>
  <property fmtid="{D5CDD505-2E9C-101B-9397-08002B2CF9AE}" pid="3" name="Creator">
    <vt:lpwstr>Microsoft® Office Word 2007</vt:lpwstr>
  </property>
  <property fmtid="{D5CDD505-2E9C-101B-9397-08002B2CF9AE}" pid="4" name="LastSaved">
    <vt:filetime>2026-02-20T00:00:00Z</vt:filetime>
  </property>
  <property fmtid="{D5CDD505-2E9C-101B-9397-08002B2CF9AE}" pid="5" name="Producer">
    <vt:lpwstr>Microsoft® Office Word 2007</vt:lpwstr>
  </property>
  <property fmtid="{D5CDD505-2E9C-101B-9397-08002B2CF9AE}" pid="6" name="KSOProductBuildVer">
    <vt:lpwstr>1033-12.1.0.25242</vt:lpwstr>
  </property>
  <property fmtid="{D5CDD505-2E9C-101B-9397-08002B2CF9AE}" pid="7" name="ICV">
    <vt:lpwstr>F2D1A0A73A524A7B896164CE5C9E97DA_13</vt:lpwstr>
  </property>
  <property fmtid="{D5CDD505-2E9C-101B-9397-08002B2CF9AE}" pid="8" name="KSOTemplateDocerSaveRecord">
    <vt:lpwstr>eyJoZGlkIjoiNzU1MmQxMWMwZmUwYTljZWExYmM1NmI0YWYzMjJlZmYifQ==</vt:lpwstr>
  </property>
</Properties>
</file>