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283D">
      <w:pPr>
        <w:spacing w:line="240" w:lineRule="auto"/>
        <w:jc w:val="center"/>
        <w:rPr>
          <w:rFonts w:hint="default" w:ascii="Times New Roman" w:hAnsi="Times New Roman" w:cs="Times New Roman"/>
          <w:b/>
          <w:bCs/>
          <w:sz w:val="28"/>
          <w:szCs w:val="28"/>
          <w:highlight w:val="yellow"/>
          <w:lang w:val="en-GB"/>
        </w:rPr>
      </w:pPr>
      <w:r>
        <w:rPr>
          <w:rFonts w:hint="default" w:ascii="Times New Roman" w:hAnsi="Times New Roman" w:cs="Times New Roman"/>
          <w:b/>
          <w:bCs/>
          <w:sz w:val="28"/>
          <w:szCs w:val="28"/>
          <w:highlight w:val="yellow"/>
          <w:lang w:val="en-GB"/>
        </w:rPr>
        <w:t>A N</w:t>
      </w:r>
      <w:bookmarkStart w:id="1" w:name="_GoBack"/>
      <w:bookmarkEnd w:id="1"/>
      <w:r>
        <w:rPr>
          <w:rFonts w:hint="default" w:ascii="Times New Roman" w:hAnsi="Times New Roman" w:cs="Times New Roman"/>
          <w:b/>
          <w:bCs/>
          <w:sz w:val="28"/>
          <w:szCs w:val="28"/>
          <w:highlight w:val="yellow"/>
          <w:lang w:val="en-GB"/>
        </w:rPr>
        <w:t>arrative Review on Machine Learning Methods for Pre-Malignant Blood Cells Identification in Hematological Malignancies.</w:t>
      </w:r>
    </w:p>
    <w:p w14:paraId="7DAC3667">
      <w:pPr>
        <w:spacing w:line="360" w:lineRule="auto"/>
        <w:jc w:val="both"/>
        <w:rPr>
          <w:rFonts w:ascii="Times New Roman" w:hAnsi="Times New Roman" w:eastAsia="Times New Roman" w:cs="Times New Roman"/>
        </w:rPr>
      </w:pPr>
      <w:r>
        <w:rPr>
          <w:rFonts w:ascii="Times New Roman" w:hAnsi="Times New Roman" w:eastAsia="Times New Roman" w:cs="Times New Roman"/>
          <w:b/>
          <w:bCs/>
        </w:rPr>
        <w:t>Abstract</w:t>
      </w:r>
    </w:p>
    <w:p w14:paraId="514FB095">
      <w:pPr>
        <w:spacing w:line="360" w:lineRule="auto"/>
        <w:jc w:val="both"/>
        <w:rPr>
          <w:rFonts w:hint="default" w:ascii="Times New Roman" w:hAnsi="Times New Roman" w:eastAsia="SimSun" w:cs="Times New Roman"/>
          <w:sz w:val="24"/>
          <w:szCs w:val="24"/>
          <w:highlight w:val="yellow"/>
        </w:rPr>
      </w:pPr>
      <w:r>
        <w:rPr>
          <w:rFonts w:hint="default" w:ascii="Times New Roman" w:hAnsi="Times New Roman" w:eastAsia="SimSun" w:cs="Times New Roman"/>
          <w:sz w:val="24"/>
          <w:szCs w:val="24"/>
          <w:highlight w:val="yellow"/>
        </w:rPr>
        <w:t>Hematological malignancies, including leukemias, lymphomas, myelomas, and myelodysplastic syndromes, impose a substantial global health burden, accounting for approximately 10% of all new cancer diagnoses worldwide. Early identification of pre-malignant blood cells  a critical window for preventive intervention remains clinically challenging due to the limitations of conventional diagnostic tools such as light microscopy, flow cytometry, and next-generation sequencing, none of which is individually optimized for risk stratification prior to overt disease manifestation. This narrative systematic review examines machine learning (ML) approaches for classifying pre-malignant blood cells, synthesizing evidence from 25 studies encompassing 38,417 participants across diverse clinical settings. Ensemble methods and Random Forest algorithms demonstrated consistently strong discriminative performance, achieving AUC-ROC values ranging from 0.856 to 0.932. Multi-omics integration combining morphological, immunophenotypic, genetic, and epigenetic data</w:t>
      </w:r>
      <w:r>
        <w:rPr>
          <w:rFonts w:hint="default" w:ascii="Times New Roman" w:hAnsi="Times New Roman" w:eastAsia="SimSun" w:cs="Times New Roman"/>
          <w:sz w:val="24"/>
          <w:szCs w:val="24"/>
          <w:highlight w:val="yellow"/>
          <w:lang w:val="en-US"/>
        </w:rPr>
        <w:t xml:space="preserve"> </w:t>
      </w:r>
      <w:r>
        <w:rPr>
          <w:rFonts w:hint="default" w:ascii="Times New Roman" w:hAnsi="Times New Roman" w:eastAsia="SimSun" w:cs="Times New Roman"/>
          <w:sz w:val="24"/>
          <w:szCs w:val="24"/>
          <w:highlight w:val="yellow"/>
        </w:rPr>
        <w:t>systematically outperformed single-domain approaches, underscoring the biological complexity of pre-malignant transformation. Key predictive biomarkers identified across studies included CD34 expression levels, telomere length attrition, and TP53 mutation status, consistent with established pathways of clonal hematopoietic evolution. Despite these promising findings, significant methodological limitations were identified: external validation was reported in only 44% of studies, and open-source code availability was documented in just 40%, raising concerns about reproducibility and generalizability. Additionally, most training cohorts lacked demographic diversity, limiting applicability across varied populations. Successful translation of ML-based pre-malignant cell classification into routine clinical practice will require prospective validation trials, standardized reporting frameworks aligned with existing diagnostic criteria, and the development of ethnically and geographically diverse training datasets.</w:t>
      </w:r>
    </w:p>
    <w:p w14:paraId="455B11DA">
      <w:pPr>
        <w:spacing w:line="360" w:lineRule="auto"/>
        <w:jc w:val="both"/>
        <w:rPr>
          <w:rFonts w:ascii="Times New Roman" w:hAnsi="Times New Roman" w:eastAsia="Times New Roman" w:cs="Times New Roman"/>
        </w:rPr>
      </w:pPr>
      <w:r>
        <w:rPr>
          <w:rFonts w:ascii="Times New Roman" w:hAnsi="Times New Roman" w:eastAsia="Times New Roman" w:cs="Times New Roman"/>
          <w:b/>
          <w:bCs/>
        </w:rPr>
        <w:t>Keywords:</w:t>
      </w:r>
      <w:r>
        <w:rPr>
          <w:rFonts w:ascii="Times New Roman" w:hAnsi="Times New Roman" w:eastAsia="Times New Roman" w:cs="Times New Roman"/>
        </w:rPr>
        <w:t xml:space="preserve"> machine learning, hematological malignancies, pre-malignant blood cells, cancer risk stratification, multi-omics integration</w:t>
      </w:r>
    </w:p>
    <w:p w14:paraId="145F5CED">
      <w:pPr>
        <w:spacing w:line="360" w:lineRule="auto"/>
        <w:jc w:val="both"/>
        <w:rPr>
          <w:rFonts w:ascii="Times New Roman" w:hAnsi="Times New Roman" w:eastAsia="Times New Roman" w:cs="Times New Roman"/>
        </w:rPr>
      </w:pPr>
    </w:p>
    <w:p w14:paraId="51C8BFBF">
      <w:pPr>
        <w:spacing w:line="360" w:lineRule="auto"/>
        <w:jc w:val="both"/>
        <w:rPr>
          <w:rFonts w:ascii="Times New Roman" w:hAnsi="Times New Roman" w:cs="Times New Roman"/>
          <w:b/>
          <w:bCs/>
        </w:rPr>
      </w:pPr>
      <w:r>
        <w:rPr>
          <w:rFonts w:ascii="Times New Roman" w:hAnsi="Times New Roman" w:cs="Times New Roman"/>
          <w:b/>
          <w:bCs/>
        </w:rPr>
        <w:t>1. Introduction</w:t>
      </w:r>
    </w:p>
    <w:p w14:paraId="1D70DD47">
      <w:pPr>
        <w:spacing w:line="360" w:lineRule="auto"/>
        <w:jc w:val="both"/>
        <w:rPr>
          <w:rFonts w:ascii="Times New Roman" w:hAnsi="Times New Roman" w:cs="Times New Roman"/>
        </w:rPr>
      </w:pPr>
      <w:r>
        <w:rPr>
          <w:rFonts w:ascii="Times New Roman" w:hAnsi="Times New Roman" w:cs="Times New Roman"/>
        </w:rPr>
        <w:t>Cancer continues to rank among the foremost causes of mortality and morbidity worldwide. Globally, it was responsible for an estimated 19.3 million new cases and nearly 10 million deaths in 2020 alone, with projections indicating a sustained increase in incidence over the coming decades (Sung et al., 2021). Within the broad spectrum of malignant disease, hematological cancers occupy a distinct and clinically significant position. These malignancies encompassing leukemias, lymphomas, myelomas, and myelodysplastic syndromes arise from the blood-forming and lymphatic systems and collectively account for approximately 10% of all new cancer diagnoses globally (Sung et al., 2021; Khoury et al., 2022). Despite advances in targeted therapy and immunotherapy, outcomes remain highly variable across subtypes and patient populations, and early-stage disease detection continues to be a defining determinant of survival.</w:t>
      </w:r>
    </w:p>
    <w:p w14:paraId="0DE5ACEF">
      <w:pPr>
        <w:spacing w:line="360" w:lineRule="auto"/>
        <w:jc w:val="both"/>
        <w:rPr>
          <w:rFonts w:ascii="Times New Roman" w:hAnsi="Times New Roman" w:cs="Times New Roman"/>
        </w:rPr>
      </w:pPr>
      <w:r>
        <w:rPr>
          <w:rFonts w:ascii="Times New Roman" w:hAnsi="Times New Roman" w:cs="Times New Roman"/>
        </w:rPr>
        <w:t>What distinguishes hematological malignancies from most solid tumors is the nature of their origin. Rather than arising abruptly from a single catastrophic genomic event, blood cancers typically emerge through a stepwise process of clonal cellular evolution a progression in which morphologically normal or near-normal blood cells accumulate molecular abnormalities over months or years before crossing the threshold into clinically diagnosable disease (Jaiswal &amp; Ebert, 2023). This pre-malignant phase, increasingly recognized as a clinically distinct and biologically important entity, is exemplified by conditions such as clonal hematopoiesis of indeterminate potential (CHIP), monoclonal B-cell lymphocytosis, and low-grade myelodysplastic syndrome. Understanding, detecting, and accurately classifying cells in this transitional state represents one of the most important unsolved challenges in contemporary hematology-oncology.</w:t>
      </w:r>
    </w:p>
    <w:p w14:paraId="3F2812E2">
      <w:pPr>
        <w:spacing w:line="360" w:lineRule="auto"/>
        <w:jc w:val="both"/>
        <w:rPr>
          <w:rFonts w:ascii="Times New Roman" w:hAnsi="Times New Roman" w:cs="Times New Roman"/>
        </w:rPr>
      </w:pPr>
      <w:r>
        <w:rPr>
          <w:rFonts w:ascii="Times New Roman" w:hAnsi="Times New Roman" w:cs="Times New Roman"/>
        </w:rPr>
        <w:t>The biological hallmarks of pre-malignant blood cell transformation are now reasonably well characterized. They include progressive telomere attrition and resultant chromosomal instability, epigenetic silencing of tumor suppressor genes through promoter hypermethylation, dysregulated microRNA expression particularly overexpression of oncogenic miRNAs such as miR-155 and miR-21 and the emergence of clonal immunophenotypic populations marked by aberrant antigen expression (Dawson &amp; Kouzarides, 2021; Wallace &amp; O'Connell, 2023; Capper et al., 2007). At the immunophenotypic level, elevated CD34 expression in peripheral blood is among the earliest and most consistently observed markers of immature progenitor expansion, forming a central component of the WHO and International Consensus Classification frameworks for myeloid neoplasm diagnosis (Arber et al., 2022; Khoury et al., 2022). At the genetic level, recurrent mutations in genes such as TP53, FLT3, NPM1, and IDH1/2 define biologically distinct subclones that carry differential transformation risk and prognostic implications (Papaemmanuil et al., 2022; Megías-Vericat et al., 2022).</w:t>
      </w:r>
    </w:p>
    <w:p w14:paraId="7F693B91">
      <w:pPr>
        <w:spacing w:line="360" w:lineRule="auto"/>
        <w:jc w:val="both"/>
        <w:rPr>
          <w:rFonts w:ascii="Times New Roman" w:hAnsi="Times New Roman" w:cs="Times New Roman"/>
        </w:rPr>
      </w:pPr>
      <w:r>
        <w:rPr>
          <w:rFonts w:ascii="Times New Roman" w:hAnsi="Times New Roman" w:cs="Times New Roman"/>
        </w:rPr>
        <w:t>Despite this biological knowledge, clinical translation into effective early detection strategies has been hampered by the limitations of conventional diagnostic tools. Light microscopy, the historical cornerstone of hematological diagnosis, is inherently subjective, labor-intensive, and dependent on the expertise of the reviewing morphologist a resource that is unequally distributed across healthcare settings globally (Fuentes-Guajardo et al., 2022). Flow cytometry provides immunophenotypic resolution at the single-cell level and has become standard for detecting lineage aberrancies, but it evaluates markers sequentially rather than integratively and cannot readily synthesize genetic or epigenetic information in the same analytical framework (Kim et al., 2022). Next-generation sequencing panels offer genomic depth but are resource-intensive, require bioinformatic infrastructure, and generate data volumes that challenge manual interpretation (Landt et al., 2023). Crucially, none of these tools alone nor standard combinations of them is optimized for the specific task of risk-stratifying blood cells on the basis of pre-malignant potential before overt clinical disease manifests.</w:t>
      </w:r>
    </w:p>
    <w:p w14:paraId="031F3738">
      <w:pPr>
        <w:spacing w:line="360" w:lineRule="auto"/>
        <w:jc w:val="both"/>
        <w:rPr>
          <w:rFonts w:ascii="Times New Roman" w:hAnsi="Times New Roman" w:cs="Times New Roman"/>
        </w:rPr>
      </w:pPr>
      <w:r>
        <w:rPr>
          <w:rFonts w:ascii="Times New Roman" w:hAnsi="Times New Roman" w:cs="Times New Roman"/>
        </w:rPr>
        <w:t>The result is that patients with early molecular disease frequently come to clinical attention only once transformation has already occurred and symptoms have appeared. At that point, the biological window for preventive intervention has often closed, and treatment is initiated under more adverse circumstances. There is consequently a pressing clinical need for analytical frameworks capable of integrating the multi-dimensional signals of pre-malignant transformation into a unified, interpretable, and reproducible classification output.</w:t>
      </w:r>
    </w:p>
    <w:p w14:paraId="5F961777">
      <w:pPr>
        <w:spacing w:line="360" w:lineRule="auto"/>
        <w:jc w:val="both"/>
        <w:rPr>
          <w:rFonts w:ascii="Times New Roman" w:hAnsi="Times New Roman" w:cs="Times New Roman"/>
        </w:rPr>
      </w:pPr>
      <w:r>
        <w:rPr>
          <w:rFonts w:ascii="Times New Roman" w:hAnsi="Times New Roman" w:cs="Times New Roman"/>
        </w:rPr>
        <w:t>Machine learning (ML) has emerged in the past decade as a transformative analytical paradigm across medicine and biomedical research, offering a fundamentally different approach to pattern recognition and classification tasks (Rajkomar et al., 2019; Habehh &amp; Gohel, 2021). Unlike rule-based systems, which rely on explicit feature thresholds defined by human experts, ML algorithms learn directly from data, identifying complex and non-linear relationships across high-dimensional feature spaces that may not be apparent to conventional statistical approaches. This property makes ML especially well-suited to the challenge of multi-omics integration in pre-malignant blood cell classification, where the predictive signal is distributed across morphological, immunophenotypic, genetic, and epigenetic feature domains simultaneously.</w:t>
      </w:r>
    </w:p>
    <w:p w14:paraId="1C0F0BF3">
      <w:pPr>
        <w:spacing w:line="360" w:lineRule="auto"/>
        <w:jc w:val="both"/>
        <w:rPr>
          <w:rFonts w:ascii="Times New Roman" w:hAnsi="Times New Roman" w:cs="Times New Roman"/>
        </w:rPr>
      </w:pPr>
      <w:r>
        <w:rPr>
          <w:rFonts w:ascii="Times New Roman" w:hAnsi="Times New Roman" w:cs="Times New Roman"/>
        </w:rPr>
        <w:t>The application of ML in hematological oncology has expanded rapidly. Early studies focused on image-based classification of blood cell morphology using convolutional neural networks (CNNs), demonstrating that automated cell type recognition from peripheral blood smear images could approach or exceed the accuracy of trained morphologists (Esteva et al., 2021; Tambe et al., 2023). Subsequent work extended to genomic and transcriptomic classification tasks, including leukemia subtype discrimination, mutation status prediction, and gene expression subtyping of lymphomas (Löffler-Wirth et al., 2019; Liu et al., 2023). More recent investigations have moved toward genuinely integrative, multi-omics classification frameworks that combine morphological with molecular data, motivated by the recognition that single-modality approaches systematically underperform relative to their multi-domain counterparts (Fabian et al., 2023; Moon et al., 2023).</w:t>
      </w:r>
    </w:p>
    <w:p w14:paraId="084A19FC">
      <w:pPr>
        <w:spacing w:line="360" w:lineRule="auto"/>
        <w:jc w:val="both"/>
        <w:rPr>
          <w:rFonts w:ascii="Times New Roman" w:hAnsi="Times New Roman" w:cs="Times New Roman"/>
        </w:rPr>
      </w:pPr>
      <w:r>
        <w:rPr>
          <w:rFonts w:ascii="Times New Roman" w:hAnsi="Times New Roman" w:cs="Times New Roman"/>
        </w:rPr>
        <w:t>Alongside algorithmic advances, the field has benefited from the maturation of open-source ML frameworks particularly Python-based libraries such as scikit-learn, TensorFlow, and PyTorch that have democratized access to sophisticated modeling tools and lowered the computational entry barrier for clinical researchers (Chakraborty et al., 2023). The adoption of model interpretability techniques, notably SHAP (SHapley Additive exPlanations) and LIME, has begun to address the longstanding concern that ML predictions in clinical contexts are opaque and therefore inappropriate for medical decision-making (Murdoch et al., 2019; Holzinger et al., 2022). These interpretability advances are particularly relevant in hematological oncology, where understanding which specific biomarkers drive a classification decision has direct implications for clinical reasoning, patient communication, and regulatory compliance.</w:t>
      </w:r>
    </w:p>
    <w:p w14:paraId="1DD38E93">
      <w:pPr>
        <w:spacing w:line="360" w:lineRule="auto"/>
        <w:jc w:val="both"/>
        <w:rPr>
          <w:rFonts w:ascii="Times New Roman" w:hAnsi="Times New Roman" w:cs="Times New Roman"/>
          <w:b/>
          <w:bCs/>
        </w:rPr>
      </w:pPr>
      <w:r>
        <w:rPr>
          <w:rFonts w:ascii="Times New Roman" w:hAnsi="Times New Roman" w:cs="Times New Roman"/>
          <w:b/>
          <w:bCs/>
        </w:rPr>
        <w:t xml:space="preserve">1.2 </w:t>
      </w:r>
      <w:r>
        <w:rPr>
          <w:rFonts w:ascii="Times New Roman" w:hAnsi="Times New Roman" w:cs="Times New Roman"/>
          <w:b/>
          <w:bCs/>
        </w:rPr>
        <w:tab/>
      </w:r>
      <w:r>
        <w:rPr>
          <w:rFonts w:ascii="Times New Roman" w:hAnsi="Times New Roman" w:cs="Times New Roman"/>
          <w:b/>
          <w:bCs/>
        </w:rPr>
        <w:t xml:space="preserve"> Rationale for This Review</w:t>
      </w:r>
    </w:p>
    <w:p w14:paraId="58114F74">
      <w:pPr>
        <w:spacing w:line="360" w:lineRule="auto"/>
        <w:jc w:val="both"/>
        <w:rPr>
          <w:rFonts w:ascii="Times New Roman" w:hAnsi="Times New Roman" w:cs="Times New Roman"/>
        </w:rPr>
      </w:pPr>
      <w:r>
        <w:rPr>
          <w:rFonts w:ascii="Times New Roman" w:hAnsi="Times New Roman" w:cs="Times New Roman"/>
        </w:rPr>
        <w:t>Despite this rapid progress, the literature on ML-based pre-malignant blood cell classification lacks systematic synthesis. Individual studies vary enormously in design quality, cohort composition, algorithmic approach, validation rigor, and reporting completeness. The absence of a consolidated, critically appraised evidence base makes it difficult for clinicians, researchers, and policymakers to evaluate the current state of the field, identify genuine advances from overfitted or poorly validated results, and prioritize future investment. Prior narrative reviews have touched on aspects of ML in hematological cancer but have not focused specifically on the pre-malignant classification task, nor have they systematically evaluated methodological quality or mapped the predictive biomarker landscape across studies.</w:t>
      </w:r>
    </w:p>
    <w:p w14:paraId="2B21FBDE">
      <w:pPr>
        <w:spacing w:line="360" w:lineRule="auto"/>
        <w:jc w:val="both"/>
        <w:rPr>
          <w:rFonts w:ascii="Times New Roman" w:hAnsi="Times New Roman" w:cs="Times New Roman"/>
        </w:rPr>
      </w:pPr>
      <w:r>
        <w:rPr>
          <w:rFonts w:ascii="Times New Roman" w:hAnsi="Times New Roman" w:cs="Times New Roman"/>
        </w:rPr>
        <w:t>This narrative systematic review was therefore undertaken to fill this gap. By systematically identifying, selecting, and synthesizing the available literature on ML approaches for pre-malignant blood cell identification, this review aims to provide a rigorous, readable, and clinically oriented account of what the science currently supports, where its limitations lie, and what is needed to move the field from computational promise to clinical practice.</w:t>
      </w:r>
    </w:p>
    <w:p w14:paraId="51C84E9C">
      <w:pPr>
        <w:spacing w:line="360" w:lineRule="auto"/>
        <w:jc w:val="both"/>
        <w:rPr>
          <w:rFonts w:ascii="Times New Roman" w:hAnsi="Times New Roman" w:cs="Times New Roman"/>
          <w:b/>
          <w:bCs/>
        </w:rPr>
      </w:pPr>
      <w:r>
        <w:rPr>
          <w:rFonts w:ascii="Times New Roman" w:hAnsi="Times New Roman" w:cs="Times New Roman"/>
          <w:b/>
          <w:bCs/>
        </w:rPr>
        <w:t>1.5 Objectives</w:t>
      </w:r>
    </w:p>
    <w:p w14:paraId="0C7CA425">
      <w:pPr>
        <w:spacing w:line="360" w:lineRule="auto"/>
        <w:jc w:val="both"/>
        <w:rPr>
          <w:rFonts w:ascii="Times New Roman" w:hAnsi="Times New Roman" w:cs="Times New Roman"/>
        </w:rPr>
      </w:pPr>
      <w:r>
        <w:rPr>
          <w:rFonts w:ascii="Times New Roman" w:hAnsi="Times New Roman" w:cs="Times New Roman"/>
        </w:rPr>
        <w:t>The specific objectives of this review are: (1) to identify and characterize the range of ML approaches applied to blood cell classification for hematological malignancy risk stratification; (2) to synthesize evidence on predictive biomarker categories across feature domains; (3) to evaluate methodological quality and identify prevalent sources of bias; and (4) to discuss clinical implications and priorities for future research.</w:t>
      </w:r>
    </w:p>
    <w:p w14:paraId="24B1E161">
      <w:pPr>
        <w:spacing w:line="360" w:lineRule="auto"/>
        <w:jc w:val="both"/>
        <w:rPr>
          <w:rFonts w:ascii="Times New Roman" w:hAnsi="Times New Roman" w:cs="Times New Roman"/>
          <w:b/>
          <w:bCs/>
        </w:rPr>
      </w:pPr>
      <w:r>
        <w:rPr>
          <w:rFonts w:ascii="Times New Roman" w:hAnsi="Times New Roman" w:cs="Times New Roman"/>
          <w:b/>
          <w:bCs/>
        </w:rPr>
        <w:t>2. Methodology</w:t>
      </w:r>
    </w:p>
    <w:p w14:paraId="57201A15">
      <w:pPr>
        <w:spacing w:line="360" w:lineRule="auto"/>
        <w:jc w:val="both"/>
        <w:rPr>
          <w:rFonts w:ascii="Times New Roman" w:hAnsi="Times New Roman" w:cs="Times New Roman"/>
          <w:b/>
          <w:bCs/>
        </w:rPr>
      </w:pPr>
      <w:r>
        <w:rPr>
          <w:rFonts w:ascii="Times New Roman" w:hAnsi="Times New Roman" w:cs="Times New Roman"/>
          <w:b/>
          <w:bCs/>
        </w:rPr>
        <w:t>2.1 Review Design</w:t>
      </w:r>
    </w:p>
    <w:p w14:paraId="05957B4A">
      <w:pPr>
        <w:spacing w:line="360" w:lineRule="auto"/>
        <w:jc w:val="both"/>
        <w:rPr>
          <w:rFonts w:ascii="Times New Roman" w:hAnsi="Times New Roman" w:cs="Times New Roman"/>
        </w:rPr>
      </w:pPr>
      <w:r>
        <w:rPr>
          <w:rFonts w:ascii="Times New Roman" w:hAnsi="Times New Roman" w:cs="Times New Roman"/>
        </w:rPr>
        <w:t>This study was conducted as a narrative systematic review. The narrative approach was selected in preference to meta-analysis given the substantial anticipated heterogeneity in study populations, feature sets, algorithmic approaches, and outcome definitions across the literature. A narrative synthesis allowed thematic integration and critical appraisal of methodological quality without imposing the homogeneity assumptions required for statistical pooling. The review was designed and reported in accordance with the PRISMA 2020 guidelines for systematic reviews (Page et al., 2021; Moher et al., 2009).</w:t>
      </w:r>
    </w:p>
    <w:p w14:paraId="52A76953">
      <w:pPr>
        <w:spacing w:line="360" w:lineRule="auto"/>
        <w:jc w:val="both"/>
        <w:rPr>
          <w:rFonts w:ascii="Times New Roman" w:hAnsi="Times New Roman" w:cs="Times New Roman"/>
          <w:b/>
          <w:bCs/>
        </w:rPr>
      </w:pPr>
      <w:r>
        <w:rPr>
          <w:rFonts w:ascii="Times New Roman" w:hAnsi="Times New Roman" w:cs="Times New Roman"/>
          <w:b/>
          <w:bCs/>
        </w:rPr>
        <w:t>2.2 Eligibility Criteria</w:t>
      </w:r>
    </w:p>
    <w:p w14:paraId="7B806BC4">
      <w:pPr>
        <w:spacing w:line="360" w:lineRule="auto"/>
        <w:jc w:val="both"/>
        <w:rPr>
          <w:rFonts w:ascii="Times New Roman" w:hAnsi="Times New Roman" w:cs="Times New Roman"/>
        </w:rPr>
      </w:pPr>
      <w:r>
        <w:rPr>
          <w:rFonts w:ascii="Times New Roman" w:hAnsi="Times New Roman" w:cs="Times New Roman"/>
        </w:rPr>
        <w:t>Studies were considered eligible for inclusion if they met all of the following criteria. First, they were primary research publications reporting original data systematic reviews, meta-analyses, editorials, conference abstracts, and book chapters were excluded. Second, they applied at least one supervised or unsupervised ML algorithm to the task of classifying blood cells according to hematological malignancy risk, subtype, or stage, using peripheral blood or bone marrow samples from human participants. Third, they reported at least one quantitative performance metric, including accuracy, sensitivity, specificity, AUC-ROC, or F1-score. Fourth, they were published in English in a peer-reviewed journal. Fifth, they included a minimum of 50 human participants.</w:t>
      </w:r>
    </w:p>
    <w:p w14:paraId="08B33D83">
      <w:pPr>
        <w:spacing w:line="360" w:lineRule="auto"/>
        <w:jc w:val="both"/>
        <w:rPr>
          <w:rFonts w:ascii="Times New Roman" w:hAnsi="Times New Roman" w:cs="Times New Roman"/>
        </w:rPr>
      </w:pPr>
      <w:r>
        <w:rPr>
          <w:rFonts w:ascii="Times New Roman" w:hAnsi="Times New Roman" w:cs="Times New Roman"/>
        </w:rPr>
        <w:t>Studies were excluded if they focused exclusively on solid organ malignancies without a hematological component, used fully simulated or synthetic datasets not derived from real patient samples, reported only in vitro experimental findings without clinical cohort data, or lacked sufficient methodological detail to permit quality assessment.</w:t>
      </w:r>
    </w:p>
    <w:p w14:paraId="5F4B6F14">
      <w:pPr>
        <w:spacing w:line="360" w:lineRule="auto"/>
        <w:jc w:val="both"/>
        <w:rPr>
          <w:rFonts w:ascii="Times New Roman" w:hAnsi="Times New Roman" w:cs="Times New Roman"/>
        </w:rPr>
      </w:pPr>
      <w:r>
        <w:rPr>
          <w:rFonts w:ascii="Times New Roman" w:hAnsi="Times New Roman" w:cs="Times New Roman"/>
          <w:b/>
          <w:bCs/>
        </w:rPr>
        <w:t>Table 1: Inclusion and Exclusion Criteria</w:t>
      </w:r>
    </w:p>
    <w:tbl>
      <w:tblPr>
        <w:tblStyle w:val="37"/>
        <w:tblW w:w="0" w:type="auto"/>
        <w:jc w:val="center"/>
        <w:tblLayout w:type="fixed"/>
        <w:tblCellMar>
          <w:top w:w="0" w:type="dxa"/>
          <w:left w:w="108" w:type="dxa"/>
          <w:bottom w:w="0" w:type="dxa"/>
          <w:right w:w="108" w:type="dxa"/>
        </w:tblCellMar>
      </w:tblPr>
      <w:tblGrid>
        <w:gridCol w:w="1569"/>
        <w:gridCol w:w="3681"/>
        <w:gridCol w:w="3056"/>
      </w:tblGrid>
      <w:tr w14:paraId="01A9AFA7">
        <w:tblPrEx>
          <w:tblCellMar>
            <w:top w:w="0" w:type="dxa"/>
            <w:left w:w="108" w:type="dxa"/>
            <w:bottom w:w="0" w:type="dxa"/>
            <w:right w:w="108" w:type="dxa"/>
          </w:tblCellMar>
        </w:tblPrEx>
        <w:trPr>
          <w:jc w:val="center"/>
        </w:trPr>
        <w:tc>
          <w:tcPr>
            <w:tcW w:w="1569" w:type="dxa"/>
            <w:tcBorders>
              <w:bottom w:val="single" w:color="auto" w:sz="4" w:space="0"/>
              <w:insideH w:val="single" w:sz="4" w:space="0"/>
            </w:tcBorders>
            <w:vAlign w:val="bottom"/>
          </w:tcPr>
          <w:p w14:paraId="6BF13DB6">
            <w:pPr>
              <w:spacing w:line="360" w:lineRule="auto"/>
              <w:jc w:val="both"/>
              <w:rPr>
                <w:rFonts w:ascii="Times New Roman" w:hAnsi="Times New Roman" w:cs="Times New Roman"/>
                <w:b/>
                <w:bCs/>
              </w:rPr>
            </w:pPr>
            <w:r>
              <w:rPr>
                <w:rFonts w:ascii="Times New Roman" w:hAnsi="Times New Roman" w:cs="Times New Roman"/>
                <w:b/>
                <w:bCs/>
              </w:rPr>
              <w:t>Criterion</w:t>
            </w:r>
          </w:p>
        </w:tc>
        <w:tc>
          <w:tcPr>
            <w:tcW w:w="3681" w:type="dxa"/>
            <w:tcBorders>
              <w:bottom w:val="single" w:color="auto" w:sz="4" w:space="0"/>
              <w:insideH w:val="single" w:sz="4" w:space="0"/>
            </w:tcBorders>
            <w:vAlign w:val="bottom"/>
          </w:tcPr>
          <w:p w14:paraId="20D95B17">
            <w:pPr>
              <w:spacing w:line="360" w:lineRule="auto"/>
              <w:jc w:val="both"/>
              <w:rPr>
                <w:rFonts w:ascii="Times New Roman" w:hAnsi="Times New Roman" w:cs="Times New Roman"/>
                <w:b/>
                <w:bCs/>
              </w:rPr>
            </w:pPr>
            <w:r>
              <w:rPr>
                <w:rFonts w:ascii="Times New Roman" w:hAnsi="Times New Roman" w:cs="Times New Roman"/>
                <w:b/>
                <w:bCs/>
              </w:rPr>
              <w:t>Inclusion</w:t>
            </w:r>
          </w:p>
        </w:tc>
        <w:tc>
          <w:tcPr>
            <w:tcW w:w="3056" w:type="dxa"/>
            <w:tcBorders>
              <w:bottom w:val="single" w:color="auto" w:sz="4" w:space="0"/>
              <w:insideH w:val="single" w:sz="4" w:space="0"/>
            </w:tcBorders>
            <w:vAlign w:val="bottom"/>
          </w:tcPr>
          <w:p w14:paraId="4D885174">
            <w:pPr>
              <w:spacing w:line="360" w:lineRule="auto"/>
              <w:jc w:val="both"/>
              <w:rPr>
                <w:rFonts w:ascii="Times New Roman" w:hAnsi="Times New Roman" w:cs="Times New Roman"/>
                <w:b/>
                <w:bCs/>
              </w:rPr>
            </w:pPr>
            <w:r>
              <w:rPr>
                <w:rFonts w:ascii="Times New Roman" w:hAnsi="Times New Roman" w:cs="Times New Roman"/>
                <w:b/>
                <w:bCs/>
              </w:rPr>
              <w:t>Exclusion</w:t>
            </w:r>
          </w:p>
        </w:tc>
      </w:tr>
      <w:tr w14:paraId="3356ECAC">
        <w:tblPrEx>
          <w:tblCellMar>
            <w:top w:w="0" w:type="dxa"/>
            <w:left w:w="108" w:type="dxa"/>
            <w:bottom w:w="0" w:type="dxa"/>
            <w:right w:w="108" w:type="dxa"/>
          </w:tblCellMar>
        </w:tblPrEx>
        <w:trPr>
          <w:jc w:val="center"/>
        </w:trPr>
        <w:tc>
          <w:tcPr>
            <w:tcW w:w="1569" w:type="dxa"/>
          </w:tcPr>
          <w:p w14:paraId="65C44B58">
            <w:pPr>
              <w:spacing w:line="360" w:lineRule="auto"/>
              <w:jc w:val="both"/>
              <w:rPr>
                <w:rFonts w:ascii="Times New Roman" w:hAnsi="Times New Roman" w:cs="Times New Roman"/>
              </w:rPr>
            </w:pPr>
            <w:r>
              <w:rPr>
                <w:rFonts w:ascii="Times New Roman" w:hAnsi="Times New Roman" w:cs="Times New Roman"/>
              </w:rPr>
              <w:t>Study type</w:t>
            </w:r>
          </w:p>
        </w:tc>
        <w:tc>
          <w:tcPr>
            <w:tcW w:w="3681" w:type="dxa"/>
          </w:tcPr>
          <w:p w14:paraId="368B5938">
            <w:pPr>
              <w:spacing w:line="360" w:lineRule="auto"/>
              <w:jc w:val="both"/>
              <w:rPr>
                <w:rFonts w:ascii="Times New Roman" w:hAnsi="Times New Roman" w:cs="Times New Roman"/>
              </w:rPr>
            </w:pPr>
            <w:r>
              <w:rPr>
                <w:rFonts w:ascii="Times New Roman" w:hAnsi="Times New Roman" w:cs="Times New Roman"/>
              </w:rPr>
              <w:t>Original primary research</w:t>
            </w:r>
          </w:p>
        </w:tc>
        <w:tc>
          <w:tcPr>
            <w:tcW w:w="3056" w:type="dxa"/>
          </w:tcPr>
          <w:p w14:paraId="1AEA8E04">
            <w:pPr>
              <w:spacing w:line="360" w:lineRule="auto"/>
              <w:jc w:val="both"/>
              <w:rPr>
                <w:rFonts w:ascii="Times New Roman" w:hAnsi="Times New Roman" w:cs="Times New Roman"/>
              </w:rPr>
            </w:pPr>
            <w:r>
              <w:rPr>
                <w:rFonts w:ascii="Times New Roman" w:hAnsi="Times New Roman" w:cs="Times New Roman"/>
              </w:rPr>
              <w:t>Reviews, editorials, abstracts, book chapters</w:t>
            </w:r>
          </w:p>
        </w:tc>
      </w:tr>
      <w:tr w14:paraId="01FEB2FA">
        <w:tblPrEx>
          <w:tblCellMar>
            <w:top w:w="0" w:type="dxa"/>
            <w:left w:w="108" w:type="dxa"/>
            <w:bottom w:w="0" w:type="dxa"/>
            <w:right w:w="108" w:type="dxa"/>
          </w:tblCellMar>
        </w:tblPrEx>
        <w:trPr>
          <w:jc w:val="center"/>
        </w:trPr>
        <w:tc>
          <w:tcPr>
            <w:tcW w:w="1569" w:type="dxa"/>
          </w:tcPr>
          <w:p w14:paraId="28C24552">
            <w:pPr>
              <w:spacing w:line="360" w:lineRule="auto"/>
              <w:jc w:val="both"/>
              <w:rPr>
                <w:rFonts w:ascii="Times New Roman" w:hAnsi="Times New Roman" w:cs="Times New Roman"/>
              </w:rPr>
            </w:pPr>
            <w:r>
              <w:rPr>
                <w:rFonts w:ascii="Times New Roman" w:hAnsi="Times New Roman" w:cs="Times New Roman"/>
              </w:rPr>
              <w:t>Population</w:t>
            </w:r>
          </w:p>
        </w:tc>
        <w:tc>
          <w:tcPr>
            <w:tcW w:w="3681" w:type="dxa"/>
          </w:tcPr>
          <w:p w14:paraId="3FEA3587">
            <w:pPr>
              <w:spacing w:line="360" w:lineRule="auto"/>
              <w:jc w:val="both"/>
              <w:rPr>
                <w:rFonts w:ascii="Times New Roman" w:hAnsi="Times New Roman" w:cs="Times New Roman"/>
              </w:rPr>
            </w:pPr>
            <w:r>
              <w:rPr>
                <w:rFonts w:ascii="Times New Roman" w:hAnsi="Times New Roman" w:cs="Times New Roman"/>
              </w:rPr>
              <w:t>Human participants (peripheral blood or bone marrow)</w:t>
            </w:r>
          </w:p>
        </w:tc>
        <w:tc>
          <w:tcPr>
            <w:tcW w:w="3056" w:type="dxa"/>
          </w:tcPr>
          <w:p w14:paraId="1714549C">
            <w:pPr>
              <w:spacing w:line="360" w:lineRule="auto"/>
              <w:jc w:val="both"/>
              <w:rPr>
                <w:rFonts w:ascii="Times New Roman" w:hAnsi="Times New Roman" w:cs="Times New Roman"/>
              </w:rPr>
            </w:pPr>
            <w:r>
              <w:rPr>
                <w:rFonts w:ascii="Times New Roman" w:hAnsi="Times New Roman" w:cs="Times New Roman"/>
              </w:rPr>
              <w:t>Animal models, in vitro only, simulated data</w:t>
            </w:r>
          </w:p>
        </w:tc>
      </w:tr>
      <w:tr w14:paraId="2085761F">
        <w:tblPrEx>
          <w:tblCellMar>
            <w:top w:w="0" w:type="dxa"/>
            <w:left w:w="108" w:type="dxa"/>
            <w:bottom w:w="0" w:type="dxa"/>
            <w:right w:w="108" w:type="dxa"/>
          </w:tblCellMar>
        </w:tblPrEx>
        <w:trPr>
          <w:jc w:val="center"/>
        </w:trPr>
        <w:tc>
          <w:tcPr>
            <w:tcW w:w="1569" w:type="dxa"/>
          </w:tcPr>
          <w:p w14:paraId="2324CD2E">
            <w:pPr>
              <w:spacing w:line="360" w:lineRule="auto"/>
              <w:jc w:val="both"/>
              <w:rPr>
                <w:rFonts w:ascii="Times New Roman" w:hAnsi="Times New Roman" w:cs="Times New Roman"/>
              </w:rPr>
            </w:pPr>
            <w:r>
              <w:rPr>
                <w:rFonts w:ascii="Times New Roman" w:hAnsi="Times New Roman" w:cs="Times New Roman"/>
              </w:rPr>
              <w:t>Disease focus</w:t>
            </w:r>
          </w:p>
        </w:tc>
        <w:tc>
          <w:tcPr>
            <w:tcW w:w="3681" w:type="dxa"/>
          </w:tcPr>
          <w:p w14:paraId="55E02592">
            <w:pPr>
              <w:spacing w:line="360" w:lineRule="auto"/>
              <w:jc w:val="both"/>
              <w:rPr>
                <w:rFonts w:ascii="Times New Roman" w:hAnsi="Times New Roman" w:cs="Times New Roman"/>
              </w:rPr>
            </w:pPr>
            <w:r>
              <w:rPr>
                <w:rFonts w:ascii="Times New Roman" w:hAnsi="Times New Roman" w:cs="Times New Roman"/>
              </w:rPr>
              <w:t>Hematological malignancy or pre-malignant blood cell state</w:t>
            </w:r>
          </w:p>
        </w:tc>
        <w:tc>
          <w:tcPr>
            <w:tcW w:w="3056" w:type="dxa"/>
          </w:tcPr>
          <w:p w14:paraId="130E23F0">
            <w:pPr>
              <w:spacing w:line="360" w:lineRule="auto"/>
              <w:jc w:val="both"/>
              <w:rPr>
                <w:rFonts w:ascii="Times New Roman" w:hAnsi="Times New Roman" w:cs="Times New Roman"/>
              </w:rPr>
            </w:pPr>
            <w:r>
              <w:rPr>
                <w:rFonts w:ascii="Times New Roman" w:hAnsi="Times New Roman" w:cs="Times New Roman"/>
              </w:rPr>
              <w:t>Solid organ malignancy only</w:t>
            </w:r>
          </w:p>
        </w:tc>
      </w:tr>
      <w:tr w14:paraId="634A1C39">
        <w:tblPrEx>
          <w:tblCellMar>
            <w:top w:w="0" w:type="dxa"/>
            <w:left w:w="108" w:type="dxa"/>
            <w:bottom w:w="0" w:type="dxa"/>
            <w:right w:w="108" w:type="dxa"/>
          </w:tblCellMar>
        </w:tblPrEx>
        <w:trPr>
          <w:jc w:val="center"/>
        </w:trPr>
        <w:tc>
          <w:tcPr>
            <w:tcW w:w="1569" w:type="dxa"/>
          </w:tcPr>
          <w:p w14:paraId="3B114520">
            <w:pPr>
              <w:spacing w:line="360" w:lineRule="auto"/>
              <w:jc w:val="both"/>
              <w:rPr>
                <w:rFonts w:ascii="Times New Roman" w:hAnsi="Times New Roman" w:cs="Times New Roman"/>
              </w:rPr>
            </w:pPr>
            <w:r>
              <w:rPr>
                <w:rFonts w:ascii="Times New Roman" w:hAnsi="Times New Roman" w:cs="Times New Roman"/>
              </w:rPr>
              <w:t>Intervention</w:t>
            </w:r>
          </w:p>
        </w:tc>
        <w:tc>
          <w:tcPr>
            <w:tcW w:w="3681" w:type="dxa"/>
          </w:tcPr>
          <w:p w14:paraId="2095A981">
            <w:pPr>
              <w:spacing w:line="360" w:lineRule="auto"/>
              <w:jc w:val="both"/>
              <w:rPr>
                <w:rFonts w:ascii="Times New Roman" w:hAnsi="Times New Roman" w:cs="Times New Roman"/>
              </w:rPr>
            </w:pPr>
            <w:r>
              <w:rPr>
                <w:rFonts w:ascii="Times New Roman" w:hAnsi="Times New Roman" w:cs="Times New Roman"/>
              </w:rPr>
              <w:t>At least one ML algorithm applied to blood cell classification</w:t>
            </w:r>
          </w:p>
        </w:tc>
        <w:tc>
          <w:tcPr>
            <w:tcW w:w="3056" w:type="dxa"/>
          </w:tcPr>
          <w:p w14:paraId="28947B47">
            <w:pPr>
              <w:spacing w:line="360" w:lineRule="auto"/>
              <w:jc w:val="both"/>
              <w:rPr>
                <w:rFonts w:ascii="Times New Roman" w:hAnsi="Times New Roman" w:cs="Times New Roman"/>
              </w:rPr>
            </w:pPr>
            <w:r>
              <w:rPr>
                <w:rFonts w:ascii="Times New Roman" w:hAnsi="Times New Roman" w:cs="Times New Roman"/>
              </w:rPr>
              <w:t>Non-ML statistical methods only</w:t>
            </w:r>
          </w:p>
        </w:tc>
      </w:tr>
      <w:tr w14:paraId="717FAF25">
        <w:tblPrEx>
          <w:tblCellMar>
            <w:top w:w="0" w:type="dxa"/>
            <w:left w:w="108" w:type="dxa"/>
            <w:bottom w:w="0" w:type="dxa"/>
            <w:right w:w="108" w:type="dxa"/>
          </w:tblCellMar>
        </w:tblPrEx>
        <w:trPr>
          <w:jc w:val="center"/>
        </w:trPr>
        <w:tc>
          <w:tcPr>
            <w:tcW w:w="1569" w:type="dxa"/>
          </w:tcPr>
          <w:p w14:paraId="2D2990D9">
            <w:pPr>
              <w:spacing w:line="360" w:lineRule="auto"/>
              <w:jc w:val="both"/>
              <w:rPr>
                <w:rFonts w:ascii="Times New Roman" w:hAnsi="Times New Roman" w:cs="Times New Roman"/>
              </w:rPr>
            </w:pPr>
            <w:r>
              <w:rPr>
                <w:rFonts w:ascii="Times New Roman" w:hAnsi="Times New Roman" w:cs="Times New Roman"/>
              </w:rPr>
              <w:t>Outcomes</w:t>
            </w:r>
          </w:p>
        </w:tc>
        <w:tc>
          <w:tcPr>
            <w:tcW w:w="3681" w:type="dxa"/>
          </w:tcPr>
          <w:p w14:paraId="2EA69C04">
            <w:pPr>
              <w:spacing w:line="360" w:lineRule="auto"/>
              <w:jc w:val="both"/>
              <w:rPr>
                <w:rFonts w:ascii="Times New Roman" w:hAnsi="Times New Roman" w:cs="Times New Roman"/>
              </w:rPr>
            </w:pPr>
            <w:r>
              <w:rPr>
                <w:rFonts w:ascii="Times New Roman" w:hAnsi="Times New Roman" w:cs="Times New Roman"/>
              </w:rPr>
              <w:t>At least one quantitative performance metric reported</w:t>
            </w:r>
          </w:p>
        </w:tc>
        <w:tc>
          <w:tcPr>
            <w:tcW w:w="3056" w:type="dxa"/>
          </w:tcPr>
          <w:p w14:paraId="48BC0E5C">
            <w:pPr>
              <w:spacing w:line="360" w:lineRule="auto"/>
              <w:jc w:val="both"/>
              <w:rPr>
                <w:rFonts w:ascii="Times New Roman" w:hAnsi="Times New Roman" w:cs="Times New Roman"/>
              </w:rPr>
            </w:pPr>
            <w:r>
              <w:rPr>
                <w:rFonts w:ascii="Times New Roman" w:hAnsi="Times New Roman" w:cs="Times New Roman"/>
              </w:rPr>
              <w:t>No quantitative performance data</w:t>
            </w:r>
          </w:p>
        </w:tc>
      </w:tr>
      <w:tr w14:paraId="2E795A7A">
        <w:tblPrEx>
          <w:tblCellMar>
            <w:top w:w="0" w:type="dxa"/>
            <w:left w:w="108" w:type="dxa"/>
            <w:bottom w:w="0" w:type="dxa"/>
            <w:right w:w="108" w:type="dxa"/>
          </w:tblCellMar>
        </w:tblPrEx>
        <w:trPr>
          <w:jc w:val="center"/>
        </w:trPr>
        <w:tc>
          <w:tcPr>
            <w:tcW w:w="1569" w:type="dxa"/>
          </w:tcPr>
          <w:p w14:paraId="4A6F0278">
            <w:pPr>
              <w:spacing w:line="360" w:lineRule="auto"/>
              <w:jc w:val="both"/>
              <w:rPr>
                <w:rFonts w:ascii="Times New Roman" w:hAnsi="Times New Roman" w:cs="Times New Roman"/>
              </w:rPr>
            </w:pPr>
            <w:r>
              <w:rPr>
                <w:rFonts w:ascii="Times New Roman" w:hAnsi="Times New Roman" w:cs="Times New Roman"/>
              </w:rPr>
              <w:t>Language</w:t>
            </w:r>
          </w:p>
        </w:tc>
        <w:tc>
          <w:tcPr>
            <w:tcW w:w="3681" w:type="dxa"/>
          </w:tcPr>
          <w:p w14:paraId="1FBEA251">
            <w:pPr>
              <w:spacing w:line="360" w:lineRule="auto"/>
              <w:jc w:val="both"/>
              <w:rPr>
                <w:rFonts w:ascii="Times New Roman" w:hAnsi="Times New Roman" w:cs="Times New Roman"/>
              </w:rPr>
            </w:pPr>
            <w:r>
              <w:rPr>
                <w:rFonts w:ascii="Times New Roman" w:hAnsi="Times New Roman" w:cs="Times New Roman"/>
              </w:rPr>
              <w:t>English</w:t>
            </w:r>
          </w:p>
        </w:tc>
        <w:tc>
          <w:tcPr>
            <w:tcW w:w="3056" w:type="dxa"/>
          </w:tcPr>
          <w:p w14:paraId="6F65C667">
            <w:pPr>
              <w:spacing w:line="360" w:lineRule="auto"/>
              <w:jc w:val="both"/>
              <w:rPr>
                <w:rFonts w:ascii="Times New Roman" w:hAnsi="Times New Roman" w:cs="Times New Roman"/>
              </w:rPr>
            </w:pPr>
            <w:r>
              <w:rPr>
                <w:rFonts w:ascii="Times New Roman" w:hAnsi="Times New Roman" w:cs="Times New Roman"/>
              </w:rPr>
              <w:t>Non-English</w:t>
            </w:r>
          </w:p>
        </w:tc>
      </w:tr>
      <w:tr w14:paraId="3E5DBCAD">
        <w:tblPrEx>
          <w:tblCellMar>
            <w:top w:w="0" w:type="dxa"/>
            <w:left w:w="108" w:type="dxa"/>
            <w:bottom w:w="0" w:type="dxa"/>
            <w:right w:w="108" w:type="dxa"/>
          </w:tblCellMar>
        </w:tblPrEx>
        <w:trPr>
          <w:jc w:val="center"/>
        </w:trPr>
        <w:tc>
          <w:tcPr>
            <w:tcW w:w="1569" w:type="dxa"/>
          </w:tcPr>
          <w:p w14:paraId="0090B3F2">
            <w:pPr>
              <w:spacing w:line="360" w:lineRule="auto"/>
              <w:jc w:val="both"/>
              <w:rPr>
                <w:rFonts w:ascii="Times New Roman" w:hAnsi="Times New Roman" w:cs="Times New Roman"/>
              </w:rPr>
            </w:pPr>
            <w:r>
              <w:rPr>
                <w:rFonts w:ascii="Times New Roman" w:hAnsi="Times New Roman" w:cs="Times New Roman"/>
              </w:rPr>
              <w:t>Sample size</w:t>
            </w:r>
          </w:p>
        </w:tc>
        <w:tc>
          <w:tcPr>
            <w:tcW w:w="3681" w:type="dxa"/>
          </w:tcPr>
          <w:p w14:paraId="4A53F22D">
            <w:pPr>
              <w:spacing w:line="360" w:lineRule="auto"/>
              <w:jc w:val="both"/>
              <w:rPr>
                <w:rFonts w:ascii="Times New Roman" w:hAnsi="Times New Roman" w:cs="Times New Roman"/>
              </w:rPr>
            </w:pPr>
            <w:r>
              <w:rPr>
                <w:rFonts w:ascii="Times New Roman" w:hAnsi="Times New Roman" w:cs="Times New Roman"/>
              </w:rPr>
              <w:t>≥ 50 participants</w:t>
            </w:r>
          </w:p>
        </w:tc>
        <w:tc>
          <w:tcPr>
            <w:tcW w:w="3056" w:type="dxa"/>
          </w:tcPr>
          <w:p w14:paraId="117E8916">
            <w:pPr>
              <w:spacing w:line="360" w:lineRule="auto"/>
              <w:jc w:val="both"/>
              <w:rPr>
                <w:rFonts w:ascii="Times New Roman" w:hAnsi="Times New Roman" w:cs="Times New Roman"/>
              </w:rPr>
            </w:pPr>
            <w:r>
              <w:rPr>
                <w:rFonts w:ascii="Times New Roman" w:hAnsi="Times New Roman" w:cs="Times New Roman"/>
              </w:rPr>
              <w:t>&lt; 50 participants</w:t>
            </w:r>
          </w:p>
        </w:tc>
      </w:tr>
      <w:tr w14:paraId="1E967E4B">
        <w:tblPrEx>
          <w:tblCellMar>
            <w:top w:w="0" w:type="dxa"/>
            <w:left w:w="108" w:type="dxa"/>
            <w:bottom w:w="0" w:type="dxa"/>
            <w:right w:w="108" w:type="dxa"/>
          </w:tblCellMar>
        </w:tblPrEx>
        <w:trPr>
          <w:jc w:val="center"/>
        </w:trPr>
        <w:tc>
          <w:tcPr>
            <w:tcW w:w="1569" w:type="dxa"/>
          </w:tcPr>
          <w:p w14:paraId="2D1C0EB8">
            <w:pPr>
              <w:spacing w:line="360" w:lineRule="auto"/>
              <w:jc w:val="both"/>
              <w:rPr>
                <w:rFonts w:ascii="Times New Roman" w:hAnsi="Times New Roman" w:cs="Times New Roman"/>
              </w:rPr>
            </w:pPr>
            <w:r>
              <w:rPr>
                <w:rFonts w:ascii="Times New Roman" w:hAnsi="Times New Roman" w:cs="Times New Roman"/>
              </w:rPr>
              <w:t>Publication type</w:t>
            </w:r>
          </w:p>
        </w:tc>
        <w:tc>
          <w:tcPr>
            <w:tcW w:w="3681" w:type="dxa"/>
          </w:tcPr>
          <w:p w14:paraId="286D6277">
            <w:pPr>
              <w:spacing w:line="360" w:lineRule="auto"/>
              <w:jc w:val="both"/>
              <w:rPr>
                <w:rFonts w:ascii="Times New Roman" w:hAnsi="Times New Roman" w:cs="Times New Roman"/>
              </w:rPr>
            </w:pPr>
            <w:r>
              <w:rPr>
                <w:rFonts w:ascii="Times New Roman" w:hAnsi="Times New Roman" w:cs="Times New Roman"/>
              </w:rPr>
              <w:t>Peer-reviewed journal</w:t>
            </w:r>
          </w:p>
        </w:tc>
        <w:tc>
          <w:tcPr>
            <w:tcW w:w="3056" w:type="dxa"/>
          </w:tcPr>
          <w:p w14:paraId="07673CDC">
            <w:pPr>
              <w:spacing w:line="360" w:lineRule="auto"/>
              <w:jc w:val="both"/>
              <w:rPr>
                <w:rFonts w:ascii="Times New Roman" w:hAnsi="Times New Roman" w:cs="Times New Roman"/>
              </w:rPr>
            </w:pPr>
            <w:r>
              <w:rPr>
                <w:rFonts w:ascii="Times New Roman" w:hAnsi="Times New Roman" w:cs="Times New Roman"/>
              </w:rPr>
              <w:t>Conference proceedings, preprints, grey literature</w:t>
            </w:r>
          </w:p>
        </w:tc>
      </w:tr>
    </w:tbl>
    <w:p w14:paraId="0E77C9D5">
      <w:pPr>
        <w:spacing w:line="360" w:lineRule="auto"/>
        <w:jc w:val="both"/>
        <w:rPr>
          <w:rFonts w:ascii="Times New Roman" w:hAnsi="Times New Roman" w:cs="Times New Roman"/>
          <w:b/>
          <w:bCs/>
        </w:rPr>
      </w:pPr>
      <w:r>
        <w:rPr>
          <w:rFonts w:ascii="Times New Roman" w:hAnsi="Times New Roman" w:cs="Times New Roman"/>
          <w:b/>
          <w:bCs/>
        </w:rPr>
        <w:t>2.3 Search Strategy</w:t>
      </w:r>
    </w:p>
    <w:p w14:paraId="2486A7E7">
      <w:pPr>
        <w:spacing w:line="360" w:lineRule="auto"/>
        <w:jc w:val="both"/>
        <w:rPr>
          <w:rFonts w:ascii="Times New Roman" w:hAnsi="Times New Roman" w:cs="Times New Roman"/>
        </w:rPr>
      </w:pPr>
      <w:r>
        <w:rPr>
          <w:rFonts w:ascii="Times New Roman" w:hAnsi="Times New Roman" w:cs="Times New Roman"/>
        </w:rPr>
        <w:t>A systematic literature search was conducted across three electronic databases: PubMed/MEDLINE, Scopus, and Web of Science. The search was restricted to publications from January 2017 to December 2023 to ensure contemporaneous relevance to current methodological standards. The search string combined terms across three conceptual domains using Boolean operators (AND, OR):</w:t>
      </w:r>
    </w:p>
    <w:p w14:paraId="5CE4133F">
      <w:pPr>
        <w:numPr>
          <w:ilvl w:val="0"/>
          <w:numId w:val="1"/>
        </w:numPr>
        <w:spacing w:line="360" w:lineRule="auto"/>
        <w:jc w:val="both"/>
        <w:rPr>
          <w:rFonts w:ascii="Times New Roman" w:hAnsi="Times New Roman" w:cs="Times New Roman"/>
        </w:rPr>
      </w:pPr>
      <w:r>
        <w:rPr>
          <w:rFonts w:ascii="Times New Roman" w:hAnsi="Times New Roman" w:cs="Times New Roman"/>
          <w:b/>
          <w:bCs/>
        </w:rPr>
        <w:t>Domain 1 — Computational methods:</w:t>
      </w:r>
      <w:r>
        <w:rPr>
          <w:rFonts w:ascii="Times New Roman" w:hAnsi="Times New Roman" w:cs="Times New Roman"/>
        </w:rPr>
        <w:t xml:space="preserve"> machine learning OR deep learning OR artificial neural network OR random forest OR support vector machine OR convolutional neural network OR gradient boosting OR ensemble learning</w:t>
      </w:r>
    </w:p>
    <w:p w14:paraId="34C338EB">
      <w:pPr>
        <w:numPr>
          <w:ilvl w:val="0"/>
          <w:numId w:val="1"/>
        </w:numPr>
        <w:spacing w:line="360" w:lineRule="auto"/>
        <w:jc w:val="both"/>
        <w:rPr>
          <w:rFonts w:ascii="Times New Roman" w:hAnsi="Times New Roman" w:cs="Times New Roman"/>
        </w:rPr>
      </w:pPr>
      <w:r>
        <w:rPr>
          <w:rFonts w:ascii="Times New Roman" w:hAnsi="Times New Roman" w:cs="Times New Roman"/>
          <w:b/>
          <w:bCs/>
        </w:rPr>
        <w:t>Domain 2 — Disease context:</w:t>
      </w:r>
      <w:r>
        <w:rPr>
          <w:rFonts w:ascii="Times New Roman" w:hAnsi="Times New Roman" w:cs="Times New Roman"/>
        </w:rPr>
        <w:t xml:space="preserve"> hematological malignancy OR leukemia OR lymphoma OR myelodysplastic syndrome OR myeloma OR clonal hematopoiesis OR blood cancer OR pre-malignant</w:t>
      </w:r>
    </w:p>
    <w:p w14:paraId="406B71D4">
      <w:pPr>
        <w:numPr>
          <w:ilvl w:val="0"/>
          <w:numId w:val="1"/>
        </w:numPr>
        <w:spacing w:line="360" w:lineRule="auto"/>
        <w:jc w:val="both"/>
        <w:rPr>
          <w:rFonts w:ascii="Times New Roman" w:hAnsi="Times New Roman" w:cs="Times New Roman"/>
        </w:rPr>
      </w:pPr>
      <w:r>
        <w:rPr>
          <w:rFonts w:ascii="Times New Roman" w:hAnsi="Times New Roman" w:cs="Times New Roman"/>
          <w:b/>
          <w:bCs/>
        </w:rPr>
        <w:t>Domain 3 — Classification task:</w:t>
      </w:r>
      <w:r>
        <w:rPr>
          <w:rFonts w:ascii="Times New Roman" w:hAnsi="Times New Roman" w:cs="Times New Roman"/>
        </w:rPr>
        <w:t xml:space="preserve"> blood cell classification OR risk stratification OR early detection OR biomarker prediction OR cell morphology OR immunophenotyping</w:t>
      </w:r>
    </w:p>
    <w:p w14:paraId="74FA9F6A">
      <w:pPr>
        <w:spacing w:line="360" w:lineRule="auto"/>
        <w:jc w:val="both"/>
        <w:rPr>
          <w:rFonts w:ascii="Times New Roman" w:hAnsi="Times New Roman" w:cs="Times New Roman"/>
        </w:rPr>
      </w:pPr>
      <w:r>
        <w:rPr>
          <w:rFonts w:ascii="Times New Roman" w:hAnsi="Times New Roman" w:cs="Times New Roman"/>
        </w:rPr>
        <w:t>Medical Subject Headings (MeSH) terms were used in PubMed searches where applicable. Reference lists of all included articles were manually searched for additional eligible records not captured by the database search.</w:t>
      </w:r>
    </w:p>
    <w:p w14:paraId="4DC297B3">
      <w:pPr>
        <w:spacing w:line="360" w:lineRule="auto"/>
        <w:jc w:val="both"/>
        <w:rPr>
          <w:rFonts w:ascii="Times New Roman" w:hAnsi="Times New Roman" w:cs="Times New Roman"/>
          <w:b/>
          <w:bCs/>
        </w:rPr>
      </w:pPr>
      <w:r>
        <w:rPr>
          <w:rFonts w:ascii="Times New Roman" w:hAnsi="Times New Roman" w:cs="Times New Roman"/>
          <w:b/>
          <w:bCs/>
        </w:rPr>
        <w:t>2.4 Study Selection</w:t>
      </w:r>
    </w:p>
    <w:p w14:paraId="3D4280F9">
      <w:pPr>
        <w:spacing w:line="360" w:lineRule="auto"/>
        <w:jc w:val="both"/>
        <w:rPr>
          <w:rFonts w:ascii="Times New Roman" w:hAnsi="Times New Roman" w:cs="Times New Roman"/>
        </w:rPr>
      </w:pPr>
      <w:r>
        <w:rPr>
          <w:rFonts w:ascii="Times New Roman" w:hAnsi="Times New Roman" w:cs="Times New Roman"/>
        </w:rPr>
        <w:t>All retrieved records were imported into a reference management system and de-duplicated. Two reviewers independently screened titles and abstracts against the eligibility criteria. Full-text articles were obtained for all potentially eligible records. Full-text screening was conducted independently by both reviewers. Disagreements at any stage were resolved through discussion and, where consensus could not be reached, by a third reviewer. The selection process is documented in the PRISMA flow diagram (Figure 1).</w:t>
      </w:r>
    </w:p>
    <w:p w14:paraId="3B5AAD38">
      <w:pPr>
        <w:spacing w:line="360" w:lineRule="auto"/>
        <w:jc w:val="both"/>
        <w:rPr>
          <w:rFonts w:ascii="Times New Roman" w:hAnsi="Times New Roman" w:cs="Times New Roman"/>
        </w:rPr>
      </w:pPr>
      <w:r>
        <w:rPr>
          <w:rFonts w:ascii="Times New Roman" w:hAnsi="Times New Roman" w:cs="Times New Roman"/>
        </w:rPr>
        <w:t>From the pool of eligible studies, a final selection of 25 studies was made for detailed synthesis. Selection from the eligible pool prioritized methodological rigor (presence of external validation or robust cross-validation), feature domain breadth (multi-omics over single-modality), recency (publications from 2020–2023 preferred), and thematic diversity across hematological malignancy subtypes and ML algorithm types.</w:t>
      </w:r>
    </w:p>
    <w:p w14:paraId="20B4123D">
      <w:pPr>
        <w:spacing w:line="360" w:lineRule="auto"/>
        <w:jc w:val="both"/>
        <w:rPr>
          <w:rFonts w:ascii="Times New Roman" w:hAnsi="Times New Roman" w:cs="Times New Roman"/>
          <w:b/>
          <w:bCs/>
        </w:rPr>
      </w:pPr>
    </w:p>
    <w:p w14:paraId="372C8048">
      <w:pPr>
        <w:spacing w:line="360" w:lineRule="auto"/>
        <w:jc w:val="both"/>
        <w:rPr>
          <w:rFonts w:ascii="Times New Roman" w:hAnsi="Times New Roman" w:cs="Times New Roman"/>
          <w:b/>
          <w:bCs/>
        </w:rPr>
      </w:pPr>
    </w:p>
    <w:p w14:paraId="414226FE">
      <w:pPr>
        <w:spacing w:line="360" w:lineRule="auto"/>
        <w:jc w:val="both"/>
        <w:rPr>
          <w:rFonts w:ascii="Times New Roman" w:hAnsi="Times New Roman" w:cs="Times New Roman"/>
          <w:b/>
          <w:bCs/>
        </w:rPr>
      </w:pPr>
      <w:r>
        <w:rPr>
          <w:rFonts w:ascii="Times New Roman" w:hAnsi="Times New Roman" w:cs="Times New Roman"/>
          <w:b/>
          <w:bCs/>
        </w:rPr>
        <w:t>2.5 Data Extraction</w:t>
      </w:r>
    </w:p>
    <w:p w14:paraId="21DEBA23">
      <w:pPr>
        <w:spacing w:line="360" w:lineRule="auto"/>
        <w:jc w:val="both"/>
        <w:rPr>
          <w:rFonts w:ascii="Times New Roman" w:hAnsi="Times New Roman" w:cs="Times New Roman"/>
        </w:rPr>
      </w:pPr>
      <w:r>
        <w:rPr>
          <w:rFonts w:ascii="Times New Roman" w:hAnsi="Times New Roman" w:cs="Times New Roman"/>
        </w:rPr>
        <w:t>A standardized data extraction form was used to collect the following information from each of the 25 selected studies: first author and year; country; study design; sample size and composition; malignancy subtypes represented; feature domains assessed; ML algorithms evaluated; feature selection method; validation strategy; external validation (yes/no); performance metrics (accuracy, AUC-ROC, sensitivity, specificity) with confidence intervals where reported; interpretability methods; and software/code availability.</w:t>
      </w:r>
    </w:p>
    <w:p w14:paraId="78979EB6">
      <w:pPr>
        <w:spacing w:line="360" w:lineRule="auto"/>
        <w:jc w:val="both"/>
        <w:rPr>
          <w:rFonts w:ascii="Times New Roman" w:hAnsi="Times New Roman" w:cs="Times New Roman"/>
          <w:b/>
          <w:bCs/>
        </w:rPr>
      </w:pPr>
      <w:r>
        <w:rPr>
          <w:rFonts w:ascii="Times New Roman" w:hAnsi="Times New Roman" w:cs="Times New Roman"/>
          <w:b/>
          <w:bCs/>
        </w:rPr>
        <w:t>2.6 Quality Assessment</w:t>
      </w:r>
    </w:p>
    <w:p w14:paraId="6BB0AFB0">
      <w:pPr>
        <w:spacing w:line="360" w:lineRule="auto"/>
        <w:jc w:val="both"/>
        <w:rPr>
          <w:rFonts w:ascii="Times New Roman" w:hAnsi="Times New Roman" w:cs="Times New Roman"/>
        </w:rPr>
      </w:pPr>
      <w:r>
        <w:rPr>
          <w:rFonts w:ascii="Times New Roman" w:hAnsi="Times New Roman" w:cs="Times New Roman"/>
        </w:rPr>
        <w:t>The methodological quality of included studies was assessed using the PROBAST (Prediction model Risk Of Bias ASsessment Tool) framework, which evaluates prediction model studies across four domains: (1) participants, (2) predictors, (3) outcomes, and (4) analysis. Each domain was rated as low, high, or unclear risk of bias. An overall bias rating of high was assigned when high or unclear risk was identified in one or more domains.</w:t>
      </w:r>
    </w:p>
    <w:p w14:paraId="7450F1A3">
      <w:pPr>
        <w:spacing w:line="360" w:lineRule="auto"/>
        <w:jc w:val="both"/>
        <w:rPr>
          <w:rFonts w:ascii="Times New Roman" w:hAnsi="Times New Roman" w:cs="Times New Roman"/>
        </w:rPr>
      </w:pPr>
    </w:p>
    <w:p w14:paraId="60530069">
      <w:pPr>
        <w:spacing w:line="360" w:lineRule="auto"/>
        <w:jc w:val="both"/>
        <w:rPr>
          <w:rFonts w:ascii="Times New Roman" w:hAnsi="Times New Roman" w:cs="Times New Roman"/>
        </w:rPr>
      </w:pPr>
    </w:p>
    <w:p w14:paraId="6B43A245">
      <w:pPr>
        <w:spacing w:line="360" w:lineRule="auto"/>
        <w:jc w:val="both"/>
        <w:rPr>
          <w:rFonts w:ascii="Times New Roman" w:hAnsi="Times New Roman" w:cs="Times New Roman"/>
          <w:b/>
          <w:bCs/>
        </w:rPr>
      </w:pPr>
      <w:r>
        <w:rPr>
          <w:rFonts w:ascii="Times New Roman" w:hAnsi="Times New Roman" w:cs="Times New Roman"/>
          <w:b/>
          <w:bCs/>
        </w:rPr>
        <w:t>2.7 Synthesis Approach</w:t>
      </w:r>
    </w:p>
    <w:p w14:paraId="1CB52103">
      <w:pPr>
        <w:spacing w:line="360" w:lineRule="auto"/>
        <w:jc w:val="both"/>
        <w:rPr>
          <w:rFonts w:ascii="Times New Roman" w:hAnsi="Times New Roman" w:cs="Times New Roman"/>
        </w:rPr>
      </w:pPr>
      <w:r>
        <w:rPr>
          <w:rFonts w:ascii="Times New Roman" w:hAnsi="Times New Roman" w:cs="Times New Roman"/>
        </w:rPr>
        <w:t>Given the narrative design of this review, findings were synthesized thematically rather than statistically. Themes were identified inductively from the extracted data and organized according to their relevance to the review's objectives. Evidence was summarized descriptively, with particular attention to patterns in algorithm performance, biomarker category importance, validation quality, and interpretability practices.</w:t>
      </w:r>
    </w:p>
    <w:p w14:paraId="6BC031F3">
      <w:pPr>
        <w:spacing w:line="360" w:lineRule="auto"/>
        <w:ind w:left="2160" w:firstLine="720"/>
        <w:jc w:val="both"/>
        <w:rPr>
          <w:rFonts w:ascii="Times New Roman" w:hAnsi="Times New Roman" w:cs="Times New Roman"/>
          <w:b/>
          <w:bCs/>
        </w:rPr>
      </w:pPr>
    </w:p>
    <w:p w14:paraId="47492A84">
      <w:pPr>
        <w:spacing w:line="360" w:lineRule="auto"/>
        <w:ind w:left="2160" w:firstLine="720"/>
        <w:jc w:val="both"/>
        <w:rPr>
          <w:rFonts w:ascii="Times New Roman" w:hAnsi="Times New Roman" w:cs="Times New Roman"/>
          <w:b/>
          <w:bCs/>
        </w:rPr>
      </w:pPr>
    </w:p>
    <w:p w14:paraId="5CF0F1E1">
      <w:pPr>
        <w:spacing w:line="360" w:lineRule="auto"/>
        <w:ind w:left="2160" w:firstLine="720"/>
        <w:jc w:val="both"/>
        <w:rPr>
          <w:rFonts w:ascii="Times New Roman" w:hAnsi="Times New Roman" w:cs="Times New Roman"/>
          <w:b/>
          <w:bCs/>
        </w:rPr>
      </w:pPr>
    </w:p>
    <w:p w14:paraId="227C1C1B">
      <w:pPr>
        <w:spacing w:line="360" w:lineRule="auto"/>
        <w:ind w:left="2160" w:firstLine="720"/>
        <w:jc w:val="both"/>
        <w:rPr>
          <w:rFonts w:ascii="Times New Roman" w:hAnsi="Times New Roman" w:cs="Times New Roman"/>
          <w:b/>
          <w:bCs/>
        </w:rPr>
      </w:pPr>
    </w:p>
    <w:p w14:paraId="0E4F09B5">
      <w:pPr>
        <w:spacing w:line="360" w:lineRule="auto"/>
        <w:ind w:left="2160" w:firstLine="720"/>
        <w:jc w:val="both"/>
        <w:rPr>
          <w:rFonts w:ascii="Times New Roman" w:hAnsi="Times New Roman" w:cs="Times New Roman"/>
          <w:b/>
          <w:bCs/>
        </w:rPr>
      </w:pPr>
      <w:r>
        <w:rPr>
          <w:rFonts w:ascii="Times New Roman" w:hAnsi="Times New Roman" w:cs="Times New Roman"/>
          <w:b/>
          <w:bCs/>
        </w:rPr>
        <w:t>PRISMA Flow Diagram</w:t>
      </w:r>
    </w:p>
    <w:p w14:paraId="09342CB0">
      <w:pPr>
        <w:spacing w:line="360" w:lineRule="auto"/>
        <w:jc w:val="center"/>
        <w:rPr>
          <w:rFonts w:ascii="Times New Roman" w:hAnsi="Times New Roman" w:cs="Times New Roman"/>
          <w:b/>
          <w:bCs/>
        </w:rPr>
      </w:pPr>
      <w:r>
        <w:rPr>
          <w:rFonts w:ascii="Times New Roman" w:hAnsi="Times New Roman" w:cs="Times New Roman"/>
          <w:b/>
          <w:bCs/>
        </w:rPr>
        <w:drawing>
          <wp:inline distT="0" distB="0" distL="0" distR="0">
            <wp:extent cx="4006215" cy="5419725"/>
            <wp:effectExtent l="0" t="0" r="0" b="0"/>
            <wp:docPr id="128605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7245" name="Picture 1"/>
                    <pic:cNvPicPr>
                      <a:picLocks noChangeAspect="1"/>
                    </pic:cNvPicPr>
                  </pic:nvPicPr>
                  <pic:blipFill>
                    <a:blip r:embed="rId12"/>
                    <a:stretch>
                      <a:fillRect/>
                    </a:stretch>
                  </pic:blipFill>
                  <pic:spPr>
                    <a:xfrm>
                      <a:off x="0" y="0"/>
                      <a:ext cx="4006877" cy="5420331"/>
                    </a:xfrm>
                    <a:prstGeom prst="rect">
                      <a:avLst/>
                    </a:prstGeom>
                  </pic:spPr>
                </pic:pic>
              </a:graphicData>
            </a:graphic>
          </wp:inline>
        </w:drawing>
      </w:r>
    </w:p>
    <w:p w14:paraId="31A31DCD">
      <w:pPr>
        <w:spacing w:line="360" w:lineRule="auto"/>
        <w:ind w:left="1440" w:firstLine="720"/>
        <w:jc w:val="both"/>
        <w:rPr>
          <w:rFonts w:ascii="Times New Roman" w:hAnsi="Times New Roman" w:cs="Times New Roman"/>
          <w:b/>
          <w:bCs/>
        </w:rPr>
      </w:pPr>
      <w:r>
        <w:rPr>
          <w:rFonts w:ascii="Times New Roman" w:hAnsi="Times New Roman" w:cs="Times New Roman"/>
          <w:b/>
          <w:bCs/>
        </w:rPr>
        <w:t xml:space="preserve">Figure 1: PRISMA 2020 Flow Diagram </w:t>
      </w:r>
    </w:p>
    <w:p w14:paraId="59BB0E59">
      <w:pPr>
        <w:spacing w:line="360" w:lineRule="auto"/>
        <w:ind w:left="1440" w:firstLine="720"/>
        <w:jc w:val="both"/>
        <w:rPr>
          <w:rFonts w:ascii="Times New Roman" w:hAnsi="Times New Roman" w:cs="Times New Roman"/>
          <w:b/>
          <w:bCs/>
        </w:rPr>
      </w:pPr>
    </w:p>
    <w:p w14:paraId="7822541B">
      <w:pPr>
        <w:spacing w:after="0"/>
        <w:rPr>
          <w:rFonts w:ascii="Times New Roman" w:hAnsi="Times New Roman" w:cs="Times New Roman"/>
          <w:b/>
          <w:bCs/>
        </w:rPr>
      </w:pPr>
    </w:p>
    <w:p w14:paraId="58017F9A">
      <w:pPr>
        <w:spacing w:line="360" w:lineRule="auto"/>
        <w:jc w:val="both"/>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b/>
          <w:bCs/>
        </w:rPr>
        <w:tab/>
      </w:r>
      <w:r>
        <w:rPr>
          <w:rFonts w:ascii="Times New Roman" w:hAnsi="Times New Roman" w:cs="Times New Roman"/>
          <w:b/>
          <w:bCs/>
        </w:rPr>
        <w:t>Results</w:t>
      </w:r>
    </w:p>
    <w:p w14:paraId="4C891115">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Pr>
          <w:rFonts w:ascii="Times New Roman" w:hAnsi="Times New Roman" w:cs="Times New Roman"/>
          <w:b/>
          <w:bCs/>
        </w:rPr>
        <w:t xml:space="preserve"> Characteristics of Selected Studies</w:t>
      </w:r>
    </w:p>
    <w:p w14:paraId="4161402D">
      <w:pPr>
        <w:spacing w:line="360" w:lineRule="auto"/>
        <w:jc w:val="both"/>
        <w:rPr>
          <w:rFonts w:ascii="Times New Roman" w:hAnsi="Times New Roman" w:cs="Times New Roman"/>
        </w:rPr>
      </w:pPr>
      <w:r>
        <w:rPr>
          <w:rFonts w:ascii="Times New Roman" w:hAnsi="Times New Roman" w:cs="Times New Roman"/>
        </w:rPr>
        <w:t>The 25 studies selected for synthesis were published between 2019 and 2023, with 19 (76%) published from 2021 onward. Studies originated from 14 countries; the most represented were China (n = 6), the United States (n = 5), Germany (n = 4), and the United Kingdom (n = 3). Collectively, the studies enrolled a combined total of 38,417 participants, with individual sample sizes ranging from 87 to 8,614 participants (median: 924). Retrospective cohort designs were most common (n = 13; 52%), followed by case-control designs (n = 9; 36%) and prospective cohorts (n = 3; 12%). External validation was reported in 11 of the 25 studies (44%). Open-source code was provided in 10 studies (40%), and publicly available datasets were referenced in 9 studies (36%).</w:t>
      </w:r>
    </w:p>
    <w:p w14:paraId="4AE7C741">
      <w:pPr>
        <w:spacing w:line="360" w:lineRule="auto"/>
        <w:jc w:val="both"/>
        <w:rPr>
          <w:rFonts w:ascii="Times New Roman" w:hAnsi="Times New Roman" w:cs="Times New Roman"/>
        </w:rPr>
      </w:pPr>
      <w:r>
        <w:rPr>
          <w:rFonts w:ascii="Times New Roman" w:hAnsi="Times New Roman" w:cs="Times New Roman"/>
        </w:rPr>
        <w:t>Hematological malignancy subtypes represented in the selected studies included AML (n = 21 studies; 84%), MDS (n = 17; 68%), CLL (n = 14; 56%), lymphomas (n = 12; 48%), and multiple myeloma (n = 8; 32%). Nine studies (36%) specifically enrolled clonal hematopoiesis or pre-malignant cohorts as their primary population of interest.</w:t>
      </w:r>
    </w:p>
    <w:p w14:paraId="38D3D856">
      <w:pPr>
        <w:spacing w:after="0"/>
        <w:rPr>
          <w:rFonts w:ascii="Times New Roman" w:hAnsi="Times New Roman" w:cs="Times New Roman"/>
          <w:b/>
          <w:bC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20" w:footer="720" w:gutter="0"/>
          <w:cols w:space="720" w:num="1"/>
        </w:sectPr>
      </w:pPr>
    </w:p>
    <w:p w14:paraId="321F3F46">
      <w:pPr>
        <w:jc w:val="center"/>
      </w:pPr>
      <w:r>
        <w:rPr>
          <w:rFonts w:ascii="Times New Roman" w:hAnsi="Times New Roman" w:eastAsia="Times New Roman" w:cs="Times New Roman"/>
          <w:b/>
          <w:bCs/>
        </w:rPr>
        <w:t>Table 2: Characteristics of 25 Selected Studies</w:t>
      </w:r>
    </w:p>
    <w:tbl>
      <w:tblPr>
        <w:tblStyle w:val="7"/>
        <w:tblW w:w="12967" w:type="dxa"/>
        <w:tblCellSpacing w:w="15" w:type="dxa"/>
        <w:tblInd w:w="0" w:type="dxa"/>
        <w:tblLayout w:type="fixed"/>
        <w:tblCellMar>
          <w:top w:w="15" w:type="dxa"/>
          <w:left w:w="15" w:type="dxa"/>
          <w:bottom w:w="15" w:type="dxa"/>
          <w:right w:w="15" w:type="dxa"/>
        </w:tblCellMar>
      </w:tblPr>
      <w:tblGrid>
        <w:gridCol w:w="378"/>
        <w:gridCol w:w="1672"/>
        <w:gridCol w:w="1320"/>
        <w:gridCol w:w="1473"/>
        <w:gridCol w:w="905"/>
        <w:gridCol w:w="1539"/>
        <w:gridCol w:w="2159"/>
        <w:gridCol w:w="1525"/>
        <w:gridCol w:w="1260"/>
        <w:gridCol w:w="736"/>
      </w:tblGrid>
      <w:tr w14:paraId="5D8A9188">
        <w:tblPrEx>
          <w:tblCellMar>
            <w:top w:w="15" w:type="dxa"/>
            <w:left w:w="15" w:type="dxa"/>
            <w:bottom w:w="15" w:type="dxa"/>
            <w:right w:w="15" w:type="dxa"/>
          </w:tblCellMar>
        </w:tblPrEx>
        <w:trPr>
          <w:trHeight w:val="978" w:hRule="atLeast"/>
          <w:tblHeader/>
          <w:tblCellSpacing w:w="15" w:type="dxa"/>
        </w:trPr>
        <w:tc>
          <w:tcPr>
            <w:tcW w:w="341" w:type="dxa"/>
            <w:vAlign w:val="center"/>
          </w:tcPr>
          <w:p w14:paraId="73CB26B6">
            <w:pPr>
              <w:rPr>
                <w:rFonts w:ascii="Times New Roman" w:hAnsi="Times New Roman" w:eastAsia="Times New Roman" w:cs="Times New Roman"/>
                <w:b/>
                <w:bCs/>
              </w:rPr>
            </w:pPr>
            <w:r>
              <w:rPr>
                <w:rFonts w:ascii="Times New Roman" w:hAnsi="Times New Roman" w:eastAsia="Times New Roman" w:cs="Times New Roman"/>
                <w:b/>
                <w:bCs/>
              </w:rPr>
              <w:t>#</w:t>
            </w:r>
          </w:p>
        </w:tc>
        <w:tc>
          <w:tcPr>
            <w:tcW w:w="1685" w:type="dxa"/>
            <w:vAlign w:val="center"/>
          </w:tcPr>
          <w:p w14:paraId="5398FC7E">
            <w:pPr>
              <w:rPr>
                <w:rFonts w:ascii="Times New Roman" w:hAnsi="Times New Roman" w:eastAsia="Times New Roman" w:cs="Times New Roman"/>
                <w:b/>
                <w:bCs/>
              </w:rPr>
            </w:pPr>
            <w:r>
              <w:rPr>
                <w:rFonts w:ascii="Times New Roman" w:hAnsi="Times New Roman" w:eastAsia="Times New Roman" w:cs="Times New Roman"/>
                <w:b/>
                <w:bCs/>
              </w:rPr>
              <w:t>Author (Year)</w:t>
            </w:r>
          </w:p>
        </w:tc>
        <w:tc>
          <w:tcPr>
            <w:tcW w:w="1324" w:type="dxa"/>
            <w:vAlign w:val="center"/>
          </w:tcPr>
          <w:p w14:paraId="2F1B48AA">
            <w:pPr>
              <w:rPr>
                <w:rFonts w:ascii="Times New Roman" w:hAnsi="Times New Roman" w:eastAsia="Times New Roman" w:cs="Times New Roman"/>
                <w:b/>
                <w:bCs/>
              </w:rPr>
            </w:pPr>
            <w:r>
              <w:rPr>
                <w:rFonts w:ascii="Times New Roman" w:hAnsi="Times New Roman" w:eastAsia="Times New Roman" w:cs="Times New Roman"/>
                <w:b/>
                <w:bCs/>
              </w:rPr>
              <w:t>Country</w:t>
            </w:r>
          </w:p>
        </w:tc>
        <w:tc>
          <w:tcPr>
            <w:tcW w:w="1481" w:type="dxa"/>
            <w:vAlign w:val="center"/>
          </w:tcPr>
          <w:p w14:paraId="44BF61E5">
            <w:pPr>
              <w:rPr>
                <w:rFonts w:ascii="Times New Roman" w:hAnsi="Times New Roman" w:eastAsia="Times New Roman" w:cs="Times New Roman"/>
                <w:b/>
                <w:bCs/>
              </w:rPr>
            </w:pPr>
            <w:r>
              <w:rPr>
                <w:rFonts w:ascii="Times New Roman" w:hAnsi="Times New Roman" w:eastAsia="Times New Roman" w:cs="Times New Roman"/>
                <w:b/>
                <w:bCs/>
              </w:rPr>
              <w:t>Design</w:t>
            </w:r>
          </w:p>
        </w:tc>
        <w:tc>
          <w:tcPr>
            <w:tcW w:w="897" w:type="dxa"/>
            <w:vAlign w:val="center"/>
          </w:tcPr>
          <w:p w14:paraId="7D1B7A9C">
            <w:pPr>
              <w:rPr>
                <w:rFonts w:ascii="Times New Roman" w:hAnsi="Times New Roman" w:eastAsia="Times New Roman" w:cs="Times New Roman"/>
                <w:b/>
                <w:bCs/>
              </w:rPr>
            </w:pPr>
            <w:r>
              <w:rPr>
                <w:rFonts w:ascii="Times New Roman" w:hAnsi="Times New Roman" w:eastAsia="Times New Roman" w:cs="Times New Roman"/>
                <w:b/>
                <w:bCs/>
              </w:rPr>
              <w:t>Sample Size</w:t>
            </w:r>
          </w:p>
        </w:tc>
        <w:tc>
          <w:tcPr>
            <w:tcW w:w="1549" w:type="dxa"/>
            <w:vAlign w:val="center"/>
          </w:tcPr>
          <w:p w14:paraId="223BAC82">
            <w:pPr>
              <w:rPr>
                <w:rFonts w:ascii="Times New Roman" w:hAnsi="Times New Roman" w:eastAsia="Times New Roman" w:cs="Times New Roman"/>
                <w:b/>
                <w:bCs/>
              </w:rPr>
            </w:pPr>
            <w:r>
              <w:rPr>
                <w:rFonts w:ascii="Times New Roman" w:hAnsi="Times New Roman" w:eastAsia="Times New Roman" w:cs="Times New Roman"/>
                <w:b/>
                <w:bCs/>
              </w:rPr>
              <w:t>Malignancy Type</w:t>
            </w:r>
          </w:p>
        </w:tc>
        <w:tc>
          <w:tcPr>
            <w:tcW w:w="2186" w:type="dxa"/>
            <w:vAlign w:val="center"/>
          </w:tcPr>
          <w:p w14:paraId="6655B830">
            <w:pPr>
              <w:rPr>
                <w:rFonts w:ascii="Times New Roman" w:hAnsi="Times New Roman" w:eastAsia="Times New Roman" w:cs="Times New Roman"/>
                <w:b/>
                <w:bCs/>
              </w:rPr>
            </w:pPr>
            <w:r>
              <w:rPr>
                <w:rFonts w:ascii="Times New Roman" w:hAnsi="Times New Roman" w:eastAsia="Times New Roman" w:cs="Times New Roman"/>
                <w:b/>
                <w:bCs/>
              </w:rPr>
              <w:t>Feature Domains</w:t>
            </w:r>
          </w:p>
        </w:tc>
        <w:tc>
          <w:tcPr>
            <w:tcW w:w="1534" w:type="dxa"/>
            <w:vAlign w:val="center"/>
          </w:tcPr>
          <w:p w14:paraId="0187F5CA">
            <w:pPr>
              <w:rPr>
                <w:rFonts w:ascii="Times New Roman" w:hAnsi="Times New Roman" w:eastAsia="Times New Roman" w:cs="Times New Roman"/>
                <w:b/>
                <w:bCs/>
              </w:rPr>
            </w:pPr>
            <w:r>
              <w:rPr>
                <w:rFonts w:ascii="Times New Roman" w:hAnsi="Times New Roman" w:eastAsia="Times New Roman" w:cs="Times New Roman"/>
                <w:b/>
                <w:bCs/>
              </w:rPr>
              <w:t>Algorithm(s)</w:t>
            </w:r>
          </w:p>
        </w:tc>
        <w:tc>
          <w:tcPr>
            <w:tcW w:w="1262" w:type="dxa"/>
            <w:vAlign w:val="center"/>
          </w:tcPr>
          <w:p w14:paraId="57ECEC85">
            <w:pPr>
              <w:rPr>
                <w:rFonts w:ascii="Times New Roman" w:hAnsi="Times New Roman" w:eastAsia="Times New Roman" w:cs="Times New Roman"/>
                <w:b/>
                <w:bCs/>
              </w:rPr>
            </w:pPr>
            <w:r>
              <w:rPr>
                <w:rFonts w:ascii="Times New Roman" w:hAnsi="Times New Roman" w:eastAsia="Times New Roman" w:cs="Times New Roman"/>
                <w:b/>
                <w:bCs/>
              </w:rPr>
              <w:t>External Validation</w:t>
            </w:r>
          </w:p>
        </w:tc>
        <w:tc>
          <w:tcPr>
            <w:tcW w:w="708" w:type="dxa"/>
            <w:vAlign w:val="center"/>
          </w:tcPr>
          <w:p w14:paraId="373A959E">
            <w:pPr>
              <w:rPr>
                <w:rFonts w:ascii="Times New Roman" w:hAnsi="Times New Roman" w:eastAsia="Times New Roman" w:cs="Times New Roman"/>
                <w:b/>
                <w:bCs/>
              </w:rPr>
            </w:pPr>
            <w:r>
              <w:rPr>
                <w:rFonts w:ascii="Times New Roman" w:hAnsi="Times New Roman" w:eastAsia="Times New Roman" w:cs="Times New Roman"/>
                <w:b/>
                <w:bCs/>
              </w:rPr>
              <w:t>Best AUC-ROC</w:t>
            </w:r>
          </w:p>
        </w:tc>
      </w:tr>
      <w:tr w14:paraId="0FEA8AC7">
        <w:tblPrEx>
          <w:tblCellMar>
            <w:top w:w="15" w:type="dxa"/>
            <w:left w:w="15" w:type="dxa"/>
            <w:bottom w:w="15" w:type="dxa"/>
            <w:right w:w="15" w:type="dxa"/>
          </w:tblCellMar>
        </w:tblPrEx>
        <w:trPr>
          <w:trHeight w:val="720" w:hRule="atLeast"/>
          <w:tblCellSpacing w:w="15" w:type="dxa"/>
        </w:trPr>
        <w:tc>
          <w:tcPr>
            <w:tcW w:w="341" w:type="dxa"/>
            <w:vAlign w:val="center"/>
          </w:tcPr>
          <w:p w14:paraId="27FE0505">
            <w:pPr>
              <w:rPr>
                <w:rFonts w:ascii="Times New Roman" w:hAnsi="Times New Roman" w:eastAsia="Times New Roman" w:cs="Times New Roman"/>
              </w:rPr>
            </w:pPr>
            <w:r>
              <w:rPr>
                <w:rFonts w:ascii="Times New Roman" w:hAnsi="Times New Roman" w:eastAsia="Times New Roman" w:cs="Times New Roman"/>
              </w:rPr>
              <w:t>1</w:t>
            </w:r>
          </w:p>
        </w:tc>
        <w:tc>
          <w:tcPr>
            <w:tcW w:w="1685" w:type="dxa"/>
            <w:vAlign w:val="center"/>
          </w:tcPr>
          <w:p w14:paraId="571358E5">
            <w:pPr>
              <w:rPr>
                <w:rFonts w:ascii="Times New Roman" w:hAnsi="Times New Roman" w:eastAsia="Times New Roman" w:cs="Times New Roman"/>
              </w:rPr>
            </w:pPr>
            <w:r>
              <w:rPr>
                <w:rFonts w:ascii="Times New Roman" w:hAnsi="Times New Roman" w:eastAsia="Times New Roman" w:cs="Times New Roman"/>
              </w:rPr>
              <w:t>Abdelaal et al. (2019)</w:t>
            </w:r>
          </w:p>
        </w:tc>
        <w:tc>
          <w:tcPr>
            <w:tcW w:w="1324" w:type="dxa"/>
            <w:vAlign w:val="center"/>
          </w:tcPr>
          <w:p w14:paraId="1C463F5B">
            <w:pPr>
              <w:rPr>
                <w:rFonts w:ascii="Times New Roman" w:hAnsi="Times New Roman" w:eastAsia="Times New Roman" w:cs="Times New Roman"/>
              </w:rPr>
            </w:pPr>
            <w:r>
              <w:rPr>
                <w:rFonts w:ascii="Times New Roman" w:hAnsi="Times New Roman" w:eastAsia="Times New Roman" w:cs="Times New Roman"/>
              </w:rPr>
              <w:t>Netherlands</w:t>
            </w:r>
          </w:p>
        </w:tc>
        <w:tc>
          <w:tcPr>
            <w:tcW w:w="1481" w:type="dxa"/>
            <w:vAlign w:val="center"/>
          </w:tcPr>
          <w:p w14:paraId="4DF94AB1">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6FB350D3">
            <w:pPr>
              <w:rPr>
                <w:rFonts w:ascii="Times New Roman" w:hAnsi="Times New Roman" w:eastAsia="Times New Roman" w:cs="Times New Roman"/>
              </w:rPr>
            </w:pPr>
            <w:r>
              <w:rPr>
                <w:rFonts w:ascii="Times New Roman" w:hAnsi="Times New Roman" w:eastAsia="Times New Roman" w:cs="Times New Roman"/>
              </w:rPr>
              <w:t>310</w:t>
            </w:r>
          </w:p>
        </w:tc>
        <w:tc>
          <w:tcPr>
            <w:tcW w:w="1549" w:type="dxa"/>
            <w:vAlign w:val="center"/>
          </w:tcPr>
          <w:p w14:paraId="4D309767">
            <w:pPr>
              <w:rPr>
                <w:rFonts w:ascii="Times New Roman" w:hAnsi="Times New Roman" w:eastAsia="Times New Roman" w:cs="Times New Roman"/>
              </w:rPr>
            </w:pPr>
            <w:r>
              <w:rPr>
                <w:rFonts w:ascii="Times New Roman" w:hAnsi="Times New Roman" w:eastAsia="Times New Roman" w:cs="Times New Roman"/>
              </w:rPr>
              <w:t>Mixed hematological</w:t>
            </w:r>
          </w:p>
        </w:tc>
        <w:tc>
          <w:tcPr>
            <w:tcW w:w="2186" w:type="dxa"/>
            <w:vAlign w:val="center"/>
          </w:tcPr>
          <w:p w14:paraId="5C2D21DC">
            <w:pPr>
              <w:rPr>
                <w:rFonts w:ascii="Times New Roman" w:hAnsi="Times New Roman" w:eastAsia="Times New Roman" w:cs="Times New Roman"/>
              </w:rPr>
            </w:pPr>
            <w:r>
              <w:rPr>
                <w:rFonts w:ascii="Times New Roman" w:hAnsi="Times New Roman" w:eastAsia="Times New Roman" w:cs="Times New Roman"/>
              </w:rPr>
              <w:t>Immunophenotypic</w:t>
            </w:r>
          </w:p>
        </w:tc>
        <w:tc>
          <w:tcPr>
            <w:tcW w:w="1534" w:type="dxa"/>
            <w:vAlign w:val="center"/>
          </w:tcPr>
          <w:p w14:paraId="4A78CDC9">
            <w:pPr>
              <w:rPr>
                <w:rFonts w:ascii="Times New Roman" w:hAnsi="Times New Roman" w:eastAsia="Times New Roman" w:cs="Times New Roman"/>
              </w:rPr>
            </w:pPr>
            <w:r>
              <w:rPr>
                <w:rFonts w:ascii="Times New Roman" w:hAnsi="Times New Roman" w:eastAsia="Times New Roman" w:cs="Times New Roman"/>
              </w:rPr>
              <w:t>RF, SVM, ANN</w:t>
            </w:r>
          </w:p>
        </w:tc>
        <w:tc>
          <w:tcPr>
            <w:tcW w:w="1262" w:type="dxa"/>
            <w:vAlign w:val="center"/>
          </w:tcPr>
          <w:p w14:paraId="177B8232">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783E7A66">
            <w:pPr>
              <w:rPr>
                <w:rFonts w:ascii="Times New Roman" w:hAnsi="Times New Roman" w:eastAsia="Times New Roman" w:cs="Times New Roman"/>
              </w:rPr>
            </w:pPr>
            <w:r>
              <w:rPr>
                <w:rFonts w:ascii="Times New Roman" w:hAnsi="Times New Roman" w:eastAsia="Times New Roman" w:cs="Times New Roman"/>
              </w:rPr>
              <w:t>0.882</w:t>
            </w:r>
          </w:p>
        </w:tc>
      </w:tr>
      <w:tr w14:paraId="32252FD6">
        <w:tblPrEx>
          <w:tblCellMar>
            <w:top w:w="15" w:type="dxa"/>
            <w:left w:w="15" w:type="dxa"/>
            <w:bottom w:w="15" w:type="dxa"/>
            <w:right w:w="15" w:type="dxa"/>
          </w:tblCellMar>
        </w:tblPrEx>
        <w:trPr>
          <w:trHeight w:val="720" w:hRule="atLeast"/>
          <w:tblCellSpacing w:w="15" w:type="dxa"/>
        </w:trPr>
        <w:tc>
          <w:tcPr>
            <w:tcW w:w="341" w:type="dxa"/>
            <w:vAlign w:val="center"/>
          </w:tcPr>
          <w:p w14:paraId="33DAA12D">
            <w:pPr>
              <w:rPr>
                <w:rFonts w:ascii="Times New Roman" w:hAnsi="Times New Roman" w:eastAsia="Times New Roman" w:cs="Times New Roman"/>
              </w:rPr>
            </w:pPr>
            <w:r>
              <w:rPr>
                <w:rFonts w:ascii="Times New Roman" w:hAnsi="Times New Roman" w:eastAsia="Times New Roman" w:cs="Times New Roman"/>
              </w:rPr>
              <w:t>2</w:t>
            </w:r>
          </w:p>
        </w:tc>
        <w:tc>
          <w:tcPr>
            <w:tcW w:w="1685" w:type="dxa"/>
            <w:vAlign w:val="center"/>
          </w:tcPr>
          <w:p w14:paraId="65660D9E">
            <w:pPr>
              <w:rPr>
                <w:rFonts w:ascii="Times New Roman" w:hAnsi="Times New Roman" w:eastAsia="Times New Roman" w:cs="Times New Roman"/>
              </w:rPr>
            </w:pPr>
            <w:r>
              <w:rPr>
                <w:rFonts w:ascii="Times New Roman" w:hAnsi="Times New Roman" w:eastAsia="Times New Roman" w:cs="Times New Roman"/>
              </w:rPr>
              <w:t>Bolocan et al. (2023)</w:t>
            </w:r>
          </w:p>
        </w:tc>
        <w:tc>
          <w:tcPr>
            <w:tcW w:w="1324" w:type="dxa"/>
            <w:vAlign w:val="center"/>
          </w:tcPr>
          <w:p w14:paraId="1725512D">
            <w:pPr>
              <w:rPr>
                <w:rFonts w:ascii="Times New Roman" w:hAnsi="Times New Roman" w:eastAsia="Times New Roman" w:cs="Times New Roman"/>
              </w:rPr>
            </w:pPr>
            <w:r>
              <w:rPr>
                <w:rFonts w:ascii="Times New Roman" w:hAnsi="Times New Roman" w:eastAsia="Times New Roman" w:cs="Times New Roman"/>
              </w:rPr>
              <w:t>Romania</w:t>
            </w:r>
          </w:p>
        </w:tc>
        <w:tc>
          <w:tcPr>
            <w:tcW w:w="1481" w:type="dxa"/>
            <w:vAlign w:val="center"/>
          </w:tcPr>
          <w:p w14:paraId="0DA7D89C">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7B2D810E">
            <w:pPr>
              <w:rPr>
                <w:rFonts w:ascii="Times New Roman" w:hAnsi="Times New Roman" w:eastAsia="Times New Roman" w:cs="Times New Roman"/>
              </w:rPr>
            </w:pPr>
            <w:r>
              <w:rPr>
                <w:rFonts w:ascii="Times New Roman" w:hAnsi="Times New Roman" w:eastAsia="Times New Roman" w:cs="Times New Roman"/>
              </w:rPr>
              <w:t>541</w:t>
            </w:r>
          </w:p>
        </w:tc>
        <w:tc>
          <w:tcPr>
            <w:tcW w:w="1549" w:type="dxa"/>
            <w:vAlign w:val="center"/>
          </w:tcPr>
          <w:p w14:paraId="1BBCF29F">
            <w:pPr>
              <w:rPr>
                <w:rFonts w:ascii="Times New Roman" w:hAnsi="Times New Roman" w:eastAsia="Times New Roman" w:cs="Times New Roman"/>
              </w:rPr>
            </w:pPr>
            <w:r>
              <w:rPr>
                <w:rFonts w:ascii="Times New Roman" w:hAnsi="Times New Roman" w:eastAsia="Times New Roman" w:cs="Times New Roman"/>
              </w:rPr>
              <w:t>AML, MDS</w:t>
            </w:r>
          </w:p>
        </w:tc>
        <w:tc>
          <w:tcPr>
            <w:tcW w:w="2186" w:type="dxa"/>
            <w:vAlign w:val="center"/>
          </w:tcPr>
          <w:p w14:paraId="3AB46D0B">
            <w:pPr>
              <w:rPr>
                <w:rFonts w:ascii="Times New Roman" w:hAnsi="Times New Roman" w:eastAsia="Times New Roman" w:cs="Times New Roman"/>
              </w:rPr>
            </w:pPr>
            <w:r>
              <w:rPr>
                <w:rFonts w:ascii="Times New Roman" w:hAnsi="Times New Roman" w:eastAsia="Times New Roman" w:cs="Times New Roman"/>
              </w:rPr>
              <w:t>Morphological, Genetic</w:t>
            </w:r>
          </w:p>
        </w:tc>
        <w:tc>
          <w:tcPr>
            <w:tcW w:w="1534" w:type="dxa"/>
            <w:vAlign w:val="center"/>
          </w:tcPr>
          <w:p w14:paraId="36C80A13">
            <w:pPr>
              <w:rPr>
                <w:rFonts w:ascii="Times New Roman" w:hAnsi="Times New Roman" w:eastAsia="Times New Roman" w:cs="Times New Roman"/>
              </w:rPr>
            </w:pPr>
            <w:r>
              <w:rPr>
                <w:rFonts w:ascii="Times New Roman" w:hAnsi="Times New Roman" w:eastAsia="Times New Roman" w:cs="Times New Roman"/>
              </w:rPr>
              <w:t>RF, XGBoost</w:t>
            </w:r>
          </w:p>
        </w:tc>
        <w:tc>
          <w:tcPr>
            <w:tcW w:w="1262" w:type="dxa"/>
            <w:vAlign w:val="center"/>
          </w:tcPr>
          <w:p w14:paraId="333754E4">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6CC08E6F">
            <w:pPr>
              <w:rPr>
                <w:rFonts w:ascii="Times New Roman" w:hAnsi="Times New Roman" w:eastAsia="Times New Roman" w:cs="Times New Roman"/>
              </w:rPr>
            </w:pPr>
            <w:r>
              <w:rPr>
                <w:rFonts w:ascii="Times New Roman" w:hAnsi="Times New Roman" w:eastAsia="Times New Roman" w:cs="Times New Roman"/>
              </w:rPr>
              <w:t>0.903</w:t>
            </w:r>
          </w:p>
        </w:tc>
      </w:tr>
      <w:tr w14:paraId="59311437">
        <w:tblPrEx>
          <w:tblCellMar>
            <w:top w:w="15" w:type="dxa"/>
            <w:left w:w="15" w:type="dxa"/>
            <w:bottom w:w="15" w:type="dxa"/>
            <w:right w:w="15" w:type="dxa"/>
          </w:tblCellMar>
        </w:tblPrEx>
        <w:trPr>
          <w:trHeight w:val="720" w:hRule="atLeast"/>
          <w:tblCellSpacing w:w="15" w:type="dxa"/>
        </w:trPr>
        <w:tc>
          <w:tcPr>
            <w:tcW w:w="341" w:type="dxa"/>
            <w:vAlign w:val="center"/>
          </w:tcPr>
          <w:p w14:paraId="57A8F3CA">
            <w:pPr>
              <w:rPr>
                <w:rFonts w:ascii="Times New Roman" w:hAnsi="Times New Roman" w:eastAsia="Times New Roman" w:cs="Times New Roman"/>
              </w:rPr>
            </w:pPr>
            <w:r>
              <w:rPr>
                <w:rFonts w:ascii="Times New Roman" w:hAnsi="Times New Roman" w:eastAsia="Times New Roman" w:cs="Times New Roman"/>
              </w:rPr>
              <w:t>3</w:t>
            </w:r>
          </w:p>
        </w:tc>
        <w:tc>
          <w:tcPr>
            <w:tcW w:w="1685" w:type="dxa"/>
            <w:vAlign w:val="center"/>
          </w:tcPr>
          <w:p w14:paraId="079D7E6D">
            <w:pPr>
              <w:rPr>
                <w:rFonts w:ascii="Times New Roman" w:hAnsi="Times New Roman" w:eastAsia="Times New Roman" w:cs="Times New Roman"/>
              </w:rPr>
            </w:pPr>
            <w:r>
              <w:rPr>
                <w:rFonts w:ascii="Times New Roman" w:hAnsi="Times New Roman" w:eastAsia="Times New Roman" w:cs="Times New Roman"/>
              </w:rPr>
              <w:t>Baysoy et al. (2023)</w:t>
            </w:r>
          </w:p>
        </w:tc>
        <w:tc>
          <w:tcPr>
            <w:tcW w:w="1324" w:type="dxa"/>
            <w:vAlign w:val="center"/>
          </w:tcPr>
          <w:p w14:paraId="4007E09B">
            <w:pPr>
              <w:rPr>
                <w:rFonts w:ascii="Times New Roman" w:hAnsi="Times New Roman" w:eastAsia="Times New Roman" w:cs="Times New Roman"/>
              </w:rPr>
            </w:pPr>
            <w:r>
              <w:rPr>
                <w:rFonts w:ascii="Times New Roman" w:hAnsi="Times New Roman" w:eastAsia="Times New Roman" w:cs="Times New Roman"/>
              </w:rPr>
              <w:t>USA</w:t>
            </w:r>
          </w:p>
        </w:tc>
        <w:tc>
          <w:tcPr>
            <w:tcW w:w="1481" w:type="dxa"/>
            <w:vAlign w:val="center"/>
          </w:tcPr>
          <w:p w14:paraId="09407F51">
            <w:pPr>
              <w:rPr>
                <w:rFonts w:ascii="Times New Roman" w:hAnsi="Times New Roman" w:eastAsia="Times New Roman" w:cs="Times New Roman"/>
              </w:rPr>
            </w:pPr>
            <w:r>
              <w:rPr>
                <w:rFonts w:ascii="Times New Roman" w:hAnsi="Times New Roman" w:eastAsia="Times New Roman" w:cs="Times New Roman"/>
              </w:rPr>
              <w:t>Prospective</w:t>
            </w:r>
          </w:p>
        </w:tc>
        <w:tc>
          <w:tcPr>
            <w:tcW w:w="897" w:type="dxa"/>
            <w:vAlign w:val="center"/>
          </w:tcPr>
          <w:p w14:paraId="0A60F436">
            <w:pPr>
              <w:rPr>
                <w:rFonts w:ascii="Times New Roman" w:hAnsi="Times New Roman" w:eastAsia="Times New Roman" w:cs="Times New Roman"/>
              </w:rPr>
            </w:pPr>
            <w:r>
              <w:rPr>
                <w:rFonts w:ascii="Times New Roman" w:hAnsi="Times New Roman" w:eastAsia="Times New Roman" w:cs="Times New Roman"/>
              </w:rPr>
              <w:t>1,204</w:t>
            </w:r>
          </w:p>
        </w:tc>
        <w:tc>
          <w:tcPr>
            <w:tcW w:w="1549" w:type="dxa"/>
            <w:vAlign w:val="center"/>
          </w:tcPr>
          <w:p w14:paraId="44856E6B">
            <w:pPr>
              <w:rPr>
                <w:rFonts w:ascii="Times New Roman" w:hAnsi="Times New Roman" w:eastAsia="Times New Roman" w:cs="Times New Roman"/>
              </w:rPr>
            </w:pPr>
            <w:r>
              <w:rPr>
                <w:rFonts w:ascii="Times New Roman" w:hAnsi="Times New Roman" w:eastAsia="Times New Roman" w:cs="Times New Roman"/>
              </w:rPr>
              <w:t>Mixed hematological</w:t>
            </w:r>
          </w:p>
        </w:tc>
        <w:tc>
          <w:tcPr>
            <w:tcW w:w="2186" w:type="dxa"/>
            <w:vAlign w:val="center"/>
          </w:tcPr>
          <w:p w14:paraId="4DE9DE8E">
            <w:pPr>
              <w:rPr>
                <w:rFonts w:ascii="Times New Roman" w:hAnsi="Times New Roman" w:eastAsia="Times New Roman" w:cs="Times New Roman"/>
              </w:rPr>
            </w:pPr>
            <w:r>
              <w:rPr>
                <w:rFonts w:ascii="Times New Roman" w:hAnsi="Times New Roman" w:eastAsia="Times New Roman" w:cs="Times New Roman"/>
              </w:rPr>
              <w:t>Multi-omics (4 domains)</w:t>
            </w:r>
          </w:p>
        </w:tc>
        <w:tc>
          <w:tcPr>
            <w:tcW w:w="1534" w:type="dxa"/>
            <w:vAlign w:val="center"/>
          </w:tcPr>
          <w:p w14:paraId="200BC5B4">
            <w:pPr>
              <w:rPr>
                <w:rFonts w:ascii="Times New Roman" w:hAnsi="Times New Roman" w:eastAsia="Times New Roman" w:cs="Times New Roman"/>
              </w:rPr>
            </w:pPr>
            <w:r>
              <w:rPr>
                <w:rFonts w:ascii="Times New Roman" w:hAnsi="Times New Roman" w:eastAsia="Times New Roman" w:cs="Times New Roman"/>
              </w:rPr>
              <w:t>DL, Ensemble</w:t>
            </w:r>
          </w:p>
        </w:tc>
        <w:tc>
          <w:tcPr>
            <w:tcW w:w="1262" w:type="dxa"/>
            <w:vAlign w:val="center"/>
          </w:tcPr>
          <w:p w14:paraId="7EAC553E">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344F16F9">
            <w:pPr>
              <w:rPr>
                <w:rFonts w:ascii="Times New Roman" w:hAnsi="Times New Roman" w:eastAsia="Times New Roman" w:cs="Times New Roman"/>
              </w:rPr>
            </w:pPr>
            <w:r>
              <w:rPr>
                <w:rFonts w:ascii="Times New Roman" w:hAnsi="Times New Roman" w:eastAsia="Times New Roman" w:cs="Times New Roman"/>
              </w:rPr>
              <w:t>0.924</w:t>
            </w:r>
          </w:p>
        </w:tc>
      </w:tr>
      <w:tr w14:paraId="15DF90E2">
        <w:tblPrEx>
          <w:tblCellMar>
            <w:top w:w="15" w:type="dxa"/>
            <w:left w:w="15" w:type="dxa"/>
            <w:bottom w:w="15" w:type="dxa"/>
            <w:right w:w="15" w:type="dxa"/>
          </w:tblCellMar>
        </w:tblPrEx>
        <w:trPr>
          <w:trHeight w:val="720" w:hRule="atLeast"/>
          <w:tblCellSpacing w:w="15" w:type="dxa"/>
        </w:trPr>
        <w:tc>
          <w:tcPr>
            <w:tcW w:w="341" w:type="dxa"/>
            <w:vAlign w:val="center"/>
          </w:tcPr>
          <w:p w14:paraId="4AE15FF1">
            <w:pPr>
              <w:rPr>
                <w:rFonts w:ascii="Times New Roman" w:hAnsi="Times New Roman" w:eastAsia="Times New Roman" w:cs="Times New Roman"/>
              </w:rPr>
            </w:pPr>
            <w:r>
              <w:rPr>
                <w:rFonts w:ascii="Times New Roman" w:hAnsi="Times New Roman" w:eastAsia="Times New Roman" w:cs="Times New Roman"/>
              </w:rPr>
              <w:t>4</w:t>
            </w:r>
          </w:p>
        </w:tc>
        <w:tc>
          <w:tcPr>
            <w:tcW w:w="1685" w:type="dxa"/>
            <w:vAlign w:val="center"/>
          </w:tcPr>
          <w:p w14:paraId="432A71D9">
            <w:pPr>
              <w:rPr>
                <w:rFonts w:ascii="Times New Roman" w:hAnsi="Times New Roman" w:eastAsia="Times New Roman" w:cs="Times New Roman"/>
              </w:rPr>
            </w:pPr>
            <w:r>
              <w:rPr>
                <w:rFonts w:ascii="Times New Roman" w:hAnsi="Times New Roman" w:eastAsia="Times New Roman" w:cs="Times New Roman"/>
              </w:rPr>
              <w:t>Chakraborty et al. (2023)</w:t>
            </w:r>
          </w:p>
        </w:tc>
        <w:tc>
          <w:tcPr>
            <w:tcW w:w="1324" w:type="dxa"/>
            <w:vAlign w:val="center"/>
          </w:tcPr>
          <w:p w14:paraId="4E5E6EBE">
            <w:pPr>
              <w:rPr>
                <w:rFonts w:ascii="Times New Roman" w:hAnsi="Times New Roman" w:eastAsia="Times New Roman" w:cs="Times New Roman"/>
              </w:rPr>
            </w:pPr>
            <w:r>
              <w:rPr>
                <w:rFonts w:ascii="Times New Roman" w:hAnsi="Times New Roman" w:eastAsia="Times New Roman" w:cs="Times New Roman"/>
              </w:rPr>
              <w:t>India</w:t>
            </w:r>
          </w:p>
        </w:tc>
        <w:tc>
          <w:tcPr>
            <w:tcW w:w="1481" w:type="dxa"/>
            <w:vAlign w:val="center"/>
          </w:tcPr>
          <w:p w14:paraId="17CB51DB">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6E10086F">
            <w:pPr>
              <w:rPr>
                <w:rFonts w:ascii="Times New Roman" w:hAnsi="Times New Roman" w:eastAsia="Times New Roman" w:cs="Times New Roman"/>
              </w:rPr>
            </w:pPr>
            <w:r>
              <w:rPr>
                <w:rFonts w:ascii="Times New Roman" w:hAnsi="Times New Roman" w:eastAsia="Times New Roman" w:cs="Times New Roman"/>
              </w:rPr>
              <w:t>487</w:t>
            </w:r>
          </w:p>
        </w:tc>
        <w:tc>
          <w:tcPr>
            <w:tcW w:w="1549" w:type="dxa"/>
            <w:vAlign w:val="center"/>
          </w:tcPr>
          <w:p w14:paraId="78208E45">
            <w:pPr>
              <w:rPr>
                <w:rFonts w:ascii="Times New Roman" w:hAnsi="Times New Roman" w:eastAsia="Times New Roman" w:cs="Times New Roman"/>
              </w:rPr>
            </w:pPr>
            <w:r>
              <w:rPr>
                <w:rFonts w:ascii="Times New Roman" w:hAnsi="Times New Roman" w:eastAsia="Times New Roman" w:cs="Times New Roman"/>
              </w:rPr>
              <w:t>AML, CLL</w:t>
            </w:r>
          </w:p>
        </w:tc>
        <w:tc>
          <w:tcPr>
            <w:tcW w:w="2186" w:type="dxa"/>
            <w:vAlign w:val="center"/>
          </w:tcPr>
          <w:p w14:paraId="13FEE854">
            <w:pPr>
              <w:rPr>
                <w:rFonts w:ascii="Times New Roman" w:hAnsi="Times New Roman" w:eastAsia="Times New Roman" w:cs="Times New Roman"/>
              </w:rPr>
            </w:pPr>
            <w:r>
              <w:rPr>
                <w:rFonts w:ascii="Times New Roman" w:hAnsi="Times New Roman" w:eastAsia="Times New Roman" w:cs="Times New Roman"/>
              </w:rPr>
              <w:t>Genetic, Epigenetic</w:t>
            </w:r>
          </w:p>
        </w:tc>
        <w:tc>
          <w:tcPr>
            <w:tcW w:w="1534" w:type="dxa"/>
            <w:vAlign w:val="center"/>
          </w:tcPr>
          <w:p w14:paraId="35238A5A">
            <w:pPr>
              <w:rPr>
                <w:rFonts w:ascii="Times New Roman" w:hAnsi="Times New Roman" w:eastAsia="Times New Roman" w:cs="Times New Roman"/>
              </w:rPr>
            </w:pPr>
            <w:r>
              <w:rPr>
                <w:rFonts w:ascii="Times New Roman" w:hAnsi="Times New Roman" w:eastAsia="Times New Roman" w:cs="Times New Roman"/>
              </w:rPr>
              <w:t>RF, SVM</w:t>
            </w:r>
          </w:p>
        </w:tc>
        <w:tc>
          <w:tcPr>
            <w:tcW w:w="1262" w:type="dxa"/>
            <w:vAlign w:val="center"/>
          </w:tcPr>
          <w:p w14:paraId="2F7F5C23">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43FE8275">
            <w:pPr>
              <w:rPr>
                <w:rFonts w:ascii="Times New Roman" w:hAnsi="Times New Roman" w:eastAsia="Times New Roman" w:cs="Times New Roman"/>
              </w:rPr>
            </w:pPr>
            <w:r>
              <w:rPr>
                <w:rFonts w:ascii="Times New Roman" w:hAnsi="Times New Roman" w:eastAsia="Times New Roman" w:cs="Times New Roman"/>
              </w:rPr>
              <w:t>0.871</w:t>
            </w:r>
          </w:p>
        </w:tc>
      </w:tr>
      <w:tr w14:paraId="4AF55DBE">
        <w:tblPrEx>
          <w:tblCellMar>
            <w:top w:w="15" w:type="dxa"/>
            <w:left w:w="15" w:type="dxa"/>
            <w:bottom w:w="15" w:type="dxa"/>
            <w:right w:w="15" w:type="dxa"/>
          </w:tblCellMar>
        </w:tblPrEx>
        <w:trPr>
          <w:trHeight w:val="720" w:hRule="atLeast"/>
          <w:tblCellSpacing w:w="15" w:type="dxa"/>
        </w:trPr>
        <w:tc>
          <w:tcPr>
            <w:tcW w:w="341" w:type="dxa"/>
            <w:vAlign w:val="center"/>
          </w:tcPr>
          <w:p w14:paraId="3CC5E16E">
            <w:pPr>
              <w:rPr>
                <w:rFonts w:ascii="Times New Roman" w:hAnsi="Times New Roman" w:eastAsia="Times New Roman" w:cs="Times New Roman"/>
              </w:rPr>
            </w:pPr>
            <w:r>
              <w:rPr>
                <w:rFonts w:ascii="Times New Roman" w:hAnsi="Times New Roman" w:eastAsia="Times New Roman" w:cs="Times New Roman"/>
              </w:rPr>
              <w:t>5</w:t>
            </w:r>
          </w:p>
        </w:tc>
        <w:tc>
          <w:tcPr>
            <w:tcW w:w="1685" w:type="dxa"/>
            <w:vAlign w:val="center"/>
          </w:tcPr>
          <w:p w14:paraId="0E65FCB3">
            <w:pPr>
              <w:rPr>
                <w:rFonts w:ascii="Times New Roman" w:hAnsi="Times New Roman" w:eastAsia="Times New Roman" w:cs="Times New Roman"/>
              </w:rPr>
            </w:pPr>
            <w:r>
              <w:rPr>
                <w:rFonts w:ascii="Times New Roman" w:hAnsi="Times New Roman" w:eastAsia="Times New Roman" w:cs="Times New Roman"/>
              </w:rPr>
              <w:t>Chen et al. (2022)</w:t>
            </w:r>
          </w:p>
        </w:tc>
        <w:tc>
          <w:tcPr>
            <w:tcW w:w="1324" w:type="dxa"/>
            <w:vAlign w:val="center"/>
          </w:tcPr>
          <w:p w14:paraId="799C1A4B">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74A9A315">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2AE255F0">
            <w:pPr>
              <w:rPr>
                <w:rFonts w:ascii="Times New Roman" w:hAnsi="Times New Roman" w:eastAsia="Times New Roman" w:cs="Times New Roman"/>
              </w:rPr>
            </w:pPr>
            <w:r>
              <w:rPr>
                <w:rFonts w:ascii="Times New Roman" w:hAnsi="Times New Roman" w:eastAsia="Times New Roman" w:cs="Times New Roman"/>
              </w:rPr>
              <w:t>762</w:t>
            </w:r>
          </w:p>
        </w:tc>
        <w:tc>
          <w:tcPr>
            <w:tcW w:w="1549" w:type="dxa"/>
            <w:vAlign w:val="center"/>
          </w:tcPr>
          <w:p w14:paraId="4807B506">
            <w:pPr>
              <w:rPr>
                <w:rFonts w:ascii="Times New Roman" w:hAnsi="Times New Roman" w:eastAsia="Times New Roman" w:cs="Times New Roman"/>
              </w:rPr>
            </w:pPr>
            <w:r>
              <w:rPr>
                <w:rFonts w:ascii="Times New Roman" w:hAnsi="Times New Roman" w:eastAsia="Times New Roman" w:cs="Times New Roman"/>
              </w:rPr>
              <w:t>DLBCL</w:t>
            </w:r>
          </w:p>
        </w:tc>
        <w:tc>
          <w:tcPr>
            <w:tcW w:w="2186" w:type="dxa"/>
            <w:vAlign w:val="center"/>
          </w:tcPr>
          <w:p w14:paraId="6AB8830A">
            <w:pPr>
              <w:rPr>
                <w:rFonts w:ascii="Times New Roman" w:hAnsi="Times New Roman" w:eastAsia="Times New Roman" w:cs="Times New Roman"/>
              </w:rPr>
            </w:pPr>
            <w:r>
              <w:rPr>
                <w:rFonts w:ascii="Times New Roman" w:hAnsi="Times New Roman" w:eastAsia="Times New Roman" w:cs="Times New Roman"/>
              </w:rPr>
              <w:t>Morphological, Imaging</w:t>
            </w:r>
          </w:p>
        </w:tc>
        <w:tc>
          <w:tcPr>
            <w:tcW w:w="1534" w:type="dxa"/>
            <w:vAlign w:val="center"/>
          </w:tcPr>
          <w:p w14:paraId="43880AFF">
            <w:pPr>
              <w:rPr>
                <w:rFonts w:ascii="Times New Roman" w:hAnsi="Times New Roman" w:eastAsia="Times New Roman" w:cs="Times New Roman"/>
              </w:rPr>
            </w:pPr>
            <w:r>
              <w:rPr>
                <w:rFonts w:ascii="Times New Roman" w:hAnsi="Times New Roman" w:eastAsia="Times New Roman" w:cs="Times New Roman"/>
              </w:rPr>
              <w:t>CNN</w:t>
            </w:r>
          </w:p>
        </w:tc>
        <w:tc>
          <w:tcPr>
            <w:tcW w:w="1262" w:type="dxa"/>
            <w:vAlign w:val="center"/>
          </w:tcPr>
          <w:p w14:paraId="551AB5D9">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7CBF1E2B">
            <w:pPr>
              <w:rPr>
                <w:rFonts w:ascii="Times New Roman" w:hAnsi="Times New Roman" w:eastAsia="Times New Roman" w:cs="Times New Roman"/>
              </w:rPr>
            </w:pPr>
            <w:r>
              <w:rPr>
                <w:rFonts w:ascii="Times New Roman" w:hAnsi="Times New Roman" w:eastAsia="Times New Roman" w:cs="Times New Roman"/>
              </w:rPr>
              <w:t>0.891</w:t>
            </w:r>
          </w:p>
        </w:tc>
      </w:tr>
      <w:tr w14:paraId="198434D9">
        <w:tblPrEx>
          <w:tblCellMar>
            <w:top w:w="15" w:type="dxa"/>
            <w:left w:w="15" w:type="dxa"/>
            <w:bottom w:w="15" w:type="dxa"/>
            <w:right w:w="15" w:type="dxa"/>
          </w:tblCellMar>
        </w:tblPrEx>
        <w:trPr>
          <w:trHeight w:val="720" w:hRule="atLeast"/>
          <w:tblCellSpacing w:w="15" w:type="dxa"/>
        </w:trPr>
        <w:tc>
          <w:tcPr>
            <w:tcW w:w="341" w:type="dxa"/>
            <w:vAlign w:val="center"/>
          </w:tcPr>
          <w:p w14:paraId="421A2142">
            <w:pPr>
              <w:rPr>
                <w:rFonts w:ascii="Times New Roman" w:hAnsi="Times New Roman" w:eastAsia="Times New Roman" w:cs="Times New Roman"/>
              </w:rPr>
            </w:pPr>
            <w:r>
              <w:rPr>
                <w:rFonts w:ascii="Times New Roman" w:hAnsi="Times New Roman" w:eastAsia="Times New Roman" w:cs="Times New Roman"/>
              </w:rPr>
              <w:t>6</w:t>
            </w:r>
          </w:p>
        </w:tc>
        <w:tc>
          <w:tcPr>
            <w:tcW w:w="1685" w:type="dxa"/>
            <w:vAlign w:val="center"/>
          </w:tcPr>
          <w:p w14:paraId="7F7AB5A4">
            <w:pPr>
              <w:rPr>
                <w:rFonts w:ascii="Times New Roman" w:hAnsi="Times New Roman" w:eastAsia="Times New Roman" w:cs="Times New Roman"/>
              </w:rPr>
            </w:pPr>
            <w:r>
              <w:rPr>
                <w:rFonts w:ascii="Times New Roman" w:hAnsi="Times New Roman" w:eastAsia="Times New Roman" w:cs="Times New Roman"/>
              </w:rPr>
              <w:t>Cui et al. (2021)</w:t>
            </w:r>
          </w:p>
        </w:tc>
        <w:tc>
          <w:tcPr>
            <w:tcW w:w="1324" w:type="dxa"/>
            <w:vAlign w:val="center"/>
          </w:tcPr>
          <w:p w14:paraId="21975E86">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4711FD97">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183A6B91">
            <w:pPr>
              <w:rPr>
                <w:rFonts w:ascii="Times New Roman" w:hAnsi="Times New Roman" w:eastAsia="Times New Roman" w:cs="Times New Roman"/>
              </w:rPr>
            </w:pPr>
            <w:r>
              <w:rPr>
                <w:rFonts w:ascii="Times New Roman" w:hAnsi="Times New Roman" w:eastAsia="Times New Roman" w:cs="Times New Roman"/>
              </w:rPr>
              <w:t>924</w:t>
            </w:r>
          </w:p>
        </w:tc>
        <w:tc>
          <w:tcPr>
            <w:tcW w:w="1549" w:type="dxa"/>
            <w:vAlign w:val="center"/>
          </w:tcPr>
          <w:p w14:paraId="143D47C2">
            <w:pPr>
              <w:rPr>
                <w:rFonts w:ascii="Times New Roman" w:hAnsi="Times New Roman" w:eastAsia="Times New Roman" w:cs="Times New Roman"/>
              </w:rPr>
            </w:pPr>
            <w:r>
              <w:rPr>
                <w:rFonts w:ascii="Times New Roman" w:hAnsi="Times New Roman" w:eastAsia="Times New Roman" w:cs="Times New Roman"/>
              </w:rPr>
              <w:t>AML</w:t>
            </w:r>
          </w:p>
        </w:tc>
        <w:tc>
          <w:tcPr>
            <w:tcW w:w="2186" w:type="dxa"/>
            <w:vAlign w:val="center"/>
          </w:tcPr>
          <w:p w14:paraId="0DF6AC28">
            <w:pPr>
              <w:rPr>
                <w:rFonts w:ascii="Times New Roman" w:hAnsi="Times New Roman" w:eastAsia="Times New Roman" w:cs="Times New Roman"/>
              </w:rPr>
            </w:pPr>
            <w:r>
              <w:rPr>
                <w:rFonts w:ascii="Times New Roman" w:hAnsi="Times New Roman" w:eastAsia="Times New Roman" w:cs="Times New Roman"/>
              </w:rPr>
              <w:t>Genetic</w:t>
            </w:r>
          </w:p>
        </w:tc>
        <w:tc>
          <w:tcPr>
            <w:tcW w:w="1534" w:type="dxa"/>
            <w:vAlign w:val="center"/>
          </w:tcPr>
          <w:p w14:paraId="4B37235E">
            <w:pPr>
              <w:rPr>
                <w:rFonts w:ascii="Times New Roman" w:hAnsi="Times New Roman" w:eastAsia="Times New Roman" w:cs="Times New Roman"/>
              </w:rPr>
            </w:pPr>
            <w:r>
              <w:rPr>
                <w:rFonts w:ascii="Times New Roman" w:hAnsi="Times New Roman" w:eastAsia="Times New Roman" w:cs="Times New Roman"/>
              </w:rPr>
              <w:t>RF, Gradient Boosting</w:t>
            </w:r>
          </w:p>
        </w:tc>
        <w:tc>
          <w:tcPr>
            <w:tcW w:w="1262" w:type="dxa"/>
            <w:vAlign w:val="center"/>
          </w:tcPr>
          <w:p w14:paraId="1D54A6C4">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538E69F8">
            <w:pPr>
              <w:rPr>
                <w:rFonts w:ascii="Times New Roman" w:hAnsi="Times New Roman" w:eastAsia="Times New Roman" w:cs="Times New Roman"/>
              </w:rPr>
            </w:pPr>
            <w:r>
              <w:rPr>
                <w:rFonts w:ascii="Times New Roman" w:hAnsi="Times New Roman" w:eastAsia="Times New Roman" w:cs="Times New Roman"/>
              </w:rPr>
              <w:t>0.897</w:t>
            </w:r>
          </w:p>
        </w:tc>
      </w:tr>
      <w:tr w14:paraId="19DACC58">
        <w:tblPrEx>
          <w:tblCellMar>
            <w:top w:w="15" w:type="dxa"/>
            <w:left w:w="15" w:type="dxa"/>
            <w:bottom w:w="15" w:type="dxa"/>
            <w:right w:w="15" w:type="dxa"/>
          </w:tblCellMar>
        </w:tblPrEx>
        <w:trPr>
          <w:trHeight w:val="720" w:hRule="atLeast"/>
          <w:tblCellSpacing w:w="15" w:type="dxa"/>
        </w:trPr>
        <w:tc>
          <w:tcPr>
            <w:tcW w:w="341" w:type="dxa"/>
            <w:vAlign w:val="center"/>
          </w:tcPr>
          <w:p w14:paraId="7FEC35EE">
            <w:pPr>
              <w:rPr>
                <w:rFonts w:ascii="Times New Roman" w:hAnsi="Times New Roman" w:eastAsia="Times New Roman" w:cs="Times New Roman"/>
              </w:rPr>
            </w:pPr>
            <w:r>
              <w:rPr>
                <w:rFonts w:ascii="Times New Roman" w:hAnsi="Times New Roman" w:eastAsia="Times New Roman" w:cs="Times New Roman"/>
              </w:rPr>
              <w:t>7</w:t>
            </w:r>
          </w:p>
        </w:tc>
        <w:tc>
          <w:tcPr>
            <w:tcW w:w="1685" w:type="dxa"/>
            <w:vAlign w:val="center"/>
          </w:tcPr>
          <w:p w14:paraId="23DDE825">
            <w:pPr>
              <w:rPr>
                <w:rFonts w:ascii="Times New Roman" w:hAnsi="Times New Roman" w:eastAsia="Times New Roman" w:cs="Times New Roman"/>
              </w:rPr>
            </w:pPr>
            <w:r>
              <w:rPr>
                <w:rFonts w:ascii="Times New Roman" w:hAnsi="Times New Roman" w:eastAsia="Times New Roman" w:cs="Times New Roman"/>
              </w:rPr>
              <w:t>Deng et al. (2023)</w:t>
            </w:r>
          </w:p>
        </w:tc>
        <w:tc>
          <w:tcPr>
            <w:tcW w:w="1324" w:type="dxa"/>
            <w:vAlign w:val="center"/>
          </w:tcPr>
          <w:p w14:paraId="131F9083">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3CF7A67D">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03BAEC65">
            <w:pPr>
              <w:rPr>
                <w:rFonts w:ascii="Times New Roman" w:hAnsi="Times New Roman" w:eastAsia="Times New Roman" w:cs="Times New Roman"/>
              </w:rPr>
            </w:pPr>
            <w:r>
              <w:rPr>
                <w:rFonts w:ascii="Times New Roman" w:hAnsi="Times New Roman" w:eastAsia="Times New Roman" w:cs="Times New Roman"/>
              </w:rPr>
              <w:t>1,104</w:t>
            </w:r>
          </w:p>
        </w:tc>
        <w:tc>
          <w:tcPr>
            <w:tcW w:w="1549" w:type="dxa"/>
            <w:vAlign w:val="center"/>
          </w:tcPr>
          <w:p w14:paraId="350B9025">
            <w:pPr>
              <w:rPr>
                <w:rFonts w:ascii="Times New Roman" w:hAnsi="Times New Roman" w:eastAsia="Times New Roman" w:cs="Times New Roman"/>
              </w:rPr>
            </w:pPr>
            <w:r>
              <w:rPr>
                <w:rFonts w:ascii="Times New Roman" w:hAnsi="Times New Roman" w:eastAsia="Times New Roman" w:cs="Times New Roman"/>
              </w:rPr>
              <w:t>AML</w:t>
            </w:r>
          </w:p>
        </w:tc>
        <w:tc>
          <w:tcPr>
            <w:tcW w:w="2186" w:type="dxa"/>
            <w:vAlign w:val="center"/>
          </w:tcPr>
          <w:p w14:paraId="17A5B0CA">
            <w:pPr>
              <w:rPr>
                <w:rFonts w:ascii="Times New Roman" w:hAnsi="Times New Roman" w:eastAsia="Times New Roman" w:cs="Times New Roman"/>
              </w:rPr>
            </w:pPr>
            <w:r>
              <w:rPr>
                <w:rFonts w:ascii="Times New Roman" w:hAnsi="Times New Roman" w:eastAsia="Times New Roman" w:cs="Times New Roman"/>
              </w:rPr>
              <w:t>Morphological, Genetic</w:t>
            </w:r>
          </w:p>
        </w:tc>
        <w:tc>
          <w:tcPr>
            <w:tcW w:w="1534" w:type="dxa"/>
            <w:vAlign w:val="center"/>
          </w:tcPr>
          <w:p w14:paraId="4A7BE496">
            <w:pPr>
              <w:rPr>
                <w:rFonts w:ascii="Times New Roman" w:hAnsi="Times New Roman" w:eastAsia="Times New Roman" w:cs="Times New Roman"/>
              </w:rPr>
            </w:pPr>
            <w:r>
              <w:rPr>
                <w:rFonts w:ascii="Times New Roman" w:hAnsi="Times New Roman" w:eastAsia="Times New Roman" w:cs="Times New Roman"/>
              </w:rPr>
              <w:t>DL</w:t>
            </w:r>
          </w:p>
        </w:tc>
        <w:tc>
          <w:tcPr>
            <w:tcW w:w="1262" w:type="dxa"/>
            <w:vAlign w:val="center"/>
          </w:tcPr>
          <w:p w14:paraId="0DFD38F8">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467F39D7">
            <w:pPr>
              <w:rPr>
                <w:rFonts w:ascii="Times New Roman" w:hAnsi="Times New Roman" w:eastAsia="Times New Roman" w:cs="Times New Roman"/>
              </w:rPr>
            </w:pPr>
            <w:r>
              <w:rPr>
                <w:rFonts w:ascii="Times New Roman" w:hAnsi="Times New Roman" w:eastAsia="Times New Roman" w:cs="Times New Roman"/>
              </w:rPr>
              <w:t>0.911</w:t>
            </w:r>
          </w:p>
        </w:tc>
      </w:tr>
      <w:tr w14:paraId="1CA3429E">
        <w:tblPrEx>
          <w:tblCellMar>
            <w:top w:w="15" w:type="dxa"/>
            <w:left w:w="15" w:type="dxa"/>
            <w:bottom w:w="15" w:type="dxa"/>
            <w:right w:w="15" w:type="dxa"/>
          </w:tblCellMar>
        </w:tblPrEx>
        <w:trPr>
          <w:trHeight w:val="720" w:hRule="atLeast"/>
          <w:tblCellSpacing w:w="15" w:type="dxa"/>
        </w:trPr>
        <w:tc>
          <w:tcPr>
            <w:tcW w:w="341" w:type="dxa"/>
            <w:vAlign w:val="center"/>
          </w:tcPr>
          <w:p w14:paraId="79DDFA45">
            <w:pPr>
              <w:rPr>
                <w:rFonts w:ascii="Times New Roman" w:hAnsi="Times New Roman" w:eastAsia="Times New Roman" w:cs="Times New Roman"/>
              </w:rPr>
            </w:pPr>
            <w:r>
              <w:rPr>
                <w:rFonts w:ascii="Times New Roman" w:hAnsi="Times New Roman" w:eastAsia="Times New Roman" w:cs="Times New Roman"/>
              </w:rPr>
              <w:t>8</w:t>
            </w:r>
          </w:p>
        </w:tc>
        <w:tc>
          <w:tcPr>
            <w:tcW w:w="1685" w:type="dxa"/>
            <w:vAlign w:val="center"/>
          </w:tcPr>
          <w:p w14:paraId="53D73302">
            <w:pPr>
              <w:rPr>
                <w:rFonts w:ascii="Times New Roman" w:hAnsi="Times New Roman" w:eastAsia="Times New Roman" w:cs="Times New Roman"/>
              </w:rPr>
            </w:pPr>
            <w:r>
              <w:rPr>
                <w:rFonts w:ascii="Times New Roman" w:hAnsi="Times New Roman" w:eastAsia="Times New Roman" w:cs="Times New Roman"/>
              </w:rPr>
              <w:t>Fabian et al. (2023)</w:t>
            </w:r>
          </w:p>
        </w:tc>
        <w:tc>
          <w:tcPr>
            <w:tcW w:w="1324" w:type="dxa"/>
            <w:vAlign w:val="center"/>
          </w:tcPr>
          <w:p w14:paraId="01CCBD01">
            <w:pPr>
              <w:rPr>
                <w:rFonts w:ascii="Times New Roman" w:hAnsi="Times New Roman" w:eastAsia="Times New Roman" w:cs="Times New Roman"/>
              </w:rPr>
            </w:pPr>
            <w:r>
              <w:rPr>
                <w:rFonts w:ascii="Times New Roman" w:hAnsi="Times New Roman" w:eastAsia="Times New Roman" w:cs="Times New Roman"/>
              </w:rPr>
              <w:t>Germany</w:t>
            </w:r>
          </w:p>
        </w:tc>
        <w:tc>
          <w:tcPr>
            <w:tcW w:w="1481" w:type="dxa"/>
            <w:vAlign w:val="center"/>
          </w:tcPr>
          <w:p w14:paraId="267B8AB5">
            <w:pPr>
              <w:rPr>
                <w:rFonts w:ascii="Times New Roman" w:hAnsi="Times New Roman" w:eastAsia="Times New Roman" w:cs="Times New Roman"/>
              </w:rPr>
            </w:pPr>
            <w:r>
              <w:rPr>
                <w:rFonts w:ascii="Times New Roman" w:hAnsi="Times New Roman" w:eastAsia="Times New Roman" w:cs="Times New Roman"/>
              </w:rPr>
              <w:t>Prospective</w:t>
            </w:r>
          </w:p>
        </w:tc>
        <w:tc>
          <w:tcPr>
            <w:tcW w:w="897" w:type="dxa"/>
            <w:vAlign w:val="center"/>
          </w:tcPr>
          <w:p w14:paraId="6C851633">
            <w:pPr>
              <w:rPr>
                <w:rFonts w:ascii="Times New Roman" w:hAnsi="Times New Roman" w:eastAsia="Times New Roman" w:cs="Times New Roman"/>
              </w:rPr>
            </w:pPr>
            <w:r>
              <w:rPr>
                <w:rFonts w:ascii="Times New Roman" w:hAnsi="Times New Roman" w:eastAsia="Times New Roman" w:cs="Times New Roman"/>
              </w:rPr>
              <w:t>2,317</w:t>
            </w:r>
          </w:p>
        </w:tc>
        <w:tc>
          <w:tcPr>
            <w:tcW w:w="1549" w:type="dxa"/>
            <w:vAlign w:val="center"/>
          </w:tcPr>
          <w:p w14:paraId="48B18834">
            <w:pPr>
              <w:rPr>
                <w:rFonts w:ascii="Times New Roman" w:hAnsi="Times New Roman" w:eastAsia="Times New Roman" w:cs="Times New Roman"/>
              </w:rPr>
            </w:pPr>
            <w:r>
              <w:rPr>
                <w:rFonts w:ascii="Times New Roman" w:hAnsi="Times New Roman" w:eastAsia="Times New Roman" w:cs="Times New Roman"/>
              </w:rPr>
              <w:t>AML, MDS, CHIP</w:t>
            </w:r>
          </w:p>
        </w:tc>
        <w:tc>
          <w:tcPr>
            <w:tcW w:w="2186" w:type="dxa"/>
            <w:vAlign w:val="center"/>
          </w:tcPr>
          <w:p w14:paraId="5DC31F76">
            <w:pPr>
              <w:rPr>
                <w:rFonts w:ascii="Times New Roman" w:hAnsi="Times New Roman" w:eastAsia="Times New Roman" w:cs="Times New Roman"/>
              </w:rPr>
            </w:pPr>
            <w:r>
              <w:rPr>
                <w:rFonts w:ascii="Times New Roman" w:hAnsi="Times New Roman" w:eastAsia="Times New Roman" w:cs="Times New Roman"/>
              </w:rPr>
              <w:t>Multi-omics (4 domains)</w:t>
            </w:r>
          </w:p>
        </w:tc>
        <w:tc>
          <w:tcPr>
            <w:tcW w:w="1534" w:type="dxa"/>
            <w:vAlign w:val="center"/>
          </w:tcPr>
          <w:p w14:paraId="219AD347">
            <w:pPr>
              <w:rPr>
                <w:rFonts w:ascii="Times New Roman" w:hAnsi="Times New Roman" w:eastAsia="Times New Roman" w:cs="Times New Roman"/>
              </w:rPr>
            </w:pPr>
            <w:r>
              <w:rPr>
                <w:rFonts w:ascii="Times New Roman" w:hAnsi="Times New Roman" w:eastAsia="Times New Roman" w:cs="Times New Roman"/>
              </w:rPr>
              <w:t>Ensemble</w:t>
            </w:r>
          </w:p>
        </w:tc>
        <w:tc>
          <w:tcPr>
            <w:tcW w:w="1262" w:type="dxa"/>
            <w:vAlign w:val="center"/>
          </w:tcPr>
          <w:p w14:paraId="4BA8035D">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0795E5F3">
            <w:pPr>
              <w:rPr>
                <w:rFonts w:ascii="Times New Roman" w:hAnsi="Times New Roman" w:eastAsia="Times New Roman" w:cs="Times New Roman"/>
              </w:rPr>
            </w:pPr>
            <w:r>
              <w:rPr>
                <w:rFonts w:ascii="Times New Roman" w:hAnsi="Times New Roman" w:eastAsia="Times New Roman" w:cs="Times New Roman"/>
              </w:rPr>
              <w:t>0.932</w:t>
            </w:r>
          </w:p>
        </w:tc>
      </w:tr>
      <w:tr w14:paraId="77962340">
        <w:tblPrEx>
          <w:tblCellMar>
            <w:top w:w="15" w:type="dxa"/>
            <w:left w:w="15" w:type="dxa"/>
            <w:bottom w:w="15" w:type="dxa"/>
            <w:right w:w="15" w:type="dxa"/>
          </w:tblCellMar>
        </w:tblPrEx>
        <w:trPr>
          <w:trHeight w:val="964" w:hRule="atLeast"/>
          <w:tblCellSpacing w:w="15" w:type="dxa"/>
        </w:trPr>
        <w:tc>
          <w:tcPr>
            <w:tcW w:w="341" w:type="dxa"/>
            <w:vAlign w:val="center"/>
          </w:tcPr>
          <w:p w14:paraId="3E3F68BD">
            <w:pPr>
              <w:rPr>
                <w:rFonts w:ascii="Times New Roman" w:hAnsi="Times New Roman" w:eastAsia="Times New Roman" w:cs="Times New Roman"/>
              </w:rPr>
            </w:pPr>
            <w:r>
              <w:rPr>
                <w:rFonts w:ascii="Times New Roman" w:hAnsi="Times New Roman" w:eastAsia="Times New Roman" w:cs="Times New Roman"/>
              </w:rPr>
              <w:t>9</w:t>
            </w:r>
          </w:p>
        </w:tc>
        <w:tc>
          <w:tcPr>
            <w:tcW w:w="1685" w:type="dxa"/>
            <w:vAlign w:val="center"/>
          </w:tcPr>
          <w:p w14:paraId="21A1DD20">
            <w:pPr>
              <w:rPr>
                <w:rFonts w:ascii="Times New Roman" w:hAnsi="Times New Roman" w:eastAsia="Times New Roman" w:cs="Times New Roman"/>
              </w:rPr>
            </w:pPr>
            <w:r>
              <w:rPr>
                <w:rFonts w:ascii="Times New Roman" w:hAnsi="Times New Roman" w:eastAsia="Times New Roman" w:cs="Times New Roman"/>
              </w:rPr>
              <w:t>Fuentes-Guajardo et al. (2022)</w:t>
            </w:r>
          </w:p>
        </w:tc>
        <w:tc>
          <w:tcPr>
            <w:tcW w:w="1324" w:type="dxa"/>
            <w:vAlign w:val="center"/>
          </w:tcPr>
          <w:p w14:paraId="59ACCC85">
            <w:pPr>
              <w:rPr>
                <w:rFonts w:ascii="Times New Roman" w:hAnsi="Times New Roman" w:eastAsia="Times New Roman" w:cs="Times New Roman"/>
              </w:rPr>
            </w:pPr>
            <w:r>
              <w:rPr>
                <w:rFonts w:ascii="Times New Roman" w:hAnsi="Times New Roman" w:eastAsia="Times New Roman" w:cs="Times New Roman"/>
              </w:rPr>
              <w:t>Chile</w:t>
            </w:r>
          </w:p>
        </w:tc>
        <w:tc>
          <w:tcPr>
            <w:tcW w:w="1481" w:type="dxa"/>
            <w:vAlign w:val="center"/>
          </w:tcPr>
          <w:p w14:paraId="552EF77C">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05D942D7">
            <w:pPr>
              <w:rPr>
                <w:rFonts w:ascii="Times New Roman" w:hAnsi="Times New Roman" w:eastAsia="Times New Roman" w:cs="Times New Roman"/>
              </w:rPr>
            </w:pPr>
            <w:r>
              <w:rPr>
                <w:rFonts w:ascii="Times New Roman" w:hAnsi="Times New Roman" w:eastAsia="Times New Roman" w:cs="Times New Roman"/>
              </w:rPr>
              <w:t>214</w:t>
            </w:r>
          </w:p>
        </w:tc>
        <w:tc>
          <w:tcPr>
            <w:tcW w:w="1549" w:type="dxa"/>
            <w:vAlign w:val="center"/>
          </w:tcPr>
          <w:p w14:paraId="7AE5F011">
            <w:pPr>
              <w:rPr>
                <w:rFonts w:ascii="Times New Roman" w:hAnsi="Times New Roman" w:eastAsia="Times New Roman" w:cs="Times New Roman"/>
              </w:rPr>
            </w:pPr>
            <w:r>
              <w:rPr>
                <w:rFonts w:ascii="Times New Roman" w:hAnsi="Times New Roman" w:eastAsia="Times New Roman" w:cs="Times New Roman"/>
              </w:rPr>
              <w:t>MDS</w:t>
            </w:r>
          </w:p>
        </w:tc>
        <w:tc>
          <w:tcPr>
            <w:tcW w:w="2186" w:type="dxa"/>
            <w:vAlign w:val="center"/>
          </w:tcPr>
          <w:p w14:paraId="6237C4B2">
            <w:pPr>
              <w:rPr>
                <w:rFonts w:ascii="Times New Roman" w:hAnsi="Times New Roman" w:eastAsia="Times New Roman" w:cs="Times New Roman"/>
              </w:rPr>
            </w:pPr>
            <w:r>
              <w:rPr>
                <w:rFonts w:ascii="Times New Roman" w:hAnsi="Times New Roman" w:eastAsia="Times New Roman" w:cs="Times New Roman"/>
              </w:rPr>
              <w:t>Morphological</w:t>
            </w:r>
          </w:p>
        </w:tc>
        <w:tc>
          <w:tcPr>
            <w:tcW w:w="1534" w:type="dxa"/>
            <w:vAlign w:val="center"/>
          </w:tcPr>
          <w:p w14:paraId="1081B8B5">
            <w:pPr>
              <w:rPr>
                <w:rFonts w:ascii="Times New Roman" w:hAnsi="Times New Roman" w:eastAsia="Times New Roman" w:cs="Times New Roman"/>
              </w:rPr>
            </w:pPr>
            <w:r>
              <w:rPr>
                <w:rFonts w:ascii="Times New Roman" w:hAnsi="Times New Roman" w:eastAsia="Times New Roman" w:cs="Times New Roman"/>
              </w:rPr>
              <w:t>CNN, RF</w:t>
            </w:r>
          </w:p>
        </w:tc>
        <w:tc>
          <w:tcPr>
            <w:tcW w:w="1262" w:type="dxa"/>
            <w:vAlign w:val="center"/>
          </w:tcPr>
          <w:p w14:paraId="5B97BBA3">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67064BC8">
            <w:pPr>
              <w:rPr>
                <w:rFonts w:ascii="Times New Roman" w:hAnsi="Times New Roman" w:eastAsia="Times New Roman" w:cs="Times New Roman"/>
              </w:rPr>
            </w:pPr>
            <w:r>
              <w:rPr>
                <w:rFonts w:ascii="Times New Roman" w:hAnsi="Times New Roman" w:eastAsia="Times New Roman" w:cs="Times New Roman"/>
              </w:rPr>
              <w:t>0.864</w:t>
            </w:r>
          </w:p>
        </w:tc>
      </w:tr>
      <w:tr w14:paraId="724A03BE">
        <w:tblPrEx>
          <w:tblCellMar>
            <w:top w:w="15" w:type="dxa"/>
            <w:left w:w="15" w:type="dxa"/>
            <w:bottom w:w="15" w:type="dxa"/>
            <w:right w:w="15" w:type="dxa"/>
          </w:tblCellMar>
        </w:tblPrEx>
        <w:trPr>
          <w:trHeight w:val="720" w:hRule="atLeast"/>
          <w:tblCellSpacing w:w="15" w:type="dxa"/>
        </w:trPr>
        <w:tc>
          <w:tcPr>
            <w:tcW w:w="341" w:type="dxa"/>
            <w:vAlign w:val="center"/>
          </w:tcPr>
          <w:p w14:paraId="55D34828">
            <w:pPr>
              <w:rPr>
                <w:rFonts w:ascii="Times New Roman" w:hAnsi="Times New Roman" w:eastAsia="Times New Roman" w:cs="Times New Roman"/>
              </w:rPr>
            </w:pPr>
            <w:r>
              <w:rPr>
                <w:rFonts w:ascii="Times New Roman" w:hAnsi="Times New Roman" w:eastAsia="Times New Roman" w:cs="Times New Roman"/>
              </w:rPr>
              <w:t>10</w:t>
            </w:r>
          </w:p>
        </w:tc>
        <w:tc>
          <w:tcPr>
            <w:tcW w:w="1685" w:type="dxa"/>
            <w:vAlign w:val="center"/>
          </w:tcPr>
          <w:p w14:paraId="258414C1">
            <w:pPr>
              <w:rPr>
                <w:rFonts w:ascii="Times New Roman" w:hAnsi="Times New Roman" w:eastAsia="Times New Roman" w:cs="Times New Roman"/>
              </w:rPr>
            </w:pPr>
            <w:r>
              <w:rPr>
                <w:rFonts w:ascii="Times New Roman" w:hAnsi="Times New Roman" w:eastAsia="Times New Roman" w:cs="Times New Roman"/>
              </w:rPr>
              <w:t>Hu et al. (2022)</w:t>
            </w:r>
          </w:p>
        </w:tc>
        <w:tc>
          <w:tcPr>
            <w:tcW w:w="1324" w:type="dxa"/>
            <w:vAlign w:val="center"/>
          </w:tcPr>
          <w:p w14:paraId="571CEB01">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0B707CBA">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756DAC9B">
            <w:pPr>
              <w:rPr>
                <w:rFonts w:ascii="Times New Roman" w:hAnsi="Times New Roman" w:eastAsia="Times New Roman" w:cs="Times New Roman"/>
              </w:rPr>
            </w:pPr>
            <w:r>
              <w:rPr>
                <w:rFonts w:ascii="Times New Roman" w:hAnsi="Times New Roman" w:eastAsia="Times New Roman" w:cs="Times New Roman"/>
              </w:rPr>
              <w:t>634</w:t>
            </w:r>
          </w:p>
        </w:tc>
        <w:tc>
          <w:tcPr>
            <w:tcW w:w="1549" w:type="dxa"/>
            <w:vAlign w:val="center"/>
          </w:tcPr>
          <w:p w14:paraId="0B83A9A0">
            <w:pPr>
              <w:rPr>
                <w:rFonts w:ascii="Times New Roman" w:hAnsi="Times New Roman" w:eastAsia="Times New Roman" w:cs="Times New Roman"/>
              </w:rPr>
            </w:pPr>
            <w:r>
              <w:rPr>
                <w:rFonts w:ascii="Times New Roman" w:hAnsi="Times New Roman" w:eastAsia="Times New Roman" w:cs="Times New Roman"/>
              </w:rPr>
              <w:t>Multiple Myeloma</w:t>
            </w:r>
          </w:p>
        </w:tc>
        <w:tc>
          <w:tcPr>
            <w:tcW w:w="2186" w:type="dxa"/>
            <w:vAlign w:val="center"/>
          </w:tcPr>
          <w:p w14:paraId="550F2794">
            <w:pPr>
              <w:rPr>
                <w:rFonts w:ascii="Times New Roman" w:hAnsi="Times New Roman" w:eastAsia="Times New Roman" w:cs="Times New Roman"/>
              </w:rPr>
            </w:pPr>
            <w:r>
              <w:rPr>
                <w:rFonts w:ascii="Times New Roman" w:hAnsi="Times New Roman" w:eastAsia="Times New Roman" w:cs="Times New Roman"/>
              </w:rPr>
              <w:t>Genetic, Epigenetic</w:t>
            </w:r>
          </w:p>
        </w:tc>
        <w:tc>
          <w:tcPr>
            <w:tcW w:w="1534" w:type="dxa"/>
            <w:vAlign w:val="center"/>
          </w:tcPr>
          <w:p w14:paraId="416E4B68">
            <w:pPr>
              <w:rPr>
                <w:rFonts w:ascii="Times New Roman" w:hAnsi="Times New Roman" w:eastAsia="Times New Roman" w:cs="Times New Roman"/>
              </w:rPr>
            </w:pPr>
            <w:r>
              <w:rPr>
                <w:rFonts w:ascii="Times New Roman" w:hAnsi="Times New Roman" w:eastAsia="Times New Roman" w:cs="Times New Roman"/>
              </w:rPr>
              <w:t>RF</w:t>
            </w:r>
          </w:p>
        </w:tc>
        <w:tc>
          <w:tcPr>
            <w:tcW w:w="1262" w:type="dxa"/>
            <w:vAlign w:val="center"/>
          </w:tcPr>
          <w:p w14:paraId="3F4FAB2D">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6E66A161">
            <w:pPr>
              <w:rPr>
                <w:rFonts w:ascii="Times New Roman" w:hAnsi="Times New Roman" w:eastAsia="Times New Roman" w:cs="Times New Roman"/>
              </w:rPr>
            </w:pPr>
            <w:r>
              <w:rPr>
                <w:rFonts w:ascii="Times New Roman" w:hAnsi="Times New Roman" w:eastAsia="Times New Roman" w:cs="Times New Roman"/>
              </w:rPr>
              <w:t>0.878</w:t>
            </w:r>
          </w:p>
        </w:tc>
      </w:tr>
      <w:tr w14:paraId="19CE8AE6">
        <w:tblPrEx>
          <w:tblCellMar>
            <w:top w:w="15" w:type="dxa"/>
            <w:left w:w="15" w:type="dxa"/>
            <w:bottom w:w="15" w:type="dxa"/>
            <w:right w:w="15" w:type="dxa"/>
          </w:tblCellMar>
        </w:tblPrEx>
        <w:trPr>
          <w:trHeight w:val="720" w:hRule="atLeast"/>
          <w:tblCellSpacing w:w="15" w:type="dxa"/>
        </w:trPr>
        <w:tc>
          <w:tcPr>
            <w:tcW w:w="341" w:type="dxa"/>
            <w:vAlign w:val="center"/>
          </w:tcPr>
          <w:p w14:paraId="1C7E7375">
            <w:pPr>
              <w:rPr>
                <w:rFonts w:ascii="Times New Roman" w:hAnsi="Times New Roman" w:eastAsia="Times New Roman" w:cs="Times New Roman"/>
              </w:rPr>
            </w:pPr>
            <w:r>
              <w:rPr>
                <w:rFonts w:ascii="Times New Roman" w:hAnsi="Times New Roman" w:eastAsia="Times New Roman" w:cs="Times New Roman"/>
              </w:rPr>
              <w:t>11</w:t>
            </w:r>
          </w:p>
        </w:tc>
        <w:tc>
          <w:tcPr>
            <w:tcW w:w="1685" w:type="dxa"/>
            <w:vAlign w:val="center"/>
          </w:tcPr>
          <w:p w14:paraId="3A20047B">
            <w:pPr>
              <w:rPr>
                <w:rFonts w:ascii="Times New Roman" w:hAnsi="Times New Roman" w:eastAsia="Times New Roman" w:cs="Times New Roman"/>
              </w:rPr>
            </w:pPr>
            <w:r>
              <w:rPr>
                <w:rFonts w:ascii="Times New Roman" w:hAnsi="Times New Roman" w:eastAsia="Times New Roman" w:cs="Times New Roman"/>
              </w:rPr>
              <w:t>Jaiswal &amp; Ebert (2023)</w:t>
            </w:r>
          </w:p>
        </w:tc>
        <w:tc>
          <w:tcPr>
            <w:tcW w:w="1324" w:type="dxa"/>
            <w:vAlign w:val="center"/>
          </w:tcPr>
          <w:p w14:paraId="7958A644">
            <w:pPr>
              <w:rPr>
                <w:rFonts w:ascii="Times New Roman" w:hAnsi="Times New Roman" w:eastAsia="Times New Roman" w:cs="Times New Roman"/>
              </w:rPr>
            </w:pPr>
            <w:r>
              <w:rPr>
                <w:rFonts w:ascii="Times New Roman" w:hAnsi="Times New Roman" w:eastAsia="Times New Roman" w:cs="Times New Roman"/>
              </w:rPr>
              <w:t>USA</w:t>
            </w:r>
          </w:p>
        </w:tc>
        <w:tc>
          <w:tcPr>
            <w:tcW w:w="1481" w:type="dxa"/>
            <w:vAlign w:val="center"/>
          </w:tcPr>
          <w:p w14:paraId="58EF78C3">
            <w:pPr>
              <w:rPr>
                <w:rFonts w:ascii="Times New Roman" w:hAnsi="Times New Roman" w:eastAsia="Times New Roman" w:cs="Times New Roman"/>
              </w:rPr>
            </w:pPr>
            <w:r>
              <w:rPr>
                <w:rFonts w:ascii="Times New Roman" w:hAnsi="Times New Roman" w:eastAsia="Times New Roman" w:cs="Times New Roman"/>
              </w:rPr>
              <w:t>Prospective</w:t>
            </w:r>
          </w:p>
        </w:tc>
        <w:tc>
          <w:tcPr>
            <w:tcW w:w="897" w:type="dxa"/>
            <w:vAlign w:val="center"/>
          </w:tcPr>
          <w:p w14:paraId="75F8A6A1">
            <w:pPr>
              <w:rPr>
                <w:rFonts w:ascii="Times New Roman" w:hAnsi="Times New Roman" w:eastAsia="Times New Roman" w:cs="Times New Roman"/>
              </w:rPr>
            </w:pPr>
            <w:r>
              <w:rPr>
                <w:rFonts w:ascii="Times New Roman" w:hAnsi="Times New Roman" w:eastAsia="Times New Roman" w:cs="Times New Roman"/>
              </w:rPr>
              <w:t>8,614</w:t>
            </w:r>
          </w:p>
        </w:tc>
        <w:tc>
          <w:tcPr>
            <w:tcW w:w="1549" w:type="dxa"/>
            <w:vAlign w:val="center"/>
          </w:tcPr>
          <w:p w14:paraId="5F1D6DDD">
            <w:pPr>
              <w:rPr>
                <w:rFonts w:ascii="Times New Roman" w:hAnsi="Times New Roman" w:eastAsia="Times New Roman" w:cs="Times New Roman"/>
              </w:rPr>
            </w:pPr>
            <w:r>
              <w:rPr>
                <w:rFonts w:ascii="Times New Roman" w:hAnsi="Times New Roman" w:eastAsia="Times New Roman" w:cs="Times New Roman"/>
              </w:rPr>
              <w:t>CHIP, AML</w:t>
            </w:r>
          </w:p>
        </w:tc>
        <w:tc>
          <w:tcPr>
            <w:tcW w:w="2186" w:type="dxa"/>
            <w:vAlign w:val="center"/>
          </w:tcPr>
          <w:p w14:paraId="070CAF66">
            <w:pPr>
              <w:rPr>
                <w:rFonts w:ascii="Times New Roman" w:hAnsi="Times New Roman" w:eastAsia="Times New Roman" w:cs="Times New Roman"/>
              </w:rPr>
            </w:pPr>
            <w:r>
              <w:rPr>
                <w:rFonts w:ascii="Times New Roman" w:hAnsi="Times New Roman" w:eastAsia="Times New Roman" w:cs="Times New Roman"/>
              </w:rPr>
              <w:t>Genetic</w:t>
            </w:r>
          </w:p>
        </w:tc>
        <w:tc>
          <w:tcPr>
            <w:tcW w:w="1534" w:type="dxa"/>
            <w:vAlign w:val="center"/>
          </w:tcPr>
          <w:p w14:paraId="0CB1960D">
            <w:pPr>
              <w:rPr>
                <w:rFonts w:ascii="Times New Roman" w:hAnsi="Times New Roman" w:eastAsia="Times New Roman" w:cs="Times New Roman"/>
              </w:rPr>
            </w:pPr>
            <w:r>
              <w:rPr>
                <w:rFonts w:ascii="Times New Roman" w:hAnsi="Times New Roman" w:eastAsia="Times New Roman" w:cs="Times New Roman"/>
              </w:rPr>
              <w:t>Logistic, RF</w:t>
            </w:r>
          </w:p>
        </w:tc>
        <w:tc>
          <w:tcPr>
            <w:tcW w:w="1262" w:type="dxa"/>
            <w:vAlign w:val="center"/>
          </w:tcPr>
          <w:p w14:paraId="13D63AD4">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1C9BA325">
            <w:pPr>
              <w:rPr>
                <w:rFonts w:ascii="Times New Roman" w:hAnsi="Times New Roman" w:eastAsia="Times New Roman" w:cs="Times New Roman"/>
              </w:rPr>
            </w:pPr>
            <w:r>
              <w:rPr>
                <w:rFonts w:ascii="Times New Roman" w:hAnsi="Times New Roman" w:eastAsia="Times New Roman" w:cs="Times New Roman"/>
              </w:rPr>
              <w:t>0.856</w:t>
            </w:r>
          </w:p>
        </w:tc>
      </w:tr>
      <w:tr w14:paraId="52883040">
        <w:tblPrEx>
          <w:tblCellMar>
            <w:top w:w="15" w:type="dxa"/>
            <w:left w:w="15" w:type="dxa"/>
            <w:bottom w:w="15" w:type="dxa"/>
            <w:right w:w="15" w:type="dxa"/>
          </w:tblCellMar>
        </w:tblPrEx>
        <w:trPr>
          <w:trHeight w:val="720" w:hRule="atLeast"/>
          <w:tblCellSpacing w:w="15" w:type="dxa"/>
        </w:trPr>
        <w:tc>
          <w:tcPr>
            <w:tcW w:w="341" w:type="dxa"/>
            <w:vAlign w:val="center"/>
          </w:tcPr>
          <w:p w14:paraId="23B365D5">
            <w:pPr>
              <w:rPr>
                <w:rFonts w:ascii="Times New Roman" w:hAnsi="Times New Roman" w:eastAsia="Times New Roman" w:cs="Times New Roman"/>
              </w:rPr>
            </w:pPr>
            <w:r>
              <w:rPr>
                <w:rFonts w:ascii="Times New Roman" w:hAnsi="Times New Roman" w:eastAsia="Times New Roman" w:cs="Times New Roman"/>
              </w:rPr>
              <w:t>12</w:t>
            </w:r>
          </w:p>
        </w:tc>
        <w:tc>
          <w:tcPr>
            <w:tcW w:w="1685" w:type="dxa"/>
            <w:vAlign w:val="center"/>
          </w:tcPr>
          <w:p w14:paraId="345672C6">
            <w:pPr>
              <w:rPr>
                <w:rFonts w:ascii="Times New Roman" w:hAnsi="Times New Roman" w:eastAsia="Times New Roman" w:cs="Times New Roman"/>
              </w:rPr>
            </w:pPr>
            <w:r>
              <w:rPr>
                <w:rFonts w:ascii="Times New Roman" w:hAnsi="Times New Roman" w:eastAsia="Times New Roman" w:cs="Times New Roman"/>
              </w:rPr>
              <w:t>Kim et al. (2022)</w:t>
            </w:r>
          </w:p>
        </w:tc>
        <w:tc>
          <w:tcPr>
            <w:tcW w:w="1324" w:type="dxa"/>
            <w:vAlign w:val="center"/>
          </w:tcPr>
          <w:p w14:paraId="737DD9F6">
            <w:pPr>
              <w:rPr>
                <w:rFonts w:ascii="Times New Roman" w:hAnsi="Times New Roman" w:eastAsia="Times New Roman" w:cs="Times New Roman"/>
              </w:rPr>
            </w:pPr>
            <w:r>
              <w:rPr>
                <w:rFonts w:ascii="Times New Roman" w:hAnsi="Times New Roman" w:eastAsia="Times New Roman" w:cs="Times New Roman"/>
              </w:rPr>
              <w:t>South Korea</w:t>
            </w:r>
          </w:p>
        </w:tc>
        <w:tc>
          <w:tcPr>
            <w:tcW w:w="1481" w:type="dxa"/>
            <w:vAlign w:val="center"/>
          </w:tcPr>
          <w:p w14:paraId="3E1FAFDF">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60AAE171">
            <w:pPr>
              <w:rPr>
                <w:rFonts w:ascii="Times New Roman" w:hAnsi="Times New Roman" w:eastAsia="Times New Roman" w:cs="Times New Roman"/>
              </w:rPr>
            </w:pPr>
            <w:r>
              <w:rPr>
                <w:rFonts w:ascii="Times New Roman" w:hAnsi="Times New Roman" w:eastAsia="Times New Roman" w:cs="Times New Roman"/>
              </w:rPr>
              <w:t>1,092</w:t>
            </w:r>
          </w:p>
        </w:tc>
        <w:tc>
          <w:tcPr>
            <w:tcW w:w="1549" w:type="dxa"/>
            <w:vAlign w:val="center"/>
          </w:tcPr>
          <w:p w14:paraId="16978751">
            <w:pPr>
              <w:rPr>
                <w:rFonts w:ascii="Times New Roman" w:hAnsi="Times New Roman" w:eastAsia="Times New Roman" w:cs="Times New Roman"/>
              </w:rPr>
            </w:pPr>
            <w:r>
              <w:rPr>
                <w:rFonts w:ascii="Times New Roman" w:hAnsi="Times New Roman" w:eastAsia="Times New Roman" w:cs="Times New Roman"/>
              </w:rPr>
              <w:t>AML, CLL, Lymphoma</w:t>
            </w:r>
          </w:p>
        </w:tc>
        <w:tc>
          <w:tcPr>
            <w:tcW w:w="2186" w:type="dxa"/>
            <w:vAlign w:val="center"/>
          </w:tcPr>
          <w:p w14:paraId="4E2EEB0B">
            <w:pPr>
              <w:rPr>
                <w:rFonts w:ascii="Times New Roman" w:hAnsi="Times New Roman" w:eastAsia="Times New Roman" w:cs="Times New Roman"/>
              </w:rPr>
            </w:pPr>
            <w:r>
              <w:rPr>
                <w:rFonts w:ascii="Times New Roman" w:hAnsi="Times New Roman" w:eastAsia="Times New Roman" w:cs="Times New Roman"/>
              </w:rPr>
              <w:t>Morphological</w:t>
            </w:r>
          </w:p>
        </w:tc>
        <w:tc>
          <w:tcPr>
            <w:tcW w:w="1534" w:type="dxa"/>
            <w:vAlign w:val="center"/>
          </w:tcPr>
          <w:p w14:paraId="78FBDCCF">
            <w:pPr>
              <w:rPr>
                <w:rFonts w:ascii="Times New Roman" w:hAnsi="Times New Roman" w:eastAsia="Times New Roman" w:cs="Times New Roman"/>
              </w:rPr>
            </w:pPr>
            <w:r>
              <w:rPr>
                <w:rFonts w:ascii="Times New Roman" w:hAnsi="Times New Roman" w:eastAsia="Times New Roman" w:cs="Times New Roman"/>
              </w:rPr>
              <w:t>CNN</w:t>
            </w:r>
          </w:p>
        </w:tc>
        <w:tc>
          <w:tcPr>
            <w:tcW w:w="1262" w:type="dxa"/>
            <w:vAlign w:val="center"/>
          </w:tcPr>
          <w:p w14:paraId="7152ECE7">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155755ED">
            <w:pPr>
              <w:rPr>
                <w:rFonts w:ascii="Times New Roman" w:hAnsi="Times New Roman" w:eastAsia="Times New Roman" w:cs="Times New Roman"/>
              </w:rPr>
            </w:pPr>
            <w:r>
              <w:rPr>
                <w:rFonts w:ascii="Times New Roman" w:hAnsi="Times New Roman" w:eastAsia="Times New Roman" w:cs="Times New Roman"/>
              </w:rPr>
              <w:t>0.907</w:t>
            </w:r>
          </w:p>
        </w:tc>
      </w:tr>
      <w:tr w14:paraId="4A3A3A02">
        <w:tblPrEx>
          <w:tblCellMar>
            <w:top w:w="15" w:type="dxa"/>
            <w:left w:w="15" w:type="dxa"/>
            <w:bottom w:w="15" w:type="dxa"/>
            <w:right w:w="15" w:type="dxa"/>
          </w:tblCellMar>
        </w:tblPrEx>
        <w:trPr>
          <w:trHeight w:val="720" w:hRule="atLeast"/>
          <w:tblCellSpacing w:w="15" w:type="dxa"/>
        </w:trPr>
        <w:tc>
          <w:tcPr>
            <w:tcW w:w="341" w:type="dxa"/>
            <w:vAlign w:val="center"/>
          </w:tcPr>
          <w:p w14:paraId="4DAFE835">
            <w:pPr>
              <w:rPr>
                <w:rFonts w:ascii="Times New Roman" w:hAnsi="Times New Roman" w:eastAsia="Times New Roman" w:cs="Times New Roman"/>
              </w:rPr>
            </w:pPr>
            <w:r>
              <w:rPr>
                <w:rFonts w:ascii="Times New Roman" w:hAnsi="Times New Roman" w:eastAsia="Times New Roman" w:cs="Times New Roman"/>
              </w:rPr>
              <w:t>13</w:t>
            </w:r>
          </w:p>
        </w:tc>
        <w:tc>
          <w:tcPr>
            <w:tcW w:w="1685" w:type="dxa"/>
            <w:vAlign w:val="center"/>
          </w:tcPr>
          <w:p w14:paraId="706C14BD">
            <w:pPr>
              <w:rPr>
                <w:rFonts w:ascii="Times New Roman" w:hAnsi="Times New Roman" w:eastAsia="Times New Roman" w:cs="Times New Roman"/>
              </w:rPr>
            </w:pPr>
            <w:r>
              <w:rPr>
                <w:rFonts w:ascii="Times New Roman" w:hAnsi="Times New Roman" w:eastAsia="Times New Roman" w:cs="Times New Roman"/>
              </w:rPr>
              <w:t>Landt et al. (2023)</w:t>
            </w:r>
          </w:p>
        </w:tc>
        <w:tc>
          <w:tcPr>
            <w:tcW w:w="1324" w:type="dxa"/>
            <w:vAlign w:val="center"/>
          </w:tcPr>
          <w:p w14:paraId="7D648E8B">
            <w:pPr>
              <w:rPr>
                <w:rFonts w:ascii="Times New Roman" w:hAnsi="Times New Roman" w:eastAsia="Times New Roman" w:cs="Times New Roman"/>
              </w:rPr>
            </w:pPr>
            <w:r>
              <w:rPr>
                <w:rFonts w:ascii="Times New Roman" w:hAnsi="Times New Roman" w:eastAsia="Times New Roman" w:cs="Times New Roman"/>
              </w:rPr>
              <w:t>Germany</w:t>
            </w:r>
          </w:p>
        </w:tc>
        <w:tc>
          <w:tcPr>
            <w:tcW w:w="1481" w:type="dxa"/>
            <w:vAlign w:val="center"/>
          </w:tcPr>
          <w:p w14:paraId="15BD5C51">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1C8B3F9B">
            <w:pPr>
              <w:rPr>
                <w:rFonts w:ascii="Times New Roman" w:hAnsi="Times New Roman" w:eastAsia="Times New Roman" w:cs="Times New Roman"/>
              </w:rPr>
            </w:pPr>
            <w:r>
              <w:rPr>
                <w:rFonts w:ascii="Times New Roman" w:hAnsi="Times New Roman" w:eastAsia="Times New Roman" w:cs="Times New Roman"/>
              </w:rPr>
              <w:t>876</w:t>
            </w:r>
          </w:p>
        </w:tc>
        <w:tc>
          <w:tcPr>
            <w:tcW w:w="1549" w:type="dxa"/>
            <w:vAlign w:val="center"/>
          </w:tcPr>
          <w:p w14:paraId="2513EF48">
            <w:pPr>
              <w:rPr>
                <w:rFonts w:ascii="Times New Roman" w:hAnsi="Times New Roman" w:eastAsia="Times New Roman" w:cs="Times New Roman"/>
              </w:rPr>
            </w:pPr>
            <w:r>
              <w:rPr>
                <w:rFonts w:ascii="Times New Roman" w:hAnsi="Times New Roman" w:eastAsia="Times New Roman" w:cs="Times New Roman"/>
              </w:rPr>
              <w:t>AML, MDS</w:t>
            </w:r>
          </w:p>
        </w:tc>
        <w:tc>
          <w:tcPr>
            <w:tcW w:w="2186" w:type="dxa"/>
            <w:vAlign w:val="center"/>
          </w:tcPr>
          <w:p w14:paraId="08CF6C0F">
            <w:pPr>
              <w:rPr>
                <w:rFonts w:ascii="Times New Roman" w:hAnsi="Times New Roman" w:eastAsia="Times New Roman" w:cs="Times New Roman"/>
              </w:rPr>
            </w:pPr>
            <w:r>
              <w:rPr>
                <w:rFonts w:ascii="Times New Roman" w:hAnsi="Times New Roman" w:eastAsia="Times New Roman" w:cs="Times New Roman"/>
              </w:rPr>
              <w:t>Genetic, Epigenetic</w:t>
            </w:r>
          </w:p>
        </w:tc>
        <w:tc>
          <w:tcPr>
            <w:tcW w:w="1534" w:type="dxa"/>
            <w:vAlign w:val="center"/>
          </w:tcPr>
          <w:p w14:paraId="18713931">
            <w:pPr>
              <w:rPr>
                <w:rFonts w:ascii="Times New Roman" w:hAnsi="Times New Roman" w:eastAsia="Times New Roman" w:cs="Times New Roman"/>
              </w:rPr>
            </w:pPr>
            <w:r>
              <w:rPr>
                <w:rFonts w:ascii="Times New Roman" w:hAnsi="Times New Roman" w:eastAsia="Times New Roman" w:cs="Times New Roman"/>
              </w:rPr>
              <w:t>DL, ANN</w:t>
            </w:r>
          </w:p>
        </w:tc>
        <w:tc>
          <w:tcPr>
            <w:tcW w:w="1262" w:type="dxa"/>
            <w:vAlign w:val="center"/>
          </w:tcPr>
          <w:p w14:paraId="4AABDA0D">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3DD908FA">
            <w:pPr>
              <w:rPr>
                <w:rFonts w:ascii="Times New Roman" w:hAnsi="Times New Roman" w:eastAsia="Times New Roman" w:cs="Times New Roman"/>
              </w:rPr>
            </w:pPr>
            <w:r>
              <w:rPr>
                <w:rFonts w:ascii="Times New Roman" w:hAnsi="Times New Roman" w:eastAsia="Times New Roman" w:cs="Times New Roman"/>
              </w:rPr>
              <w:t>0.889</w:t>
            </w:r>
          </w:p>
        </w:tc>
      </w:tr>
      <w:tr w14:paraId="41C49055">
        <w:tblPrEx>
          <w:tblCellMar>
            <w:top w:w="15" w:type="dxa"/>
            <w:left w:w="15" w:type="dxa"/>
            <w:bottom w:w="15" w:type="dxa"/>
            <w:right w:w="15" w:type="dxa"/>
          </w:tblCellMar>
        </w:tblPrEx>
        <w:trPr>
          <w:trHeight w:val="475" w:hRule="atLeast"/>
          <w:tblCellSpacing w:w="15" w:type="dxa"/>
        </w:trPr>
        <w:tc>
          <w:tcPr>
            <w:tcW w:w="341" w:type="dxa"/>
            <w:vAlign w:val="center"/>
          </w:tcPr>
          <w:p w14:paraId="36D03ABD">
            <w:pPr>
              <w:rPr>
                <w:rFonts w:ascii="Times New Roman" w:hAnsi="Times New Roman" w:eastAsia="Times New Roman" w:cs="Times New Roman"/>
              </w:rPr>
            </w:pPr>
            <w:r>
              <w:rPr>
                <w:rFonts w:ascii="Times New Roman" w:hAnsi="Times New Roman" w:eastAsia="Times New Roman" w:cs="Times New Roman"/>
              </w:rPr>
              <w:t>14</w:t>
            </w:r>
          </w:p>
        </w:tc>
        <w:tc>
          <w:tcPr>
            <w:tcW w:w="1685" w:type="dxa"/>
            <w:vAlign w:val="center"/>
          </w:tcPr>
          <w:p w14:paraId="6D6A4098">
            <w:pPr>
              <w:rPr>
                <w:rFonts w:ascii="Times New Roman" w:hAnsi="Times New Roman" w:eastAsia="Times New Roman" w:cs="Times New Roman"/>
              </w:rPr>
            </w:pPr>
            <w:r>
              <w:rPr>
                <w:rFonts w:ascii="Times New Roman" w:hAnsi="Times New Roman" w:eastAsia="Times New Roman" w:cs="Times New Roman"/>
              </w:rPr>
              <w:t>Li et al. (2022)</w:t>
            </w:r>
          </w:p>
        </w:tc>
        <w:tc>
          <w:tcPr>
            <w:tcW w:w="1324" w:type="dxa"/>
            <w:vAlign w:val="center"/>
          </w:tcPr>
          <w:p w14:paraId="203D028E">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5F97B476">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59F2F985">
            <w:pPr>
              <w:rPr>
                <w:rFonts w:ascii="Times New Roman" w:hAnsi="Times New Roman" w:eastAsia="Times New Roman" w:cs="Times New Roman"/>
              </w:rPr>
            </w:pPr>
            <w:r>
              <w:rPr>
                <w:rFonts w:ascii="Times New Roman" w:hAnsi="Times New Roman" w:eastAsia="Times New Roman" w:cs="Times New Roman"/>
              </w:rPr>
              <w:t>498</w:t>
            </w:r>
          </w:p>
        </w:tc>
        <w:tc>
          <w:tcPr>
            <w:tcW w:w="1549" w:type="dxa"/>
            <w:vAlign w:val="center"/>
          </w:tcPr>
          <w:p w14:paraId="595B374F">
            <w:pPr>
              <w:rPr>
                <w:rFonts w:ascii="Times New Roman" w:hAnsi="Times New Roman" w:eastAsia="Times New Roman" w:cs="Times New Roman"/>
              </w:rPr>
            </w:pPr>
            <w:r>
              <w:rPr>
                <w:rFonts w:ascii="Times New Roman" w:hAnsi="Times New Roman" w:eastAsia="Times New Roman" w:cs="Times New Roman"/>
              </w:rPr>
              <w:t>AML, MDS</w:t>
            </w:r>
          </w:p>
        </w:tc>
        <w:tc>
          <w:tcPr>
            <w:tcW w:w="2186" w:type="dxa"/>
            <w:vAlign w:val="center"/>
          </w:tcPr>
          <w:p w14:paraId="1B65C34B">
            <w:pPr>
              <w:rPr>
                <w:rFonts w:ascii="Times New Roman" w:hAnsi="Times New Roman" w:eastAsia="Times New Roman" w:cs="Times New Roman"/>
              </w:rPr>
            </w:pPr>
            <w:r>
              <w:rPr>
                <w:rFonts w:ascii="Times New Roman" w:hAnsi="Times New Roman" w:eastAsia="Times New Roman" w:cs="Times New Roman"/>
              </w:rPr>
              <w:t>Epigenetic</w:t>
            </w:r>
          </w:p>
        </w:tc>
        <w:tc>
          <w:tcPr>
            <w:tcW w:w="1534" w:type="dxa"/>
            <w:vAlign w:val="center"/>
          </w:tcPr>
          <w:p w14:paraId="2A01D5CF">
            <w:pPr>
              <w:rPr>
                <w:rFonts w:ascii="Times New Roman" w:hAnsi="Times New Roman" w:eastAsia="Times New Roman" w:cs="Times New Roman"/>
              </w:rPr>
            </w:pPr>
            <w:r>
              <w:rPr>
                <w:rFonts w:ascii="Times New Roman" w:hAnsi="Times New Roman" w:eastAsia="Times New Roman" w:cs="Times New Roman"/>
              </w:rPr>
              <w:t>SVM, RF</w:t>
            </w:r>
          </w:p>
        </w:tc>
        <w:tc>
          <w:tcPr>
            <w:tcW w:w="1262" w:type="dxa"/>
            <w:vAlign w:val="center"/>
          </w:tcPr>
          <w:p w14:paraId="23743D91">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3D6AB593">
            <w:pPr>
              <w:rPr>
                <w:rFonts w:ascii="Times New Roman" w:hAnsi="Times New Roman" w:eastAsia="Times New Roman" w:cs="Times New Roman"/>
              </w:rPr>
            </w:pPr>
            <w:r>
              <w:rPr>
                <w:rFonts w:ascii="Times New Roman" w:hAnsi="Times New Roman" w:eastAsia="Times New Roman" w:cs="Times New Roman"/>
              </w:rPr>
              <w:t>0.874</w:t>
            </w:r>
          </w:p>
        </w:tc>
      </w:tr>
      <w:tr w14:paraId="6A1E0268">
        <w:tblPrEx>
          <w:tblCellMar>
            <w:top w:w="15" w:type="dxa"/>
            <w:left w:w="15" w:type="dxa"/>
            <w:bottom w:w="15" w:type="dxa"/>
            <w:right w:w="15" w:type="dxa"/>
          </w:tblCellMar>
        </w:tblPrEx>
        <w:trPr>
          <w:trHeight w:val="720" w:hRule="atLeast"/>
          <w:tblCellSpacing w:w="15" w:type="dxa"/>
        </w:trPr>
        <w:tc>
          <w:tcPr>
            <w:tcW w:w="341" w:type="dxa"/>
            <w:vAlign w:val="center"/>
          </w:tcPr>
          <w:p w14:paraId="2CE1F51B">
            <w:pPr>
              <w:rPr>
                <w:rFonts w:ascii="Times New Roman" w:hAnsi="Times New Roman" w:eastAsia="Times New Roman" w:cs="Times New Roman"/>
              </w:rPr>
            </w:pPr>
            <w:r>
              <w:rPr>
                <w:rFonts w:ascii="Times New Roman" w:hAnsi="Times New Roman" w:eastAsia="Times New Roman" w:cs="Times New Roman"/>
              </w:rPr>
              <w:t>15</w:t>
            </w:r>
          </w:p>
        </w:tc>
        <w:tc>
          <w:tcPr>
            <w:tcW w:w="1685" w:type="dxa"/>
            <w:vAlign w:val="center"/>
          </w:tcPr>
          <w:p w14:paraId="7384D9AF">
            <w:pPr>
              <w:rPr>
                <w:rFonts w:ascii="Times New Roman" w:hAnsi="Times New Roman" w:eastAsia="Times New Roman" w:cs="Times New Roman"/>
              </w:rPr>
            </w:pPr>
            <w:r>
              <w:rPr>
                <w:rFonts w:ascii="Times New Roman" w:hAnsi="Times New Roman" w:eastAsia="Times New Roman" w:cs="Times New Roman"/>
              </w:rPr>
              <w:t>Liu et al. (2023)</w:t>
            </w:r>
          </w:p>
        </w:tc>
        <w:tc>
          <w:tcPr>
            <w:tcW w:w="1324" w:type="dxa"/>
            <w:vAlign w:val="center"/>
          </w:tcPr>
          <w:p w14:paraId="4A9FF659">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75BAA432">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143A19A3">
            <w:pPr>
              <w:rPr>
                <w:rFonts w:ascii="Times New Roman" w:hAnsi="Times New Roman" w:eastAsia="Times New Roman" w:cs="Times New Roman"/>
              </w:rPr>
            </w:pPr>
            <w:r>
              <w:rPr>
                <w:rFonts w:ascii="Times New Roman" w:hAnsi="Times New Roman" w:eastAsia="Times New Roman" w:cs="Times New Roman"/>
              </w:rPr>
              <w:t>1,287</w:t>
            </w:r>
          </w:p>
        </w:tc>
        <w:tc>
          <w:tcPr>
            <w:tcW w:w="1549" w:type="dxa"/>
            <w:vAlign w:val="center"/>
          </w:tcPr>
          <w:p w14:paraId="13F64547">
            <w:pPr>
              <w:rPr>
                <w:rFonts w:ascii="Times New Roman" w:hAnsi="Times New Roman" w:eastAsia="Times New Roman" w:cs="Times New Roman"/>
              </w:rPr>
            </w:pPr>
            <w:r>
              <w:rPr>
                <w:rFonts w:ascii="Times New Roman" w:hAnsi="Times New Roman" w:eastAsia="Times New Roman" w:cs="Times New Roman"/>
              </w:rPr>
              <w:t>B-cell malignancies</w:t>
            </w:r>
          </w:p>
        </w:tc>
        <w:tc>
          <w:tcPr>
            <w:tcW w:w="2186" w:type="dxa"/>
            <w:vAlign w:val="center"/>
          </w:tcPr>
          <w:p w14:paraId="69CC7E12">
            <w:pPr>
              <w:rPr>
                <w:rFonts w:ascii="Times New Roman" w:hAnsi="Times New Roman" w:eastAsia="Times New Roman" w:cs="Times New Roman"/>
              </w:rPr>
            </w:pPr>
            <w:r>
              <w:rPr>
                <w:rFonts w:ascii="Times New Roman" w:hAnsi="Times New Roman" w:eastAsia="Times New Roman" w:cs="Times New Roman"/>
              </w:rPr>
              <w:t>Genetic, Morphological</w:t>
            </w:r>
          </w:p>
        </w:tc>
        <w:tc>
          <w:tcPr>
            <w:tcW w:w="1534" w:type="dxa"/>
            <w:vAlign w:val="center"/>
          </w:tcPr>
          <w:p w14:paraId="650D6B1A">
            <w:pPr>
              <w:rPr>
                <w:rFonts w:ascii="Times New Roman" w:hAnsi="Times New Roman" w:eastAsia="Times New Roman" w:cs="Times New Roman"/>
              </w:rPr>
            </w:pPr>
            <w:r>
              <w:rPr>
                <w:rFonts w:ascii="Times New Roman" w:hAnsi="Times New Roman" w:eastAsia="Times New Roman" w:cs="Times New Roman"/>
              </w:rPr>
              <w:t>XGBoost, Ensemble</w:t>
            </w:r>
          </w:p>
        </w:tc>
        <w:tc>
          <w:tcPr>
            <w:tcW w:w="1262" w:type="dxa"/>
            <w:vAlign w:val="center"/>
          </w:tcPr>
          <w:p w14:paraId="4ED2BA3B">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053F57F5">
            <w:pPr>
              <w:rPr>
                <w:rFonts w:ascii="Times New Roman" w:hAnsi="Times New Roman" w:eastAsia="Times New Roman" w:cs="Times New Roman"/>
              </w:rPr>
            </w:pPr>
            <w:r>
              <w:rPr>
                <w:rFonts w:ascii="Times New Roman" w:hAnsi="Times New Roman" w:eastAsia="Times New Roman" w:cs="Times New Roman"/>
              </w:rPr>
              <w:t>0.919</w:t>
            </w:r>
          </w:p>
        </w:tc>
      </w:tr>
      <w:tr w14:paraId="21EBC91F">
        <w:tblPrEx>
          <w:tblCellMar>
            <w:top w:w="15" w:type="dxa"/>
            <w:left w:w="15" w:type="dxa"/>
            <w:bottom w:w="15" w:type="dxa"/>
            <w:right w:w="15" w:type="dxa"/>
          </w:tblCellMar>
        </w:tblPrEx>
        <w:trPr>
          <w:trHeight w:val="720" w:hRule="atLeast"/>
          <w:tblCellSpacing w:w="15" w:type="dxa"/>
        </w:trPr>
        <w:tc>
          <w:tcPr>
            <w:tcW w:w="341" w:type="dxa"/>
            <w:vAlign w:val="center"/>
          </w:tcPr>
          <w:p w14:paraId="1C4F36A9">
            <w:pPr>
              <w:rPr>
                <w:rFonts w:ascii="Times New Roman" w:hAnsi="Times New Roman" w:eastAsia="Times New Roman" w:cs="Times New Roman"/>
              </w:rPr>
            </w:pPr>
            <w:r>
              <w:rPr>
                <w:rFonts w:ascii="Times New Roman" w:hAnsi="Times New Roman" w:eastAsia="Times New Roman" w:cs="Times New Roman"/>
              </w:rPr>
              <w:t>16</w:t>
            </w:r>
          </w:p>
        </w:tc>
        <w:tc>
          <w:tcPr>
            <w:tcW w:w="1685" w:type="dxa"/>
            <w:vAlign w:val="center"/>
          </w:tcPr>
          <w:p w14:paraId="25F0B3EF">
            <w:pPr>
              <w:rPr>
                <w:rFonts w:ascii="Times New Roman" w:hAnsi="Times New Roman" w:eastAsia="Times New Roman" w:cs="Times New Roman"/>
              </w:rPr>
            </w:pPr>
            <w:r>
              <w:rPr>
                <w:rFonts w:ascii="Times New Roman" w:hAnsi="Times New Roman" w:eastAsia="Times New Roman" w:cs="Times New Roman"/>
              </w:rPr>
              <w:t>Moon et al. (2023)</w:t>
            </w:r>
          </w:p>
        </w:tc>
        <w:tc>
          <w:tcPr>
            <w:tcW w:w="1324" w:type="dxa"/>
            <w:vAlign w:val="center"/>
          </w:tcPr>
          <w:p w14:paraId="1E3396B1">
            <w:pPr>
              <w:rPr>
                <w:rFonts w:ascii="Times New Roman" w:hAnsi="Times New Roman" w:eastAsia="Times New Roman" w:cs="Times New Roman"/>
              </w:rPr>
            </w:pPr>
            <w:r>
              <w:rPr>
                <w:rFonts w:ascii="Times New Roman" w:hAnsi="Times New Roman" w:eastAsia="Times New Roman" w:cs="Times New Roman"/>
              </w:rPr>
              <w:t>South Korea</w:t>
            </w:r>
          </w:p>
        </w:tc>
        <w:tc>
          <w:tcPr>
            <w:tcW w:w="1481" w:type="dxa"/>
            <w:vAlign w:val="center"/>
          </w:tcPr>
          <w:p w14:paraId="3C28C6FD">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0366A4B7">
            <w:pPr>
              <w:rPr>
                <w:rFonts w:ascii="Times New Roman" w:hAnsi="Times New Roman" w:eastAsia="Times New Roman" w:cs="Times New Roman"/>
              </w:rPr>
            </w:pPr>
            <w:r>
              <w:rPr>
                <w:rFonts w:ascii="Times New Roman" w:hAnsi="Times New Roman" w:eastAsia="Times New Roman" w:cs="Times New Roman"/>
              </w:rPr>
              <w:t>2,104</w:t>
            </w:r>
          </w:p>
        </w:tc>
        <w:tc>
          <w:tcPr>
            <w:tcW w:w="1549" w:type="dxa"/>
            <w:vAlign w:val="center"/>
          </w:tcPr>
          <w:p w14:paraId="13C9BAED">
            <w:pPr>
              <w:rPr>
                <w:rFonts w:ascii="Times New Roman" w:hAnsi="Times New Roman" w:eastAsia="Times New Roman" w:cs="Times New Roman"/>
              </w:rPr>
            </w:pPr>
            <w:r>
              <w:rPr>
                <w:rFonts w:ascii="Times New Roman" w:hAnsi="Times New Roman" w:eastAsia="Times New Roman" w:cs="Times New Roman"/>
              </w:rPr>
              <w:t>MDS</w:t>
            </w:r>
          </w:p>
        </w:tc>
        <w:tc>
          <w:tcPr>
            <w:tcW w:w="2186" w:type="dxa"/>
            <w:vAlign w:val="center"/>
          </w:tcPr>
          <w:p w14:paraId="3D14E3A6">
            <w:pPr>
              <w:rPr>
                <w:rFonts w:ascii="Times New Roman" w:hAnsi="Times New Roman" w:eastAsia="Times New Roman" w:cs="Times New Roman"/>
              </w:rPr>
            </w:pPr>
            <w:r>
              <w:rPr>
                <w:rFonts w:ascii="Times New Roman" w:hAnsi="Times New Roman" w:eastAsia="Times New Roman" w:cs="Times New Roman"/>
              </w:rPr>
              <w:t>Multi-omics (4 domains)</w:t>
            </w:r>
          </w:p>
        </w:tc>
        <w:tc>
          <w:tcPr>
            <w:tcW w:w="1534" w:type="dxa"/>
            <w:vAlign w:val="center"/>
          </w:tcPr>
          <w:p w14:paraId="656E3111">
            <w:pPr>
              <w:rPr>
                <w:rFonts w:ascii="Times New Roman" w:hAnsi="Times New Roman" w:eastAsia="Times New Roman" w:cs="Times New Roman"/>
              </w:rPr>
            </w:pPr>
            <w:r>
              <w:rPr>
                <w:rFonts w:ascii="Times New Roman" w:hAnsi="Times New Roman" w:eastAsia="Times New Roman" w:cs="Times New Roman"/>
              </w:rPr>
              <w:t>RF, Ensemble</w:t>
            </w:r>
          </w:p>
        </w:tc>
        <w:tc>
          <w:tcPr>
            <w:tcW w:w="1262" w:type="dxa"/>
            <w:vAlign w:val="center"/>
          </w:tcPr>
          <w:p w14:paraId="4F5D4A3E">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48F60A09">
            <w:pPr>
              <w:rPr>
                <w:rFonts w:ascii="Times New Roman" w:hAnsi="Times New Roman" w:eastAsia="Times New Roman" w:cs="Times New Roman"/>
              </w:rPr>
            </w:pPr>
            <w:r>
              <w:rPr>
                <w:rFonts w:ascii="Times New Roman" w:hAnsi="Times New Roman" w:eastAsia="Times New Roman" w:cs="Times New Roman"/>
              </w:rPr>
              <w:t>0.926</w:t>
            </w:r>
          </w:p>
        </w:tc>
      </w:tr>
      <w:tr w14:paraId="0D6A0770">
        <w:tblPrEx>
          <w:tblCellMar>
            <w:top w:w="15" w:type="dxa"/>
            <w:left w:w="15" w:type="dxa"/>
            <w:bottom w:w="15" w:type="dxa"/>
            <w:right w:w="15" w:type="dxa"/>
          </w:tblCellMar>
        </w:tblPrEx>
        <w:trPr>
          <w:trHeight w:val="475" w:hRule="atLeast"/>
          <w:tblCellSpacing w:w="15" w:type="dxa"/>
        </w:trPr>
        <w:tc>
          <w:tcPr>
            <w:tcW w:w="341" w:type="dxa"/>
            <w:vAlign w:val="center"/>
          </w:tcPr>
          <w:p w14:paraId="6D8F7989">
            <w:pPr>
              <w:rPr>
                <w:rFonts w:ascii="Times New Roman" w:hAnsi="Times New Roman" w:eastAsia="Times New Roman" w:cs="Times New Roman"/>
              </w:rPr>
            </w:pPr>
            <w:r>
              <w:rPr>
                <w:rFonts w:ascii="Times New Roman" w:hAnsi="Times New Roman" w:eastAsia="Times New Roman" w:cs="Times New Roman"/>
              </w:rPr>
              <w:t>17</w:t>
            </w:r>
          </w:p>
        </w:tc>
        <w:tc>
          <w:tcPr>
            <w:tcW w:w="1685" w:type="dxa"/>
            <w:vAlign w:val="center"/>
          </w:tcPr>
          <w:p w14:paraId="34365D5A">
            <w:pPr>
              <w:rPr>
                <w:rFonts w:ascii="Times New Roman" w:hAnsi="Times New Roman" w:eastAsia="Times New Roman" w:cs="Times New Roman"/>
              </w:rPr>
            </w:pPr>
            <w:r>
              <w:rPr>
                <w:rFonts w:ascii="Times New Roman" w:hAnsi="Times New Roman" w:eastAsia="Times New Roman" w:cs="Times New Roman"/>
              </w:rPr>
              <w:t>Noor et al. (2022)</w:t>
            </w:r>
          </w:p>
        </w:tc>
        <w:tc>
          <w:tcPr>
            <w:tcW w:w="1324" w:type="dxa"/>
            <w:vAlign w:val="center"/>
          </w:tcPr>
          <w:p w14:paraId="24A824C8">
            <w:pPr>
              <w:rPr>
                <w:rFonts w:ascii="Times New Roman" w:hAnsi="Times New Roman" w:eastAsia="Times New Roman" w:cs="Times New Roman"/>
              </w:rPr>
            </w:pPr>
            <w:r>
              <w:rPr>
                <w:rFonts w:ascii="Times New Roman" w:hAnsi="Times New Roman" w:eastAsia="Times New Roman" w:cs="Times New Roman"/>
              </w:rPr>
              <w:t>Germany</w:t>
            </w:r>
          </w:p>
        </w:tc>
        <w:tc>
          <w:tcPr>
            <w:tcW w:w="1481" w:type="dxa"/>
            <w:vAlign w:val="center"/>
          </w:tcPr>
          <w:p w14:paraId="6197D363">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189568CA">
            <w:pPr>
              <w:rPr>
                <w:rFonts w:ascii="Times New Roman" w:hAnsi="Times New Roman" w:eastAsia="Times New Roman" w:cs="Times New Roman"/>
              </w:rPr>
            </w:pPr>
            <w:r>
              <w:rPr>
                <w:rFonts w:ascii="Times New Roman" w:hAnsi="Times New Roman" w:eastAsia="Times New Roman" w:cs="Times New Roman"/>
              </w:rPr>
              <w:t>4,218</w:t>
            </w:r>
          </w:p>
        </w:tc>
        <w:tc>
          <w:tcPr>
            <w:tcW w:w="1549" w:type="dxa"/>
            <w:vAlign w:val="center"/>
          </w:tcPr>
          <w:p w14:paraId="36E1CF78">
            <w:pPr>
              <w:rPr>
                <w:rFonts w:ascii="Times New Roman" w:hAnsi="Times New Roman" w:eastAsia="Times New Roman" w:cs="Times New Roman"/>
              </w:rPr>
            </w:pPr>
            <w:r>
              <w:rPr>
                <w:rFonts w:ascii="Times New Roman" w:hAnsi="Times New Roman" w:eastAsia="Times New Roman" w:cs="Times New Roman"/>
              </w:rPr>
              <w:t>CHIP, MDS</w:t>
            </w:r>
          </w:p>
        </w:tc>
        <w:tc>
          <w:tcPr>
            <w:tcW w:w="2186" w:type="dxa"/>
            <w:vAlign w:val="center"/>
          </w:tcPr>
          <w:p w14:paraId="0FE11061">
            <w:pPr>
              <w:rPr>
                <w:rFonts w:ascii="Times New Roman" w:hAnsi="Times New Roman" w:eastAsia="Times New Roman" w:cs="Times New Roman"/>
              </w:rPr>
            </w:pPr>
            <w:r>
              <w:rPr>
                <w:rFonts w:ascii="Times New Roman" w:hAnsi="Times New Roman" w:eastAsia="Times New Roman" w:cs="Times New Roman"/>
              </w:rPr>
              <w:t>Genetic, Morphological</w:t>
            </w:r>
          </w:p>
        </w:tc>
        <w:tc>
          <w:tcPr>
            <w:tcW w:w="1534" w:type="dxa"/>
            <w:vAlign w:val="center"/>
          </w:tcPr>
          <w:p w14:paraId="483E0E4A">
            <w:pPr>
              <w:rPr>
                <w:rFonts w:ascii="Times New Roman" w:hAnsi="Times New Roman" w:eastAsia="Times New Roman" w:cs="Times New Roman"/>
              </w:rPr>
            </w:pPr>
            <w:r>
              <w:rPr>
                <w:rFonts w:ascii="Times New Roman" w:hAnsi="Times New Roman" w:eastAsia="Times New Roman" w:cs="Times New Roman"/>
              </w:rPr>
              <w:t>RF, LR</w:t>
            </w:r>
          </w:p>
        </w:tc>
        <w:tc>
          <w:tcPr>
            <w:tcW w:w="1262" w:type="dxa"/>
            <w:vAlign w:val="center"/>
          </w:tcPr>
          <w:p w14:paraId="0FB6F771">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793F5342">
            <w:pPr>
              <w:rPr>
                <w:rFonts w:ascii="Times New Roman" w:hAnsi="Times New Roman" w:eastAsia="Times New Roman" w:cs="Times New Roman"/>
              </w:rPr>
            </w:pPr>
            <w:r>
              <w:rPr>
                <w:rFonts w:ascii="Times New Roman" w:hAnsi="Times New Roman" w:eastAsia="Times New Roman" w:cs="Times New Roman"/>
              </w:rPr>
              <w:t>0.883</w:t>
            </w:r>
          </w:p>
        </w:tc>
      </w:tr>
      <w:tr w14:paraId="2865C5ED">
        <w:tblPrEx>
          <w:tblCellMar>
            <w:top w:w="15" w:type="dxa"/>
            <w:left w:w="15" w:type="dxa"/>
            <w:bottom w:w="15" w:type="dxa"/>
            <w:right w:w="15" w:type="dxa"/>
          </w:tblCellMar>
        </w:tblPrEx>
        <w:trPr>
          <w:trHeight w:val="720" w:hRule="atLeast"/>
          <w:tblCellSpacing w:w="15" w:type="dxa"/>
        </w:trPr>
        <w:tc>
          <w:tcPr>
            <w:tcW w:w="341" w:type="dxa"/>
            <w:vAlign w:val="center"/>
          </w:tcPr>
          <w:p w14:paraId="37ABFBED">
            <w:pPr>
              <w:rPr>
                <w:rFonts w:ascii="Times New Roman" w:hAnsi="Times New Roman" w:eastAsia="Times New Roman" w:cs="Times New Roman"/>
              </w:rPr>
            </w:pPr>
            <w:r>
              <w:rPr>
                <w:rFonts w:ascii="Times New Roman" w:hAnsi="Times New Roman" w:eastAsia="Times New Roman" w:cs="Times New Roman"/>
              </w:rPr>
              <w:t>18</w:t>
            </w:r>
          </w:p>
        </w:tc>
        <w:tc>
          <w:tcPr>
            <w:tcW w:w="1685" w:type="dxa"/>
            <w:vAlign w:val="center"/>
          </w:tcPr>
          <w:p w14:paraId="5BEC7B54">
            <w:pPr>
              <w:rPr>
                <w:rFonts w:ascii="Times New Roman" w:hAnsi="Times New Roman" w:eastAsia="Times New Roman" w:cs="Times New Roman"/>
              </w:rPr>
            </w:pPr>
            <w:r>
              <w:rPr>
                <w:rFonts w:ascii="Times New Roman" w:hAnsi="Times New Roman" w:eastAsia="Times New Roman" w:cs="Times New Roman"/>
              </w:rPr>
              <w:t>Papaemmanuil et al. (2022)</w:t>
            </w:r>
          </w:p>
        </w:tc>
        <w:tc>
          <w:tcPr>
            <w:tcW w:w="1324" w:type="dxa"/>
            <w:vAlign w:val="center"/>
          </w:tcPr>
          <w:p w14:paraId="1A442341">
            <w:pPr>
              <w:rPr>
                <w:rFonts w:ascii="Times New Roman" w:hAnsi="Times New Roman" w:eastAsia="Times New Roman" w:cs="Times New Roman"/>
              </w:rPr>
            </w:pPr>
            <w:r>
              <w:rPr>
                <w:rFonts w:ascii="Times New Roman" w:hAnsi="Times New Roman" w:eastAsia="Times New Roman" w:cs="Times New Roman"/>
              </w:rPr>
              <w:t>UK</w:t>
            </w:r>
          </w:p>
        </w:tc>
        <w:tc>
          <w:tcPr>
            <w:tcW w:w="1481" w:type="dxa"/>
            <w:vAlign w:val="center"/>
          </w:tcPr>
          <w:p w14:paraId="43093101">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52A9DCA3">
            <w:pPr>
              <w:rPr>
                <w:rFonts w:ascii="Times New Roman" w:hAnsi="Times New Roman" w:eastAsia="Times New Roman" w:cs="Times New Roman"/>
              </w:rPr>
            </w:pPr>
            <w:r>
              <w:rPr>
                <w:rFonts w:ascii="Times New Roman" w:hAnsi="Times New Roman" w:eastAsia="Times New Roman" w:cs="Times New Roman"/>
              </w:rPr>
              <w:t>3,874</w:t>
            </w:r>
          </w:p>
        </w:tc>
        <w:tc>
          <w:tcPr>
            <w:tcW w:w="1549" w:type="dxa"/>
            <w:vAlign w:val="center"/>
          </w:tcPr>
          <w:p w14:paraId="59823AEC">
            <w:pPr>
              <w:rPr>
                <w:rFonts w:ascii="Times New Roman" w:hAnsi="Times New Roman" w:eastAsia="Times New Roman" w:cs="Times New Roman"/>
              </w:rPr>
            </w:pPr>
            <w:r>
              <w:rPr>
                <w:rFonts w:ascii="Times New Roman" w:hAnsi="Times New Roman" w:eastAsia="Times New Roman" w:cs="Times New Roman"/>
              </w:rPr>
              <w:t>MDS</w:t>
            </w:r>
          </w:p>
        </w:tc>
        <w:tc>
          <w:tcPr>
            <w:tcW w:w="2186" w:type="dxa"/>
            <w:vAlign w:val="center"/>
          </w:tcPr>
          <w:p w14:paraId="741B442D">
            <w:pPr>
              <w:rPr>
                <w:rFonts w:ascii="Times New Roman" w:hAnsi="Times New Roman" w:eastAsia="Times New Roman" w:cs="Times New Roman"/>
              </w:rPr>
            </w:pPr>
            <w:r>
              <w:rPr>
                <w:rFonts w:ascii="Times New Roman" w:hAnsi="Times New Roman" w:eastAsia="Times New Roman" w:cs="Times New Roman"/>
              </w:rPr>
              <w:t>Genetic</w:t>
            </w:r>
          </w:p>
        </w:tc>
        <w:tc>
          <w:tcPr>
            <w:tcW w:w="1534" w:type="dxa"/>
            <w:vAlign w:val="center"/>
          </w:tcPr>
          <w:p w14:paraId="55136762">
            <w:pPr>
              <w:rPr>
                <w:rFonts w:ascii="Times New Roman" w:hAnsi="Times New Roman" w:eastAsia="Times New Roman" w:cs="Times New Roman"/>
              </w:rPr>
            </w:pPr>
            <w:r>
              <w:rPr>
                <w:rFonts w:ascii="Times New Roman" w:hAnsi="Times New Roman" w:eastAsia="Times New Roman" w:cs="Times New Roman"/>
              </w:rPr>
              <w:t>RF, SVM</w:t>
            </w:r>
          </w:p>
        </w:tc>
        <w:tc>
          <w:tcPr>
            <w:tcW w:w="1262" w:type="dxa"/>
            <w:vAlign w:val="center"/>
          </w:tcPr>
          <w:p w14:paraId="64721050">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06E8B49E">
            <w:pPr>
              <w:rPr>
                <w:rFonts w:ascii="Times New Roman" w:hAnsi="Times New Roman" w:eastAsia="Times New Roman" w:cs="Times New Roman"/>
              </w:rPr>
            </w:pPr>
            <w:r>
              <w:rPr>
                <w:rFonts w:ascii="Times New Roman" w:hAnsi="Times New Roman" w:eastAsia="Times New Roman" w:cs="Times New Roman"/>
              </w:rPr>
              <w:t>0.894</w:t>
            </w:r>
          </w:p>
        </w:tc>
      </w:tr>
      <w:tr w14:paraId="6648B9D3">
        <w:tblPrEx>
          <w:tblCellMar>
            <w:top w:w="15" w:type="dxa"/>
            <w:left w:w="15" w:type="dxa"/>
            <w:bottom w:w="15" w:type="dxa"/>
            <w:right w:w="15" w:type="dxa"/>
          </w:tblCellMar>
        </w:tblPrEx>
        <w:trPr>
          <w:trHeight w:val="720" w:hRule="atLeast"/>
          <w:tblCellSpacing w:w="15" w:type="dxa"/>
        </w:trPr>
        <w:tc>
          <w:tcPr>
            <w:tcW w:w="341" w:type="dxa"/>
            <w:vAlign w:val="center"/>
          </w:tcPr>
          <w:p w14:paraId="6366D53C">
            <w:pPr>
              <w:rPr>
                <w:rFonts w:ascii="Times New Roman" w:hAnsi="Times New Roman" w:eastAsia="Times New Roman" w:cs="Times New Roman"/>
              </w:rPr>
            </w:pPr>
            <w:r>
              <w:rPr>
                <w:rFonts w:ascii="Times New Roman" w:hAnsi="Times New Roman" w:eastAsia="Times New Roman" w:cs="Times New Roman"/>
              </w:rPr>
              <w:t>19</w:t>
            </w:r>
          </w:p>
        </w:tc>
        <w:tc>
          <w:tcPr>
            <w:tcW w:w="1685" w:type="dxa"/>
            <w:vAlign w:val="center"/>
          </w:tcPr>
          <w:p w14:paraId="7B0F4B37">
            <w:pPr>
              <w:rPr>
                <w:rFonts w:ascii="Times New Roman" w:hAnsi="Times New Roman" w:eastAsia="Times New Roman" w:cs="Times New Roman"/>
              </w:rPr>
            </w:pPr>
            <w:r>
              <w:rPr>
                <w:rFonts w:ascii="Times New Roman" w:hAnsi="Times New Roman" w:eastAsia="Times New Roman" w:cs="Times New Roman"/>
              </w:rPr>
              <w:t>Peng et al. (2023)</w:t>
            </w:r>
          </w:p>
        </w:tc>
        <w:tc>
          <w:tcPr>
            <w:tcW w:w="1324" w:type="dxa"/>
            <w:vAlign w:val="center"/>
          </w:tcPr>
          <w:p w14:paraId="14C576D1">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766BF0E3">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260520D0">
            <w:pPr>
              <w:rPr>
                <w:rFonts w:ascii="Times New Roman" w:hAnsi="Times New Roman" w:eastAsia="Times New Roman" w:cs="Times New Roman"/>
              </w:rPr>
            </w:pPr>
            <w:r>
              <w:rPr>
                <w:rFonts w:ascii="Times New Roman" w:hAnsi="Times New Roman" w:eastAsia="Times New Roman" w:cs="Times New Roman"/>
              </w:rPr>
              <w:t>312</w:t>
            </w:r>
          </w:p>
        </w:tc>
        <w:tc>
          <w:tcPr>
            <w:tcW w:w="1549" w:type="dxa"/>
            <w:vAlign w:val="center"/>
          </w:tcPr>
          <w:p w14:paraId="2DC89837">
            <w:pPr>
              <w:rPr>
                <w:rFonts w:ascii="Times New Roman" w:hAnsi="Times New Roman" w:eastAsia="Times New Roman" w:cs="Times New Roman"/>
              </w:rPr>
            </w:pPr>
            <w:r>
              <w:rPr>
                <w:rFonts w:ascii="Times New Roman" w:hAnsi="Times New Roman" w:eastAsia="Times New Roman" w:cs="Times New Roman"/>
              </w:rPr>
              <w:t>CLL, Reactive</w:t>
            </w:r>
          </w:p>
        </w:tc>
        <w:tc>
          <w:tcPr>
            <w:tcW w:w="2186" w:type="dxa"/>
            <w:vAlign w:val="center"/>
          </w:tcPr>
          <w:p w14:paraId="038448DB">
            <w:pPr>
              <w:rPr>
                <w:rFonts w:ascii="Times New Roman" w:hAnsi="Times New Roman" w:eastAsia="Times New Roman" w:cs="Times New Roman"/>
              </w:rPr>
            </w:pPr>
            <w:r>
              <w:rPr>
                <w:rFonts w:ascii="Times New Roman" w:hAnsi="Times New Roman" w:eastAsia="Times New Roman" w:cs="Times New Roman"/>
              </w:rPr>
              <w:t>Immunophenotypic</w:t>
            </w:r>
          </w:p>
        </w:tc>
        <w:tc>
          <w:tcPr>
            <w:tcW w:w="1534" w:type="dxa"/>
            <w:vAlign w:val="center"/>
          </w:tcPr>
          <w:p w14:paraId="04EBA8FE">
            <w:pPr>
              <w:rPr>
                <w:rFonts w:ascii="Times New Roman" w:hAnsi="Times New Roman" w:eastAsia="Times New Roman" w:cs="Times New Roman"/>
              </w:rPr>
            </w:pPr>
            <w:r>
              <w:rPr>
                <w:rFonts w:ascii="Times New Roman" w:hAnsi="Times New Roman" w:eastAsia="Times New Roman" w:cs="Times New Roman"/>
              </w:rPr>
              <w:t>SVM</w:t>
            </w:r>
          </w:p>
        </w:tc>
        <w:tc>
          <w:tcPr>
            <w:tcW w:w="1262" w:type="dxa"/>
            <w:vAlign w:val="center"/>
          </w:tcPr>
          <w:p w14:paraId="5FBECAEC">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357BB7D8">
            <w:pPr>
              <w:rPr>
                <w:rFonts w:ascii="Times New Roman" w:hAnsi="Times New Roman" w:eastAsia="Times New Roman" w:cs="Times New Roman"/>
              </w:rPr>
            </w:pPr>
            <w:r>
              <w:rPr>
                <w:rFonts w:ascii="Times New Roman" w:hAnsi="Times New Roman" w:eastAsia="Times New Roman" w:cs="Times New Roman"/>
              </w:rPr>
              <w:t>0.868</w:t>
            </w:r>
          </w:p>
        </w:tc>
      </w:tr>
      <w:tr w14:paraId="34DDE127">
        <w:tblPrEx>
          <w:tblCellMar>
            <w:top w:w="15" w:type="dxa"/>
            <w:left w:w="15" w:type="dxa"/>
            <w:bottom w:w="15" w:type="dxa"/>
            <w:right w:w="15" w:type="dxa"/>
          </w:tblCellMar>
        </w:tblPrEx>
        <w:trPr>
          <w:trHeight w:val="720" w:hRule="atLeast"/>
          <w:tblCellSpacing w:w="15" w:type="dxa"/>
        </w:trPr>
        <w:tc>
          <w:tcPr>
            <w:tcW w:w="341" w:type="dxa"/>
            <w:vAlign w:val="center"/>
          </w:tcPr>
          <w:p w14:paraId="0F0DC41F">
            <w:pPr>
              <w:rPr>
                <w:rFonts w:ascii="Times New Roman" w:hAnsi="Times New Roman" w:eastAsia="Times New Roman" w:cs="Times New Roman"/>
              </w:rPr>
            </w:pPr>
            <w:r>
              <w:rPr>
                <w:rFonts w:ascii="Times New Roman" w:hAnsi="Times New Roman" w:eastAsia="Times New Roman" w:cs="Times New Roman"/>
              </w:rPr>
              <w:t>20</w:t>
            </w:r>
          </w:p>
        </w:tc>
        <w:tc>
          <w:tcPr>
            <w:tcW w:w="1685" w:type="dxa"/>
            <w:vAlign w:val="center"/>
          </w:tcPr>
          <w:p w14:paraId="1E29A564">
            <w:pPr>
              <w:rPr>
                <w:rFonts w:ascii="Times New Roman" w:hAnsi="Times New Roman" w:eastAsia="Times New Roman" w:cs="Times New Roman"/>
              </w:rPr>
            </w:pPr>
            <w:r>
              <w:rPr>
                <w:rFonts w:ascii="Times New Roman" w:hAnsi="Times New Roman" w:eastAsia="Times New Roman" w:cs="Times New Roman"/>
              </w:rPr>
              <w:t>Shen et al. (2023)</w:t>
            </w:r>
          </w:p>
        </w:tc>
        <w:tc>
          <w:tcPr>
            <w:tcW w:w="1324" w:type="dxa"/>
            <w:vAlign w:val="center"/>
          </w:tcPr>
          <w:p w14:paraId="3EBAB5C9">
            <w:pPr>
              <w:rPr>
                <w:rFonts w:ascii="Times New Roman" w:hAnsi="Times New Roman" w:eastAsia="Times New Roman" w:cs="Times New Roman"/>
              </w:rPr>
            </w:pPr>
            <w:r>
              <w:rPr>
                <w:rFonts w:ascii="Times New Roman" w:hAnsi="Times New Roman" w:eastAsia="Times New Roman" w:cs="Times New Roman"/>
              </w:rPr>
              <w:t>USA</w:t>
            </w:r>
          </w:p>
        </w:tc>
        <w:tc>
          <w:tcPr>
            <w:tcW w:w="1481" w:type="dxa"/>
            <w:vAlign w:val="center"/>
          </w:tcPr>
          <w:p w14:paraId="1BDCAC4D">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7BCAB600">
            <w:pPr>
              <w:rPr>
                <w:rFonts w:ascii="Times New Roman" w:hAnsi="Times New Roman" w:eastAsia="Times New Roman" w:cs="Times New Roman"/>
              </w:rPr>
            </w:pPr>
            <w:r>
              <w:rPr>
                <w:rFonts w:ascii="Times New Roman" w:hAnsi="Times New Roman" w:eastAsia="Times New Roman" w:cs="Times New Roman"/>
              </w:rPr>
              <w:t>1,643</w:t>
            </w:r>
          </w:p>
        </w:tc>
        <w:tc>
          <w:tcPr>
            <w:tcW w:w="1549" w:type="dxa"/>
            <w:vAlign w:val="center"/>
          </w:tcPr>
          <w:p w14:paraId="2AB50866">
            <w:pPr>
              <w:rPr>
                <w:rFonts w:ascii="Times New Roman" w:hAnsi="Times New Roman" w:eastAsia="Times New Roman" w:cs="Times New Roman"/>
              </w:rPr>
            </w:pPr>
            <w:r>
              <w:rPr>
                <w:rFonts w:ascii="Times New Roman" w:hAnsi="Times New Roman" w:eastAsia="Times New Roman" w:cs="Times New Roman"/>
              </w:rPr>
              <w:t>AML, MDS, CLL</w:t>
            </w:r>
          </w:p>
        </w:tc>
        <w:tc>
          <w:tcPr>
            <w:tcW w:w="2186" w:type="dxa"/>
            <w:vAlign w:val="center"/>
          </w:tcPr>
          <w:p w14:paraId="7E100831">
            <w:pPr>
              <w:rPr>
                <w:rFonts w:ascii="Times New Roman" w:hAnsi="Times New Roman" w:eastAsia="Times New Roman" w:cs="Times New Roman"/>
              </w:rPr>
            </w:pPr>
            <w:r>
              <w:rPr>
                <w:rFonts w:ascii="Times New Roman" w:hAnsi="Times New Roman" w:eastAsia="Times New Roman" w:cs="Times New Roman"/>
              </w:rPr>
              <w:t>Epigenetic</w:t>
            </w:r>
          </w:p>
        </w:tc>
        <w:tc>
          <w:tcPr>
            <w:tcW w:w="1534" w:type="dxa"/>
            <w:vAlign w:val="center"/>
          </w:tcPr>
          <w:p w14:paraId="48174985">
            <w:pPr>
              <w:rPr>
                <w:rFonts w:ascii="Times New Roman" w:hAnsi="Times New Roman" w:eastAsia="Times New Roman" w:cs="Times New Roman"/>
              </w:rPr>
            </w:pPr>
            <w:r>
              <w:rPr>
                <w:rFonts w:ascii="Times New Roman" w:hAnsi="Times New Roman" w:eastAsia="Times New Roman" w:cs="Times New Roman"/>
              </w:rPr>
              <w:t>RF, DL</w:t>
            </w:r>
          </w:p>
        </w:tc>
        <w:tc>
          <w:tcPr>
            <w:tcW w:w="1262" w:type="dxa"/>
            <w:vAlign w:val="center"/>
          </w:tcPr>
          <w:p w14:paraId="406C47C3">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1509D284">
            <w:pPr>
              <w:rPr>
                <w:rFonts w:ascii="Times New Roman" w:hAnsi="Times New Roman" w:eastAsia="Times New Roman" w:cs="Times New Roman"/>
              </w:rPr>
            </w:pPr>
            <w:r>
              <w:rPr>
                <w:rFonts w:ascii="Times New Roman" w:hAnsi="Times New Roman" w:eastAsia="Times New Roman" w:cs="Times New Roman"/>
              </w:rPr>
              <w:t>0.916</w:t>
            </w:r>
          </w:p>
        </w:tc>
      </w:tr>
      <w:tr w14:paraId="72C138BB">
        <w:tblPrEx>
          <w:tblCellMar>
            <w:top w:w="15" w:type="dxa"/>
            <w:left w:w="15" w:type="dxa"/>
            <w:bottom w:w="15" w:type="dxa"/>
            <w:right w:w="15" w:type="dxa"/>
          </w:tblCellMar>
        </w:tblPrEx>
        <w:trPr>
          <w:trHeight w:val="720" w:hRule="atLeast"/>
          <w:tblCellSpacing w:w="15" w:type="dxa"/>
        </w:trPr>
        <w:tc>
          <w:tcPr>
            <w:tcW w:w="341" w:type="dxa"/>
            <w:vAlign w:val="center"/>
          </w:tcPr>
          <w:p w14:paraId="3F136EC8">
            <w:pPr>
              <w:rPr>
                <w:rFonts w:ascii="Times New Roman" w:hAnsi="Times New Roman" w:eastAsia="Times New Roman" w:cs="Times New Roman"/>
              </w:rPr>
            </w:pPr>
            <w:r>
              <w:rPr>
                <w:rFonts w:ascii="Times New Roman" w:hAnsi="Times New Roman" w:eastAsia="Times New Roman" w:cs="Times New Roman"/>
              </w:rPr>
              <w:t>21</w:t>
            </w:r>
          </w:p>
        </w:tc>
        <w:tc>
          <w:tcPr>
            <w:tcW w:w="1685" w:type="dxa"/>
            <w:vAlign w:val="center"/>
          </w:tcPr>
          <w:p w14:paraId="678DD1C9">
            <w:pPr>
              <w:rPr>
                <w:rFonts w:ascii="Times New Roman" w:hAnsi="Times New Roman" w:eastAsia="Times New Roman" w:cs="Times New Roman"/>
              </w:rPr>
            </w:pPr>
            <w:r>
              <w:rPr>
                <w:rFonts w:ascii="Times New Roman" w:hAnsi="Times New Roman" w:eastAsia="Times New Roman" w:cs="Times New Roman"/>
              </w:rPr>
              <w:t>Tambe et al. (2023)</w:t>
            </w:r>
          </w:p>
        </w:tc>
        <w:tc>
          <w:tcPr>
            <w:tcW w:w="1324" w:type="dxa"/>
            <w:vAlign w:val="center"/>
          </w:tcPr>
          <w:p w14:paraId="46B5F1C6">
            <w:pPr>
              <w:rPr>
                <w:rFonts w:ascii="Times New Roman" w:hAnsi="Times New Roman" w:eastAsia="Times New Roman" w:cs="Times New Roman"/>
              </w:rPr>
            </w:pPr>
            <w:r>
              <w:rPr>
                <w:rFonts w:ascii="Times New Roman" w:hAnsi="Times New Roman" w:eastAsia="Times New Roman" w:cs="Times New Roman"/>
              </w:rPr>
              <w:t>India</w:t>
            </w:r>
          </w:p>
        </w:tc>
        <w:tc>
          <w:tcPr>
            <w:tcW w:w="1481" w:type="dxa"/>
            <w:vAlign w:val="center"/>
          </w:tcPr>
          <w:p w14:paraId="4D090608">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6E393739">
            <w:pPr>
              <w:rPr>
                <w:rFonts w:ascii="Times New Roman" w:hAnsi="Times New Roman" w:eastAsia="Times New Roman" w:cs="Times New Roman"/>
              </w:rPr>
            </w:pPr>
            <w:r>
              <w:rPr>
                <w:rFonts w:ascii="Times New Roman" w:hAnsi="Times New Roman" w:eastAsia="Times New Roman" w:cs="Times New Roman"/>
              </w:rPr>
              <w:t>418</w:t>
            </w:r>
          </w:p>
        </w:tc>
        <w:tc>
          <w:tcPr>
            <w:tcW w:w="1549" w:type="dxa"/>
            <w:vAlign w:val="center"/>
          </w:tcPr>
          <w:p w14:paraId="24086924">
            <w:pPr>
              <w:rPr>
                <w:rFonts w:ascii="Times New Roman" w:hAnsi="Times New Roman" w:eastAsia="Times New Roman" w:cs="Times New Roman"/>
              </w:rPr>
            </w:pPr>
            <w:r>
              <w:rPr>
                <w:rFonts w:ascii="Times New Roman" w:hAnsi="Times New Roman" w:eastAsia="Times New Roman" w:cs="Times New Roman"/>
              </w:rPr>
              <w:t>AML, ALL</w:t>
            </w:r>
          </w:p>
        </w:tc>
        <w:tc>
          <w:tcPr>
            <w:tcW w:w="2186" w:type="dxa"/>
            <w:vAlign w:val="center"/>
          </w:tcPr>
          <w:p w14:paraId="71B63F0D">
            <w:pPr>
              <w:rPr>
                <w:rFonts w:ascii="Times New Roman" w:hAnsi="Times New Roman" w:eastAsia="Times New Roman" w:cs="Times New Roman"/>
              </w:rPr>
            </w:pPr>
            <w:r>
              <w:rPr>
                <w:rFonts w:ascii="Times New Roman" w:hAnsi="Times New Roman" w:eastAsia="Times New Roman" w:cs="Times New Roman"/>
              </w:rPr>
              <w:t>Morphological</w:t>
            </w:r>
          </w:p>
        </w:tc>
        <w:tc>
          <w:tcPr>
            <w:tcW w:w="1534" w:type="dxa"/>
            <w:vAlign w:val="center"/>
          </w:tcPr>
          <w:p w14:paraId="779DBFAB">
            <w:pPr>
              <w:rPr>
                <w:rFonts w:ascii="Times New Roman" w:hAnsi="Times New Roman" w:eastAsia="Times New Roman" w:cs="Times New Roman"/>
              </w:rPr>
            </w:pPr>
            <w:r>
              <w:rPr>
                <w:rFonts w:ascii="Times New Roman" w:hAnsi="Times New Roman" w:eastAsia="Times New Roman" w:cs="Times New Roman"/>
              </w:rPr>
              <w:t>CNN</w:t>
            </w:r>
          </w:p>
        </w:tc>
        <w:tc>
          <w:tcPr>
            <w:tcW w:w="1262" w:type="dxa"/>
            <w:vAlign w:val="center"/>
          </w:tcPr>
          <w:p w14:paraId="79CEFD53">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14D96340">
            <w:pPr>
              <w:rPr>
                <w:rFonts w:ascii="Times New Roman" w:hAnsi="Times New Roman" w:eastAsia="Times New Roman" w:cs="Times New Roman"/>
              </w:rPr>
            </w:pPr>
            <w:r>
              <w:rPr>
                <w:rFonts w:ascii="Times New Roman" w:hAnsi="Times New Roman" w:eastAsia="Times New Roman" w:cs="Times New Roman"/>
              </w:rPr>
              <w:t>0.871</w:t>
            </w:r>
          </w:p>
        </w:tc>
      </w:tr>
      <w:tr w14:paraId="5D47B5B1">
        <w:tblPrEx>
          <w:tblCellMar>
            <w:top w:w="15" w:type="dxa"/>
            <w:left w:w="15" w:type="dxa"/>
            <w:bottom w:w="15" w:type="dxa"/>
            <w:right w:w="15" w:type="dxa"/>
          </w:tblCellMar>
        </w:tblPrEx>
        <w:trPr>
          <w:trHeight w:val="720" w:hRule="atLeast"/>
          <w:tblCellSpacing w:w="15" w:type="dxa"/>
        </w:trPr>
        <w:tc>
          <w:tcPr>
            <w:tcW w:w="341" w:type="dxa"/>
            <w:vAlign w:val="center"/>
          </w:tcPr>
          <w:p w14:paraId="79AA5DC2">
            <w:pPr>
              <w:rPr>
                <w:rFonts w:ascii="Times New Roman" w:hAnsi="Times New Roman" w:eastAsia="Times New Roman" w:cs="Times New Roman"/>
              </w:rPr>
            </w:pPr>
            <w:r>
              <w:rPr>
                <w:rFonts w:ascii="Times New Roman" w:hAnsi="Times New Roman" w:eastAsia="Times New Roman" w:cs="Times New Roman"/>
              </w:rPr>
              <w:t>22</w:t>
            </w:r>
          </w:p>
        </w:tc>
        <w:tc>
          <w:tcPr>
            <w:tcW w:w="1685" w:type="dxa"/>
            <w:vAlign w:val="center"/>
          </w:tcPr>
          <w:p w14:paraId="17DBD730">
            <w:pPr>
              <w:rPr>
                <w:rFonts w:ascii="Times New Roman" w:hAnsi="Times New Roman" w:eastAsia="Times New Roman" w:cs="Times New Roman"/>
              </w:rPr>
            </w:pPr>
            <w:r>
              <w:rPr>
                <w:rFonts w:ascii="Times New Roman" w:hAnsi="Times New Roman" w:eastAsia="Times New Roman" w:cs="Times New Roman"/>
              </w:rPr>
              <w:t>Tijssen &amp; Levin (2023)</w:t>
            </w:r>
          </w:p>
        </w:tc>
        <w:tc>
          <w:tcPr>
            <w:tcW w:w="1324" w:type="dxa"/>
            <w:vAlign w:val="center"/>
          </w:tcPr>
          <w:p w14:paraId="67DAFBB7">
            <w:pPr>
              <w:rPr>
                <w:rFonts w:ascii="Times New Roman" w:hAnsi="Times New Roman" w:eastAsia="Times New Roman" w:cs="Times New Roman"/>
              </w:rPr>
            </w:pPr>
            <w:r>
              <w:rPr>
                <w:rFonts w:ascii="Times New Roman" w:hAnsi="Times New Roman" w:eastAsia="Times New Roman" w:cs="Times New Roman"/>
              </w:rPr>
              <w:t>Netherlands</w:t>
            </w:r>
          </w:p>
        </w:tc>
        <w:tc>
          <w:tcPr>
            <w:tcW w:w="1481" w:type="dxa"/>
            <w:vAlign w:val="center"/>
          </w:tcPr>
          <w:p w14:paraId="56F78CEC">
            <w:pPr>
              <w:rPr>
                <w:rFonts w:ascii="Times New Roman" w:hAnsi="Times New Roman" w:eastAsia="Times New Roman" w:cs="Times New Roman"/>
              </w:rPr>
            </w:pPr>
            <w:r>
              <w:rPr>
                <w:rFonts w:ascii="Times New Roman" w:hAnsi="Times New Roman" w:eastAsia="Times New Roman" w:cs="Times New Roman"/>
              </w:rPr>
              <w:t>Prospective</w:t>
            </w:r>
          </w:p>
        </w:tc>
        <w:tc>
          <w:tcPr>
            <w:tcW w:w="897" w:type="dxa"/>
            <w:vAlign w:val="center"/>
          </w:tcPr>
          <w:p w14:paraId="71E613B8">
            <w:pPr>
              <w:rPr>
                <w:rFonts w:ascii="Times New Roman" w:hAnsi="Times New Roman" w:eastAsia="Times New Roman" w:cs="Times New Roman"/>
              </w:rPr>
            </w:pPr>
            <w:r>
              <w:rPr>
                <w:rFonts w:ascii="Times New Roman" w:hAnsi="Times New Roman" w:eastAsia="Times New Roman" w:cs="Times New Roman"/>
              </w:rPr>
              <w:t>987</w:t>
            </w:r>
          </w:p>
        </w:tc>
        <w:tc>
          <w:tcPr>
            <w:tcW w:w="1549" w:type="dxa"/>
            <w:vAlign w:val="center"/>
          </w:tcPr>
          <w:p w14:paraId="228F7FD1">
            <w:pPr>
              <w:rPr>
                <w:rFonts w:ascii="Times New Roman" w:hAnsi="Times New Roman" w:eastAsia="Times New Roman" w:cs="Times New Roman"/>
              </w:rPr>
            </w:pPr>
            <w:r>
              <w:rPr>
                <w:rFonts w:ascii="Times New Roman" w:hAnsi="Times New Roman" w:eastAsia="Times New Roman" w:cs="Times New Roman"/>
              </w:rPr>
              <w:t>MDS</w:t>
            </w:r>
          </w:p>
        </w:tc>
        <w:tc>
          <w:tcPr>
            <w:tcW w:w="2186" w:type="dxa"/>
            <w:vAlign w:val="center"/>
          </w:tcPr>
          <w:p w14:paraId="76274612">
            <w:pPr>
              <w:rPr>
                <w:rFonts w:ascii="Times New Roman" w:hAnsi="Times New Roman" w:eastAsia="Times New Roman" w:cs="Times New Roman"/>
              </w:rPr>
            </w:pPr>
            <w:r>
              <w:rPr>
                <w:rFonts w:ascii="Times New Roman" w:hAnsi="Times New Roman" w:eastAsia="Times New Roman" w:cs="Times New Roman"/>
              </w:rPr>
              <w:t>Multi-omics</w:t>
            </w:r>
          </w:p>
        </w:tc>
        <w:tc>
          <w:tcPr>
            <w:tcW w:w="1534" w:type="dxa"/>
            <w:vAlign w:val="center"/>
          </w:tcPr>
          <w:p w14:paraId="5BB815E0">
            <w:pPr>
              <w:rPr>
                <w:rFonts w:ascii="Times New Roman" w:hAnsi="Times New Roman" w:eastAsia="Times New Roman" w:cs="Times New Roman"/>
              </w:rPr>
            </w:pPr>
            <w:r>
              <w:rPr>
                <w:rFonts w:ascii="Times New Roman" w:hAnsi="Times New Roman" w:eastAsia="Times New Roman" w:cs="Times New Roman"/>
              </w:rPr>
              <w:t>DL</w:t>
            </w:r>
          </w:p>
        </w:tc>
        <w:tc>
          <w:tcPr>
            <w:tcW w:w="1262" w:type="dxa"/>
            <w:vAlign w:val="center"/>
          </w:tcPr>
          <w:p w14:paraId="402C1D99">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77784DA5">
            <w:pPr>
              <w:rPr>
                <w:rFonts w:ascii="Times New Roman" w:hAnsi="Times New Roman" w:eastAsia="Times New Roman" w:cs="Times New Roman"/>
              </w:rPr>
            </w:pPr>
            <w:r>
              <w:rPr>
                <w:rFonts w:ascii="Times New Roman" w:hAnsi="Times New Roman" w:eastAsia="Times New Roman" w:cs="Times New Roman"/>
              </w:rPr>
              <w:t>0.908</w:t>
            </w:r>
          </w:p>
        </w:tc>
      </w:tr>
      <w:tr w14:paraId="4921F999">
        <w:tblPrEx>
          <w:tblCellMar>
            <w:top w:w="15" w:type="dxa"/>
            <w:left w:w="15" w:type="dxa"/>
            <w:bottom w:w="15" w:type="dxa"/>
            <w:right w:w="15" w:type="dxa"/>
          </w:tblCellMar>
        </w:tblPrEx>
        <w:trPr>
          <w:trHeight w:val="720" w:hRule="atLeast"/>
          <w:tblCellSpacing w:w="15" w:type="dxa"/>
        </w:trPr>
        <w:tc>
          <w:tcPr>
            <w:tcW w:w="341" w:type="dxa"/>
            <w:vAlign w:val="center"/>
          </w:tcPr>
          <w:p w14:paraId="23121FCB">
            <w:pPr>
              <w:rPr>
                <w:rFonts w:ascii="Times New Roman" w:hAnsi="Times New Roman" w:eastAsia="Times New Roman" w:cs="Times New Roman"/>
              </w:rPr>
            </w:pPr>
            <w:r>
              <w:rPr>
                <w:rFonts w:ascii="Times New Roman" w:hAnsi="Times New Roman" w:eastAsia="Times New Roman" w:cs="Times New Roman"/>
              </w:rPr>
              <w:t>23</w:t>
            </w:r>
          </w:p>
        </w:tc>
        <w:tc>
          <w:tcPr>
            <w:tcW w:w="1685" w:type="dxa"/>
            <w:vAlign w:val="center"/>
          </w:tcPr>
          <w:p w14:paraId="095A7615">
            <w:pPr>
              <w:rPr>
                <w:rFonts w:ascii="Times New Roman" w:hAnsi="Times New Roman" w:eastAsia="Times New Roman" w:cs="Times New Roman"/>
              </w:rPr>
            </w:pPr>
            <w:r>
              <w:rPr>
                <w:rFonts w:ascii="Times New Roman" w:hAnsi="Times New Roman" w:eastAsia="Times New Roman" w:cs="Times New Roman"/>
              </w:rPr>
              <w:t>Wang et al. (2022)</w:t>
            </w:r>
          </w:p>
        </w:tc>
        <w:tc>
          <w:tcPr>
            <w:tcW w:w="1324" w:type="dxa"/>
            <w:vAlign w:val="center"/>
          </w:tcPr>
          <w:p w14:paraId="6E70B41B">
            <w:pPr>
              <w:rPr>
                <w:rFonts w:ascii="Times New Roman" w:hAnsi="Times New Roman" w:eastAsia="Times New Roman" w:cs="Times New Roman"/>
              </w:rPr>
            </w:pPr>
            <w:r>
              <w:rPr>
                <w:rFonts w:ascii="Times New Roman" w:hAnsi="Times New Roman" w:eastAsia="Times New Roman" w:cs="Times New Roman"/>
              </w:rPr>
              <w:t>China</w:t>
            </w:r>
          </w:p>
        </w:tc>
        <w:tc>
          <w:tcPr>
            <w:tcW w:w="1481" w:type="dxa"/>
            <w:vAlign w:val="center"/>
          </w:tcPr>
          <w:p w14:paraId="74BA5DA7">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2CA7B499">
            <w:pPr>
              <w:rPr>
                <w:rFonts w:ascii="Times New Roman" w:hAnsi="Times New Roman" w:eastAsia="Times New Roman" w:cs="Times New Roman"/>
              </w:rPr>
            </w:pPr>
            <w:r>
              <w:rPr>
                <w:rFonts w:ascii="Times New Roman" w:hAnsi="Times New Roman" w:eastAsia="Times New Roman" w:cs="Times New Roman"/>
              </w:rPr>
              <w:t>623</w:t>
            </w:r>
          </w:p>
        </w:tc>
        <w:tc>
          <w:tcPr>
            <w:tcW w:w="1549" w:type="dxa"/>
            <w:vAlign w:val="center"/>
          </w:tcPr>
          <w:p w14:paraId="38C81ED5">
            <w:pPr>
              <w:rPr>
                <w:rFonts w:ascii="Times New Roman" w:hAnsi="Times New Roman" w:eastAsia="Times New Roman" w:cs="Times New Roman"/>
              </w:rPr>
            </w:pPr>
            <w:r>
              <w:rPr>
                <w:rFonts w:ascii="Times New Roman" w:hAnsi="Times New Roman" w:eastAsia="Times New Roman" w:cs="Times New Roman"/>
              </w:rPr>
              <w:t>CLL</w:t>
            </w:r>
          </w:p>
        </w:tc>
        <w:tc>
          <w:tcPr>
            <w:tcW w:w="2186" w:type="dxa"/>
            <w:vAlign w:val="center"/>
          </w:tcPr>
          <w:p w14:paraId="7053B5A1">
            <w:pPr>
              <w:rPr>
                <w:rFonts w:ascii="Times New Roman" w:hAnsi="Times New Roman" w:eastAsia="Times New Roman" w:cs="Times New Roman"/>
              </w:rPr>
            </w:pPr>
            <w:r>
              <w:rPr>
                <w:rFonts w:ascii="Times New Roman" w:hAnsi="Times New Roman" w:eastAsia="Times New Roman" w:cs="Times New Roman"/>
              </w:rPr>
              <w:t>Immunophenotypic, Genetic</w:t>
            </w:r>
          </w:p>
        </w:tc>
        <w:tc>
          <w:tcPr>
            <w:tcW w:w="1534" w:type="dxa"/>
            <w:vAlign w:val="center"/>
          </w:tcPr>
          <w:p w14:paraId="566BE30A">
            <w:pPr>
              <w:rPr>
                <w:rFonts w:ascii="Times New Roman" w:hAnsi="Times New Roman" w:eastAsia="Times New Roman" w:cs="Times New Roman"/>
              </w:rPr>
            </w:pPr>
            <w:r>
              <w:rPr>
                <w:rFonts w:ascii="Times New Roman" w:hAnsi="Times New Roman" w:eastAsia="Times New Roman" w:cs="Times New Roman"/>
              </w:rPr>
              <w:t>RF, SVM, ANN</w:t>
            </w:r>
          </w:p>
        </w:tc>
        <w:tc>
          <w:tcPr>
            <w:tcW w:w="1262" w:type="dxa"/>
            <w:vAlign w:val="center"/>
          </w:tcPr>
          <w:p w14:paraId="03F1D2B9">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6F2DBFBF">
            <w:pPr>
              <w:rPr>
                <w:rFonts w:ascii="Times New Roman" w:hAnsi="Times New Roman" w:eastAsia="Times New Roman" w:cs="Times New Roman"/>
              </w:rPr>
            </w:pPr>
            <w:r>
              <w:rPr>
                <w:rFonts w:ascii="Times New Roman" w:hAnsi="Times New Roman" w:eastAsia="Times New Roman" w:cs="Times New Roman"/>
              </w:rPr>
              <w:t>0.903</w:t>
            </w:r>
          </w:p>
        </w:tc>
      </w:tr>
      <w:tr w14:paraId="0DC2331D">
        <w:tblPrEx>
          <w:tblCellMar>
            <w:top w:w="15" w:type="dxa"/>
            <w:left w:w="15" w:type="dxa"/>
            <w:bottom w:w="15" w:type="dxa"/>
            <w:right w:w="15" w:type="dxa"/>
          </w:tblCellMar>
        </w:tblPrEx>
        <w:trPr>
          <w:trHeight w:val="720" w:hRule="atLeast"/>
          <w:tblCellSpacing w:w="15" w:type="dxa"/>
        </w:trPr>
        <w:tc>
          <w:tcPr>
            <w:tcW w:w="341" w:type="dxa"/>
            <w:vAlign w:val="center"/>
          </w:tcPr>
          <w:p w14:paraId="37713C1F">
            <w:pPr>
              <w:rPr>
                <w:rFonts w:ascii="Times New Roman" w:hAnsi="Times New Roman" w:eastAsia="Times New Roman" w:cs="Times New Roman"/>
              </w:rPr>
            </w:pPr>
            <w:r>
              <w:rPr>
                <w:rFonts w:ascii="Times New Roman" w:hAnsi="Times New Roman" w:eastAsia="Times New Roman" w:cs="Times New Roman"/>
              </w:rPr>
              <w:t>24</w:t>
            </w:r>
          </w:p>
        </w:tc>
        <w:tc>
          <w:tcPr>
            <w:tcW w:w="1685" w:type="dxa"/>
            <w:vAlign w:val="center"/>
          </w:tcPr>
          <w:p w14:paraId="0E1C4D6D">
            <w:pPr>
              <w:rPr>
                <w:rFonts w:ascii="Times New Roman" w:hAnsi="Times New Roman" w:eastAsia="Times New Roman" w:cs="Times New Roman"/>
              </w:rPr>
            </w:pPr>
            <w:r>
              <w:rPr>
                <w:rFonts w:ascii="Times New Roman" w:hAnsi="Times New Roman" w:eastAsia="Times New Roman" w:cs="Times New Roman"/>
              </w:rPr>
              <w:t>Xiao et al. (2023)</w:t>
            </w:r>
          </w:p>
        </w:tc>
        <w:tc>
          <w:tcPr>
            <w:tcW w:w="1324" w:type="dxa"/>
            <w:vAlign w:val="center"/>
          </w:tcPr>
          <w:p w14:paraId="6ED3121B">
            <w:pPr>
              <w:rPr>
                <w:rFonts w:ascii="Times New Roman" w:hAnsi="Times New Roman" w:eastAsia="Times New Roman" w:cs="Times New Roman"/>
              </w:rPr>
            </w:pPr>
            <w:r>
              <w:rPr>
                <w:rFonts w:ascii="Times New Roman" w:hAnsi="Times New Roman" w:eastAsia="Times New Roman" w:cs="Times New Roman"/>
              </w:rPr>
              <w:t>USA</w:t>
            </w:r>
          </w:p>
        </w:tc>
        <w:tc>
          <w:tcPr>
            <w:tcW w:w="1481" w:type="dxa"/>
            <w:vAlign w:val="center"/>
          </w:tcPr>
          <w:p w14:paraId="326A88E6">
            <w:pPr>
              <w:rPr>
                <w:rFonts w:ascii="Times New Roman" w:hAnsi="Times New Roman" w:eastAsia="Times New Roman" w:cs="Times New Roman"/>
              </w:rPr>
            </w:pPr>
            <w:r>
              <w:rPr>
                <w:rFonts w:ascii="Times New Roman" w:hAnsi="Times New Roman" w:eastAsia="Times New Roman" w:cs="Times New Roman"/>
              </w:rPr>
              <w:t>Retrospective</w:t>
            </w:r>
          </w:p>
        </w:tc>
        <w:tc>
          <w:tcPr>
            <w:tcW w:w="897" w:type="dxa"/>
            <w:vAlign w:val="center"/>
          </w:tcPr>
          <w:p w14:paraId="3C12B965">
            <w:pPr>
              <w:rPr>
                <w:rFonts w:ascii="Times New Roman" w:hAnsi="Times New Roman" w:eastAsia="Times New Roman" w:cs="Times New Roman"/>
              </w:rPr>
            </w:pPr>
            <w:r>
              <w:rPr>
                <w:rFonts w:ascii="Times New Roman" w:hAnsi="Times New Roman" w:eastAsia="Times New Roman" w:cs="Times New Roman"/>
              </w:rPr>
              <w:t>1,874</w:t>
            </w:r>
          </w:p>
        </w:tc>
        <w:tc>
          <w:tcPr>
            <w:tcW w:w="1549" w:type="dxa"/>
            <w:vAlign w:val="center"/>
          </w:tcPr>
          <w:p w14:paraId="355F295D">
            <w:pPr>
              <w:rPr>
                <w:rFonts w:ascii="Times New Roman" w:hAnsi="Times New Roman" w:eastAsia="Times New Roman" w:cs="Times New Roman"/>
              </w:rPr>
            </w:pPr>
            <w:r>
              <w:rPr>
                <w:rFonts w:ascii="Times New Roman" w:hAnsi="Times New Roman" w:eastAsia="Times New Roman" w:cs="Times New Roman"/>
              </w:rPr>
              <w:t>AML, MDS, Lymphoma</w:t>
            </w:r>
          </w:p>
        </w:tc>
        <w:tc>
          <w:tcPr>
            <w:tcW w:w="2186" w:type="dxa"/>
            <w:vAlign w:val="center"/>
          </w:tcPr>
          <w:p w14:paraId="1EC2AE2D">
            <w:pPr>
              <w:rPr>
                <w:rFonts w:ascii="Times New Roman" w:hAnsi="Times New Roman" w:eastAsia="Times New Roman" w:cs="Times New Roman"/>
              </w:rPr>
            </w:pPr>
            <w:r>
              <w:rPr>
                <w:rFonts w:ascii="Times New Roman" w:hAnsi="Times New Roman" w:eastAsia="Times New Roman" w:cs="Times New Roman"/>
              </w:rPr>
              <w:t>Morphological, Immunophen.</w:t>
            </w:r>
          </w:p>
        </w:tc>
        <w:tc>
          <w:tcPr>
            <w:tcW w:w="1534" w:type="dxa"/>
            <w:vAlign w:val="center"/>
          </w:tcPr>
          <w:p w14:paraId="2DA0C293">
            <w:pPr>
              <w:rPr>
                <w:rFonts w:ascii="Times New Roman" w:hAnsi="Times New Roman" w:eastAsia="Times New Roman" w:cs="Times New Roman"/>
              </w:rPr>
            </w:pPr>
            <w:r>
              <w:rPr>
                <w:rFonts w:ascii="Times New Roman" w:hAnsi="Times New Roman" w:eastAsia="Times New Roman" w:cs="Times New Roman"/>
              </w:rPr>
              <w:t>DL, SHAP</w:t>
            </w:r>
          </w:p>
        </w:tc>
        <w:tc>
          <w:tcPr>
            <w:tcW w:w="1262" w:type="dxa"/>
            <w:vAlign w:val="center"/>
          </w:tcPr>
          <w:p w14:paraId="0B554D29">
            <w:pPr>
              <w:rPr>
                <w:rFonts w:ascii="Times New Roman" w:hAnsi="Times New Roman" w:eastAsia="Times New Roman" w:cs="Times New Roman"/>
              </w:rPr>
            </w:pPr>
            <w:r>
              <w:rPr>
                <w:rFonts w:ascii="Times New Roman" w:hAnsi="Times New Roman" w:eastAsia="Times New Roman" w:cs="Times New Roman"/>
              </w:rPr>
              <w:t>Yes</w:t>
            </w:r>
          </w:p>
        </w:tc>
        <w:tc>
          <w:tcPr>
            <w:tcW w:w="708" w:type="dxa"/>
            <w:vAlign w:val="center"/>
          </w:tcPr>
          <w:p w14:paraId="627DC382">
            <w:pPr>
              <w:rPr>
                <w:rFonts w:ascii="Times New Roman" w:hAnsi="Times New Roman" w:eastAsia="Times New Roman" w:cs="Times New Roman"/>
              </w:rPr>
            </w:pPr>
            <w:r>
              <w:rPr>
                <w:rFonts w:ascii="Times New Roman" w:hAnsi="Times New Roman" w:eastAsia="Times New Roman" w:cs="Times New Roman"/>
              </w:rPr>
              <w:t>0.921</w:t>
            </w:r>
          </w:p>
        </w:tc>
      </w:tr>
      <w:tr w14:paraId="61E5F6A1">
        <w:tblPrEx>
          <w:tblCellMar>
            <w:top w:w="15" w:type="dxa"/>
            <w:left w:w="15" w:type="dxa"/>
            <w:bottom w:w="15" w:type="dxa"/>
            <w:right w:w="15" w:type="dxa"/>
          </w:tblCellMar>
        </w:tblPrEx>
        <w:trPr>
          <w:trHeight w:val="733" w:hRule="atLeast"/>
          <w:tblCellSpacing w:w="15" w:type="dxa"/>
        </w:trPr>
        <w:tc>
          <w:tcPr>
            <w:tcW w:w="341" w:type="dxa"/>
            <w:vAlign w:val="center"/>
          </w:tcPr>
          <w:p w14:paraId="6E2F8DB0">
            <w:pPr>
              <w:rPr>
                <w:rFonts w:ascii="Times New Roman" w:hAnsi="Times New Roman" w:eastAsia="Times New Roman" w:cs="Times New Roman"/>
              </w:rPr>
            </w:pPr>
            <w:r>
              <w:rPr>
                <w:rFonts w:ascii="Times New Roman" w:hAnsi="Times New Roman" w:eastAsia="Times New Roman" w:cs="Times New Roman"/>
              </w:rPr>
              <w:t>25</w:t>
            </w:r>
          </w:p>
        </w:tc>
        <w:tc>
          <w:tcPr>
            <w:tcW w:w="1685" w:type="dxa"/>
            <w:vAlign w:val="center"/>
          </w:tcPr>
          <w:p w14:paraId="315B94F2">
            <w:pPr>
              <w:rPr>
                <w:rFonts w:ascii="Times New Roman" w:hAnsi="Times New Roman" w:eastAsia="Times New Roman" w:cs="Times New Roman"/>
              </w:rPr>
            </w:pPr>
            <w:r>
              <w:rPr>
                <w:rFonts w:ascii="Times New Roman" w:hAnsi="Times New Roman" w:eastAsia="Times New Roman" w:cs="Times New Roman"/>
              </w:rPr>
              <w:t>Zhou et al. (2022)</w:t>
            </w:r>
          </w:p>
        </w:tc>
        <w:tc>
          <w:tcPr>
            <w:tcW w:w="1324" w:type="dxa"/>
            <w:vAlign w:val="center"/>
          </w:tcPr>
          <w:p w14:paraId="216DD312">
            <w:pPr>
              <w:rPr>
                <w:rFonts w:ascii="Times New Roman" w:hAnsi="Times New Roman" w:eastAsia="Times New Roman" w:cs="Times New Roman"/>
              </w:rPr>
            </w:pPr>
            <w:r>
              <w:rPr>
                <w:rFonts w:ascii="Times New Roman" w:hAnsi="Times New Roman" w:eastAsia="Times New Roman" w:cs="Times New Roman"/>
              </w:rPr>
              <w:t>USA</w:t>
            </w:r>
          </w:p>
        </w:tc>
        <w:tc>
          <w:tcPr>
            <w:tcW w:w="1481" w:type="dxa"/>
            <w:vAlign w:val="center"/>
          </w:tcPr>
          <w:p w14:paraId="0D471423">
            <w:pPr>
              <w:rPr>
                <w:rFonts w:ascii="Times New Roman" w:hAnsi="Times New Roman" w:eastAsia="Times New Roman" w:cs="Times New Roman"/>
              </w:rPr>
            </w:pPr>
            <w:r>
              <w:rPr>
                <w:rFonts w:ascii="Times New Roman" w:hAnsi="Times New Roman" w:eastAsia="Times New Roman" w:cs="Times New Roman"/>
              </w:rPr>
              <w:t>Case-control</w:t>
            </w:r>
          </w:p>
        </w:tc>
        <w:tc>
          <w:tcPr>
            <w:tcW w:w="897" w:type="dxa"/>
            <w:vAlign w:val="center"/>
          </w:tcPr>
          <w:p w14:paraId="7ADC37D6">
            <w:pPr>
              <w:rPr>
                <w:rFonts w:ascii="Times New Roman" w:hAnsi="Times New Roman" w:eastAsia="Times New Roman" w:cs="Times New Roman"/>
              </w:rPr>
            </w:pPr>
            <w:r>
              <w:rPr>
                <w:rFonts w:ascii="Times New Roman" w:hAnsi="Times New Roman" w:eastAsia="Times New Roman" w:cs="Times New Roman"/>
              </w:rPr>
              <w:t>521</w:t>
            </w:r>
          </w:p>
        </w:tc>
        <w:tc>
          <w:tcPr>
            <w:tcW w:w="1549" w:type="dxa"/>
            <w:vAlign w:val="center"/>
          </w:tcPr>
          <w:p w14:paraId="6D5704A0">
            <w:pPr>
              <w:rPr>
                <w:rFonts w:ascii="Times New Roman" w:hAnsi="Times New Roman" w:eastAsia="Times New Roman" w:cs="Times New Roman"/>
              </w:rPr>
            </w:pPr>
            <w:r>
              <w:rPr>
                <w:rFonts w:ascii="Times New Roman" w:hAnsi="Times New Roman" w:eastAsia="Times New Roman" w:cs="Times New Roman"/>
              </w:rPr>
              <w:t>Mixed hematological</w:t>
            </w:r>
          </w:p>
        </w:tc>
        <w:tc>
          <w:tcPr>
            <w:tcW w:w="2186" w:type="dxa"/>
            <w:vAlign w:val="center"/>
          </w:tcPr>
          <w:p w14:paraId="3E595FF1">
            <w:pPr>
              <w:rPr>
                <w:rFonts w:ascii="Times New Roman" w:hAnsi="Times New Roman" w:eastAsia="Times New Roman" w:cs="Times New Roman"/>
              </w:rPr>
            </w:pPr>
            <w:r>
              <w:rPr>
                <w:rFonts w:ascii="Times New Roman" w:hAnsi="Times New Roman" w:eastAsia="Times New Roman" w:cs="Times New Roman"/>
              </w:rPr>
              <w:t>Immunophenotypic, Genetic</w:t>
            </w:r>
          </w:p>
        </w:tc>
        <w:tc>
          <w:tcPr>
            <w:tcW w:w="1534" w:type="dxa"/>
            <w:vAlign w:val="center"/>
          </w:tcPr>
          <w:p w14:paraId="05C27719">
            <w:pPr>
              <w:rPr>
                <w:rFonts w:ascii="Times New Roman" w:hAnsi="Times New Roman" w:eastAsia="Times New Roman" w:cs="Times New Roman"/>
              </w:rPr>
            </w:pPr>
            <w:r>
              <w:rPr>
                <w:rFonts w:ascii="Times New Roman" w:hAnsi="Times New Roman" w:eastAsia="Times New Roman" w:cs="Times New Roman"/>
              </w:rPr>
              <w:t>Ensemble</w:t>
            </w:r>
          </w:p>
        </w:tc>
        <w:tc>
          <w:tcPr>
            <w:tcW w:w="1262" w:type="dxa"/>
            <w:vAlign w:val="center"/>
          </w:tcPr>
          <w:p w14:paraId="105FA5B2">
            <w:pPr>
              <w:rPr>
                <w:rFonts w:ascii="Times New Roman" w:hAnsi="Times New Roman" w:eastAsia="Times New Roman" w:cs="Times New Roman"/>
              </w:rPr>
            </w:pPr>
            <w:r>
              <w:rPr>
                <w:rFonts w:ascii="Times New Roman" w:hAnsi="Times New Roman" w:eastAsia="Times New Roman" w:cs="Times New Roman"/>
              </w:rPr>
              <w:t>No</w:t>
            </w:r>
          </w:p>
        </w:tc>
        <w:tc>
          <w:tcPr>
            <w:tcW w:w="708" w:type="dxa"/>
            <w:vAlign w:val="center"/>
          </w:tcPr>
          <w:p w14:paraId="40644633">
            <w:pPr>
              <w:rPr>
                <w:rFonts w:ascii="Times New Roman" w:hAnsi="Times New Roman" w:eastAsia="Times New Roman" w:cs="Times New Roman"/>
              </w:rPr>
            </w:pPr>
            <w:r>
              <w:rPr>
                <w:rFonts w:ascii="Times New Roman" w:hAnsi="Times New Roman" w:eastAsia="Times New Roman" w:cs="Times New Roman"/>
              </w:rPr>
              <w:t>0.886</w:t>
            </w:r>
          </w:p>
        </w:tc>
      </w:tr>
    </w:tbl>
    <w:p w14:paraId="4E33721A">
      <w:pPr>
        <w:spacing w:after="0"/>
        <w:rPr>
          <w:rFonts w:ascii="Times New Roman" w:hAnsi="Times New Roman" w:cs="Times New Roman"/>
          <w:b/>
          <w:bCs/>
        </w:rPr>
        <w:sectPr>
          <w:pgSz w:w="16838" w:h="11906" w:orient="landscape"/>
          <w:pgMar w:top="1800" w:right="1440" w:bottom="1800" w:left="1440" w:header="720" w:footer="720" w:gutter="0"/>
          <w:cols w:space="720" w:num="1"/>
        </w:sectPr>
      </w:pPr>
    </w:p>
    <w:p w14:paraId="26AD33B4">
      <w:pPr>
        <w:spacing w:after="0"/>
        <w:rPr>
          <w:rFonts w:ascii="Times New Roman" w:hAnsi="Times New Roman" w:cs="Times New Roman"/>
          <w:b/>
          <w:bCs/>
        </w:rPr>
      </w:pPr>
    </w:p>
    <w:p w14:paraId="5DA53537">
      <w:pPr>
        <w:spacing w:after="0"/>
        <w:rPr>
          <w:rFonts w:ascii="Times New Roman" w:hAnsi="Times New Roman" w:cs="Times New Roman"/>
        </w:rPr>
      </w:pPr>
      <w:r>
        <w:rPr>
          <w:rFonts w:ascii="Times New Roman" w:hAnsi="Times New Roman" w:cs="Times New Roman"/>
          <w:i/>
          <w:iCs/>
        </w:rPr>
        <w:t>Abbreviations: RF = Random Forest; SVM = Support Vector Machine; ANN = Artificial Neural Network; DL = Deep Learning; CNN = Convolutional Neural Network; LR = Logistic Regression; AML = Acute Myeloid Leukemia; MDS = Myelodysplastic Syndrome; CLL = Chronic Lymphocytic Leukemia; CHIP = Clonal Hematopoiesis of Indeterminate Potential; DLBCL = Diffuse Large B-Cell Lymphoma; ALL = Acute Lymphoblastic Leukemia</w:t>
      </w:r>
    </w:p>
    <w:p w14:paraId="25F75AFF">
      <w:pPr>
        <w:spacing w:after="0"/>
        <w:rPr>
          <w:rFonts w:ascii="Times New Roman" w:hAnsi="Times New Roman" w:cs="Times New Roman"/>
        </w:rPr>
      </w:pPr>
    </w:p>
    <w:p w14:paraId="1D6A9E36">
      <w:pPr>
        <w:spacing w:after="0"/>
        <w:rPr>
          <w:rFonts w:ascii="Times New Roman" w:hAnsi="Times New Roman" w:cs="Times New Roman"/>
          <w:b/>
          <w:bCs/>
        </w:rPr>
      </w:pPr>
    </w:p>
    <w:p w14:paraId="1E445297">
      <w:pPr>
        <w:spacing w:after="0"/>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Pr>
          <w:rFonts w:ascii="Times New Roman" w:hAnsi="Times New Roman" w:cs="Times New Roman"/>
          <w:b/>
          <w:bCs/>
        </w:rPr>
        <w:t>Thematic Synthesis</w:t>
      </w:r>
    </w:p>
    <w:p w14:paraId="3E211D95">
      <w:pPr>
        <w:spacing w:line="360" w:lineRule="auto"/>
        <w:jc w:val="both"/>
        <w:rPr>
          <w:rFonts w:ascii="Times New Roman" w:hAnsi="Times New Roman" w:cs="Times New Roman"/>
        </w:rPr>
      </w:pPr>
      <w:r>
        <w:rPr>
          <w:rFonts w:ascii="Times New Roman" w:hAnsi="Times New Roman" w:cs="Times New Roman"/>
        </w:rPr>
        <w:t>The findings from the 25 selected studies were synthesized thematically under four headings: (1) Machine Learning Algorithm Performance and Comparative Effectiveness, (2) Predictive Biomarker Categories and Multi-Omics Integration, (3) Methodological Quality, Validation Practices, and Reproducibility, and (4) Model Interpretability and Clinical Translatability.</w:t>
      </w:r>
    </w:p>
    <w:p w14:paraId="1778B5D9">
      <w:pPr>
        <w:spacing w:line="360" w:lineRule="auto"/>
        <w:jc w:val="both"/>
        <w:rPr>
          <w:rFonts w:ascii="Times New Roman" w:hAnsi="Times New Roman" w:cs="Times New Roman"/>
          <w:b/>
          <w:bCs/>
        </w:rPr>
      </w:pPr>
      <w:r>
        <w:rPr>
          <w:rFonts w:ascii="Times New Roman" w:hAnsi="Times New Roman" w:cs="Times New Roman"/>
          <w:b/>
          <w:bCs/>
        </w:rPr>
        <w:t>Machine Learning Algorithm Performance and Comparative Effectiveness</w:t>
      </w:r>
    </w:p>
    <w:p w14:paraId="0CE4FBB5">
      <w:pPr>
        <w:spacing w:line="360" w:lineRule="auto"/>
        <w:jc w:val="both"/>
        <w:rPr>
          <w:rFonts w:ascii="Times New Roman" w:hAnsi="Times New Roman" w:cs="Times New Roman"/>
        </w:rPr>
      </w:pPr>
      <w:r>
        <w:rPr>
          <w:rFonts w:ascii="Times New Roman" w:hAnsi="Times New Roman" w:cs="Times New Roman"/>
        </w:rPr>
        <w:t>Across the 25 selected studies, a consistent pattern emerged in algorithm performance rankings. Random Forest was the most widely applied algorithm, appearing in 19 of 25 studies (76%), and was reported as the top-performing single algorithm in 13 studies (52%). AUC-ROC values for RF-based models ranged from 0.856 to 0.932, with a central tendency around 0.895. Support Vector Machine was evaluated in 14 studies and consistently ranked second or third, with reported AUC-ROC values of 0.864–0.907. Deep learning architectures, including multilayer ANNs and CNNs, were applied in 16 studies and showed the widest performance range (0.864–0.932), with the highest absolute values observed in studies using multi-omics input data of sufficient sample size. Gradient boosting methods, including XGBoost and LightGBM, featured in 8 studies and performed comparably to RF in studies where both were evaluated, with marginal differences rarely exceeding statistical significance (Bolocan et al., 2023; Cui et al., 2021; Liu et al., 2023).</w:t>
      </w:r>
    </w:p>
    <w:p w14:paraId="4799193C">
      <w:pPr>
        <w:spacing w:line="360" w:lineRule="auto"/>
        <w:jc w:val="both"/>
        <w:rPr>
          <w:rFonts w:ascii="Times New Roman" w:hAnsi="Times New Roman" w:cs="Times New Roman"/>
        </w:rPr>
      </w:pPr>
      <w:r>
        <w:rPr>
          <w:rFonts w:ascii="Times New Roman" w:hAnsi="Times New Roman" w:cs="Times New Roman"/>
        </w:rPr>
        <w:t>Ensemble methods combining predictions from multiple base learners through soft voting or stacking were reported in 9 of 25 studies and uniformly achieved the highest performance within those studies, with AUC-ROC values of 0.886–0.932. In studies directly comparing ensemble with single-algorithm models, the accuracy improvement attributable to ensembling ranged from 0.8% to 3.4%, though statistical significance (assessed by DeLong's test in 6 studies) was reached in only 4 of those 6 comparisons (Fabian et al., 2023; Moon et al., 2023; Zhou et al., 2022). Notably, the studies achieving the highest overall AUC-ROC values  Fabian et al. (2023) at 0.932 and Moon et al. (2023) at 0.926 combined ensemble algorithms with four-domain multi-omics input, suggesting that algorithm architecture and feature richness have interactive rather than independent effects on performance. Studies relying on a single feature domain consistently showed lower ceilings regardless of algorithm sophistication, underscoring the primacy of feature integration over algorithm selection in this classification task.</w:t>
      </w:r>
    </w:p>
    <w:p w14:paraId="5769DB67">
      <w:pPr>
        <w:spacing w:line="360" w:lineRule="auto"/>
        <w:jc w:val="both"/>
        <w:rPr>
          <w:rFonts w:ascii="Times New Roman" w:hAnsi="Times New Roman" w:cs="Times New Roman"/>
          <w:b/>
          <w:bCs/>
        </w:rPr>
      </w:pPr>
      <w:r>
        <w:rPr>
          <w:rFonts w:ascii="Times New Roman" w:hAnsi="Times New Roman" w:cs="Times New Roman"/>
          <w:b/>
          <w:bCs/>
        </w:rPr>
        <w:t>Predictive Biomarker Categories and Multi-Omics Integration</w:t>
      </w:r>
    </w:p>
    <w:p w14:paraId="1312D8A2">
      <w:pPr>
        <w:spacing w:line="360" w:lineRule="auto"/>
        <w:jc w:val="both"/>
        <w:rPr>
          <w:rFonts w:ascii="Times New Roman" w:hAnsi="Times New Roman" w:cs="Times New Roman"/>
        </w:rPr>
      </w:pPr>
      <w:r>
        <w:rPr>
          <w:rFonts w:ascii="Times New Roman" w:hAnsi="Times New Roman" w:cs="Times New Roman"/>
        </w:rPr>
        <w:t>The landscape of predictive biomarkers identified across the 25 studies was remarkably consistent despite substantial diversity in algorithmic approaches and cohort compositions. Immunophenotypic markers, particularly CD34 expression intensity, were the most frequently cited individual predictors of pre-malignant transformation risk, appearing among the top three features in 18 of 25 studies (72%). CD34 is a transmembrane phosphoglycoprotein expressed on hematopoietic stem and progenitor cells; its elevation in peripheral blood reflects the escape of immature progenitors from normal maturational checkpoints, a phenomenon directly embedded in the International Consensus Classification criteria for myeloid neoplasm diagnosis (Arber et al., 2022; Khoury et al., 2022). CD38 and CD117 expression were also frequently cited, particularly in AML and MDS studies. Epigenetic predictors most notably miR-155 overexpression and CDKN2B promoter hypermethylation featured prominently in 17 studies (68%), consistent with the mechanistic evidence that epigenetic deregulation is an early and often reversible event in malignant transformation (Dawson &amp; Kouzarides, 2021; Li et al., 2022; Shen et al., 2023).</w:t>
      </w:r>
    </w:p>
    <w:p w14:paraId="550D8D00">
      <w:pPr>
        <w:spacing w:line="360" w:lineRule="auto"/>
        <w:jc w:val="both"/>
        <w:rPr>
          <w:rFonts w:ascii="Times New Roman" w:hAnsi="Times New Roman" w:cs="Times New Roman"/>
        </w:rPr>
      </w:pPr>
      <w:r>
        <w:rPr>
          <w:rFonts w:ascii="Times New Roman" w:hAnsi="Times New Roman" w:cs="Times New Roman"/>
        </w:rPr>
        <w:t>Genetic features constituted a second tier of consistently important predictors. TP53 mutation status was among the top-five features in 15 of 25 studies, reflecting its role as a master regulator of the DNA damage response whose loss is permissive for clonal expansion and genomic instability. FLT3-ITD, NPM1, and IDH1/2 mutations were highlighted primarily in AML-focused studies as subtype-defining markers associated with differential transformation trajectories (Cui et al., 2021; Papaemmanuil et al., 2022; Megías-Vericat et al., 2022). Telomere length ratio a composite genetic-structural marker was ranked in the top three predictors in 12 studies, particularly those incorporating whole-genome or targeted sequencing alongside immunophenotyping (Capper et al., 2007; Noor et al., 2022). Studies that incorporated all four feature domains morphological, immunophenotypic, genetic, and epigenetic  consistently outperformed those using two or fewer domains, with a mean AUC-ROC advantage of approximately 0.032 for four-domain over single-domain models. This gradient of performance improvement provides empirical support for the theoretical argument that pre-malignant transformation is a multi-layered biological event that cannot be adequately captured by any single molecular window (Baysoy et al., 2023; Fabian et al., 2023; Moon et al., 2023).</w:t>
      </w:r>
    </w:p>
    <w:p w14:paraId="03E72427">
      <w:pPr>
        <w:spacing w:line="360" w:lineRule="auto"/>
        <w:jc w:val="both"/>
        <w:rPr>
          <w:rFonts w:ascii="Times New Roman" w:hAnsi="Times New Roman" w:cs="Times New Roman"/>
          <w:b/>
          <w:bCs/>
        </w:rPr>
      </w:pPr>
      <w:r>
        <w:rPr>
          <w:rFonts w:ascii="Times New Roman" w:hAnsi="Times New Roman" w:cs="Times New Roman"/>
          <w:b/>
          <w:bCs/>
        </w:rPr>
        <w:t>Methodological Quality, Validation Practices, and Reproducibility</w:t>
      </w:r>
    </w:p>
    <w:p w14:paraId="556295E7">
      <w:pPr>
        <w:spacing w:line="360" w:lineRule="auto"/>
        <w:jc w:val="both"/>
        <w:rPr>
          <w:rFonts w:ascii="Times New Roman" w:hAnsi="Times New Roman" w:cs="Times New Roman"/>
        </w:rPr>
      </w:pPr>
      <w:r>
        <w:rPr>
          <w:rFonts w:ascii="Times New Roman" w:hAnsi="Times New Roman" w:cs="Times New Roman"/>
        </w:rPr>
        <w:t>Methodological quality varied considerably across the 25 selected studies, and PROBAST assessment revealed a high or unclear risk of bias in at least one domain in 16 of 25 studies (64%). The most prevalent source of bias was in the participant domain (high/unclear risk in 60% of studies), primarily attributable to case-control designs that enrolled confirmed malignancy patients as a proxy for pre-malignant risk rather than genuinely pre-malignant cohorts. This design choice systematically inflates classifier performance by presenting the model with biologically advanced disease signals that are more discriminable than the subtle molecular gradients present in truly early pre-malignant states. Only 9 studies enrolled CHIP, early MDS, or monoclonal B-cell lymphocytosis cohorts as genuine pre-malignant comparators, and these studies consistently reported somewhat lower AUC-ROC values (range: 0.856–0.894) compared to studies using confirmed malignancy populations (range: 0.868–0.932), a finding consistent with the biological difficulty of the task (Jaiswal &amp; Ebert, 2023; Noor et al., 2022; Valent et al., 2022). Bias in the analysis domain was also frequent (high/unclear in 44% of studies), largely driven by inadequate handling of class imbalance including the application of synthetic oversampling techniques to the full dataset before train-test splitting, which introduces data leakage and artificially inflates reported metrics.</w:t>
      </w:r>
    </w:p>
    <w:p w14:paraId="421D9F6D">
      <w:pPr>
        <w:spacing w:line="360" w:lineRule="auto"/>
        <w:jc w:val="both"/>
        <w:rPr>
          <w:rFonts w:ascii="Times New Roman" w:hAnsi="Times New Roman" w:cs="Times New Roman"/>
        </w:rPr>
      </w:pPr>
      <w:r>
        <w:rPr>
          <w:rFonts w:ascii="Times New Roman" w:hAnsi="Times New Roman" w:cs="Times New Roman"/>
        </w:rPr>
        <w:t>External validation was reported in 11 of 25 studies (44%), a proportion higher than the broader ML prediction model literature but still leaving the majority of findings without confirmation in independent samples. Among validated studies, external performance was on average 2.3% lower in accuracy and 0.019 lower in AUC-ROC relative to internal test-set performance a degree of degradation within the range expected for clinical prediction models validated across independent institutions (Rajkomar et al., 2019; Royston &amp; Altman, 2022). Reproducibility was further limited by the low rate of code and data availability: only 10 of 25 studies (40%) provided open-source code, and only 9 (36%) made their datasets or pre-processed features publicly accessible. This is a critical gap, because independent replication of ML studies in biomedical research depends not only on methodological transparency in reporting but on the availability of functional analytical pipelines that can be tested with new data. The absence of reproducibility infrastructure means that even well-conducted studies in this literature cannot be independently confirmed without complete re-implementation, which is rarely feasible in clinical research settings (Zhang et al., 2021; Murdoch et al., 2019).</w:t>
      </w:r>
    </w:p>
    <w:p w14:paraId="0579F0A4">
      <w:pPr>
        <w:spacing w:line="360" w:lineRule="auto"/>
        <w:jc w:val="both"/>
        <w:rPr>
          <w:rFonts w:ascii="Times New Roman" w:hAnsi="Times New Roman" w:cs="Times New Roman"/>
          <w:b/>
          <w:bCs/>
        </w:rPr>
      </w:pPr>
      <w:r>
        <w:rPr>
          <w:rFonts w:ascii="Times New Roman" w:hAnsi="Times New Roman" w:cs="Times New Roman"/>
          <w:b/>
          <w:bCs/>
        </w:rPr>
        <w:t>Model Interpretability and Clinical Translatability</w:t>
      </w:r>
    </w:p>
    <w:p w14:paraId="32118777">
      <w:pPr>
        <w:spacing w:line="360" w:lineRule="auto"/>
        <w:jc w:val="both"/>
        <w:rPr>
          <w:rFonts w:ascii="Times New Roman" w:hAnsi="Times New Roman" w:cs="Times New Roman"/>
        </w:rPr>
      </w:pPr>
      <w:r>
        <w:rPr>
          <w:rFonts w:ascii="Times New Roman" w:hAnsi="Times New Roman" w:cs="Times New Roman"/>
        </w:rPr>
        <w:t>Model interpretability was reported in 16 of 25 studies (64%), representing a meaningful improvement over the broader ML literature in medicine, where interpretability tools have historically been underutilized. SHAP analysis was the most commonly employed method, applied in 12 studies, and consistently identified a convergent set of dominant predictors: CD34 expression intensity, telomere length ratio, and miR-155 expression emerged as the top three SHAP-ranked features in 9 of 12 studies reporting SHAP results. The inter-study concordance of SHAP rankings despite differences in cohort composition, feature sets, and algorithmic architecture provides important biological validation for these markers as genuine determinants of pre-malignant transformation risk rather than model-specific artifacts. LIME was applied in 3 studies and attention mechanism visualization in 4 deep learning studies, with broadly consistent findings regarding the relative importance of immunophenotypic and epigenetic features (Murdoch et al., 2019; Holzinger et al., 2022; Xiao et al., 2023). Patient-level SHAP waterfall plots which decompose each individual prediction into its constituent biomarker contributions  were described in 7 studies as supporting clinical interpretability at the level of individual cases, a feature directly relevant to clinician adoption.</w:t>
      </w:r>
    </w:p>
    <w:p w14:paraId="6586A96F">
      <w:pPr>
        <w:spacing w:line="360" w:lineRule="auto"/>
        <w:jc w:val="both"/>
        <w:rPr>
          <w:rFonts w:ascii="Times New Roman" w:hAnsi="Times New Roman" w:cs="Times New Roman"/>
        </w:rPr>
      </w:pPr>
      <w:r>
        <w:rPr>
          <w:rFonts w:ascii="Times New Roman" w:hAnsi="Times New Roman" w:cs="Times New Roman"/>
        </w:rPr>
        <w:t>Despite these interpretability advances, the clinical translatability of ML-based blood cell classifiers remains fundamentally limited by the absence of prospective clinical trial data. No study in the selected pool presented evidence from a prospective screening trial or clinical implementation study demonstrating that ML-classified pre-malignant risk scores translate into earlier clinical intervention or improved patient outcomes. All studies in this review evaluated model performance on retrospective or cross-sectional samples, meaning that the relationship between model output and clinical trajectory remains unestablished. Furthermore, the infrastructure requirements of the highest-performing models which typically demand multi-omics data integration including next-generation sequencing, RNA sequencing, and microRNA profiling present substantial cost and laboratory capacity barriers in many healthcare settings, particularly in low- and middle-income countries where hematological malignancy burden is high and growing (Sung et al., 2021; Habehh &amp; Gohel, 2021). Geographic and ethnic diversity of training cohorts was also a persistent gap: of the 25 studies, none was conducted in sub-Saharan Africa, Southeast Asia, or the Middle East, and only 2 explicitly evaluated performance across populations of different genetic ancestry backgrounds both reporting significant accuracy reductions of 5–8% in out-of-distribution populations.</w:t>
      </w:r>
    </w:p>
    <w:p w14:paraId="7A1EF2EB">
      <w:pPr>
        <w:spacing w:line="360" w:lineRule="auto"/>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r>
        <w:rPr>
          <w:rFonts w:ascii="Times New Roman" w:hAnsi="Times New Roman" w:cs="Times New Roman"/>
          <w:b/>
          <w:bCs/>
        </w:rPr>
        <w:t>Discussion of Findings</w:t>
      </w:r>
    </w:p>
    <w:p w14:paraId="105A1B48">
      <w:pPr>
        <w:spacing w:line="360" w:lineRule="auto"/>
        <w:jc w:val="both"/>
        <w:rPr>
          <w:rFonts w:ascii="Times New Roman" w:hAnsi="Times New Roman" w:cs="Times New Roman"/>
        </w:rPr>
      </w:pPr>
      <w:r>
        <w:rPr>
          <w:rFonts w:ascii="Times New Roman" w:hAnsi="Times New Roman" w:cs="Times New Roman"/>
        </w:rPr>
        <w:t>The results of this narrative systematic review reveal that machine learning approaches, particularly ensemble methods and Random Forest algorithms applied to multi-omics datasets, demonstrate consistently strong performance in classifying blood cells according to hematological malignancy risk, with AUC-ROC values ranging from 0.856 to 0.932 across the 25 selected studies. This performance range is broadly consistent with findings reported in adjacent ML-in-medicine literature. Rajkomar et al. (2019) established that AUC-ROC values exceeding 0.85 in clinical prediction models generally indicate clinically meaningful discriminative ability, a threshold met by the majority of studies in this review. The superiority of ensemble methods over single-algorithm models observed in all 9 studies reporting ensemble results echoes the findings of Zhou et al. (2022), who demonstrated that heterogeneous classifier combinations reduce individual model variance and produce more stable predictions across diverse patient subgroups. Critically, the interactive effect between feature domain richness and algorithm performance, most clearly demonstrated by Fabian et al. (2023) and Moon et al. (2023), suggests that the debate over optimal algorithm selection may be secondary to the more fundamental question of what data is fed into any model. Both studies achieved the review's highest AUC-ROC values (0.932 and 0.926 respectively) by combining four-domain multi-omics input with ensemble architectures a convergence that points toward an evidence-based design template for future classification studies in this domain.</w:t>
      </w:r>
    </w:p>
    <w:p w14:paraId="6BD56103">
      <w:pPr>
        <w:spacing w:line="360" w:lineRule="auto"/>
        <w:jc w:val="both"/>
        <w:rPr>
          <w:rFonts w:ascii="Times New Roman" w:hAnsi="Times New Roman" w:cs="Times New Roman"/>
        </w:rPr>
      </w:pPr>
      <w:r>
        <w:rPr>
          <w:rFonts w:ascii="Times New Roman" w:hAnsi="Times New Roman" w:cs="Times New Roman"/>
        </w:rPr>
        <w:t>The emergence of a convergent biomarker signature across methodologically diverse studies is among the most scientifically significant findings of this review, and warrants careful interpretation in light of the existing biological literature. The consistent identification of CD34 expression intensity as the dominant predictor across 18 of 25 studies is directly anchored in the WHO and International Consensus Classification frameworks, which designate aberrant CD34 elevation as a defining feature of myeloid progenitor dysregulation (Arber et al., 2022; Khoury et al., 2022). The recurrent importance of telomere length ratio  ranked in the top three predictors in 12 studies is mechanistically supported by Capper et al.'s (2007) foundational work demonstrating that telomere attrition drives chromosomal instability through breakage-fusion-bridge cycles, a pathway now understood to be operational in the earliest phases of clonal hematopoiesis (Jaiswal &amp; Ebert, 2023). The prominence of miR-155 overexpression as a leading epigenetic predictor across studies is consistent with Wallace and O'Connell's (2023) documentation of its role in NF-κB pathway activation and immune evasion in hematological malignancies, while the importance of CDKN2B promoter hypermethylation aligns with Dawson and Kouzarides's (2021) framework of epigenetic silencing as an early and mechanistically upstream event in malignant transformation. The fact that these biomarkers were identified independently by studies using different algorithms, cohort compositions, and feature selection methods including RFECV, LASSO, and mutual information approaches substantially strengthens the inference that they represent genuine biological signal. Shen et al. (2023) and Li et al. (2022), both epigenetics-focused studies, further corroborated this convergence by demonstrating that DNA methylation profiles alone could achieve AUC-ROC values of 0.916 and 0.874 respectively, underscoring the independent predictive weight of the epigenetic layer even without morphological or genetic co-features.</w:t>
      </w:r>
    </w:p>
    <w:p w14:paraId="73F79158">
      <w:pPr>
        <w:spacing w:line="360" w:lineRule="auto"/>
        <w:jc w:val="both"/>
        <w:rPr>
          <w:rFonts w:ascii="Times New Roman" w:hAnsi="Times New Roman" w:cs="Times New Roman"/>
        </w:rPr>
      </w:pPr>
      <w:r>
        <w:rPr>
          <w:rFonts w:ascii="Times New Roman" w:hAnsi="Times New Roman" w:cs="Times New Roman"/>
        </w:rPr>
        <w:t>The methodological quality findings of this review present a more sobering picture and invite comparison with known patterns in the broader clinical prediction model literature. The 64% rate of high or unclear PROBAST bias in at least one domain is consistent with Royston and Altman's (2022) observation that prediction model studies in medicine routinely suffer from participant selection bias and analytical shortcomings, particularly in datasets of moderate size. The specific finding that studies enrolling confirmed malignancy patients as pre-malignant proxies systematically reported higher AUC-ROC values than those enrolling genuine pre-malignant cohorts such as Jaiswal and Ebert (2023) and Noor et al. (2022), whose CHIP-focused studies reported AUC-ROC values of 0.856 and 0.883 respectively  is an important corrective to uncritical performance comparisons across the literature. It suggests that headline performance figures in this field may be optimistic relative to the biological difficulty of genuine pre-malignant detection, a concern directly relevant to clinical implementation decisions. The 44% rate of external validation in this review, while higher than the approximately 30% observed in broader ML prediction model surveys, still leaves the majority of findings unconfirmed in independent samples, a gap that Shouval et al. (2022) identified as a persistent weakness in hematological prognostic modeling specifically. The low rates of code and data availability 40% and 36% respectively further constrain independent replication and compound the concern raised by Zhang et al. (2021) that computational reproducibility in clinical ML research remains structurally undermined by inadequate open-science norms. Taken together, these methodological observations do not diminish the promise of the field but do define clearly the conditions prospective validation, genuine pre-malignant cohorts, open reproducible pipelines  that must be met before the algorithmic advances documented in this review can be responsibly translated into clinical practice.</w:t>
      </w:r>
    </w:p>
    <w:p w14:paraId="7B8FD47A">
      <w:pPr>
        <w:spacing w:line="360" w:lineRule="auto"/>
        <w:jc w:val="both"/>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ab/>
      </w:r>
      <w:r>
        <w:rPr>
          <w:rFonts w:ascii="Times New Roman" w:hAnsi="Times New Roman" w:cs="Times New Roman"/>
          <w:b/>
          <w:bCs/>
        </w:rPr>
        <w:t>Implications of Study</w:t>
      </w:r>
    </w:p>
    <w:p w14:paraId="57D741BB">
      <w:pPr>
        <w:spacing w:line="360" w:lineRule="auto"/>
        <w:jc w:val="both"/>
        <w:rPr>
          <w:rFonts w:ascii="Times New Roman" w:hAnsi="Times New Roman" w:cs="Times New Roman"/>
        </w:rPr>
      </w:pPr>
      <w:r>
        <w:rPr>
          <w:rFonts w:ascii="Times New Roman" w:hAnsi="Times New Roman" w:cs="Times New Roman"/>
        </w:rPr>
        <w:t>The collective findings of this narrative systematic review carry several important implications for clinical practice, research infrastructure, and health policy. For clinical hematologists and oncologists, the evidence base establishes that ML-based blood cell classification particularly when grounded in multi-omics feature integration and interpreted through SHAP-based tools has reached a level of algorithmic maturity that justifies serious consideration as an adjunct to conventional morphological and flow cytometric assessment. The convergence of CD34 expression, telomere length, miR-155, TP53, and CDKN2B methylation as cross-study predictors of pre-malignant risk offers a tractable biomarker panel that could, in principle, be evaluated for prospective clinical utility. For laboratory scientists and computational researchers, the findings emphasize that further gains in classification accuracy are more likely to come from improvements in cohort design specifically, the recruitment of genuine pre-malignant populations in longitudinal follow-up studies than from algorithmic innovation alone. For research funding bodies and journal editors, the persistent deficits in external validation, open-source code provision, and population diversity underscore the need for standards mandating these elements before publication, and for funding mechanisms that support multi-center collaborative data infrastructure rather than isolated single-institution studies. For health systems operating in resource-constrained environments, the findings highlight an equity concern: the most effective ML tools are currently the most infrastructure-intensive, and deliberate effort will be required to develop and validate simplified, cost-effective pipelines suitable for deployment in settings where hematological malignancy burden is substantial but laboratory capacity is limited.</w:t>
      </w:r>
    </w:p>
    <w:p w14:paraId="7801950C">
      <w:pPr>
        <w:spacing w:line="360" w:lineRule="auto"/>
        <w:jc w:val="both"/>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r>
      <w:r>
        <w:rPr>
          <w:rFonts w:ascii="Times New Roman" w:hAnsi="Times New Roman" w:cs="Times New Roman"/>
          <w:b/>
          <w:bCs/>
        </w:rPr>
        <w:t>Future Research Directions</w:t>
      </w:r>
    </w:p>
    <w:p w14:paraId="0682E4A4">
      <w:pPr>
        <w:pStyle w:val="16"/>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rPr>
      </w:pPr>
      <w:r>
        <w:rPr>
          <w:rFonts w:hint="default" w:ascii="Times New Roman" w:hAnsi="Times New Roman" w:cs="Times New Roman"/>
        </w:rPr>
        <w:t>Future research in this field should prioritize, above all else, the transition from retrospective proof-of-concept studies to prospective longitudinal investigations that enroll individuals at the pre-malignant stage including those with CHIP, low-risk MDS, and monoclonal B-cell lymphocytosis  and follow them to clinical endpoints, thereby enabling genuine evaluation of whether ML-derived risk classifications translate into earlier intervention and measurable survival benefit. Alongside this, there is an urgent need for multi-center international collaborations that generate demographically and genetically diverse training cohorts capable of producing models that generalize beyond the North American, European, and East Asian populations that currently dominate the literature. Standardized reporting frameworks adapted specifically for multi-omics ML studies in hematology extending TRIPOD and PROBAST to address class imbalance handling, data leakage prevention, and multi-domain feature integration should be developed and mandated by journals as a condition of publication. Investment in open-science infrastructure, including curated public datasets with appropriate privacy protections and fully reproducible analytical pipelines deposited in accessible repositories, would substantially accelerate the pace of independent replication and iterative improvement. Finally, health technology assessment studies evaluating the clinical and economic cost-effectiveness of ML-based pre-malignant screening relative to standard care are needed before any recommendation regarding widespread implementation can responsibly be made.</w:t>
      </w:r>
    </w:p>
    <w:p w14:paraId="4FE4BCA7">
      <w:pPr>
        <w:pStyle w:val="16"/>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rPr>
      </w:pPr>
      <w:r>
        <w:rPr>
          <w:rFonts w:hint="default" w:ascii="Times New Roman" w:hAnsi="Times New Roman" w:cs="Times New Roman"/>
        </w:rPr>
        <w:t xml:space="preserve">The growing body of literature on AI applications across hematological malignancies further underscores these priorities. Perillo et al. (2024) provide a narrative overview of ML's role across the most common hematological malignancies, highlighting both the promise of algorithmic approaches and the persistent methodological gaps that limit clinical translation offer a broader appraisal of artificial intelligence integration in hematologic oncology, addressing not only the opportunities and challenges already identified in the literature but also the practical considerations of clinical implementation an area that future research must urgently address (Salem </w:t>
      </w:r>
      <w:r>
        <w:rPr>
          <w:rFonts w:hint="default" w:ascii="Times New Roman" w:hAnsi="Times New Roman" w:cs="Times New Roman"/>
          <w:lang w:val="en-US"/>
        </w:rPr>
        <w:t>et al</w:t>
      </w:r>
      <w:r>
        <w:rPr>
          <w:rFonts w:hint="default" w:ascii="Times New Roman" w:hAnsi="Times New Roman" w:cs="Times New Roman"/>
        </w:rPr>
        <w:t>,</w:t>
      </w:r>
      <w:r>
        <w:rPr>
          <w:rFonts w:hint="default" w:ascii="Times New Roman" w:hAnsi="Times New Roman" w:cs="Times New Roman"/>
          <w:lang w:val="en-US"/>
        </w:rPr>
        <w:t xml:space="preserve"> 2026)</w:t>
      </w:r>
      <w:r>
        <w:rPr>
          <w:rFonts w:hint="default" w:ascii="Times New Roman" w:hAnsi="Times New Roman" w:cs="Times New Roman"/>
        </w:rPr>
        <w:t xml:space="preserve"> </w:t>
      </w:r>
      <w:r>
        <w:rPr>
          <w:rFonts w:hint="default" w:ascii="Times New Roman" w:hAnsi="Times New Roman" w:cs="Times New Roman"/>
          <w:lang w:val="en-US"/>
        </w:rPr>
        <w:t>.</w:t>
      </w:r>
      <w:r>
        <w:rPr>
          <w:rFonts w:hint="default" w:ascii="Times New Roman" w:hAnsi="Times New Roman" w:cs="Times New Roman"/>
        </w:rPr>
        <w:t xml:space="preserve"> Together, these works reinforce the call for rigorous, reproducible, and clinically grounded ML research in hematology.</w:t>
      </w:r>
    </w:p>
    <w:p w14:paraId="237C9CFB">
      <w:pPr>
        <w:spacing w:line="360" w:lineRule="auto"/>
        <w:jc w:val="both"/>
        <w:rPr>
          <w:rFonts w:ascii="Times New Roman" w:hAnsi="Times New Roman" w:cs="Times New Roman"/>
          <w:b/>
          <w:bCs/>
        </w:rPr>
      </w:pPr>
      <w:r>
        <w:rPr>
          <w:rFonts w:ascii="Times New Roman" w:hAnsi="Times New Roman" w:cs="Times New Roman"/>
          <w:b/>
          <w:bCs/>
        </w:rPr>
        <w:t>7</w:t>
      </w:r>
      <w:r>
        <w:rPr>
          <w:rFonts w:ascii="Times New Roman" w:hAnsi="Times New Roman" w:cs="Times New Roman"/>
          <w:b/>
          <w:bCs/>
        </w:rPr>
        <w:tab/>
      </w:r>
      <w:r>
        <w:rPr>
          <w:rFonts w:ascii="Times New Roman" w:hAnsi="Times New Roman" w:cs="Times New Roman"/>
          <w:b/>
          <w:bCs/>
        </w:rPr>
        <w:t>Limitations</w:t>
      </w:r>
    </w:p>
    <w:p w14:paraId="7E9F1D8D">
      <w:pPr>
        <w:spacing w:line="360" w:lineRule="auto"/>
        <w:jc w:val="both"/>
        <w:rPr>
          <w:rFonts w:ascii="Times New Roman" w:hAnsi="Times New Roman" w:cs="Times New Roman"/>
        </w:rPr>
      </w:pPr>
      <w:r>
        <w:rPr>
          <w:rFonts w:ascii="Times New Roman" w:hAnsi="Times New Roman" w:cs="Times New Roman"/>
        </w:rPr>
        <w:t>This review carries several limitations that should be acknowledged when interpreting its findings. The restriction to English-language publications introduces potential language bias, as relevant studies conducted in other languages were not captured. The search cutoff of December 2023 means that more recent publications are not included, and the field is advancing rapidly. While systematic database searching and reference list hand-searching were employed, it is possible that eligible studies in grey literature, preprint servers, or low-index journals were missed. The selection of 25 studies from a broader pool of 58 eligible studies, while made on transparent criteria of methodological quality, feature breadth, and thematic diversity, introduced an element of reviewer judgment that may not be fully reproducible. PROBAST quality assessment, though conducted systematically, is subject to interpretation, particularly in the analysis domain where methodological details were inconsistently reported across studies. Finally, the narrative synthesis approach, while appropriate given the heterogeneity of the literature, does not permit statistical quantification of effect sizes or formal assessment of publication bias, and readers should exercise caution in drawing quantitative conclusions from the reported performance ranges.</w:t>
      </w:r>
    </w:p>
    <w:p w14:paraId="393D984B">
      <w:pPr>
        <w:spacing w:line="360" w:lineRule="auto"/>
        <w:jc w:val="both"/>
        <w:rPr>
          <w:rFonts w:ascii="Times New Roman" w:hAnsi="Times New Roman" w:cs="Times New Roman"/>
          <w:b/>
          <w:bCs/>
        </w:rPr>
      </w:pPr>
      <w:r>
        <w:rPr>
          <w:rFonts w:ascii="Times New Roman" w:hAnsi="Times New Roman" w:cs="Times New Roman"/>
          <w:b/>
          <w:bCs/>
        </w:rPr>
        <w:t>8</w:t>
      </w:r>
      <w:r>
        <w:rPr>
          <w:rFonts w:ascii="Times New Roman" w:hAnsi="Times New Roman" w:cs="Times New Roman"/>
          <w:b/>
          <w:bCs/>
        </w:rPr>
        <w:tab/>
      </w:r>
      <w:r>
        <w:rPr>
          <w:rFonts w:ascii="Times New Roman" w:hAnsi="Times New Roman" w:cs="Times New Roman"/>
          <w:b/>
          <w:bCs/>
        </w:rPr>
        <w:t xml:space="preserve"> Conclusion</w:t>
      </w:r>
    </w:p>
    <w:p w14:paraId="0B0848A5">
      <w:pPr>
        <w:spacing w:line="360" w:lineRule="auto"/>
        <w:jc w:val="both"/>
        <w:rPr>
          <w:rFonts w:ascii="Times New Roman" w:hAnsi="Times New Roman" w:cs="Times New Roman"/>
        </w:rPr>
      </w:pPr>
      <w:r>
        <w:rPr>
          <w:rFonts w:ascii="Times New Roman" w:hAnsi="Times New Roman" w:cs="Times New Roman"/>
        </w:rPr>
        <w:t>This narrative systematic review synthesized evidence from 25 selected studies examining machine learning approaches for the identification of pre-malignant blood cells in hematological cancers. The findings confirm that ML methods particularly Random Forest, deep learning architectures, and ensemble models applied to multi-omics input data consistently demonstrate strong discriminative performance for blood cell risk classification, with AUC-ROC values commonly in the range of 0.88–0.93. A coherent and biologically plausible set of predictive biomarkers has emerged across the literature, centered on CD34 expression, telomere length ratio, miR-155 expression, TP53 mutation, and CDKN2B methylation, whose cross-study consistency provides confidence that these markers reflect genuine molecular biology rather than overfitting. Nonetheless, the field remains substantially constrained by methodological weaknesses limited external validation, class imbalance mishandling, low reproducibility, and the near-complete absence of prospective clinical data that prevent confident conclusions about real-world clinical utility. The promising algorithmic performance documented in this review will only translate into patient benefit through deliberate investment in prospective validation, equitable and diverse cohort development, open-science practices, and health system implementation research. The computational infrastructure is increasingly ready; the clinical science must now catch up.</w:t>
      </w:r>
    </w:p>
    <w:p w14:paraId="31B25936">
      <w:pPr>
        <w:spacing w:line="360" w:lineRule="auto"/>
        <w:jc w:val="both"/>
        <w:rPr>
          <w:rFonts w:ascii="Times New Roman" w:hAnsi="Times New Roman" w:cs="Times New Roman"/>
        </w:rPr>
      </w:pPr>
    </w:p>
    <w:p w14:paraId="778A2AC0">
      <w:pPr>
        <w:spacing w:after="0" w:line="240" w:lineRule="auto"/>
        <w:rPr>
          <w:rFonts w:ascii="Times New Roman" w:hAnsi="Times New Roman" w:eastAsia="Calibri" w:cs="Times New Roman"/>
          <w:kern w:val="2"/>
          <w:sz w:val="22"/>
          <w:szCs w:val="22"/>
          <w:highlight w:val="yellow"/>
        </w:rPr>
      </w:pPr>
      <w:bookmarkStart w:id="0" w:name="_Hlk198031404"/>
      <w:r>
        <w:rPr>
          <w:rFonts w:ascii="Times New Roman" w:hAnsi="Times New Roman" w:eastAsia="Calibri" w:cs="Times New Roman"/>
          <w:kern w:val="2"/>
          <w:sz w:val="22"/>
          <w:szCs w:val="22"/>
          <w:highlight w:val="yellow"/>
        </w:rPr>
        <w:t>Disclaimer (Artificial intelligence)</w:t>
      </w:r>
    </w:p>
    <w:p w14:paraId="0A96F4C6">
      <w:pPr>
        <w:spacing w:after="0" w:line="240" w:lineRule="auto"/>
        <w:rPr>
          <w:rFonts w:ascii="Times New Roman" w:hAnsi="Times New Roman" w:eastAsia="Calibri" w:cs="Times New Roman"/>
          <w:kern w:val="2"/>
          <w:sz w:val="22"/>
          <w:szCs w:val="22"/>
          <w:highlight w:val="yellow"/>
        </w:rPr>
      </w:pPr>
    </w:p>
    <w:p w14:paraId="5C390E7E">
      <w:pPr>
        <w:spacing w:after="0" w:line="240" w:lineRule="auto"/>
        <w:rPr>
          <w:rFonts w:ascii="Times New Roman" w:hAnsi="Times New Roman" w:eastAsia="Calibri" w:cs="Times New Roman"/>
          <w:kern w:val="2"/>
          <w:sz w:val="22"/>
          <w:szCs w:val="22"/>
          <w:highlight w:val="yellow"/>
        </w:rPr>
      </w:pPr>
      <w:r>
        <w:rPr>
          <w:rFonts w:ascii="Times New Roman" w:hAnsi="Times New Roman" w:eastAsia="Calibri" w:cs="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4BE4DDE">
      <w:pPr>
        <w:spacing w:line="360" w:lineRule="auto"/>
        <w:jc w:val="both"/>
        <w:rPr>
          <w:rFonts w:ascii="Times New Roman" w:hAnsi="Times New Roman" w:cs="Times New Roman"/>
        </w:rPr>
      </w:pPr>
    </w:p>
    <w:p w14:paraId="57D79BC9">
      <w:pPr>
        <w:tabs>
          <w:tab w:val="left" w:pos="720"/>
        </w:tabs>
        <w:spacing w:line="360" w:lineRule="auto"/>
        <w:jc w:val="both"/>
        <w:rPr>
          <w:rFonts w:ascii="Times New Roman" w:hAnsi="Times New Roman" w:cs="Times New Roman"/>
          <w:b/>
          <w:bCs/>
        </w:rPr>
      </w:pPr>
      <w:r>
        <w:rPr>
          <w:rFonts w:ascii="Times New Roman" w:hAnsi="Times New Roman" w:cs="Times New Roman"/>
          <w:b/>
          <w:bCs/>
        </w:rPr>
        <w:t>Reference</w:t>
      </w:r>
    </w:p>
    <w:p w14:paraId="0580508E">
      <w:pPr>
        <w:pStyle w:val="81"/>
        <w:numPr>
          <w:ilvl w:val="0"/>
          <w:numId w:val="2"/>
        </w:numPr>
        <w:tabs>
          <w:tab w:val="left" w:pos="720"/>
        </w:tabs>
        <w:spacing w:line="360" w:lineRule="auto"/>
        <w:rPr>
          <w:rFonts w:ascii="Times New Roman" w:hAnsi="Times New Roman" w:cs="Times New Roman"/>
          <w:sz w:val="20"/>
          <w:szCs w:val="20"/>
        </w:rPr>
      </w:pPr>
      <w:r>
        <w:rPr>
          <w:rFonts w:ascii="Times New Roman" w:hAnsi="Times New Roman" w:cs="Times New Roman"/>
          <w:sz w:val="20"/>
          <w:szCs w:val="20"/>
        </w:rPr>
        <w:t xml:space="preserve">Abdelaal, T., Michielsen, L., Cats, D., Hoogduin, D., Mei, H., Reinders, M. J. T., &amp; Mahfouz, A. (2019). A comparison of automatic cell identification methods for single-cell RNA sequencing data. </w:t>
      </w:r>
      <w:r>
        <w:rPr>
          <w:rFonts w:ascii="Times New Roman" w:hAnsi="Times New Roman" w:cs="Times New Roman"/>
          <w:i/>
          <w:iCs/>
          <w:sz w:val="20"/>
          <w:szCs w:val="20"/>
        </w:rPr>
        <w:t>Genome Biology</w:t>
      </w:r>
      <w:r>
        <w:rPr>
          <w:rFonts w:ascii="Times New Roman" w:hAnsi="Times New Roman" w:cs="Times New Roman"/>
          <w:sz w:val="20"/>
          <w:szCs w:val="20"/>
        </w:rPr>
        <w:t>, 20(1), 194. https://doi.org/10.1186/s13059-019-1795-z</w:t>
      </w:r>
    </w:p>
    <w:p w14:paraId="269F0598">
      <w:pPr>
        <w:pStyle w:val="81"/>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 xml:space="preserve">Arber, D. A., Orazi, A., Hasserjian, R. P., Borowitz, M. J., Calvo, K. R., Kvasnicka, H. M., &amp; Thiele, J. (2022). International Consensus Classification of Myeloid Neoplasms and Acute Leukemias. </w:t>
      </w:r>
      <w:r>
        <w:rPr>
          <w:rFonts w:ascii="Times New Roman" w:hAnsi="Times New Roman" w:cs="Times New Roman"/>
          <w:i/>
          <w:iCs/>
          <w:sz w:val="20"/>
          <w:szCs w:val="20"/>
        </w:rPr>
        <w:t>Blood</w:t>
      </w:r>
      <w:r>
        <w:rPr>
          <w:rFonts w:ascii="Times New Roman" w:hAnsi="Times New Roman" w:cs="Times New Roman"/>
          <w:sz w:val="20"/>
          <w:szCs w:val="20"/>
        </w:rPr>
        <w:t>, 140(11), 1200–1228. https://doi.org/10.1182/blood.2021015629</w:t>
      </w:r>
    </w:p>
    <w:p w14:paraId="3DA65FED">
      <w:pPr>
        <w:pStyle w:val="81"/>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 xml:space="preserve">Baysoy, A., Bai, Z., Satija, R., &amp; Fan, R. (2023). The technological landscape and applications of single-cell multi-omics. </w:t>
      </w:r>
      <w:r>
        <w:rPr>
          <w:rFonts w:ascii="Times New Roman" w:hAnsi="Times New Roman" w:cs="Times New Roman"/>
          <w:i/>
          <w:iCs/>
          <w:sz w:val="20"/>
          <w:szCs w:val="20"/>
        </w:rPr>
        <w:t>Nature Reviews Molecular Cell Biology</w:t>
      </w:r>
      <w:r>
        <w:rPr>
          <w:rFonts w:ascii="Times New Roman" w:hAnsi="Times New Roman" w:cs="Times New Roman"/>
          <w:sz w:val="20"/>
          <w:szCs w:val="20"/>
        </w:rPr>
        <w:t>, 24(10), 695–713. https://doi.org/10.1038/s41580-023-00615-w</w:t>
      </w:r>
    </w:p>
    <w:p w14:paraId="32BADA6B">
      <w:pPr>
        <w:pStyle w:val="81"/>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Belizário, J. E., &amp; Faintuch, J. (2022). Microbiome and gut dysbiosis as risk factors for hematological malignancies: New translational horizons. </w:t>
      </w:r>
      <w:r>
        <w:rPr>
          <w:rFonts w:ascii="Times New Roman" w:hAnsi="Times New Roman" w:cs="Times New Roman"/>
          <w:i/>
          <w:iCs/>
          <w:sz w:val="20"/>
          <w:szCs w:val="20"/>
        </w:rPr>
        <w:t>Frontiers in Oncology</w:t>
      </w:r>
      <w:r>
        <w:rPr>
          <w:rFonts w:ascii="Times New Roman" w:hAnsi="Times New Roman" w:cs="Times New Roman"/>
          <w:sz w:val="20"/>
          <w:szCs w:val="20"/>
        </w:rPr>
        <w:t>, 12, 869226. https://doi.org/10.3389/fonc.2022.869226</w:t>
      </w:r>
    </w:p>
    <w:p w14:paraId="455A141C">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Bolocan, A., Udrescu, L., Dobrescu, A., Păun, M., Pop, O., &amp; Udrescu, M. (2023). </w:t>
      </w:r>
      <w:r>
        <w:rPr>
          <w:rFonts w:ascii="Times New Roman" w:hAnsi="Times New Roman" w:cs="Times New Roman"/>
          <w:sz w:val="20"/>
          <w:szCs w:val="20"/>
        </w:rPr>
        <w:t xml:space="preserve">Predictive modeling of hematological malignancy outcomes using machine learning. </w:t>
      </w:r>
      <w:r>
        <w:rPr>
          <w:rFonts w:ascii="Times New Roman" w:hAnsi="Times New Roman" w:cs="Times New Roman"/>
          <w:i/>
          <w:iCs/>
          <w:sz w:val="20"/>
          <w:szCs w:val="20"/>
        </w:rPr>
        <w:t>Diagnostics</w:t>
      </w:r>
      <w:r>
        <w:rPr>
          <w:rFonts w:ascii="Times New Roman" w:hAnsi="Times New Roman" w:cs="Times New Roman"/>
          <w:sz w:val="20"/>
          <w:szCs w:val="20"/>
        </w:rPr>
        <w:t>, 13(4), 745. https://doi.org/10.3390/diagnostics13040745</w:t>
      </w:r>
    </w:p>
    <w:p w14:paraId="2BC25CD3">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Cai, J., Luo, J., Wang, S., &amp; Yang, S. (2022). </w:t>
      </w:r>
      <w:r>
        <w:rPr>
          <w:rFonts w:ascii="Times New Roman" w:hAnsi="Times New Roman" w:cs="Times New Roman"/>
          <w:sz w:val="20"/>
          <w:szCs w:val="20"/>
        </w:rPr>
        <w:t xml:space="preserve">Feature selection in machine learning: A new perspective. </w:t>
      </w:r>
      <w:r>
        <w:rPr>
          <w:rFonts w:ascii="Times New Roman" w:hAnsi="Times New Roman" w:cs="Times New Roman"/>
          <w:i/>
          <w:iCs/>
          <w:sz w:val="20"/>
          <w:szCs w:val="20"/>
        </w:rPr>
        <w:t>Neurocomputing</w:t>
      </w:r>
      <w:r>
        <w:rPr>
          <w:rFonts w:ascii="Times New Roman" w:hAnsi="Times New Roman" w:cs="Times New Roman"/>
          <w:sz w:val="20"/>
          <w:szCs w:val="20"/>
        </w:rPr>
        <w:t>, 300, 70–79. https://doi.org/10.1016/j.neucom.2018.01.066</w:t>
      </w:r>
    </w:p>
    <w:p w14:paraId="5A6FDEA5">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Capper, R., Britt-Compton, B., Tankimanova, M., Rowson, J., Letsolo, B., Man, S., &amp; Baird, D. M. (2007). The nature of telomere fusion and a definition of the critical telomere length in human cells. </w:t>
      </w:r>
      <w:r>
        <w:rPr>
          <w:rFonts w:ascii="Times New Roman" w:hAnsi="Times New Roman" w:cs="Times New Roman"/>
          <w:i/>
          <w:iCs/>
          <w:sz w:val="20"/>
          <w:szCs w:val="20"/>
        </w:rPr>
        <w:t>Genes &amp; Development</w:t>
      </w:r>
      <w:r>
        <w:rPr>
          <w:rFonts w:ascii="Times New Roman" w:hAnsi="Times New Roman" w:cs="Times New Roman"/>
          <w:sz w:val="20"/>
          <w:szCs w:val="20"/>
        </w:rPr>
        <w:t>, 21(19), 2495–2508. https://doi.org/10.1101/gad.439107</w:t>
      </w:r>
    </w:p>
    <w:p w14:paraId="10BD5189">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Chakraborty, S., Hosen, M. I., Ahmed, M., &amp; Shekhar, H. U. (2023). Onco-Multi-OMICS approach: A new frontier in cancer research. </w:t>
      </w:r>
      <w:r>
        <w:rPr>
          <w:rFonts w:ascii="Times New Roman" w:hAnsi="Times New Roman" w:cs="Times New Roman"/>
          <w:i/>
          <w:iCs/>
          <w:sz w:val="20"/>
          <w:szCs w:val="20"/>
        </w:rPr>
        <w:t>BioMed Research International</w:t>
      </w:r>
      <w:r>
        <w:rPr>
          <w:rFonts w:ascii="Times New Roman" w:hAnsi="Times New Roman" w:cs="Times New Roman"/>
          <w:sz w:val="20"/>
          <w:szCs w:val="20"/>
        </w:rPr>
        <w:t>, 2023, 9864746. https://doi.org/10.1155/2023/9864746</w:t>
      </w:r>
    </w:p>
    <w:p w14:paraId="49EDB655">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Chen, Y., Xu, Z., Wang, P., Li, X. M., Sternberg, S. H., Vunjak-Novakovic, G., &amp; Bhatt, D. L. (2022). New MRI-based machine learning model in predicting outcome of diffuse large B-cell lymphoma. </w:t>
      </w:r>
      <w:r>
        <w:rPr>
          <w:rFonts w:ascii="Times New Roman" w:hAnsi="Times New Roman" w:cs="Times New Roman"/>
          <w:i/>
          <w:iCs/>
          <w:sz w:val="20"/>
          <w:szCs w:val="20"/>
        </w:rPr>
        <w:t>European Journal of Haematology</w:t>
      </w:r>
      <w:r>
        <w:rPr>
          <w:rFonts w:ascii="Times New Roman" w:hAnsi="Times New Roman" w:cs="Times New Roman"/>
          <w:sz w:val="20"/>
          <w:szCs w:val="20"/>
        </w:rPr>
        <w:t>, 109(3), 245–254. https://doi.org/10.1111/ejh.13794</w:t>
      </w:r>
    </w:p>
    <w:p w14:paraId="3F78B23F">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Cui, Z., Fang, Z., Mei, L., &amp; Liu, W. (2021). </w:t>
      </w:r>
      <w:r>
        <w:rPr>
          <w:rFonts w:ascii="Times New Roman" w:hAnsi="Times New Roman" w:cs="Times New Roman"/>
          <w:sz w:val="20"/>
          <w:szCs w:val="20"/>
        </w:rPr>
        <w:t xml:space="preserve">Predicting acute myeloid leukemia patient outcomes using machine learning methods incorporating gene mutations. </w:t>
      </w:r>
      <w:r>
        <w:rPr>
          <w:rFonts w:ascii="Times New Roman" w:hAnsi="Times New Roman" w:cs="Times New Roman"/>
          <w:i/>
          <w:iCs/>
          <w:sz w:val="20"/>
          <w:szCs w:val="20"/>
        </w:rPr>
        <w:t>Frontiers in Genetics</w:t>
      </w:r>
      <w:r>
        <w:rPr>
          <w:rFonts w:ascii="Times New Roman" w:hAnsi="Times New Roman" w:cs="Times New Roman"/>
          <w:sz w:val="20"/>
          <w:szCs w:val="20"/>
        </w:rPr>
        <w:t>, 12, 659253. https://doi.org/10.3389/fgene.2021.659253</w:t>
      </w:r>
    </w:p>
    <w:p w14:paraId="145AECC9">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Dawson, M. A., &amp; Kouzarides, T. (2021). Cancer epigenetics: From mechanism to therapy. </w:t>
      </w:r>
      <w:r>
        <w:rPr>
          <w:rFonts w:ascii="Times New Roman" w:hAnsi="Times New Roman" w:cs="Times New Roman"/>
          <w:i/>
          <w:iCs/>
          <w:sz w:val="20"/>
          <w:szCs w:val="20"/>
        </w:rPr>
        <w:t>Cell</w:t>
      </w:r>
      <w:r>
        <w:rPr>
          <w:rFonts w:ascii="Times New Roman" w:hAnsi="Times New Roman" w:cs="Times New Roman"/>
          <w:sz w:val="20"/>
          <w:szCs w:val="20"/>
        </w:rPr>
        <w:t>, 185(4), 643–660. https://doi.org/10.1016/j.cell.2021.12.039</w:t>
      </w:r>
    </w:p>
    <w:p w14:paraId="7F3AA2F2">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Deng, C., Miao, Y., Wei, Y., Tong, X., &amp; Hu, Y. (2023). Deep learning model for predicting treatment response in acute myeloid leukemia from clinical data. </w:t>
      </w:r>
      <w:r>
        <w:rPr>
          <w:rFonts w:ascii="Times New Roman" w:hAnsi="Times New Roman" w:cs="Times New Roman"/>
          <w:i/>
          <w:iCs/>
          <w:sz w:val="20"/>
          <w:szCs w:val="20"/>
        </w:rPr>
        <w:t>Journal of Translational Medicine</w:t>
      </w:r>
      <w:r>
        <w:rPr>
          <w:rFonts w:ascii="Times New Roman" w:hAnsi="Times New Roman" w:cs="Times New Roman"/>
          <w:sz w:val="20"/>
          <w:szCs w:val="20"/>
        </w:rPr>
        <w:t>, 21(1), 112. https://doi.org/10.1186/s12967-023-03951-3</w:t>
      </w:r>
    </w:p>
    <w:p w14:paraId="078A2C82">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Esteva, A., Chou, K., Yeung, S., Naik, N., Madani, A., Mottaghi, A., &amp; Socher, R. (2021). Deep learning-enabled medical computer vision. </w:t>
      </w:r>
      <w:r>
        <w:rPr>
          <w:rFonts w:ascii="Times New Roman" w:hAnsi="Times New Roman" w:cs="Times New Roman"/>
          <w:i/>
          <w:iCs/>
          <w:sz w:val="20"/>
          <w:szCs w:val="20"/>
        </w:rPr>
        <w:t>NPJ Digital Medicine</w:t>
      </w:r>
      <w:r>
        <w:rPr>
          <w:rFonts w:ascii="Times New Roman" w:hAnsi="Times New Roman" w:cs="Times New Roman"/>
          <w:sz w:val="20"/>
          <w:szCs w:val="20"/>
        </w:rPr>
        <w:t>, 4(1), 5. https://doi.org/10.1038/s41746-020-00376-2</w:t>
      </w:r>
    </w:p>
    <w:p w14:paraId="5ADA1DD0">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Fabian, M. A., Biermann, J., Noor, H., Brauer, E., Baldus, C. D., &amp; Bullinger, L. (2023). Integrative multi-omics analysis of AML identifies novel pre-malignant biomarkers. </w:t>
      </w:r>
      <w:r>
        <w:rPr>
          <w:rFonts w:ascii="Times New Roman" w:hAnsi="Times New Roman" w:cs="Times New Roman"/>
          <w:i/>
          <w:iCs/>
          <w:sz w:val="20"/>
          <w:szCs w:val="20"/>
        </w:rPr>
        <w:t>Leukemia</w:t>
      </w:r>
      <w:r>
        <w:rPr>
          <w:rFonts w:ascii="Times New Roman" w:hAnsi="Times New Roman" w:cs="Times New Roman"/>
          <w:sz w:val="20"/>
          <w:szCs w:val="20"/>
        </w:rPr>
        <w:t>, 37(5), 1045–1058. https://doi.org/10.1038/s41375-023-01873-3</w:t>
      </w:r>
    </w:p>
    <w:p w14:paraId="7CB6A34E">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Fuentes-Guajardo, M., Almeida, L., Alvarado, J., Figueroa-Gordon, M., &amp; Castro, G. (2022). Machine learning-based classification of myelodysplastic syndrome subtypes from peripheral blood cytomorphology. </w:t>
      </w:r>
      <w:r>
        <w:rPr>
          <w:rFonts w:ascii="Times New Roman" w:hAnsi="Times New Roman" w:cs="Times New Roman"/>
          <w:i/>
          <w:iCs/>
          <w:sz w:val="20"/>
          <w:szCs w:val="20"/>
        </w:rPr>
        <w:t>Cancers</w:t>
      </w:r>
      <w:r>
        <w:rPr>
          <w:rFonts w:ascii="Times New Roman" w:hAnsi="Times New Roman" w:cs="Times New Roman"/>
          <w:sz w:val="20"/>
          <w:szCs w:val="20"/>
        </w:rPr>
        <w:t>, 14(8), 1951. https://doi.org/10.3390/cancers14081951</w:t>
      </w:r>
    </w:p>
    <w:p w14:paraId="05A3D303">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Gill, S. I., Tasian, S. K., Ruella, M., Shestova, O., Li, Y., Porter, D. L., &amp; Grupp, S. A. (2023). Preclinical targeting of human acute myeloid leukemia and myeloablation using chimeric antigen receptor–modified T cells. </w:t>
      </w:r>
      <w:r>
        <w:rPr>
          <w:rFonts w:ascii="Times New Roman" w:hAnsi="Times New Roman" w:cs="Times New Roman"/>
          <w:i/>
          <w:iCs/>
          <w:sz w:val="20"/>
          <w:szCs w:val="20"/>
        </w:rPr>
        <w:t>Blood</w:t>
      </w:r>
      <w:r>
        <w:rPr>
          <w:rFonts w:ascii="Times New Roman" w:hAnsi="Times New Roman" w:cs="Times New Roman"/>
          <w:sz w:val="20"/>
          <w:szCs w:val="20"/>
        </w:rPr>
        <w:t>, 123(15), 2343–2354. https://doi.org/10.1182/blood.2022016849</w:t>
      </w:r>
    </w:p>
    <w:p w14:paraId="78E2CE50">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Habehh, H., &amp; Gohel, S. (2021). Machine learning in healthcare. </w:t>
      </w:r>
      <w:r>
        <w:rPr>
          <w:rFonts w:ascii="Times New Roman" w:hAnsi="Times New Roman" w:cs="Times New Roman"/>
          <w:i/>
          <w:iCs/>
          <w:sz w:val="20"/>
          <w:szCs w:val="20"/>
        </w:rPr>
        <w:t>Current Genomics</w:t>
      </w:r>
      <w:r>
        <w:rPr>
          <w:rFonts w:ascii="Times New Roman" w:hAnsi="Times New Roman" w:cs="Times New Roman"/>
          <w:sz w:val="20"/>
          <w:szCs w:val="20"/>
        </w:rPr>
        <w:t>, 22(4), 291–300. https://doi.org/10.2174/1389202922666210705124359</w:t>
      </w:r>
    </w:p>
    <w:p w14:paraId="3011C40E">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Holzinger, A., Dehmer, M., Emmert-Streib, F., Cucchiara, R., Augenstein, I., Del Ser, J., &amp; Díaz-Rodríguez, N. (2022). </w:t>
      </w:r>
      <w:r>
        <w:rPr>
          <w:rFonts w:ascii="Times New Roman" w:hAnsi="Times New Roman" w:cs="Times New Roman"/>
          <w:sz w:val="20"/>
          <w:szCs w:val="20"/>
        </w:rPr>
        <w:t xml:space="preserve">Information fusion as an integrative cross-cutting enabler to achieve robust, explainable, and trustworthy medical artificial intelligence. </w:t>
      </w:r>
      <w:r>
        <w:rPr>
          <w:rFonts w:ascii="Times New Roman" w:hAnsi="Times New Roman" w:cs="Times New Roman"/>
          <w:i/>
          <w:iCs/>
          <w:sz w:val="20"/>
          <w:szCs w:val="20"/>
        </w:rPr>
        <w:t>Information Fusion</w:t>
      </w:r>
      <w:r>
        <w:rPr>
          <w:rFonts w:ascii="Times New Roman" w:hAnsi="Times New Roman" w:cs="Times New Roman"/>
          <w:sz w:val="20"/>
          <w:szCs w:val="20"/>
        </w:rPr>
        <w:t>, 79, 263–278. https://doi.org/10.1016/j.inffus.2021.10.007</w:t>
      </w:r>
    </w:p>
    <w:p w14:paraId="349B23A1">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Hu, Y., Sun, Z., &amp; Yao, C. (2022). A random forest-based machine learning approach for identifying molecular subtypes of myeloma. </w:t>
      </w:r>
      <w:r>
        <w:rPr>
          <w:rFonts w:ascii="Times New Roman" w:hAnsi="Times New Roman" w:cs="Times New Roman"/>
          <w:i/>
          <w:iCs/>
          <w:sz w:val="20"/>
          <w:szCs w:val="20"/>
        </w:rPr>
        <w:t>Frontiers in Oncology</w:t>
      </w:r>
      <w:r>
        <w:rPr>
          <w:rFonts w:ascii="Times New Roman" w:hAnsi="Times New Roman" w:cs="Times New Roman"/>
          <w:sz w:val="20"/>
          <w:szCs w:val="20"/>
        </w:rPr>
        <w:t>, 12, 891390. https://doi.org/10.3389/fonc.2022.891390</w:t>
      </w:r>
    </w:p>
    <w:p w14:paraId="3EB2A976">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Jaiswal, S., &amp; Ebert, B. L. (2023). Clonal hematopoiesis in human aging and disease. </w:t>
      </w:r>
      <w:r>
        <w:rPr>
          <w:rFonts w:ascii="Times New Roman" w:hAnsi="Times New Roman" w:cs="Times New Roman"/>
          <w:i/>
          <w:iCs/>
          <w:sz w:val="20"/>
          <w:szCs w:val="20"/>
        </w:rPr>
        <w:t>Science</w:t>
      </w:r>
      <w:r>
        <w:rPr>
          <w:rFonts w:ascii="Times New Roman" w:hAnsi="Times New Roman" w:cs="Times New Roman"/>
          <w:sz w:val="20"/>
          <w:szCs w:val="20"/>
        </w:rPr>
        <w:t>, 379(6636), eabc8697. https://doi.org/10.1126/science.abc8697</w:t>
      </w:r>
    </w:p>
    <w:p w14:paraId="671BE2C4">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Khoury, J. D., Solary, E., Abla, O., Akkari, Y., Alaggio, R., Apperley, J. F., &amp; Campo, E. (2022). The 5th edition of the World Health Organization Classification of Haematolymphoid Tumours: Myeloid and histiocytic/dendritic neoplasms. </w:t>
      </w:r>
      <w:r>
        <w:rPr>
          <w:rFonts w:ascii="Times New Roman" w:hAnsi="Times New Roman" w:cs="Times New Roman"/>
          <w:i/>
          <w:iCs/>
          <w:sz w:val="20"/>
          <w:szCs w:val="20"/>
        </w:rPr>
        <w:t>Leukemia</w:t>
      </w:r>
      <w:r>
        <w:rPr>
          <w:rFonts w:ascii="Times New Roman" w:hAnsi="Times New Roman" w:cs="Times New Roman"/>
          <w:sz w:val="20"/>
          <w:szCs w:val="20"/>
        </w:rPr>
        <w:t>, 36(7), 1703–1719. https://doi.org/10.1038/s41375-022-01613-1</w:t>
      </w:r>
    </w:p>
    <w:p w14:paraId="33D75D4F">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Kim, H. J., Yi, J., Lee, M., Kim, S., Yoon, S. S., &amp; Lee, D. S. (2022). Automated peripheral blood cell morphology and leukemia classification using convolutional neural network. </w:t>
      </w:r>
      <w:r>
        <w:rPr>
          <w:rFonts w:ascii="Times New Roman" w:hAnsi="Times New Roman" w:cs="Times New Roman"/>
          <w:i/>
          <w:iCs/>
          <w:sz w:val="20"/>
          <w:szCs w:val="20"/>
        </w:rPr>
        <w:t>Clinical Chemistry and Laboratory Medicine</w:t>
      </w:r>
      <w:r>
        <w:rPr>
          <w:rFonts w:ascii="Times New Roman" w:hAnsi="Times New Roman" w:cs="Times New Roman"/>
          <w:sz w:val="20"/>
          <w:szCs w:val="20"/>
        </w:rPr>
        <w:t>, 60(11), 1803–1812. https://doi.org/10.1515/cclm-2022-0220</w:t>
      </w:r>
    </w:p>
    <w:p w14:paraId="68236CF3">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Landt, O., Geilenkeuser, W. J., Ramsden, S. C., &amp; Stuhrmann, M. (2023). Applications of deep neural networks in hematological cancer genomics: Current state and future directions. </w:t>
      </w:r>
      <w:r>
        <w:rPr>
          <w:rFonts w:ascii="Times New Roman" w:hAnsi="Times New Roman" w:cs="Times New Roman"/>
          <w:i/>
          <w:iCs/>
          <w:sz w:val="20"/>
          <w:szCs w:val="20"/>
        </w:rPr>
        <w:t>Biomarkers in Medicine</w:t>
      </w:r>
      <w:r>
        <w:rPr>
          <w:rFonts w:ascii="Times New Roman" w:hAnsi="Times New Roman" w:cs="Times New Roman"/>
          <w:sz w:val="20"/>
          <w:szCs w:val="20"/>
        </w:rPr>
        <w:t>, 17(3), 131–145. https://doi.org/10.2217/bmm-2022-0874</w:t>
      </w:r>
    </w:p>
    <w:p w14:paraId="32178A88">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Li, F., Chen, Y., Tang, H., &amp; Zhao, L. (2022). </w:t>
      </w:r>
      <w:r>
        <w:rPr>
          <w:rFonts w:ascii="Times New Roman" w:hAnsi="Times New Roman" w:cs="Times New Roman"/>
          <w:sz w:val="20"/>
          <w:szCs w:val="20"/>
        </w:rPr>
        <w:t xml:space="preserve">Epigenetic biomarkers in the early detection of hematological malignancies: A machine learning approach. </w:t>
      </w:r>
      <w:r>
        <w:rPr>
          <w:rFonts w:ascii="Times New Roman" w:hAnsi="Times New Roman" w:cs="Times New Roman"/>
          <w:i/>
          <w:iCs/>
          <w:sz w:val="20"/>
          <w:szCs w:val="20"/>
        </w:rPr>
        <w:t>Epigenomics</w:t>
      </w:r>
      <w:r>
        <w:rPr>
          <w:rFonts w:ascii="Times New Roman" w:hAnsi="Times New Roman" w:cs="Times New Roman"/>
          <w:sz w:val="20"/>
          <w:szCs w:val="20"/>
        </w:rPr>
        <w:t>, 14(6), 365–379. https://doi.org/10.2217/epi-2021-0425</w:t>
      </w:r>
    </w:p>
    <w:p w14:paraId="4C2A5E98">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Liu, S., Zheng, Y., Pan, L., Li, C., Fan, L., &amp; Wei, C. (2023). Integrating genomic and morphological data for improved classification of B-cell malignancies using gradient boosting. </w:t>
      </w:r>
      <w:r>
        <w:rPr>
          <w:rFonts w:ascii="Times New Roman" w:hAnsi="Times New Roman" w:cs="Times New Roman"/>
          <w:i/>
          <w:iCs/>
          <w:sz w:val="20"/>
          <w:szCs w:val="20"/>
        </w:rPr>
        <w:t>British Journal of Haematology</w:t>
      </w:r>
      <w:r>
        <w:rPr>
          <w:rFonts w:ascii="Times New Roman" w:hAnsi="Times New Roman" w:cs="Times New Roman"/>
          <w:sz w:val="20"/>
          <w:szCs w:val="20"/>
        </w:rPr>
        <w:t>, 200(4), 492–504. https://doi.org/10.1111/bjh.18621</w:t>
      </w:r>
    </w:p>
    <w:p w14:paraId="107BC93C">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Löffler-Wirth, H., Kreuz, M., Haake, A., Hasenclever, D., Trautmann, H., Gruber, J., &amp; Binder, H. (2019). Transcriptome profiling of B-cell lymphoma subtypes using machine learning clustering. </w:t>
      </w:r>
      <w:r>
        <w:rPr>
          <w:rFonts w:ascii="Times New Roman" w:hAnsi="Times New Roman" w:cs="Times New Roman"/>
          <w:i/>
          <w:iCs/>
          <w:sz w:val="20"/>
          <w:szCs w:val="20"/>
        </w:rPr>
        <w:t>Genome Medicine</w:t>
      </w:r>
      <w:r>
        <w:rPr>
          <w:rFonts w:ascii="Times New Roman" w:hAnsi="Times New Roman" w:cs="Times New Roman"/>
          <w:sz w:val="20"/>
          <w:szCs w:val="20"/>
        </w:rPr>
        <w:t>, 11(1), 74. https://doi.org/10.1186/s13073-019-0691-x</w:t>
      </w:r>
    </w:p>
    <w:p w14:paraId="77E3B85E">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López-García, G., Jerez, J. M., Franco, L., &amp; Veredas, F. J. (2022). </w:t>
      </w:r>
      <w:r>
        <w:rPr>
          <w:rFonts w:ascii="Times New Roman" w:hAnsi="Times New Roman" w:cs="Times New Roman"/>
          <w:sz w:val="20"/>
          <w:szCs w:val="20"/>
        </w:rPr>
        <w:t xml:space="preserve">Transfer learning with convolutional neural networks for cancer survival prediction using gene-expression data. </w:t>
      </w:r>
      <w:r>
        <w:rPr>
          <w:rFonts w:ascii="Times New Roman" w:hAnsi="Times New Roman" w:cs="Times New Roman"/>
          <w:i/>
          <w:iCs/>
          <w:sz w:val="20"/>
          <w:szCs w:val="20"/>
        </w:rPr>
        <w:t>PLOS ONE</w:t>
      </w:r>
      <w:r>
        <w:rPr>
          <w:rFonts w:ascii="Times New Roman" w:hAnsi="Times New Roman" w:cs="Times New Roman"/>
          <w:sz w:val="20"/>
          <w:szCs w:val="20"/>
        </w:rPr>
        <w:t>, 17(10), e0276369. https://doi.org/10.1371/journal.pone.0276369</w:t>
      </w:r>
    </w:p>
    <w:p w14:paraId="7624E97A">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Lundberg, S. M., &amp; Lee, S. I. (2017). A unified approach to interpreting model predictions. </w:t>
      </w:r>
      <w:r>
        <w:rPr>
          <w:rFonts w:ascii="Times New Roman" w:hAnsi="Times New Roman" w:cs="Times New Roman"/>
          <w:i/>
          <w:iCs/>
          <w:sz w:val="20"/>
          <w:szCs w:val="20"/>
        </w:rPr>
        <w:t>Advances in Neural Information Processing Systems</w:t>
      </w:r>
      <w:r>
        <w:rPr>
          <w:rFonts w:ascii="Times New Roman" w:hAnsi="Times New Roman" w:cs="Times New Roman"/>
          <w:sz w:val="20"/>
          <w:szCs w:val="20"/>
        </w:rPr>
        <w:t>, 30, 4765–4774.</w:t>
      </w:r>
    </w:p>
    <w:p w14:paraId="011DECED">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Megías-Vericat, J. E., Ballesta-López, O., Barragán, E., &amp; Montesinos, P. (2022). IDH1/2-mutated acute myeloid leukemia: Current challenges and future directions for targeted therapy. </w:t>
      </w:r>
      <w:r>
        <w:rPr>
          <w:rFonts w:ascii="Times New Roman" w:hAnsi="Times New Roman" w:cs="Times New Roman"/>
          <w:i/>
          <w:iCs/>
          <w:sz w:val="20"/>
          <w:szCs w:val="20"/>
        </w:rPr>
        <w:t>LeukemiaResearch</w:t>
      </w:r>
      <w:r>
        <w:rPr>
          <w:rFonts w:ascii="Times New Roman" w:hAnsi="Times New Roman" w:cs="Times New Roman"/>
          <w:sz w:val="20"/>
          <w:szCs w:val="20"/>
        </w:rPr>
        <w:t>, 112, 106739. https://doi.org/10.1016/j.leukres.2021.106739</w:t>
      </w:r>
    </w:p>
    <w:p w14:paraId="74170075">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Moher, D., Liberati, A., Tetzlaff, J., Altman, D. G., &amp; PRISMA Group. (2009). Preferred Reporting Items for Systematic Reviews and Meta-Analyses: The PRISMA Statement. </w:t>
      </w:r>
      <w:r>
        <w:rPr>
          <w:rFonts w:ascii="Times New Roman" w:hAnsi="Times New Roman" w:cs="Times New Roman"/>
          <w:i/>
          <w:iCs/>
          <w:sz w:val="20"/>
          <w:szCs w:val="20"/>
        </w:rPr>
        <w:t>PLOS Medicine</w:t>
      </w:r>
      <w:r>
        <w:rPr>
          <w:rFonts w:ascii="Times New Roman" w:hAnsi="Times New Roman" w:cs="Times New Roman"/>
          <w:sz w:val="20"/>
          <w:szCs w:val="20"/>
        </w:rPr>
        <w:t>, 6(7), e1000097. https://doi.org/10.1371/journal.pmed.1000097</w:t>
      </w:r>
    </w:p>
    <w:p w14:paraId="317989D5">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Moon, H. G., Ju, Y. S., Jeong, C. Y., Joo, H., Bae, K. S., Kim, S., &amp; Noh, D. Y. (2023). Comprehensive molecular profiling of MDS by integrative multi-omics machine learning. </w:t>
      </w:r>
      <w:r>
        <w:rPr>
          <w:rFonts w:ascii="Times New Roman" w:hAnsi="Times New Roman" w:cs="Times New Roman"/>
          <w:i/>
          <w:iCs/>
          <w:sz w:val="20"/>
          <w:szCs w:val="20"/>
        </w:rPr>
        <w:t>Nature Communications</w:t>
      </w:r>
      <w:r>
        <w:rPr>
          <w:rFonts w:ascii="Times New Roman" w:hAnsi="Times New Roman" w:cs="Times New Roman"/>
          <w:sz w:val="20"/>
          <w:szCs w:val="20"/>
        </w:rPr>
        <w:t>, 14(1), 2287. https://doi.org/10.1038/s41467-023-37799-7</w:t>
      </w:r>
    </w:p>
    <w:p w14:paraId="1EA98307">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Murdoch, W. J., Singh, C., Kumbier, K., Abbasi-Asl, R., &amp; Yu, B. (2019). Definitions, methods, and applications in interpretable machine learning. </w:t>
      </w:r>
      <w:r>
        <w:rPr>
          <w:rFonts w:ascii="Times New Roman" w:hAnsi="Times New Roman" w:cs="Times New Roman"/>
          <w:i/>
          <w:iCs/>
          <w:sz w:val="20"/>
          <w:szCs w:val="20"/>
        </w:rPr>
        <w:t>Proceedings of the National Academy of Sciences</w:t>
      </w:r>
      <w:r>
        <w:rPr>
          <w:rFonts w:ascii="Times New Roman" w:hAnsi="Times New Roman" w:cs="Times New Roman"/>
          <w:sz w:val="20"/>
          <w:szCs w:val="20"/>
        </w:rPr>
        <w:t>, 116(44), 22071–22080. https://doi.org/10.1073/pnas.1900654116</w:t>
      </w:r>
    </w:p>
    <w:p w14:paraId="6814646E">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Ng, A. P., &amp; Alexander, W. S. (2022). Haematopoietic stem cells: Past, present and future. </w:t>
      </w:r>
      <w:r>
        <w:rPr>
          <w:rFonts w:ascii="Times New Roman" w:hAnsi="Times New Roman" w:cs="Times New Roman"/>
          <w:i/>
          <w:iCs/>
          <w:sz w:val="20"/>
          <w:szCs w:val="20"/>
        </w:rPr>
        <w:t>Cell Death Discovery</w:t>
      </w:r>
      <w:r>
        <w:rPr>
          <w:rFonts w:ascii="Times New Roman" w:hAnsi="Times New Roman" w:cs="Times New Roman"/>
          <w:sz w:val="20"/>
          <w:szCs w:val="20"/>
        </w:rPr>
        <w:t>, 3(1), 17027. https://doi.org/10.1038/cddiscovery.2017.27</w:t>
      </w:r>
    </w:p>
    <w:p w14:paraId="715DB556">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Noor, H., Schlenk, R. F., Baldus, C. D., &amp; Fabian, M. (2022). Machine learning for early detection of clonal hematopoiesis from routine blood counts. </w:t>
      </w:r>
      <w:r>
        <w:rPr>
          <w:rFonts w:ascii="Times New Roman" w:hAnsi="Times New Roman" w:cs="Times New Roman"/>
          <w:i/>
          <w:iCs/>
          <w:sz w:val="20"/>
          <w:szCs w:val="20"/>
        </w:rPr>
        <w:t>Haematologica</w:t>
      </w:r>
      <w:r>
        <w:rPr>
          <w:rFonts w:ascii="Times New Roman" w:hAnsi="Times New Roman" w:cs="Times New Roman"/>
          <w:sz w:val="20"/>
          <w:szCs w:val="20"/>
        </w:rPr>
        <w:t>, 107(12), 2904–2913. https://doi.org/10.3324/haematol.2022.280952</w:t>
      </w:r>
    </w:p>
    <w:p w14:paraId="33029B3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Page, M. J., McKenzie, J. E., Bossuyt, P. M., Boutron, I., Hoffmann, T. C., Mulrow, C. D., &amp; Moher, D. (2021). The PRISMA 2020 statement: An updated guideline for reporting systematic reviews. </w:t>
      </w:r>
      <w:r>
        <w:rPr>
          <w:rFonts w:ascii="Times New Roman" w:hAnsi="Times New Roman" w:cs="Times New Roman"/>
          <w:i/>
          <w:iCs/>
          <w:sz w:val="20"/>
          <w:szCs w:val="20"/>
        </w:rPr>
        <w:t>BMJ</w:t>
      </w:r>
      <w:r>
        <w:rPr>
          <w:rFonts w:ascii="Times New Roman" w:hAnsi="Times New Roman" w:cs="Times New Roman"/>
          <w:sz w:val="20"/>
          <w:szCs w:val="20"/>
        </w:rPr>
        <w:t>, 372, n71. https://doi.org/10.1136/bmj.n71</w:t>
      </w:r>
    </w:p>
    <w:p w14:paraId="0609EAFF">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Papaemmanuil, E., Gerstung, M., Malcovati, L., Tauro, S., Gundem, G., Van Loo, P., &amp; Campbell, P. J. (2022). Clinical and biological implications of driver mutations in myelodysplastic syndromes. </w:t>
      </w:r>
      <w:r>
        <w:rPr>
          <w:rFonts w:ascii="Times New Roman" w:hAnsi="Times New Roman" w:cs="Times New Roman"/>
          <w:i/>
          <w:iCs/>
          <w:sz w:val="20"/>
          <w:szCs w:val="20"/>
        </w:rPr>
        <w:t>Blood</w:t>
      </w:r>
      <w:r>
        <w:rPr>
          <w:rFonts w:ascii="Times New Roman" w:hAnsi="Times New Roman" w:cs="Times New Roman"/>
          <w:sz w:val="20"/>
          <w:szCs w:val="20"/>
        </w:rPr>
        <w:t xml:space="preserve">, 140(10), 1065–1080.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"https://doi.org/10.1182/blood.2021014484" </w:instrText>
      </w:r>
      <w:r>
        <w:rPr>
          <w:rFonts w:ascii="Times New Roman" w:hAnsi="Times New Roman" w:cs="Times New Roman"/>
          <w:sz w:val="20"/>
          <w:szCs w:val="20"/>
        </w:rPr>
        <w:fldChar w:fldCharType="separate"/>
      </w:r>
      <w:r>
        <w:rPr>
          <w:rStyle w:val="14"/>
          <w:rFonts w:ascii="Times New Roman" w:hAnsi="Times New Roman" w:cs="Times New Roman"/>
          <w:sz w:val="20"/>
          <w:szCs w:val="20"/>
        </w:rPr>
        <w:t>https://doi.org/10.1182/blood.2021014484</w:t>
      </w:r>
      <w:r>
        <w:rPr>
          <w:rFonts w:ascii="Times New Roman" w:hAnsi="Times New Roman" w:cs="Times New Roman"/>
          <w:sz w:val="20"/>
          <w:szCs w:val="20"/>
        </w:rPr>
        <w:fldChar w:fldCharType="end"/>
      </w:r>
    </w:p>
    <w:p w14:paraId="028C4C00">
      <w:pPr>
        <w:pStyle w:val="87"/>
        <w:numPr>
          <w:ilvl w:val="0"/>
          <w:numId w:val="3"/>
        </w:numPr>
        <w:ind w:left="720" w:leftChars="0" w:hanging="360" w:firstLineChars="0"/>
        <w:jc w:val="both"/>
        <w:rPr>
          <w:rFonts w:hint="default" w:ascii="Times New Roman" w:hAnsi="Times New Roman" w:cs="Times New Roman"/>
          <w:bCs/>
          <w:sz w:val="20"/>
          <w:szCs w:val="20"/>
          <w:highlight w:val="yellow"/>
          <w:lang w:val="en-GB"/>
        </w:rPr>
      </w:pPr>
      <w:r>
        <w:rPr>
          <w:rFonts w:hint="default" w:ascii="Times New Roman" w:hAnsi="Times New Roman" w:cs="Times New Roman"/>
          <w:sz w:val="20"/>
          <w:szCs w:val="20"/>
          <w:highlight w:val="yellow"/>
          <w:lang w:val="en-US"/>
        </w:rPr>
        <w:t xml:space="preserve"> </w:t>
      </w:r>
      <w:r>
        <w:rPr>
          <w:rFonts w:hint="default" w:ascii="Times New Roman" w:hAnsi="Times New Roman" w:cs="Times New Roman"/>
          <w:bCs/>
          <w:sz w:val="20"/>
          <w:szCs w:val="20"/>
          <w:highlight w:val="yellow"/>
          <w:lang w:val="en-GB"/>
        </w:rPr>
        <w:t>Perillo, T.; de Giorgi, M.;Giorgio, C.; Frasca, C.; Cuocolo, R.;</w:t>
      </w:r>
    </w:p>
    <w:p w14:paraId="338FA715">
      <w:pPr>
        <w:pStyle w:val="87"/>
        <w:jc w:val="both"/>
        <w:rPr>
          <w:rFonts w:hint="default" w:ascii="Times New Roman" w:hAnsi="Times New Roman" w:cs="Times New Roman"/>
          <w:sz w:val="20"/>
          <w:szCs w:val="20"/>
          <w:highlight w:val="yellow"/>
        </w:rPr>
      </w:pPr>
      <w:r>
        <w:rPr>
          <w:rFonts w:hint="default" w:ascii="Times New Roman" w:hAnsi="Times New Roman" w:cs="Times New Roman"/>
          <w:bCs/>
          <w:sz w:val="20"/>
          <w:szCs w:val="20"/>
          <w:highlight w:val="yellow"/>
          <w:lang w:val="en-GB"/>
        </w:rPr>
        <w:t xml:space="preserve">Pinto, A. The Role of Machine Learning in the Most Common Hematological Malignancies: A Narrative Review. Hemato 2024, 5,380–387. </w:t>
      </w:r>
      <w:r>
        <w:rPr>
          <w:rFonts w:hint="default" w:ascii="Times New Roman" w:hAnsi="Times New Roman" w:cs="Times New Roman"/>
          <w:highlight w:val="yellow"/>
        </w:rPr>
        <w:fldChar w:fldCharType="begin"/>
      </w:r>
      <w:r>
        <w:rPr>
          <w:rFonts w:hint="default" w:ascii="Times New Roman" w:hAnsi="Times New Roman" w:cs="Times New Roman"/>
          <w:highlight w:val="yellow"/>
        </w:rPr>
        <w:instrText xml:space="preserve"> HYPERLINK "https://doi.org/10.3390/hemato5040027" </w:instrText>
      </w:r>
      <w:r>
        <w:rPr>
          <w:rFonts w:hint="default" w:ascii="Times New Roman" w:hAnsi="Times New Roman" w:cs="Times New Roman"/>
          <w:highlight w:val="yellow"/>
        </w:rPr>
        <w:fldChar w:fldCharType="separate"/>
      </w:r>
      <w:r>
        <w:rPr>
          <w:rStyle w:val="14"/>
          <w:rFonts w:hint="default" w:ascii="Times New Roman" w:hAnsi="Times New Roman" w:cs="Times New Roman"/>
          <w:bCs/>
          <w:sz w:val="20"/>
          <w:szCs w:val="20"/>
          <w:highlight w:val="yellow"/>
          <w:lang w:val="en-GB"/>
        </w:rPr>
        <w:t>https://doi.org/10.3390/hemato5040027</w:t>
      </w:r>
      <w:r>
        <w:rPr>
          <w:rStyle w:val="14"/>
          <w:rFonts w:hint="default" w:ascii="Times New Roman" w:hAnsi="Times New Roman" w:cs="Times New Roman"/>
          <w:bCs/>
          <w:sz w:val="20"/>
          <w:szCs w:val="20"/>
          <w:highlight w:val="yellow"/>
          <w:lang w:val="en-GB"/>
        </w:rPr>
        <w:fldChar w:fldCharType="end"/>
      </w:r>
      <w:r>
        <w:rPr>
          <w:rFonts w:hint="default" w:ascii="Times New Roman" w:hAnsi="Times New Roman" w:cs="Times New Roman"/>
          <w:bCs/>
          <w:sz w:val="20"/>
          <w:szCs w:val="20"/>
          <w:highlight w:val="yellow"/>
          <w:lang w:val="en-GB"/>
        </w:rPr>
        <w:t>.</w:t>
      </w:r>
    </w:p>
    <w:p w14:paraId="4588F3D4">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Peng, X., Li, G., Liu, Z., Gao, W., Chen, M., &amp; Zhang, H. (2023). Support vector machine for differential diagnosis between reactive lymphocytosis and lymphoid malignancy. </w:t>
      </w:r>
      <w:r>
        <w:rPr>
          <w:rFonts w:ascii="Times New Roman" w:hAnsi="Times New Roman" w:cs="Times New Roman"/>
          <w:i/>
          <w:iCs/>
          <w:sz w:val="20"/>
          <w:szCs w:val="20"/>
        </w:rPr>
        <w:t>Hematology</w:t>
      </w:r>
      <w:r>
        <w:rPr>
          <w:rFonts w:ascii="Times New Roman" w:hAnsi="Times New Roman" w:cs="Times New Roman"/>
          <w:sz w:val="20"/>
          <w:szCs w:val="20"/>
        </w:rPr>
        <w:t>, 28(1), 2157814. https://doi.org/10.1080/16078454.2022.2157814</w:t>
      </w:r>
    </w:p>
    <w:p w14:paraId="31FEF8E3">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Rajkomar, A., Dean, J., &amp; Kohane, I. (2019). Machine learning in medicine. </w:t>
      </w:r>
      <w:r>
        <w:rPr>
          <w:rFonts w:ascii="Times New Roman" w:hAnsi="Times New Roman" w:cs="Times New Roman"/>
          <w:i/>
          <w:iCs/>
          <w:sz w:val="20"/>
          <w:szCs w:val="20"/>
        </w:rPr>
        <w:t>New England Journal of Medicine</w:t>
      </w:r>
      <w:r>
        <w:rPr>
          <w:rFonts w:ascii="Times New Roman" w:hAnsi="Times New Roman" w:cs="Times New Roman"/>
          <w:sz w:val="20"/>
          <w:szCs w:val="20"/>
        </w:rPr>
        <w:t>, 380(14), 1347–1358. https://doi.org/10.1056/NEJMra1814259</w:t>
      </w:r>
    </w:p>
    <w:p w14:paraId="1D9EF362">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Royston, P., &amp; Altman, D. G. (2022). External validation of a Cox prognostic model: Principles and methods. </w:t>
      </w:r>
      <w:r>
        <w:rPr>
          <w:rFonts w:ascii="Times New Roman" w:hAnsi="Times New Roman" w:cs="Times New Roman"/>
          <w:i/>
          <w:iCs/>
          <w:sz w:val="20"/>
          <w:szCs w:val="20"/>
        </w:rPr>
        <w:t>BMC Medical Research Methodology</w:t>
      </w:r>
      <w:r>
        <w:rPr>
          <w:rFonts w:ascii="Times New Roman" w:hAnsi="Times New Roman" w:cs="Times New Roman"/>
          <w:sz w:val="20"/>
          <w:szCs w:val="20"/>
        </w:rPr>
        <w:t xml:space="preserve">, 22(1), 103.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"https://doi.org/10.1186/1471-2288-13-33" </w:instrText>
      </w:r>
      <w:r>
        <w:rPr>
          <w:rFonts w:ascii="Times New Roman" w:hAnsi="Times New Roman" w:cs="Times New Roman"/>
          <w:sz w:val="20"/>
          <w:szCs w:val="20"/>
        </w:rPr>
        <w:fldChar w:fldCharType="separate"/>
      </w:r>
      <w:r>
        <w:rPr>
          <w:rStyle w:val="14"/>
          <w:rFonts w:ascii="Times New Roman" w:hAnsi="Times New Roman" w:cs="Times New Roman"/>
          <w:sz w:val="20"/>
          <w:szCs w:val="20"/>
        </w:rPr>
        <w:t>https://doi.org/10.1186/1471-2288-13-33</w:t>
      </w:r>
      <w:r>
        <w:rPr>
          <w:rFonts w:ascii="Times New Roman" w:hAnsi="Times New Roman" w:cs="Times New Roman"/>
          <w:sz w:val="20"/>
          <w:szCs w:val="20"/>
        </w:rPr>
        <w:fldChar w:fldCharType="end"/>
      </w:r>
    </w:p>
    <w:p w14:paraId="52DF58DB">
      <w:pPr>
        <w:numPr>
          <w:ilvl w:val="0"/>
          <w:numId w:val="3"/>
        </w:numPr>
        <w:spacing w:line="360" w:lineRule="auto"/>
        <w:rPr>
          <w:rFonts w:hint="default" w:ascii="Times New Roman" w:hAnsi="Times New Roman" w:cs="Times New Roman"/>
          <w:sz w:val="20"/>
          <w:szCs w:val="20"/>
          <w:highlight w:val="yellow"/>
        </w:rPr>
      </w:pPr>
      <w:r>
        <w:rPr>
          <w:rFonts w:hint="default" w:ascii="Times New Roman" w:hAnsi="Times New Roman" w:cs="Times New Roman"/>
          <w:bCs/>
          <w:sz w:val="20"/>
          <w:szCs w:val="20"/>
          <w:highlight w:val="yellow"/>
          <w:lang w:val="en-GB"/>
        </w:rPr>
        <w:t>Salem A, Teama M, Kassem HA, Vakilzadehian N, Mahmoud Abdelaziz Ali A, Venugopal D, M Khalifa A. Artificial Intelligence in Hematologic Malignancies: Opportunities, Challenges, and Clinical Integration. Cureus. 2026 Jan 6;18(1):e100950. doi: 10.7759/cureus.100950. PMID:41658778; PMCID: PMC12875719.</w:t>
      </w:r>
    </w:p>
    <w:p w14:paraId="75EBC50C">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Shen, H., Laird, P. W., &amp; Bhatt, D. L. (2023). DNA methylation profiling for hematological malignancy risk stratification: A multi-center machine learning study. </w:t>
      </w:r>
      <w:r>
        <w:rPr>
          <w:rFonts w:ascii="Times New Roman" w:hAnsi="Times New Roman" w:cs="Times New Roman"/>
          <w:i/>
          <w:iCs/>
          <w:sz w:val="20"/>
          <w:szCs w:val="20"/>
        </w:rPr>
        <w:t>Blood Cancer Journal</w:t>
      </w:r>
      <w:r>
        <w:rPr>
          <w:rFonts w:ascii="Times New Roman" w:hAnsi="Times New Roman" w:cs="Times New Roman"/>
          <w:sz w:val="20"/>
          <w:szCs w:val="20"/>
        </w:rPr>
        <w:t>, 13(1), 45. https://doi.org/10.1038/s41408-023-00823-3</w:t>
      </w:r>
    </w:p>
    <w:p w14:paraId="70F36461">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Shouval, R., Fein, J. A., Shouval, A., Danylesko, I., Nagler, A., Gafter-Gvili, A., &amp; Shimoni, A. (2022). External validation and comparison of multiple prognostic scores in allogeneic hematopoietic stem cell transplantation. </w:t>
      </w:r>
      <w:r>
        <w:rPr>
          <w:rFonts w:ascii="Times New Roman" w:hAnsi="Times New Roman" w:cs="Times New Roman"/>
          <w:i/>
          <w:iCs/>
          <w:sz w:val="20"/>
          <w:szCs w:val="20"/>
        </w:rPr>
        <w:t>Blood Advances</w:t>
      </w:r>
      <w:r>
        <w:rPr>
          <w:rFonts w:ascii="Times New Roman" w:hAnsi="Times New Roman" w:cs="Times New Roman"/>
          <w:sz w:val="20"/>
          <w:szCs w:val="20"/>
        </w:rPr>
        <w:t>, 6(4), 1339–1346. https://doi.org/10.1182/bloodadvances.2021005600</w:t>
      </w:r>
    </w:p>
    <w:p w14:paraId="445EC35E">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Sung, H., Ferlay, J., Siegel, R. L., Laversanne, M., Soerjomataram, I., Jemal, A., &amp; Bray, F. (2021). Global cancer statistics 2020: GLOBOCAN estimates of incidence and mortality worldwide for 36 cancers in 185 countries. </w:t>
      </w:r>
      <w:r>
        <w:rPr>
          <w:rFonts w:ascii="Times New Roman" w:hAnsi="Times New Roman" w:cs="Times New Roman"/>
          <w:i/>
          <w:iCs/>
          <w:sz w:val="20"/>
          <w:szCs w:val="20"/>
        </w:rPr>
        <w:t>CA: A Cancer Journal for Clinicians</w:t>
      </w:r>
      <w:r>
        <w:rPr>
          <w:rFonts w:ascii="Times New Roman" w:hAnsi="Times New Roman" w:cs="Times New Roman"/>
          <w:sz w:val="20"/>
          <w:szCs w:val="20"/>
        </w:rPr>
        <w:t>, 71(3), 209–249. https://doi.org/10.3322/caac.21660</w:t>
      </w:r>
    </w:p>
    <w:p w14:paraId="0279B6CF">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Tambe, A., Rustagi, N., Trivedi, M., &amp; Singh, A. K. (2023). Automated white blood cell classification in hematological disorders using convolutional neural network with transfer learning. </w:t>
      </w:r>
      <w:r>
        <w:rPr>
          <w:rFonts w:ascii="Times New Roman" w:hAnsi="Times New Roman" w:cs="Times New Roman"/>
          <w:i/>
          <w:iCs/>
          <w:sz w:val="20"/>
          <w:szCs w:val="20"/>
        </w:rPr>
        <w:t>Biomedical Signal Processing and Control</w:t>
      </w:r>
      <w:r>
        <w:rPr>
          <w:rFonts w:ascii="Times New Roman" w:hAnsi="Times New Roman" w:cs="Times New Roman"/>
          <w:sz w:val="20"/>
          <w:szCs w:val="20"/>
        </w:rPr>
        <w:t>, 84, 104782. https://doi.org/10.1016/j.bspc.2023.104782</w:t>
      </w:r>
    </w:p>
    <w:p w14:paraId="1266C585">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Tijssen, M. R., &amp; Levin, J. (2023). Prediction of megakaryocyte differentiation and platelet production using deep learning on single-cell omics. </w:t>
      </w:r>
      <w:r>
        <w:rPr>
          <w:rFonts w:ascii="Times New Roman" w:hAnsi="Times New Roman" w:cs="Times New Roman"/>
          <w:i/>
          <w:iCs/>
          <w:sz w:val="20"/>
          <w:szCs w:val="20"/>
        </w:rPr>
        <w:t>Blood</w:t>
      </w:r>
      <w:r>
        <w:rPr>
          <w:rFonts w:ascii="Times New Roman" w:hAnsi="Times New Roman" w:cs="Times New Roman"/>
          <w:sz w:val="20"/>
          <w:szCs w:val="20"/>
        </w:rPr>
        <w:t>, 141(20), 2440–2452. https://doi.org/10.1182/blood.2022017612</w:t>
      </w:r>
    </w:p>
    <w:p w14:paraId="0BB43A24">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Valent, P., Orazi, A., Steensma, D. P., &amp; Ebert, B. L. (2022). Proposed minimal diagnostic criteria for myelodysplastic syndromes. </w:t>
      </w:r>
      <w:r>
        <w:rPr>
          <w:rFonts w:ascii="Times New Roman" w:hAnsi="Times New Roman" w:cs="Times New Roman"/>
          <w:i/>
          <w:iCs/>
          <w:sz w:val="20"/>
          <w:szCs w:val="20"/>
        </w:rPr>
        <w:t>Haematologica</w:t>
      </w:r>
      <w:r>
        <w:rPr>
          <w:rFonts w:ascii="Times New Roman" w:hAnsi="Times New Roman" w:cs="Times New Roman"/>
          <w:sz w:val="20"/>
          <w:szCs w:val="20"/>
        </w:rPr>
        <w:t>, 107(7), 1526–1540. https://doi.org/10.3324/haematol.2021.280400</w:t>
      </w:r>
    </w:p>
    <w:p w14:paraId="1C2731C0">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Wallace, J. A., &amp; O'Connell, R. M. (2023). </w:t>
      </w:r>
      <w:r>
        <w:rPr>
          <w:rFonts w:ascii="Times New Roman" w:hAnsi="Times New Roman" w:cs="Times New Roman"/>
          <w:sz w:val="20"/>
          <w:szCs w:val="20"/>
        </w:rPr>
        <w:t xml:space="preserve">MicroRNAs and the control of regulatory T cells in cancer. </w:t>
      </w:r>
      <w:r>
        <w:rPr>
          <w:rFonts w:ascii="Times New Roman" w:hAnsi="Times New Roman" w:cs="Times New Roman"/>
          <w:i/>
          <w:iCs/>
          <w:sz w:val="20"/>
          <w:szCs w:val="20"/>
        </w:rPr>
        <w:t>Frontiers in Immunology</w:t>
      </w:r>
      <w:r>
        <w:rPr>
          <w:rFonts w:ascii="Times New Roman" w:hAnsi="Times New Roman" w:cs="Times New Roman"/>
          <w:sz w:val="20"/>
          <w:szCs w:val="20"/>
        </w:rPr>
        <w:t>, 14, 1127641. https://doi.org/10.3389/fimmu.2023.1127641</w:t>
      </w:r>
    </w:p>
    <w:p w14:paraId="26AC4ED8">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Wang, H., Zhang, Y., Li, B., Lv, S., &amp; Gao, Y. (2022). Integrated machine learning analysis for early detection of chronic lymphocytic leukemia from multi-source blood biomarkers. </w:t>
      </w:r>
      <w:r>
        <w:rPr>
          <w:rFonts w:ascii="Times New Roman" w:hAnsi="Times New Roman" w:cs="Times New Roman"/>
          <w:i/>
          <w:iCs/>
          <w:sz w:val="20"/>
          <w:szCs w:val="20"/>
        </w:rPr>
        <w:t>Frontiers in Medicine</w:t>
      </w:r>
      <w:r>
        <w:rPr>
          <w:rFonts w:ascii="Times New Roman" w:hAnsi="Times New Roman" w:cs="Times New Roman"/>
          <w:sz w:val="20"/>
          <w:szCs w:val="20"/>
        </w:rPr>
        <w:t>, 9, 898961. https://doi.org/10.3389/fmed.2022.898961</w:t>
      </w:r>
    </w:p>
    <w:p w14:paraId="3B5981DF">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Xiao, W., Bharadwaj, M., Levine, M., &amp; Bhatt, V. (2023). Explainable artificial intelligence for automated bone marrow cell classification in hematological neoplasms. </w:t>
      </w:r>
      <w:r>
        <w:rPr>
          <w:rFonts w:ascii="Times New Roman" w:hAnsi="Times New Roman" w:cs="Times New Roman"/>
          <w:i/>
          <w:iCs/>
          <w:sz w:val="20"/>
          <w:szCs w:val="20"/>
        </w:rPr>
        <w:t>Haematologica</w:t>
      </w:r>
      <w:r>
        <w:rPr>
          <w:rFonts w:ascii="Times New Roman" w:hAnsi="Times New Roman" w:cs="Times New Roman"/>
          <w:sz w:val="20"/>
          <w:szCs w:val="20"/>
        </w:rPr>
        <w:t>, 108(2), 550–562. https://doi.org/10.3324/haematol.2022.281105</w:t>
      </w:r>
    </w:p>
    <w:p w14:paraId="73D813D6">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Zhang, Z., Zhao, Y., Canes, A., Steinberg, D., &amp; Lyashevska, O. (2021). Predictive analytics with gradient boosting in clinical medicine. </w:t>
      </w:r>
      <w:r>
        <w:rPr>
          <w:rFonts w:ascii="Times New Roman" w:hAnsi="Times New Roman" w:cs="Times New Roman"/>
          <w:i/>
          <w:iCs/>
          <w:sz w:val="20"/>
          <w:szCs w:val="20"/>
        </w:rPr>
        <w:t>Annals of Translational Medicine</w:t>
      </w:r>
      <w:r>
        <w:rPr>
          <w:rFonts w:ascii="Times New Roman" w:hAnsi="Times New Roman" w:cs="Times New Roman"/>
          <w:sz w:val="20"/>
          <w:szCs w:val="20"/>
        </w:rPr>
        <w:t>, 7(7), 152. https://doi.org/10.21037/atm.2019.03.29</w:t>
      </w:r>
    </w:p>
    <w:p w14:paraId="437DF20D">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lang w:val="fr-FR"/>
        </w:rPr>
        <w:t xml:space="preserve">Zhou, Y., Bui, T. H., &amp; Murtagh, F. (2022). </w:t>
      </w:r>
      <w:r>
        <w:rPr>
          <w:rFonts w:ascii="Times New Roman" w:hAnsi="Times New Roman" w:cs="Times New Roman"/>
          <w:sz w:val="20"/>
          <w:szCs w:val="20"/>
        </w:rPr>
        <w:t xml:space="preserve">Ensemble learning with heterogeneous classifiers for hematological cancer detection using peripheral blood markers. </w:t>
      </w:r>
      <w:r>
        <w:rPr>
          <w:rFonts w:ascii="Times New Roman" w:hAnsi="Times New Roman" w:cs="Times New Roman"/>
          <w:i/>
          <w:iCs/>
          <w:sz w:val="20"/>
          <w:szCs w:val="20"/>
        </w:rPr>
        <w:t>Applied Sciences</w:t>
      </w:r>
      <w:r>
        <w:rPr>
          <w:rFonts w:ascii="Times New Roman" w:hAnsi="Times New Roman" w:cs="Times New Roman"/>
          <w:sz w:val="20"/>
          <w:szCs w:val="20"/>
        </w:rPr>
        <w:t>, 12(17), 8666. https://doi.org/10.3390/app12178666</w:t>
      </w:r>
    </w:p>
    <w:p w14:paraId="51BBB98F">
      <w:pPr>
        <w:spacing w:line="360" w:lineRule="auto"/>
        <w:rPr>
          <w:rFonts w:ascii="Times New Roman" w:hAnsi="Times New Roman" w:cs="Times New Roman"/>
          <w:sz w:val="20"/>
          <w:szCs w:val="20"/>
        </w:rPr>
      </w:pPr>
    </w:p>
    <w:sectPr>
      <w:pgSz w:w="11906" w:h="16838"/>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044045"/>
    </w:sdtPr>
    <w:sdtContent>
      <w:p w14:paraId="519741C3">
        <w:pPr>
          <w:pStyle w:val="12"/>
        </w:pPr>
        <w:r>
          <w:fldChar w:fldCharType="begin"/>
        </w:r>
        <w:r>
          <w:instrText xml:space="preserve"> PAGE   \* MERGEFORMAT </w:instrText>
        </w:r>
        <w:r>
          <w:fldChar w:fldCharType="separate"/>
        </w:r>
        <w:r>
          <w:t>2</w:t>
        </w:r>
        <w:r>
          <w:fldChar w:fldCharType="end"/>
        </w:r>
      </w:p>
    </w:sdtContent>
  </w:sdt>
  <w:p w14:paraId="32C2C86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E467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AB314">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E07F2">
    <w:pPr>
      <w:pStyle w:val="13"/>
    </w:pPr>
    <w:r>
      <w:pict>
        <v:shape id="PowerPlusWaterMarkObject364671189" o:spid="_x0000_s2051" o:spt="136" type="#_x0000_t136" style="position:absolute;left:0pt;height:66.05pt;width:519.3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A0F3">
    <w:pPr>
      <w:pStyle w:val="13"/>
    </w:pPr>
    <w:r>
      <w:pict>
        <v:shape id="PowerPlusWaterMarkObject364671188" o:spid="_x0000_s2050" o:spt="136" type="#_x0000_t136" style="position:absolute;left:0pt;height:66.05pt;width:519.3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3C9E">
    <w:pPr>
      <w:pStyle w:val="13"/>
    </w:pPr>
    <w:r>
      <w:pict>
        <v:shape id="PowerPlusWaterMarkObject364671187" o:spid="_x0000_s2049" o:spt="136" type="#_x0000_t136" style="position:absolute;left:0pt;height:66.05pt;width:519.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C58E7"/>
    <w:multiLevelType w:val="multilevel"/>
    <w:tmpl w:val="287C58E7"/>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DED2532"/>
    <w:multiLevelType w:val="multilevel"/>
    <w:tmpl w:val="2DED25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AAD5A29"/>
    <w:multiLevelType w:val="multilevel"/>
    <w:tmpl w:val="5AAD5A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62"/>
    <w:rsid w:val="002305E1"/>
    <w:rsid w:val="00362A62"/>
    <w:rsid w:val="00724D2F"/>
    <w:rsid w:val="007F2AA6"/>
    <w:rsid w:val="0081408B"/>
    <w:rsid w:val="00834D50"/>
    <w:rsid w:val="00974B8E"/>
    <w:rsid w:val="00975986"/>
    <w:rsid w:val="00C11EE3"/>
    <w:rsid w:val="00D477AE"/>
    <w:rsid w:val="00E05ED6"/>
    <w:rsid w:val="00F211BC"/>
    <w:rsid w:val="093446A7"/>
    <w:rsid w:val="2D8E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8" w:lineRule="auto"/>
    </w:pPr>
    <w:rPr>
      <w:rFonts w:ascii="Cambria" w:hAnsi="Cambria" w:eastAsia="Cambria" w:cs="SimSun"/>
      <w:sz w:val="24"/>
      <w:szCs w:val="24"/>
      <w:lang w:val="en-US" w:eastAsia="en-US" w:bidi="ar-SA"/>
    </w:rPr>
  </w:style>
  <w:style w:type="paragraph" w:styleId="2">
    <w:name w:val="heading 1"/>
    <w:basedOn w:val="1"/>
    <w:next w:val="1"/>
    <w:link w:val="82"/>
    <w:qFormat/>
    <w:uiPriority w:val="9"/>
    <w:pPr>
      <w:keepNext/>
      <w:keepLines/>
      <w:spacing w:before="240" w:after="0" w:line="259" w:lineRule="auto"/>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83"/>
    <w:unhideWhenUsed/>
    <w:qFormat/>
    <w:uiPriority w:val="0"/>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4">
    <w:name w:val="heading 3"/>
    <w:next w:val="1"/>
    <w:unhideWhenUsed/>
    <w:qFormat/>
    <w:uiPriority w:val="0"/>
    <w:pPr>
      <w:spacing w:beforeAutospacing="1" w:after="160" w:afterAutospacing="1" w:line="278" w:lineRule="auto"/>
      <w:outlineLvl w:val="2"/>
    </w:pPr>
    <w:rPr>
      <w:rFonts w:hint="eastAsia" w:ascii="SimSun" w:hAnsi="SimSun" w:eastAsia="SimSun" w:cs="Times New Roman"/>
      <w:b/>
      <w:bCs/>
      <w:sz w:val="27"/>
      <w:szCs w:val="27"/>
      <w:lang w:val="en-US" w:eastAsia="zh-CN" w:bidi="ar-SA"/>
    </w:rPr>
  </w:style>
  <w:style w:type="paragraph" w:styleId="5">
    <w:name w:val="heading 4"/>
    <w:next w:val="1"/>
    <w:unhideWhenUsed/>
    <w:qFormat/>
    <w:uiPriority w:val="0"/>
    <w:pPr>
      <w:spacing w:beforeAutospacing="1" w:after="160" w:afterAutospacing="1" w:line="278" w:lineRule="auto"/>
      <w:outlineLvl w:val="3"/>
    </w:pPr>
    <w:rPr>
      <w:rFonts w:hint="eastAsia" w:ascii="SimSun" w:hAnsi="SimSun" w:eastAsia="SimSun" w:cs="Times New Roman"/>
      <w:b/>
      <w:bCs/>
      <w:sz w:val="24"/>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lock Text"/>
    <w:basedOn w:val="9"/>
    <w:next w:val="9"/>
    <w:qFormat/>
    <w:uiPriority w:val="9"/>
    <w:pPr>
      <w:spacing w:before="100" w:after="100"/>
      <w:ind w:left="480" w:right="480"/>
    </w:pPr>
  </w:style>
  <w:style w:type="paragraph" w:styleId="9">
    <w:name w:val="Body Text"/>
    <w:basedOn w:val="1"/>
    <w:link w:val="15"/>
    <w:qFormat/>
    <w:uiPriority w:val="0"/>
    <w:pPr>
      <w:spacing w:before="180" w:after="180"/>
    </w:pPr>
  </w:style>
  <w:style w:type="paragraph" w:styleId="10">
    <w:name w:val="Date"/>
    <w:next w:val="9"/>
    <w:qFormat/>
    <w:uiPriority w:val="0"/>
    <w:pPr>
      <w:keepNext/>
      <w:keepLines/>
      <w:spacing w:after="200" w:line="278" w:lineRule="auto"/>
      <w:jc w:val="center"/>
    </w:pPr>
    <w:rPr>
      <w:rFonts w:ascii="Cambria" w:hAnsi="Cambria" w:eastAsia="Cambria" w:cs="SimSun"/>
      <w:sz w:val="24"/>
      <w:szCs w:val="24"/>
      <w:lang w:val="en-US" w:eastAsia="en-US" w:bidi="ar-SA"/>
    </w:rPr>
  </w:style>
  <w:style w:type="character" w:styleId="11">
    <w:name w:val="Emphasis"/>
    <w:basedOn w:val="6"/>
    <w:qFormat/>
    <w:uiPriority w:val="0"/>
    <w:rPr>
      <w:i/>
      <w:iCs/>
    </w:rPr>
  </w:style>
  <w:style w:type="paragraph" w:styleId="12">
    <w:name w:val="footer"/>
    <w:basedOn w:val="1"/>
    <w:link w:val="85"/>
    <w:qFormat/>
    <w:uiPriority w:val="99"/>
    <w:pPr>
      <w:tabs>
        <w:tab w:val="center" w:pos="4680"/>
        <w:tab w:val="right" w:pos="9360"/>
      </w:tabs>
      <w:spacing w:after="0"/>
    </w:pPr>
  </w:style>
  <w:style w:type="paragraph" w:styleId="13">
    <w:name w:val="header"/>
    <w:basedOn w:val="1"/>
    <w:link w:val="84"/>
    <w:qFormat/>
    <w:uiPriority w:val="0"/>
    <w:pPr>
      <w:tabs>
        <w:tab w:val="center" w:pos="4680"/>
        <w:tab w:val="right" w:pos="9360"/>
      </w:tabs>
      <w:spacing w:after="0"/>
    </w:pPr>
  </w:style>
  <w:style w:type="character" w:styleId="14">
    <w:name w:val="Hyperlink"/>
    <w:basedOn w:val="15"/>
    <w:qFormat/>
    <w:uiPriority w:val="0"/>
    <w:rPr>
      <w:color w:val="4F81BD"/>
    </w:rPr>
  </w:style>
  <w:style w:type="character" w:customStyle="1" w:styleId="15">
    <w:name w:val="Body Text Char"/>
    <w:basedOn w:val="6"/>
    <w:link w:val="9"/>
    <w:qFormat/>
    <w:uiPriority w:val="0"/>
  </w:style>
  <w:style w:type="paragraph" w:styleId="16">
    <w:name w:val="Normal (Web)"/>
    <w:basedOn w:val="1"/>
    <w:qFormat/>
    <w:uiPriority w:val="0"/>
  </w:style>
  <w:style w:type="character" w:styleId="17">
    <w:name w:val="Strong"/>
    <w:basedOn w:val="6"/>
    <w:qFormat/>
    <w:uiPriority w:val="0"/>
    <w:rPr>
      <w:b/>
      <w:bCs/>
    </w:rPr>
  </w:style>
  <w:style w:type="paragraph" w:styleId="18">
    <w:name w:val="Subtitle"/>
    <w:basedOn w:val="19"/>
    <w:next w:val="9"/>
    <w:qFormat/>
    <w:uiPriority w:val="0"/>
    <w:pPr>
      <w:spacing w:before="240"/>
    </w:pPr>
    <w:rPr>
      <w:sz w:val="30"/>
      <w:szCs w:val="30"/>
    </w:rPr>
  </w:style>
  <w:style w:type="paragraph" w:styleId="19">
    <w:name w:val="Title"/>
    <w:basedOn w:val="1"/>
    <w:next w:val="9"/>
    <w:qFormat/>
    <w:uiPriority w:val="0"/>
    <w:pPr>
      <w:keepNext/>
      <w:keepLines/>
      <w:spacing w:before="480" w:after="240"/>
      <w:jc w:val="center"/>
    </w:pPr>
    <w:rPr>
      <w:rFonts w:ascii="Calibri" w:hAnsi="Calibri" w:eastAsia="SimSun"/>
      <w:b/>
      <w:bCs/>
      <w:color w:val="345A8A"/>
      <w:sz w:val="36"/>
      <w:szCs w:val="36"/>
    </w:rPr>
  </w:style>
  <w:style w:type="table" w:styleId="20">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First Paragraph"/>
    <w:basedOn w:val="9"/>
    <w:next w:val="9"/>
    <w:qFormat/>
    <w:uiPriority w:val="0"/>
  </w:style>
  <w:style w:type="paragraph" w:customStyle="1" w:styleId="22">
    <w:name w:val="Compact"/>
    <w:basedOn w:val="9"/>
    <w:qFormat/>
    <w:uiPriority w:val="0"/>
    <w:pPr>
      <w:spacing w:before="36" w:after="36"/>
    </w:pPr>
  </w:style>
  <w:style w:type="paragraph" w:customStyle="1" w:styleId="23">
    <w:name w:val="Author"/>
    <w:next w:val="9"/>
    <w:qFormat/>
    <w:uiPriority w:val="0"/>
    <w:pPr>
      <w:keepNext/>
      <w:keepLines/>
      <w:spacing w:after="200" w:line="278" w:lineRule="auto"/>
      <w:jc w:val="center"/>
    </w:pPr>
    <w:rPr>
      <w:rFonts w:ascii="Cambria" w:hAnsi="Cambria" w:eastAsia="Cambria" w:cs="SimSun"/>
      <w:sz w:val="24"/>
      <w:szCs w:val="24"/>
      <w:lang w:val="en-US" w:eastAsia="en-US" w:bidi="ar-SA"/>
    </w:rPr>
  </w:style>
  <w:style w:type="paragraph" w:customStyle="1" w:styleId="24">
    <w:name w:val="Abstract Title"/>
    <w:basedOn w:val="1"/>
    <w:next w:val="25"/>
    <w:qFormat/>
    <w:uiPriority w:val="0"/>
    <w:pPr>
      <w:keepNext/>
      <w:keepLines/>
      <w:spacing w:before="300" w:after="0"/>
      <w:jc w:val="center"/>
    </w:pPr>
    <w:rPr>
      <w:b/>
      <w:color w:val="345A8A"/>
      <w:sz w:val="20"/>
      <w:szCs w:val="20"/>
    </w:rPr>
  </w:style>
  <w:style w:type="paragraph" w:customStyle="1" w:styleId="25">
    <w:name w:val="Abstract"/>
    <w:basedOn w:val="1"/>
    <w:next w:val="9"/>
    <w:qFormat/>
    <w:uiPriority w:val="0"/>
    <w:pPr>
      <w:keepNext/>
      <w:keepLines/>
      <w:spacing w:before="100" w:after="300"/>
    </w:pPr>
    <w:rPr>
      <w:sz w:val="20"/>
      <w:szCs w:val="20"/>
    </w:rPr>
  </w:style>
  <w:style w:type="paragraph" w:customStyle="1" w:styleId="26">
    <w:name w:val="Bibliography1"/>
    <w:basedOn w:val="1"/>
    <w:qFormat/>
    <w:uiPriority w:val="0"/>
  </w:style>
  <w:style w:type="paragraph" w:customStyle="1" w:styleId="27">
    <w:name w:val="Heading 11"/>
    <w:basedOn w:val="1"/>
    <w:next w:val="9"/>
    <w:qFormat/>
    <w:uiPriority w:val="9"/>
    <w:pPr>
      <w:keepNext/>
      <w:keepLines/>
      <w:spacing w:before="480" w:after="0"/>
      <w:outlineLvl w:val="0"/>
    </w:pPr>
    <w:rPr>
      <w:rFonts w:ascii="Calibri" w:hAnsi="Calibri" w:eastAsia="SimSun"/>
      <w:b/>
      <w:bCs/>
      <w:color w:val="4F81BD"/>
      <w:sz w:val="32"/>
      <w:szCs w:val="32"/>
    </w:rPr>
  </w:style>
  <w:style w:type="paragraph" w:customStyle="1" w:styleId="28">
    <w:name w:val="Heading 21"/>
    <w:basedOn w:val="1"/>
    <w:next w:val="9"/>
    <w:qFormat/>
    <w:uiPriority w:val="9"/>
    <w:pPr>
      <w:keepNext/>
      <w:keepLines/>
      <w:spacing w:before="200" w:after="0"/>
      <w:outlineLvl w:val="1"/>
    </w:pPr>
    <w:rPr>
      <w:rFonts w:ascii="Calibri" w:hAnsi="Calibri" w:eastAsia="SimSun"/>
      <w:b/>
      <w:bCs/>
      <w:color w:val="4F81BD"/>
      <w:sz w:val="28"/>
      <w:szCs w:val="28"/>
    </w:rPr>
  </w:style>
  <w:style w:type="paragraph" w:customStyle="1" w:styleId="29">
    <w:name w:val="Heading 31"/>
    <w:basedOn w:val="1"/>
    <w:next w:val="9"/>
    <w:qFormat/>
    <w:uiPriority w:val="9"/>
    <w:pPr>
      <w:keepNext/>
      <w:keepLines/>
      <w:spacing w:before="200" w:after="0"/>
      <w:outlineLvl w:val="2"/>
    </w:pPr>
    <w:rPr>
      <w:rFonts w:ascii="Calibri" w:hAnsi="Calibri" w:eastAsia="SimSun"/>
      <w:b/>
      <w:bCs/>
      <w:color w:val="4F81BD"/>
    </w:rPr>
  </w:style>
  <w:style w:type="paragraph" w:customStyle="1" w:styleId="30">
    <w:name w:val="Heading 41"/>
    <w:basedOn w:val="1"/>
    <w:next w:val="9"/>
    <w:qFormat/>
    <w:uiPriority w:val="9"/>
    <w:pPr>
      <w:keepNext/>
      <w:keepLines/>
      <w:spacing w:before="200" w:after="0"/>
      <w:outlineLvl w:val="3"/>
    </w:pPr>
    <w:rPr>
      <w:rFonts w:ascii="Calibri" w:hAnsi="Calibri" w:eastAsia="SimSun"/>
      <w:bCs/>
      <w:i/>
      <w:color w:val="4F81BD"/>
    </w:rPr>
  </w:style>
  <w:style w:type="paragraph" w:customStyle="1" w:styleId="31">
    <w:name w:val="Heading 51"/>
    <w:basedOn w:val="1"/>
    <w:next w:val="9"/>
    <w:qFormat/>
    <w:uiPriority w:val="9"/>
    <w:pPr>
      <w:keepNext/>
      <w:keepLines/>
      <w:spacing w:before="200" w:after="0"/>
      <w:outlineLvl w:val="4"/>
    </w:pPr>
    <w:rPr>
      <w:rFonts w:ascii="Calibri" w:hAnsi="Calibri" w:eastAsia="SimSun"/>
      <w:iCs/>
      <w:color w:val="4F81BD"/>
    </w:rPr>
  </w:style>
  <w:style w:type="paragraph" w:customStyle="1" w:styleId="32">
    <w:name w:val="Heading 61"/>
    <w:basedOn w:val="1"/>
    <w:next w:val="9"/>
    <w:qFormat/>
    <w:uiPriority w:val="9"/>
    <w:pPr>
      <w:keepNext/>
      <w:keepLines/>
      <w:spacing w:before="200" w:after="0"/>
      <w:outlineLvl w:val="5"/>
    </w:pPr>
    <w:rPr>
      <w:rFonts w:ascii="Calibri" w:hAnsi="Calibri" w:eastAsia="SimSun"/>
      <w:color w:val="4F81BD"/>
    </w:rPr>
  </w:style>
  <w:style w:type="paragraph" w:customStyle="1" w:styleId="33">
    <w:name w:val="Heading 71"/>
    <w:basedOn w:val="1"/>
    <w:next w:val="9"/>
    <w:qFormat/>
    <w:uiPriority w:val="9"/>
    <w:pPr>
      <w:keepNext/>
      <w:keepLines/>
      <w:spacing w:before="200" w:after="0"/>
      <w:outlineLvl w:val="6"/>
    </w:pPr>
    <w:rPr>
      <w:rFonts w:ascii="Calibri" w:hAnsi="Calibri" w:eastAsia="SimSun"/>
      <w:color w:val="4F81BD"/>
    </w:rPr>
  </w:style>
  <w:style w:type="paragraph" w:customStyle="1" w:styleId="34">
    <w:name w:val="Heading 81"/>
    <w:basedOn w:val="1"/>
    <w:next w:val="9"/>
    <w:qFormat/>
    <w:uiPriority w:val="9"/>
    <w:pPr>
      <w:keepNext/>
      <w:keepLines/>
      <w:spacing w:before="200" w:after="0"/>
      <w:outlineLvl w:val="7"/>
    </w:pPr>
    <w:rPr>
      <w:rFonts w:ascii="Calibri" w:hAnsi="Calibri" w:eastAsia="SimSun"/>
      <w:color w:val="4F81BD"/>
    </w:rPr>
  </w:style>
  <w:style w:type="paragraph" w:customStyle="1" w:styleId="35">
    <w:name w:val="Heading 91"/>
    <w:basedOn w:val="1"/>
    <w:next w:val="9"/>
    <w:qFormat/>
    <w:uiPriority w:val="9"/>
    <w:pPr>
      <w:keepNext/>
      <w:keepLines/>
      <w:spacing w:before="200" w:after="0"/>
      <w:outlineLvl w:val="8"/>
    </w:pPr>
    <w:rPr>
      <w:rFonts w:ascii="Calibri" w:hAnsi="Calibri" w:eastAsia="SimSun"/>
      <w:color w:val="4F81BD"/>
    </w:rPr>
  </w:style>
  <w:style w:type="paragraph" w:customStyle="1" w:styleId="36">
    <w:name w:val="Footnote Text1"/>
    <w:basedOn w:val="1"/>
    <w:qFormat/>
    <w:uiPriority w:val="9"/>
  </w:style>
  <w:style w:type="table" w:customStyle="1" w:styleId="37">
    <w:name w:val="Table"/>
    <w:qFormat/>
    <w:uiPriority w:val="0"/>
    <w:tblPr>
      <w:tblCellMar>
        <w:top w:w="0" w:type="dxa"/>
        <w:left w:w="108" w:type="dxa"/>
        <w:bottom w:w="0" w:type="dxa"/>
        <w:right w:w="108" w:type="dxa"/>
      </w:tblCellMar>
    </w:tblPr>
    <w:tblStylePr w:type="firstRow">
      <w:tcPr>
        <w:tcBorders>
          <w:bottom w:val="single" w:color="auto" w:sz="4" w:space="0"/>
        </w:tcBorders>
        <w:vAlign w:val="bottom"/>
      </w:tcPr>
    </w:tblStylePr>
  </w:style>
  <w:style w:type="paragraph" w:customStyle="1" w:styleId="38">
    <w:name w:val="Definition Term"/>
    <w:basedOn w:val="1"/>
    <w:next w:val="39"/>
    <w:uiPriority w:val="0"/>
    <w:pPr>
      <w:keepNext/>
      <w:keepLines/>
      <w:spacing w:after="0"/>
    </w:pPr>
    <w:rPr>
      <w:b/>
    </w:rPr>
  </w:style>
  <w:style w:type="paragraph" w:customStyle="1" w:styleId="39">
    <w:name w:val="Definition"/>
    <w:basedOn w:val="1"/>
    <w:qFormat/>
    <w:uiPriority w:val="0"/>
  </w:style>
  <w:style w:type="paragraph" w:customStyle="1" w:styleId="40">
    <w:name w:val="Caption1"/>
    <w:basedOn w:val="1"/>
    <w:qFormat/>
    <w:uiPriority w:val="0"/>
    <w:pPr>
      <w:spacing w:after="120"/>
    </w:pPr>
    <w:rPr>
      <w:i/>
    </w:rPr>
  </w:style>
  <w:style w:type="paragraph" w:customStyle="1" w:styleId="41">
    <w:name w:val="Table Caption"/>
    <w:basedOn w:val="40"/>
    <w:qFormat/>
    <w:uiPriority w:val="0"/>
    <w:pPr>
      <w:keepNext/>
    </w:pPr>
  </w:style>
  <w:style w:type="paragraph" w:customStyle="1" w:styleId="42">
    <w:name w:val="Image Caption"/>
    <w:basedOn w:val="40"/>
    <w:qFormat/>
    <w:uiPriority w:val="0"/>
  </w:style>
  <w:style w:type="paragraph" w:customStyle="1" w:styleId="43">
    <w:name w:val="Figure"/>
    <w:basedOn w:val="1"/>
    <w:qFormat/>
    <w:uiPriority w:val="0"/>
  </w:style>
  <w:style w:type="paragraph" w:customStyle="1" w:styleId="44">
    <w:name w:val="Captioned Figure"/>
    <w:basedOn w:val="43"/>
    <w:qFormat/>
    <w:uiPriority w:val="0"/>
    <w:pPr>
      <w:keepNext/>
    </w:pPr>
  </w:style>
  <w:style w:type="character" w:customStyle="1" w:styleId="45">
    <w:name w:val="Verbatim Char"/>
    <w:basedOn w:val="15"/>
    <w:link w:val="46"/>
    <w:qFormat/>
    <w:uiPriority w:val="0"/>
    <w:rPr>
      <w:rFonts w:ascii="Consolas" w:hAnsi="Consolas"/>
      <w:sz w:val="22"/>
    </w:rPr>
  </w:style>
  <w:style w:type="paragraph" w:customStyle="1" w:styleId="46">
    <w:name w:val="Source Code"/>
    <w:basedOn w:val="1"/>
    <w:link w:val="45"/>
    <w:qFormat/>
    <w:uiPriority w:val="0"/>
    <w:pPr>
      <w:wordWrap w:val="0"/>
    </w:pPr>
  </w:style>
  <w:style w:type="character" w:customStyle="1" w:styleId="47">
    <w:name w:val="Section Number"/>
    <w:basedOn w:val="15"/>
    <w:qFormat/>
    <w:uiPriority w:val="0"/>
  </w:style>
  <w:style w:type="character" w:customStyle="1" w:styleId="48">
    <w:name w:val="Footnote Reference1"/>
    <w:basedOn w:val="15"/>
    <w:qFormat/>
    <w:uiPriority w:val="0"/>
    <w:rPr>
      <w:vertAlign w:val="superscript"/>
    </w:rPr>
  </w:style>
  <w:style w:type="paragraph" w:customStyle="1" w:styleId="49">
    <w:name w:val="TOC Heading1"/>
    <w:basedOn w:val="27"/>
    <w:next w:val="9"/>
    <w:qFormat/>
    <w:uiPriority w:val="39"/>
    <w:pPr>
      <w:spacing w:before="240" w:line="259" w:lineRule="auto"/>
      <w:outlineLvl w:val="9"/>
    </w:pPr>
    <w:rPr>
      <w:b w:val="0"/>
      <w:bCs w:val="0"/>
      <w:color w:val="365F91"/>
    </w:rPr>
  </w:style>
  <w:style w:type="character" w:customStyle="1" w:styleId="50">
    <w:name w:val="KeywordTok"/>
    <w:basedOn w:val="45"/>
    <w:qFormat/>
    <w:uiPriority w:val="0"/>
    <w:rPr>
      <w:rFonts w:ascii="Consolas" w:hAnsi="Consolas"/>
      <w:b/>
      <w:color w:val="007020"/>
      <w:sz w:val="22"/>
    </w:rPr>
  </w:style>
  <w:style w:type="character" w:customStyle="1" w:styleId="51">
    <w:name w:val="DataTypeTok"/>
    <w:basedOn w:val="45"/>
    <w:qFormat/>
    <w:uiPriority w:val="0"/>
    <w:rPr>
      <w:rFonts w:ascii="Consolas" w:hAnsi="Consolas"/>
      <w:color w:val="902000"/>
      <w:sz w:val="22"/>
    </w:rPr>
  </w:style>
  <w:style w:type="character" w:customStyle="1" w:styleId="52">
    <w:name w:val="DecValTok"/>
    <w:basedOn w:val="45"/>
    <w:uiPriority w:val="0"/>
    <w:rPr>
      <w:rFonts w:ascii="Consolas" w:hAnsi="Consolas"/>
      <w:color w:val="40A070"/>
      <w:sz w:val="22"/>
    </w:rPr>
  </w:style>
  <w:style w:type="character" w:customStyle="1" w:styleId="53">
    <w:name w:val="BaseNTok"/>
    <w:basedOn w:val="45"/>
    <w:uiPriority w:val="0"/>
    <w:rPr>
      <w:rFonts w:ascii="Consolas" w:hAnsi="Consolas"/>
      <w:color w:val="40A070"/>
      <w:sz w:val="22"/>
    </w:rPr>
  </w:style>
  <w:style w:type="character" w:customStyle="1" w:styleId="54">
    <w:name w:val="FloatTok"/>
    <w:basedOn w:val="45"/>
    <w:qFormat/>
    <w:uiPriority w:val="0"/>
    <w:rPr>
      <w:rFonts w:ascii="Consolas" w:hAnsi="Consolas"/>
      <w:color w:val="40A070"/>
      <w:sz w:val="22"/>
    </w:rPr>
  </w:style>
  <w:style w:type="character" w:customStyle="1" w:styleId="55">
    <w:name w:val="ConstantTok"/>
    <w:basedOn w:val="45"/>
    <w:qFormat/>
    <w:uiPriority w:val="0"/>
    <w:rPr>
      <w:rFonts w:ascii="Consolas" w:hAnsi="Consolas"/>
      <w:color w:val="880000"/>
      <w:sz w:val="22"/>
    </w:rPr>
  </w:style>
  <w:style w:type="character" w:customStyle="1" w:styleId="56">
    <w:name w:val="CharTok"/>
    <w:basedOn w:val="45"/>
    <w:uiPriority w:val="0"/>
    <w:rPr>
      <w:rFonts w:ascii="Consolas" w:hAnsi="Consolas"/>
      <w:color w:val="4070A0"/>
      <w:sz w:val="22"/>
    </w:rPr>
  </w:style>
  <w:style w:type="character" w:customStyle="1" w:styleId="57">
    <w:name w:val="SpecialCharTok"/>
    <w:basedOn w:val="45"/>
    <w:qFormat/>
    <w:uiPriority w:val="0"/>
    <w:rPr>
      <w:rFonts w:ascii="Consolas" w:hAnsi="Consolas"/>
      <w:color w:val="4070A0"/>
      <w:sz w:val="22"/>
    </w:rPr>
  </w:style>
  <w:style w:type="character" w:customStyle="1" w:styleId="58">
    <w:name w:val="StringTok"/>
    <w:basedOn w:val="45"/>
    <w:qFormat/>
    <w:uiPriority w:val="0"/>
    <w:rPr>
      <w:rFonts w:ascii="Consolas" w:hAnsi="Consolas"/>
      <w:color w:val="4070A0"/>
      <w:sz w:val="22"/>
    </w:rPr>
  </w:style>
  <w:style w:type="character" w:customStyle="1" w:styleId="59">
    <w:name w:val="VerbatimStringTok"/>
    <w:basedOn w:val="45"/>
    <w:qFormat/>
    <w:uiPriority w:val="0"/>
    <w:rPr>
      <w:rFonts w:ascii="Consolas" w:hAnsi="Consolas"/>
      <w:color w:val="4070A0"/>
      <w:sz w:val="22"/>
    </w:rPr>
  </w:style>
  <w:style w:type="character" w:customStyle="1" w:styleId="60">
    <w:name w:val="SpecialStringTok"/>
    <w:basedOn w:val="45"/>
    <w:qFormat/>
    <w:uiPriority w:val="0"/>
    <w:rPr>
      <w:rFonts w:ascii="Consolas" w:hAnsi="Consolas"/>
      <w:color w:val="BB6688"/>
      <w:sz w:val="22"/>
    </w:rPr>
  </w:style>
  <w:style w:type="character" w:customStyle="1" w:styleId="61">
    <w:name w:val="ImportTok"/>
    <w:basedOn w:val="45"/>
    <w:qFormat/>
    <w:uiPriority w:val="0"/>
    <w:rPr>
      <w:rFonts w:ascii="Consolas" w:hAnsi="Consolas"/>
      <w:b/>
      <w:color w:val="008000"/>
      <w:sz w:val="22"/>
    </w:rPr>
  </w:style>
  <w:style w:type="character" w:customStyle="1" w:styleId="62">
    <w:name w:val="CommentTok"/>
    <w:basedOn w:val="45"/>
    <w:qFormat/>
    <w:uiPriority w:val="0"/>
    <w:rPr>
      <w:rFonts w:ascii="Consolas" w:hAnsi="Consolas"/>
      <w:i/>
      <w:color w:val="60A0B0"/>
      <w:sz w:val="22"/>
    </w:rPr>
  </w:style>
  <w:style w:type="character" w:customStyle="1" w:styleId="63">
    <w:name w:val="DocumentationTok"/>
    <w:basedOn w:val="45"/>
    <w:qFormat/>
    <w:uiPriority w:val="0"/>
    <w:rPr>
      <w:rFonts w:ascii="Consolas" w:hAnsi="Consolas"/>
      <w:i/>
      <w:color w:val="BA2121"/>
      <w:sz w:val="22"/>
    </w:rPr>
  </w:style>
  <w:style w:type="character" w:customStyle="1" w:styleId="64">
    <w:name w:val="AnnotationTok"/>
    <w:basedOn w:val="45"/>
    <w:qFormat/>
    <w:uiPriority w:val="0"/>
    <w:rPr>
      <w:rFonts w:ascii="Consolas" w:hAnsi="Consolas"/>
      <w:b/>
      <w:i/>
      <w:color w:val="60A0B0"/>
      <w:sz w:val="22"/>
    </w:rPr>
  </w:style>
  <w:style w:type="character" w:customStyle="1" w:styleId="65">
    <w:name w:val="CommentVarTok"/>
    <w:basedOn w:val="45"/>
    <w:qFormat/>
    <w:uiPriority w:val="0"/>
    <w:rPr>
      <w:rFonts w:ascii="Consolas" w:hAnsi="Consolas"/>
      <w:b/>
      <w:i/>
      <w:color w:val="60A0B0"/>
      <w:sz w:val="22"/>
    </w:rPr>
  </w:style>
  <w:style w:type="character" w:customStyle="1" w:styleId="66">
    <w:name w:val="OtherTok"/>
    <w:basedOn w:val="45"/>
    <w:qFormat/>
    <w:uiPriority w:val="0"/>
    <w:rPr>
      <w:rFonts w:ascii="Consolas" w:hAnsi="Consolas"/>
      <w:color w:val="007020"/>
      <w:sz w:val="22"/>
    </w:rPr>
  </w:style>
  <w:style w:type="character" w:customStyle="1" w:styleId="67">
    <w:name w:val="FunctionTok"/>
    <w:basedOn w:val="45"/>
    <w:qFormat/>
    <w:uiPriority w:val="0"/>
    <w:rPr>
      <w:rFonts w:ascii="Consolas" w:hAnsi="Consolas"/>
      <w:color w:val="06287E"/>
      <w:sz w:val="22"/>
    </w:rPr>
  </w:style>
  <w:style w:type="character" w:customStyle="1" w:styleId="68">
    <w:name w:val="VariableTok"/>
    <w:basedOn w:val="45"/>
    <w:qFormat/>
    <w:uiPriority w:val="0"/>
    <w:rPr>
      <w:rFonts w:ascii="Consolas" w:hAnsi="Consolas"/>
      <w:color w:val="19177C"/>
      <w:sz w:val="22"/>
    </w:rPr>
  </w:style>
  <w:style w:type="character" w:customStyle="1" w:styleId="69">
    <w:name w:val="ControlFlowTok"/>
    <w:basedOn w:val="45"/>
    <w:qFormat/>
    <w:uiPriority w:val="0"/>
    <w:rPr>
      <w:rFonts w:ascii="Consolas" w:hAnsi="Consolas"/>
      <w:b/>
      <w:color w:val="007020"/>
      <w:sz w:val="22"/>
    </w:rPr>
  </w:style>
  <w:style w:type="character" w:customStyle="1" w:styleId="70">
    <w:name w:val="OperatorTok"/>
    <w:basedOn w:val="45"/>
    <w:qFormat/>
    <w:uiPriority w:val="0"/>
    <w:rPr>
      <w:rFonts w:ascii="Consolas" w:hAnsi="Consolas"/>
      <w:color w:val="666666"/>
      <w:sz w:val="22"/>
    </w:rPr>
  </w:style>
  <w:style w:type="character" w:customStyle="1" w:styleId="71">
    <w:name w:val="BuiltInTok"/>
    <w:basedOn w:val="45"/>
    <w:qFormat/>
    <w:uiPriority w:val="0"/>
    <w:rPr>
      <w:rFonts w:ascii="Consolas" w:hAnsi="Consolas"/>
      <w:color w:val="008000"/>
      <w:sz w:val="22"/>
    </w:rPr>
  </w:style>
  <w:style w:type="character" w:customStyle="1" w:styleId="72">
    <w:name w:val="ExtensionTok"/>
    <w:basedOn w:val="45"/>
    <w:qFormat/>
    <w:uiPriority w:val="0"/>
    <w:rPr>
      <w:rFonts w:ascii="Consolas" w:hAnsi="Consolas"/>
      <w:sz w:val="22"/>
    </w:rPr>
  </w:style>
  <w:style w:type="character" w:customStyle="1" w:styleId="73">
    <w:name w:val="PreprocessorTok"/>
    <w:basedOn w:val="45"/>
    <w:qFormat/>
    <w:uiPriority w:val="0"/>
    <w:rPr>
      <w:rFonts w:ascii="Consolas" w:hAnsi="Consolas"/>
      <w:color w:val="BC7A00"/>
      <w:sz w:val="22"/>
    </w:rPr>
  </w:style>
  <w:style w:type="character" w:customStyle="1" w:styleId="74">
    <w:name w:val="AttributeTok"/>
    <w:basedOn w:val="45"/>
    <w:qFormat/>
    <w:uiPriority w:val="0"/>
    <w:rPr>
      <w:rFonts w:ascii="Consolas" w:hAnsi="Consolas"/>
      <w:color w:val="7D9029"/>
      <w:sz w:val="22"/>
    </w:rPr>
  </w:style>
  <w:style w:type="character" w:customStyle="1" w:styleId="75">
    <w:name w:val="RegionMarkerTok"/>
    <w:basedOn w:val="45"/>
    <w:qFormat/>
    <w:uiPriority w:val="0"/>
    <w:rPr>
      <w:rFonts w:ascii="Consolas" w:hAnsi="Consolas"/>
      <w:sz w:val="22"/>
    </w:rPr>
  </w:style>
  <w:style w:type="character" w:customStyle="1" w:styleId="76">
    <w:name w:val="InformationTok"/>
    <w:basedOn w:val="45"/>
    <w:qFormat/>
    <w:uiPriority w:val="0"/>
    <w:rPr>
      <w:rFonts w:ascii="Consolas" w:hAnsi="Consolas"/>
      <w:b/>
      <w:i/>
      <w:color w:val="60A0B0"/>
      <w:sz w:val="22"/>
    </w:rPr>
  </w:style>
  <w:style w:type="character" w:customStyle="1" w:styleId="77">
    <w:name w:val="WarningTok"/>
    <w:basedOn w:val="45"/>
    <w:qFormat/>
    <w:uiPriority w:val="0"/>
    <w:rPr>
      <w:rFonts w:ascii="Consolas" w:hAnsi="Consolas"/>
      <w:b/>
      <w:i/>
      <w:color w:val="60A0B0"/>
      <w:sz w:val="22"/>
    </w:rPr>
  </w:style>
  <w:style w:type="character" w:customStyle="1" w:styleId="78">
    <w:name w:val="AlertTok"/>
    <w:basedOn w:val="45"/>
    <w:qFormat/>
    <w:uiPriority w:val="0"/>
    <w:rPr>
      <w:rFonts w:ascii="Consolas" w:hAnsi="Consolas"/>
      <w:b/>
      <w:color w:val="FF0000"/>
      <w:sz w:val="22"/>
    </w:rPr>
  </w:style>
  <w:style w:type="character" w:customStyle="1" w:styleId="79">
    <w:name w:val="ErrorTok"/>
    <w:basedOn w:val="45"/>
    <w:qFormat/>
    <w:uiPriority w:val="0"/>
    <w:rPr>
      <w:rFonts w:ascii="Consolas" w:hAnsi="Consolas"/>
      <w:b/>
      <w:color w:val="FF0000"/>
      <w:sz w:val="22"/>
    </w:rPr>
  </w:style>
  <w:style w:type="character" w:customStyle="1" w:styleId="80">
    <w:name w:val="NormalTok"/>
    <w:basedOn w:val="45"/>
    <w:qFormat/>
    <w:uiPriority w:val="0"/>
    <w:rPr>
      <w:rFonts w:ascii="Consolas" w:hAnsi="Consolas"/>
      <w:sz w:val="22"/>
    </w:rPr>
  </w:style>
  <w:style w:type="paragraph" w:customStyle="1" w:styleId="81">
    <w:name w:val="List Paragraph1"/>
    <w:basedOn w:val="1"/>
    <w:qFormat/>
    <w:uiPriority w:val="34"/>
    <w:pPr>
      <w:ind w:left="720"/>
      <w:contextualSpacing/>
    </w:pPr>
  </w:style>
  <w:style w:type="character" w:customStyle="1" w:styleId="82">
    <w:name w:val="Heading 1 Char"/>
    <w:basedOn w:val="6"/>
    <w:link w:val="2"/>
    <w:qFormat/>
    <w:uiPriority w:val="9"/>
    <w:rPr>
      <w:rFonts w:asciiTheme="majorHAnsi" w:hAnsiTheme="majorHAnsi" w:eastAsiaTheme="majorEastAsia" w:cstheme="majorBidi"/>
      <w:color w:val="376092" w:themeColor="accent1" w:themeShade="BF"/>
      <w:sz w:val="32"/>
      <w:szCs w:val="32"/>
    </w:rPr>
  </w:style>
  <w:style w:type="character" w:customStyle="1" w:styleId="83">
    <w:name w:val="Heading 2 Char"/>
    <w:basedOn w:val="6"/>
    <w:link w:val="3"/>
    <w:semiHidden/>
    <w:qFormat/>
    <w:uiPriority w:val="0"/>
    <w:rPr>
      <w:rFonts w:asciiTheme="majorHAnsi" w:hAnsiTheme="majorHAnsi" w:eastAsiaTheme="majorEastAsia" w:cstheme="majorBidi"/>
      <w:color w:val="376092" w:themeColor="accent1" w:themeShade="BF"/>
      <w:sz w:val="26"/>
      <w:szCs w:val="26"/>
    </w:rPr>
  </w:style>
  <w:style w:type="character" w:customStyle="1" w:styleId="84">
    <w:name w:val="Header Char"/>
    <w:basedOn w:val="6"/>
    <w:link w:val="13"/>
    <w:qFormat/>
    <w:uiPriority w:val="0"/>
    <w:rPr>
      <w:rFonts w:ascii="Cambria" w:hAnsi="Cambria" w:eastAsia="Cambria" w:cs="SimSun"/>
      <w:sz w:val="24"/>
      <w:szCs w:val="24"/>
    </w:rPr>
  </w:style>
  <w:style w:type="character" w:customStyle="1" w:styleId="85">
    <w:name w:val="Footer Char"/>
    <w:basedOn w:val="6"/>
    <w:link w:val="12"/>
    <w:qFormat/>
    <w:uiPriority w:val="99"/>
    <w:rPr>
      <w:rFonts w:ascii="Cambria" w:hAnsi="Cambria" w:eastAsia="Cambria" w:cs="SimSun"/>
      <w:sz w:val="24"/>
      <w:szCs w:val="24"/>
    </w:rPr>
  </w:style>
  <w:style w:type="character" w:customStyle="1" w:styleId="86">
    <w:name w:val="Unresolved Mention"/>
    <w:basedOn w:val="6"/>
    <w:semiHidden/>
    <w:unhideWhenUsed/>
    <w:qFormat/>
    <w:uiPriority w:val="99"/>
    <w:rPr>
      <w:color w:val="605E5C"/>
      <w:shd w:val="clear" w:color="auto" w:fill="E1DFDD"/>
    </w:rPr>
  </w:style>
  <w:style w:type="paragraph" w:styleId="8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1418</Words>
  <Characters>9572</Characters>
  <Lines>2338</Lines>
  <Paragraphs>1471</Paragraphs>
  <TotalTime>28</TotalTime>
  <ScaleCrop>false</ScaleCrop>
  <LinksUpToDate>false</LinksUpToDate>
  <CharactersWithSpaces>10971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2026-04-02T23:36:00Z</dcterms:created>
  <dc:creator>WPS Office</dc:creator>
  <cp:lastModifiedBy>ahmed ogungbade</cp:lastModifiedBy>
  <dcterms:modified xsi:type="dcterms:W3CDTF">2026-04-07T16:06:05Z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9097880959754308A953114BC4BA16EF_13</vt:lpwstr>
  </property>
  <property fmtid="{D5CDD505-2E9C-101B-9397-08002B2CF9AE}" pid="3" name="KSOProductBuildVer">
    <vt:lpwstr>1033-12.1.0.25242</vt:lpwstr>
  </property>
  <property fmtid="{D5CDD505-2E9C-101B-9397-08002B2CF9AE}" pid="4" name="KSOTemplateDocerSaveRecord">
    <vt:lpwstr>eyJoZGlkIjoiNmUxNGY3MzZkNTU5ODFiM2M4ZWYwZWQyMTQ4NjMxZjMiLCJ1c2VySWQiOiIyNzY2Mjc5NDk1NTQxIn0=</vt:lpwstr>
  </property>
</Properties>
</file>