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71A5CD" w14:textId="44AF26CA" w:rsidR="00C856F9" w:rsidRDefault="00B5275D">
      <w:pPr>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highlight w:val="yellow"/>
        </w:rPr>
        <w:t xml:space="preserve">Narrative </w:t>
      </w:r>
      <w:r w:rsidR="00791165" w:rsidRPr="00855CF0">
        <w:rPr>
          <w:rFonts w:ascii="Times New Roman" w:eastAsia="Times New Roman" w:hAnsi="Times New Roman" w:cs="Times New Roman"/>
          <w:b/>
          <w:bCs/>
          <w:i/>
          <w:iCs/>
          <w:sz w:val="24"/>
          <w:szCs w:val="24"/>
          <w:highlight w:val="yellow"/>
        </w:rPr>
        <w:t>Review</w:t>
      </w:r>
      <w:r w:rsidR="007C184E" w:rsidRPr="00855CF0">
        <w:rPr>
          <w:rFonts w:ascii="Times New Roman" w:eastAsia="Times New Roman" w:hAnsi="Times New Roman" w:cs="Times New Roman"/>
          <w:b/>
          <w:bCs/>
          <w:i/>
          <w:iCs/>
          <w:sz w:val="24"/>
          <w:szCs w:val="24"/>
          <w:highlight w:val="yellow"/>
        </w:rPr>
        <w:t xml:space="preserve"> Article</w:t>
      </w:r>
    </w:p>
    <w:p w14:paraId="2914438F" w14:textId="77777777" w:rsidR="00791165" w:rsidRDefault="00791165">
      <w:pPr>
        <w:jc w:val="both"/>
        <w:rPr>
          <w:rFonts w:ascii="Times New Roman" w:eastAsia="Times New Roman" w:hAnsi="Times New Roman" w:cs="Times New Roman"/>
          <w:b/>
          <w:bCs/>
          <w:sz w:val="24"/>
          <w:szCs w:val="24"/>
        </w:rPr>
      </w:pPr>
    </w:p>
    <w:p w14:paraId="13F27F6B" w14:textId="77777777" w:rsidR="00C856F9" w:rsidRDefault="004E2CB7">
      <w:pPr>
        <w:pStyle w:val="Title"/>
        <w:spacing w:after="200"/>
        <w:jc w:val="center"/>
        <w:rPr>
          <w:rFonts w:ascii="Times New Roman" w:eastAsia="Times New Roman" w:hAnsi="Times New Roman" w:cs="Times New Roman"/>
          <w:b/>
          <w:bCs/>
          <w:sz w:val="32"/>
          <w:szCs w:val="32"/>
        </w:rPr>
      </w:pPr>
      <w:bookmarkStart w:id="0" w:name="_wwszt9jxzeyo" w:colFirst="0" w:colLast="0"/>
      <w:bookmarkEnd w:id="0"/>
      <w:r>
        <w:rPr>
          <w:rFonts w:ascii="Times New Roman" w:eastAsia="Times New Roman" w:hAnsi="Times New Roman" w:cs="Times New Roman"/>
          <w:b/>
          <w:bCs/>
          <w:sz w:val="32"/>
          <w:szCs w:val="32"/>
        </w:rPr>
        <w:t>A Review on Lymphadenectomy Strategies in Early Gastric Cancer: Sentinel Node Navigation Surgery Versus Regional Lymphadenectomy</w:t>
      </w:r>
    </w:p>
    <w:p w14:paraId="590EEC75" w14:textId="77777777" w:rsidR="00C856F9" w:rsidRDefault="00C856F9">
      <w:pPr>
        <w:jc w:val="both"/>
        <w:rPr>
          <w:rFonts w:ascii="Times New Roman" w:eastAsia="Times New Roman" w:hAnsi="Times New Roman" w:cs="Times New Roman"/>
          <w:b/>
          <w:bCs/>
          <w:sz w:val="24"/>
          <w:szCs w:val="24"/>
        </w:rPr>
      </w:pPr>
    </w:p>
    <w:p w14:paraId="58AFF189" w14:textId="77777777" w:rsidR="004E2CB7" w:rsidRDefault="004E2CB7">
      <w:pPr>
        <w:jc w:val="both"/>
        <w:rPr>
          <w:rFonts w:ascii="Times New Roman" w:eastAsia="Times New Roman" w:hAnsi="Times New Roman" w:cs="Times New Roman"/>
          <w:b/>
          <w:bCs/>
          <w:sz w:val="24"/>
          <w:szCs w:val="24"/>
        </w:rPr>
      </w:pPr>
    </w:p>
    <w:p w14:paraId="12937C6E" w14:textId="78F135F5" w:rsidR="00C856F9" w:rsidRDefault="004E2CB7">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14:paraId="3F194C72" w14:textId="77777777" w:rsidR="00C856F9" w:rsidRDefault="00C856F9">
      <w:pPr>
        <w:spacing w:line="240" w:lineRule="auto"/>
        <w:jc w:val="both"/>
        <w:rPr>
          <w:rFonts w:ascii="Times New Roman" w:eastAsia="Times New Roman" w:hAnsi="Times New Roman" w:cs="Times New Roman"/>
          <w:b/>
          <w:bCs/>
          <w:sz w:val="24"/>
          <w:szCs w:val="24"/>
        </w:rPr>
      </w:pPr>
    </w:p>
    <w:p w14:paraId="48968C01" w14:textId="77777777" w:rsidR="00C856F9" w:rsidRDefault="004E2CB7">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INTRODUCTION</w:t>
      </w:r>
    </w:p>
    <w:p w14:paraId="5285CCFE" w14:textId="77777777" w:rsidR="00C856F9" w:rsidRDefault="004E2CB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Conventional management of early gastric cancer (EGC) includes standard anatomical gastrectomy along with D1/D2 lymph node dissection. In spite of achieving oncological excellence, this approach affects patients' quality of life. Few approaches have been developed to counter this. Most notable among these are - “Sentinel Node Navigation Surgery” (SNNS) and “Regional Lymphadenectomy” (RL).</w:t>
      </w:r>
    </w:p>
    <w:p w14:paraId="721602D0" w14:textId="77777777" w:rsidR="00C856F9" w:rsidRDefault="00C856F9">
      <w:pPr>
        <w:spacing w:line="240" w:lineRule="auto"/>
        <w:jc w:val="both"/>
        <w:rPr>
          <w:rFonts w:ascii="Times New Roman" w:eastAsia="Times New Roman" w:hAnsi="Times New Roman" w:cs="Times New Roman"/>
          <w:b/>
          <w:bCs/>
          <w:sz w:val="24"/>
          <w:szCs w:val="24"/>
        </w:rPr>
      </w:pPr>
    </w:p>
    <w:p w14:paraId="5176DDE6" w14:textId="77777777" w:rsidR="00C856F9" w:rsidRDefault="004E2CB7">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METHODS AND MATERIALS</w:t>
      </w:r>
    </w:p>
    <w:p w14:paraId="582B8F9A" w14:textId="512078A4" w:rsidR="00C856F9" w:rsidRDefault="004E2CB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PUBMED/EMBASE/SCOPUS databases were searched with keywords - “Early Gastric Cancer”, "Lymphadenectomy Strategy”, “</w:t>
      </w:r>
      <w:r>
        <w:rPr>
          <w:rFonts w:ascii="Times New Roman" w:eastAsia="Times New Roman" w:hAnsi="Times New Roman" w:cs="Times New Roman"/>
          <w:sz w:val="24"/>
          <w:szCs w:val="24"/>
          <w:highlight w:val="white"/>
        </w:rPr>
        <w:t xml:space="preserve">Sentinel Node Navigation Surgery”, “Regional </w:t>
      </w:r>
      <w:r>
        <w:rPr>
          <w:rFonts w:ascii="Times New Roman" w:eastAsia="Times New Roman" w:hAnsi="Times New Roman" w:cs="Times New Roman"/>
          <w:sz w:val="24"/>
          <w:szCs w:val="24"/>
        </w:rPr>
        <w:t xml:space="preserve">Lymphadenectomy”. Animal studies, studies containing amalgamated subsets of several gastrointestinal cancers, case reports, editorials, letters, conference abstracts without sufficient data, preprints and review articles were excluded. The review only included studies published in English. Studies with available full texts were included. This review included studies conducted in hospital-based or tertiary care settings where patients with EGC underwent surgical treatment with SNNS or RL.  </w:t>
      </w:r>
    </w:p>
    <w:p w14:paraId="2F2DAAC8" w14:textId="77777777" w:rsidR="002367DE" w:rsidRDefault="002367DE">
      <w:pPr>
        <w:spacing w:line="240" w:lineRule="auto"/>
        <w:jc w:val="both"/>
        <w:rPr>
          <w:rFonts w:ascii="Times New Roman" w:eastAsia="Times New Roman" w:hAnsi="Times New Roman" w:cs="Times New Roman"/>
          <w:sz w:val="24"/>
          <w:szCs w:val="24"/>
        </w:rPr>
      </w:pPr>
    </w:p>
    <w:p w14:paraId="684E4AD0" w14:textId="6E0FFC99" w:rsidR="002367DE" w:rsidRPr="00855CF0" w:rsidRDefault="002367DE">
      <w:pPr>
        <w:spacing w:line="240" w:lineRule="auto"/>
        <w:jc w:val="both"/>
        <w:rPr>
          <w:rFonts w:ascii="Times New Roman" w:eastAsia="Times New Roman" w:hAnsi="Times New Roman" w:cs="Times New Roman"/>
          <w:b/>
          <w:bCs/>
          <w:sz w:val="24"/>
          <w:szCs w:val="24"/>
          <w:highlight w:val="yellow"/>
        </w:rPr>
      </w:pPr>
      <w:r w:rsidRPr="00855CF0">
        <w:rPr>
          <w:rFonts w:ascii="Times New Roman" w:eastAsia="Times New Roman" w:hAnsi="Times New Roman" w:cs="Times New Roman"/>
          <w:b/>
          <w:bCs/>
          <w:sz w:val="24"/>
          <w:szCs w:val="24"/>
          <w:highlight w:val="yellow"/>
        </w:rPr>
        <w:t>OBJECTIVES</w:t>
      </w:r>
    </w:p>
    <w:p w14:paraId="0746EE0C" w14:textId="67BF0B5F" w:rsidR="002367DE" w:rsidRPr="00BD600B" w:rsidRDefault="00BD600B">
      <w:pPr>
        <w:spacing w:line="240" w:lineRule="auto"/>
        <w:jc w:val="both"/>
        <w:rPr>
          <w:rFonts w:ascii="Times New Roman" w:eastAsia="Times New Roman" w:hAnsi="Times New Roman" w:cs="Times New Roman"/>
          <w:sz w:val="24"/>
          <w:szCs w:val="24"/>
        </w:rPr>
      </w:pPr>
      <w:r w:rsidRPr="00855CF0">
        <w:rPr>
          <w:rStyle w:val="ng-star-inserted"/>
          <w:rFonts w:ascii="Times New Roman" w:hAnsi="Times New Roman" w:cs="Times New Roman"/>
          <w:color w:val="303030"/>
          <w:sz w:val="24"/>
          <w:szCs w:val="24"/>
          <w:highlight w:val="yellow"/>
          <w:shd w:val="clear" w:color="auto" w:fill="FFFFFF"/>
        </w:rPr>
        <w:t xml:space="preserve">The primary objective of this review was to </w:t>
      </w:r>
      <w:r w:rsidRPr="00855CF0">
        <w:rPr>
          <w:rFonts w:ascii="Times New Roman" w:hAnsi="Times New Roman" w:cs="Times New Roman"/>
          <w:color w:val="303030"/>
          <w:sz w:val="24"/>
          <w:szCs w:val="24"/>
          <w:highlight w:val="yellow"/>
          <w:shd w:val="clear" w:color="auto" w:fill="FFFFFF"/>
        </w:rPr>
        <w:t>evaluate and compare two novel lymphadenectomy strategies</w:t>
      </w:r>
      <w:r w:rsidRPr="00855CF0">
        <w:rPr>
          <w:rStyle w:val="ng-star-inserted"/>
          <w:rFonts w:ascii="Times New Roman" w:hAnsi="Times New Roman" w:cs="Times New Roman"/>
          <w:color w:val="303030"/>
          <w:sz w:val="24"/>
          <w:szCs w:val="24"/>
          <w:highlight w:val="yellow"/>
          <w:shd w:val="clear" w:color="auto" w:fill="FFFFFF"/>
        </w:rPr>
        <w:t xml:space="preserve"> for EGC - </w:t>
      </w:r>
      <w:r w:rsidRPr="00855CF0">
        <w:rPr>
          <w:rFonts w:ascii="Times New Roman" w:hAnsi="Times New Roman" w:cs="Times New Roman"/>
          <w:color w:val="303030"/>
          <w:sz w:val="24"/>
          <w:szCs w:val="24"/>
          <w:highlight w:val="yellow"/>
          <w:shd w:val="clear" w:color="auto" w:fill="FFFFFF"/>
        </w:rPr>
        <w:t xml:space="preserve">SNNS </w:t>
      </w:r>
      <w:r w:rsidRPr="00855CF0">
        <w:rPr>
          <w:rStyle w:val="ng-star-inserted"/>
          <w:rFonts w:ascii="Times New Roman" w:hAnsi="Times New Roman" w:cs="Times New Roman"/>
          <w:color w:val="303030"/>
          <w:sz w:val="24"/>
          <w:szCs w:val="24"/>
          <w:highlight w:val="yellow"/>
          <w:shd w:val="clear" w:color="auto" w:fill="FFFFFF"/>
        </w:rPr>
        <w:t xml:space="preserve">and </w:t>
      </w:r>
      <w:r w:rsidRPr="00855CF0">
        <w:rPr>
          <w:rFonts w:ascii="Times New Roman" w:hAnsi="Times New Roman" w:cs="Times New Roman"/>
          <w:color w:val="303030"/>
          <w:sz w:val="24"/>
          <w:szCs w:val="24"/>
          <w:highlight w:val="yellow"/>
          <w:shd w:val="clear" w:color="auto" w:fill="FFFFFF"/>
        </w:rPr>
        <w:t>RL. The review specifically focused on several key areas - oncological safety and efficacy, diagnostic performance, “Quality of Life” (QoL), addressing technical challenges and impact of clinical factors.</w:t>
      </w:r>
    </w:p>
    <w:p w14:paraId="1A30F8FD" w14:textId="77777777" w:rsidR="00C856F9" w:rsidRDefault="00C856F9">
      <w:pPr>
        <w:spacing w:line="240" w:lineRule="auto"/>
        <w:jc w:val="both"/>
        <w:rPr>
          <w:rFonts w:ascii="Times New Roman" w:eastAsia="Times New Roman" w:hAnsi="Times New Roman" w:cs="Times New Roman"/>
          <w:b/>
          <w:bCs/>
          <w:sz w:val="24"/>
          <w:szCs w:val="24"/>
        </w:rPr>
      </w:pPr>
    </w:p>
    <w:p w14:paraId="63CCC6EB" w14:textId="77777777" w:rsidR="00C856F9" w:rsidRDefault="004E2CB7">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RESULTS</w:t>
      </w:r>
    </w:p>
    <w:p w14:paraId="41F80A60" w14:textId="65C107F6" w:rsidR="00C856F9" w:rsidRDefault="004E2CB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post hoc analysis of the SENORITA trial demonstrated superiority of SNNS over the RL approach in terms of diagnostic performance. </w:t>
      </w:r>
      <w:r>
        <w:rPr>
          <w:rFonts w:ascii="Times New Roman" w:eastAsia="Times New Roman" w:hAnsi="Times New Roman" w:cs="Times New Roman"/>
          <w:sz w:val="24"/>
          <w:szCs w:val="24"/>
          <w:highlight w:val="white"/>
        </w:rPr>
        <w:t xml:space="preserve">With </w:t>
      </w:r>
      <w:r>
        <w:rPr>
          <w:rFonts w:ascii="Times New Roman" w:eastAsia="Times New Roman" w:hAnsi="Times New Roman" w:cs="Times New Roman"/>
          <w:sz w:val="24"/>
          <w:szCs w:val="24"/>
        </w:rPr>
        <w:t>RL</w:t>
      </w:r>
      <w:r>
        <w:rPr>
          <w:rFonts w:ascii="Times New Roman" w:eastAsia="Times New Roman" w:hAnsi="Times New Roman" w:cs="Times New Roman"/>
          <w:sz w:val="24"/>
          <w:szCs w:val="24"/>
          <w:highlight w:val="white"/>
        </w:rPr>
        <w:t>, the rate of the skip metastasis was 2.5%</w:t>
      </w:r>
      <w:r>
        <w:rPr>
          <w:rFonts w:ascii="Times New Roman" w:eastAsia="Times New Roman" w:hAnsi="Times New Roman" w:cs="Times New Roman"/>
          <w:sz w:val="24"/>
          <w:szCs w:val="24"/>
        </w:rPr>
        <w:t>. Oncological safety of SNNS was found to be non-inferior to that of standard guidelines surgery. Its diagnostic accuracy was influenced by cohort demographics and certain tumor characteristics. Combination of Maruyama computer program (MCP) with SNNS yielded a 100% negative predictive value (NPV).</w:t>
      </w:r>
    </w:p>
    <w:p w14:paraId="63B2D905" w14:textId="77777777" w:rsidR="00C856F9" w:rsidRDefault="00C856F9">
      <w:pPr>
        <w:spacing w:line="240" w:lineRule="auto"/>
        <w:jc w:val="both"/>
        <w:rPr>
          <w:rFonts w:ascii="Times New Roman" w:eastAsia="Times New Roman" w:hAnsi="Times New Roman" w:cs="Times New Roman"/>
          <w:sz w:val="24"/>
          <w:szCs w:val="24"/>
        </w:rPr>
      </w:pPr>
    </w:p>
    <w:p w14:paraId="5F3C6DFB" w14:textId="77777777" w:rsidR="00C856F9" w:rsidRDefault="004E2CB7">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CONCLUSION</w:t>
      </w:r>
    </w:p>
    <w:p w14:paraId="30D7BDC4" w14:textId="2EF7C7B5" w:rsidR="00C856F9" w:rsidRPr="007F275F" w:rsidRDefault="007F275F">
      <w:pPr>
        <w:jc w:val="both"/>
        <w:rPr>
          <w:rFonts w:ascii="Times New Roman" w:eastAsia="Times New Roman" w:hAnsi="Times New Roman" w:cs="Times New Roman"/>
          <w:color w:val="000000" w:themeColor="text1"/>
          <w:sz w:val="24"/>
          <w:szCs w:val="24"/>
        </w:rPr>
      </w:pPr>
      <w:r w:rsidRPr="007F275F">
        <w:rPr>
          <w:rStyle w:val="ng-star-inserted"/>
          <w:rFonts w:ascii="Times New Roman" w:hAnsi="Times New Roman" w:cs="Times New Roman"/>
          <w:color w:val="000000" w:themeColor="text1"/>
          <w:sz w:val="24"/>
          <w:szCs w:val="24"/>
          <w:highlight w:val="yellow"/>
          <w:shd w:val="clear" w:color="auto" w:fill="FFFFFF"/>
        </w:rPr>
        <w:t xml:space="preserve">Both </w:t>
      </w:r>
      <w:r w:rsidRPr="007F275F">
        <w:rPr>
          <w:rFonts w:ascii="Times New Roman" w:hAnsi="Times New Roman" w:cs="Times New Roman"/>
          <w:color w:val="000000" w:themeColor="text1"/>
          <w:sz w:val="24"/>
          <w:szCs w:val="24"/>
          <w:highlight w:val="yellow"/>
          <w:shd w:val="clear" w:color="auto" w:fill="FFFFFF"/>
        </w:rPr>
        <w:t>SNNS and RL</w:t>
      </w:r>
      <w:r w:rsidRPr="007F275F">
        <w:rPr>
          <w:rStyle w:val="ng-star-inserted"/>
          <w:rFonts w:ascii="Times New Roman" w:hAnsi="Times New Roman" w:cs="Times New Roman"/>
          <w:color w:val="000000" w:themeColor="text1"/>
          <w:sz w:val="24"/>
          <w:szCs w:val="24"/>
          <w:highlight w:val="yellow"/>
          <w:shd w:val="clear" w:color="auto" w:fill="FFFFFF"/>
        </w:rPr>
        <w:t xml:space="preserve"> represent novel strategies, yet their potential oncological efficacy and safety profiles show notable differences. While the </w:t>
      </w:r>
      <w:r w:rsidRPr="007F275F">
        <w:rPr>
          <w:rFonts w:ascii="Times New Roman" w:hAnsi="Times New Roman" w:cs="Times New Roman"/>
          <w:color w:val="000000" w:themeColor="text1"/>
          <w:sz w:val="24"/>
          <w:szCs w:val="24"/>
          <w:highlight w:val="yellow"/>
          <w:shd w:val="clear" w:color="auto" w:fill="FFFFFF"/>
        </w:rPr>
        <w:t>fixed RL approach</w:t>
      </w:r>
      <w:r w:rsidRPr="007F275F">
        <w:rPr>
          <w:rStyle w:val="ng-star-inserted"/>
          <w:rFonts w:ascii="Times New Roman" w:hAnsi="Times New Roman" w:cs="Times New Roman"/>
          <w:color w:val="000000" w:themeColor="text1"/>
          <w:sz w:val="24"/>
          <w:szCs w:val="24"/>
          <w:highlight w:val="yellow"/>
          <w:shd w:val="clear" w:color="auto" w:fill="FFFFFF"/>
        </w:rPr>
        <w:t xml:space="preserve"> aims to simplify the logistical burden of lymphadenectomy, the inherent risk of </w:t>
      </w:r>
      <w:r w:rsidRPr="007F275F">
        <w:rPr>
          <w:rFonts w:ascii="Times New Roman" w:hAnsi="Times New Roman" w:cs="Times New Roman"/>
          <w:color w:val="000000" w:themeColor="text1"/>
          <w:sz w:val="24"/>
          <w:szCs w:val="24"/>
          <w:highlight w:val="yellow"/>
          <w:shd w:val="clear" w:color="auto" w:fill="FFFFFF"/>
        </w:rPr>
        <w:t>skip metastasis</w:t>
      </w:r>
      <w:r w:rsidRPr="007F275F">
        <w:rPr>
          <w:rStyle w:val="ng-star-inserted"/>
          <w:rFonts w:ascii="Times New Roman" w:hAnsi="Times New Roman" w:cs="Times New Roman"/>
          <w:color w:val="000000" w:themeColor="text1"/>
          <w:sz w:val="24"/>
          <w:szCs w:val="24"/>
          <w:highlight w:val="yellow"/>
          <w:shd w:val="clear" w:color="auto" w:fill="FFFFFF"/>
        </w:rPr>
        <w:t xml:space="preserve"> and concerns regarding its diagnostic reliability suggest that current data may be insufficient to establish its oncological adequacy without further prospective validation. Similarly, despite the function-</w:t>
      </w:r>
      <w:r w:rsidRPr="007F275F">
        <w:rPr>
          <w:rStyle w:val="ng-star-inserted"/>
          <w:rFonts w:ascii="Times New Roman" w:hAnsi="Times New Roman" w:cs="Times New Roman"/>
          <w:color w:val="000000" w:themeColor="text1"/>
          <w:sz w:val="24"/>
          <w:szCs w:val="24"/>
          <w:highlight w:val="yellow"/>
          <w:shd w:val="clear" w:color="auto" w:fill="FFFFFF"/>
        </w:rPr>
        <w:lastRenderedPageBreak/>
        <w:t xml:space="preserve">preserving benefits of </w:t>
      </w:r>
      <w:r w:rsidRPr="007F275F">
        <w:rPr>
          <w:rFonts w:ascii="Times New Roman" w:hAnsi="Times New Roman" w:cs="Times New Roman"/>
          <w:color w:val="000000" w:themeColor="text1"/>
          <w:sz w:val="24"/>
          <w:szCs w:val="24"/>
          <w:highlight w:val="yellow"/>
          <w:shd w:val="clear" w:color="auto" w:fill="FFFFFF"/>
        </w:rPr>
        <w:t>SNNS</w:t>
      </w:r>
      <w:r w:rsidRPr="007F275F">
        <w:rPr>
          <w:rStyle w:val="ng-star-inserted"/>
          <w:rFonts w:ascii="Times New Roman" w:hAnsi="Times New Roman" w:cs="Times New Roman"/>
          <w:color w:val="000000" w:themeColor="text1"/>
          <w:sz w:val="24"/>
          <w:szCs w:val="24"/>
          <w:highlight w:val="yellow"/>
          <w:shd w:val="clear" w:color="auto" w:fill="FFFFFF"/>
        </w:rPr>
        <w:t>, it possesses certain pitfalls, including variable accuracy across different patient populations and specific tumor characteristics, that necessitate more extensive investigation in future clinical studies.</w:t>
      </w:r>
    </w:p>
    <w:p w14:paraId="5F97D30E" w14:textId="77777777" w:rsidR="00C856F9" w:rsidRDefault="00C856F9">
      <w:pPr>
        <w:jc w:val="both"/>
        <w:rPr>
          <w:rFonts w:ascii="Times New Roman" w:eastAsia="Times New Roman" w:hAnsi="Times New Roman" w:cs="Times New Roman"/>
          <w:b/>
          <w:bCs/>
          <w:sz w:val="24"/>
          <w:szCs w:val="24"/>
        </w:rPr>
      </w:pPr>
    </w:p>
    <w:p w14:paraId="5E88AB88" w14:textId="523A6E85" w:rsidR="00C856F9" w:rsidRDefault="004E2CB7">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Keywords</w:t>
      </w:r>
    </w:p>
    <w:p w14:paraId="3C296C61" w14:textId="61335C84" w:rsidR="00C856F9" w:rsidRDefault="002367DE">
      <w:pPr>
        <w:spacing w:line="240" w:lineRule="auto"/>
        <w:jc w:val="both"/>
        <w:rPr>
          <w:rFonts w:ascii="Times New Roman" w:eastAsia="Times New Roman" w:hAnsi="Times New Roman" w:cs="Times New Roman"/>
          <w:sz w:val="24"/>
          <w:szCs w:val="24"/>
        </w:rPr>
      </w:pPr>
      <w:r w:rsidRPr="00855CF0">
        <w:rPr>
          <w:rFonts w:ascii="Times New Roman" w:eastAsia="Times New Roman" w:hAnsi="Times New Roman" w:cs="Times New Roman"/>
          <w:sz w:val="24"/>
          <w:szCs w:val="24"/>
          <w:highlight w:val="yellow"/>
        </w:rPr>
        <w:t>Early g</w:t>
      </w:r>
      <w:r w:rsidR="004E2CB7" w:rsidRPr="00855CF0">
        <w:rPr>
          <w:rFonts w:ascii="Times New Roman" w:eastAsia="Times New Roman" w:hAnsi="Times New Roman" w:cs="Times New Roman"/>
          <w:sz w:val="24"/>
          <w:szCs w:val="24"/>
          <w:highlight w:val="yellow"/>
        </w:rPr>
        <w:t>astric cancer</w:t>
      </w:r>
      <w:r w:rsidR="004E2CB7">
        <w:rPr>
          <w:rFonts w:ascii="Times New Roman" w:eastAsia="Times New Roman" w:hAnsi="Times New Roman" w:cs="Times New Roman"/>
          <w:sz w:val="24"/>
          <w:szCs w:val="24"/>
        </w:rPr>
        <w:t xml:space="preserve">; Lymph node dissection; </w:t>
      </w:r>
      <w:r w:rsidR="004E2CB7">
        <w:rPr>
          <w:rFonts w:ascii="Times New Roman" w:eastAsia="Times New Roman" w:hAnsi="Times New Roman" w:cs="Times New Roman"/>
          <w:sz w:val="24"/>
          <w:szCs w:val="24"/>
          <w:highlight w:val="white"/>
        </w:rPr>
        <w:t xml:space="preserve">Sentinel lymph node biopsy; </w:t>
      </w:r>
      <w:r w:rsidRPr="00855CF0">
        <w:rPr>
          <w:rFonts w:ascii="Times New Roman" w:eastAsia="Times New Roman" w:hAnsi="Times New Roman" w:cs="Times New Roman"/>
          <w:sz w:val="24"/>
          <w:szCs w:val="24"/>
          <w:highlight w:val="yellow"/>
        </w:rPr>
        <w:t>Regional lymphadenectomy</w:t>
      </w:r>
      <w:r>
        <w:rPr>
          <w:rFonts w:ascii="Times New Roman" w:eastAsia="Times New Roman" w:hAnsi="Times New Roman" w:cs="Times New Roman"/>
          <w:sz w:val="24"/>
          <w:szCs w:val="24"/>
        </w:rPr>
        <w:t xml:space="preserve">; </w:t>
      </w:r>
      <w:r w:rsidR="004E2CB7">
        <w:rPr>
          <w:rFonts w:ascii="Times New Roman" w:eastAsia="Times New Roman" w:hAnsi="Times New Roman" w:cs="Times New Roman"/>
          <w:sz w:val="24"/>
          <w:szCs w:val="24"/>
        </w:rPr>
        <w:t>Sentinel basin dissection; Maruyama index</w:t>
      </w:r>
    </w:p>
    <w:p w14:paraId="375C02C8" w14:textId="77777777" w:rsidR="004E2CB7" w:rsidRPr="004E2CB7" w:rsidRDefault="004E2CB7" w:rsidP="004E2CB7">
      <w:bookmarkStart w:id="1" w:name="_22qh5nuex7ta" w:colFirst="0" w:colLast="0"/>
      <w:bookmarkEnd w:id="1"/>
    </w:p>
    <w:p w14:paraId="3AB43397" w14:textId="77777777" w:rsidR="004E2CB7" w:rsidRDefault="004E2CB7" w:rsidP="004E2CB7">
      <w:pPr>
        <w:pStyle w:val="Subtitle"/>
        <w:spacing w:after="0" w:line="240" w:lineRule="auto"/>
        <w:jc w:val="both"/>
        <w:rPr>
          <w:rFonts w:ascii="Times New Roman" w:eastAsia="Times New Roman" w:hAnsi="Times New Roman" w:cs="Times New Roman"/>
          <w:b/>
          <w:bCs/>
          <w:color w:val="000000"/>
          <w:sz w:val="28"/>
          <w:szCs w:val="28"/>
        </w:rPr>
      </w:pPr>
    </w:p>
    <w:p w14:paraId="74D1EC6D" w14:textId="19A29BC1" w:rsidR="00C856F9" w:rsidRDefault="004E2CB7">
      <w:pPr>
        <w:pStyle w:val="Subtitle"/>
        <w:spacing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INTRODUCTION</w:t>
      </w:r>
    </w:p>
    <w:p w14:paraId="346804B0" w14:textId="20CF17AF" w:rsidR="00C856F9" w:rsidRDefault="004E2CB7">
      <w:pPr>
        <w:spacing w:before="20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Gastric cancer can be broadly classified into - early, locally advanced and metastatic. Early gastric cancer (EGC) is defined as the tumor confined to mucosa or submucosa irrespective of the lymph nodal status [1]. Current diagnostic and therapeutic advancements have made a paradigm shift in the outcomes of EGC. Recent literature demonstrates 5-year survival exceeding 90% [1,2]. With this oncological benefit, one new question has arrived - whether these patients are being overtreated.</w:t>
      </w:r>
    </w:p>
    <w:p w14:paraId="1588ADC8" w14:textId="1DBAEB38" w:rsidR="00C856F9" w:rsidRDefault="004E2CB7">
      <w:pPr>
        <w:spacing w:before="20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Conventionally, oncological outcomes have always received priority while choosing a treatment for cancer. Recent advancements in the field of oncology have questioned this approach of radicality. Likewise, in EGC, the gold standard treatment is standard anatomical gastrectomy with D1/D2 lymphadenectomy - except for a very select group of patients for whom endoscopic resection criteria is met [3-6]. Most cases of EGC do not have pathological lymph nodal metastasis. As per data, the rate of nodal metastasis in EGC is 10-20% [7-11]. The radical approach is effective in terms of oncological outcomes like survival and locoregional recurrence. But it has a significant impact on the patients “Quality of Life” (QoL) [12-15]. Anatomical gastrectomy follows with multiple complications like - dumping syndrome, anemia, weight loss, reflux - collectively termed as “Post-Gastrectomy Syndromes” [12-15]. </w:t>
      </w:r>
    </w:p>
    <w:p w14:paraId="377F7CF7" w14:textId="77777777" w:rsidR="00C856F9" w:rsidRDefault="004E2CB7">
      <w:pPr>
        <w:spacing w:before="20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To address these issues, some emerging techniques have been developed. The basin concept has been introduced in gastric cancer during “Sentinel Node Navigation Surgery” (SNNS) [7,16-18]. Here the entire lymphatic basin containing the sentinel nodes is dissected and examined for metastasis. Further dissection depends on the pathological status of the sentinel basin. This approach allows for function preserving and non-standard gastrectomies [7,19]. Currently SNNS has emerged as an exciting option in the treatment of EGC [16,20-29]. Multiple studies including the SENORITA trial have utilized this technique [28]. For a select group of patients, oncological outcomes have been similar to the standard gastrectomy with D1/D2 lymphadenectomy [20-28]. There is divergent evidence regarding the locoregional recurrences post SNSS. It has its own benefits - stark contrast is noted with radical approach in terms of QoL [12-15]. </w:t>
      </w:r>
    </w:p>
    <w:p w14:paraId="30E9E91F" w14:textId="77777777" w:rsidR="00C856F9" w:rsidRDefault="004E2CB7">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“Sentinel Lymph Node Biopsy” (SLNB) is a unique concept [30]. Its efficacy is already proven in breast cancer, penile cancer, endometrial cancer and melanoma surgery [31,32]. Sentinel node is defined as the first echelon node to receive lymphatic drainage from the concerned organ. SLNB relies on the concept that - if the sentinel lymph node is negative for metastasis, it implies that remaining nodes will also be negative [30]. Individual nodes are handled, dissected and biopsied in SLNB of breast cancer or melanoma surgery [31,32]. Gastric lymphatic drainage is multidirectional and mostly unpredictable [33-36]. So unlike SLNB, the concept of “Sentinel Basin Dissection” (SBD) has been introduced in EGC </w:t>
      </w:r>
      <w:r>
        <w:rPr>
          <w:rFonts w:ascii="Times New Roman" w:eastAsia="Times New Roman" w:hAnsi="Times New Roman" w:cs="Times New Roman"/>
          <w:sz w:val="24"/>
          <w:szCs w:val="24"/>
        </w:rPr>
        <w:t>[7,16-18]</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 xml:space="preserve">Currently SNNS is of much importance in the field of EGC - owing to its persistent benefits [16,20-29]. </w:t>
      </w:r>
      <w:r>
        <w:rPr>
          <w:rFonts w:ascii="Times New Roman" w:eastAsia="Times New Roman" w:hAnsi="Times New Roman" w:cs="Times New Roman"/>
          <w:sz w:val="24"/>
          <w:szCs w:val="24"/>
        </w:rPr>
        <w:lastRenderedPageBreak/>
        <w:t>This approach limits the extent of radical lymph node dissection - this in turn helps to avoid standard radical gastrectomy. Essential stomach volume is thus preserved and multiple post-operative complications can be avoided [12-15].</w:t>
      </w:r>
    </w:p>
    <w:p w14:paraId="18A1187D" w14:textId="15AF3458" w:rsidR="00C856F9" w:rsidRDefault="004E2CB7">
      <w:pPr>
        <w:spacing w:before="20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Logistical requirements for this approach can be challenging - radioisotopes, dyes or fluorescence agents are mandatory [16,20]. SNSS starts with initial endoscopic tracer injection around the primary gastric tumor [16,20,27,28]. The tracer follows the pattern of gastric lymphatic drainage, and it allows the surgeons to identify the concerned sentinel basin [37-40]. Followed by which SBD is performed and sent for pathological analysis. Pathological non-involvement of these nodes limits the procedure strictly to the concerned sentinel basin [18,37,39] - thus favouring function-preserving stomach surgery.</w:t>
      </w:r>
    </w:p>
    <w:p w14:paraId="77353F29" w14:textId="77777777" w:rsidR="00C856F9" w:rsidRDefault="004E2CB7">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requirement of special dyes and isotopes has made the SNNS procedure logistically challenging [16,20,27,28]. To avoid this, the concept of fixed “Regional Lymphadenectomy” (RL) has emerged [37]. This approach overcomes the technical difficulties faced in SNNS. No fancy instrument or device is required for RL. This is a simple procedure based on anatomy. Thus RL also reduces the operation time and requires less logistical support. </w:t>
      </w:r>
    </w:p>
    <w:p w14:paraId="50C4FA3C" w14:textId="77777777" w:rsidR="00C856F9" w:rsidRDefault="004E2CB7">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hypothesis behind this approach is - lymphatic metastasis in EGC follows predictability of anatomic location. It is postulated to be limited to the anatomical adjacent nodes to the primary tumor. These nodes are termed as regional lymph nodes [37]. The location of the primary gastric tumor is further categorized by its longitudinal (upper/middle/lower third of the stomach) and circumferential coordinates (lesser curvature (LC)/greater curvature (GC) or anterior/posterior wall) [37,41]. Based on this location, the regional lymph nodes are assigned and fixed regional nodal dissection area is decided preoperatively. This simplifies the procedure and is technically less demanding. RL can also potentially facilitate stomach preserving approaches. </w:t>
      </w:r>
    </w:p>
    <w:p w14:paraId="2FC0B0D5" w14:textId="77777777" w:rsidR="00C856F9" w:rsidRDefault="004E2CB7">
      <w:pPr>
        <w:spacing w:before="20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Owing to the complexity of gastric lymphatic network, risk of skip metastasis - presence of lymph nodal metastasis in the distant nodes bypassing the nearest ones, is significant in stomach cancer [36]. Limiting lymphatic dissection only to anatomical nearest region can affect prognosis, as risk of leaving behind skip metastasis is quite high. So, this RL concept, though novel, can lack safety and feasibility.</w:t>
      </w:r>
    </w:p>
    <w:p w14:paraId="0E4C977A" w14:textId="77777777" w:rsidR="00C856F9" w:rsidRDefault="00C856F9">
      <w:pPr>
        <w:spacing w:before="200" w:line="240" w:lineRule="auto"/>
        <w:jc w:val="both"/>
        <w:rPr>
          <w:rFonts w:ascii="Times New Roman" w:eastAsia="Times New Roman" w:hAnsi="Times New Roman" w:cs="Times New Roman"/>
          <w:sz w:val="24"/>
          <w:szCs w:val="24"/>
          <w:highlight w:val="white"/>
        </w:rPr>
      </w:pPr>
    </w:p>
    <w:p w14:paraId="2B5BCA5C" w14:textId="77777777" w:rsidR="00C856F9" w:rsidRDefault="004E2CB7">
      <w:pPr>
        <w:spacing w:before="20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lang w:val="en-US"/>
        </w:rPr>
        <w:lastRenderedPageBreak/>
        <w:drawing>
          <wp:inline distT="114300" distB="114300" distL="114300" distR="114300" wp14:anchorId="77FA388B" wp14:editId="55582953">
            <wp:extent cx="5731200" cy="32004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731200" cy="3200400"/>
                    </a:xfrm>
                    <a:prstGeom prst="rect">
                      <a:avLst/>
                    </a:prstGeom>
                    <a:ln/>
                  </pic:spPr>
                </pic:pic>
              </a:graphicData>
            </a:graphic>
          </wp:inline>
        </w:drawing>
      </w:r>
    </w:p>
    <w:p w14:paraId="7B6EF73F" w14:textId="77777777" w:rsidR="00C856F9" w:rsidRDefault="004E2CB7">
      <w:pPr>
        <w:spacing w:before="20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Figure 1. Steps of Sentinel Node Navigation Surgery</w:t>
      </w:r>
    </w:p>
    <w:p w14:paraId="6B102531" w14:textId="77777777" w:rsidR="00C856F9" w:rsidRDefault="00C856F9">
      <w:pPr>
        <w:spacing w:before="200" w:line="240" w:lineRule="auto"/>
        <w:jc w:val="both"/>
        <w:rPr>
          <w:rFonts w:ascii="Times New Roman" w:eastAsia="Times New Roman" w:hAnsi="Times New Roman" w:cs="Times New Roman"/>
          <w:sz w:val="24"/>
          <w:szCs w:val="24"/>
        </w:rPr>
      </w:pPr>
    </w:p>
    <w:p w14:paraId="656FCC00" w14:textId="77777777" w:rsidR="00C856F9" w:rsidRDefault="004E2CB7">
      <w:pPr>
        <w:spacing w:before="20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METHODOLOGY</w:t>
      </w:r>
    </w:p>
    <w:p w14:paraId="0CF1F7F1" w14:textId="77777777" w:rsidR="00C856F9" w:rsidRDefault="00C856F9">
      <w:pPr>
        <w:spacing w:line="240" w:lineRule="auto"/>
        <w:jc w:val="both"/>
        <w:rPr>
          <w:rFonts w:ascii="Times New Roman" w:eastAsia="Times New Roman" w:hAnsi="Times New Roman" w:cs="Times New Roman"/>
          <w:sz w:val="24"/>
          <w:szCs w:val="24"/>
        </w:rPr>
      </w:pPr>
    </w:p>
    <w:p w14:paraId="39C18728" w14:textId="48716B39" w:rsidR="00C856F9" w:rsidRDefault="004E2CB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PUBMED/EMBASE/SCOPUS databases were systematically searched with keywords - “Early Gastric Cancer”, "Lymphadenectomy Strategy”, “</w:t>
      </w:r>
      <w:r>
        <w:rPr>
          <w:rFonts w:ascii="Times New Roman" w:eastAsia="Times New Roman" w:hAnsi="Times New Roman" w:cs="Times New Roman"/>
          <w:sz w:val="24"/>
          <w:szCs w:val="24"/>
          <w:highlight w:val="white"/>
        </w:rPr>
        <w:t xml:space="preserve">Sentinel Node Navigation Surgery”, “Regional </w:t>
      </w:r>
      <w:r>
        <w:rPr>
          <w:rFonts w:ascii="Times New Roman" w:eastAsia="Times New Roman" w:hAnsi="Times New Roman" w:cs="Times New Roman"/>
          <w:sz w:val="24"/>
          <w:szCs w:val="24"/>
        </w:rPr>
        <w:t xml:space="preserve">Lymphadenectomy”. The review was registered in PROSPERO </w:t>
      </w:r>
      <w:r>
        <w:rPr>
          <w:rFonts w:ascii="Times New Roman" w:eastAsia="Times New Roman" w:hAnsi="Times New Roman" w:cs="Times New Roman"/>
          <w:sz w:val="24"/>
          <w:szCs w:val="24"/>
          <w:highlight w:val="white"/>
        </w:rPr>
        <w:t>(CRD420261321691)</w:t>
      </w:r>
      <w:r>
        <w:rPr>
          <w:rFonts w:ascii="Times New Roman" w:eastAsia="Times New Roman" w:hAnsi="Times New Roman" w:cs="Times New Roman"/>
          <w:sz w:val="24"/>
          <w:szCs w:val="24"/>
        </w:rPr>
        <w:t>. Animal studies, studies containing amalgamated subsets of several gastrointestinal cancers, case reports, editorials, letters, conference abstracts without sufficient data, preprints and review articles were excluded. The review only included studies published in English. Studies with available full texts were included. This review included studies conducted in hospital-based or tertiary care settings where patients with EGC underwent surgical treatment with SNNS or RL. There were no geographic restrictions. Two independent reviewers extracted and assessed the data. The search and screening process followed the PRISMA recommendations. All retrieved records were imported into reference management software and duplicates were removed before screening. Titles and abstracts were screened independently by two reviewers, followed by full-text assessment for eligibility. Any disagreements were resolved through discussion or consultation with a third reviewer.</w:t>
      </w:r>
      <w:r w:rsidR="007C184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 complete search strategy has been summarized in table 1.</w:t>
      </w:r>
    </w:p>
    <w:p w14:paraId="506AE29F" w14:textId="77777777" w:rsidR="00C856F9" w:rsidRDefault="00C856F9">
      <w:pPr>
        <w:spacing w:line="240" w:lineRule="auto"/>
        <w:jc w:val="both"/>
        <w:rPr>
          <w:rFonts w:ascii="Times New Roman" w:eastAsia="Times New Roman" w:hAnsi="Times New Roman" w:cs="Times New Roman"/>
          <w:sz w:val="24"/>
          <w:szCs w:val="24"/>
        </w:rPr>
      </w:pPr>
    </w:p>
    <w:p w14:paraId="13BF128F" w14:textId="60A7CBDC" w:rsidR="00C856F9" w:rsidRDefault="004E2CB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1. Search Strategy</w:t>
      </w:r>
    </w:p>
    <w:tbl>
      <w:tblPr>
        <w:tblStyle w:val="a"/>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5"/>
        <w:gridCol w:w="6735"/>
      </w:tblGrid>
      <w:tr w:rsidR="00C856F9" w14:paraId="24DD9AE4" w14:textId="77777777">
        <w:tc>
          <w:tcPr>
            <w:tcW w:w="2265" w:type="dxa"/>
            <w:tcMar>
              <w:top w:w="100" w:type="dxa"/>
              <w:left w:w="100" w:type="dxa"/>
              <w:bottom w:w="100" w:type="dxa"/>
              <w:right w:w="100" w:type="dxa"/>
            </w:tcMar>
          </w:tcPr>
          <w:p w14:paraId="2437C26E" w14:textId="77777777" w:rsidR="00C856F9" w:rsidRPr="007F275F" w:rsidRDefault="004E2CB7">
            <w:pPr>
              <w:widowControl w:val="0"/>
              <w:pBdr>
                <w:top w:val="nil"/>
                <w:left w:val="nil"/>
                <w:bottom w:val="nil"/>
                <w:right w:val="nil"/>
                <w:between w:val="nil"/>
              </w:pBdr>
              <w:spacing w:line="240" w:lineRule="auto"/>
              <w:jc w:val="center"/>
              <w:rPr>
                <w:rFonts w:ascii="Times New Roman" w:eastAsia="Times New Roman" w:hAnsi="Times New Roman" w:cs="Times New Roman"/>
                <w:b/>
                <w:bCs/>
                <w:sz w:val="20"/>
                <w:szCs w:val="20"/>
              </w:rPr>
            </w:pPr>
            <w:r w:rsidRPr="007F275F">
              <w:rPr>
                <w:rFonts w:ascii="Times New Roman" w:eastAsia="Times New Roman" w:hAnsi="Times New Roman" w:cs="Times New Roman"/>
                <w:b/>
                <w:bCs/>
                <w:sz w:val="20"/>
                <w:szCs w:val="20"/>
              </w:rPr>
              <w:t>Items</w:t>
            </w:r>
          </w:p>
        </w:tc>
        <w:tc>
          <w:tcPr>
            <w:tcW w:w="6735" w:type="dxa"/>
            <w:tcMar>
              <w:top w:w="100" w:type="dxa"/>
              <w:left w:w="100" w:type="dxa"/>
              <w:bottom w:w="100" w:type="dxa"/>
              <w:right w:w="100" w:type="dxa"/>
            </w:tcMar>
          </w:tcPr>
          <w:p w14:paraId="0A2ABE92" w14:textId="77777777" w:rsidR="00C856F9" w:rsidRPr="007F275F" w:rsidRDefault="004E2CB7">
            <w:pPr>
              <w:widowControl w:val="0"/>
              <w:pBdr>
                <w:top w:val="nil"/>
                <w:left w:val="nil"/>
                <w:bottom w:val="nil"/>
                <w:right w:val="nil"/>
                <w:between w:val="nil"/>
              </w:pBdr>
              <w:spacing w:line="240" w:lineRule="auto"/>
              <w:jc w:val="center"/>
              <w:rPr>
                <w:rFonts w:ascii="Times New Roman" w:eastAsia="Times New Roman" w:hAnsi="Times New Roman" w:cs="Times New Roman"/>
                <w:b/>
                <w:bCs/>
                <w:sz w:val="20"/>
                <w:szCs w:val="20"/>
              </w:rPr>
            </w:pPr>
            <w:r w:rsidRPr="007F275F">
              <w:rPr>
                <w:rFonts w:ascii="Times New Roman" w:eastAsia="Times New Roman" w:hAnsi="Times New Roman" w:cs="Times New Roman"/>
                <w:b/>
                <w:bCs/>
                <w:sz w:val="20"/>
                <w:szCs w:val="20"/>
              </w:rPr>
              <w:t>Specifications</w:t>
            </w:r>
          </w:p>
        </w:tc>
      </w:tr>
      <w:tr w:rsidR="00C856F9" w14:paraId="4A81F131" w14:textId="77777777">
        <w:tc>
          <w:tcPr>
            <w:tcW w:w="2265" w:type="dxa"/>
            <w:tcMar>
              <w:top w:w="100" w:type="dxa"/>
              <w:left w:w="100" w:type="dxa"/>
              <w:bottom w:w="100" w:type="dxa"/>
              <w:right w:w="100" w:type="dxa"/>
            </w:tcMar>
          </w:tcPr>
          <w:p w14:paraId="648BEAFA" w14:textId="77777777" w:rsidR="00C856F9" w:rsidRPr="007F275F" w:rsidRDefault="004E2CB7">
            <w:pPr>
              <w:widowControl w:val="0"/>
              <w:pBdr>
                <w:top w:val="nil"/>
                <w:left w:val="nil"/>
                <w:bottom w:val="nil"/>
                <w:right w:val="nil"/>
                <w:between w:val="nil"/>
              </w:pBdr>
              <w:spacing w:line="240" w:lineRule="auto"/>
              <w:jc w:val="center"/>
              <w:rPr>
                <w:rFonts w:ascii="Times New Roman" w:eastAsia="Times New Roman" w:hAnsi="Times New Roman" w:cs="Times New Roman"/>
                <w:b/>
                <w:bCs/>
                <w:sz w:val="20"/>
                <w:szCs w:val="20"/>
              </w:rPr>
            </w:pPr>
            <w:r w:rsidRPr="007F275F">
              <w:rPr>
                <w:rFonts w:ascii="Times New Roman" w:eastAsia="Times New Roman" w:hAnsi="Times New Roman" w:cs="Times New Roman"/>
                <w:b/>
                <w:bCs/>
                <w:sz w:val="20"/>
                <w:szCs w:val="20"/>
              </w:rPr>
              <w:t>Databases</w:t>
            </w:r>
          </w:p>
        </w:tc>
        <w:tc>
          <w:tcPr>
            <w:tcW w:w="6735" w:type="dxa"/>
            <w:tcMar>
              <w:top w:w="100" w:type="dxa"/>
              <w:left w:w="100" w:type="dxa"/>
              <w:bottom w:w="100" w:type="dxa"/>
              <w:right w:w="100" w:type="dxa"/>
            </w:tcMar>
          </w:tcPr>
          <w:p w14:paraId="66C263F7" w14:textId="77777777" w:rsidR="00C856F9" w:rsidRPr="007F275F" w:rsidRDefault="004E2CB7">
            <w:pPr>
              <w:spacing w:line="240" w:lineRule="auto"/>
              <w:jc w:val="center"/>
              <w:rPr>
                <w:rFonts w:ascii="Times New Roman" w:eastAsia="Times New Roman" w:hAnsi="Times New Roman" w:cs="Times New Roman"/>
                <w:sz w:val="20"/>
                <w:szCs w:val="20"/>
              </w:rPr>
            </w:pPr>
            <w:r w:rsidRPr="007F275F">
              <w:rPr>
                <w:rFonts w:ascii="Times New Roman" w:eastAsia="Times New Roman" w:hAnsi="Times New Roman" w:cs="Times New Roman"/>
                <w:sz w:val="20"/>
                <w:szCs w:val="20"/>
              </w:rPr>
              <w:t>PUBMED/EMBASE/SCOPUS</w:t>
            </w:r>
          </w:p>
        </w:tc>
      </w:tr>
      <w:tr w:rsidR="00C856F9" w14:paraId="30FE1FFC" w14:textId="77777777">
        <w:tc>
          <w:tcPr>
            <w:tcW w:w="2265" w:type="dxa"/>
            <w:tcMar>
              <w:top w:w="100" w:type="dxa"/>
              <w:left w:w="100" w:type="dxa"/>
              <w:bottom w:w="100" w:type="dxa"/>
              <w:right w:w="100" w:type="dxa"/>
            </w:tcMar>
          </w:tcPr>
          <w:p w14:paraId="760EC54E" w14:textId="77777777" w:rsidR="00C856F9" w:rsidRPr="007F275F" w:rsidRDefault="004E2CB7">
            <w:pPr>
              <w:widowControl w:val="0"/>
              <w:pBdr>
                <w:top w:val="nil"/>
                <w:left w:val="nil"/>
                <w:bottom w:val="nil"/>
                <w:right w:val="nil"/>
                <w:between w:val="nil"/>
              </w:pBdr>
              <w:spacing w:line="240" w:lineRule="auto"/>
              <w:jc w:val="center"/>
              <w:rPr>
                <w:rFonts w:ascii="Times New Roman" w:eastAsia="Times New Roman" w:hAnsi="Times New Roman" w:cs="Times New Roman"/>
                <w:b/>
                <w:bCs/>
                <w:sz w:val="20"/>
                <w:szCs w:val="20"/>
              </w:rPr>
            </w:pPr>
            <w:r w:rsidRPr="007F275F">
              <w:rPr>
                <w:rFonts w:ascii="Times New Roman" w:eastAsia="Times New Roman" w:hAnsi="Times New Roman" w:cs="Times New Roman"/>
                <w:b/>
                <w:bCs/>
                <w:sz w:val="20"/>
                <w:szCs w:val="20"/>
              </w:rPr>
              <w:t>Keywords</w:t>
            </w:r>
          </w:p>
        </w:tc>
        <w:tc>
          <w:tcPr>
            <w:tcW w:w="6735" w:type="dxa"/>
            <w:tcMar>
              <w:top w:w="100" w:type="dxa"/>
              <w:left w:w="100" w:type="dxa"/>
              <w:bottom w:w="100" w:type="dxa"/>
              <w:right w:w="100" w:type="dxa"/>
            </w:tcMar>
          </w:tcPr>
          <w:p w14:paraId="2FB43FBE" w14:textId="77777777" w:rsidR="00C856F9" w:rsidRPr="007F275F" w:rsidRDefault="004E2CB7">
            <w:pPr>
              <w:spacing w:line="240" w:lineRule="auto"/>
              <w:jc w:val="center"/>
              <w:rPr>
                <w:rFonts w:ascii="Times New Roman" w:eastAsia="Times New Roman" w:hAnsi="Times New Roman" w:cs="Times New Roman"/>
                <w:sz w:val="20"/>
                <w:szCs w:val="20"/>
              </w:rPr>
            </w:pPr>
            <w:r w:rsidRPr="007F275F">
              <w:rPr>
                <w:rFonts w:ascii="Times New Roman" w:eastAsia="Times New Roman" w:hAnsi="Times New Roman" w:cs="Times New Roman"/>
                <w:sz w:val="20"/>
                <w:szCs w:val="20"/>
              </w:rPr>
              <w:t>“Early Gastric Cancer”, "Lymphadenectomy Strategy”, “</w:t>
            </w:r>
            <w:r w:rsidRPr="007F275F">
              <w:rPr>
                <w:rFonts w:ascii="Times New Roman" w:eastAsia="Times New Roman" w:hAnsi="Times New Roman" w:cs="Times New Roman"/>
                <w:sz w:val="20"/>
                <w:szCs w:val="20"/>
                <w:highlight w:val="white"/>
              </w:rPr>
              <w:t xml:space="preserve">Sentinel Node Navigation Surgery”, “Regional </w:t>
            </w:r>
            <w:r w:rsidRPr="007F275F">
              <w:rPr>
                <w:rFonts w:ascii="Times New Roman" w:eastAsia="Times New Roman" w:hAnsi="Times New Roman" w:cs="Times New Roman"/>
                <w:sz w:val="20"/>
                <w:szCs w:val="20"/>
              </w:rPr>
              <w:t>Lymphadenectomy”</w:t>
            </w:r>
          </w:p>
        </w:tc>
      </w:tr>
      <w:tr w:rsidR="00C856F9" w14:paraId="635475B5" w14:textId="77777777">
        <w:tc>
          <w:tcPr>
            <w:tcW w:w="2265" w:type="dxa"/>
            <w:tcMar>
              <w:top w:w="100" w:type="dxa"/>
              <w:left w:w="100" w:type="dxa"/>
              <w:bottom w:w="100" w:type="dxa"/>
              <w:right w:w="100" w:type="dxa"/>
            </w:tcMar>
          </w:tcPr>
          <w:p w14:paraId="201DD6B9" w14:textId="77777777" w:rsidR="00C856F9" w:rsidRPr="007F275F" w:rsidRDefault="004E2CB7">
            <w:pPr>
              <w:widowControl w:val="0"/>
              <w:pBdr>
                <w:top w:val="nil"/>
                <w:left w:val="nil"/>
                <w:bottom w:val="nil"/>
                <w:right w:val="nil"/>
                <w:between w:val="nil"/>
              </w:pBdr>
              <w:spacing w:line="240" w:lineRule="auto"/>
              <w:jc w:val="center"/>
              <w:rPr>
                <w:rFonts w:ascii="Times New Roman" w:eastAsia="Times New Roman" w:hAnsi="Times New Roman" w:cs="Times New Roman"/>
                <w:b/>
                <w:bCs/>
                <w:sz w:val="20"/>
                <w:szCs w:val="20"/>
                <w:highlight w:val="yellow"/>
              </w:rPr>
            </w:pPr>
            <w:r w:rsidRPr="007F275F">
              <w:rPr>
                <w:rFonts w:ascii="Times New Roman" w:eastAsia="Times New Roman" w:hAnsi="Times New Roman" w:cs="Times New Roman"/>
                <w:b/>
                <w:bCs/>
                <w:sz w:val="20"/>
                <w:szCs w:val="20"/>
                <w:highlight w:val="yellow"/>
              </w:rPr>
              <w:t>Timeframe</w:t>
            </w:r>
          </w:p>
        </w:tc>
        <w:tc>
          <w:tcPr>
            <w:tcW w:w="6735" w:type="dxa"/>
            <w:tcMar>
              <w:top w:w="100" w:type="dxa"/>
              <w:left w:w="100" w:type="dxa"/>
              <w:bottom w:w="100" w:type="dxa"/>
              <w:right w:w="100" w:type="dxa"/>
            </w:tcMar>
          </w:tcPr>
          <w:p w14:paraId="33C33852" w14:textId="3C298236" w:rsidR="00C856F9" w:rsidRPr="007F275F" w:rsidRDefault="007C184E">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highlight w:val="yellow"/>
              </w:rPr>
            </w:pPr>
            <w:r w:rsidRPr="007F275F">
              <w:rPr>
                <w:rFonts w:ascii="Times New Roman" w:eastAsia="Times New Roman" w:hAnsi="Times New Roman" w:cs="Times New Roman"/>
                <w:sz w:val="20"/>
                <w:szCs w:val="20"/>
                <w:highlight w:val="yellow"/>
              </w:rPr>
              <w:t>No Limit</w:t>
            </w:r>
          </w:p>
        </w:tc>
      </w:tr>
      <w:tr w:rsidR="00C856F9" w14:paraId="348FADBA" w14:textId="77777777">
        <w:tc>
          <w:tcPr>
            <w:tcW w:w="2265" w:type="dxa"/>
            <w:tcMar>
              <w:top w:w="100" w:type="dxa"/>
              <w:left w:w="100" w:type="dxa"/>
              <w:bottom w:w="100" w:type="dxa"/>
              <w:right w:w="100" w:type="dxa"/>
            </w:tcMar>
          </w:tcPr>
          <w:p w14:paraId="3A348B61" w14:textId="77777777" w:rsidR="00C856F9" w:rsidRPr="007F275F" w:rsidRDefault="004E2CB7">
            <w:pPr>
              <w:widowControl w:val="0"/>
              <w:pBdr>
                <w:top w:val="nil"/>
                <w:left w:val="nil"/>
                <w:bottom w:val="nil"/>
                <w:right w:val="nil"/>
                <w:between w:val="nil"/>
              </w:pBdr>
              <w:spacing w:line="240" w:lineRule="auto"/>
              <w:jc w:val="center"/>
              <w:rPr>
                <w:rFonts w:ascii="Times New Roman" w:eastAsia="Times New Roman" w:hAnsi="Times New Roman" w:cs="Times New Roman"/>
                <w:b/>
                <w:bCs/>
                <w:sz w:val="20"/>
                <w:szCs w:val="20"/>
              </w:rPr>
            </w:pPr>
            <w:r w:rsidRPr="007F275F">
              <w:rPr>
                <w:rFonts w:ascii="Times New Roman" w:eastAsia="Times New Roman" w:hAnsi="Times New Roman" w:cs="Times New Roman"/>
                <w:b/>
                <w:bCs/>
                <w:sz w:val="20"/>
                <w:szCs w:val="20"/>
              </w:rPr>
              <w:lastRenderedPageBreak/>
              <w:t>Inclusion Criteria</w:t>
            </w:r>
          </w:p>
        </w:tc>
        <w:tc>
          <w:tcPr>
            <w:tcW w:w="6735" w:type="dxa"/>
            <w:tcMar>
              <w:top w:w="100" w:type="dxa"/>
              <w:left w:w="100" w:type="dxa"/>
              <w:bottom w:w="100" w:type="dxa"/>
              <w:right w:w="100" w:type="dxa"/>
            </w:tcMar>
          </w:tcPr>
          <w:p w14:paraId="0CD3CDED" w14:textId="77777777" w:rsidR="00C856F9" w:rsidRPr="007F275F" w:rsidRDefault="004E2CB7">
            <w:pPr>
              <w:spacing w:line="240" w:lineRule="auto"/>
              <w:jc w:val="center"/>
              <w:rPr>
                <w:rFonts w:ascii="Times New Roman" w:eastAsia="Times New Roman" w:hAnsi="Times New Roman" w:cs="Times New Roman"/>
                <w:sz w:val="20"/>
                <w:szCs w:val="20"/>
              </w:rPr>
            </w:pPr>
            <w:r w:rsidRPr="007F275F">
              <w:rPr>
                <w:rFonts w:ascii="Times New Roman" w:eastAsia="Times New Roman" w:hAnsi="Times New Roman" w:cs="Times New Roman"/>
                <w:sz w:val="20"/>
                <w:szCs w:val="20"/>
              </w:rPr>
              <w:t>Studies conducted in hospital-based or tertiary care settings in English and with available full texts (where patients with EGC underwent surgical treatment with SNNS or RL)</w:t>
            </w:r>
          </w:p>
        </w:tc>
      </w:tr>
      <w:tr w:rsidR="00C856F9" w14:paraId="0EC39EC5" w14:textId="77777777">
        <w:tc>
          <w:tcPr>
            <w:tcW w:w="2265" w:type="dxa"/>
            <w:tcMar>
              <w:top w:w="100" w:type="dxa"/>
              <w:left w:w="100" w:type="dxa"/>
              <w:bottom w:w="100" w:type="dxa"/>
              <w:right w:w="100" w:type="dxa"/>
            </w:tcMar>
          </w:tcPr>
          <w:p w14:paraId="07088DFE" w14:textId="77777777" w:rsidR="00C856F9" w:rsidRPr="007F275F" w:rsidRDefault="004E2CB7">
            <w:pPr>
              <w:widowControl w:val="0"/>
              <w:pBdr>
                <w:top w:val="nil"/>
                <w:left w:val="nil"/>
                <w:bottom w:val="nil"/>
                <w:right w:val="nil"/>
                <w:between w:val="nil"/>
              </w:pBdr>
              <w:spacing w:line="240" w:lineRule="auto"/>
              <w:jc w:val="center"/>
              <w:rPr>
                <w:rFonts w:ascii="Times New Roman" w:eastAsia="Times New Roman" w:hAnsi="Times New Roman" w:cs="Times New Roman"/>
                <w:b/>
                <w:bCs/>
                <w:sz w:val="20"/>
                <w:szCs w:val="20"/>
              </w:rPr>
            </w:pPr>
            <w:r w:rsidRPr="007F275F">
              <w:rPr>
                <w:rFonts w:ascii="Times New Roman" w:eastAsia="Times New Roman" w:hAnsi="Times New Roman" w:cs="Times New Roman"/>
                <w:b/>
                <w:bCs/>
                <w:sz w:val="20"/>
                <w:szCs w:val="20"/>
              </w:rPr>
              <w:t>Exclusion Criteria</w:t>
            </w:r>
          </w:p>
        </w:tc>
        <w:tc>
          <w:tcPr>
            <w:tcW w:w="6735" w:type="dxa"/>
            <w:tcMar>
              <w:top w:w="100" w:type="dxa"/>
              <w:left w:w="100" w:type="dxa"/>
              <w:bottom w:w="100" w:type="dxa"/>
              <w:right w:w="100" w:type="dxa"/>
            </w:tcMar>
          </w:tcPr>
          <w:p w14:paraId="6E3BFF72" w14:textId="77777777" w:rsidR="00C856F9" w:rsidRPr="007F275F" w:rsidRDefault="004E2CB7">
            <w:pPr>
              <w:spacing w:line="240" w:lineRule="auto"/>
              <w:jc w:val="center"/>
              <w:rPr>
                <w:rFonts w:ascii="Times New Roman" w:eastAsia="Times New Roman" w:hAnsi="Times New Roman" w:cs="Times New Roman"/>
                <w:sz w:val="20"/>
                <w:szCs w:val="20"/>
              </w:rPr>
            </w:pPr>
            <w:r w:rsidRPr="007F275F">
              <w:rPr>
                <w:rFonts w:ascii="Times New Roman" w:eastAsia="Times New Roman" w:hAnsi="Times New Roman" w:cs="Times New Roman"/>
                <w:sz w:val="20"/>
                <w:szCs w:val="20"/>
              </w:rPr>
              <w:t>Animal studies, studies containing amalgamated subsets of several gastrointestinal cancers, case reports, editorials, letters, conference abstracts without sufficient data, preprints and review articles</w:t>
            </w:r>
          </w:p>
        </w:tc>
      </w:tr>
    </w:tbl>
    <w:p w14:paraId="01AEA3D7" w14:textId="77777777" w:rsidR="00C856F9" w:rsidRDefault="00C856F9">
      <w:pPr>
        <w:spacing w:line="240" w:lineRule="auto"/>
        <w:jc w:val="both"/>
        <w:rPr>
          <w:rFonts w:ascii="Times New Roman" w:eastAsia="Times New Roman" w:hAnsi="Times New Roman" w:cs="Times New Roman"/>
          <w:sz w:val="24"/>
          <w:szCs w:val="24"/>
        </w:rPr>
      </w:pPr>
    </w:p>
    <w:p w14:paraId="37A4D163" w14:textId="103C9A6F" w:rsidR="007F275F" w:rsidRPr="008F293F" w:rsidRDefault="007F275F">
      <w:pPr>
        <w:spacing w:line="240" w:lineRule="auto"/>
        <w:jc w:val="both"/>
        <w:rPr>
          <w:rFonts w:ascii="Times New Roman" w:eastAsia="Times New Roman" w:hAnsi="Times New Roman" w:cs="Times New Roman"/>
          <w:sz w:val="24"/>
          <w:szCs w:val="24"/>
          <w:highlight w:val="yellow"/>
        </w:rPr>
      </w:pPr>
      <w:r w:rsidRPr="008F293F">
        <w:rPr>
          <w:rFonts w:ascii="Times New Roman" w:eastAsia="Times New Roman" w:hAnsi="Times New Roman" w:cs="Times New Roman"/>
          <w:sz w:val="24"/>
          <w:szCs w:val="24"/>
          <w:highlight w:val="yellow"/>
        </w:rPr>
        <w:t>The included studies have been summarized in table 2.</w:t>
      </w:r>
    </w:p>
    <w:p w14:paraId="4BE80EA1" w14:textId="77777777" w:rsidR="007F275F" w:rsidRPr="008F293F" w:rsidRDefault="007F275F">
      <w:pPr>
        <w:spacing w:line="240" w:lineRule="auto"/>
        <w:jc w:val="both"/>
        <w:rPr>
          <w:rFonts w:ascii="Times New Roman" w:eastAsia="Times New Roman" w:hAnsi="Times New Roman" w:cs="Times New Roman"/>
          <w:sz w:val="24"/>
          <w:szCs w:val="24"/>
          <w:highlight w:val="yellow"/>
        </w:rPr>
      </w:pPr>
    </w:p>
    <w:p w14:paraId="7D1F978C" w14:textId="423A9771" w:rsidR="007F275F" w:rsidRPr="008F293F" w:rsidRDefault="007F275F">
      <w:pPr>
        <w:spacing w:line="240" w:lineRule="auto"/>
        <w:jc w:val="both"/>
        <w:rPr>
          <w:rFonts w:ascii="Times New Roman" w:eastAsia="Times New Roman" w:hAnsi="Times New Roman" w:cs="Times New Roman"/>
          <w:sz w:val="24"/>
          <w:szCs w:val="24"/>
          <w:highlight w:val="yellow"/>
        </w:rPr>
      </w:pPr>
      <w:r w:rsidRPr="008F293F">
        <w:rPr>
          <w:rFonts w:ascii="Times New Roman" w:eastAsia="Times New Roman" w:hAnsi="Times New Roman" w:cs="Times New Roman"/>
          <w:sz w:val="24"/>
          <w:szCs w:val="24"/>
          <w:highlight w:val="yellow"/>
        </w:rPr>
        <w:t>Table 2. Summary of Included Studies</w:t>
      </w:r>
    </w:p>
    <w:tbl>
      <w:tblPr>
        <w:tblW w:w="0" w:type="auto"/>
        <w:tblCellMar>
          <w:top w:w="15" w:type="dxa"/>
          <w:left w:w="15" w:type="dxa"/>
          <w:bottom w:w="15" w:type="dxa"/>
          <w:right w:w="15" w:type="dxa"/>
        </w:tblCellMar>
        <w:tblLook w:val="04A0" w:firstRow="1" w:lastRow="0" w:firstColumn="1" w:lastColumn="0" w:noHBand="0" w:noVBand="1"/>
      </w:tblPr>
      <w:tblGrid>
        <w:gridCol w:w="3099"/>
        <w:gridCol w:w="3484"/>
        <w:gridCol w:w="2430"/>
      </w:tblGrid>
      <w:tr w:rsidR="007F275F" w:rsidRPr="008F293F" w14:paraId="72BE1DB5" w14:textId="77777777" w:rsidTr="007F275F">
        <w:trPr>
          <w:trHeight w:val="362"/>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DEF0D50" w14:textId="77777777" w:rsidR="007F275F" w:rsidRPr="007F275F" w:rsidRDefault="007F275F" w:rsidP="007F275F">
            <w:pPr>
              <w:spacing w:line="240" w:lineRule="auto"/>
              <w:jc w:val="center"/>
              <w:rPr>
                <w:rFonts w:ascii="Times New Roman" w:eastAsia="Times New Roman" w:hAnsi="Times New Roman" w:cs="Times New Roman"/>
                <w:sz w:val="20"/>
                <w:szCs w:val="20"/>
                <w:highlight w:val="yellow"/>
                <w:lang w:val="en-US"/>
              </w:rPr>
            </w:pPr>
            <w:r w:rsidRPr="007F275F">
              <w:rPr>
                <w:rFonts w:ascii="Times New Roman" w:eastAsia="Times New Roman" w:hAnsi="Times New Roman" w:cs="Times New Roman"/>
                <w:b/>
                <w:bCs/>
                <w:color w:val="000000"/>
                <w:sz w:val="20"/>
                <w:szCs w:val="20"/>
                <w:highlight w:val="yellow"/>
                <w:lang w:val="en-US"/>
              </w:rPr>
              <w:t>Study</w:t>
            </w:r>
          </w:p>
        </w:tc>
        <w:tc>
          <w:tcPr>
            <w:tcW w:w="348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6DE6485" w14:textId="77777777" w:rsidR="007F275F" w:rsidRPr="007F275F" w:rsidRDefault="007F275F" w:rsidP="007F275F">
            <w:pPr>
              <w:spacing w:line="240" w:lineRule="auto"/>
              <w:jc w:val="center"/>
              <w:rPr>
                <w:rFonts w:ascii="Times New Roman" w:eastAsia="Times New Roman" w:hAnsi="Times New Roman" w:cs="Times New Roman"/>
                <w:sz w:val="20"/>
                <w:szCs w:val="20"/>
                <w:highlight w:val="yellow"/>
                <w:lang w:val="en-US"/>
              </w:rPr>
            </w:pPr>
            <w:r w:rsidRPr="007F275F">
              <w:rPr>
                <w:rFonts w:ascii="Times New Roman" w:eastAsia="Times New Roman" w:hAnsi="Times New Roman" w:cs="Times New Roman"/>
                <w:b/>
                <w:bCs/>
                <w:color w:val="000000"/>
                <w:sz w:val="20"/>
                <w:szCs w:val="20"/>
                <w:highlight w:val="yellow"/>
                <w:lang w:val="en-US"/>
              </w:rPr>
              <w:t>Study Design</w:t>
            </w:r>
          </w:p>
        </w:tc>
        <w:tc>
          <w:tcPr>
            <w:tcW w:w="24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CC30D78" w14:textId="77777777" w:rsidR="007F275F" w:rsidRPr="007F275F" w:rsidRDefault="007F275F" w:rsidP="007F275F">
            <w:pPr>
              <w:spacing w:line="240" w:lineRule="auto"/>
              <w:jc w:val="center"/>
              <w:rPr>
                <w:rFonts w:ascii="Times New Roman" w:eastAsia="Times New Roman" w:hAnsi="Times New Roman" w:cs="Times New Roman"/>
                <w:sz w:val="20"/>
                <w:szCs w:val="20"/>
                <w:highlight w:val="yellow"/>
                <w:lang w:val="en-US"/>
              </w:rPr>
            </w:pPr>
            <w:r w:rsidRPr="007F275F">
              <w:rPr>
                <w:rFonts w:ascii="Times New Roman" w:eastAsia="Times New Roman" w:hAnsi="Times New Roman" w:cs="Times New Roman"/>
                <w:b/>
                <w:bCs/>
                <w:color w:val="000000"/>
                <w:sz w:val="20"/>
                <w:szCs w:val="20"/>
                <w:highlight w:val="yellow"/>
                <w:lang w:val="en-US"/>
              </w:rPr>
              <w:t>Sample Size (N)</w:t>
            </w:r>
          </w:p>
        </w:tc>
      </w:tr>
      <w:tr w:rsidR="007F275F" w:rsidRPr="008F293F" w14:paraId="1313BA0E" w14:textId="77777777" w:rsidTr="007F275F">
        <w:trPr>
          <w:trHeight w:val="51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286A0A5" w14:textId="655624B2" w:rsidR="007F275F" w:rsidRPr="007F275F" w:rsidRDefault="007F275F" w:rsidP="007F275F">
            <w:pPr>
              <w:spacing w:line="240" w:lineRule="auto"/>
              <w:jc w:val="center"/>
              <w:rPr>
                <w:rFonts w:ascii="Times New Roman" w:eastAsia="Times New Roman" w:hAnsi="Times New Roman" w:cs="Times New Roman"/>
                <w:sz w:val="20"/>
                <w:szCs w:val="20"/>
                <w:highlight w:val="yellow"/>
                <w:lang w:val="en-US"/>
              </w:rPr>
            </w:pPr>
            <w:r w:rsidRPr="007F275F">
              <w:rPr>
                <w:rFonts w:ascii="Times New Roman" w:eastAsia="Times New Roman" w:hAnsi="Times New Roman" w:cs="Times New Roman"/>
                <w:b/>
                <w:bCs/>
                <w:color w:val="000000"/>
                <w:sz w:val="20"/>
                <w:szCs w:val="20"/>
                <w:highlight w:val="yellow"/>
                <w:lang w:val="en-US"/>
              </w:rPr>
              <w:t>Abate et al.</w:t>
            </w:r>
            <w:r w:rsidR="008F293F" w:rsidRPr="008F293F">
              <w:rPr>
                <w:rFonts w:ascii="Times New Roman" w:eastAsia="Times New Roman" w:hAnsi="Times New Roman" w:cs="Times New Roman"/>
                <w:b/>
                <w:bCs/>
                <w:color w:val="000000"/>
                <w:sz w:val="20"/>
                <w:szCs w:val="20"/>
                <w:highlight w:val="yellow"/>
                <w:lang w:val="en-US"/>
              </w:rPr>
              <w:t xml:space="preserve"> [46]</w:t>
            </w:r>
          </w:p>
        </w:tc>
        <w:tc>
          <w:tcPr>
            <w:tcW w:w="348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1CD7F09" w14:textId="77777777" w:rsidR="007F275F" w:rsidRPr="007F275F" w:rsidRDefault="007F275F" w:rsidP="007F275F">
            <w:pPr>
              <w:spacing w:line="240" w:lineRule="auto"/>
              <w:jc w:val="center"/>
              <w:rPr>
                <w:rFonts w:ascii="Times New Roman" w:eastAsia="Times New Roman" w:hAnsi="Times New Roman" w:cs="Times New Roman"/>
                <w:sz w:val="20"/>
                <w:szCs w:val="20"/>
                <w:highlight w:val="yellow"/>
                <w:lang w:val="en-US"/>
              </w:rPr>
            </w:pPr>
            <w:r w:rsidRPr="007F275F">
              <w:rPr>
                <w:rFonts w:ascii="Times New Roman" w:eastAsia="Times New Roman" w:hAnsi="Times New Roman" w:cs="Times New Roman"/>
                <w:color w:val="000000"/>
                <w:sz w:val="20"/>
                <w:szCs w:val="20"/>
                <w:highlight w:val="yellow"/>
                <w:lang w:val="en-US"/>
              </w:rPr>
              <w:t>Retrospective study of prospectively maintained data.</w:t>
            </w:r>
          </w:p>
        </w:tc>
        <w:tc>
          <w:tcPr>
            <w:tcW w:w="24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38F2C60" w14:textId="77777777" w:rsidR="007F275F" w:rsidRPr="007F275F" w:rsidRDefault="007F275F" w:rsidP="007F275F">
            <w:pPr>
              <w:spacing w:line="240" w:lineRule="auto"/>
              <w:jc w:val="center"/>
              <w:rPr>
                <w:rFonts w:ascii="Times New Roman" w:eastAsia="Times New Roman" w:hAnsi="Times New Roman" w:cs="Times New Roman"/>
                <w:sz w:val="20"/>
                <w:szCs w:val="20"/>
                <w:highlight w:val="yellow"/>
                <w:lang w:val="en-US"/>
              </w:rPr>
            </w:pPr>
            <w:r w:rsidRPr="007F275F">
              <w:rPr>
                <w:rFonts w:ascii="Times New Roman" w:eastAsia="Times New Roman" w:hAnsi="Times New Roman" w:cs="Times New Roman"/>
                <w:color w:val="000000"/>
                <w:sz w:val="20"/>
                <w:szCs w:val="20"/>
                <w:highlight w:val="yellow"/>
                <w:lang w:val="en-US"/>
              </w:rPr>
              <w:t>129 patients (112 with identified SLNs).</w:t>
            </w:r>
          </w:p>
        </w:tc>
      </w:tr>
      <w:tr w:rsidR="007F275F" w:rsidRPr="008F293F" w14:paraId="3C10E429" w14:textId="77777777" w:rsidTr="007F275F">
        <w:trPr>
          <w:trHeight w:val="497"/>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6D5550B" w14:textId="6893CF8D" w:rsidR="007F275F" w:rsidRPr="007F275F" w:rsidRDefault="007F275F" w:rsidP="007F275F">
            <w:pPr>
              <w:spacing w:line="240" w:lineRule="auto"/>
              <w:jc w:val="center"/>
              <w:rPr>
                <w:rFonts w:ascii="Times New Roman" w:eastAsia="Times New Roman" w:hAnsi="Times New Roman" w:cs="Times New Roman"/>
                <w:sz w:val="20"/>
                <w:szCs w:val="20"/>
                <w:highlight w:val="yellow"/>
                <w:lang w:val="en-US"/>
              </w:rPr>
            </w:pPr>
            <w:r w:rsidRPr="007F275F">
              <w:rPr>
                <w:rFonts w:ascii="Times New Roman" w:eastAsia="Times New Roman" w:hAnsi="Times New Roman" w:cs="Times New Roman"/>
                <w:b/>
                <w:bCs/>
                <w:color w:val="000000"/>
                <w:sz w:val="20"/>
                <w:szCs w:val="20"/>
                <w:highlight w:val="yellow"/>
                <w:lang w:val="en-US"/>
              </w:rPr>
              <w:t>Kinami et al.</w:t>
            </w:r>
            <w:r w:rsidR="008F293F" w:rsidRPr="008F293F">
              <w:rPr>
                <w:rFonts w:ascii="Times New Roman" w:eastAsia="Times New Roman" w:hAnsi="Times New Roman" w:cs="Times New Roman"/>
                <w:b/>
                <w:bCs/>
                <w:color w:val="000000"/>
                <w:sz w:val="20"/>
                <w:szCs w:val="20"/>
                <w:highlight w:val="yellow"/>
                <w:lang w:val="en-US"/>
              </w:rPr>
              <w:t xml:space="preserve"> [38]</w:t>
            </w:r>
          </w:p>
        </w:tc>
        <w:tc>
          <w:tcPr>
            <w:tcW w:w="348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12C7C68" w14:textId="77777777" w:rsidR="007F275F" w:rsidRPr="007F275F" w:rsidRDefault="007F275F" w:rsidP="007F275F">
            <w:pPr>
              <w:spacing w:line="240" w:lineRule="auto"/>
              <w:jc w:val="center"/>
              <w:rPr>
                <w:rFonts w:ascii="Times New Roman" w:eastAsia="Times New Roman" w:hAnsi="Times New Roman" w:cs="Times New Roman"/>
                <w:sz w:val="20"/>
                <w:szCs w:val="20"/>
                <w:highlight w:val="yellow"/>
                <w:lang w:val="en-US"/>
              </w:rPr>
            </w:pPr>
            <w:r w:rsidRPr="007F275F">
              <w:rPr>
                <w:rFonts w:ascii="Times New Roman" w:eastAsia="Times New Roman" w:hAnsi="Times New Roman" w:cs="Times New Roman"/>
                <w:color w:val="000000"/>
                <w:sz w:val="20"/>
                <w:szCs w:val="20"/>
                <w:highlight w:val="yellow"/>
                <w:lang w:val="en-US"/>
              </w:rPr>
              <w:t>Retrospective cohort study using propensity score matching.</w:t>
            </w:r>
          </w:p>
        </w:tc>
        <w:tc>
          <w:tcPr>
            <w:tcW w:w="24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2AD93E5" w14:textId="77777777" w:rsidR="007F275F" w:rsidRPr="007F275F" w:rsidRDefault="007F275F" w:rsidP="007F275F">
            <w:pPr>
              <w:spacing w:line="240" w:lineRule="auto"/>
              <w:jc w:val="center"/>
              <w:rPr>
                <w:rFonts w:ascii="Times New Roman" w:eastAsia="Times New Roman" w:hAnsi="Times New Roman" w:cs="Times New Roman"/>
                <w:sz w:val="20"/>
                <w:szCs w:val="20"/>
                <w:highlight w:val="yellow"/>
                <w:lang w:val="en-US"/>
              </w:rPr>
            </w:pPr>
            <w:r w:rsidRPr="007F275F">
              <w:rPr>
                <w:rFonts w:ascii="Times New Roman" w:eastAsia="Times New Roman" w:hAnsi="Times New Roman" w:cs="Times New Roman"/>
                <w:color w:val="000000"/>
                <w:sz w:val="20"/>
                <w:szCs w:val="20"/>
                <w:highlight w:val="yellow"/>
                <w:lang w:val="en-US"/>
              </w:rPr>
              <w:t>239 (SNNS group) vs. 423 (Control group).</w:t>
            </w:r>
          </w:p>
        </w:tc>
      </w:tr>
      <w:tr w:rsidR="007F275F" w:rsidRPr="008F293F" w14:paraId="6CBFDD8F" w14:textId="77777777" w:rsidTr="007F275F">
        <w:trPr>
          <w:trHeight w:val="497"/>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F0DC94A" w14:textId="450CE45A" w:rsidR="007F275F" w:rsidRPr="007F275F" w:rsidRDefault="007F275F" w:rsidP="007F275F">
            <w:pPr>
              <w:spacing w:line="240" w:lineRule="auto"/>
              <w:jc w:val="center"/>
              <w:rPr>
                <w:rFonts w:ascii="Times New Roman" w:eastAsia="Times New Roman" w:hAnsi="Times New Roman" w:cs="Times New Roman"/>
                <w:sz w:val="20"/>
                <w:szCs w:val="20"/>
                <w:highlight w:val="yellow"/>
                <w:lang w:val="en-US"/>
              </w:rPr>
            </w:pPr>
            <w:r w:rsidRPr="007F275F">
              <w:rPr>
                <w:rFonts w:ascii="Times New Roman" w:eastAsia="Times New Roman" w:hAnsi="Times New Roman" w:cs="Times New Roman"/>
                <w:b/>
                <w:bCs/>
                <w:color w:val="000000"/>
                <w:sz w:val="20"/>
                <w:szCs w:val="20"/>
                <w:highlight w:val="yellow"/>
                <w:lang w:val="en-US"/>
              </w:rPr>
              <w:t>Oh et al.</w:t>
            </w:r>
            <w:r w:rsidR="008F293F" w:rsidRPr="008F293F">
              <w:rPr>
                <w:rFonts w:ascii="Times New Roman" w:eastAsia="Times New Roman" w:hAnsi="Times New Roman" w:cs="Times New Roman"/>
                <w:b/>
                <w:bCs/>
                <w:color w:val="000000"/>
                <w:sz w:val="20"/>
                <w:szCs w:val="20"/>
                <w:highlight w:val="yellow"/>
                <w:lang w:val="en-US"/>
              </w:rPr>
              <w:t xml:space="preserve"> [39]</w:t>
            </w:r>
          </w:p>
        </w:tc>
        <w:tc>
          <w:tcPr>
            <w:tcW w:w="348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EF01843" w14:textId="77777777" w:rsidR="007F275F" w:rsidRPr="007F275F" w:rsidRDefault="007F275F" w:rsidP="007F275F">
            <w:pPr>
              <w:spacing w:line="240" w:lineRule="auto"/>
              <w:jc w:val="center"/>
              <w:rPr>
                <w:rFonts w:ascii="Times New Roman" w:eastAsia="Times New Roman" w:hAnsi="Times New Roman" w:cs="Times New Roman"/>
                <w:sz w:val="20"/>
                <w:szCs w:val="20"/>
                <w:highlight w:val="yellow"/>
                <w:lang w:val="en-US"/>
              </w:rPr>
            </w:pPr>
            <w:r w:rsidRPr="007F275F">
              <w:rPr>
                <w:rFonts w:ascii="Times New Roman" w:eastAsia="Times New Roman" w:hAnsi="Times New Roman" w:cs="Times New Roman"/>
                <w:color w:val="000000"/>
                <w:sz w:val="20"/>
                <w:szCs w:val="20"/>
                <w:highlight w:val="yellow"/>
                <w:lang w:val="en-US"/>
              </w:rPr>
              <w:t>Pilot study analyzing data from the prospective SENORITA RCT.</w:t>
            </w:r>
          </w:p>
        </w:tc>
        <w:tc>
          <w:tcPr>
            <w:tcW w:w="24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BDFB042" w14:textId="77777777" w:rsidR="007F275F" w:rsidRPr="007F275F" w:rsidRDefault="007F275F" w:rsidP="007F275F">
            <w:pPr>
              <w:spacing w:line="240" w:lineRule="auto"/>
              <w:jc w:val="center"/>
              <w:rPr>
                <w:rFonts w:ascii="Times New Roman" w:eastAsia="Times New Roman" w:hAnsi="Times New Roman" w:cs="Times New Roman"/>
                <w:sz w:val="20"/>
                <w:szCs w:val="20"/>
                <w:highlight w:val="yellow"/>
                <w:lang w:val="en-US"/>
              </w:rPr>
            </w:pPr>
            <w:r w:rsidRPr="007F275F">
              <w:rPr>
                <w:rFonts w:ascii="Times New Roman" w:eastAsia="Times New Roman" w:hAnsi="Times New Roman" w:cs="Times New Roman"/>
                <w:color w:val="000000"/>
                <w:sz w:val="20"/>
                <w:szCs w:val="20"/>
                <w:highlight w:val="yellow"/>
                <w:lang w:val="en-US"/>
              </w:rPr>
              <w:t>25 patients.</w:t>
            </w:r>
          </w:p>
        </w:tc>
      </w:tr>
      <w:tr w:rsidR="007F275F" w:rsidRPr="008F293F" w14:paraId="6C4446ED" w14:textId="77777777" w:rsidTr="007F275F">
        <w:trPr>
          <w:trHeight w:val="51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7A398BC" w14:textId="43062EC9" w:rsidR="007F275F" w:rsidRPr="007F275F" w:rsidRDefault="007F275F" w:rsidP="007F275F">
            <w:pPr>
              <w:spacing w:line="240" w:lineRule="auto"/>
              <w:jc w:val="center"/>
              <w:rPr>
                <w:rFonts w:ascii="Times New Roman" w:eastAsia="Times New Roman" w:hAnsi="Times New Roman" w:cs="Times New Roman"/>
                <w:sz w:val="20"/>
                <w:szCs w:val="20"/>
                <w:highlight w:val="yellow"/>
                <w:lang w:val="en-US"/>
              </w:rPr>
            </w:pPr>
            <w:r w:rsidRPr="007F275F">
              <w:rPr>
                <w:rFonts w:ascii="Times New Roman" w:eastAsia="Times New Roman" w:hAnsi="Times New Roman" w:cs="Times New Roman"/>
                <w:b/>
                <w:bCs/>
                <w:color w:val="000000"/>
                <w:sz w:val="20"/>
                <w:szCs w:val="20"/>
                <w:highlight w:val="yellow"/>
                <w:lang w:val="en-US"/>
              </w:rPr>
              <w:t>Park et al. (Post hoc SENORITA)</w:t>
            </w:r>
            <w:r w:rsidR="008F293F" w:rsidRPr="008F293F">
              <w:rPr>
                <w:rFonts w:ascii="Times New Roman" w:eastAsia="Times New Roman" w:hAnsi="Times New Roman" w:cs="Times New Roman"/>
                <w:b/>
                <w:bCs/>
                <w:color w:val="000000"/>
                <w:sz w:val="20"/>
                <w:szCs w:val="20"/>
                <w:highlight w:val="yellow"/>
                <w:lang w:val="en-US"/>
              </w:rPr>
              <w:t xml:space="preserve"> [37]</w:t>
            </w:r>
          </w:p>
        </w:tc>
        <w:tc>
          <w:tcPr>
            <w:tcW w:w="348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A27196B" w14:textId="77777777" w:rsidR="007F275F" w:rsidRPr="007F275F" w:rsidRDefault="007F275F" w:rsidP="007F275F">
            <w:pPr>
              <w:spacing w:line="240" w:lineRule="auto"/>
              <w:jc w:val="center"/>
              <w:rPr>
                <w:rFonts w:ascii="Times New Roman" w:eastAsia="Times New Roman" w:hAnsi="Times New Roman" w:cs="Times New Roman"/>
                <w:sz w:val="20"/>
                <w:szCs w:val="20"/>
                <w:highlight w:val="yellow"/>
                <w:lang w:val="en-US"/>
              </w:rPr>
            </w:pPr>
            <w:r w:rsidRPr="007F275F">
              <w:rPr>
                <w:rFonts w:ascii="Times New Roman" w:eastAsia="Times New Roman" w:hAnsi="Times New Roman" w:cs="Times New Roman"/>
                <w:color w:val="000000"/>
                <w:sz w:val="20"/>
                <w:szCs w:val="20"/>
                <w:highlight w:val="yellow"/>
                <w:lang w:val="en-US"/>
              </w:rPr>
              <w:t>Post hoc analysis of the multicenter SENORITA randomized controlled trial.</w:t>
            </w:r>
          </w:p>
        </w:tc>
        <w:tc>
          <w:tcPr>
            <w:tcW w:w="24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90715C2" w14:textId="77777777" w:rsidR="007F275F" w:rsidRPr="007F275F" w:rsidRDefault="007F275F" w:rsidP="007F275F">
            <w:pPr>
              <w:spacing w:line="240" w:lineRule="auto"/>
              <w:jc w:val="center"/>
              <w:rPr>
                <w:rFonts w:ascii="Times New Roman" w:eastAsia="Times New Roman" w:hAnsi="Times New Roman" w:cs="Times New Roman"/>
                <w:sz w:val="20"/>
                <w:szCs w:val="20"/>
                <w:highlight w:val="yellow"/>
                <w:lang w:val="en-US"/>
              </w:rPr>
            </w:pPr>
            <w:r w:rsidRPr="007F275F">
              <w:rPr>
                <w:rFonts w:ascii="Times New Roman" w:eastAsia="Times New Roman" w:hAnsi="Times New Roman" w:cs="Times New Roman"/>
                <w:color w:val="000000"/>
                <w:sz w:val="20"/>
                <w:szCs w:val="20"/>
                <w:highlight w:val="yellow"/>
                <w:lang w:val="en-US"/>
              </w:rPr>
              <w:t>237 patients.</w:t>
            </w:r>
          </w:p>
        </w:tc>
      </w:tr>
      <w:tr w:rsidR="007F275F" w:rsidRPr="007F275F" w14:paraId="15CDD7B5" w14:textId="77777777" w:rsidTr="007F275F">
        <w:trPr>
          <w:trHeight w:val="317"/>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261E378" w14:textId="4FCE21A7" w:rsidR="007F275F" w:rsidRPr="007F275F" w:rsidRDefault="007F275F" w:rsidP="007F275F">
            <w:pPr>
              <w:spacing w:line="240" w:lineRule="auto"/>
              <w:jc w:val="center"/>
              <w:rPr>
                <w:rFonts w:ascii="Times New Roman" w:eastAsia="Times New Roman" w:hAnsi="Times New Roman" w:cs="Times New Roman"/>
                <w:sz w:val="20"/>
                <w:szCs w:val="20"/>
                <w:highlight w:val="yellow"/>
                <w:lang w:val="en-US"/>
              </w:rPr>
            </w:pPr>
            <w:r w:rsidRPr="007F275F">
              <w:rPr>
                <w:rFonts w:ascii="Times New Roman" w:eastAsia="Times New Roman" w:hAnsi="Times New Roman" w:cs="Times New Roman"/>
                <w:b/>
                <w:bCs/>
                <w:color w:val="000000"/>
                <w:sz w:val="20"/>
                <w:szCs w:val="20"/>
                <w:highlight w:val="yellow"/>
                <w:lang w:val="en-US"/>
              </w:rPr>
              <w:t>Varga et al.</w:t>
            </w:r>
            <w:r w:rsidR="008F293F" w:rsidRPr="008F293F">
              <w:rPr>
                <w:rFonts w:ascii="Times New Roman" w:eastAsia="Times New Roman" w:hAnsi="Times New Roman" w:cs="Times New Roman"/>
                <w:b/>
                <w:bCs/>
                <w:color w:val="000000"/>
                <w:sz w:val="20"/>
                <w:szCs w:val="20"/>
                <w:highlight w:val="yellow"/>
                <w:lang w:val="en-US"/>
              </w:rPr>
              <w:t xml:space="preserve"> [40]</w:t>
            </w:r>
          </w:p>
        </w:tc>
        <w:tc>
          <w:tcPr>
            <w:tcW w:w="348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0601F53" w14:textId="77777777" w:rsidR="007F275F" w:rsidRPr="007F275F" w:rsidRDefault="007F275F" w:rsidP="007F275F">
            <w:pPr>
              <w:spacing w:line="240" w:lineRule="auto"/>
              <w:jc w:val="center"/>
              <w:rPr>
                <w:rFonts w:ascii="Times New Roman" w:eastAsia="Times New Roman" w:hAnsi="Times New Roman" w:cs="Times New Roman"/>
                <w:sz w:val="20"/>
                <w:szCs w:val="20"/>
                <w:highlight w:val="yellow"/>
                <w:lang w:val="en-US"/>
              </w:rPr>
            </w:pPr>
            <w:r w:rsidRPr="007F275F">
              <w:rPr>
                <w:rFonts w:ascii="Times New Roman" w:eastAsia="Times New Roman" w:hAnsi="Times New Roman" w:cs="Times New Roman"/>
                <w:color w:val="000000"/>
                <w:sz w:val="20"/>
                <w:szCs w:val="20"/>
                <w:highlight w:val="yellow"/>
                <w:lang w:val="en-US"/>
              </w:rPr>
              <w:t>Prospective data collection study.</w:t>
            </w:r>
          </w:p>
        </w:tc>
        <w:tc>
          <w:tcPr>
            <w:tcW w:w="24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29E9DDA" w14:textId="1E4FB1DC" w:rsidR="007F275F" w:rsidRPr="007F275F" w:rsidRDefault="007F275F" w:rsidP="007F275F">
            <w:pPr>
              <w:spacing w:line="240" w:lineRule="auto"/>
              <w:jc w:val="center"/>
              <w:rPr>
                <w:rFonts w:ascii="Times New Roman" w:eastAsia="Times New Roman" w:hAnsi="Times New Roman" w:cs="Times New Roman"/>
                <w:sz w:val="20"/>
                <w:szCs w:val="20"/>
                <w:lang w:val="en-US"/>
              </w:rPr>
            </w:pPr>
            <w:r w:rsidRPr="007F275F">
              <w:rPr>
                <w:rFonts w:ascii="Times New Roman" w:eastAsia="Times New Roman" w:hAnsi="Times New Roman" w:cs="Times New Roman"/>
                <w:color w:val="000000"/>
                <w:sz w:val="20"/>
                <w:szCs w:val="20"/>
                <w:highlight w:val="yellow"/>
                <w:lang w:val="en-US"/>
              </w:rPr>
              <w:t>100 patients.</w:t>
            </w:r>
          </w:p>
        </w:tc>
      </w:tr>
    </w:tbl>
    <w:p w14:paraId="50898B11" w14:textId="77777777" w:rsidR="007F275F" w:rsidRDefault="007F275F">
      <w:pPr>
        <w:spacing w:line="240" w:lineRule="auto"/>
        <w:jc w:val="both"/>
        <w:rPr>
          <w:rFonts w:ascii="Times New Roman" w:eastAsia="Times New Roman" w:hAnsi="Times New Roman" w:cs="Times New Roman"/>
          <w:sz w:val="24"/>
          <w:szCs w:val="24"/>
        </w:rPr>
      </w:pPr>
    </w:p>
    <w:p w14:paraId="59EA0A8C" w14:textId="77777777" w:rsidR="007F275F" w:rsidRDefault="007F275F">
      <w:pPr>
        <w:spacing w:line="240" w:lineRule="auto"/>
        <w:jc w:val="both"/>
        <w:rPr>
          <w:rFonts w:ascii="Times New Roman" w:eastAsia="Times New Roman" w:hAnsi="Times New Roman" w:cs="Times New Roman"/>
          <w:sz w:val="24"/>
          <w:szCs w:val="24"/>
        </w:rPr>
      </w:pPr>
    </w:p>
    <w:p w14:paraId="23D03265" w14:textId="77777777" w:rsidR="00C856F9" w:rsidRDefault="00C856F9">
      <w:pPr>
        <w:spacing w:line="240" w:lineRule="auto"/>
        <w:jc w:val="both"/>
        <w:rPr>
          <w:rFonts w:ascii="Times New Roman" w:eastAsia="Times New Roman" w:hAnsi="Times New Roman" w:cs="Times New Roman"/>
          <w:sz w:val="24"/>
          <w:szCs w:val="24"/>
        </w:rPr>
      </w:pPr>
    </w:p>
    <w:p w14:paraId="052A0485" w14:textId="247BFD02" w:rsidR="00C856F9" w:rsidRPr="00855CF0" w:rsidRDefault="00BD600B">
      <w:pPr>
        <w:spacing w:line="240" w:lineRule="auto"/>
        <w:jc w:val="both"/>
        <w:rPr>
          <w:rFonts w:ascii="Times New Roman" w:eastAsia="Times New Roman" w:hAnsi="Times New Roman" w:cs="Times New Roman"/>
          <w:b/>
          <w:bCs/>
          <w:sz w:val="30"/>
          <w:szCs w:val="30"/>
          <w:highlight w:val="yellow"/>
        </w:rPr>
      </w:pPr>
      <w:r w:rsidRPr="00855CF0">
        <w:rPr>
          <w:rFonts w:ascii="Times New Roman" w:eastAsia="Times New Roman" w:hAnsi="Times New Roman" w:cs="Times New Roman"/>
          <w:b/>
          <w:bCs/>
          <w:sz w:val="30"/>
          <w:szCs w:val="30"/>
          <w:highlight w:val="yellow"/>
        </w:rPr>
        <w:t>OBJECTIVES</w:t>
      </w:r>
    </w:p>
    <w:p w14:paraId="51D02074" w14:textId="77777777" w:rsidR="00BD600B" w:rsidRPr="00855CF0" w:rsidRDefault="00BD600B">
      <w:pPr>
        <w:spacing w:line="240" w:lineRule="auto"/>
        <w:jc w:val="both"/>
        <w:rPr>
          <w:rFonts w:ascii="Times New Roman" w:eastAsia="Times New Roman" w:hAnsi="Times New Roman" w:cs="Times New Roman"/>
          <w:sz w:val="24"/>
          <w:szCs w:val="24"/>
          <w:highlight w:val="yellow"/>
        </w:rPr>
      </w:pPr>
    </w:p>
    <w:p w14:paraId="38C79D86" w14:textId="61789D50" w:rsidR="00BD600B" w:rsidRPr="00006C46" w:rsidRDefault="00006C46">
      <w:pPr>
        <w:spacing w:line="240" w:lineRule="auto"/>
        <w:jc w:val="both"/>
        <w:rPr>
          <w:rFonts w:ascii="Times New Roman" w:eastAsia="Times New Roman" w:hAnsi="Times New Roman" w:cs="Times New Roman"/>
          <w:sz w:val="24"/>
          <w:szCs w:val="24"/>
        </w:rPr>
      </w:pPr>
      <w:r w:rsidRPr="00855CF0">
        <w:rPr>
          <w:rStyle w:val="ng-star-inserted"/>
          <w:rFonts w:ascii="Times New Roman" w:hAnsi="Times New Roman" w:cs="Times New Roman"/>
          <w:color w:val="303030"/>
          <w:sz w:val="24"/>
          <w:szCs w:val="24"/>
          <w:highlight w:val="yellow"/>
          <w:shd w:val="clear" w:color="auto" w:fill="FFFFFF"/>
        </w:rPr>
        <w:t xml:space="preserve">The objective of this review was to evaluate and compare two emerging lymphadenectomy strategies for EGC - </w:t>
      </w:r>
      <w:r w:rsidRPr="00855CF0">
        <w:rPr>
          <w:rFonts w:ascii="Times New Roman" w:hAnsi="Times New Roman" w:cs="Times New Roman"/>
          <w:color w:val="303030"/>
          <w:sz w:val="24"/>
          <w:szCs w:val="24"/>
          <w:highlight w:val="yellow"/>
          <w:shd w:val="clear" w:color="auto" w:fill="FFFFFF"/>
        </w:rPr>
        <w:t>SNNS</w:t>
      </w:r>
      <w:r w:rsidRPr="00855CF0">
        <w:rPr>
          <w:rStyle w:val="ng-star-inserted"/>
          <w:rFonts w:ascii="Times New Roman" w:hAnsi="Times New Roman" w:cs="Times New Roman"/>
          <w:color w:val="303030"/>
          <w:sz w:val="24"/>
          <w:szCs w:val="24"/>
          <w:highlight w:val="yellow"/>
          <w:shd w:val="clear" w:color="auto" w:fill="FFFFFF"/>
        </w:rPr>
        <w:t xml:space="preserve"> and </w:t>
      </w:r>
      <w:r w:rsidRPr="00855CF0">
        <w:rPr>
          <w:rFonts w:ascii="Times New Roman" w:hAnsi="Times New Roman" w:cs="Times New Roman"/>
          <w:color w:val="303030"/>
          <w:sz w:val="24"/>
          <w:szCs w:val="24"/>
          <w:highlight w:val="yellow"/>
          <w:shd w:val="clear" w:color="auto" w:fill="FFFFFF"/>
        </w:rPr>
        <w:t>RL</w:t>
      </w:r>
      <w:r w:rsidRPr="00855CF0">
        <w:rPr>
          <w:rStyle w:val="ng-star-inserted"/>
          <w:rFonts w:ascii="Times New Roman" w:hAnsi="Times New Roman" w:cs="Times New Roman"/>
          <w:color w:val="303030"/>
          <w:sz w:val="24"/>
          <w:szCs w:val="24"/>
          <w:highlight w:val="yellow"/>
          <w:shd w:val="clear" w:color="auto" w:fill="FFFFFF"/>
        </w:rPr>
        <w:t>. While standard gastrectomy with D1/D2 dissection ensures oncological excellence, it often leads to "post-gastrectomy syndromes" like anemia and dumping syndrome, which significantly impair patient quality of life. Given that nodal metastasis occurs in only 10</w:t>
      </w:r>
      <w:r w:rsidR="00855CF0" w:rsidRPr="00855CF0">
        <w:rPr>
          <w:rStyle w:val="ng-star-inserted"/>
          <w:rFonts w:ascii="Times New Roman" w:hAnsi="Times New Roman" w:cs="Times New Roman"/>
          <w:color w:val="303030"/>
          <w:sz w:val="24"/>
          <w:szCs w:val="24"/>
          <w:highlight w:val="yellow"/>
          <w:shd w:val="clear" w:color="auto" w:fill="FFFFFF"/>
        </w:rPr>
        <w:t>-</w:t>
      </w:r>
      <w:r w:rsidRPr="00855CF0">
        <w:rPr>
          <w:rStyle w:val="ng-star-inserted"/>
          <w:rFonts w:ascii="Times New Roman" w:hAnsi="Times New Roman" w:cs="Times New Roman"/>
          <w:color w:val="303030"/>
          <w:sz w:val="24"/>
          <w:szCs w:val="24"/>
          <w:highlight w:val="yellow"/>
          <w:shd w:val="clear" w:color="auto" w:fill="FFFFFF"/>
        </w:rPr>
        <w:t>20% of EGC cases, this review investigate</w:t>
      </w:r>
      <w:r w:rsidR="00855CF0" w:rsidRPr="00855CF0">
        <w:rPr>
          <w:rStyle w:val="ng-star-inserted"/>
          <w:rFonts w:ascii="Times New Roman" w:hAnsi="Times New Roman" w:cs="Times New Roman"/>
          <w:color w:val="303030"/>
          <w:sz w:val="24"/>
          <w:szCs w:val="24"/>
          <w:highlight w:val="yellow"/>
          <w:shd w:val="clear" w:color="auto" w:fill="FFFFFF"/>
        </w:rPr>
        <w:t>d</w:t>
      </w:r>
      <w:r w:rsidRPr="00855CF0">
        <w:rPr>
          <w:rStyle w:val="ng-star-inserted"/>
          <w:rFonts w:ascii="Times New Roman" w:hAnsi="Times New Roman" w:cs="Times New Roman"/>
          <w:color w:val="303030"/>
          <w:sz w:val="24"/>
          <w:szCs w:val="24"/>
          <w:highlight w:val="yellow"/>
          <w:shd w:val="clear" w:color="auto" w:fill="FFFFFF"/>
        </w:rPr>
        <w:t xml:space="preserve"> if limited lymphadenectomy </w:t>
      </w:r>
      <w:r w:rsidR="00855CF0" w:rsidRPr="00855CF0">
        <w:rPr>
          <w:rStyle w:val="ng-star-inserted"/>
          <w:rFonts w:ascii="Times New Roman" w:hAnsi="Times New Roman" w:cs="Times New Roman"/>
          <w:color w:val="303030"/>
          <w:sz w:val="24"/>
          <w:szCs w:val="24"/>
          <w:highlight w:val="yellow"/>
          <w:shd w:val="clear" w:color="auto" w:fill="FFFFFF"/>
        </w:rPr>
        <w:t>could</w:t>
      </w:r>
      <w:r w:rsidRPr="00855CF0">
        <w:rPr>
          <w:rStyle w:val="ng-star-inserted"/>
          <w:rFonts w:ascii="Times New Roman" w:hAnsi="Times New Roman" w:cs="Times New Roman"/>
          <w:color w:val="303030"/>
          <w:sz w:val="24"/>
          <w:szCs w:val="24"/>
          <w:highlight w:val="yellow"/>
          <w:shd w:val="clear" w:color="auto" w:fill="FFFFFF"/>
        </w:rPr>
        <w:t xml:space="preserve"> maintain oncological non-inferiority while enabling function-preserving surgery. Key objectives included analyzing the diagnostic performance, specifically sensitivity, negative predictive values (NPV), and false-negative rates (FNR), of both SNNS and RL, while addressing the critical risk of skip metastasis. The review further examined how tumor characteristics, such as lymphovascular invasion and pathological T-stage, alongside cohort demographics, affect the reliability of these techniques. Additionally, it explored logistical challenges, comparing tracer dependent SNNS with anatomically fixed RL to determine clinical feasibility. Finally, the review considered strategies for procedural enhancement, such as integrating the </w:t>
      </w:r>
      <w:r w:rsidR="00855CF0" w:rsidRPr="00855CF0">
        <w:rPr>
          <w:rStyle w:val="ng-star-inserted"/>
          <w:rFonts w:ascii="Times New Roman" w:hAnsi="Times New Roman" w:cs="Times New Roman"/>
          <w:color w:val="303030"/>
          <w:sz w:val="24"/>
          <w:szCs w:val="24"/>
          <w:highlight w:val="yellow"/>
          <w:shd w:val="clear" w:color="auto" w:fill="FFFFFF"/>
        </w:rPr>
        <w:t>“</w:t>
      </w:r>
      <w:r w:rsidRPr="00855CF0">
        <w:rPr>
          <w:rStyle w:val="ng-star-inserted"/>
          <w:rFonts w:ascii="Times New Roman" w:hAnsi="Times New Roman" w:cs="Times New Roman"/>
          <w:color w:val="303030"/>
          <w:sz w:val="24"/>
          <w:szCs w:val="24"/>
          <w:highlight w:val="yellow"/>
          <w:shd w:val="clear" w:color="auto" w:fill="FFFFFF"/>
        </w:rPr>
        <w:t>Maruyama Computer Program</w:t>
      </w:r>
      <w:r w:rsidR="00855CF0" w:rsidRPr="00855CF0">
        <w:rPr>
          <w:rStyle w:val="ng-star-inserted"/>
          <w:rFonts w:ascii="Times New Roman" w:hAnsi="Times New Roman" w:cs="Times New Roman"/>
          <w:color w:val="303030"/>
          <w:sz w:val="24"/>
          <w:szCs w:val="24"/>
          <w:highlight w:val="yellow"/>
          <w:shd w:val="clear" w:color="auto" w:fill="FFFFFF"/>
        </w:rPr>
        <w:t>”</w:t>
      </w:r>
      <w:r w:rsidRPr="00855CF0">
        <w:rPr>
          <w:rStyle w:val="ng-star-inserted"/>
          <w:rFonts w:ascii="Times New Roman" w:hAnsi="Times New Roman" w:cs="Times New Roman"/>
          <w:color w:val="303030"/>
          <w:sz w:val="24"/>
          <w:szCs w:val="24"/>
          <w:highlight w:val="yellow"/>
          <w:shd w:val="clear" w:color="auto" w:fill="FFFFFF"/>
        </w:rPr>
        <w:t xml:space="preserve"> (MCP), to facilitate a more tailored surgical approach.</w:t>
      </w:r>
    </w:p>
    <w:p w14:paraId="70D1F231" w14:textId="77777777" w:rsidR="00BD600B" w:rsidRDefault="00BD600B">
      <w:pPr>
        <w:spacing w:line="240" w:lineRule="auto"/>
        <w:jc w:val="both"/>
        <w:rPr>
          <w:rFonts w:ascii="Times New Roman" w:eastAsia="Times New Roman" w:hAnsi="Times New Roman" w:cs="Times New Roman"/>
          <w:sz w:val="24"/>
          <w:szCs w:val="24"/>
        </w:rPr>
      </w:pPr>
    </w:p>
    <w:p w14:paraId="37FC12CC" w14:textId="77777777" w:rsidR="00C856F9" w:rsidRDefault="004E2CB7" w:rsidP="00855CF0">
      <w:pPr>
        <w:spacing w:before="240" w:line="240" w:lineRule="auto"/>
        <w:jc w:val="both"/>
        <w:rPr>
          <w:rFonts w:ascii="Times New Roman" w:eastAsia="Times New Roman" w:hAnsi="Times New Roman" w:cs="Times New Roman"/>
          <w:b/>
          <w:bCs/>
          <w:sz w:val="30"/>
          <w:szCs w:val="30"/>
        </w:rPr>
      </w:pPr>
      <w:r>
        <w:rPr>
          <w:rFonts w:ascii="Times New Roman" w:eastAsia="Times New Roman" w:hAnsi="Times New Roman" w:cs="Times New Roman"/>
          <w:b/>
          <w:bCs/>
          <w:sz w:val="30"/>
          <w:szCs w:val="30"/>
        </w:rPr>
        <w:t>RESULT</w:t>
      </w:r>
    </w:p>
    <w:p w14:paraId="5C69E397" w14:textId="77777777" w:rsidR="00C856F9" w:rsidRDefault="004E2CB7">
      <w:pPr>
        <w:spacing w:before="20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Comparison of Diagnostic Accuracy</w:t>
      </w:r>
    </w:p>
    <w:p w14:paraId="654CFCA2" w14:textId="653126CF" w:rsidR="00C856F9" w:rsidRDefault="004E2CB7">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Park et al evaluated the RL concept as an alternative to SNNS in a post hoc analysis of the SENORITA trial [37]. The established dataset of the trial was used. Feasibility and safety of the RL approach were analysed. The SENORITA trial included 237 patients with EGC. Two distinct concepts to manage lymph node metastasis in EGC were compared in the post hoc analysis - SNNS and RL. In RL, a regional area was decided before surgery. Based on the location of the primary gastric tumor, the anatomically closest group of nodes were identified and designated as regional nodes. For all LC primary, regional stations included station 3. Lower third gastric tumors along the GC mandated removal of station 4d and 6. Similarly, for lower third and anterior/posterior wall primary, station 3, 4d and 6 were included. In the SNNS analysis, lymph node metastasis was classified as - within the sentinel basin or non-sentinel basins. For RL, it was classified as within regional node stations or non-regional stations. Thus, the feasibility and oncological safety of the RL approach was critically evaluated and compared with SNNS [37].</w:t>
      </w:r>
    </w:p>
    <w:p w14:paraId="5584B874" w14:textId="21CDB873" w:rsidR="00C856F9" w:rsidRDefault="004E2CB7">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post hoc analysis of the SENORITA trial demonstrated clear superiority of SNNS over the RL approach in terms of diagnostic performance in terms of sensitivity (96.8% vs. 80.6%; p=0.016), FNR (3.2% vs. 19.4%; p=0.016) and NPV (99.5% vs. 97.2%; p=0.021).</w:t>
      </w:r>
    </w:p>
    <w:p w14:paraId="3D7A6A4C" w14:textId="59F00E71" w:rsidR="008F293F" w:rsidRPr="008F293F" w:rsidRDefault="008F293F">
      <w:pPr>
        <w:spacing w:before="200" w:line="240" w:lineRule="auto"/>
        <w:jc w:val="both"/>
        <w:rPr>
          <w:rFonts w:ascii="Times New Roman" w:eastAsia="Times New Roman" w:hAnsi="Times New Roman" w:cs="Times New Roman"/>
          <w:sz w:val="24"/>
          <w:szCs w:val="24"/>
          <w:highlight w:val="yellow"/>
        </w:rPr>
      </w:pPr>
      <w:r w:rsidRPr="008F293F">
        <w:rPr>
          <w:rFonts w:ascii="Times New Roman" w:eastAsia="Times New Roman" w:hAnsi="Times New Roman" w:cs="Times New Roman"/>
          <w:sz w:val="24"/>
          <w:szCs w:val="24"/>
          <w:highlight w:val="yellow"/>
        </w:rPr>
        <w:t>Table 3. Structured Comparison of Diagnostic Metrics</w:t>
      </w:r>
    </w:p>
    <w:tbl>
      <w:tblPr>
        <w:tblW w:w="9082" w:type="dxa"/>
        <w:tblCellMar>
          <w:top w:w="15" w:type="dxa"/>
          <w:left w:w="15" w:type="dxa"/>
          <w:bottom w:w="15" w:type="dxa"/>
          <w:right w:w="15" w:type="dxa"/>
        </w:tblCellMar>
        <w:tblLook w:val="04A0" w:firstRow="1" w:lastRow="0" w:firstColumn="1" w:lastColumn="0" w:noHBand="0" w:noVBand="1"/>
      </w:tblPr>
      <w:tblGrid>
        <w:gridCol w:w="3232"/>
        <w:gridCol w:w="1710"/>
        <w:gridCol w:w="1800"/>
        <w:gridCol w:w="2340"/>
      </w:tblGrid>
      <w:tr w:rsidR="008F293F" w:rsidRPr="008F293F" w14:paraId="712575B1" w14:textId="77777777" w:rsidTr="008F293F">
        <w:trPr>
          <w:trHeight w:val="290"/>
        </w:trPr>
        <w:tc>
          <w:tcPr>
            <w:tcW w:w="3232" w:type="dxa"/>
            <w:tcBorders>
              <w:top w:val="single" w:sz="6" w:space="0" w:color="303030"/>
              <w:left w:val="single" w:sz="6" w:space="0" w:color="303030"/>
              <w:bottom w:val="single" w:sz="6" w:space="0" w:color="303030"/>
              <w:right w:val="single" w:sz="6" w:space="0" w:color="303030"/>
            </w:tcBorders>
            <w:shd w:val="clear" w:color="auto" w:fill="FFFFFF"/>
            <w:tcMar>
              <w:top w:w="100" w:type="dxa"/>
              <w:left w:w="100" w:type="dxa"/>
              <w:bottom w:w="100" w:type="dxa"/>
              <w:right w:w="100" w:type="dxa"/>
            </w:tcMar>
            <w:hideMark/>
          </w:tcPr>
          <w:p w14:paraId="3A2412C6" w14:textId="77777777" w:rsidR="008F293F" w:rsidRPr="008F293F" w:rsidRDefault="008F293F" w:rsidP="008F293F">
            <w:pPr>
              <w:spacing w:line="240" w:lineRule="auto"/>
              <w:jc w:val="center"/>
              <w:rPr>
                <w:rFonts w:ascii="Times New Roman" w:eastAsia="Times New Roman" w:hAnsi="Times New Roman" w:cs="Times New Roman"/>
                <w:sz w:val="20"/>
                <w:szCs w:val="20"/>
                <w:highlight w:val="yellow"/>
                <w:lang w:val="en-US"/>
              </w:rPr>
            </w:pPr>
            <w:r w:rsidRPr="008F293F">
              <w:rPr>
                <w:rFonts w:ascii="Times New Roman" w:eastAsia="Times New Roman" w:hAnsi="Times New Roman" w:cs="Times New Roman"/>
                <w:b/>
                <w:bCs/>
                <w:color w:val="000000"/>
                <w:sz w:val="20"/>
                <w:szCs w:val="20"/>
                <w:highlight w:val="yellow"/>
                <w:lang w:val="en-US"/>
              </w:rPr>
              <w:t>Strategy</w:t>
            </w:r>
          </w:p>
        </w:tc>
        <w:tc>
          <w:tcPr>
            <w:tcW w:w="1710" w:type="dxa"/>
            <w:tcBorders>
              <w:top w:val="single" w:sz="6" w:space="0" w:color="303030"/>
              <w:left w:val="single" w:sz="6" w:space="0" w:color="303030"/>
              <w:bottom w:val="single" w:sz="6" w:space="0" w:color="303030"/>
              <w:right w:val="single" w:sz="6" w:space="0" w:color="303030"/>
            </w:tcBorders>
            <w:shd w:val="clear" w:color="auto" w:fill="FFFFFF"/>
            <w:tcMar>
              <w:top w:w="100" w:type="dxa"/>
              <w:left w:w="100" w:type="dxa"/>
              <w:bottom w:w="100" w:type="dxa"/>
              <w:right w:w="100" w:type="dxa"/>
            </w:tcMar>
            <w:hideMark/>
          </w:tcPr>
          <w:p w14:paraId="14F0F94B" w14:textId="77777777" w:rsidR="008F293F" w:rsidRPr="008F293F" w:rsidRDefault="008F293F" w:rsidP="008F293F">
            <w:pPr>
              <w:spacing w:line="240" w:lineRule="auto"/>
              <w:jc w:val="center"/>
              <w:rPr>
                <w:rFonts w:ascii="Times New Roman" w:eastAsia="Times New Roman" w:hAnsi="Times New Roman" w:cs="Times New Roman"/>
                <w:sz w:val="20"/>
                <w:szCs w:val="20"/>
                <w:highlight w:val="yellow"/>
                <w:lang w:val="en-US"/>
              </w:rPr>
            </w:pPr>
            <w:r w:rsidRPr="008F293F">
              <w:rPr>
                <w:rFonts w:ascii="Times New Roman" w:eastAsia="Times New Roman" w:hAnsi="Times New Roman" w:cs="Times New Roman"/>
                <w:b/>
                <w:bCs/>
                <w:color w:val="000000"/>
                <w:sz w:val="20"/>
                <w:szCs w:val="20"/>
                <w:highlight w:val="yellow"/>
                <w:lang w:val="en-US"/>
              </w:rPr>
              <w:t>Sensitivity</w:t>
            </w:r>
          </w:p>
        </w:tc>
        <w:tc>
          <w:tcPr>
            <w:tcW w:w="1800" w:type="dxa"/>
            <w:tcBorders>
              <w:top w:val="single" w:sz="6" w:space="0" w:color="303030"/>
              <w:left w:val="single" w:sz="6" w:space="0" w:color="303030"/>
              <w:bottom w:val="single" w:sz="6" w:space="0" w:color="303030"/>
              <w:right w:val="single" w:sz="6" w:space="0" w:color="303030"/>
            </w:tcBorders>
            <w:shd w:val="clear" w:color="auto" w:fill="FFFFFF"/>
            <w:tcMar>
              <w:top w:w="100" w:type="dxa"/>
              <w:left w:w="100" w:type="dxa"/>
              <w:bottom w:w="100" w:type="dxa"/>
              <w:right w:w="100" w:type="dxa"/>
            </w:tcMar>
            <w:hideMark/>
          </w:tcPr>
          <w:p w14:paraId="7B987108" w14:textId="77777777" w:rsidR="008F293F" w:rsidRPr="008F293F" w:rsidRDefault="008F293F" w:rsidP="008F293F">
            <w:pPr>
              <w:spacing w:line="240" w:lineRule="auto"/>
              <w:jc w:val="center"/>
              <w:rPr>
                <w:rFonts w:ascii="Times New Roman" w:eastAsia="Times New Roman" w:hAnsi="Times New Roman" w:cs="Times New Roman"/>
                <w:sz w:val="20"/>
                <w:szCs w:val="20"/>
                <w:highlight w:val="yellow"/>
                <w:lang w:val="en-US"/>
              </w:rPr>
            </w:pPr>
            <w:r w:rsidRPr="008F293F">
              <w:rPr>
                <w:rFonts w:ascii="Times New Roman" w:eastAsia="Times New Roman" w:hAnsi="Times New Roman" w:cs="Times New Roman"/>
                <w:b/>
                <w:bCs/>
                <w:color w:val="000000"/>
                <w:sz w:val="20"/>
                <w:szCs w:val="20"/>
                <w:highlight w:val="yellow"/>
                <w:lang w:val="en-US"/>
              </w:rPr>
              <w:t>NPV</w:t>
            </w:r>
          </w:p>
        </w:tc>
        <w:tc>
          <w:tcPr>
            <w:tcW w:w="2340" w:type="dxa"/>
            <w:tcBorders>
              <w:top w:val="single" w:sz="6" w:space="0" w:color="303030"/>
              <w:left w:val="single" w:sz="6" w:space="0" w:color="303030"/>
              <w:bottom w:val="single" w:sz="6" w:space="0" w:color="303030"/>
              <w:right w:val="single" w:sz="6" w:space="0" w:color="303030"/>
            </w:tcBorders>
            <w:shd w:val="clear" w:color="auto" w:fill="FFFFFF"/>
            <w:tcMar>
              <w:top w:w="100" w:type="dxa"/>
              <w:left w:w="100" w:type="dxa"/>
              <w:bottom w:w="100" w:type="dxa"/>
              <w:right w:w="100" w:type="dxa"/>
            </w:tcMar>
            <w:hideMark/>
          </w:tcPr>
          <w:p w14:paraId="2235485A" w14:textId="77777777" w:rsidR="008F293F" w:rsidRPr="008F293F" w:rsidRDefault="008F293F" w:rsidP="008F293F">
            <w:pPr>
              <w:spacing w:line="240" w:lineRule="auto"/>
              <w:jc w:val="center"/>
              <w:rPr>
                <w:rFonts w:ascii="Times New Roman" w:eastAsia="Times New Roman" w:hAnsi="Times New Roman" w:cs="Times New Roman"/>
                <w:sz w:val="20"/>
                <w:szCs w:val="20"/>
                <w:highlight w:val="yellow"/>
                <w:lang w:val="en-US"/>
              </w:rPr>
            </w:pPr>
            <w:r w:rsidRPr="008F293F">
              <w:rPr>
                <w:rFonts w:ascii="Times New Roman" w:eastAsia="Times New Roman" w:hAnsi="Times New Roman" w:cs="Times New Roman"/>
                <w:b/>
                <w:bCs/>
                <w:color w:val="000000"/>
                <w:sz w:val="20"/>
                <w:szCs w:val="20"/>
                <w:highlight w:val="yellow"/>
                <w:lang w:val="en-US"/>
              </w:rPr>
              <w:t>FNR</w:t>
            </w:r>
          </w:p>
        </w:tc>
      </w:tr>
      <w:tr w:rsidR="008F293F" w:rsidRPr="008F293F" w14:paraId="10F9DEE1" w14:textId="77777777" w:rsidTr="008F293F">
        <w:trPr>
          <w:trHeight w:val="317"/>
        </w:trPr>
        <w:tc>
          <w:tcPr>
            <w:tcW w:w="3232" w:type="dxa"/>
            <w:tcBorders>
              <w:top w:val="single" w:sz="6" w:space="0" w:color="303030"/>
              <w:left w:val="single" w:sz="6" w:space="0" w:color="303030"/>
              <w:bottom w:val="single" w:sz="6" w:space="0" w:color="303030"/>
              <w:right w:val="single" w:sz="6" w:space="0" w:color="303030"/>
            </w:tcBorders>
            <w:shd w:val="clear" w:color="auto" w:fill="FFFFFF"/>
            <w:tcMar>
              <w:top w:w="100" w:type="dxa"/>
              <w:left w:w="100" w:type="dxa"/>
              <w:bottom w:w="100" w:type="dxa"/>
              <w:right w:w="100" w:type="dxa"/>
            </w:tcMar>
            <w:hideMark/>
          </w:tcPr>
          <w:p w14:paraId="4520EEB4" w14:textId="7B5EA1FE" w:rsidR="008F293F" w:rsidRPr="008F293F" w:rsidRDefault="008F293F" w:rsidP="008F293F">
            <w:pPr>
              <w:spacing w:line="240" w:lineRule="auto"/>
              <w:jc w:val="center"/>
              <w:rPr>
                <w:rFonts w:ascii="Times New Roman" w:eastAsia="Times New Roman" w:hAnsi="Times New Roman" w:cs="Times New Roman"/>
                <w:sz w:val="20"/>
                <w:szCs w:val="20"/>
                <w:highlight w:val="yellow"/>
                <w:lang w:val="en-US"/>
              </w:rPr>
            </w:pPr>
            <w:r w:rsidRPr="008F293F">
              <w:rPr>
                <w:rFonts w:ascii="Times New Roman" w:eastAsia="Times New Roman" w:hAnsi="Times New Roman" w:cs="Times New Roman"/>
                <w:b/>
                <w:bCs/>
                <w:color w:val="000000"/>
                <w:sz w:val="20"/>
                <w:szCs w:val="20"/>
                <w:highlight w:val="yellow"/>
                <w:lang w:val="en-US"/>
              </w:rPr>
              <w:t>SNNS</w:t>
            </w:r>
            <w:r w:rsidRPr="008F293F">
              <w:rPr>
                <w:rFonts w:ascii="Times New Roman" w:eastAsia="Times New Roman" w:hAnsi="Times New Roman" w:cs="Times New Roman"/>
                <w:color w:val="000000"/>
                <w:sz w:val="20"/>
                <w:szCs w:val="20"/>
                <w:highlight w:val="yellow"/>
                <w:lang w:val="en-US"/>
              </w:rPr>
              <w:t xml:space="preserve"> </w:t>
            </w:r>
          </w:p>
        </w:tc>
        <w:tc>
          <w:tcPr>
            <w:tcW w:w="1710" w:type="dxa"/>
            <w:tcBorders>
              <w:top w:val="single" w:sz="6" w:space="0" w:color="303030"/>
              <w:left w:val="single" w:sz="6" w:space="0" w:color="303030"/>
              <w:bottom w:val="single" w:sz="6" w:space="0" w:color="303030"/>
              <w:right w:val="single" w:sz="6" w:space="0" w:color="303030"/>
            </w:tcBorders>
            <w:shd w:val="clear" w:color="auto" w:fill="FFFFFF"/>
            <w:tcMar>
              <w:top w:w="100" w:type="dxa"/>
              <w:left w:w="100" w:type="dxa"/>
              <w:bottom w:w="100" w:type="dxa"/>
              <w:right w:w="100" w:type="dxa"/>
            </w:tcMar>
            <w:hideMark/>
          </w:tcPr>
          <w:p w14:paraId="1B723C58" w14:textId="77777777" w:rsidR="008F293F" w:rsidRPr="008F293F" w:rsidRDefault="008F293F" w:rsidP="008F293F">
            <w:pPr>
              <w:spacing w:line="240" w:lineRule="auto"/>
              <w:jc w:val="center"/>
              <w:rPr>
                <w:rFonts w:ascii="Times New Roman" w:eastAsia="Times New Roman" w:hAnsi="Times New Roman" w:cs="Times New Roman"/>
                <w:sz w:val="20"/>
                <w:szCs w:val="20"/>
                <w:highlight w:val="yellow"/>
                <w:lang w:val="en-US"/>
              </w:rPr>
            </w:pPr>
            <w:r w:rsidRPr="008F293F">
              <w:rPr>
                <w:rFonts w:ascii="Times New Roman" w:eastAsia="Times New Roman" w:hAnsi="Times New Roman" w:cs="Times New Roman"/>
                <w:color w:val="000000"/>
                <w:sz w:val="20"/>
                <w:szCs w:val="20"/>
                <w:highlight w:val="yellow"/>
                <w:lang w:val="en-US"/>
              </w:rPr>
              <w:t>96.8%</w:t>
            </w:r>
          </w:p>
        </w:tc>
        <w:tc>
          <w:tcPr>
            <w:tcW w:w="1800" w:type="dxa"/>
            <w:tcBorders>
              <w:top w:val="single" w:sz="6" w:space="0" w:color="303030"/>
              <w:left w:val="single" w:sz="6" w:space="0" w:color="303030"/>
              <w:bottom w:val="single" w:sz="6" w:space="0" w:color="303030"/>
              <w:right w:val="single" w:sz="6" w:space="0" w:color="303030"/>
            </w:tcBorders>
            <w:shd w:val="clear" w:color="auto" w:fill="FFFFFF"/>
            <w:tcMar>
              <w:top w:w="100" w:type="dxa"/>
              <w:left w:w="100" w:type="dxa"/>
              <w:bottom w:w="100" w:type="dxa"/>
              <w:right w:w="100" w:type="dxa"/>
            </w:tcMar>
            <w:hideMark/>
          </w:tcPr>
          <w:p w14:paraId="0881C45A" w14:textId="77777777" w:rsidR="008F293F" w:rsidRPr="008F293F" w:rsidRDefault="008F293F" w:rsidP="008F293F">
            <w:pPr>
              <w:spacing w:line="240" w:lineRule="auto"/>
              <w:jc w:val="center"/>
              <w:rPr>
                <w:rFonts w:ascii="Times New Roman" w:eastAsia="Times New Roman" w:hAnsi="Times New Roman" w:cs="Times New Roman"/>
                <w:sz w:val="20"/>
                <w:szCs w:val="20"/>
                <w:highlight w:val="yellow"/>
                <w:lang w:val="en-US"/>
              </w:rPr>
            </w:pPr>
            <w:r w:rsidRPr="008F293F">
              <w:rPr>
                <w:rFonts w:ascii="Times New Roman" w:eastAsia="Times New Roman" w:hAnsi="Times New Roman" w:cs="Times New Roman"/>
                <w:color w:val="000000"/>
                <w:sz w:val="20"/>
                <w:szCs w:val="20"/>
                <w:highlight w:val="yellow"/>
                <w:lang w:val="en-US"/>
              </w:rPr>
              <w:t>99.5%</w:t>
            </w:r>
          </w:p>
        </w:tc>
        <w:tc>
          <w:tcPr>
            <w:tcW w:w="2340" w:type="dxa"/>
            <w:tcBorders>
              <w:top w:val="single" w:sz="6" w:space="0" w:color="303030"/>
              <w:left w:val="single" w:sz="6" w:space="0" w:color="303030"/>
              <w:bottom w:val="single" w:sz="6" w:space="0" w:color="303030"/>
              <w:right w:val="single" w:sz="6" w:space="0" w:color="303030"/>
            </w:tcBorders>
            <w:shd w:val="clear" w:color="auto" w:fill="FFFFFF"/>
            <w:tcMar>
              <w:top w:w="100" w:type="dxa"/>
              <w:left w:w="100" w:type="dxa"/>
              <w:bottom w:w="100" w:type="dxa"/>
              <w:right w:w="100" w:type="dxa"/>
            </w:tcMar>
            <w:hideMark/>
          </w:tcPr>
          <w:p w14:paraId="75567600" w14:textId="77777777" w:rsidR="008F293F" w:rsidRPr="008F293F" w:rsidRDefault="008F293F" w:rsidP="008F293F">
            <w:pPr>
              <w:spacing w:line="240" w:lineRule="auto"/>
              <w:jc w:val="center"/>
              <w:rPr>
                <w:rFonts w:ascii="Times New Roman" w:eastAsia="Times New Roman" w:hAnsi="Times New Roman" w:cs="Times New Roman"/>
                <w:sz w:val="20"/>
                <w:szCs w:val="20"/>
                <w:highlight w:val="yellow"/>
                <w:lang w:val="en-US"/>
              </w:rPr>
            </w:pPr>
            <w:r w:rsidRPr="008F293F">
              <w:rPr>
                <w:rFonts w:ascii="Times New Roman" w:eastAsia="Times New Roman" w:hAnsi="Times New Roman" w:cs="Times New Roman"/>
                <w:color w:val="000000"/>
                <w:sz w:val="20"/>
                <w:szCs w:val="20"/>
                <w:highlight w:val="yellow"/>
                <w:lang w:val="en-US"/>
              </w:rPr>
              <w:t>3.2%</w:t>
            </w:r>
          </w:p>
        </w:tc>
      </w:tr>
      <w:tr w:rsidR="008F293F" w:rsidRPr="008F293F" w14:paraId="5ACD354D" w14:textId="77777777" w:rsidTr="008F293F">
        <w:trPr>
          <w:trHeight w:val="335"/>
        </w:trPr>
        <w:tc>
          <w:tcPr>
            <w:tcW w:w="3232" w:type="dxa"/>
            <w:tcBorders>
              <w:top w:val="single" w:sz="6" w:space="0" w:color="303030"/>
              <w:left w:val="single" w:sz="6" w:space="0" w:color="303030"/>
              <w:bottom w:val="single" w:sz="6" w:space="0" w:color="303030"/>
              <w:right w:val="single" w:sz="6" w:space="0" w:color="303030"/>
            </w:tcBorders>
            <w:shd w:val="clear" w:color="auto" w:fill="FFFFFF"/>
            <w:tcMar>
              <w:top w:w="100" w:type="dxa"/>
              <w:left w:w="100" w:type="dxa"/>
              <w:bottom w:w="100" w:type="dxa"/>
              <w:right w:w="100" w:type="dxa"/>
            </w:tcMar>
            <w:hideMark/>
          </w:tcPr>
          <w:p w14:paraId="5CE82166" w14:textId="787997D0" w:rsidR="008F293F" w:rsidRPr="008F293F" w:rsidRDefault="008F293F" w:rsidP="008F293F">
            <w:pPr>
              <w:spacing w:line="240" w:lineRule="auto"/>
              <w:jc w:val="center"/>
              <w:rPr>
                <w:rFonts w:ascii="Times New Roman" w:eastAsia="Times New Roman" w:hAnsi="Times New Roman" w:cs="Times New Roman"/>
                <w:sz w:val="20"/>
                <w:szCs w:val="20"/>
                <w:highlight w:val="yellow"/>
                <w:lang w:val="en-US"/>
              </w:rPr>
            </w:pPr>
            <w:r w:rsidRPr="008F293F">
              <w:rPr>
                <w:rFonts w:ascii="Times New Roman" w:eastAsia="Times New Roman" w:hAnsi="Times New Roman" w:cs="Times New Roman"/>
                <w:b/>
                <w:bCs/>
                <w:color w:val="000000"/>
                <w:sz w:val="20"/>
                <w:szCs w:val="20"/>
                <w:highlight w:val="yellow"/>
                <w:lang w:val="en-US"/>
              </w:rPr>
              <w:t>RL</w:t>
            </w:r>
            <w:r w:rsidRPr="008F293F">
              <w:rPr>
                <w:rFonts w:ascii="Times New Roman" w:eastAsia="Times New Roman" w:hAnsi="Times New Roman" w:cs="Times New Roman"/>
                <w:color w:val="000000"/>
                <w:sz w:val="20"/>
                <w:szCs w:val="20"/>
                <w:highlight w:val="yellow"/>
                <w:lang w:val="en-US"/>
              </w:rPr>
              <w:t xml:space="preserve"> </w:t>
            </w:r>
          </w:p>
        </w:tc>
        <w:tc>
          <w:tcPr>
            <w:tcW w:w="1710" w:type="dxa"/>
            <w:tcBorders>
              <w:top w:val="single" w:sz="6" w:space="0" w:color="303030"/>
              <w:left w:val="single" w:sz="6" w:space="0" w:color="303030"/>
              <w:bottom w:val="single" w:sz="6" w:space="0" w:color="303030"/>
              <w:right w:val="single" w:sz="6" w:space="0" w:color="303030"/>
            </w:tcBorders>
            <w:shd w:val="clear" w:color="auto" w:fill="FFFFFF"/>
            <w:tcMar>
              <w:top w:w="100" w:type="dxa"/>
              <w:left w:w="100" w:type="dxa"/>
              <w:bottom w:w="100" w:type="dxa"/>
              <w:right w:w="100" w:type="dxa"/>
            </w:tcMar>
            <w:hideMark/>
          </w:tcPr>
          <w:p w14:paraId="505620B8" w14:textId="77777777" w:rsidR="008F293F" w:rsidRPr="008F293F" w:rsidRDefault="008F293F" w:rsidP="008F293F">
            <w:pPr>
              <w:spacing w:line="240" w:lineRule="auto"/>
              <w:jc w:val="center"/>
              <w:rPr>
                <w:rFonts w:ascii="Times New Roman" w:eastAsia="Times New Roman" w:hAnsi="Times New Roman" w:cs="Times New Roman"/>
                <w:sz w:val="20"/>
                <w:szCs w:val="20"/>
                <w:highlight w:val="yellow"/>
                <w:lang w:val="en-US"/>
              </w:rPr>
            </w:pPr>
            <w:r w:rsidRPr="008F293F">
              <w:rPr>
                <w:rFonts w:ascii="Times New Roman" w:eastAsia="Times New Roman" w:hAnsi="Times New Roman" w:cs="Times New Roman"/>
                <w:color w:val="000000"/>
                <w:sz w:val="20"/>
                <w:szCs w:val="20"/>
                <w:highlight w:val="yellow"/>
                <w:lang w:val="en-US"/>
              </w:rPr>
              <w:t>80.6%</w:t>
            </w:r>
          </w:p>
        </w:tc>
        <w:tc>
          <w:tcPr>
            <w:tcW w:w="1800" w:type="dxa"/>
            <w:tcBorders>
              <w:top w:val="single" w:sz="6" w:space="0" w:color="303030"/>
              <w:left w:val="single" w:sz="6" w:space="0" w:color="303030"/>
              <w:bottom w:val="single" w:sz="6" w:space="0" w:color="303030"/>
              <w:right w:val="single" w:sz="6" w:space="0" w:color="303030"/>
            </w:tcBorders>
            <w:shd w:val="clear" w:color="auto" w:fill="FFFFFF"/>
            <w:tcMar>
              <w:top w:w="100" w:type="dxa"/>
              <w:left w:w="100" w:type="dxa"/>
              <w:bottom w:w="100" w:type="dxa"/>
              <w:right w:w="100" w:type="dxa"/>
            </w:tcMar>
            <w:hideMark/>
          </w:tcPr>
          <w:p w14:paraId="13320472" w14:textId="77777777" w:rsidR="008F293F" w:rsidRPr="008F293F" w:rsidRDefault="008F293F" w:rsidP="008F293F">
            <w:pPr>
              <w:spacing w:line="240" w:lineRule="auto"/>
              <w:jc w:val="center"/>
              <w:rPr>
                <w:rFonts w:ascii="Times New Roman" w:eastAsia="Times New Roman" w:hAnsi="Times New Roman" w:cs="Times New Roman"/>
                <w:sz w:val="20"/>
                <w:szCs w:val="20"/>
                <w:highlight w:val="yellow"/>
                <w:lang w:val="en-US"/>
              </w:rPr>
            </w:pPr>
            <w:r w:rsidRPr="008F293F">
              <w:rPr>
                <w:rFonts w:ascii="Times New Roman" w:eastAsia="Times New Roman" w:hAnsi="Times New Roman" w:cs="Times New Roman"/>
                <w:color w:val="000000"/>
                <w:sz w:val="20"/>
                <w:szCs w:val="20"/>
                <w:highlight w:val="yellow"/>
                <w:lang w:val="en-US"/>
              </w:rPr>
              <w:t>97.2%</w:t>
            </w:r>
          </w:p>
        </w:tc>
        <w:tc>
          <w:tcPr>
            <w:tcW w:w="2340" w:type="dxa"/>
            <w:tcBorders>
              <w:top w:val="single" w:sz="6" w:space="0" w:color="303030"/>
              <w:left w:val="single" w:sz="6" w:space="0" w:color="303030"/>
              <w:bottom w:val="single" w:sz="6" w:space="0" w:color="303030"/>
              <w:right w:val="single" w:sz="6" w:space="0" w:color="303030"/>
            </w:tcBorders>
            <w:shd w:val="clear" w:color="auto" w:fill="FFFFFF"/>
            <w:tcMar>
              <w:top w:w="100" w:type="dxa"/>
              <w:left w:w="100" w:type="dxa"/>
              <w:bottom w:w="100" w:type="dxa"/>
              <w:right w:w="100" w:type="dxa"/>
            </w:tcMar>
            <w:hideMark/>
          </w:tcPr>
          <w:p w14:paraId="00E1357A" w14:textId="77777777" w:rsidR="008F293F" w:rsidRPr="008F293F" w:rsidRDefault="008F293F" w:rsidP="008F293F">
            <w:pPr>
              <w:spacing w:line="240" w:lineRule="auto"/>
              <w:jc w:val="center"/>
              <w:rPr>
                <w:rFonts w:ascii="Times New Roman" w:eastAsia="Times New Roman" w:hAnsi="Times New Roman" w:cs="Times New Roman"/>
                <w:sz w:val="20"/>
                <w:szCs w:val="20"/>
                <w:lang w:val="en-US"/>
              </w:rPr>
            </w:pPr>
            <w:r w:rsidRPr="008F293F">
              <w:rPr>
                <w:rFonts w:ascii="Times New Roman" w:eastAsia="Times New Roman" w:hAnsi="Times New Roman" w:cs="Times New Roman"/>
                <w:color w:val="000000"/>
                <w:sz w:val="20"/>
                <w:szCs w:val="20"/>
                <w:highlight w:val="yellow"/>
                <w:lang w:val="en-US"/>
              </w:rPr>
              <w:t>19.4%</w:t>
            </w:r>
          </w:p>
        </w:tc>
      </w:tr>
    </w:tbl>
    <w:p w14:paraId="5FA51FAB" w14:textId="77777777" w:rsidR="00C856F9" w:rsidRDefault="004E2CB7">
      <w:pPr>
        <w:spacing w:before="20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Oncological Safety and Survival</w:t>
      </w:r>
    </w:p>
    <w:p w14:paraId="5CBCC1AE" w14:textId="77777777" w:rsidR="00C856F9" w:rsidRDefault="004E2CB7">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Significant events of skip metastasis may render the RL approach oncologically inadequate and unsafe [37]. Meanwhile, SNNS approach provides a technically sound alternative in the management of EGC [16,20-29,37]. With limited lymphadenectomy, it tailors a path towards function-preserving limited gastrectomy [12-15]. </w:t>
      </w:r>
    </w:p>
    <w:p w14:paraId="505F12E4" w14:textId="77777777" w:rsidR="00C856F9" w:rsidRDefault="004E2CB7">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Kinami et al validated this novel approach’s long term oncological safety through a retrospective cohort study [38]. This study analysed records of 239 patients of EGC who underwent SNNS guided gastrectomy along with 423 patients of EGC who underwent standard radical gastrectomy with adequate lymph node dissection. The study found that the oncological safety of SNNS was non-inferior to that of standard guidelines surgery. 5-year overall survival (OS) rate was 96.8% in the SNNS group compared to 91.3% in the control group (p=0.0014) in the original cohort. After propensity score matching (adjusting for factors like age, sex, tumor location etc.), the SNNS group maintained a significantly better OS rate than the control group (5-year OS 96.7% vs. 93.6%; p=0.030). The recurrence free survival (RFS) rate in the SNNS group was 99.6% at 5 years, versus 98.1% in the control group. After propensity score matching, the cumulative recurrence rate at 5 years was 0.43% in the SNNS group and 1.30% in the control group (no statistically significant difference). The only factor identified on multivariate analysis was the pathological nodal status which had a significant impact on the recurrence rates [38]. </w:t>
      </w:r>
    </w:p>
    <w:p w14:paraId="6A649722" w14:textId="77777777" w:rsidR="00C856F9" w:rsidRDefault="004E2CB7">
      <w:pPr>
        <w:spacing w:before="20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Surgical Extent Comparison</w:t>
      </w:r>
    </w:p>
    <w:p w14:paraId="3006D92E" w14:textId="77777777" w:rsidR="00C856F9" w:rsidRDefault="004E2CB7">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per this study by Kinami et al [38], most patients in the control arm (67.6%) underwent distal/total gastrectomy and only 26.7% underwent modified gastrectomy. 84.7% of these </w:t>
      </w:r>
      <w:r>
        <w:rPr>
          <w:rFonts w:ascii="Times New Roman" w:eastAsia="Times New Roman" w:hAnsi="Times New Roman" w:cs="Times New Roman"/>
          <w:sz w:val="24"/>
          <w:szCs w:val="24"/>
        </w:rPr>
        <w:lastRenderedPageBreak/>
        <w:t>patients had D1+ or D2 lymph node dissection. The extent of resection and lymphadenectomy varied significantly between both the study groups. In the SNNS arm, a mere 18.4% underwent standard radical surgery and only 14.2% underwent modified gastrectomy. 67.4% of patients in the SNNS arm received function preserving surgeries - like segmental gastrectomy, mini-distal gastrectomy, mini-proximal gastrectomy and local resection. These results showed a marked contrast with the standard surgery arm. Moreover, 174 out of 239 patients (72.8%) in the SNNS arm had a D0 dissection i.e. they underwent effective and tailored sentinel basin dissection only. These findings reinforced and solidified the SNNS approach in terms of its ability to deescalate the surgical radicality.</w:t>
      </w:r>
    </w:p>
    <w:p w14:paraId="11C68DC9" w14:textId="77777777" w:rsidR="00C856F9" w:rsidRDefault="004E2CB7">
      <w:pPr>
        <w:spacing w:before="20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Metachronous Multiple Gastric Cancer (MMGC)</w:t>
      </w:r>
    </w:p>
    <w:p w14:paraId="093A03DB" w14:textId="77777777" w:rsidR="00C856F9" w:rsidRDefault="004E2CB7">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concept of “Metachronous Multiple Gastric Cancer” (MMGC) is defined as cancer occurring in the remnant stomach [42-45]. There is a potential risk for MMGC post function preserving gastrectomy. This has created a concern for the SNNS guided limited surgeries. In contrast to radical gastrectomy, SNNS guided limited gastrectomy results in larger residual mucosal area in the remnant stomach - which may harbor precancerous field changes. But as per the study by Kinami et al, there was no statistically significant difference in the MMGC rates between the two arms. The cumulative MMGC rates at 5 years were 1.7% and 2.3% respectively in the SNNS arm and control arm [38].</w:t>
      </w:r>
    </w:p>
    <w:p w14:paraId="11B2A601" w14:textId="77777777" w:rsidR="00C856F9" w:rsidRDefault="004E2CB7">
      <w:pPr>
        <w:spacing w:before="20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Procedural Burden in Sentinel Node Navigation Surgery</w:t>
      </w:r>
    </w:p>
    <w:p w14:paraId="0D9725BF" w14:textId="77777777" w:rsidR="00C856F9" w:rsidRDefault="004E2CB7">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oncological safety of SNNS has been proven but the technical difficulties associated with this procedure make it cumbersome [37,46]. The steps include - endoscopic tracer injection followed by sentinel basin detection [16,20,27,28,37,39] and frozen section biopsy [47,48]. This further hampers its clinical application. Oh et al reported the mean sentinel study time 109.4+/-17.9 minutes [39]. It included time from tracer injection to obtaining the frozen biopsy report that determined the final resection extent.</w:t>
      </w:r>
    </w:p>
    <w:p w14:paraId="7A8FB865" w14:textId="77777777" w:rsidR="00C856F9" w:rsidRDefault="004E2CB7">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Diagnostic Accuracy in Western Cohorts</w:t>
      </w:r>
    </w:p>
    <w:p w14:paraId="76A1FABE" w14:textId="77777777" w:rsidR="00C856F9" w:rsidRDefault="004E2CB7">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large US-based study by Abate et al (n=129 patients undergoing Indocyanine green fluorescence-guided mapping) reported lower overall performance metrics [46] - SLN detection rate was 86.8%, overall NPV was 83.1%, overall sensitivity was 65.8% and FNR was 34.2%.</w:t>
      </w:r>
    </w:p>
    <w:p w14:paraId="3F1D3532" w14:textId="77777777" w:rsidR="00C856F9" w:rsidRDefault="004E2CB7">
      <w:pPr>
        <w:spacing w:before="20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Impact of Tumor Characteristics on SNNS Accuracy</w:t>
      </w:r>
    </w:p>
    <w:p w14:paraId="5E8EA7D6" w14:textId="77777777" w:rsidR="00C856F9" w:rsidRDefault="00C856F9">
      <w:pPr>
        <w:pStyle w:val="Heading4"/>
        <w:keepNext w:val="0"/>
        <w:keepLines w:val="0"/>
        <w:spacing w:before="0" w:after="0" w:line="240" w:lineRule="auto"/>
        <w:jc w:val="both"/>
        <w:rPr>
          <w:rFonts w:ascii="Times New Roman" w:eastAsia="Times New Roman" w:hAnsi="Times New Roman" w:cs="Times New Roman"/>
          <w:color w:val="000000"/>
          <w:highlight w:val="white"/>
        </w:rPr>
      </w:pPr>
    </w:p>
    <w:p w14:paraId="21C9B36E" w14:textId="3016D01D" w:rsidR="00C856F9" w:rsidRDefault="004E2CB7" w:rsidP="005C2A20">
      <w:pPr>
        <w:pStyle w:val="Heading4"/>
        <w:keepNext w:val="0"/>
        <w:keepLines w:val="0"/>
        <w:spacing w:before="0" w:after="0" w:line="240" w:lineRule="auto"/>
        <w:jc w:val="both"/>
        <w:rPr>
          <w:rFonts w:ascii="Times New Roman" w:eastAsia="Times New Roman" w:hAnsi="Times New Roman" w:cs="Times New Roman"/>
        </w:rPr>
      </w:pPr>
      <w:r>
        <w:rPr>
          <w:rFonts w:ascii="Times New Roman" w:eastAsia="Times New Roman" w:hAnsi="Times New Roman" w:cs="Times New Roman"/>
          <w:color w:val="000000"/>
          <w:highlight w:val="white"/>
        </w:rPr>
        <w:t>SNNS approach’s reliability is based on the detection of sentinel node basins. Lymphovascular invasion (LVI) is defined as invasion of tumor cells in the body's small lymphatics. The diagnostic accuracy of SNNS is reduced by presence of LVI [49-51].</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white"/>
        </w:rPr>
        <w:t>Patients with no LVI showed a substantially high NPV of 96.0%.</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white"/>
        </w:rPr>
        <w:t>In contrast, patients with LVI saw the NPV plummet</w:t>
      </w:r>
      <w:r w:rsidR="005C2A20">
        <w:rPr>
          <w:rFonts w:ascii="Times New Roman" w:eastAsia="Times New Roman" w:hAnsi="Times New Roman" w:cs="Times New Roman"/>
          <w:color w:val="000000"/>
          <w:highlight w:val="white"/>
        </w:rPr>
        <w:t xml:space="preserve"> </w:t>
      </w:r>
      <w:r>
        <w:rPr>
          <w:rFonts w:ascii="Times New Roman" w:eastAsia="Times New Roman" w:hAnsi="Times New Roman" w:cs="Times New Roman"/>
          <w:color w:val="000000"/>
          <w:highlight w:val="white"/>
        </w:rPr>
        <w:t>to</w:t>
      </w:r>
      <w:r w:rsidR="005C2A20">
        <w:rPr>
          <w:rFonts w:ascii="Times New Roman" w:eastAsia="Times New Roman" w:hAnsi="Times New Roman" w:cs="Times New Roman"/>
          <w:color w:val="000000"/>
          <w:highlight w:val="white"/>
        </w:rPr>
        <w:t xml:space="preserve"> </w:t>
      </w:r>
      <w:r>
        <w:rPr>
          <w:rFonts w:ascii="Times New Roman" w:eastAsia="Times New Roman" w:hAnsi="Times New Roman" w:cs="Times New Roman"/>
          <w:color w:val="000000"/>
          <w:highlight w:val="white"/>
        </w:rPr>
        <w:t>a much less reliable 59.3% (p&lt;0.001) [46].</w:t>
      </w:r>
      <w:r>
        <w:rPr>
          <w:rFonts w:ascii="Times New Roman" w:eastAsia="Times New Roman" w:hAnsi="Times New Roman" w:cs="Times New Roman"/>
          <w:highlight w:val="white"/>
        </w:rPr>
        <w:br/>
      </w:r>
    </w:p>
    <w:p w14:paraId="51F55202" w14:textId="77777777" w:rsidR="00C856F9" w:rsidRDefault="004E2CB7">
      <w:pPr>
        <w:pStyle w:val="Heading4"/>
        <w:keepNext w:val="0"/>
        <w:keepLines w:val="0"/>
        <w:spacing w:before="0"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highlight w:val="white"/>
        </w:rPr>
        <w:t>The depth of tumor invasion, as defined by the pathological T stage (pT), also significantly affects mapping accuracy [49-51].</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white"/>
        </w:rPr>
        <w:t>Patients with early pT stage (e.g., invasion limited to the submucosa, pT &lt; 3) had a significantly higher NPV of 92.0% [46]. However, in patients with late pT stage (&gt;= 3), the NPV dropped to 66.7% (p=0.009) [46].</w:t>
      </w:r>
    </w:p>
    <w:p w14:paraId="4B5808C4" w14:textId="77777777" w:rsidR="00C856F9" w:rsidRDefault="004E2CB7">
      <w:pPr>
        <w:spacing w:before="20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The diagnostic reliability (NPV and sensitivity) of SNNS was found to be not influenced by whether the patients had previously received neoadjuvant chemotherapy (NACT) or whether the tumor was classified as intestinal type versus diffuse type [46].</w:t>
      </w:r>
    </w:p>
    <w:p w14:paraId="0B553294" w14:textId="77777777" w:rsidR="00C856F9" w:rsidRDefault="004E2CB7">
      <w:pPr>
        <w:spacing w:before="200" w:line="24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Effect of Integration of Maruyama Index with SNNS</w:t>
      </w:r>
    </w:p>
    <w:p w14:paraId="5E821667" w14:textId="1ED2C07B" w:rsidR="00C856F9" w:rsidRDefault="004E2CB7">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Varga et al combined SNNS (with blue dye) along with MCP [40]. MCP is a computer programme and a risk predictive model [52,53]. Based on some defined preoperative factors, MCP can estimate the probability of involvement of certain lymph node stations [54,55]. Thus, MCP can provide an independent measure of lymph nodal metastasis. They introduced critical safety checkpoints and used MCP as a secondary filter for non-stained lymph node stations in a patient whose sentinel nodes were found to be free of tumor. The cutoff value of Maruyama Index (MI) was set as &gt;= 28 [40]. Any non-stained station with MI &gt;= 28 was marked as high risk for skip metastasis and included in the lymphadenectomy procedure. MCP alone was diagnostically inferior. The synergistic combination of SNNS and MCP achieved a perfect 100% sensitivity and 100% NPV [40].</w:t>
      </w:r>
    </w:p>
    <w:p w14:paraId="3FA267ED" w14:textId="77777777" w:rsidR="00C856F9" w:rsidRDefault="00C856F9">
      <w:pPr>
        <w:spacing w:before="200" w:line="240" w:lineRule="auto"/>
        <w:jc w:val="both"/>
        <w:rPr>
          <w:rFonts w:ascii="Times New Roman" w:eastAsia="Times New Roman" w:hAnsi="Times New Roman" w:cs="Times New Roman"/>
          <w:sz w:val="24"/>
          <w:szCs w:val="24"/>
        </w:rPr>
      </w:pPr>
    </w:p>
    <w:p w14:paraId="5479C843" w14:textId="77777777" w:rsidR="00C856F9" w:rsidRDefault="004E2CB7">
      <w:pPr>
        <w:spacing w:before="200" w:line="240" w:lineRule="auto"/>
        <w:jc w:val="both"/>
        <w:rPr>
          <w:rFonts w:ascii="Times New Roman" w:eastAsia="Times New Roman" w:hAnsi="Times New Roman" w:cs="Times New Roman"/>
          <w:b/>
          <w:bCs/>
          <w:sz w:val="30"/>
          <w:szCs w:val="30"/>
        </w:rPr>
      </w:pPr>
      <w:r>
        <w:rPr>
          <w:rFonts w:ascii="Times New Roman" w:eastAsia="Times New Roman" w:hAnsi="Times New Roman" w:cs="Times New Roman"/>
          <w:b/>
          <w:bCs/>
          <w:sz w:val="30"/>
          <w:szCs w:val="30"/>
        </w:rPr>
        <w:t>DISCUSSION</w:t>
      </w:r>
    </w:p>
    <w:p w14:paraId="5F049206" w14:textId="77777777" w:rsidR="00C856F9" w:rsidRDefault="004E2CB7">
      <w:pPr>
        <w:spacing w:before="20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Findings of Metastasis Pattern</w:t>
      </w:r>
    </w:p>
    <w:p w14:paraId="4D62C84B" w14:textId="58FC14BE" w:rsidR="00C856F9" w:rsidRDefault="004E2CB7">
      <w:pPr>
        <w:spacing w:before="20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Stomach has a complex lymphatic drainage [33-36,37]. EGC similarly follows an unpredictable route of lymph nodal spread. This was the main reason behind the inferiority of RL as compared to SNNS technique [37]. As per SNNS, FNR was merely 3.2% - implying exclusive metastasis in non-sentinel basins is an extremely rare event [37]. It further strengthened the hypothesis of sentinel lymph node biopsy. Skip metastasis resulted in the failure of the RL approach. Skip metastasis is defined as bypassing the first draining nodes and presence of metastasis only in the non-regional stations [36]. With RL, the rate of the skip metastasis was quite high - 2.5% [37]. This implied that the hypothesis of fixed RL based on anatomic location of the primary gastric tumor was technically not feasible. As it would always miss the spread of disease in a small but significant portion of the population at risk.</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RL had significantly less sensitivity and NPV [37]. FNR was significantly higher. This further reinforced the non-feasibility and unacceptable oncological safety of the RL approach.</w:t>
      </w:r>
    </w:p>
    <w:p w14:paraId="61AAD676" w14:textId="77777777" w:rsidR="00C856F9" w:rsidRDefault="004E2CB7">
      <w:pPr>
        <w:spacing w:before="20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Cause of Improved Survival</w:t>
      </w:r>
    </w:p>
    <w:p w14:paraId="71F25850" w14:textId="7F76F4AE" w:rsidR="00C856F9" w:rsidRDefault="004E2CB7">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per the study by Kinami et al [38], there was an improved OS rate in the SNNS group. Even after propensity score matching, this benefit persisted. The hypothesis suggested behind this OS benefit was reduction in non-cancer related deaths. The cumulative incidence of non-cancer related deaths at 5 years post-surgery in the SNNS group was 2.6%. It was significantly less compared to 5.7% observed in the control group. It was suggested that SNNS tailored function preserving surgeries maintained the patients nutritional status and general physiological functions better than the radical surgeries. This consequently reduced the events of non-cancer related deaths. This concept was crucial, though it needs further evidence to solidify the hypothesis.</w:t>
      </w:r>
    </w:p>
    <w:p w14:paraId="7932E108" w14:textId="77777777" w:rsidR="00C856F9" w:rsidRDefault="004E2CB7">
      <w:pPr>
        <w:spacing w:before="20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Technical and Logistical Challenges of SNNS</w:t>
      </w:r>
    </w:p>
    <w:p w14:paraId="2FEFE65F" w14:textId="3C298236" w:rsidR="00C856F9" w:rsidRDefault="004E2CB7">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SNNS steps include some specialized dyes and equipment, which make the procedure logistically challenging. Moreover, this also enhances the operative time [39]. It starts with intraoperative endoscopy and localisation of the primary tumor. A specific tracer is injected </w:t>
      </w:r>
      <w:r>
        <w:rPr>
          <w:rFonts w:ascii="Times New Roman" w:eastAsia="Times New Roman" w:hAnsi="Times New Roman" w:cs="Times New Roman"/>
          <w:sz w:val="24"/>
          <w:szCs w:val="24"/>
        </w:rPr>
        <w:lastRenderedPageBreak/>
        <w:t>endoscopically. The options include - radioisotope (99mTc-nannocolloid), vital dye (Methylene blue) or fluorescence agent (Indocyanine green) [16,20,27]. More than one agent is preferred. This enhances the accuracy. Sufficient time is allowed for the tracer to migrate along the drainage pathways to the sentinel basin. The average time as per literature being 15 minutes [37,39]. A special device is required to pick up and detect the concerned sentinel basin region. Options being - gamma probe for radioisotope signal and special camera (like near infrared camera for Indocyanine green) or viewing system for vital dyes or fluorescence agents [28,37,39]. After sentinel basin dissection, an immediate frozen section biopsy is recommended to confirm metastasis [47,48].</w:t>
      </w:r>
    </w:p>
    <w:p w14:paraId="216584BC" w14:textId="77777777" w:rsidR="00C856F9" w:rsidRDefault="004E2CB7">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 of these make the entire procedure complex and increase the operative time. If radioisotopes are used as tracers, it further enhances the potential for risk of radiation exposure to both patient and operating room staffs - this also is a matter of concern [39].</w:t>
      </w:r>
    </w:p>
    <w:p w14:paraId="4EA1D8F1" w14:textId="77777777" w:rsidR="00C856F9" w:rsidRDefault="004E2CB7">
      <w:pPr>
        <w:spacing w:before="20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Variability in Diagnostic Accuracy</w:t>
      </w:r>
    </w:p>
    <w:p w14:paraId="320C7BAE" w14:textId="4F5D7A19" w:rsidR="00C856F9" w:rsidRDefault="004E2CB7">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diagnostic accuracy of SNNS is influenced by cohort demographics and tumor characteristics [37,46]. Meta-analyses and major trials typically reported high accuracy of SNNS in the Asian cohorts. One meta-analysis by </w:t>
      </w:r>
      <w:r>
        <w:rPr>
          <w:rFonts w:ascii="Times New Roman" w:eastAsia="Times New Roman" w:hAnsi="Times New Roman" w:cs="Times New Roman"/>
          <w:sz w:val="24"/>
          <w:szCs w:val="24"/>
          <w:highlight w:val="white"/>
        </w:rPr>
        <w:t xml:space="preserve">Ryu et al. </w:t>
      </w:r>
      <w:r>
        <w:rPr>
          <w:rFonts w:ascii="Times New Roman" w:eastAsia="Times New Roman" w:hAnsi="Times New Roman" w:cs="Times New Roman"/>
          <w:sz w:val="24"/>
          <w:szCs w:val="24"/>
        </w:rPr>
        <w:t>reported sensitivity and NPV of SNNS to be 87.8% and 91.8%, respectively [15]. Another meta</w:t>
      </w:r>
      <w:r w:rsidR="007C184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analysis of 38 studies by </w:t>
      </w:r>
      <w:r>
        <w:rPr>
          <w:rFonts w:ascii="Times New Roman" w:eastAsia="Times New Roman" w:hAnsi="Times New Roman" w:cs="Times New Roman"/>
          <w:sz w:val="24"/>
          <w:szCs w:val="24"/>
          <w:highlight w:val="white"/>
        </w:rPr>
        <w:t>Wang et al.</w:t>
      </w:r>
      <w:r>
        <w:rPr>
          <w:rFonts w:ascii="Times New Roman" w:eastAsia="Times New Roman" w:hAnsi="Times New Roman" w:cs="Times New Roman"/>
          <w:sz w:val="24"/>
          <w:szCs w:val="24"/>
        </w:rPr>
        <w:t xml:space="preserve"> reported sensitivity and NPV of SNNS as 93.7% and 76.9% [56]. The post-hoc SENORITA analysis showed particularly high accuracy - sensitivity 96.8% and NPV 99.5% [37]. The diagnostic accuracy was found to be less in the western cohorts as per the study by Abate et al [46].</w:t>
      </w:r>
    </w:p>
    <w:p w14:paraId="23F18BCB" w14:textId="77777777" w:rsidR="00C856F9" w:rsidRDefault="004E2CB7">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Patients with LVI had a much less reliable NPV of 59.3% [46]. In patients with late pT stage (&gt;= 3), the NPV dropped to 66.7%. Available literature has reported the NPV exceeding 90% for SNNS in T1 and T2 gastric cancer [49-51]. The low sensitivity of SNNS in certain groups of patients renders a high FNR. This implies that in some cohorts (western population, presence of LVI, higher pT stage) the reliability of SNNS is doubtful [46].</w:t>
      </w:r>
    </w:p>
    <w:p w14:paraId="048CAC76" w14:textId="77777777" w:rsidR="00C856F9" w:rsidRDefault="004E2CB7">
      <w:pPr>
        <w:spacing w:before="20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Strategies for Simplification </w:t>
      </w:r>
    </w:p>
    <w:p w14:paraId="23C0E9CF" w14:textId="77777777" w:rsidR="00C856F9" w:rsidRDefault="004E2CB7">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technical limitations and variable accuracy of the SNNS approach has mandated the need for certain changes in the procedure. Either simplification of the procedural complexity or adding another approach with SNNS to augment its findings may be the way forward. To simplify the SNNS procedures logistical burden, the approach of fixed RL was studied and analysed in the post hoc analysis of the SENORITA trial [37]. The post hoc analysis provided crucial reference measurements for the SB longitudinal extent (table 2).</w:t>
      </w:r>
    </w:p>
    <w:p w14:paraId="5027613D" w14:textId="2D953F11" w:rsidR="00C856F9" w:rsidRDefault="004E2CB7">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w:t>
      </w:r>
      <w:r w:rsidR="008F293F">
        <w:rPr>
          <w:rFonts w:ascii="Times New Roman" w:eastAsia="Times New Roman" w:hAnsi="Times New Roman" w:cs="Times New Roman"/>
          <w:sz w:val="24"/>
          <w:szCs w:val="24"/>
        </w:rPr>
        <w:t>4</w:t>
      </w:r>
      <w:r>
        <w:rPr>
          <w:rFonts w:ascii="Times New Roman" w:eastAsia="Times New Roman" w:hAnsi="Times New Roman" w:cs="Times New Roman"/>
          <w:sz w:val="24"/>
          <w:szCs w:val="24"/>
        </w:rPr>
        <w:t>. Sentinel Basin Longitudinal extent Reference Measurements</w:t>
      </w:r>
    </w:p>
    <w:tbl>
      <w:tblPr>
        <w:tblStyle w:val="a0"/>
        <w:tblW w:w="10170" w:type="dxa"/>
        <w:tblInd w:w="-540" w:type="dxa"/>
        <w:tblLayout w:type="fixed"/>
        <w:tblLook w:val="0400" w:firstRow="0" w:lastRow="0" w:firstColumn="0" w:lastColumn="0" w:noHBand="0" w:noVBand="1"/>
      </w:tblPr>
      <w:tblGrid>
        <w:gridCol w:w="3525"/>
        <w:gridCol w:w="2235"/>
        <w:gridCol w:w="2085"/>
        <w:gridCol w:w="2325"/>
      </w:tblGrid>
      <w:tr w:rsidR="00C856F9" w14:paraId="6DBDEBDB" w14:textId="77777777">
        <w:trPr>
          <w:trHeight w:val="600"/>
        </w:trPr>
        <w:tc>
          <w:tcPr>
            <w:tcW w:w="3525" w:type="dxa"/>
            <w:tcBorders>
              <w:top w:val="single" w:sz="6" w:space="0" w:color="1F1F1F"/>
              <w:left w:val="single" w:sz="6" w:space="0" w:color="1F1F1F"/>
              <w:bottom w:val="single" w:sz="6" w:space="0" w:color="1F1F1F"/>
              <w:right w:val="single" w:sz="6" w:space="0" w:color="1F1F1F"/>
            </w:tcBorders>
            <w:shd w:val="clear" w:color="auto" w:fill="FFFFFF"/>
            <w:tcMar>
              <w:top w:w="0" w:type="dxa"/>
              <w:left w:w="0" w:type="dxa"/>
              <w:bottom w:w="0" w:type="dxa"/>
              <w:right w:w="0" w:type="dxa"/>
            </w:tcMar>
          </w:tcPr>
          <w:p w14:paraId="11CA4258" w14:textId="77777777" w:rsidR="00C856F9" w:rsidRDefault="004E2CB7">
            <w:pPr>
              <w:spacing w:before="20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LOCATION</w:t>
            </w:r>
          </w:p>
        </w:tc>
        <w:tc>
          <w:tcPr>
            <w:tcW w:w="2235" w:type="dxa"/>
            <w:tcBorders>
              <w:top w:val="single" w:sz="6" w:space="0" w:color="1F1F1F"/>
              <w:left w:val="single" w:sz="6" w:space="0" w:color="1F1F1F"/>
              <w:bottom w:val="single" w:sz="6" w:space="0" w:color="1F1F1F"/>
              <w:right w:val="single" w:sz="6" w:space="0" w:color="1F1F1F"/>
            </w:tcBorders>
            <w:shd w:val="clear" w:color="auto" w:fill="FFFFFF"/>
            <w:tcMar>
              <w:top w:w="0" w:type="dxa"/>
              <w:left w:w="0" w:type="dxa"/>
              <w:bottom w:w="0" w:type="dxa"/>
              <w:right w:w="0" w:type="dxa"/>
            </w:tcMar>
          </w:tcPr>
          <w:p w14:paraId="175FF400" w14:textId="77777777" w:rsidR="00C856F9" w:rsidRDefault="004E2CB7">
            <w:pPr>
              <w:spacing w:before="20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PARAMETER</w:t>
            </w:r>
          </w:p>
        </w:tc>
        <w:tc>
          <w:tcPr>
            <w:tcW w:w="2085" w:type="dxa"/>
            <w:tcBorders>
              <w:top w:val="single" w:sz="6" w:space="0" w:color="1F1F1F"/>
              <w:left w:val="single" w:sz="6" w:space="0" w:color="1F1F1F"/>
              <w:bottom w:val="single" w:sz="6" w:space="0" w:color="1F1F1F"/>
              <w:right w:val="single" w:sz="6" w:space="0" w:color="1F1F1F"/>
            </w:tcBorders>
            <w:shd w:val="clear" w:color="auto" w:fill="FFFFFF"/>
            <w:tcMar>
              <w:top w:w="0" w:type="dxa"/>
              <w:left w:w="0" w:type="dxa"/>
              <w:bottom w:w="0" w:type="dxa"/>
              <w:right w:w="0" w:type="dxa"/>
            </w:tcMar>
          </w:tcPr>
          <w:p w14:paraId="57206928" w14:textId="77777777" w:rsidR="00C856F9" w:rsidRDefault="004E2CB7">
            <w:pPr>
              <w:spacing w:before="20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MEDIAN LENGTH</w:t>
            </w:r>
          </w:p>
        </w:tc>
        <w:tc>
          <w:tcPr>
            <w:tcW w:w="2325" w:type="dxa"/>
            <w:tcBorders>
              <w:top w:val="single" w:sz="6" w:space="0" w:color="1F1F1F"/>
              <w:left w:val="single" w:sz="6" w:space="0" w:color="1F1F1F"/>
              <w:bottom w:val="single" w:sz="6" w:space="0" w:color="1F1F1F"/>
              <w:right w:val="single" w:sz="6" w:space="0" w:color="1F1F1F"/>
            </w:tcBorders>
            <w:shd w:val="clear" w:color="auto" w:fill="FFFFFF"/>
            <w:tcMar>
              <w:top w:w="0" w:type="dxa"/>
              <w:left w:w="0" w:type="dxa"/>
              <w:bottom w:w="0" w:type="dxa"/>
              <w:right w:w="0" w:type="dxa"/>
            </w:tcMar>
          </w:tcPr>
          <w:p w14:paraId="116F1679" w14:textId="77777777" w:rsidR="00C856F9" w:rsidRDefault="004E2CB7">
            <w:pPr>
              <w:spacing w:before="20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RANGE</w:t>
            </w:r>
          </w:p>
        </w:tc>
      </w:tr>
      <w:tr w:rsidR="00C856F9" w14:paraId="740F2A14" w14:textId="77777777">
        <w:trPr>
          <w:trHeight w:val="705"/>
        </w:trPr>
        <w:tc>
          <w:tcPr>
            <w:tcW w:w="3525" w:type="dxa"/>
            <w:vMerge w:val="restart"/>
            <w:tcBorders>
              <w:top w:val="single" w:sz="6" w:space="0" w:color="1F1F1F"/>
              <w:left w:val="single" w:sz="6" w:space="0" w:color="1F1F1F"/>
              <w:bottom w:val="single" w:sz="6" w:space="0" w:color="1F1F1F"/>
              <w:right w:val="single" w:sz="6" w:space="0" w:color="1F1F1F"/>
            </w:tcBorders>
            <w:shd w:val="clear" w:color="auto" w:fill="FFFFFF"/>
            <w:tcMar>
              <w:top w:w="0" w:type="dxa"/>
              <w:left w:w="0" w:type="dxa"/>
              <w:bottom w:w="0" w:type="dxa"/>
              <w:right w:w="0" w:type="dxa"/>
            </w:tcMar>
          </w:tcPr>
          <w:p w14:paraId="2A0E30D6" w14:textId="77777777" w:rsidR="00C856F9" w:rsidRDefault="004E2CB7">
            <w:pPr>
              <w:spacing w:before="20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Lesser Curvature (LC)</w:t>
            </w:r>
          </w:p>
        </w:tc>
        <w:tc>
          <w:tcPr>
            <w:tcW w:w="2235" w:type="dxa"/>
            <w:tcBorders>
              <w:top w:val="single" w:sz="6" w:space="0" w:color="1F1F1F"/>
              <w:left w:val="single" w:sz="6" w:space="0" w:color="1F1F1F"/>
              <w:bottom w:val="single" w:sz="6" w:space="0" w:color="1F1F1F"/>
              <w:right w:val="single" w:sz="6" w:space="0" w:color="1F1F1F"/>
            </w:tcBorders>
            <w:shd w:val="clear" w:color="auto" w:fill="FFFFFF"/>
            <w:tcMar>
              <w:top w:w="0" w:type="dxa"/>
              <w:left w:w="0" w:type="dxa"/>
              <w:bottom w:w="0" w:type="dxa"/>
              <w:right w:w="0" w:type="dxa"/>
            </w:tcMar>
          </w:tcPr>
          <w:p w14:paraId="7D745A61" w14:textId="77777777" w:rsidR="00C856F9" w:rsidRDefault="004E2CB7">
            <w:pPr>
              <w:spacing w:before="20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Proximal SB length</w:t>
            </w:r>
          </w:p>
        </w:tc>
        <w:tc>
          <w:tcPr>
            <w:tcW w:w="2085" w:type="dxa"/>
            <w:tcBorders>
              <w:top w:val="single" w:sz="6" w:space="0" w:color="1F1F1F"/>
              <w:left w:val="single" w:sz="6" w:space="0" w:color="1F1F1F"/>
              <w:bottom w:val="single" w:sz="6" w:space="0" w:color="1F1F1F"/>
              <w:right w:val="single" w:sz="6" w:space="0" w:color="1F1F1F"/>
            </w:tcBorders>
            <w:shd w:val="clear" w:color="auto" w:fill="FFFFFF"/>
            <w:tcMar>
              <w:top w:w="0" w:type="dxa"/>
              <w:left w:w="0" w:type="dxa"/>
              <w:bottom w:w="0" w:type="dxa"/>
              <w:right w:w="0" w:type="dxa"/>
            </w:tcMar>
          </w:tcPr>
          <w:p w14:paraId="73BC36DE" w14:textId="77777777" w:rsidR="00C856F9" w:rsidRDefault="004E2CB7">
            <w:pPr>
              <w:spacing w:before="20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 cm</w:t>
            </w:r>
          </w:p>
        </w:tc>
        <w:tc>
          <w:tcPr>
            <w:tcW w:w="2325" w:type="dxa"/>
            <w:tcBorders>
              <w:top w:val="single" w:sz="6" w:space="0" w:color="1F1F1F"/>
              <w:left w:val="single" w:sz="6" w:space="0" w:color="1F1F1F"/>
              <w:bottom w:val="single" w:sz="6" w:space="0" w:color="1F1F1F"/>
              <w:right w:val="single" w:sz="6" w:space="0" w:color="1F1F1F"/>
            </w:tcBorders>
            <w:shd w:val="clear" w:color="auto" w:fill="FFFFFF"/>
            <w:tcMar>
              <w:top w:w="0" w:type="dxa"/>
              <w:left w:w="0" w:type="dxa"/>
              <w:bottom w:w="0" w:type="dxa"/>
              <w:right w:w="0" w:type="dxa"/>
            </w:tcMar>
          </w:tcPr>
          <w:p w14:paraId="1691D7C4" w14:textId="77777777" w:rsidR="00C856F9" w:rsidRDefault="004E2CB7">
            <w:pPr>
              <w:spacing w:before="20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 – 5.0 cm</w:t>
            </w:r>
          </w:p>
        </w:tc>
      </w:tr>
      <w:tr w:rsidR="00C856F9" w14:paraId="22AADBBB" w14:textId="77777777">
        <w:trPr>
          <w:trHeight w:val="690"/>
        </w:trPr>
        <w:tc>
          <w:tcPr>
            <w:tcW w:w="3525" w:type="dxa"/>
            <w:vMerge/>
            <w:tcBorders>
              <w:top w:val="single" w:sz="6" w:space="0" w:color="1F1F1F"/>
              <w:left w:val="single" w:sz="6" w:space="0" w:color="1F1F1F"/>
              <w:bottom w:val="single" w:sz="6" w:space="0" w:color="1F1F1F"/>
              <w:right w:val="single" w:sz="6" w:space="0" w:color="1F1F1F"/>
            </w:tcBorders>
            <w:shd w:val="clear" w:color="auto" w:fill="FFFFFF"/>
            <w:tcMar>
              <w:top w:w="0" w:type="dxa"/>
              <w:left w:w="0" w:type="dxa"/>
              <w:bottom w:w="0" w:type="dxa"/>
              <w:right w:w="0" w:type="dxa"/>
            </w:tcMar>
          </w:tcPr>
          <w:p w14:paraId="04CE4418" w14:textId="77777777" w:rsidR="00C856F9" w:rsidRDefault="00C856F9">
            <w:pPr>
              <w:widowControl w:val="0"/>
              <w:spacing w:before="200" w:line="240" w:lineRule="auto"/>
              <w:rPr>
                <w:rFonts w:ascii="Times New Roman" w:eastAsia="Times New Roman" w:hAnsi="Times New Roman" w:cs="Times New Roman"/>
                <w:sz w:val="24"/>
                <w:szCs w:val="24"/>
              </w:rPr>
            </w:pPr>
          </w:p>
        </w:tc>
        <w:tc>
          <w:tcPr>
            <w:tcW w:w="2235" w:type="dxa"/>
            <w:tcBorders>
              <w:top w:val="single" w:sz="6" w:space="0" w:color="1F1F1F"/>
              <w:left w:val="single" w:sz="6" w:space="0" w:color="1F1F1F"/>
              <w:bottom w:val="single" w:sz="6" w:space="0" w:color="1F1F1F"/>
              <w:right w:val="single" w:sz="6" w:space="0" w:color="1F1F1F"/>
            </w:tcBorders>
            <w:shd w:val="clear" w:color="auto" w:fill="FFFFFF"/>
            <w:tcMar>
              <w:top w:w="0" w:type="dxa"/>
              <w:left w:w="0" w:type="dxa"/>
              <w:bottom w:w="0" w:type="dxa"/>
              <w:right w:w="0" w:type="dxa"/>
            </w:tcMar>
          </w:tcPr>
          <w:p w14:paraId="781705E3" w14:textId="77777777" w:rsidR="00C856F9" w:rsidRDefault="004E2CB7">
            <w:pPr>
              <w:spacing w:before="20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Distal SB length</w:t>
            </w:r>
          </w:p>
        </w:tc>
        <w:tc>
          <w:tcPr>
            <w:tcW w:w="2085" w:type="dxa"/>
            <w:tcBorders>
              <w:top w:val="single" w:sz="6" w:space="0" w:color="1F1F1F"/>
              <w:left w:val="single" w:sz="6" w:space="0" w:color="1F1F1F"/>
              <w:bottom w:val="single" w:sz="6" w:space="0" w:color="1F1F1F"/>
              <w:right w:val="single" w:sz="6" w:space="0" w:color="1F1F1F"/>
            </w:tcBorders>
            <w:shd w:val="clear" w:color="auto" w:fill="FFFFFF"/>
            <w:tcMar>
              <w:top w:w="0" w:type="dxa"/>
              <w:left w:w="0" w:type="dxa"/>
              <w:bottom w:w="0" w:type="dxa"/>
              <w:right w:w="0" w:type="dxa"/>
            </w:tcMar>
          </w:tcPr>
          <w:p w14:paraId="2649C602" w14:textId="77777777" w:rsidR="00C856F9" w:rsidRDefault="004E2CB7">
            <w:pPr>
              <w:spacing w:before="20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 cm</w:t>
            </w:r>
          </w:p>
        </w:tc>
        <w:tc>
          <w:tcPr>
            <w:tcW w:w="2325" w:type="dxa"/>
            <w:tcBorders>
              <w:top w:val="single" w:sz="6" w:space="0" w:color="1F1F1F"/>
              <w:left w:val="single" w:sz="6" w:space="0" w:color="1F1F1F"/>
              <w:bottom w:val="single" w:sz="6" w:space="0" w:color="1F1F1F"/>
              <w:right w:val="single" w:sz="6" w:space="0" w:color="1F1F1F"/>
            </w:tcBorders>
            <w:shd w:val="clear" w:color="auto" w:fill="FFFFFF"/>
            <w:tcMar>
              <w:top w:w="0" w:type="dxa"/>
              <w:left w:w="0" w:type="dxa"/>
              <w:bottom w:w="0" w:type="dxa"/>
              <w:right w:w="0" w:type="dxa"/>
            </w:tcMar>
          </w:tcPr>
          <w:p w14:paraId="773E0DF8" w14:textId="77777777" w:rsidR="00C856F9" w:rsidRDefault="004E2CB7">
            <w:pPr>
              <w:spacing w:before="20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 – 5.5 cm</w:t>
            </w:r>
          </w:p>
        </w:tc>
      </w:tr>
      <w:tr w:rsidR="00C856F9" w14:paraId="3B0D7B8D" w14:textId="77777777">
        <w:trPr>
          <w:trHeight w:val="705"/>
        </w:trPr>
        <w:tc>
          <w:tcPr>
            <w:tcW w:w="3525" w:type="dxa"/>
            <w:vMerge w:val="restart"/>
            <w:tcBorders>
              <w:top w:val="single" w:sz="6" w:space="0" w:color="1F1F1F"/>
              <w:left w:val="single" w:sz="6" w:space="0" w:color="1F1F1F"/>
              <w:bottom w:val="single" w:sz="6" w:space="0" w:color="1F1F1F"/>
              <w:right w:val="single" w:sz="6" w:space="0" w:color="1F1F1F"/>
            </w:tcBorders>
            <w:shd w:val="clear" w:color="auto" w:fill="FFFFFF"/>
            <w:tcMar>
              <w:top w:w="0" w:type="dxa"/>
              <w:left w:w="0" w:type="dxa"/>
              <w:bottom w:w="0" w:type="dxa"/>
              <w:right w:w="0" w:type="dxa"/>
            </w:tcMar>
          </w:tcPr>
          <w:p w14:paraId="0FBC597F" w14:textId="77777777" w:rsidR="00C856F9" w:rsidRDefault="004E2CB7">
            <w:pPr>
              <w:spacing w:before="20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Greater Curvature (GC)</w:t>
            </w:r>
          </w:p>
        </w:tc>
        <w:tc>
          <w:tcPr>
            <w:tcW w:w="2235" w:type="dxa"/>
            <w:tcBorders>
              <w:top w:val="single" w:sz="6" w:space="0" w:color="1F1F1F"/>
              <w:left w:val="single" w:sz="6" w:space="0" w:color="1F1F1F"/>
              <w:bottom w:val="single" w:sz="6" w:space="0" w:color="1F1F1F"/>
              <w:right w:val="single" w:sz="6" w:space="0" w:color="1F1F1F"/>
            </w:tcBorders>
            <w:shd w:val="clear" w:color="auto" w:fill="FFFFFF"/>
            <w:tcMar>
              <w:top w:w="0" w:type="dxa"/>
              <w:left w:w="0" w:type="dxa"/>
              <w:bottom w:w="0" w:type="dxa"/>
              <w:right w:w="0" w:type="dxa"/>
            </w:tcMar>
          </w:tcPr>
          <w:p w14:paraId="47C21854" w14:textId="77777777" w:rsidR="00C856F9" w:rsidRDefault="004E2CB7">
            <w:pPr>
              <w:spacing w:before="20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Proximal SB length</w:t>
            </w:r>
          </w:p>
        </w:tc>
        <w:tc>
          <w:tcPr>
            <w:tcW w:w="2085" w:type="dxa"/>
            <w:tcBorders>
              <w:top w:val="single" w:sz="6" w:space="0" w:color="1F1F1F"/>
              <w:left w:val="single" w:sz="6" w:space="0" w:color="1F1F1F"/>
              <w:bottom w:val="single" w:sz="6" w:space="0" w:color="1F1F1F"/>
              <w:right w:val="single" w:sz="6" w:space="0" w:color="1F1F1F"/>
            </w:tcBorders>
            <w:shd w:val="clear" w:color="auto" w:fill="FFFFFF"/>
            <w:tcMar>
              <w:top w:w="0" w:type="dxa"/>
              <w:left w:w="0" w:type="dxa"/>
              <w:bottom w:w="0" w:type="dxa"/>
              <w:right w:w="0" w:type="dxa"/>
            </w:tcMar>
          </w:tcPr>
          <w:p w14:paraId="7C2C3B62" w14:textId="77777777" w:rsidR="00C856F9" w:rsidRDefault="004E2CB7">
            <w:pPr>
              <w:spacing w:before="20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6.8 cm</w:t>
            </w:r>
          </w:p>
        </w:tc>
        <w:tc>
          <w:tcPr>
            <w:tcW w:w="2325" w:type="dxa"/>
            <w:tcBorders>
              <w:top w:val="single" w:sz="6" w:space="0" w:color="1F1F1F"/>
              <w:left w:val="single" w:sz="6" w:space="0" w:color="1F1F1F"/>
              <w:bottom w:val="single" w:sz="6" w:space="0" w:color="1F1F1F"/>
              <w:right w:val="single" w:sz="6" w:space="0" w:color="1F1F1F"/>
            </w:tcBorders>
            <w:shd w:val="clear" w:color="auto" w:fill="FFFFFF"/>
            <w:tcMar>
              <w:top w:w="0" w:type="dxa"/>
              <w:left w:w="0" w:type="dxa"/>
              <w:bottom w:w="0" w:type="dxa"/>
              <w:right w:w="0" w:type="dxa"/>
            </w:tcMar>
          </w:tcPr>
          <w:p w14:paraId="47EF1BE2" w14:textId="77777777" w:rsidR="00C856F9" w:rsidRDefault="004E2CB7">
            <w:pPr>
              <w:spacing w:before="20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 – 11.0 cm</w:t>
            </w:r>
          </w:p>
        </w:tc>
      </w:tr>
      <w:tr w:rsidR="00C856F9" w14:paraId="64112456" w14:textId="77777777">
        <w:trPr>
          <w:trHeight w:val="630"/>
        </w:trPr>
        <w:tc>
          <w:tcPr>
            <w:tcW w:w="3525" w:type="dxa"/>
            <w:vMerge/>
            <w:tcBorders>
              <w:top w:val="single" w:sz="6" w:space="0" w:color="1F1F1F"/>
              <w:left w:val="single" w:sz="6" w:space="0" w:color="1F1F1F"/>
              <w:bottom w:val="single" w:sz="6" w:space="0" w:color="1F1F1F"/>
              <w:right w:val="single" w:sz="6" w:space="0" w:color="1F1F1F"/>
            </w:tcBorders>
            <w:shd w:val="clear" w:color="auto" w:fill="FFFFFF"/>
            <w:tcMar>
              <w:top w:w="0" w:type="dxa"/>
              <w:left w:w="0" w:type="dxa"/>
              <w:bottom w:w="0" w:type="dxa"/>
              <w:right w:w="0" w:type="dxa"/>
            </w:tcMar>
          </w:tcPr>
          <w:p w14:paraId="0F49B0E2" w14:textId="77777777" w:rsidR="00C856F9" w:rsidRDefault="00C856F9">
            <w:pPr>
              <w:widowControl w:val="0"/>
              <w:spacing w:before="200" w:line="240" w:lineRule="auto"/>
              <w:rPr>
                <w:rFonts w:ascii="Times New Roman" w:eastAsia="Times New Roman" w:hAnsi="Times New Roman" w:cs="Times New Roman"/>
                <w:sz w:val="24"/>
                <w:szCs w:val="24"/>
              </w:rPr>
            </w:pPr>
          </w:p>
        </w:tc>
        <w:tc>
          <w:tcPr>
            <w:tcW w:w="2235" w:type="dxa"/>
            <w:tcBorders>
              <w:top w:val="single" w:sz="6" w:space="0" w:color="1F1F1F"/>
              <w:left w:val="single" w:sz="6" w:space="0" w:color="1F1F1F"/>
              <w:bottom w:val="single" w:sz="6" w:space="0" w:color="1F1F1F"/>
              <w:right w:val="single" w:sz="6" w:space="0" w:color="1F1F1F"/>
            </w:tcBorders>
            <w:tcMar>
              <w:top w:w="0" w:type="dxa"/>
              <w:left w:w="0" w:type="dxa"/>
              <w:bottom w:w="0" w:type="dxa"/>
              <w:right w:w="0" w:type="dxa"/>
            </w:tcMar>
          </w:tcPr>
          <w:p w14:paraId="19138DB8" w14:textId="77777777" w:rsidR="00C856F9" w:rsidRDefault="004E2CB7">
            <w:pPr>
              <w:spacing w:before="20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Distal SB length</w:t>
            </w:r>
          </w:p>
        </w:tc>
        <w:tc>
          <w:tcPr>
            <w:tcW w:w="2085" w:type="dxa"/>
            <w:tcBorders>
              <w:top w:val="single" w:sz="6" w:space="0" w:color="1F1F1F"/>
              <w:left w:val="single" w:sz="6" w:space="0" w:color="1F1F1F"/>
              <w:bottom w:val="single" w:sz="6" w:space="0" w:color="1F1F1F"/>
              <w:right w:val="single" w:sz="6" w:space="0" w:color="1F1F1F"/>
            </w:tcBorders>
            <w:tcMar>
              <w:top w:w="0" w:type="dxa"/>
              <w:left w:w="0" w:type="dxa"/>
              <w:bottom w:w="0" w:type="dxa"/>
              <w:right w:w="0" w:type="dxa"/>
            </w:tcMar>
          </w:tcPr>
          <w:p w14:paraId="1E30877D" w14:textId="77777777" w:rsidR="00C856F9" w:rsidRDefault="004E2CB7">
            <w:pPr>
              <w:spacing w:before="20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 cm</w:t>
            </w:r>
          </w:p>
        </w:tc>
        <w:tc>
          <w:tcPr>
            <w:tcW w:w="2325" w:type="dxa"/>
            <w:tcBorders>
              <w:top w:val="single" w:sz="6" w:space="0" w:color="1F1F1F"/>
              <w:left w:val="single" w:sz="6" w:space="0" w:color="1F1F1F"/>
              <w:bottom w:val="single" w:sz="6" w:space="0" w:color="1F1F1F"/>
              <w:right w:val="single" w:sz="6" w:space="0" w:color="1F1F1F"/>
            </w:tcBorders>
            <w:tcMar>
              <w:top w:w="0" w:type="dxa"/>
              <w:left w:w="0" w:type="dxa"/>
              <w:bottom w:w="0" w:type="dxa"/>
              <w:right w:w="0" w:type="dxa"/>
            </w:tcMar>
          </w:tcPr>
          <w:p w14:paraId="46CA905D" w14:textId="77777777" w:rsidR="00C856F9" w:rsidRDefault="004E2CB7">
            <w:pPr>
              <w:spacing w:before="20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 – 9.5 cm</w:t>
            </w:r>
          </w:p>
        </w:tc>
      </w:tr>
    </w:tbl>
    <w:p w14:paraId="00ABEE4F" w14:textId="77777777" w:rsidR="00C856F9" w:rsidRDefault="004E2CB7">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approach tried to utilize the knowledge of anatomy to reduce the complexity of SNNS. The objective was to predetermine a fixed anatomical region for lymphatic dissection based on the longitudinal and circumferential location of the primary tumor. This could have reduced the operative time and solved the logistical issues associated with SNNS approach. But the study failed to validate this concept's reliability. Future perspective studies and further evidence will be required to explore this novel technique.</w:t>
      </w:r>
    </w:p>
    <w:p w14:paraId="5EE1F1DD" w14:textId="77777777" w:rsidR="00C856F9" w:rsidRDefault="004E2CB7">
      <w:pPr>
        <w:spacing w:before="20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Strategies for Enhancement</w:t>
      </w:r>
    </w:p>
    <w:p w14:paraId="1D0888B9" w14:textId="79BA9BCA" w:rsidR="00C856F9" w:rsidRDefault="004E2CB7">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SNNS had a persistent risk, albeit low, of false negative results. This was inherent to any tracer-based techniques. So, another approach focused on a technique to augment the findings of SNNS with an external predictive model. This technique utilized the MCP along with SNNS. Combination of MCP with SNNS yielded a 100% NPV in Varga’s study [40]. This signifies that if the combined criteria of SNNS and MCP deem the patient as free of lymph node metastasis - there is virtually no risk of skip metastasis. This is a novel combination technique as it designates high risk lymph node stations irrespective of their anatomic location and staining pattern. This approach can tailor to a customized lymphadenectomy in EGC which would potentially not leave any disease behind.</w:t>
      </w:r>
    </w:p>
    <w:p w14:paraId="6B71F38D" w14:textId="783E9826" w:rsidR="00C856F9" w:rsidRPr="00B834B6" w:rsidRDefault="00B834B6">
      <w:pPr>
        <w:spacing w:before="200" w:line="240" w:lineRule="auto"/>
        <w:jc w:val="both"/>
        <w:rPr>
          <w:rFonts w:ascii="Times New Roman" w:eastAsia="Times New Roman" w:hAnsi="Times New Roman" w:cs="Times New Roman"/>
          <w:b/>
          <w:bCs/>
          <w:sz w:val="24"/>
          <w:szCs w:val="24"/>
          <w:highlight w:val="yellow"/>
        </w:rPr>
      </w:pPr>
      <w:r w:rsidRPr="00B834B6">
        <w:rPr>
          <w:rFonts w:ascii="Times New Roman" w:eastAsia="Times New Roman" w:hAnsi="Times New Roman" w:cs="Times New Roman"/>
          <w:b/>
          <w:bCs/>
          <w:sz w:val="24"/>
          <w:szCs w:val="24"/>
          <w:highlight w:val="yellow"/>
        </w:rPr>
        <w:t>Limitations</w:t>
      </w:r>
    </w:p>
    <w:p w14:paraId="3D36FC4F" w14:textId="31E12743" w:rsidR="00B834B6" w:rsidRDefault="00B834B6">
      <w:pPr>
        <w:spacing w:before="200" w:line="240" w:lineRule="auto"/>
        <w:jc w:val="both"/>
        <w:rPr>
          <w:rStyle w:val="ng-star-inserted"/>
          <w:rFonts w:ascii="Times New Roman" w:hAnsi="Times New Roman" w:cs="Times New Roman"/>
          <w:color w:val="303030"/>
          <w:sz w:val="24"/>
          <w:szCs w:val="24"/>
          <w:shd w:val="clear" w:color="auto" w:fill="FFFFFF"/>
        </w:rPr>
      </w:pPr>
      <w:r w:rsidRPr="00B834B6">
        <w:rPr>
          <w:rStyle w:val="ng-star-inserted"/>
          <w:rFonts w:ascii="Times New Roman" w:hAnsi="Times New Roman" w:cs="Times New Roman"/>
          <w:color w:val="303030"/>
          <w:sz w:val="24"/>
          <w:szCs w:val="24"/>
          <w:highlight w:val="yellow"/>
          <w:shd w:val="clear" w:color="auto" w:fill="FFFFFF"/>
        </w:rPr>
        <w:t xml:space="preserve">Several methodological constraints must be acknowledged in this review. First, the selection process was restricted to </w:t>
      </w:r>
      <w:r w:rsidRPr="00B834B6">
        <w:rPr>
          <w:rFonts w:ascii="Times New Roman" w:hAnsi="Times New Roman" w:cs="Times New Roman"/>
          <w:color w:val="303030"/>
          <w:sz w:val="24"/>
          <w:szCs w:val="24"/>
          <w:highlight w:val="yellow"/>
          <w:shd w:val="clear" w:color="auto" w:fill="FFFFFF"/>
        </w:rPr>
        <w:t>studies published only in English</w:t>
      </w:r>
      <w:r w:rsidRPr="00B834B6">
        <w:rPr>
          <w:rStyle w:val="ng-star-inserted"/>
          <w:rFonts w:ascii="Times New Roman" w:hAnsi="Times New Roman" w:cs="Times New Roman"/>
          <w:color w:val="303030"/>
          <w:sz w:val="24"/>
          <w:szCs w:val="24"/>
          <w:highlight w:val="yellow"/>
          <w:shd w:val="clear" w:color="auto" w:fill="FFFFFF"/>
        </w:rPr>
        <w:t xml:space="preserve">, which may have inadvertently excluded relevant research conducted in other languages. The </w:t>
      </w:r>
      <w:r w:rsidRPr="00B834B6">
        <w:rPr>
          <w:rFonts w:ascii="Times New Roman" w:hAnsi="Times New Roman" w:cs="Times New Roman"/>
          <w:color w:val="303030"/>
          <w:sz w:val="24"/>
          <w:szCs w:val="24"/>
          <w:highlight w:val="yellow"/>
          <w:shd w:val="clear" w:color="auto" w:fill="FFFFFF"/>
        </w:rPr>
        <w:t>exclusion of conference abstracts</w:t>
      </w:r>
      <w:r w:rsidRPr="00B834B6">
        <w:rPr>
          <w:rStyle w:val="ng-star-inserted"/>
          <w:rFonts w:ascii="Times New Roman" w:hAnsi="Times New Roman" w:cs="Times New Roman"/>
          <w:color w:val="303030"/>
          <w:sz w:val="24"/>
          <w:szCs w:val="24"/>
          <w:highlight w:val="yellow"/>
          <w:shd w:val="clear" w:color="auto" w:fill="FFFFFF"/>
        </w:rPr>
        <w:t xml:space="preserve"> without sufficient data, as well as preprints and letters, may have introduced </w:t>
      </w:r>
      <w:r w:rsidRPr="00B834B6">
        <w:rPr>
          <w:rFonts w:ascii="Times New Roman" w:hAnsi="Times New Roman" w:cs="Times New Roman"/>
          <w:color w:val="303030"/>
          <w:sz w:val="24"/>
          <w:szCs w:val="24"/>
          <w:highlight w:val="yellow"/>
          <w:shd w:val="clear" w:color="auto" w:fill="FFFFFF"/>
        </w:rPr>
        <w:t>potential publication bias</w:t>
      </w:r>
      <w:r w:rsidRPr="00B834B6">
        <w:rPr>
          <w:rStyle w:val="ng-star-inserted"/>
          <w:rFonts w:ascii="Times New Roman" w:hAnsi="Times New Roman" w:cs="Times New Roman"/>
          <w:color w:val="303030"/>
          <w:sz w:val="24"/>
          <w:szCs w:val="24"/>
          <w:highlight w:val="yellow"/>
          <w:shd w:val="clear" w:color="auto" w:fill="FFFFFF"/>
        </w:rPr>
        <w:t xml:space="preserve"> by overlooking recent, unpublished, or negative findings. Furthermore, there is a notable </w:t>
      </w:r>
      <w:r w:rsidRPr="00B834B6">
        <w:rPr>
          <w:rFonts w:ascii="Times New Roman" w:hAnsi="Times New Roman" w:cs="Times New Roman"/>
          <w:color w:val="303030"/>
          <w:sz w:val="24"/>
          <w:szCs w:val="24"/>
          <w:highlight w:val="yellow"/>
          <w:shd w:val="clear" w:color="auto" w:fill="FFFFFF"/>
        </w:rPr>
        <w:t>predominance of Asian cohorts</w:t>
      </w:r>
      <w:r w:rsidRPr="00B834B6">
        <w:rPr>
          <w:rStyle w:val="ng-star-inserted"/>
          <w:rFonts w:ascii="Times New Roman" w:hAnsi="Times New Roman" w:cs="Times New Roman"/>
          <w:color w:val="303030"/>
          <w:sz w:val="24"/>
          <w:szCs w:val="24"/>
          <w:highlight w:val="yellow"/>
          <w:shd w:val="clear" w:color="auto" w:fill="FFFFFF"/>
        </w:rPr>
        <w:t xml:space="preserve"> in the analyzed literature, particularly from major trials like SENORITA and studies by Kinami et al., which typically report higher diagnostic accuracy than studies involving </w:t>
      </w:r>
      <w:r w:rsidRPr="00B834B6">
        <w:rPr>
          <w:rFonts w:ascii="Times New Roman" w:hAnsi="Times New Roman" w:cs="Times New Roman"/>
          <w:color w:val="303030"/>
          <w:sz w:val="24"/>
          <w:szCs w:val="24"/>
          <w:highlight w:val="yellow"/>
          <w:shd w:val="clear" w:color="auto" w:fill="FFFFFF"/>
        </w:rPr>
        <w:t>Western cohorts</w:t>
      </w:r>
      <w:r w:rsidRPr="00B834B6">
        <w:rPr>
          <w:rStyle w:val="ng-star-inserted"/>
          <w:rFonts w:ascii="Times New Roman" w:hAnsi="Times New Roman" w:cs="Times New Roman"/>
          <w:color w:val="303030"/>
          <w:sz w:val="24"/>
          <w:szCs w:val="24"/>
          <w:highlight w:val="yellow"/>
          <w:shd w:val="clear" w:color="auto" w:fill="FFFFFF"/>
        </w:rPr>
        <w:t xml:space="preserve">. This demographic imbalance suggests that the findings may not be fully generalisable to global populations with different tumor characteristics. Additionally, the </w:t>
      </w:r>
      <w:r w:rsidRPr="00B834B6">
        <w:rPr>
          <w:rFonts w:ascii="Times New Roman" w:hAnsi="Times New Roman" w:cs="Times New Roman"/>
          <w:color w:val="303030"/>
          <w:sz w:val="24"/>
          <w:szCs w:val="24"/>
          <w:highlight w:val="yellow"/>
          <w:shd w:val="clear" w:color="auto" w:fill="FFFFFF"/>
        </w:rPr>
        <w:t>inclusion of retrospective studies</w:t>
      </w:r>
      <w:r w:rsidRPr="00B834B6">
        <w:rPr>
          <w:rStyle w:val="ng-star-inserted"/>
          <w:rFonts w:ascii="Times New Roman" w:hAnsi="Times New Roman" w:cs="Times New Roman"/>
          <w:color w:val="303030"/>
          <w:sz w:val="24"/>
          <w:szCs w:val="24"/>
          <w:highlight w:val="yellow"/>
          <w:shd w:val="clear" w:color="auto" w:fill="FFFFFF"/>
        </w:rPr>
        <w:t xml:space="preserve"> alongside prospective trials introduces inherent limitations related to data consistency and selection bias. Finally, while the review followed PRISMA recommendations, the reliance on a specific set of databases (PUBMED, EMBASE, and SCOPUS) means that some relevant studies outside these indices might have been missed.</w:t>
      </w:r>
    </w:p>
    <w:p w14:paraId="56EFBEFA" w14:textId="77777777" w:rsidR="00B834B6" w:rsidRPr="00B834B6" w:rsidRDefault="00B834B6">
      <w:pPr>
        <w:spacing w:before="200" w:line="240" w:lineRule="auto"/>
        <w:jc w:val="both"/>
        <w:rPr>
          <w:rFonts w:ascii="Times New Roman" w:eastAsia="Times New Roman" w:hAnsi="Times New Roman" w:cs="Times New Roman"/>
          <w:sz w:val="24"/>
          <w:szCs w:val="24"/>
        </w:rPr>
      </w:pPr>
    </w:p>
    <w:p w14:paraId="0D9959F8" w14:textId="2C43DD07" w:rsidR="00C856F9" w:rsidRDefault="004E2CB7">
      <w:pPr>
        <w:spacing w:before="200" w:line="240" w:lineRule="auto"/>
        <w:jc w:val="both"/>
        <w:rPr>
          <w:rFonts w:ascii="Times New Roman" w:eastAsia="Times New Roman" w:hAnsi="Times New Roman" w:cs="Times New Roman"/>
          <w:b/>
          <w:bCs/>
          <w:sz w:val="30"/>
          <w:szCs w:val="30"/>
        </w:rPr>
      </w:pPr>
      <w:r>
        <w:rPr>
          <w:rFonts w:ascii="Times New Roman" w:eastAsia="Times New Roman" w:hAnsi="Times New Roman" w:cs="Times New Roman"/>
          <w:b/>
          <w:bCs/>
          <w:sz w:val="30"/>
          <w:szCs w:val="30"/>
        </w:rPr>
        <w:t>CONCLUSION</w:t>
      </w:r>
    </w:p>
    <w:p w14:paraId="019CCA61" w14:textId="427DA1E0" w:rsidR="00C856F9" w:rsidRPr="00792E25" w:rsidRDefault="004E2CB7">
      <w:pPr>
        <w:spacing w:before="200" w:line="240" w:lineRule="auto"/>
        <w:jc w:val="both"/>
        <w:rPr>
          <w:rFonts w:ascii="Times New Roman" w:eastAsia="Times New Roman" w:hAnsi="Times New Roman" w:cs="Times New Roman"/>
          <w:color w:val="000000" w:themeColor="text1"/>
          <w:sz w:val="24"/>
          <w:szCs w:val="24"/>
        </w:rPr>
      </w:pPr>
      <w:r w:rsidRPr="00792E25">
        <w:rPr>
          <w:rFonts w:ascii="Times New Roman" w:eastAsia="Times New Roman" w:hAnsi="Times New Roman" w:cs="Times New Roman"/>
          <w:sz w:val="24"/>
          <w:szCs w:val="24"/>
        </w:rPr>
        <w:t xml:space="preserve">In the current era of </w:t>
      </w:r>
      <w:r w:rsidR="007C184E" w:rsidRPr="00792E25">
        <w:rPr>
          <w:rFonts w:ascii="Times New Roman" w:eastAsia="Times New Roman" w:hAnsi="Times New Roman" w:cs="Times New Roman"/>
          <w:sz w:val="24"/>
          <w:szCs w:val="24"/>
        </w:rPr>
        <w:t>de-escalation</w:t>
      </w:r>
      <w:r w:rsidRPr="00792E25">
        <w:rPr>
          <w:rFonts w:ascii="Times New Roman" w:eastAsia="Times New Roman" w:hAnsi="Times New Roman" w:cs="Times New Roman"/>
          <w:sz w:val="24"/>
          <w:szCs w:val="24"/>
        </w:rPr>
        <w:t>, radicality is intended to be avoided. Similarly, for EGC the new way forward has been developed. Avoiding the procedural burden and major post operative morbidities post standard gastrectomy and D1/D2 lymph node dissection has become the need of the hour</w:t>
      </w:r>
      <w:r w:rsidRPr="00792E25">
        <w:rPr>
          <w:rFonts w:ascii="Times New Roman" w:eastAsia="Times New Roman" w:hAnsi="Times New Roman" w:cs="Times New Roman"/>
          <w:color w:val="000000" w:themeColor="text1"/>
          <w:sz w:val="24"/>
          <w:szCs w:val="24"/>
        </w:rPr>
        <w:t xml:space="preserve">. </w:t>
      </w:r>
      <w:r w:rsidR="00792E25" w:rsidRPr="00792E25">
        <w:rPr>
          <w:rStyle w:val="ng-star-inserted"/>
          <w:rFonts w:ascii="Times New Roman" w:hAnsi="Times New Roman" w:cs="Times New Roman"/>
          <w:color w:val="000000" w:themeColor="text1"/>
          <w:sz w:val="24"/>
          <w:szCs w:val="24"/>
          <w:highlight w:val="yellow"/>
          <w:shd w:val="clear" w:color="auto" w:fill="FFFFFF"/>
        </w:rPr>
        <w:t xml:space="preserve">The current evidence comparing </w:t>
      </w:r>
      <w:r w:rsidR="00792E25" w:rsidRPr="00792E25">
        <w:rPr>
          <w:rFonts w:ascii="Times New Roman" w:hAnsi="Times New Roman" w:cs="Times New Roman"/>
          <w:color w:val="000000" w:themeColor="text1"/>
          <w:sz w:val="24"/>
          <w:szCs w:val="24"/>
          <w:highlight w:val="yellow"/>
          <w:shd w:val="clear" w:color="auto" w:fill="FFFFFF"/>
        </w:rPr>
        <w:t>SNNS</w:t>
      </w:r>
      <w:r w:rsidR="00792E25" w:rsidRPr="00792E25">
        <w:rPr>
          <w:rStyle w:val="ng-star-inserted"/>
          <w:rFonts w:ascii="Times New Roman" w:hAnsi="Times New Roman" w:cs="Times New Roman"/>
          <w:color w:val="000000" w:themeColor="text1"/>
          <w:sz w:val="24"/>
          <w:szCs w:val="24"/>
          <w:highlight w:val="yellow"/>
          <w:shd w:val="clear" w:color="auto" w:fill="FFFFFF"/>
        </w:rPr>
        <w:t xml:space="preserve"> and </w:t>
      </w:r>
      <w:r w:rsidR="00792E25" w:rsidRPr="00792E25">
        <w:rPr>
          <w:rFonts w:ascii="Times New Roman" w:hAnsi="Times New Roman" w:cs="Times New Roman"/>
          <w:color w:val="000000" w:themeColor="text1"/>
          <w:sz w:val="24"/>
          <w:szCs w:val="24"/>
          <w:highlight w:val="yellow"/>
          <w:shd w:val="clear" w:color="auto" w:fill="FFFFFF"/>
        </w:rPr>
        <w:t>RL</w:t>
      </w:r>
      <w:r w:rsidR="00792E25" w:rsidRPr="00792E25">
        <w:rPr>
          <w:rStyle w:val="ng-star-inserted"/>
          <w:rFonts w:ascii="Times New Roman" w:hAnsi="Times New Roman" w:cs="Times New Roman"/>
          <w:color w:val="000000" w:themeColor="text1"/>
          <w:sz w:val="24"/>
          <w:szCs w:val="24"/>
          <w:highlight w:val="yellow"/>
          <w:shd w:val="clear" w:color="auto" w:fill="FFFFFF"/>
        </w:rPr>
        <w:t xml:space="preserve"> in EGC is constrained by a </w:t>
      </w:r>
      <w:r w:rsidR="00792E25" w:rsidRPr="00792E25">
        <w:rPr>
          <w:rFonts w:ascii="Times New Roman" w:hAnsi="Times New Roman" w:cs="Times New Roman"/>
          <w:color w:val="000000" w:themeColor="text1"/>
          <w:sz w:val="24"/>
          <w:szCs w:val="24"/>
          <w:highlight w:val="yellow"/>
          <w:shd w:val="clear" w:color="auto" w:fill="FFFFFF"/>
        </w:rPr>
        <w:t>limited evidence base</w:t>
      </w:r>
      <w:r w:rsidR="00792E25" w:rsidRPr="00792E25">
        <w:rPr>
          <w:rStyle w:val="ng-star-inserted"/>
          <w:rFonts w:ascii="Times New Roman" w:hAnsi="Times New Roman" w:cs="Times New Roman"/>
          <w:color w:val="000000" w:themeColor="text1"/>
          <w:sz w:val="24"/>
          <w:szCs w:val="24"/>
          <w:highlight w:val="yellow"/>
          <w:shd w:val="clear" w:color="auto" w:fill="FFFFFF"/>
        </w:rPr>
        <w:t xml:space="preserve">, consisting of a small number of major clinical trials and a predominance of </w:t>
      </w:r>
      <w:r w:rsidR="00792E25" w:rsidRPr="00792E25">
        <w:rPr>
          <w:rFonts w:ascii="Times New Roman" w:hAnsi="Times New Roman" w:cs="Times New Roman"/>
          <w:color w:val="000000" w:themeColor="text1"/>
          <w:sz w:val="24"/>
          <w:szCs w:val="24"/>
          <w:highlight w:val="yellow"/>
          <w:shd w:val="clear" w:color="auto" w:fill="FFFFFF"/>
        </w:rPr>
        <w:t>Asian-specific data</w:t>
      </w:r>
      <w:r w:rsidR="00792E25" w:rsidRPr="00792E25">
        <w:rPr>
          <w:rStyle w:val="ng-star-inserted"/>
          <w:rFonts w:ascii="Times New Roman" w:hAnsi="Times New Roman" w:cs="Times New Roman"/>
          <w:color w:val="000000" w:themeColor="text1"/>
          <w:sz w:val="24"/>
          <w:szCs w:val="24"/>
          <w:highlight w:val="yellow"/>
          <w:shd w:val="clear" w:color="auto" w:fill="FFFFFF"/>
        </w:rPr>
        <w:t xml:space="preserve">. While SNNS has demonstrated high diagnostic accuracy in Asian cohorts, its reliability is notably lower in </w:t>
      </w:r>
      <w:r w:rsidR="00792E25" w:rsidRPr="00792E25">
        <w:rPr>
          <w:rFonts w:ascii="Times New Roman" w:hAnsi="Times New Roman" w:cs="Times New Roman"/>
          <w:color w:val="000000" w:themeColor="text1"/>
          <w:sz w:val="24"/>
          <w:szCs w:val="24"/>
          <w:highlight w:val="yellow"/>
          <w:shd w:val="clear" w:color="auto" w:fill="FFFFFF"/>
        </w:rPr>
        <w:t>Western populations</w:t>
      </w:r>
      <w:r w:rsidR="00792E25" w:rsidRPr="00792E25">
        <w:rPr>
          <w:rStyle w:val="ng-star-inserted"/>
          <w:rFonts w:ascii="Times New Roman" w:hAnsi="Times New Roman" w:cs="Times New Roman"/>
          <w:color w:val="000000" w:themeColor="text1"/>
          <w:sz w:val="24"/>
          <w:szCs w:val="24"/>
          <w:highlight w:val="yellow"/>
          <w:shd w:val="clear" w:color="auto" w:fill="FFFFFF"/>
        </w:rPr>
        <w:t xml:space="preserve"> and is significantly compromised by clinical factors such as </w:t>
      </w:r>
      <w:r w:rsidR="00792E25" w:rsidRPr="00792E25">
        <w:rPr>
          <w:rFonts w:ascii="Times New Roman" w:hAnsi="Times New Roman" w:cs="Times New Roman"/>
          <w:color w:val="000000" w:themeColor="text1"/>
          <w:sz w:val="24"/>
          <w:szCs w:val="24"/>
          <w:highlight w:val="yellow"/>
          <w:shd w:val="clear" w:color="auto" w:fill="FFFFFF"/>
        </w:rPr>
        <w:t>lymphovascular invasion</w:t>
      </w:r>
      <w:r w:rsidR="00792E25" w:rsidRPr="00792E25">
        <w:rPr>
          <w:rStyle w:val="ng-star-inserted"/>
          <w:rFonts w:ascii="Times New Roman" w:hAnsi="Times New Roman" w:cs="Times New Roman"/>
          <w:color w:val="000000" w:themeColor="text1"/>
          <w:sz w:val="24"/>
          <w:szCs w:val="24"/>
          <w:highlight w:val="yellow"/>
          <w:shd w:val="clear" w:color="auto" w:fill="FFFFFF"/>
        </w:rPr>
        <w:t xml:space="preserve"> and advanced </w:t>
      </w:r>
      <w:r w:rsidR="00792E25" w:rsidRPr="00792E25">
        <w:rPr>
          <w:rFonts w:ascii="Times New Roman" w:hAnsi="Times New Roman" w:cs="Times New Roman"/>
          <w:color w:val="000000" w:themeColor="text1"/>
          <w:sz w:val="24"/>
          <w:szCs w:val="24"/>
          <w:highlight w:val="yellow"/>
          <w:shd w:val="clear" w:color="auto" w:fill="FFFFFF"/>
        </w:rPr>
        <w:t>pathological T-stage</w:t>
      </w:r>
      <w:r w:rsidR="00792E25" w:rsidRPr="00792E25">
        <w:rPr>
          <w:rStyle w:val="ng-star-inserted"/>
          <w:rFonts w:ascii="Times New Roman" w:hAnsi="Times New Roman" w:cs="Times New Roman"/>
          <w:color w:val="000000" w:themeColor="text1"/>
          <w:sz w:val="24"/>
          <w:szCs w:val="24"/>
          <w:highlight w:val="yellow"/>
          <w:shd w:val="clear" w:color="auto" w:fill="FFFFFF"/>
        </w:rPr>
        <w:t xml:space="preserve">. The RL approach offers a simplified logistical alternative. However, data suggests it </w:t>
      </w:r>
      <w:r w:rsidR="00792E25" w:rsidRPr="00792E25">
        <w:rPr>
          <w:rStyle w:val="ng-star-inserted"/>
          <w:rFonts w:ascii="Times New Roman" w:hAnsi="Times New Roman" w:cs="Times New Roman"/>
          <w:color w:val="000000" w:themeColor="text1"/>
          <w:sz w:val="24"/>
          <w:szCs w:val="24"/>
          <w:highlight w:val="yellow"/>
          <w:shd w:val="clear" w:color="auto" w:fill="FFFFFF"/>
        </w:rPr>
        <w:lastRenderedPageBreak/>
        <w:t xml:space="preserve">may lack the necessary reliability to be a standalone strategy due to the inherent risk of </w:t>
      </w:r>
      <w:r w:rsidR="00792E25" w:rsidRPr="00792E25">
        <w:rPr>
          <w:rFonts w:ascii="Times New Roman" w:hAnsi="Times New Roman" w:cs="Times New Roman"/>
          <w:color w:val="000000" w:themeColor="text1"/>
          <w:sz w:val="24"/>
          <w:szCs w:val="24"/>
          <w:highlight w:val="yellow"/>
          <w:shd w:val="clear" w:color="auto" w:fill="FFFFFF"/>
        </w:rPr>
        <w:t>skip metastasis</w:t>
      </w:r>
      <w:r w:rsidR="00792E25" w:rsidRPr="00792E25">
        <w:rPr>
          <w:rStyle w:val="ng-star-inserted"/>
          <w:rFonts w:ascii="Times New Roman" w:hAnsi="Times New Roman" w:cs="Times New Roman"/>
          <w:color w:val="000000" w:themeColor="text1"/>
          <w:sz w:val="24"/>
          <w:szCs w:val="24"/>
          <w:highlight w:val="yellow"/>
          <w:shd w:val="clear" w:color="auto" w:fill="FFFFFF"/>
        </w:rPr>
        <w:t xml:space="preserve"> in the complex gastric lymphatic network. Furthermore, while integrating predictive models like the </w:t>
      </w:r>
      <w:r w:rsidR="00792E25" w:rsidRPr="00792E25">
        <w:rPr>
          <w:rFonts w:ascii="Times New Roman" w:hAnsi="Times New Roman" w:cs="Times New Roman"/>
          <w:color w:val="000000" w:themeColor="text1"/>
          <w:sz w:val="24"/>
          <w:szCs w:val="24"/>
          <w:highlight w:val="yellow"/>
          <w:shd w:val="clear" w:color="auto" w:fill="FFFFFF"/>
        </w:rPr>
        <w:t>MCP</w:t>
      </w:r>
      <w:r w:rsidR="00792E25" w:rsidRPr="00792E25">
        <w:rPr>
          <w:rStyle w:val="ng-star-inserted"/>
          <w:rFonts w:ascii="Times New Roman" w:hAnsi="Times New Roman" w:cs="Times New Roman"/>
          <w:color w:val="000000" w:themeColor="text1"/>
          <w:sz w:val="24"/>
          <w:szCs w:val="24"/>
          <w:highlight w:val="yellow"/>
          <w:shd w:val="clear" w:color="auto" w:fill="FFFFFF"/>
        </w:rPr>
        <w:t xml:space="preserve"> with SNNS shows potential for achieving high negative predictive values, these findings rely on limited studies that may incorporate broader data beyond strictly defined EGC. Therefore, while these tailored strategies represent a significant shift toward </w:t>
      </w:r>
      <w:r w:rsidR="00792E25" w:rsidRPr="00792E25">
        <w:rPr>
          <w:rFonts w:ascii="Times New Roman" w:hAnsi="Times New Roman" w:cs="Times New Roman"/>
          <w:color w:val="000000" w:themeColor="text1"/>
          <w:sz w:val="24"/>
          <w:szCs w:val="24"/>
          <w:highlight w:val="yellow"/>
          <w:shd w:val="clear" w:color="auto" w:fill="FFFFFF"/>
        </w:rPr>
        <w:t>function-preserving surgery</w:t>
      </w:r>
      <w:r w:rsidR="00792E25" w:rsidRPr="00792E25">
        <w:rPr>
          <w:rStyle w:val="ng-star-inserted"/>
          <w:rFonts w:ascii="Times New Roman" w:hAnsi="Times New Roman" w:cs="Times New Roman"/>
          <w:color w:val="000000" w:themeColor="text1"/>
          <w:sz w:val="24"/>
          <w:szCs w:val="24"/>
          <w:highlight w:val="yellow"/>
          <w:shd w:val="clear" w:color="auto" w:fill="FFFFFF"/>
        </w:rPr>
        <w:t xml:space="preserve">, they cannot yet be considered superior to standard radical gastrectomy. Further large-scale, </w:t>
      </w:r>
      <w:r w:rsidR="00792E25" w:rsidRPr="00792E25">
        <w:rPr>
          <w:rFonts w:ascii="Times New Roman" w:hAnsi="Times New Roman" w:cs="Times New Roman"/>
          <w:color w:val="000000" w:themeColor="text1"/>
          <w:sz w:val="24"/>
          <w:szCs w:val="24"/>
          <w:highlight w:val="yellow"/>
          <w:shd w:val="clear" w:color="auto" w:fill="FFFFFF"/>
        </w:rPr>
        <w:t>prospective global trials</w:t>
      </w:r>
      <w:r w:rsidR="00792E25" w:rsidRPr="00792E25">
        <w:rPr>
          <w:rStyle w:val="ng-star-inserted"/>
          <w:rFonts w:ascii="Times New Roman" w:hAnsi="Times New Roman" w:cs="Times New Roman"/>
          <w:color w:val="000000" w:themeColor="text1"/>
          <w:sz w:val="24"/>
          <w:szCs w:val="24"/>
          <w:highlight w:val="yellow"/>
          <w:shd w:val="clear" w:color="auto" w:fill="FFFFFF"/>
        </w:rPr>
        <w:t xml:space="preserve"> are essential to solidify their oncological safety and establish a definitive standard of care.</w:t>
      </w:r>
    </w:p>
    <w:p w14:paraId="770CACDF" w14:textId="77777777" w:rsidR="00C856F9" w:rsidRDefault="00C856F9">
      <w:pPr>
        <w:spacing w:line="360" w:lineRule="auto"/>
        <w:jc w:val="both"/>
        <w:rPr>
          <w:rFonts w:ascii="Times New Roman" w:eastAsia="Times New Roman" w:hAnsi="Times New Roman" w:cs="Times New Roman"/>
          <w:b/>
          <w:bCs/>
          <w:sz w:val="24"/>
          <w:szCs w:val="24"/>
          <w:shd w:val="clear" w:color="auto" w:fill="FCFCFC"/>
        </w:rPr>
      </w:pPr>
    </w:p>
    <w:p w14:paraId="3C50EBB6" w14:textId="77777777" w:rsidR="00C856F9" w:rsidRDefault="004E2CB7">
      <w:pPr>
        <w:spacing w:line="360" w:lineRule="auto"/>
        <w:jc w:val="both"/>
        <w:rPr>
          <w:rFonts w:ascii="Times New Roman" w:eastAsia="Times New Roman" w:hAnsi="Times New Roman" w:cs="Times New Roman"/>
          <w:b/>
          <w:bCs/>
          <w:sz w:val="30"/>
          <w:szCs w:val="30"/>
          <w:shd w:val="clear" w:color="auto" w:fill="FCFCFC"/>
        </w:rPr>
      </w:pPr>
      <w:r>
        <w:rPr>
          <w:rFonts w:ascii="Times New Roman" w:eastAsia="Times New Roman" w:hAnsi="Times New Roman" w:cs="Times New Roman"/>
          <w:b/>
          <w:bCs/>
          <w:sz w:val="30"/>
          <w:szCs w:val="30"/>
          <w:shd w:val="clear" w:color="auto" w:fill="FCFCFC"/>
        </w:rPr>
        <w:t>DECLARATIONS</w:t>
      </w:r>
    </w:p>
    <w:p w14:paraId="6DF0D861" w14:textId="77777777" w:rsidR="00C856F9" w:rsidRDefault="004E2CB7">
      <w:pPr>
        <w:spacing w:line="259" w:lineRule="auto"/>
        <w:jc w:val="both"/>
        <w:rPr>
          <w:rFonts w:ascii="Times New Roman" w:eastAsia="Times New Roman" w:hAnsi="Times New Roman" w:cs="Times New Roman"/>
          <w:sz w:val="24"/>
          <w:szCs w:val="24"/>
          <w:highlight w:val="white"/>
        </w:rPr>
      </w:pPr>
      <w:bookmarkStart w:id="2" w:name="_4vm6xr96qwdf" w:colFirst="0" w:colLast="0"/>
      <w:bookmarkEnd w:id="2"/>
      <w:r>
        <w:rPr>
          <w:rFonts w:ascii="Times New Roman" w:eastAsia="Times New Roman" w:hAnsi="Times New Roman" w:cs="Times New Roman"/>
          <w:b/>
          <w:bCs/>
          <w:sz w:val="24"/>
          <w:szCs w:val="24"/>
          <w:highlight w:val="white"/>
        </w:rPr>
        <w:t>Artificial Intelligence:</w:t>
      </w:r>
      <w:r>
        <w:rPr>
          <w:rFonts w:ascii="Times New Roman" w:eastAsia="Times New Roman" w:hAnsi="Times New Roman" w:cs="Times New Roman"/>
          <w:sz w:val="24"/>
          <w:szCs w:val="24"/>
          <w:highlight w:val="white"/>
        </w:rPr>
        <w:t xml:space="preserve"> During the preparation of this work, the authors used </w:t>
      </w:r>
      <w:r>
        <w:rPr>
          <w:rFonts w:ascii="Times New Roman" w:eastAsia="Times New Roman" w:hAnsi="Times New Roman" w:cs="Times New Roman"/>
          <w:i/>
          <w:iCs/>
          <w:sz w:val="24"/>
          <w:szCs w:val="24"/>
          <w:highlight w:val="white"/>
        </w:rPr>
        <w:t xml:space="preserve">Google </w:t>
      </w:r>
      <w:proofErr w:type="spellStart"/>
      <w:r>
        <w:rPr>
          <w:rFonts w:ascii="Times New Roman" w:eastAsia="Times New Roman" w:hAnsi="Times New Roman" w:cs="Times New Roman"/>
          <w:i/>
          <w:iCs/>
          <w:sz w:val="24"/>
          <w:szCs w:val="24"/>
          <w:highlight w:val="white"/>
        </w:rPr>
        <w:t>NotebookLM</w:t>
      </w:r>
      <w:proofErr w:type="spellEnd"/>
      <w:r>
        <w:rPr>
          <w:rFonts w:ascii="Times New Roman" w:eastAsia="Times New Roman" w:hAnsi="Times New Roman" w:cs="Times New Roman"/>
          <w:sz w:val="24"/>
          <w:szCs w:val="24"/>
          <w:highlight w:val="white"/>
        </w:rPr>
        <w:t xml:space="preserve"> to summarize the available data and </w:t>
      </w:r>
      <w:proofErr w:type="spellStart"/>
      <w:r>
        <w:rPr>
          <w:rFonts w:ascii="Times New Roman" w:eastAsia="Times New Roman" w:hAnsi="Times New Roman" w:cs="Times New Roman"/>
          <w:i/>
          <w:iCs/>
          <w:sz w:val="24"/>
          <w:szCs w:val="24"/>
          <w:highlight w:val="white"/>
        </w:rPr>
        <w:t>FigureLabs</w:t>
      </w:r>
      <w:proofErr w:type="spellEnd"/>
      <w:r>
        <w:rPr>
          <w:rFonts w:ascii="Times New Roman" w:eastAsia="Times New Roman" w:hAnsi="Times New Roman" w:cs="Times New Roman"/>
          <w:sz w:val="24"/>
          <w:szCs w:val="24"/>
          <w:highlight w:val="white"/>
        </w:rPr>
        <w:t xml:space="preserve"> to generate illustrations. After using these tools, the authors reviewed and edited the content as needed and take full responsibility for the content of the published article.</w:t>
      </w:r>
    </w:p>
    <w:p w14:paraId="4BA9FD3F" w14:textId="77777777" w:rsidR="00C856F9" w:rsidRDefault="00C856F9">
      <w:pPr>
        <w:spacing w:before="200" w:line="240" w:lineRule="auto"/>
        <w:jc w:val="both"/>
        <w:rPr>
          <w:rFonts w:ascii="Times New Roman" w:eastAsia="Times New Roman" w:hAnsi="Times New Roman" w:cs="Times New Roman"/>
          <w:b/>
          <w:bCs/>
          <w:sz w:val="30"/>
          <w:szCs w:val="30"/>
        </w:rPr>
      </w:pPr>
    </w:p>
    <w:p w14:paraId="5365250A" w14:textId="77777777" w:rsidR="00C856F9" w:rsidRDefault="004E2CB7">
      <w:pPr>
        <w:spacing w:before="200" w:line="240" w:lineRule="auto"/>
        <w:jc w:val="both"/>
        <w:rPr>
          <w:rFonts w:ascii="Times New Roman" w:eastAsia="Times New Roman" w:hAnsi="Times New Roman" w:cs="Times New Roman"/>
          <w:b/>
          <w:bCs/>
          <w:sz w:val="30"/>
          <w:szCs w:val="30"/>
        </w:rPr>
      </w:pPr>
      <w:r>
        <w:rPr>
          <w:rFonts w:ascii="Times New Roman" w:eastAsia="Times New Roman" w:hAnsi="Times New Roman" w:cs="Times New Roman"/>
          <w:b/>
          <w:bCs/>
          <w:sz w:val="30"/>
          <w:szCs w:val="30"/>
        </w:rPr>
        <w:t>REFERENCES</w:t>
      </w:r>
    </w:p>
    <w:p w14:paraId="6A4AD196" w14:textId="77777777" w:rsidR="00C856F9" w:rsidRDefault="00C856F9">
      <w:pPr>
        <w:spacing w:before="200" w:line="240" w:lineRule="auto"/>
        <w:jc w:val="both"/>
        <w:rPr>
          <w:rFonts w:ascii="Times New Roman" w:eastAsia="Times New Roman" w:hAnsi="Times New Roman" w:cs="Times New Roman"/>
          <w:b/>
          <w:bCs/>
          <w:sz w:val="30"/>
          <w:szCs w:val="30"/>
        </w:rPr>
      </w:pPr>
    </w:p>
    <w:p w14:paraId="53576958" w14:textId="77777777" w:rsidR="00C856F9" w:rsidRDefault="004E2CB7">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Mazurek, M., Szewc, M., Sitarz, M. Z., Dudzińska, E., &amp; Sitarz, R. (2024). Gastric Cancer: An Up-to-Date Review with New Insights into Early-Onset Gastric Cancer. Cancers, 16(18), 3163. </w:t>
      </w:r>
      <w:hyperlink r:id="rId9">
        <w:r>
          <w:rPr>
            <w:rFonts w:ascii="Times New Roman" w:eastAsia="Times New Roman" w:hAnsi="Times New Roman" w:cs="Times New Roman"/>
            <w:sz w:val="24"/>
            <w:szCs w:val="24"/>
            <w:highlight w:val="white"/>
          </w:rPr>
          <w:t>https://doi.org/10.3390/cancers16183163</w:t>
        </w:r>
      </w:hyperlink>
    </w:p>
    <w:p w14:paraId="5B71267D" w14:textId="77777777" w:rsidR="00C856F9" w:rsidRDefault="004E2CB7">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Oh, S.G., Seong, B.O., Ko, C.S. et al. Life expectancy of patients with early gastric cancer who underwent curative gastrectomy: comparison with the general population. Sci Rep 15, 5229 (2025). </w:t>
      </w:r>
      <w:hyperlink r:id="rId10">
        <w:r>
          <w:rPr>
            <w:rFonts w:ascii="Times New Roman" w:eastAsia="Times New Roman" w:hAnsi="Times New Roman" w:cs="Times New Roman"/>
            <w:sz w:val="24"/>
            <w:szCs w:val="24"/>
            <w:highlight w:val="white"/>
          </w:rPr>
          <w:t>doi.org/10.1038/s41598-025-89158-y</w:t>
        </w:r>
      </w:hyperlink>
    </w:p>
    <w:p w14:paraId="1EDE7B3B" w14:textId="77777777" w:rsidR="00C856F9" w:rsidRDefault="004E2CB7">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Tanaka N, Katai H, Taniguchi H, Saka M, Morita S, Fukunaga T, Shimoda T. Surgical treatment for early gastric cancer (in Japanese with English abstract). Stomach </w:t>
      </w:r>
      <w:proofErr w:type="spellStart"/>
      <w:r>
        <w:rPr>
          <w:rFonts w:ascii="Times New Roman" w:eastAsia="Times New Roman" w:hAnsi="Times New Roman" w:cs="Times New Roman"/>
          <w:sz w:val="24"/>
          <w:szCs w:val="24"/>
          <w:highlight w:val="white"/>
        </w:rPr>
        <w:t>Intest</w:t>
      </w:r>
      <w:proofErr w:type="spellEnd"/>
      <w:r>
        <w:rPr>
          <w:rFonts w:ascii="Times New Roman" w:eastAsia="Times New Roman" w:hAnsi="Times New Roman" w:cs="Times New Roman"/>
          <w:sz w:val="24"/>
          <w:szCs w:val="24"/>
          <w:highlight w:val="white"/>
        </w:rPr>
        <w:t xml:space="preserve"> 2009; 44: 700-706</w:t>
      </w:r>
    </w:p>
    <w:p w14:paraId="582A3689" w14:textId="77777777" w:rsidR="00C856F9" w:rsidRDefault="004E2CB7">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Kumagai K, and Sano T. Part III Lymph node metastasis: Clinical significance Gastric Cancer. In: </w:t>
      </w:r>
      <w:proofErr w:type="spellStart"/>
      <w:r>
        <w:rPr>
          <w:rFonts w:ascii="Times New Roman" w:eastAsia="Times New Roman" w:hAnsi="Times New Roman" w:cs="Times New Roman"/>
          <w:sz w:val="24"/>
          <w:szCs w:val="24"/>
          <w:highlight w:val="white"/>
        </w:rPr>
        <w:t>Natsugoe</w:t>
      </w:r>
      <w:proofErr w:type="spellEnd"/>
      <w:r>
        <w:rPr>
          <w:rFonts w:ascii="Times New Roman" w:eastAsia="Times New Roman" w:hAnsi="Times New Roman" w:cs="Times New Roman"/>
          <w:sz w:val="24"/>
          <w:szCs w:val="24"/>
          <w:highlight w:val="white"/>
        </w:rPr>
        <w:t xml:space="preserve"> S editor. Lymph Node Metastasis in Gastrointestinal Cancer. Singapore: Springer Nature; 2019: p267-282</w:t>
      </w:r>
    </w:p>
    <w:p w14:paraId="667B1722" w14:textId="77777777" w:rsidR="00C856F9" w:rsidRDefault="004E2CB7">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Japanese Gastric Cancer Association. Japanese gastric cancer treatment guidelines 2018 (5th edition). Gastric Cancer 2021; 24: 1-21 [PMID: 32060757 DOI: 10.1007/s10120-020-01042-y]</w:t>
      </w:r>
    </w:p>
    <w:p w14:paraId="1B336CBD" w14:textId="77777777" w:rsidR="00C856F9" w:rsidRDefault="004E2CB7">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Ajani JA, D’Amico TA, Bentrem DJ, et al. Gastric Cancer, Version 2.2022, NCCN Clinical Practice Guidelines in Oncology. J Natl </w:t>
      </w:r>
      <w:proofErr w:type="spellStart"/>
      <w:r>
        <w:rPr>
          <w:rFonts w:ascii="Times New Roman" w:eastAsia="Times New Roman" w:hAnsi="Times New Roman" w:cs="Times New Roman"/>
          <w:sz w:val="24"/>
          <w:szCs w:val="24"/>
          <w:highlight w:val="white"/>
        </w:rPr>
        <w:t>Compr</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Canc</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Netw</w:t>
      </w:r>
      <w:proofErr w:type="spellEnd"/>
      <w:r>
        <w:rPr>
          <w:rFonts w:ascii="Times New Roman" w:eastAsia="Times New Roman" w:hAnsi="Times New Roman" w:cs="Times New Roman"/>
          <w:sz w:val="24"/>
          <w:szCs w:val="24"/>
          <w:highlight w:val="white"/>
        </w:rPr>
        <w:t>. 2022;20(2):167–192. [PubMed: 35130500]</w:t>
      </w:r>
    </w:p>
    <w:p w14:paraId="1EDF4C07" w14:textId="77777777" w:rsidR="00C856F9" w:rsidRDefault="004E2CB7">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Kinami S, Nakamura N, Tomita Y, Miyata T, Fujita H, Ueda N, Kosaka T. Precision surgical approach with lymph-node dissection in early gastric cancer. World J Gastroenterol 2019; 25: 1640- 1652 [PMID: 31011251 DOI: 10.3748/wjg.v25.i14.1640]</w:t>
      </w:r>
    </w:p>
    <w:p w14:paraId="77747950" w14:textId="77777777" w:rsidR="00C856F9" w:rsidRDefault="004E2CB7">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Kim ER, Lee H, Min BH, et al. Effect of rescue surgery after non-curative endoscopic resection of early gastric cancer. Br J Surg. 2015;102(11):1394–401. https://doi.org/10.1002/bjs.9873.</w:t>
      </w:r>
    </w:p>
    <w:p w14:paraId="4A5EEAEC" w14:textId="77777777" w:rsidR="00C856F9" w:rsidRDefault="004E2CB7">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Hatta W, </w:t>
      </w:r>
      <w:proofErr w:type="spellStart"/>
      <w:r>
        <w:rPr>
          <w:rFonts w:ascii="Times New Roman" w:eastAsia="Times New Roman" w:hAnsi="Times New Roman" w:cs="Times New Roman"/>
          <w:sz w:val="24"/>
          <w:szCs w:val="24"/>
          <w:highlight w:val="white"/>
        </w:rPr>
        <w:t>Gotoda</w:t>
      </w:r>
      <w:proofErr w:type="spellEnd"/>
      <w:r>
        <w:rPr>
          <w:rFonts w:ascii="Times New Roman" w:eastAsia="Times New Roman" w:hAnsi="Times New Roman" w:cs="Times New Roman"/>
          <w:sz w:val="24"/>
          <w:szCs w:val="24"/>
          <w:highlight w:val="white"/>
        </w:rPr>
        <w:t xml:space="preserve"> T, Oyama T, et al. A scoring system to stratify curability after endoscopic submucosal dissection for early gastric cancer: “</w:t>
      </w:r>
      <w:proofErr w:type="spellStart"/>
      <w:r>
        <w:rPr>
          <w:rFonts w:ascii="Times New Roman" w:eastAsia="Times New Roman" w:hAnsi="Times New Roman" w:cs="Times New Roman"/>
          <w:sz w:val="24"/>
          <w:szCs w:val="24"/>
          <w:highlight w:val="white"/>
        </w:rPr>
        <w:t>eCura</w:t>
      </w:r>
      <w:proofErr w:type="spellEnd"/>
      <w:r>
        <w:rPr>
          <w:rFonts w:ascii="Times New Roman" w:eastAsia="Times New Roman" w:hAnsi="Times New Roman" w:cs="Times New Roman"/>
          <w:sz w:val="24"/>
          <w:szCs w:val="24"/>
          <w:highlight w:val="white"/>
        </w:rPr>
        <w:t xml:space="preserve"> system.” Am J Gastroentero. 2017;112(6):874–81. https://doi.org/10.1038/ajg.2017.95.</w:t>
      </w:r>
    </w:p>
    <w:p w14:paraId="36673920" w14:textId="77777777" w:rsidR="00C856F9" w:rsidRDefault="004E2CB7">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Park SH, Yoon HM, Ryu KW, Kim YW, Kook MC, Eom BW. Risks and benefits of additional surgery for early gastric cancer in the upper third of the stomach meeting non-curative resection criteria after endoscopic submucosal dissection. World J </w:t>
      </w:r>
      <w:proofErr w:type="spellStart"/>
      <w:r>
        <w:rPr>
          <w:rFonts w:ascii="Times New Roman" w:eastAsia="Times New Roman" w:hAnsi="Times New Roman" w:cs="Times New Roman"/>
          <w:sz w:val="24"/>
          <w:szCs w:val="24"/>
          <w:highlight w:val="white"/>
        </w:rPr>
        <w:t>Surg</w:t>
      </w:r>
      <w:proofErr w:type="spellEnd"/>
      <w:r>
        <w:rPr>
          <w:rFonts w:ascii="Times New Roman" w:eastAsia="Times New Roman" w:hAnsi="Times New Roman" w:cs="Times New Roman"/>
          <w:sz w:val="24"/>
          <w:szCs w:val="24"/>
          <w:highlight w:val="white"/>
        </w:rPr>
        <w:t xml:space="preserve"> Oncol. 2022;20(1):311. </w:t>
      </w:r>
      <w:hyperlink r:id="rId11">
        <w:r>
          <w:rPr>
            <w:rFonts w:ascii="Times New Roman" w:eastAsia="Times New Roman" w:hAnsi="Times New Roman" w:cs="Times New Roman"/>
            <w:sz w:val="24"/>
            <w:szCs w:val="24"/>
            <w:highlight w:val="white"/>
          </w:rPr>
          <w:t>https://doi.org/10.1186/</w:t>
        </w:r>
      </w:hyperlink>
      <w:r>
        <w:rPr>
          <w:rFonts w:ascii="Times New Roman" w:eastAsia="Times New Roman" w:hAnsi="Times New Roman" w:cs="Times New Roman"/>
          <w:sz w:val="24"/>
          <w:szCs w:val="24"/>
          <w:highlight w:val="white"/>
        </w:rPr>
        <w:t xml:space="preserve"> s12957-022-02780-2.</w:t>
      </w:r>
    </w:p>
    <w:p w14:paraId="31074EDA" w14:textId="77777777" w:rsidR="00C856F9" w:rsidRDefault="004E2CB7">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Kawata N, </w:t>
      </w:r>
      <w:proofErr w:type="spellStart"/>
      <w:r>
        <w:rPr>
          <w:rFonts w:ascii="Times New Roman" w:eastAsia="Times New Roman" w:hAnsi="Times New Roman" w:cs="Times New Roman"/>
          <w:sz w:val="24"/>
          <w:szCs w:val="24"/>
          <w:highlight w:val="white"/>
        </w:rPr>
        <w:t>Kakushima</w:t>
      </w:r>
      <w:proofErr w:type="spellEnd"/>
      <w:r>
        <w:rPr>
          <w:rFonts w:ascii="Times New Roman" w:eastAsia="Times New Roman" w:hAnsi="Times New Roman" w:cs="Times New Roman"/>
          <w:sz w:val="24"/>
          <w:szCs w:val="24"/>
          <w:highlight w:val="white"/>
        </w:rPr>
        <w:t xml:space="preserve"> N, Takizawa K, et al. Risk factors for lymph node metastasis and long-term outcomes of patients with early gastric cancer after non-curative endoscopic submucosal dissection. </w:t>
      </w:r>
      <w:proofErr w:type="spellStart"/>
      <w:r>
        <w:rPr>
          <w:rFonts w:ascii="Times New Roman" w:eastAsia="Times New Roman" w:hAnsi="Times New Roman" w:cs="Times New Roman"/>
          <w:sz w:val="24"/>
          <w:szCs w:val="24"/>
          <w:highlight w:val="white"/>
        </w:rPr>
        <w:t>Surg</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Endosc</w:t>
      </w:r>
      <w:proofErr w:type="spellEnd"/>
      <w:r>
        <w:rPr>
          <w:rFonts w:ascii="Times New Roman" w:eastAsia="Times New Roman" w:hAnsi="Times New Roman" w:cs="Times New Roman"/>
          <w:sz w:val="24"/>
          <w:szCs w:val="24"/>
          <w:highlight w:val="white"/>
        </w:rPr>
        <w:t xml:space="preserve">. 2017;31(4):1607–16. </w:t>
      </w:r>
      <w:hyperlink r:id="rId12">
        <w:r>
          <w:rPr>
            <w:rFonts w:ascii="Times New Roman" w:eastAsia="Times New Roman" w:hAnsi="Times New Roman" w:cs="Times New Roman"/>
            <w:sz w:val="24"/>
            <w:szCs w:val="24"/>
            <w:highlight w:val="white"/>
          </w:rPr>
          <w:t>https://doi.org/10</w:t>
        </w:r>
      </w:hyperlink>
      <w:r>
        <w:rPr>
          <w:rFonts w:ascii="Times New Roman" w:eastAsia="Times New Roman" w:hAnsi="Times New Roman" w:cs="Times New Roman"/>
          <w:sz w:val="24"/>
          <w:szCs w:val="24"/>
          <w:highlight w:val="white"/>
        </w:rPr>
        <w:t>. 1007/s00464-016-5148-7.</w:t>
      </w:r>
    </w:p>
    <w:p w14:paraId="0068CCF4" w14:textId="77777777" w:rsidR="00C856F9" w:rsidRDefault="004E2CB7">
      <w:pPr>
        <w:numPr>
          <w:ilvl w:val="0"/>
          <w:numId w:val="1"/>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Hartgrink</w:t>
      </w:r>
      <w:proofErr w:type="spellEnd"/>
      <w:r>
        <w:rPr>
          <w:rFonts w:ascii="Times New Roman" w:eastAsia="Times New Roman" w:hAnsi="Times New Roman" w:cs="Times New Roman"/>
          <w:sz w:val="24"/>
          <w:szCs w:val="24"/>
          <w:highlight w:val="white"/>
        </w:rPr>
        <w:t xml:space="preserve"> HH, van de Velde CJ, Putter H, </w:t>
      </w:r>
      <w:proofErr w:type="spellStart"/>
      <w:r>
        <w:rPr>
          <w:rFonts w:ascii="Times New Roman" w:eastAsia="Times New Roman" w:hAnsi="Times New Roman" w:cs="Times New Roman"/>
          <w:sz w:val="24"/>
          <w:szCs w:val="24"/>
          <w:highlight w:val="white"/>
        </w:rPr>
        <w:t>Bonenkamp</w:t>
      </w:r>
      <w:proofErr w:type="spellEnd"/>
      <w:r>
        <w:rPr>
          <w:rFonts w:ascii="Times New Roman" w:eastAsia="Times New Roman" w:hAnsi="Times New Roman" w:cs="Times New Roman"/>
          <w:sz w:val="24"/>
          <w:szCs w:val="24"/>
          <w:highlight w:val="white"/>
        </w:rPr>
        <w:t xml:space="preserve"> JJ, Klein </w:t>
      </w:r>
      <w:proofErr w:type="spellStart"/>
      <w:r>
        <w:rPr>
          <w:rFonts w:ascii="Times New Roman" w:eastAsia="Times New Roman" w:hAnsi="Times New Roman" w:cs="Times New Roman"/>
          <w:sz w:val="24"/>
          <w:szCs w:val="24"/>
          <w:highlight w:val="white"/>
        </w:rPr>
        <w:t>Kranenbarg</w:t>
      </w:r>
      <w:proofErr w:type="spellEnd"/>
      <w:r>
        <w:rPr>
          <w:rFonts w:ascii="Times New Roman" w:eastAsia="Times New Roman" w:hAnsi="Times New Roman" w:cs="Times New Roman"/>
          <w:sz w:val="24"/>
          <w:szCs w:val="24"/>
          <w:highlight w:val="white"/>
        </w:rPr>
        <w:t xml:space="preserve"> E, Songun I, et al. Extended lymph node dissection for gastric cancer: Who may benefit? Final results of the randomized Dutch gastric cancer group trial. J Clin Oncol (2004) 22(11):2069–77. doi:10.1200/JCO. 2004.08.026</w:t>
      </w:r>
    </w:p>
    <w:p w14:paraId="4F8B5241" w14:textId="77777777" w:rsidR="00C856F9" w:rsidRDefault="004E2CB7">
      <w:pPr>
        <w:numPr>
          <w:ilvl w:val="0"/>
          <w:numId w:val="1"/>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Degiuli</w:t>
      </w:r>
      <w:proofErr w:type="spellEnd"/>
      <w:r>
        <w:rPr>
          <w:rFonts w:ascii="Times New Roman" w:eastAsia="Times New Roman" w:hAnsi="Times New Roman" w:cs="Times New Roman"/>
          <w:sz w:val="24"/>
          <w:szCs w:val="24"/>
          <w:highlight w:val="white"/>
        </w:rPr>
        <w:t xml:space="preserve"> M, </w:t>
      </w:r>
      <w:proofErr w:type="spellStart"/>
      <w:r>
        <w:rPr>
          <w:rFonts w:ascii="Times New Roman" w:eastAsia="Times New Roman" w:hAnsi="Times New Roman" w:cs="Times New Roman"/>
          <w:sz w:val="24"/>
          <w:szCs w:val="24"/>
          <w:highlight w:val="white"/>
        </w:rPr>
        <w:t>Reddavid</w:t>
      </w:r>
      <w:proofErr w:type="spellEnd"/>
      <w:r>
        <w:rPr>
          <w:rFonts w:ascii="Times New Roman" w:eastAsia="Times New Roman" w:hAnsi="Times New Roman" w:cs="Times New Roman"/>
          <w:sz w:val="24"/>
          <w:szCs w:val="24"/>
          <w:highlight w:val="white"/>
        </w:rPr>
        <w:t xml:space="preserve"> R, </w:t>
      </w:r>
      <w:proofErr w:type="spellStart"/>
      <w:r>
        <w:rPr>
          <w:rFonts w:ascii="Times New Roman" w:eastAsia="Times New Roman" w:hAnsi="Times New Roman" w:cs="Times New Roman"/>
          <w:sz w:val="24"/>
          <w:szCs w:val="24"/>
          <w:highlight w:val="white"/>
        </w:rPr>
        <w:t>Tomatis</w:t>
      </w:r>
      <w:proofErr w:type="spellEnd"/>
      <w:r>
        <w:rPr>
          <w:rFonts w:ascii="Times New Roman" w:eastAsia="Times New Roman" w:hAnsi="Times New Roman" w:cs="Times New Roman"/>
          <w:sz w:val="24"/>
          <w:szCs w:val="24"/>
          <w:highlight w:val="white"/>
        </w:rPr>
        <w:t xml:space="preserve"> M, Ponti A, Morino M, </w:t>
      </w:r>
      <w:proofErr w:type="spellStart"/>
      <w:r>
        <w:rPr>
          <w:rFonts w:ascii="Times New Roman" w:eastAsia="Times New Roman" w:hAnsi="Times New Roman" w:cs="Times New Roman"/>
          <w:sz w:val="24"/>
          <w:szCs w:val="24"/>
          <w:highlight w:val="white"/>
        </w:rPr>
        <w:t>Sasako</w:t>
      </w:r>
      <w:proofErr w:type="spellEnd"/>
      <w:r>
        <w:rPr>
          <w:rFonts w:ascii="Times New Roman" w:eastAsia="Times New Roman" w:hAnsi="Times New Roman" w:cs="Times New Roman"/>
          <w:sz w:val="24"/>
          <w:szCs w:val="24"/>
          <w:highlight w:val="white"/>
        </w:rPr>
        <w:t xml:space="preserve"> M, et al. D2 dissection improves disease-specific survival in advanced gastric cancer patients: 15-Year follow-up results of the Italian gastric cancer study group D1 versus D2 randomised controlled trial. Eur J Cancer (2021) 150:10–22. doi:10.1016/</w:t>
      </w:r>
      <w:proofErr w:type="spellStart"/>
      <w:r>
        <w:rPr>
          <w:rFonts w:ascii="Times New Roman" w:eastAsia="Times New Roman" w:hAnsi="Times New Roman" w:cs="Times New Roman"/>
          <w:sz w:val="24"/>
          <w:szCs w:val="24"/>
          <w:highlight w:val="white"/>
        </w:rPr>
        <w:t>j.ejca</w:t>
      </w:r>
      <w:proofErr w:type="spellEnd"/>
      <w:r>
        <w:rPr>
          <w:rFonts w:ascii="Times New Roman" w:eastAsia="Times New Roman" w:hAnsi="Times New Roman" w:cs="Times New Roman"/>
          <w:sz w:val="24"/>
          <w:szCs w:val="24"/>
          <w:highlight w:val="white"/>
        </w:rPr>
        <w:t>. 2021.03.031</w:t>
      </w:r>
    </w:p>
    <w:p w14:paraId="2EDF6880" w14:textId="77777777" w:rsidR="00C856F9" w:rsidRDefault="004E2CB7">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Songun I, Putter H, </w:t>
      </w:r>
      <w:proofErr w:type="spellStart"/>
      <w:r>
        <w:rPr>
          <w:rFonts w:ascii="Times New Roman" w:eastAsia="Times New Roman" w:hAnsi="Times New Roman" w:cs="Times New Roman"/>
          <w:sz w:val="24"/>
          <w:szCs w:val="24"/>
          <w:highlight w:val="white"/>
        </w:rPr>
        <w:t>Kranenbarg</w:t>
      </w:r>
      <w:proofErr w:type="spellEnd"/>
      <w:r>
        <w:rPr>
          <w:rFonts w:ascii="Times New Roman" w:eastAsia="Times New Roman" w:hAnsi="Times New Roman" w:cs="Times New Roman"/>
          <w:sz w:val="24"/>
          <w:szCs w:val="24"/>
          <w:highlight w:val="white"/>
        </w:rPr>
        <w:t xml:space="preserve"> EM, </w:t>
      </w:r>
      <w:proofErr w:type="spellStart"/>
      <w:r>
        <w:rPr>
          <w:rFonts w:ascii="Times New Roman" w:eastAsia="Times New Roman" w:hAnsi="Times New Roman" w:cs="Times New Roman"/>
          <w:sz w:val="24"/>
          <w:szCs w:val="24"/>
          <w:highlight w:val="white"/>
        </w:rPr>
        <w:t>Sasako</w:t>
      </w:r>
      <w:proofErr w:type="spellEnd"/>
      <w:r>
        <w:rPr>
          <w:rFonts w:ascii="Times New Roman" w:eastAsia="Times New Roman" w:hAnsi="Times New Roman" w:cs="Times New Roman"/>
          <w:sz w:val="24"/>
          <w:szCs w:val="24"/>
          <w:highlight w:val="white"/>
        </w:rPr>
        <w:t xml:space="preserve"> M, van de Velde CJ. Surgical treatment of gastric cancer: 15-Year follow-up results of the randomised nationwide Dutch D1d2 trial. Lancet Oncol (2010) 11(5):439–49. doi:10.1016/S1470-2045(10) 70070-X</w:t>
      </w:r>
    </w:p>
    <w:p w14:paraId="4BB8B30B" w14:textId="77777777" w:rsidR="00C856F9" w:rsidRDefault="004E2CB7">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Ryu KW, Eom BW, Nam BH, et al. Is the sentinel node biopsy clinically applicable for limited lymphadenectomy and modified gastric resection in gastric cancer? A meta-analysis of feasibility studies. J </w:t>
      </w:r>
      <w:proofErr w:type="spellStart"/>
      <w:r>
        <w:rPr>
          <w:rFonts w:ascii="Times New Roman" w:eastAsia="Times New Roman" w:hAnsi="Times New Roman" w:cs="Times New Roman"/>
          <w:sz w:val="24"/>
          <w:szCs w:val="24"/>
          <w:highlight w:val="white"/>
        </w:rPr>
        <w:t>Surg</w:t>
      </w:r>
      <w:proofErr w:type="spellEnd"/>
      <w:r>
        <w:rPr>
          <w:rFonts w:ascii="Times New Roman" w:eastAsia="Times New Roman" w:hAnsi="Times New Roman" w:cs="Times New Roman"/>
          <w:sz w:val="24"/>
          <w:szCs w:val="24"/>
          <w:highlight w:val="white"/>
        </w:rPr>
        <w:t xml:space="preserve"> Oncol. 2011;104(6):578–84. https://doi.org/10.1002/jso.21995.</w:t>
      </w:r>
    </w:p>
    <w:p w14:paraId="07B97DD9" w14:textId="77777777" w:rsidR="00C856F9" w:rsidRDefault="004E2CB7">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Kitagawa Y, Takeuchi H, Takagi Y, </w:t>
      </w:r>
      <w:proofErr w:type="spellStart"/>
      <w:r>
        <w:rPr>
          <w:rFonts w:ascii="Times New Roman" w:eastAsia="Times New Roman" w:hAnsi="Times New Roman" w:cs="Times New Roman"/>
          <w:sz w:val="24"/>
          <w:szCs w:val="24"/>
          <w:highlight w:val="white"/>
        </w:rPr>
        <w:t>Natsugoe</w:t>
      </w:r>
      <w:proofErr w:type="spellEnd"/>
      <w:r>
        <w:rPr>
          <w:rFonts w:ascii="Times New Roman" w:eastAsia="Times New Roman" w:hAnsi="Times New Roman" w:cs="Times New Roman"/>
          <w:sz w:val="24"/>
          <w:szCs w:val="24"/>
          <w:highlight w:val="white"/>
        </w:rPr>
        <w:t xml:space="preserve"> S, Terashima M, Murakami N, Fujimura T, Tsujimoto H, Hayashi H, Yoshimizu N, </w:t>
      </w:r>
      <w:proofErr w:type="spellStart"/>
      <w:r>
        <w:rPr>
          <w:rFonts w:ascii="Times New Roman" w:eastAsia="Times New Roman" w:hAnsi="Times New Roman" w:cs="Times New Roman"/>
          <w:sz w:val="24"/>
          <w:szCs w:val="24"/>
          <w:highlight w:val="white"/>
        </w:rPr>
        <w:t>Takagane</w:t>
      </w:r>
      <w:proofErr w:type="spellEnd"/>
      <w:r>
        <w:rPr>
          <w:rFonts w:ascii="Times New Roman" w:eastAsia="Times New Roman" w:hAnsi="Times New Roman" w:cs="Times New Roman"/>
          <w:sz w:val="24"/>
          <w:szCs w:val="24"/>
          <w:highlight w:val="white"/>
        </w:rPr>
        <w:t xml:space="preserve"> A, </w:t>
      </w:r>
      <w:proofErr w:type="spellStart"/>
      <w:r>
        <w:rPr>
          <w:rFonts w:ascii="Times New Roman" w:eastAsia="Times New Roman" w:hAnsi="Times New Roman" w:cs="Times New Roman"/>
          <w:sz w:val="24"/>
          <w:szCs w:val="24"/>
          <w:highlight w:val="white"/>
        </w:rPr>
        <w:t>Mohri</w:t>
      </w:r>
      <w:proofErr w:type="spellEnd"/>
      <w:r>
        <w:rPr>
          <w:rFonts w:ascii="Times New Roman" w:eastAsia="Times New Roman" w:hAnsi="Times New Roman" w:cs="Times New Roman"/>
          <w:sz w:val="24"/>
          <w:szCs w:val="24"/>
          <w:highlight w:val="white"/>
        </w:rPr>
        <w:t xml:space="preserve"> Y, Nabeshima K, </w:t>
      </w:r>
      <w:proofErr w:type="spellStart"/>
      <w:r>
        <w:rPr>
          <w:rFonts w:ascii="Times New Roman" w:eastAsia="Times New Roman" w:hAnsi="Times New Roman" w:cs="Times New Roman"/>
          <w:sz w:val="24"/>
          <w:szCs w:val="24"/>
          <w:highlight w:val="white"/>
        </w:rPr>
        <w:t>Uenosono</w:t>
      </w:r>
      <w:proofErr w:type="spellEnd"/>
      <w:r>
        <w:rPr>
          <w:rFonts w:ascii="Times New Roman" w:eastAsia="Times New Roman" w:hAnsi="Times New Roman" w:cs="Times New Roman"/>
          <w:sz w:val="24"/>
          <w:szCs w:val="24"/>
          <w:highlight w:val="white"/>
        </w:rPr>
        <w:t xml:space="preserve"> Y, Kinami S, Sakamoto J, Morita S, Aikou T, Miwa K, Kitajima M. Sentinel node mapping for gastric cancer: a prospective </w:t>
      </w:r>
      <w:proofErr w:type="spellStart"/>
      <w:r>
        <w:rPr>
          <w:rFonts w:ascii="Times New Roman" w:eastAsia="Times New Roman" w:hAnsi="Times New Roman" w:cs="Times New Roman"/>
          <w:sz w:val="24"/>
          <w:szCs w:val="24"/>
          <w:highlight w:val="white"/>
        </w:rPr>
        <w:t>multicenter</w:t>
      </w:r>
      <w:proofErr w:type="spellEnd"/>
      <w:r>
        <w:rPr>
          <w:rFonts w:ascii="Times New Roman" w:eastAsia="Times New Roman" w:hAnsi="Times New Roman" w:cs="Times New Roman"/>
          <w:sz w:val="24"/>
          <w:szCs w:val="24"/>
          <w:highlight w:val="white"/>
        </w:rPr>
        <w:t xml:space="preserve"> trial in Japan. J Clin Oncol 2013; 31: 3704-3710 [PMID: 24019550 DOI:10.1200/JCO.2013.50.3789]</w:t>
      </w:r>
    </w:p>
    <w:p w14:paraId="721DA0EE" w14:textId="77777777" w:rsidR="00C856F9" w:rsidRDefault="004E2CB7">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Kinami S, Fujimura T, Ojima E, </w:t>
      </w:r>
      <w:proofErr w:type="spellStart"/>
      <w:r>
        <w:rPr>
          <w:rFonts w:ascii="Times New Roman" w:eastAsia="Times New Roman" w:hAnsi="Times New Roman" w:cs="Times New Roman"/>
          <w:sz w:val="24"/>
          <w:szCs w:val="24"/>
          <w:highlight w:val="white"/>
        </w:rPr>
        <w:t>Fushida</w:t>
      </w:r>
      <w:proofErr w:type="spellEnd"/>
      <w:r>
        <w:rPr>
          <w:rFonts w:ascii="Times New Roman" w:eastAsia="Times New Roman" w:hAnsi="Times New Roman" w:cs="Times New Roman"/>
          <w:sz w:val="24"/>
          <w:szCs w:val="24"/>
          <w:highlight w:val="white"/>
        </w:rPr>
        <w:t xml:space="preserve"> S, Ojima T, Funaki H, Fujita H, Takamura H, Ninomiya I, Nishimura G, </w:t>
      </w:r>
      <w:proofErr w:type="spellStart"/>
      <w:r>
        <w:rPr>
          <w:rFonts w:ascii="Times New Roman" w:eastAsia="Times New Roman" w:hAnsi="Times New Roman" w:cs="Times New Roman"/>
          <w:sz w:val="24"/>
          <w:szCs w:val="24"/>
          <w:highlight w:val="white"/>
        </w:rPr>
        <w:t>Kayahara</w:t>
      </w:r>
      <w:proofErr w:type="spellEnd"/>
      <w:r>
        <w:rPr>
          <w:rFonts w:ascii="Times New Roman" w:eastAsia="Times New Roman" w:hAnsi="Times New Roman" w:cs="Times New Roman"/>
          <w:sz w:val="24"/>
          <w:szCs w:val="24"/>
          <w:highlight w:val="white"/>
        </w:rPr>
        <w:t xml:space="preserve"> M, Ohta T, Yoh Z. PTD classification: proposal for a new classification of gastric cancer location based on physiological lymphatic flow. Int J Clin Oncol 2008; 13: 320-329</w:t>
      </w:r>
    </w:p>
    <w:p w14:paraId="75B3C604" w14:textId="77777777" w:rsidR="00C856F9" w:rsidRDefault="004E2CB7">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Miwa K. [Sentinel node concept and its application for cancer surgery]. Nihon </w:t>
      </w:r>
      <w:proofErr w:type="spellStart"/>
      <w:r>
        <w:rPr>
          <w:rFonts w:ascii="Times New Roman" w:eastAsia="Times New Roman" w:hAnsi="Times New Roman" w:cs="Times New Roman"/>
          <w:sz w:val="24"/>
          <w:szCs w:val="24"/>
          <w:highlight w:val="white"/>
        </w:rPr>
        <w:t>Geka</w:t>
      </w:r>
      <w:proofErr w:type="spellEnd"/>
      <w:r>
        <w:rPr>
          <w:rFonts w:ascii="Times New Roman" w:eastAsia="Times New Roman" w:hAnsi="Times New Roman" w:cs="Times New Roman"/>
          <w:sz w:val="24"/>
          <w:szCs w:val="24"/>
          <w:highlight w:val="white"/>
        </w:rPr>
        <w:t xml:space="preserve"> Gakkai Zasshi 2000; 101: 307-310 [PMID: 10773998]</w:t>
      </w:r>
    </w:p>
    <w:p w14:paraId="0CC07587" w14:textId="77777777" w:rsidR="00C856F9" w:rsidRDefault="004E2CB7">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Hiki N, </w:t>
      </w:r>
      <w:proofErr w:type="spellStart"/>
      <w:r>
        <w:rPr>
          <w:rFonts w:ascii="Times New Roman" w:eastAsia="Times New Roman" w:hAnsi="Times New Roman" w:cs="Times New Roman"/>
          <w:sz w:val="24"/>
          <w:szCs w:val="24"/>
          <w:highlight w:val="white"/>
        </w:rPr>
        <w:t>Nunobe</w:t>
      </w:r>
      <w:proofErr w:type="spellEnd"/>
      <w:r>
        <w:rPr>
          <w:rFonts w:ascii="Times New Roman" w:eastAsia="Times New Roman" w:hAnsi="Times New Roman" w:cs="Times New Roman"/>
          <w:sz w:val="24"/>
          <w:szCs w:val="24"/>
          <w:highlight w:val="white"/>
        </w:rPr>
        <w:t xml:space="preserve"> S, Kubota T, Jiang X. Function-preserving gastrectomy for early gastric cancer. Ann </w:t>
      </w:r>
      <w:proofErr w:type="spellStart"/>
      <w:r>
        <w:rPr>
          <w:rFonts w:ascii="Times New Roman" w:eastAsia="Times New Roman" w:hAnsi="Times New Roman" w:cs="Times New Roman"/>
          <w:sz w:val="24"/>
          <w:szCs w:val="24"/>
          <w:highlight w:val="white"/>
        </w:rPr>
        <w:t>Surg</w:t>
      </w:r>
      <w:proofErr w:type="spellEnd"/>
      <w:r>
        <w:rPr>
          <w:rFonts w:ascii="Times New Roman" w:eastAsia="Times New Roman" w:hAnsi="Times New Roman" w:cs="Times New Roman"/>
          <w:sz w:val="24"/>
          <w:szCs w:val="24"/>
          <w:highlight w:val="white"/>
        </w:rPr>
        <w:t xml:space="preserve"> Oncol 2013; 20: 2683-2692 [PMID: 23504120 DOI: 10.1245/s10434-013-2931-8]</w:t>
      </w:r>
    </w:p>
    <w:p w14:paraId="4E696913" w14:textId="77777777" w:rsidR="00C856F9" w:rsidRDefault="004E2CB7">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Miwa K, Kinami S, Taniguchi K, </w:t>
      </w:r>
      <w:proofErr w:type="spellStart"/>
      <w:r>
        <w:rPr>
          <w:rFonts w:ascii="Times New Roman" w:eastAsia="Times New Roman" w:hAnsi="Times New Roman" w:cs="Times New Roman"/>
          <w:sz w:val="24"/>
          <w:szCs w:val="24"/>
          <w:highlight w:val="white"/>
        </w:rPr>
        <w:t>Fushida</w:t>
      </w:r>
      <w:proofErr w:type="spellEnd"/>
      <w:r>
        <w:rPr>
          <w:rFonts w:ascii="Times New Roman" w:eastAsia="Times New Roman" w:hAnsi="Times New Roman" w:cs="Times New Roman"/>
          <w:sz w:val="24"/>
          <w:szCs w:val="24"/>
          <w:highlight w:val="white"/>
        </w:rPr>
        <w:t xml:space="preserve"> S, Fujimura T, </w:t>
      </w:r>
      <w:proofErr w:type="spellStart"/>
      <w:r>
        <w:rPr>
          <w:rFonts w:ascii="Times New Roman" w:eastAsia="Times New Roman" w:hAnsi="Times New Roman" w:cs="Times New Roman"/>
          <w:sz w:val="24"/>
          <w:szCs w:val="24"/>
          <w:highlight w:val="white"/>
        </w:rPr>
        <w:t>Nonomura</w:t>
      </w:r>
      <w:proofErr w:type="spellEnd"/>
      <w:r>
        <w:rPr>
          <w:rFonts w:ascii="Times New Roman" w:eastAsia="Times New Roman" w:hAnsi="Times New Roman" w:cs="Times New Roman"/>
          <w:sz w:val="24"/>
          <w:szCs w:val="24"/>
          <w:highlight w:val="white"/>
        </w:rPr>
        <w:t xml:space="preserve"> A. Mapping sentinel nodes in patients with early-stage gastric carcinoma. Br J Surg 2003; 90: 178-182 [PMID: 12555293 DOI: 10.1002/bjs.4031]</w:t>
      </w:r>
    </w:p>
    <w:p w14:paraId="3CF0DE1C" w14:textId="77777777" w:rsidR="00C856F9" w:rsidRDefault="004E2CB7">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Hiratsuka M, Miyashiro I, Ishikawa O, Furukawa H, </w:t>
      </w:r>
      <w:proofErr w:type="spellStart"/>
      <w:r>
        <w:rPr>
          <w:rFonts w:ascii="Times New Roman" w:eastAsia="Times New Roman" w:hAnsi="Times New Roman" w:cs="Times New Roman"/>
          <w:sz w:val="24"/>
          <w:szCs w:val="24"/>
          <w:highlight w:val="white"/>
        </w:rPr>
        <w:t>Motomura</w:t>
      </w:r>
      <w:proofErr w:type="spellEnd"/>
      <w:r>
        <w:rPr>
          <w:rFonts w:ascii="Times New Roman" w:eastAsia="Times New Roman" w:hAnsi="Times New Roman" w:cs="Times New Roman"/>
          <w:sz w:val="24"/>
          <w:szCs w:val="24"/>
          <w:highlight w:val="white"/>
        </w:rPr>
        <w:t xml:space="preserve"> K, </w:t>
      </w:r>
      <w:proofErr w:type="spellStart"/>
      <w:r>
        <w:rPr>
          <w:rFonts w:ascii="Times New Roman" w:eastAsia="Times New Roman" w:hAnsi="Times New Roman" w:cs="Times New Roman"/>
          <w:sz w:val="24"/>
          <w:szCs w:val="24"/>
          <w:highlight w:val="white"/>
        </w:rPr>
        <w:t>Ohigashi</w:t>
      </w:r>
      <w:proofErr w:type="spellEnd"/>
      <w:r>
        <w:rPr>
          <w:rFonts w:ascii="Times New Roman" w:eastAsia="Times New Roman" w:hAnsi="Times New Roman" w:cs="Times New Roman"/>
          <w:sz w:val="24"/>
          <w:szCs w:val="24"/>
          <w:highlight w:val="white"/>
        </w:rPr>
        <w:t xml:space="preserve"> H, Kameyama M, Sasaki Y, Kabuto T, Ishiguro S, Imaoka S, Koyama H. Application of sentinel node biopsy to gastric cancer surgery. Surgery 2001; 129: 335-340 [PMID: 11231462 DOI: 10.1067/msy.2001.111699]</w:t>
      </w:r>
    </w:p>
    <w:p w14:paraId="7F85BAB3" w14:textId="77777777" w:rsidR="00C856F9" w:rsidRDefault="004E2CB7">
      <w:pPr>
        <w:numPr>
          <w:ilvl w:val="0"/>
          <w:numId w:val="1"/>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Ichikura</w:t>
      </w:r>
      <w:proofErr w:type="spellEnd"/>
      <w:r>
        <w:rPr>
          <w:rFonts w:ascii="Times New Roman" w:eastAsia="Times New Roman" w:hAnsi="Times New Roman" w:cs="Times New Roman"/>
          <w:sz w:val="24"/>
          <w:szCs w:val="24"/>
          <w:highlight w:val="white"/>
        </w:rPr>
        <w:t xml:space="preserve"> T, Morita D, Uchida T, Okura E, Majima T, Ogawa T, Mochizuki H. Sentinel node concept in gastric carcinoma. World J </w:t>
      </w:r>
      <w:proofErr w:type="spellStart"/>
      <w:r>
        <w:rPr>
          <w:rFonts w:ascii="Times New Roman" w:eastAsia="Times New Roman" w:hAnsi="Times New Roman" w:cs="Times New Roman"/>
          <w:sz w:val="24"/>
          <w:szCs w:val="24"/>
          <w:highlight w:val="white"/>
        </w:rPr>
        <w:t>Surg</w:t>
      </w:r>
      <w:proofErr w:type="spellEnd"/>
      <w:r>
        <w:rPr>
          <w:rFonts w:ascii="Times New Roman" w:eastAsia="Times New Roman" w:hAnsi="Times New Roman" w:cs="Times New Roman"/>
          <w:sz w:val="24"/>
          <w:szCs w:val="24"/>
          <w:highlight w:val="white"/>
        </w:rPr>
        <w:t xml:space="preserve"> 2002; 26: 318-322 [PMID: 11865368 DOI: 10.1007/s00268-001-0226-x]</w:t>
      </w:r>
    </w:p>
    <w:p w14:paraId="48585FC2" w14:textId="77777777" w:rsidR="00C856F9" w:rsidRDefault="004E2CB7">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Carlini M, Carboni F, Petric M, Santoro R, Guadagni F, Marandino F, Castelli M, Santoro E. Sentinel node in gastric cancer surgery. J Exp Clin Cancer Res 2002; 21: 469-473 [PMID: 12636091]</w:t>
      </w:r>
    </w:p>
    <w:p w14:paraId="015E83B3" w14:textId="77777777" w:rsidR="00C856F9" w:rsidRDefault="004E2CB7">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Hayashi H, Ochiai T, Mori M, </w:t>
      </w:r>
      <w:proofErr w:type="spellStart"/>
      <w:r>
        <w:rPr>
          <w:rFonts w:ascii="Times New Roman" w:eastAsia="Times New Roman" w:hAnsi="Times New Roman" w:cs="Times New Roman"/>
          <w:sz w:val="24"/>
          <w:szCs w:val="24"/>
          <w:highlight w:val="white"/>
        </w:rPr>
        <w:t>Karube</w:t>
      </w:r>
      <w:proofErr w:type="spellEnd"/>
      <w:r>
        <w:rPr>
          <w:rFonts w:ascii="Times New Roman" w:eastAsia="Times New Roman" w:hAnsi="Times New Roman" w:cs="Times New Roman"/>
          <w:sz w:val="24"/>
          <w:szCs w:val="24"/>
          <w:highlight w:val="white"/>
        </w:rPr>
        <w:t xml:space="preserve"> T, Suzuki T, Gunji Y, Hori S, Akutsu N, Matsubara H, Shimada H. Sentinel lymph node mapping for gastric cancer using a dual procedure with dye- and gamma probe-guided techniques. J Am Coll </w:t>
      </w:r>
      <w:proofErr w:type="spellStart"/>
      <w:r>
        <w:rPr>
          <w:rFonts w:ascii="Times New Roman" w:eastAsia="Times New Roman" w:hAnsi="Times New Roman" w:cs="Times New Roman"/>
          <w:sz w:val="24"/>
          <w:szCs w:val="24"/>
          <w:highlight w:val="white"/>
        </w:rPr>
        <w:t>Surg</w:t>
      </w:r>
      <w:proofErr w:type="spellEnd"/>
      <w:r>
        <w:rPr>
          <w:rFonts w:ascii="Times New Roman" w:eastAsia="Times New Roman" w:hAnsi="Times New Roman" w:cs="Times New Roman"/>
          <w:sz w:val="24"/>
          <w:szCs w:val="24"/>
          <w:highlight w:val="white"/>
        </w:rPr>
        <w:t xml:space="preserve"> 2003; 196: 68-74 [PMID: 12517553 DOI: 10.1016/s1072-7515(02)01594-6]</w:t>
      </w:r>
    </w:p>
    <w:p w14:paraId="21EF24EC" w14:textId="77777777" w:rsidR="00C856F9" w:rsidRDefault="004E2CB7">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Nimura H, </w:t>
      </w:r>
      <w:proofErr w:type="spellStart"/>
      <w:r>
        <w:rPr>
          <w:rFonts w:ascii="Times New Roman" w:eastAsia="Times New Roman" w:hAnsi="Times New Roman" w:cs="Times New Roman"/>
          <w:sz w:val="24"/>
          <w:szCs w:val="24"/>
          <w:highlight w:val="white"/>
        </w:rPr>
        <w:t>Narimiya</w:t>
      </w:r>
      <w:proofErr w:type="spellEnd"/>
      <w:r>
        <w:rPr>
          <w:rFonts w:ascii="Times New Roman" w:eastAsia="Times New Roman" w:hAnsi="Times New Roman" w:cs="Times New Roman"/>
          <w:sz w:val="24"/>
          <w:szCs w:val="24"/>
          <w:highlight w:val="white"/>
        </w:rPr>
        <w:t xml:space="preserve"> N, </w:t>
      </w:r>
      <w:proofErr w:type="spellStart"/>
      <w:r>
        <w:rPr>
          <w:rFonts w:ascii="Times New Roman" w:eastAsia="Times New Roman" w:hAnsi="Times New Roman" w:cs="Times New Roman"/>
          <w:sz w:val="24"/>
          <w:szCs w:val="24"/>
          <w:highlight w:val="white"/>
        </w:rPr>
        <w:t>Mitsumori</w:t>
      </w:r>
      <w:proofErr w:type="spellEnd"/>
      <w:r>
        <w:rPr>
          <w:rFonts w:ascii="Times New Roman" w:eastAsia="Times New Roman" w:hAnsi="Times New Roman" w:cs="Times New Roman"/>
          <w:sz w:val="24"/>
          <w:szCs w:val="24"/>
          <w:highlight w:val="white"/>
        </w:rPr>
        <w:t xml:space="preserve"> N, Yamazaki Y, Yanaga K, Urashima M. Infrared ray electronic endoscopy combined with indocyanine green injection for detection of sentinel nodes of patients with gastric cancer. Br J Surg 2004; 91: 575-579 [PMID: 15122608 DOI: 10.1002/bjs.4470]</w:t>
      </w:r>
    </w:p>
    <w:p w14:paraId="6E6842BB" w14:textId="77777777" w:rsidR="00C856F9" w:rsidRDefault="004E2CB7">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Song X, Wang L, Chen W, Pan T, Zhu H, Xu J, Jin M, Finley RK 3rd, Wu J. Lymphatic mapping and sentinel node biopsy in gastric cancer. Am J </w:t>
      </w:r>
      <w:proofErr w:type="spellStart"/>
      <w:r>
        <w:rPr>
          <w:rFonts w:ascii="Times New Roman" w:eastAsia="Times New Roman" w:hAnsi="Times New Roman" w:cs="Times New Roman"/>
          <w:sz w:val="24"/>
          <w:szCs w:val="24"/>
          <w:highlight w:val="white"/>
        </w:rPr>
        <w:t>Surg</w:t>
      </w:r>
      <w:proofErr w:type="spellEnd"/>
      <w:r>
        <w:rPr>
          <w:rFonts w:ascii="Times New Roman" w:eastAsia="Times New Roman" w:hAnsi="Times New Roman" w:cs="Times New Roman"/>
          <w:sz w:val="24"/>
          <w:szCs w:val="24"/>
          <w:highlight w:val="white"/>
        </w:rPr>
        <w:t xml:space="preserve"> 2004; 187: 270-273 [PMID: 14769318 DOI: 10.1016/j.amjsurg.2003.11.013]</w:t>
      </w:r>
    </w:p>
    <w:p w14:paraId="30D4F2D6" w14:textId="77777777" w:rsidR="00C856F9" w:rsidRDefault="004E2CB7">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Kusano M, Tajima Y, Yamazaki K, Kato M, Watanabe M, Miwa M. Sentinel node mapping guided by indocyanine green fluorescence imaging: a new method for sentinel node navigation surgery in gastrointestinal cancer. Dig </w:t>
      </w:r>
      <w:proofErr w:type="spellStart"/>
      <w:r>
        <w:rPr>
          <w:rFonts w:ascii="Times New Roman" w:eastAsia="Times New Roman" w:hAnsi="Times New Roman" w:cs="Times New Roman"/>
          <w:sz w:val="24"/>
          <w:szCs w:val="24"/>
          <w:highlight w:val="white"/>
        </w:rPr>
        <w:t>Surg</w:t>
      </w:r>
      <w:proofErr w:type="spellEnd"/>
      <w:r>
        <w:rPr>
          <w:rFonts w:ascii="Times New Roman" w:eastAsia="Times New Roman" w:hAnsi="Times New Roman" w:cs="Times New Roman"/>
          <w:sz w:val="24"/>
          <w:szCs w:val="24"/>
          <w:highlight w:val="white"/>
        </w:rPr>
        <w:t xml:space="preserve"> 2008; 25: 103-108 [PMID: 18379188 DOI: 10.1159/000121905]</w:t>
      </w:r>
    </w:p>
    <w:p w14:paraId="7474D760" w14:textId="77777777" w:rsidR="00C856F9" w:rsidRDefault="004E2CB7">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Yoshida M, Kubota K, Kuroda J, Ohta K, Nakamura T, Saito J, Kobayashi M, Sato T, Beck Y, Kitagawa Y, Kitajima M. Indocyanine green injection for detecting sentinel nodes using </w:t>
      </w:r>
      <w:proofErr w:type="spellStart"/>
      <w:r>
        <w:rPr>
          <w:rFonts w:ascii="Times New Roman" w:eastAsia="Times New Roman" w:hAnsi="Times New Roman" w:cs="Times New Roman"/>
          <w:sz w:val="24"/>
          <w:szCs w:val="24"/>
          <w:highlight w:val="white"/>
        </w:rPr>
        <w:t>color</w:t>
      </w:r>
      <w:proofErr w:type="spellEnd"/>
      <w:r>
        <w:rPr>
          <w:rFonts w:ascii="Times New Roman" w:eastAsia="Times New Roman" w:hAnsi="Times New Roman" w:cs="Times New Roman"/>
          <w:sz w:val="24"/>
          <w:szCs w:val="24"/>
          <w:highlight w:val="white"/>
        </w:rPr>
        <w:t xml:space="preserve"> fluorescence camera in the laparoscopy-assisted gastrectomy. J Gastroenterol Hepatol 2012; 27 </w:t>
      </w:r>
      <w:proofErr w:type="spellStart"/>
      <w:r>
        <w:rPr>
          <w:rFonts w:ascii="Times New Roman" w:eastAsia="Times New Roman" w:hAnsi="Times New Roman" w:cs="Times New Roman"/>
          <w:sz w:val="24"/>
          <w:szCs w:val="24"/>
          <w:highlight w:val="white"/>
        </w:rPr>
        <w:t>Suppl</w:t>
      </w:r>
      <w:proofErr w:type="spellEnd"/>
      <w:r>
        <w:rPr>
          <w:rFonts w:ascii="Times New Roman" w:eastAsia="Times New Roman" w:hAnsi="Times New Roman" w:cs="Times New Roman"/>
          <w:sz w:val="24"/>
          <w:szCs w:val="24"/>
          <w:highlight w:val="white"/>
        </w:rPr>
        <w:t xml:space="preserve"> 3: 29-33 [PMID: 22486868 DOI: 10.1111/j.1440-1746.2012.07067.x]</w:t>
      </w:r>
    </w:p>
    <w:p w14:paraId="417783B2" w14:textId="77777777" w:rsidR="00C856F9" w:rsidRDefault="004E2CB7">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Park JY, Kim YW, Ryu KW, Nam BH, Lee YJ, Jeong SH, Park JH, Hur H, Han SU, Min JS, An JY, Hyung WJ, Cho GS, Jeong GA, Jeong O, Park YK, Jung MR, Yoon HM, Eom BW. Assessment of laparoscopic stomach preserving surgery with sentinel basin dissection versus standard gastrectomy with lymphadenectomy in early gastric cancer-A </w:t>
      </w:r>
      <w:proofErr w:type="spellStart"/>
      <w:r>
        <w:rPr>
          <w:rFonts w:ascii="Times New Roman" w:eastAsia="Times New Roman" w:hAnsi="Times New Roman" w:cs="Times New Roman"/>
          <w:sz w:val="24"/>
          <w:szCs w:val="24"/>
          <w:highlight w:val="white"/>
        </w:rPr>
        <w:t>multicenter</w:t>
      </w:r>
      <w:proofErr w:type="spellEnd"/>
      <w:r>
        <w:rPr>
          <w:rFonts w:ascii="Times New Roman" w:eastAsia="Times New Roman" w:hAnsi="Times New Roman" w:cs="Times New Roman"/>
          <w:sz w:val="24"/>
          <w:szCs w:val="24"/>
          <w:highlight w:val="white"/>
        </w:rPr>
        <w:t xml:space="preserve"> randomized phase III clinical trial (SENORITA trial) protocol. BMC Cancer 2016; 16: 340 [PMID: 27246120 DOI: 10.1186/s12885-016-2336-8]</w:t>
      </w:r>
    </w:p>
    <w:p w14:paraId="21042D64" w14:textId="77777777" w:rsidR="00C856F9" w:rsidRDefault="004E2CB7">
      <w:pPr>
        <w:numPr>
          <w:ilvl w:val="0"/>
          <w:numId w:val="1"/>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Ohdaira</w:t>
      </w:r>
      <w:proofErr w:type="spellEnd"/>
      <w:r>
        <w:rPr>
          <w:rFonts w:ascii="Times New Roman" w:eastAsia="Times New Roman" w:hAnsi="Times New Roman" w:cs="Times New Roman"/>
          <w:sz w:val="24"/>
          <w:szCs w:val="24"/>
          <w:highlight w:val="white"/>
        </w:rPr>
        <w:t xml:space="preserve"> H, Nimura H, </w:t>
      </w:r>
      <w:proofErr w:type="spellStart"/>
      <w:r>
        <w:rPr>
          <w:rFonts w:ascii="Times New Roman" w:eastAsia="Times New Roman" w:hAnsi="Times New Roman" w:cs="Times New Roman"/>
          <w:sz w:val="24"/>
          <w:szCs w:val="24"/>
          <w:highlight w:val="white"/>
        </w:rPr>
        <w:t>Mitsumori</w:t>
      </w:r>
      <w:proofErr w:type="spellEnd"/>
      <w:r>
        <w:rPr>
          <w:rFonts w:ascii="Times New Roman" w:eastAsia="Times New Roman" w:hAnsi="Times New Roman" w:cs="Times New Roman"/>
          <w:sz w:val="24"/>
          <w:szCs w:val="24"/>
          <w:highlight w:val="white"/>
        </w:rPr>
        <w:t xml:space="preserve"> N, Takahashi N, Kashiwagi H, Yanaga K. Validity of modified gastrectomy combined with sentinel node navigation surgery for early gastric cancer. Gastric Cancer (2007) 10(2):117–22. doi:10.1007/s10120-007-0419-6</w:t>
      </w:r>
    </w:p>
    <w:p w14:paraId="384E141E" w14:textId="77777777" w:rsidR="00C856F9" w:rsidRDefault="004E2CB7">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Morton DL, Wen DR, Wong JH, Economou JS, Cagle LA, Storm FK, Foshag LJ, Cochran AJ. Technical details of intraoperative lymphatic mapping for early stage melanoma. Arch </w:t>
      </w:r>
      <w:proofErr w:type="spellStart"/>
      <w:r>
        <w:rPr>
          <w:rFonts w:ascii="Times New Roman" w:eastAsia="Times New Roman" w:hAnsi="Times New Roman" w:cs="Times New Roman"/>
          <w:sz w:val="24"/>
          <w:szCs w:val="24"/>
          <w:highlight w:val="white"/>
        </w:rPr>
        <w:t>Surg</w:t>
      </w:r>
      <w:proofErr w:type="spellEnd"/>
      <w:r>
        <w:rPr>
          <w:rFonts w:ascii="Times New Roman" w:eastAsia="Times New Roman" w:hAnsi="Times New Roman" w:cs="Times New Roman"/>
          <w:sz w:val="24"/>
          <w:szCs w:val="24"/>
          <w:highlight w:val="white"/>
        </w:rPr>
        <w:t xml:space="preserve"> 1992; 127: 392-399 [PMID: 1558490 DOI: 10.1001/archsurg.1992.01420040034005]</w:t>
      </w:r>
    </w:p>
    <w:p w14:paraId="2666A4FB" w14:textId="77777777" w:rsidR="00C856F9" w:rsidRDefault="004E2CB7">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Veronesi U, Paganelli G, Viale G, </w:t>
      </w:r>
      <w:proofErr w:type="spellStart"/>
      <w:r>
        <w:rPr>
          <w:rFonts w:ascii="Times New Roman" w:eastAsia="Times New Roman" w:hAnsi="Times New Roman" w:cs="Times New Roman"/>
          <w:sz w:val="24"/>
          <w:szCs w:val="24"/>
          <w:highlight w:val="white"/>
        </w:rPr>
        <w:t>Luini</w:t>
      </w:r>
      <w:proofErr w:type="spellEnd"/>
      <w:r>
        <w:rPr>
          <w:rFonts w:ascii="Times New Roman" w:eastAsia="Times New Roman" w:hAnsi="Times New Roman" w:cs="Times New Roman"/>
          <w:sz w:val="24"/>
          <w:szCs w:val="24"/>
          <w:highlight w:val="white"/>
        </w:rPr>
        <w:t xml:space="preserve"> A, </w:t>
      </w:r>
      <w:proofErr w:type="spellStart"/>
      <w:r>
        <w:rPr>
          <w:rFonts w:ascii="Times New Roman" w:eastAsia="Times New Roman" w:hAnsi="Times New Roman" w:cs="Times New Roman"/>
          <w:sz w:val="24"/>
          <w:szCs w:val="24"/>
          <w:highlight w:val="white"/>
        </w:rPr>
        <w:t>Zurrida</w:t>
      </w:r>
      <w:proofErr w:type="spellEnd"/>
      <w:r>
        <w:rPr>
          <w:rFonts w:ascii="Times New Roman" w:eastAsia="Times New Roman" w:hAnsi="Times New Roman" w:cs="Times New Roman"/>
          <w:sz w:val="24"/>
          <w:szCs w:val="24"/>
          <w:highlight w:val="white"/>
        </w:rPr>
        <w:t xml:space="preserve"> S, Galimberti V, Intra M, Veronesi P, Robertson C, Maisonneuve P, Renne G, De Cicco C, De Lucia F, Gennari R. A randomized comparison of sentinel-node biopsy with routine axillary dissection in breast cancer. N Engl J Med 2003; 349: 546-553 [PMID: 12904519 DOI: 10.1056/NEJMoa012782]</w:t>
      </w:r>
    </w:p>
    <w:p w14:paraId="4AD4021B" w14:textId="77777777" w:rsidR="00C856F9" w:rsidRDefault="004E2CB7">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Takeuchi H, Kitagawa Y. Sentinel node and mechanism of lymphatic metastasis. Ann </w:t>
      </w:r>
      <w:proofErr w:type="spellStart"/>
      <w:r>
        <w:rPr>
          <w:rFonts w:ascii="Times New Roman" w:eastAsia="Times New Roman" w:hAnsi="Times New Roman" w:cs="Times New Roman"/>
          <w:sz w:val="24"/>
          <w:szCs w:val="24"/>
          <w:highlight w:val="white"/>
        </w:rPr>
        <w:t>Vasc</w:t>
      </w:r>
      <w:proofErr w:type="spellEnd"/>
      <w:r>
        <w:rPr>
          <w:rFonts w:ascii="Times New Roman" w:eastAsia="Times New Roman" w:hAnsi="Times New Roman" w:cs="Times New Roman"/>
          <w:sz w:val="24"/>
          <w:szCs w:val="24"/>
          <w:highlight w:val="white"/>
        </w:rPr>
        <w:t xml:space="preserve"> Dis 2012; 5: 249-257 [PMID: 23555522 DOI: 10.3400/avd.ra.12.00033]</w:t>
      </w:r>
    </w:p>
    <w:p w14:paraId="4261A63E" w14:textId="77777777" w:rsidR="00C856F9" w:rsidRDefault="004E2CB7">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Cardoso R, </w:t>
      </w:r>
      <w:proofErr w:type="spellStart"/>
      <w:r>
        <w:rPr>
          <w:rFonts w:ascii="Times New Roman" w:eastAsia="Times New Roman" w:hAnsi="Times New Roman" w:cs="Times New Roman"/>
          <w:sz w:val="24"/>
          <w:szCs w:val="24"/>
          <w:highlight w:val="white"/>
        </w:rPr>
        <w:t>Bocicariu</w:t>
      </w:r>
      <w:proofErr w:type="spellEnd"/>
      <w:r>
        <w:rPr>
          <w:rFonts w:ascii="Times New Roman" w:eastAsia="Times New Roman" w:hAnsi="Times New Roman" w:cs="Times New Roman"/>
          <w:sz w:val="24"/>
          <w:szCs w:val="24"/>
          <w:highlight w:val="white"/>
        </w:rPr>
        <w:t xml:space="preserve"> A, Dixon M, et al. What is the accuracy of sentinel lymph node biopsy for gastric cancer? A systematic review. Gastric Cancer. 2012;15 </w:t>
      </w:r>
      <w:proofErr w:type="spellStart"/>
      <w:r>
        <w:rPr>
          <w:rFonts w:ascii="Times New Roman" w:eastAsia="Times New Roman" w:hAnsi="Times New Roman" w:cs="Times New Roman"/>
          <w:sz w:val="24"/>
          <w:szCs w:val="24"/>
          <w:highlight w:val="white"/>
        </w:rPr>
        <w:t>Suppl</w:t>
      </w:r>
      <w:proofErr w:type="spell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1:S</w:t>
      </w:r>
      <w:proofErr w:type="gramEnd"/>
      <w:r>
        <w:rPr>
          <w:rFonts w:ascii="Times New Roman" w:eastAsia="Times New Roman" w:hAnsi="Times New Roman" w:cs="Times New Roman"/>
          <w:sz w:val="24"/>
          <w:szCs w:val="24"/>
          <w:highlight w:val="white"/>
        </w:rPr>
        <w:t>48–59. [PubMed: 22262403]</w:t>
      </w:r>
    </w:p>
    <w:p w14:paraId="37336999" w14:textId="77777777" w:rsidR="00C856F9" w:rsidRDefault="004E2CB7">
      <w:pPr>
        <w:numPr>
          <w:ilvl w:val="0"/>
          <w:numId w:val="1"/>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Arigami</w:t>
      </w:r>
      <w:proofErr w:type="spellEnd"/>
      <w:r>
        <w:rPr>
          <w:rFonts w:ascii="Times New Roman" w:eastAsia="Times New Roman" w:hAnsi="Times New Roman" w:cs="Times New Roman"/>
          <w:sz w:val="24"/>
          <w:szCs w:val="24"/>
          <w:highlight w:val="white"/>
        </w:rPr>
        <w:t xml:space="preserve"> T, </w:t>
      </w:r>
      <w:proofErr w:type="spellStart"/>
      <w:r>
        <w:rPr>
          <w:rFonts w:ascii="Times New Roman" w:eastAsia="Times New Roman" w:hAnsi="Times New Roman" w:cs="Times New Roman"/>
          <w:sz w:val="24"/>
          <w:szCs w:val="24"/>
          <w:highlight w:val="white"/>
        </w:rPr>
        <w:t>Natsugoe</w:t>
      </w:r>
      <w:proofErr w:type="spellEnd"/>
      <w:r>
        <w:rPr>
          <w:rFonts w:ascii="Times New Roman" w:eastAsia="Times New Roman" w:hAnsi="Times New Roman" w:cs="Times New Roman"/>
          <w:sz w:val="24"/>
          <w:szCs w:val="24"/>
          <w:highlight w:val="white"/>
        </w:rPr>
        <w:t xml:space="preserve"> S, </w:t>
      </w:r>
      <w:proofErr w:type="spellStart"/>
      <w:r>
        <w:rPr>
          <w:rFonts w:ascii="Times New Roman" w:eastAsia="Times New Roman" w:hAnsi="Times New Roman" w:cs="Times New Roman"/>
          <w:sz w:val="24"/>
          <w:szCs w:val="24"/>
          <w:highlight w:val="white"/>
        </w:rPr>
        <w:t>Uenosono</w:t>
      </w:r>
      <w:proofErr w:type="spellEnd"/>
      <w:r>
        <w:rPr>
          <w:rFonts w:ascii="Times New Roman" w:eastAsia="Times New Roman" w:hAnsi="Times New Roman" w:cs="Times New Roman"/>
          <w:sz w:val="24"/>
          <w:szCs w:val="24"/>
          <w:highlight w:val="white"/>
        </w:rPr>
        <w:t xml:space="preserve"> Y, et al. Evaluation of sentinel node concept in gastric cancer based on lymph node </w:t>
      </w:r>
      <w:proofErr w:type="spellStart"/>
      <w:r>
        <w:rPr>
          <w:rFonts w:ascii="Times New Roman" w:eastAsia="Times New Roman" w:hAnsi="Times New Roman" w:cs="Times New Roman"/>
          <w:sz w:val="24"/>
          <w:szCs w:val="24"/>
          <w:highlight w:val="white"/>
        </w:rPr>
        <w:t>micrometastasis</w:t>
      </w:r>
      <w:proofErr w:type="spellEnd"/>
      <w:r>
        <w:rPr>
          <w:rFonts w:ascii="Times New Roman" w:eastAsia="Times New Roman" w:hAnsi="Times New Roman" w:cs="Times New Roman"/>
          <w:sz w:val="24"/>
          <w:szCs w:val="24"/>
          <w:highlight w:val="white"/>
        </w:rPr>
        <w:t xml:space="preserve"> determined by reverse transcription-polymerase chain reaction. Ann Surg. 2006;243(3):341–347. [PubMed: 16495698]</w:t>
      </w:r>
    </w:p>
    <w:p w14:paraId="4A66DA96" w14:textId="77777777" w:rsidR="00C856F9" w:rsidRDefault="004E2CB7">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Lee SE, Lee JH, Ryu KW, Cho SJ, Lee JY, Kim CG, et al. Sentinel node mapping and skip metastases in patients with early gastric cancer. Ann </w:t>
      </w:r>
      <w:proofErr w:type="spellStart"/>
      <w:r>
        <w:rPr>
          <w:rFonts w:ascii="Times New Roman" w:eastAsia="Times New Roman" w:hAnsi="Times New Roman" w:cs="Times New Roman"/>
          <w:sz w:val="24"/>
          <w:szCs w:val="24"/>
          <w:highlight w:val="white"/>
        </w:rPr>
        <w:t>Surg</w:t>
      </w:r>
      <w:proofErr w:type="spellEnd"/>
      <w:r>
        <w:rPr>
          <w:rFonts w:ascii="Times New Roman" w:eastAsia="Times New Roman" w:hAnsi="Times New Roman" w:cs="Times New Roman"/>
          <w:sz w:val="24"/>
          <w:szCs w:val="24"/>
          <w:highlight w:val="white"/>
        </w:rPr>
        <w:t xml:space="preserve"> Oncol (2009) 16(3):603–8. doi:10.1245/s10434-008-0283-6</w:t>
      </w:r>
    </w:p>
    <w:p w14:paraId="66DC9BAF" w14:textId="77777777" w:rsidR="00C856F9" w:rsidRDefault="004E2CB7">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Park, S.H., Kim, YW., Min, JS. et al. Feasibility of Regional Lymphadenectomy for Stomach-Preserving Surgery in Early Gastric Cancer Omitting Sentinel Node Navigation: A Post Hoc Analysis of the SENORITA Trial. Ann </w:t>
      </w:r>
      <w:proofErr w:type="spellStart"/>
      <w:r>
        <w:rPr>
          <w:rFonts w:ascii="Times New Roman" w:eastAsia="Times New Roman" w:hAnsi="Times New Roman" w:cs="Times New Roman"/>
          <w:sz w:val="24"/>
          <w:szCs w:val="24"/>
          <w:highlight w:val="white"/>
        </w:rPr>
        <w:t>Surg</w:t>
      </w:r>
      <w:proofErr w:type="spellEnd"/>
      <w:r>
        <w:rPr>
          <w:rFonts w:ascii="Times New Roman" w:eastAsia="Times New Roman" w:hAnsi="Times New Roman" w:cs="Times New Roman"/>
          <w:sz w:val="24"/>
          <w:szCs w:val="24"/>
          <w:highlight w:val="white"/>
        </w:rPr>
        <w:t xml:space="preserve"> Oncol 31, 6939–6946 (2024). </w:t>
      </w:r>
      <w:hyperlink r:id="rId13">
        <w:r>
          <w:rPr>
            <w:rFonts w:ascii="Times New Roman" w:eastAsia="Times New Roman" w:hAnsi="Times New Roman" w:cs="Times New Roman"/>
            <w:sz w:val="24"/>
            <w:szCs w:val="24"/>
            <w:highlight w:val="white"/>
          </w:rPr>
          <w:t>https://doi.org/10.1245/s10434-024-15950-1</w:t>
        </w:r>
      </w:hyperlink>
    </w:p>
    <w:p w14:paraId="384D77B2" w14:textId="77777777" w:rsidR="00C856F9" w:rsidRDefault="004E2CB7">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Kinami S, Nakamura N, Miyashita T, </w:t>
      </w:r>
      <w:proofErr w:type="spellStart"/>
      <w:r>
        <w:rPr>
          <w:rFonts w:ascii="Times New Roman" w:eastAsia="Times New Roman" w:hAnsi="Times New Roman" w:cs="Times New Roman"/>
          <w:sz w:val="24"/>
          <w:szCs w:val="24"/>
          <w:highlight w:val="white"/>
        </w:rPr>
        <w:t>Kitakata</w:t>
      </w:r>
      <w:proofErr w:type="spellEnd"/>
      <w:r>
        <w:rPr>
          <w:rFonts w:ascii="Times New Roman" w:eastAsia="Times New Roman" w:hAnsi="Times New Roman" w:cs="Times New Roman"/>
          <w:sz w:val="24"/>
          <w:szCs w:val="24"/>
          <w:highlight w:val="white"/>
        </w:rPr>
        <w:t xml:space="preserve"> H, </w:t>
      </w:r>
      <w:proofErr w:type="spellStart"/>
      <w:r>
        <w:rPr>
          <w:rFonts w:ascii="Times New Roman" w:eastAsia="Times New Roman" w:hAnsi="Times New Roman" w:cs="Times New Roman"/>
          <w:sz w:val="24"/>
          <w:szCs w:val="24"/>
          <w:highlight w:val="white"/>
        </w:rPr>
        <w:t>Fushida</w:t>
      </w:r>
      <w:proofErr w:type="spellEnd"/>
      <w:r>
        <w:rPr>
          <w:rFonts w:ascii="Times New Roman" w:eastAsia="Times New Roman" w:hAnsi="Times New Roman" w:cs="Times New Roman"/>
          <w:sz w:val="24"/>
          <w:szCs w:val="24"/>
          <w:highlight w:val="white"/>
        </w:rPr>
        <w:t xml:space="preserve"> S, Fujimura T, Iida Y, Inaki N, Ito T, Takamura H. Life prognosis of sentinel node navigation surgery for early-stage gastric cancer: Outcome of lymphatic basin dissection. World J Gastroenterol. 2021 Dec 14;27(46):8010-8030.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10.3748/</w:t>
      </w:r>
      <w:proofErr w:type="gramStart"/>
      <w:r>
        <w:rPr>
          <w:rFonts w:ascii="Times New Roman" w:eastAsia="Times New Roman" w:hAnsi="Times New Roman" w:cs="Times New Roman"/>
          <w:sz w:val="24"/>
          <w:szCs w:val="24"/>
          <w:highlight w:val="white"/>
        </w:rPr>
        <w:t>wjg.v27.i</w:t>
      </w:r>
      <w:proofErr w:type="gramEnd"/>
      <w:r>
        <w:rPr>
          <w:rFonts w:ascii="Times New Roman" w:eastAsia="Times New Roman" w:hAnsi="Times New Roman" w:cs="Times New Roman"/>
          <w:sz w:val="24"/>
          <w:szCs w:val="24"/>
          <w:highlight w:val="white"/>
        </w:rPr>
        <w:t>46.8010. PMID: 35046627; PMCID: PMC8678813.</w:t>
      </w:r>
    </w:p>
    <w:p w14:paraId="0EF5A974" w14:textId="77777777" w:rsidR="00C856F9" w:rsidRDefault="004E2CB7">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Oh, S.E., An, J.Y., Min, JS. et al. Determining the precise extent of sentinel basins during laparoscopic gastrectomy for early gastric cancer. World J </w:t>
      </w:r>
      <w:proofErr w:type="spellStart"/>
      <w:r>
        <w:rPr>
          <w:rFonts w:ascii="Times New Roman" w:eastAsia="Times New Roman" w:hAnsi="Times New Roman" w:cs="Times New Roman"/>
          <w:sz w:val="24"/>
          <w:szCs w:val="24"/>
          <w:highlight w:val="white"/>
        </w:rPr>
        <w:t>Surg</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Onc</w:t>
      </w:r>
      <w:proofErr w:type="spellEnd"/>
      <w:r>
        <w:rPr>
          <w:rFonts w:ascii="Times New Roman" w:eastAsia="Times New Roman" w:hAnsi="Times New Roman" w:cs="Times New Roman"/>
          <w:sz w:val="24"/>
          <w:szCs w:val="24"/>
          <w:highlight w:val="white"/>
        </w:rPr>
        <w:t xml:space="preserve"> 21, 60 (2023). </w:t>
      </w:r>
      <w:hyperlink r:id="rId14">
        <w:r>
          <w:rPr>
            <w:rFonts w:ascii="Times New Roman" w:eastAsia="Times New Roman" w:hAnsi="Times New Roman" w:cs="Times New Roman"/>
            <w:sz w:val="24"/>
            <w:szCs w:val="24"/>
            <w:highlight w:val="white"/>
          </w:rPr>
          <w:t>https://doi.org/10.1186/s12957-023-02953-7</w:t>
        </w:r>
      </w:hyperlink>
    </w:p>
    <w:p w14:paraId="01728D0E" w14:textId="77777777" w:rsidR="00C856F9" w:rsidRDefault="004E2CB7">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Varga Z, Bíró A, Török M and Tóth D (2023), A combined approach for individualized lymphadenectomy in gastric cancer patients. </w:t>
      </w:r>
      <w:proofErr w:type="spellStart"/>
      <w:r>
        <w:rPr>
          <w:rFonts w:ascii="Times New Roman" w:eastAsia="Times New Roman" w:hAnsi="Times New Roman" w:cs="Times New Roman"/>
          <w:sz w:val="24"/>
          <w:szCs w:val="24"/>
          <w:highlight w:val="white"/>
        </w:rPr>
        <w:t>Pathol</w:t>
      </w:r>
      <w:proofErr w:type="spellEnd"/>
      <w:r>
        <w:rPr>
          <w:rFonts w:ascii="Times New Roman" w:eastAsia="Times New Roman" w:hAnsi="Times New Roman" w:cs="Times New Roman"/>
          <w:sz w:val="24"/>
          <w:szCs w:val="24"/>
          <w:highlight w:val="white"/>
        </w:rPr>
        <w:t xml:space="preserve">. Oncol. Res. 29:1611270.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10.3389/pore.2023.1611270</w:t>
      </w:r>
    </w:p>
    <w:p w14:paraId="2299F142" w14:textId="77777777" w:rsidR="00C856F9" w:rsidRDefault="004E2CB7">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Japanese Gastric Cancer Association. Japanese classification of gastric carcinoma - 2nd English edition. Gastric Cancer. 1998;1(1):10–24. https://doi.org/10.1007/s101209800016.</w:t>
      </w:r>
    </w:p>
    <w:p w14:paraId="06C93A09" w14:textId="77777777" w:rsidR="00C856F9" w:rsidRDefault="004E2CB7">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Tanigawa N, Nomura E, Lee SW, </w:t>
      </w:r>
      <w:proofErr w:type="spellStart"/>
      <w:r>
        <w:rPr>
          <w:rFonts w:ascii="Times New Roman" w:eastAsia="Times New Roman" w:hAnsi="Times New Roman" w:cs="Times New Roman"/>
          <w:sz w:val="24"/>
          <w:szCs w:val="24"/>
          <w:highlight w:val="white"/>
        </w:rPr>
        <w:t>Kaminishi</w:t>
      </w:r>
      <w:proofErr w:type="spellEnd"/>
      <w:r>
        <w:rPr>
          <w:rFonts w:ascii="Times New Roman" w:eastAsia="Times New Roman" w:hAnsi="Times New Roman" w:cs="Times New Roman"/>
          <w:sz w:val="24"/>
          <w:szCs w:val="24"/>
          <w:highlight w:val="white"/>
        </w:rPr>
        <w:t xml:space="preserve"> M, Sugiyama M, Aikou T, Kitajima M; Society for the Study of Postoperative Morbidity after Gastrectomy. Current state of gastric stump carcinoma in Japan: based on the results of a nationwide survey. World J </w:t>
      </w:r>
      <w:proofErr w:type="spellStart"/>
      <w:r>
        <w:rPr>
          <w:rFonts w:ascii="Times New Roman" w:eastAsia="Times New Roman" w:hAnsi="Times New Roman" w:cs="Times New Roman"/>
          <w:sz w:val="24"/>
          <w:szCs w:val="24"/>
          <w:highlight w:val="white"/>
        </w:rPr>
        <w:t>Surg</w:t>
      </w:r>
      <w:proofErr w:type="spellEnd"/>
      <w:r>
        <w:rPr>
          <w:rFonts w:ascii="Times New Roman" w:eastAsia="Times New Roman" w:hAnsi="Times New Roman" w:cs="Times New Roman"/>
          <w:sz w:val="24"/>
          <w:szCs w:val="24"/>
          <w:highlight w:val="white"/>
        </w:rPr>
        <w:t xml:space="preserve"> 2010; 34: 1540-1547 [PMID:20182716 DOI: 10.1007/s00268-010-0505-5]</w:t>
      </w:r>
    </w:p>
    <w:p w14:paraId="70C42E11" w14:textId="77777777" w:rsidR="00C856F9" w:rsidRDefault="004E2CB7">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Takeno S, Hashimoto T, Maki K, Shibata R, </w:t>
      </w:r>
      <w:proofErr w:type="spellStart"/>
      <w:r>
        <w:rPr>
          <w:rFonts w:ascii="Times New Roman" w:eastAsia="Times New Roman" w:hAnsi="Times New Roman" w:cs="Times New Roman"/>
          <w:sz w:val="24"/>
          <w:szCs w:val="24"/>
          <w:highlight w:val="white"/>
        </w:rPr>
        <w:t>Shiwaku</w:t>
      </w:r>
      <w:proofErr w:type="spellEnd"/>
      <w:r>
        <w:rPr>
          <w:rFonts w:ascii="Times New Roman" w:eastAsia="Times New Roman" w:hAnsi="Times New Roman" w:cs="Times New Roman"/>
          <w:sz w:val="24"/>
          <w:szCs w:val="24"/>
          <w:highlight w:val="white"/>
        </w:rPr>
        <w:t xml:space="preserve"> H, Yamana I, Yamashita R, Yamashita Y. Gastric cancer arising from the remnant stomach after distal gastrectomy: a review. World J Gastroenterol 2014; 20: 13734-13740 [PMID: 25320511 DOI: 10.3748/wjg.v20.i38.13734]</w:t>
      </w:r>
    </w:p>
    <w:p w14:paraId="31282C9D" w14:textId="77777777" w:rsidR="00C856F9" w:rsidRDefault="004E2CB7">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Ohira M, Toyokawa T, Sakurai K, Kubo N, Tanaka H, </w:t>
      </w:r>
      <w:proofErr w:type="spellStart"/>
      <w:r>
        <w:rPr>
          <w:rFonts w:ascii="Times New Roman" w:eastAsia="Times New Roman" w:hAnsi="Times New Roman" w:cs="Times New Roman"/>
          <w:sz w:val="24"/>
          <w:szCs w:val="24"/>
          <w:highlight w:val="white"/>
        </w:rPr>
        <w:t>Muguruma</w:t>
      </w:r>
      <w:proofErr w:type="spellEnd"/>
      <w:r>
        <w:rPr>
          <w:rFonts w:ascii="Times New Roman" w:eastAsia="Times New Roman" w:hAnsi="Times New Roman" w:cs="Times New Roman"/>
          <w:sz w:val="24"/>
          <w:szCs w:val="24"/>
          <w:highlight w:val="white"/>
        </w:rPr>
        <w:t xml:space="preserve"> K, Yashiro M, Onoda N, Hirakawa K. Current status in remnant gastric cancer after distal gastrectomy. World J Gastroenterol 2016; 22: 2424-2433 [PMID: 26937131 DOI: 10.3748/wjg.v22.i8.2424]</w:t>
      </w:r>
    </w:p>
    <w:p w14:paraId="6D444A97" w14:textId="77777777" w:rsidR="00C856F9" w:rsidRDefault="004E2CB7">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Hosokawa O, </w:t>
      </w:r>
      <w:proofErr w:type="spellStart"/>
      <w:r>
        <w:rPr>
          <w:rFonts w:ascii="Times New Roman" w:eastAsia="Times New Roman" w:hAnsi="Times New Roman" w:cs="Times New Roman"/>
          <w:sz w:val="24"/>
          <w:szCs w:val="24"/>
          <w:highlight w:val="white"/>
        </w:rPr>
        <w:t>Kaizaki</w:t>
      </w:r>
      <w:proofErr w:type="spellEnd"/>
      <w:r>
        <w:rPr>
          <w:rFonts w:ascii="Times New Roman" w:eastAsia="Times New Roman" w:hAnsi="Times New Roman" w:cs="Times New Roman"/>
          <w:sz w:val="24"/>
          <w:szCs w:val="24"/>
          <w:highlight w:val="white"/>
        </w:rPr>
        <w:t xml:space="preserve"> Y, Watanabe K, Hattori M, </w:t>
      </w:r>
      <w:proofErr w:type="spellStart"/>
      <w:r>
        <w:rPr>
          <w:rFonts w:ascii="Times New Roman" w:eastAsia="Times New Roman" w:hAnsi="Times New Roman" w:cs="Times New Roman"/>
          <w:sz w:val="24"/>
          <w:szCs w:val="24"/>
          <w:highlight w:val="white"/>
        </w:rPr>
        <w:t>Douden</w:t>
      </w:r>
      <w:proofErr w:type="spellEnd"/>
      <w:r>
        <w:rPr>
          <w:rFonts w:ascii="Times New Roman" w:eastAsia="Times New Roman" w:hAnsi="Times New Roman" w:cs="Times New Roman"/>
          <w:sz w:val="24"/>
          <w:szCs w:val="24"/>
          <w:highlight w:val="white"/>
        </w:rPr>
        <w:t xml:space="preserve"> K, Hayashi H, Maeda S. Endoscopic surveillance for gastric remnant cancer after early cancer surgery. Endoscopy 2002; 34: 469-473 [PMID: 12048630 DOI: 10.1055/s-2002-32007]</w:t>
      </w:r>
    </w:p>
    <w:p w14:paraId="6FEE6E9A" w14:textId="77777777" w:rsidR="00C856F9" w:rsidRDefault="004E2CB7">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Abate M, Drebin H, Shimada S, Fei T, McKinley S, </w:t>
      </w:r>
      <w:proofErr w:type="spellStart"/>
      <w:r>
        <w:rPr>
          <w:rFonts w:ascii="Times New Roman" w:eastAsia="Times New Roman" w:hAnsi="Times New Roman" w:cs="Times New Roman"/>
          <w:sz w:val="24"/>
          <w:szCs w:val="24"/>
          <w:highlight w:val="white"/>
        </w:rPr>
        <w:t>Poruk</w:t>
      </w:r>
      <w:proofErr w:type="spellEnd"/>
      <w:r>
        <w:rPr>
          <w:rFonts w:ascii="Times New Roman" w:eastAsia="Times New Roman" w:hAnsi="Times New Roman" w:cs="Times New Roman"/>
          <w:sz w:val="24"/>
          <w:szCs w:val="24"/>
          <w:highlight w:val="white"/>
        </w:rPr>
        <w:t xml:space="preserve"> K, Ferguson B, Neuwirth M, Tang LH, Vardhana S, Strong VE. Feasibility and Efficacy of Sentinel Lymph Node Mapping in Gastric Cancer. Ann </w:t>
      </w:r>
      <w:proofErr w:type="spellStart"/>
      <w:r>
        <w:rPr>
          <w:rFonts w:ascii="Times New Roman" w:eastAsia="Times New Roman" w:hAnsi="Times New Roman" w:cs="Times New Roman"/>
          <w:sz w:val="24"/>
          <w:szCs w:val="24"/>
          <w:highlight w:val="white"/>
        </w:rPr>
        <w:t>Surg</w:t>
      </w:r>
      <w:proofErr w:type="spellEnd"/>
      <w:r>
        <w:rPr>
          <w:rFonts w:ascii="Times New Roman" w:eastAsia="Times New Roman" w:hAnsi="Times New Roman" w:cs="Times New Roman"/>
          <w:sz w:val="24"/>
          <w:szCs w:val="24"/>
          <w:highlight w:val="white"/>
        </w:rPr>
        <w:t xml:space="preserve"> Oncol. 2024 Oct;31(10):6959-6969.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xml:space="preserve">: 10.1245/s10434-024-15642-w. </w:t>
      </w:r>
      <w:proofErr w:type="spellStart"/>
      <w:r>
        <w:rPr>
          <w:rFonts w:ascii="Times New Roman" w:eastAsia="Times New Roman" w:hAnsi="Times New Roman" w:cs="Times New Roman"/>
          <w:sz w:val="24"/>
          <w:szCs w:val="24"/>
          <w:highlight w:val="white"/>
        </w:rPr>
        <w:t>Epub</w:t>
      </w:r>
      <w:proofErr w:type="spellEnd"/>
      <w:r>
        <w:rPr>
          <w:rFonts w:ascii="Times New Roman" w:eastAsia="Times New Roman" w:hAnsi="Times New Roman" w:cs="Times New Roman"/>
          <w:sz w:val="24"/>
          <w:szCs w:val="24"/>
          <w:highlight w:val="white"/>
        </w:rPr>
        <w:t xml:space="preserve"> 2024 Aug 3. PMID: 39097552; PMCID: PMC11977517.</w:t>
      </w:r>
    </w:p>
    <w:p w14:paraId="2915EB94" w14:textId="77777777" w:rsidR="00C856F9" w:rsidRDefault="004E2CB7">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Kim Y-W, Min J-S, Yoon HM, An JY, Eom BW, Hur H, et al. Laparoscopic sentinel node navigation surgery for stomach preservation in patients with early gastric cancer: a randomized clinical trial. J Clin Oncol. </w:t>
      </w:r>
      <w:proofErr w:type="gramStart"/>
      <w:r>
        <w:rPr>
          <w:rFonts w:ascii="Times New Roman" w:eastAsia="Times New Roman" w:hAnsi="Times New Roman" w:cs="Times New Roman"/>
          <w:sz w:val="24"/>
          <w:szCs w:val="24"/>
          <w:highlight w:val="white"/>
        </w:rPr>
        <w:t>2022;40:2342</w:t>
      </w:r>
      <w:proofErr w:type="gramEnd"/>
      <w:r>
        <w:rPr>
          <w:rFonts w:ascii="Times New Roman" w:eastAsia="Times New Roman" w:hAnsi="Times New Roman" w:cs="Times New Roman"/>
          <w:sz w:val="24"/>
          <w:szCs w:val="24"/>
          <w:highlight w:val="white"/>
        </w:rPr>
        <w:t>–51.</w:t>
      </w:r>
    </w:p>
    <w:p w14:paraId="48FB5A51" w14:textId="77777777" w:rsidR="00C856F9" w:rsidRDefault="004E2CB7">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An JY, Min JS, Lee YJ, Jeong SH, Hur H, Han SU, et al. Safety of laparoscopic sentinel basin dissection in patients with gastric cancer: an analysis from  the SENORITA Prospective </w:t>
      </w:r>
      <w:proofErr w:type="spellStart"/>
      <w:r>
        <w:rPr>
          <w:rFonts w:ascii="Times New Roman" w:eastAsia="Times New Roman" w:hAnsi="Times New Roman" w:cs="Times New Roman"/>
          <w:sz w:val="24"/>
          <w:szCs w:val="24"/>
          <w:highlight w:val="white"/>
        </w:rPr>
        <w:t>Multicenter</w:t>
      </w:r>
      <w:proofErr w:type="spellEnd"/>
      <w:r>
        <w:rPr>
          <w:rFonts w:ascii="Times New Roman" w:eastAsia="Times New Roman" w:hAnsi="Times New Roman" w:cs="Times New Roman"/>
          <w:sz w:val="24"/>
          <w:szCs w:val="24"/>
          <w:highlight w:val="white"/>
        </w:rPr>
        <w:t xml:space="preserve"> Quality Control Trial. J Gastric Cancer. </w:t>
      </w:r>
      <w:proofErr w:type="gramStart"/>
      <w:r>
        <w:rPr>
          <w:rFonts w:ascii="Times New Roman" w:eastAsia="Times New Roman" w:hAnsi="Times New Roman" w:cs="Times New Roman"/>
          <w:sz w:val="24"/>
          <w:szCs w:val="24"/>
          <w:highlight w:val="white"/>
        </w:rPr>
        <w:t>2018;18:30</w:t>
      </w:r>
      <w:proofErr w:type="gramEnd"/>
      <w:r>
        <w:rPr>
          <w:rFonts w:ascii="Times New Roman" w:eastAsia="Times New Roman" w:hAnsi="Times New Roman" w:cs="Times New Roman"/>
          <w:sz w:val="24"/>
          <w:szCs w:val="24"/>
          <w:highlight w:val="white"/>
        </w:rPr>
        <w:t>–6.</w:t>
      </w:r>
    </w:p>
    <w:p w14:paraId="6DC4AF30" w14:textId="77777777" w:rsidR="00C856F9" w:rsidRDefault="004E2CB7">
      <w:pPr>
        <w:numPr>
          <w:ilvl w:val="0"/>
          <w:numId w:val="1"/>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Cozzaglio</w:t>
      </w:r>
      <w:proofErr w:type="spellEnd"/>
      <w:r>
        <w:rPr>
          <w:rFonts w:ascii="Times New Roman" w:eastAsia="Times New Roman" w:hAnsi="Times New Roman" w:cs="Times New Roman"/>
          <w:sz w:val="24"/>
          <w:szCs w:val="24"/>
          <w:highlight w:val="white"/>
        </w:rPr>
        <w:t xml:space="preserve"> L, </w:t>
      </w:r>
      <w:proofErr w:type="spellStart"/>
      <w:r>
        <w:rPr>
          <w:rFonts w:ascii="Times New Roman" w:eastAsia="Times New Roman" w:hAnsi="Times New Roman" w:cs="Times New Roman"/>
          <w:sz w:val="24"/>
          <w:szCs w:val="24"/>
          <w:highlight w:val="white"/>
        </w:rPr>
        <w:t>Bottura</w:t>
      </w:r>
      <w:proofErr w:type="spellEnd"/>
      <w:r>
        <w:rPr>
          <w:rFonts w:ascii="Times New Roman" w:eastAsia="Times New Roman" w:hAnsi="Times New Roman" w:cs="Times New Roman"/>
          <w:sz w:val="24"/>
          <w:szCs w:val="24"/>
          <w:highlight w:val="white"/>
        </w:rPr>
        <w:t xml:space="preserve"> R, Di Rocco M, Gennari L, Doci R. Sentinel lymph node biopsy in gastric cancer: possible applications and limits. </w:t>
      </w:r>
      <w:proofErr w:type="spellStart"/>
      <w:r>
        <w:rPr>
          <w:rFonts w:ascii="Times New Roman" w:eastAsia="Times New Roman" w:hAnsi="Times New Roman" w:cs="Times New Roman"/>
          <w:sz w:val="24"/>
          <w:szCs w:val="24"/>
          <w:highlight w:val="white"/>
        </w:rPr>
        <w:t>Eur</w:t>
      </w:r>
      <w:proofErr w:type="spellEnd"/>
      <w:r>
        <w:rPr>
          <w:rFonts w:ascii="Times New Roman" w:eastAsia="Times New Roman" w:hAnsi="Times New Roman" w:cs="Times New Roman"/>
          <w:sz w:val="24"/>
          <w:szCs w:val="24"/>
          <w:highlight w:val="white"/>
        </w:rPr>
        <w:t xml:space="preserve"> J </w:t>
      </w:r>
      <w:proofErr w:type="spellStart"/>
      <w:r>
        <w:rPr>
          <w:rFonts w:ascii="Times New Roman" w:eastAsia="Times New Roman" w:hAnsi="Times New Roman" w:cs="Times New Roman"/>
          <w:sz w:val="24"/>
          <w:szCs w:val="24"/>
          <w:highlight w:val="white"/>
        </w:rPr>
        <w:t>Surg</w:t>
      </w:r>
      <w:proofErr w:type="spellEnd"/>
      <w:r>
        <w:rPr>
          <w:rFonts w:ascii="Times New Roman" w:eastAsia="Times New Roman" w:hAnsi="Times New Roman" w:cs="Times New Roman"/>
          <w:sz w:val="24"/>
          <w:szCs w:val="24"/>
          <w:highlight w:val="white"/>
        </w:rPr>
        <w:t xml:space="preserve"> Oncol. 2011;37(1):55–59. [PubMed: 21115231]</w:t>
      </w:r>
    </w:p>
    <w:p w14:paraId="2D81B581" w14:textId="77777777" w:rsidR="00C856F9" w:rsidRDefault="004E2CB7">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Becher RD, Shen P, Stewart JH, Geisinger KR, McCarthy LP, Levine EA. Sentinel lymph node mapping for gastric adenocarcinoma. Am Surg. 2009;75(8):710–714. [PubMed: 19725295]</w:t>
      </w:r>
    </w:p>
    <w:p w14:paraId="641CF372" w14:textId="77777777" w:rsidR="00C856F9" w:rsidRDefault="004E2CB7">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Rabin I, </w:t>
      </w:r>
      <w:proofErr w:type="spellStart"/>
      <w:r>
        <w:rPr>
          <w:rFonts w:ascii="Times New Roman" w:eastAsia="Times New Roman" w:hAnsi="Times New Roman" w:cs="Times New Roman"/>
          <w:sz w:val="24"/>
          <w:szCs w:val="24"/>
          <w:highlight w:val="white"/>
        </w:rPr>
        <w:t>Chikman</w:t>
      </w:r>
      <w:proofErr w:type="spellEnd"/>
      <w:r>
        <w:rPr>
          <w:rFonts w:ascii="Times New Roman" w:eastAsia="Times New Roman" w:hAnsi="Times New Roman" w:cs="Times New Roman"/>
          <w:sz w:val="24"/>
          <w:szCs w:val="24"/>
          <w:highlight w:val="white"/>
        </w:rPr>
        <w:t xml:space="preserve"> B, Halpern Z, et al. Sentinel node mapping for gastric cancer. </w:t>
      </w:r>
      <w:proofErr w:type="spellStart"/>
      <w:r>
        <w:rPr>
          <w:rFonts w:ascii="Times New Roman" w:eastAsia="Times New Roman" w:hAnsi="Times New Roman" w:cs="Times New Roman"/>
          <w:sz w:val="24"/>
          <w:szCs w:val="24"/>
          <w:highlight w:val="white"/>
        </w:rPr>
        <w:t>Isr</w:t>
      </w:r>
      <w:proofErr w:type="spellEnd"/>
      <w:r>
        <w:rPr>
          <w:rFonts w:ascii="Times New Roman" w:eastAsia="Times New Roman" w:hAnsi="Times New Roman" w:cs="Times New Roman"/>
          <w:sz w:val="24"/>
          <w:szCs w:val="24"/>
          <w:highlight w:val="white"/>
        </w:rPr>
        <w:t xml:space="preserve"> Med Assoc J. 2006;8(1):40–43. [PubMed: 16450751]</w:t>
      </w:r>
    </w:p>
    <w:p w14:paraId="45B45799" w14:textId="77777777" w:rsidR="00C856F9" w:rsidRDefault="004E2CB7">
      <w:pPr>
        <w:numPr>
          <w:ilvl w:val="0"/>
          <w:numId w:val="1"/>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Kampschoer</w:t>
      </w:r>
      <w:proofErr w:type="spellEnd"/>
      <w:r>
        <w:rPr>
          <w:rFonts w:ascii="Times New Roman" w:eastAsia="Times New Roman" w:hAnsi="Times New Roman" w:cs="Times New Roman"/>
          <w:sz w:val="24"/>
          <w:szCs w:val="24"/>
          <w:highlight w:val="white"/>
        </w:rPr>
        <w:t xml:space="preserve"> GH, Maruyama K, van de Velde CJ, </w:t>
      </w:r>
      <w:proofErr w:type="spellStart"/>
      <w:r>
        <w:rPr>
          <w:rFonts w:ascii="Times New Roman" w:eastAsia="Times New Roman" w:hAnsi="Times New Roman" w:cs="Times New Roman"/>
          <w:sz w:val="24"/>
          <w:szCs w:val="24"/>
          <w:highlight w:val="white"/>
        </w:rPr>
        <w:t>Sasako</w:t>
      </w:r>
      <w:proofErr w:type="spellEnd"/>
      <w:r>
        <w:rPr>
          <w:rFonts w:ascii="Times New Roman" w:eastAsia="Times New Roman" w:hAnsi="Times New Roman" w:cs="Times New Roman"/>
          <w:sz w:val="24"/>
          <w:szCs w:val="24"/>
          <w:highlight w:val="white"/>
        </w:rPr>
        <w:t xml:space="preserve"> M, Kinoshita T, Okabayashi K. Computer analysis in making preoperative decisions: A rational approach to lymph node dissection in gastric cancer patients. Br J Surg (1989) 76(9): 905–8. doi:10.1002/bjs.1800760910</w:t>
      </w:r>
    </w:p>
    <w:p w14:paraId="329153BC" w14:textId="77777777" w:rsidR="00C856F9" w:rsidRDefault="004E2CB7">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Hundahl SA, Macdonald JS, Benedetti J, Fitzsimmons T Southwest Oncology Group and the Gastric Intergroup. Surgical treatment variation in a prospective, randomized trial of chemoradiotherapy in gastric cancer: The effect of undertreatment. Ann </w:t>
      </w:r>
      <w:proofErr w:type="spellStart"/>
      <w:r>
        <w:rPr>
          <w:rFonts w:ascii="Times New Roman" w:eastAsia="Times New Roman" w:hAnsi="Times New Roman" w:cs="Times New Roman"/>
          <w:sz w:val="24"/>
          <w:szCs w:val="24"/>
          <w:highlight w:val="white"/>
        </w:rPr>
        <w:t>Surg</w:t>
      </w:r>
      <w:proofErr w:type="spellEnd"/>
      <w:r>
        <w:rPr>
          <w:rFonts w:ascii="Times New Roman" w:eastAsia="Times New Roman" w:hAnsi="Times New Roman" w:cs="Times New Roman"/>
          <w:sz w:val="24"/>
          <w:szCs w:val="24"/>
          <w:highlight w:val="white"/>
        </w:rPr>
        <w:t xml:space="preserve"> Oncol (2002) 9(3):278–86. doi:10.1007/ BF02573066</w:t>
      </w:r>
    </w:p>
    <w:p w14:paraId="0C463442" w14:textId="77777777" w:rsidR="00C856F9" w:rsidRDefault="004E2CB7">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Maruyama K, </w:t>
      </w:r>
      <w:proofErr w:type="spellStart"/>
      <w:r>
        <w:rPr>
          <w:rFonts w:ascii="Times New Roman" w:eastAsia="Times New Roman" w:hAnsi="Times New Roman" w:cs="Times New Roman"/>
          <w:sz w:val="24"/>
          <w:szCs w:val="24"/>
          <w:highlight w:val="white"/>
        </w:rPr>
        <w:t>Gunven</w:t>
      </w:r>
      <w:proofErr w:type="spellEnd"/>
      <w:r>
        <w:rPr>
          <w:rFonts w:ascii="Times New Roman" w:eastAsia="Times New Roman" w:hAnsi="Times New Roman" w:cs="Times New Roman"/>
          <w:sz w:val="24"/>
          <w:szCs w:val="24"/>
          <w:highlight w:val="white"/>
        </w:rPr>
        <w:t xml:space="preserve"> P, Okabayashi K, </w:t>
      </w:r>
      <w:proofErr w:type="spellStart"/>
      <w:r>
        <w:rPr>
          <w:rFonts w:ascii="Times New Roman" w:eastAsia="Times New Roman" w:hAnsi="Times New Roman" w:cs="Times New Roman"/>
          <w:sz w:val="24"/>
          <w:szCs w:val="24"/>
          <w:highlight w:val="white"/>
        </w:rPr>
        <w:t>Sasako</w:t>
      </w:r>
      <w:proofErr w:type="spellEnd"/>
      <w:r>
        <w:rPr>
          <w:rFonts w:ascii="Times New Roman" w:eastAsia="Times New Roman" w:hAnsi="Times New Roman" w:cs="Times New Roman"/>
          <w:sz w:val="24"/>
          <w:szCs w:val="24"/>
          <w:highlight w:val="white"/>
        </w:rPr>
        <w:t xml:space="preserve"> M, Kinoshita T. Lymph node metastases of gastric cancer. General pattern in 1931 patients. Ann </w:t>
      </w:r>
      <w:proofErr w:type="spellStart"/>
      <w:r>
        <w:rPr>
          <w:rFonts w:ascii="Times New Roman" w:eastAsia="Times New Roman" w:hAnsi="Times New Roman" w:cs="Times New Roman"/>
          <w:sz w:val="24"/>
          <w:szCs w:val="24"/>
          <w:highlight w:val="white"/>
        </w:rPr>
        <w:t>Surg</w:t>
      </w:r>
      <w:proofErr w:type="spellEnd"/>
      <w:r>
        <w:rPr>
          <w:rFonts w:ascii="Times New Roman" w:eastAsia="Times New Roman" w:hAnsi="Times New Roman" w:cs="Times New Roman"/>
          <w:sz w:val="24"/>
          <w:szCs w:val="24"/>
          <w:highlight w:val="white"/>
        </w:rPr>
        <w:t xml:space="preserve"> (1989) 210(5):596–602. doi:10.1097/00000658-198911000-00005</w:t>
      </w:r>
    </w:p>
    <w:p w14:paraId="7C4F7D19" w14:textId="77777777" w:rsidR="00C856F9" w:rsidRDefault="004E2CB7">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Toth D, Torok M, Kincses Z, Damjanovich L. Prospective, comparative study for the evaluation of lymph node involvement in gastric cancer: Maruyama computer program versus sentinel lymph node biopsy. Gastric Cancer (2013) 16(2):201–7. doi:10.1007/s10120-012-0170-5</w:t>
      </w:r>
    </w:p>
    <w:p w14:paraId="107F1FF8" w14:textId="77777777" w:rsidR="00C856F9" w:rsidRDefault="004E2CB7">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Wang Z, Dong ZY, Chen JQ, Liu JL. Diagnostic value of sentinel lymph node biopsy in gastric cancer: a meta-analysis. Ann </w:t>
      </w:r>
      <w:proofErr w:type="spellStart"/>
      <w:r>
        <w:rPr>
          <w:rFonts w:ascii="Times New Roman" w:eastAsia="Times New Roman" w:hAnsi="Times New Roman" w:cs="Times New Roman"/>
          <w:sz w:val="24"/>
          <w:szCs w:val="24"/>
          <w:highlight w:val="white"/>
        </w:rPr>
        <w:t>Surg</w:t>
      </w:r>
      <w:proofErr w:type="spellEnd"/>
      <w:r>
        <w:rPr>
          <w:rFonts w:ascii="Times New Roman" w:eastAsia="Times New Roman" w:hAnsi="Times New Roman" w:cs="Times New Roman"/>
          <w:sz w:val="24"/>
          <w:szCs w:val="24"/>
          <w:highlight w:val="white"/>
        </w:rPr>
        <w:t xml:space="preserve"> Oncol. 2012;19(5):1541–50. https://doi.org/10.1245/s10434-011-2124-2.</w:t>
      </w:r>
    </w:p>
    <w:sectPr w:rsidR="00C856F9">
      <w:headerReference w:type="even" r:id="rId15"/>
      <w:headerReference w:type="default" r:id="rId16"/>
      <w:footerReference w:type="even" r:id="rId17"/>
      <w:footerReference w:type="default" r:id="rId18"/>
      <w:headerReference w:type="first" r:id="rId19"/>
      <w:footerReference w:type="first" r:id="rId2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9AF31B" w14:textId="77777777" w:rsidR="00AA57B4" w:rsidRDefault="00AA57B4" w:rsidP="00514CB0">
      <w:pPr>
        <w:spacing w:line="240" w:lineRule="auto"/>
      </w:pPr>
      <w:r>
        <w:separator/>
      </w:r>
    </w:p>
  </w:endnote>
  <w:endnote w:type="continuationSeparator" w:id="0">
    <w:p w14:paraId="27D72E9C" w14:textId="77777777" w:rsidR="00AA57B4" w:rsidRDefault="00AA57B4" w:rsidP="00514CB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431E121-4F6A-4D5B-BCB3-9F56BB3AFF35}"/>
  </w:font>
  <w:font w:name="Cambria">
    <w:panose1 w:val="02040503050406030204"/>
    <w:charset w:val="00"/>
    <w:family w:val="roman"/>
    <w:pitch w:val="variable"/>
    <w:sig w:usb0="E00006FF" w:usb1="420024FF" w:usb2="02000000" w:usb3="00000000" w:csb0="0000019F" w:csb1="00000000"/>
    <w:embedRegular r:id="rId2" w:fontKey="{3F1EFA4D-8AC1-441B-97B9-7CFB46F4EA2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EF8AF" w14:textId="77777777" w:rsidR="00514CB0" w:rsidRDefault="00514C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2C1F0" w14:textId="77777777" w:rsidR="00514CB0" w:rsidRDefault="00514C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7D41E" w14:textId="77777777" w:rsidR="00514CB0" w:rsidRDefault="00514C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983F72" w14:textId="77777777" w:rsidR="00AA57B4" w:rsidRDefault="00AA57B4" w:rsidP="00514CB0">
      <w:pPr>
        <w:spacing w:line="240" w:lineRule="auto"/>
      </w:pPr>
      <w:r>
        <w:separator/>
      </w:r>
    </w:p>
  </w:footnote>
  <w:footnote w:type="continuationSeparator" w:id="0">
    <w:p w14:paraId="13D620CA" w14:textId="77777777" w:rsidR="00AA57B4" w:rsidRDefault="00AA57B4" w:rsidP="00514CB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4443B" w14:textId="78D83EBE" w:rsidR="00514CB0" w:rsidRDefault="00000000">
    <w:pPr>
      <w:pStyle w:val="Header"/>
    </w:pPr>
    <w:r>
      <w:rPr>
        <w:noProof/>
      </w:rPr>
      <w:pict w14:anchorId="270152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069516" o:spid="_x0000_s1026" type="#_x0000_t136" style="position:absolute;margin-left:0;margin-top:0;width:572.8pt;height:63.6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50749" w14:textId="02DA483E" w:rsidR="00514CB0" w:rsidRDefault="00000000">
    <w:pPr>
      <w:pStyle w:val="Header"/>
    </w:pPr>
    <w:r>
      <w:rPr>
        <w:noProof/>
      </w:rPr>
      <w:pict w14:anchorId="60283D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069517" o:spid="_x0000_s1027" type="#_x0000_t136" style="position:absolute;margin-left:0;margin-top:0;width:572.8pt;height:63.6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F1930" w14:textId="7F16F2AB" w:rsidR="00514CB0" w:rsidRDefault="00000000">
    <w:pPr>
      <w:pStyle w:val="Header"/>
    </w:pPr>
    <w:r>
      <w:rPr>
        <w:noProof/>
      </w:rPr>
      <w:pict w14:anchorId="4ECF3A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069515" o:spid="_x0000_s1025" type="#_x0000_t136" style="position:absolute;margin-left:0;margin-top:0;width:572.8pt;height:63.6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9F7377"/>
    <w:multiLevelType w:val="multilevel"/>
    <w:tmpl w:val="D51051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0753977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56F9"/>
    <w:rsid w:val="00006C46"/>
    <w:rsid w:val="002367DE"/>
    <w:rsid w:val="004B230C"/>
    <w:rsid w:val="004E2CB7"/>
    <w:rsid w:val="00514CB0"/>
    <w:rsid w:val="00544856"/>
    <w:rsid w:val="005C2A20"/>
    <w:rsid w:val="005E4802"/>
    <w:rsid w:val="00604150"/>
    <w:rsid w:val="006C22FC"/>
    <w:rsid w:val="006F1CA3"/>
    <w:rsid w:val="00791165"/>
    <w:rsid w:val="00792E25"/>
    <w:rsid w:val="007C184E"/>
    <w:rsid w:val="007F275F"/>
    <w:rsid w:val="007F3222"/>
    <w:rsid w:val="00812F33"/>
    <w:rsid w:val="00855CF0"/>
    <w:rsid w:val="008F0530"/>
    <w:rsid w:val="008F293F"/>
    <w:rsid w:val="00AA57B4"/>
    <w:rsid w:val="00AB7A8B"/>
    <w:rsid w:val="00B5275D"/>
    <w:rsid w:val="00B834B6"/>
    <w:rsid w:val="00BD600B"/>
    <w:rsid w:val="00C856F9"/>
    <w:rsid w:val="00D545A0"/>
    <w:rsid w:val="00DA3F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41EF14"/>
  <w15:docId w15:val="{153DFB69-2ED5-4158-AD33-35264B16E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CellMar>
        <w:top w:w="15" w:type="dxa"/>
        <w:left w:w="15" w:type="dxa"/>
        <w:bottom w:w="15" w:type="dxa"/>
        <w:right w:w="15" w:type="dxa"/>
      </w:tblCellMar>
    </w:tblPr>
  </w:style>
  <w:style w:type="character" w:styleId="Hyperlink">
    <w:name w:val="Hyperlink"/>
    <w:basedOn w:val="DefaultParagraphFont"/>
    <w:uiPriority w:val="99"/>
    <w:unhideWhenUsed/>
    <w:rsid w:val="005E4802"/>
    <w:rPr>
      <w:color w:val="0000FF" w:themeColor="hyperlink"/>
      <w:u w:val="single"/>
    </w:rPr>
  </w:style>
  <w:style w:type="character" w:customStyle="1" w:styleId="UnresolvedMention1">
    <w:name w:val="Unresolved Mention1"/>
    <w:basedOn w:val="DefaultParagraphFont"/>
    <w:uiPriority w:val="99"/>
    <w:semiHidden/>
    <w:unhideWhenUsed/>
    <w:rsid w:val="005E4802"/>
    <w:rPr>
      <w:color w:val="605E5C"/>
      <w:shd w:val="clear" w:color="auto" w:fill="E1DFDD"/>
    </w:rPr>
  </w:style>
  <w:style w:type="paragraph" w:styleId="Header">
    <w:name w:val="header"/>
    <w:basedOn w:val="Normal"/>
    <w:link w:val="HeaderChar"/>
    <w:uiPriority w:val="99"/>
    <w:unhideWhenUsed/>
    <w:rsid w:val="00514CB0"/>
    <w:pPr>
      <w:tabs>
        <w:tab w:val="center" w:pos="4513"/>
        <w:tab w:val="right" w:pos="9026"/>
      </w:tabs>
      <w:spacing w:line="240" w:lineRule="auto"/>
    </w:pPr>
  </w:style>
  <w:style w:type="character" w:customStyle="1" w:styleId="HeaderChar">
    <w:name w:val="Header Char"/>
    <w:basedOn w:val="DefaultParagraphFont"/>
    <w:link w:val="Header"/>
    <w:uiPriority w:val="99"/>
    <w:rsid w:val="00514CB0"/>
  </w:style>
  <w:style w:type="paragraph" w:styleId="Footer">
    <w:name w:val="footer"/>
    <w:basedOn w:val="Normal"/>
    <w:link w:val="FooterChar"/>
    <w:uiPriority w:val="99"/>
    <w:unhideWhenUsed/>
    <w:rsid w:val="00514CB0"/>
    <w:pPr>
      <w:tabs>
        <w:tab w:val="center" w:pos="4513"/>
        <w:tab w:val="right" w:pos="9026"/>
      </w:tabs>
      <w:spacing w:line="240" w:lineRule="auto"/>
    </w:pPr>
  </w:style>
  <w:style w:type="character" w:customStyle="1" w:styleId="FooterChar">
    <w:name w:val="Footer Char"/>
    <w:basedOn w:val="DefaultParagraphFont"/>
    <w:link w:val="Footer"/>
    <w:uiPriority w:val="99"/>
    <w:rsid w:val="00514CB0"/>
  </w:style>
  <w:style w:type="character" w:customStyle="1" w:styleId="ng-star-inserted">
    <w:name w:val="ng-star-inserted"/>
    <w:basedOn w:val="DefaultParagraphFont"/>
    <w:rsid w:val="00BD600B"/>
  </w:style>
  <w:style w:type="paragraph" w:styleId="NormalWeb">
    <w:name w:val="Normal (Web)"/>
    <w:basedOn w:val="Normal"/>
    <w:uiPriority w:val="99"/>
    <w:semiHidden/>
    <w:unhideWhenUsed/>
    <w:rsid w:val="007F275F"/>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7117290">
      <w:bodyDiv w:val="1"/>
      <w:marLeft w:val="0"/>
      <w:marRight w:val="0"/>
      <w:marTop w:val="0"/>
      <w:marBottom w:val="0"/>
      <w:divBdr>
        <w:top w:val="none" w:sz="0" w:space="0" w:color="auto"/>
        <w:left w:val="none" w:sz="0" w:space="0" w:color="auto"/>
        <w:bottom w:val="none" w:sz="0" w:space="0" w:color="auto"/>
        <w:right w:val="none" w:sz="0" w:space="0" w:color="auto"/>
      </w:divBdr>
    </w:div>
    <w:div w:id="551427848">
      <w:bodyDiv w:val="1"/>
      <w:marLeft w:val="0"/>
      <w:marRight w:val="0"/>
      <w:marTop w:val="0"/>
      <w:marBottom w:val="0"/>
      <w:divBdr>
        <w:top w:val="none" w:sz="0" w:space="0" w:color="auto"/>
        <w:left w:val="none" w:sz="0" w:space="0" w:color="auto"/>
        <w:bottom w:val="none" w:sz="0" w:space="0" w:color="auto"/>
        <w:right w:val="none" w:sz="0" w:space="0" w:color="auto"/>
      </w:divBdr>
    </w:div>
    <w:div w:id="726105353">
      <w:bodyDiv w:val="1"/>
      <w:marLeft w:val="0"/>
      <w:marRight w:val="0"/>
      <w:marTop w:val="0"/>
      <w:marBottom w:val="0"/>
      <w:divBdr>
        <w:top w:val="none" w:sz="0" w:space="0" w:color="auto"/>
        <w:left w:val="none" w:sz="0" w:space="0" w:color="auto"/>
        <w:bottom w:val="none" w:sz="0" w:space="0" w:color="auto"/>
        <w:right w:val="none" w:sz="0" w:space="0" w:color="auto"/>
      </w:divBdr>
    </w:div>
    <w:div w:id="10774337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245/s10434-024-15950-1"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oi.org/10"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186/"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doi.org/10.1038/s41598-025-89158-y"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doi.org/10.3390/cancers16183163" TargetMode="External"/><Relationship Id="rId14" Type="http://schemas.openxmlformats.org/officeDocument/2006/relationships/hyperlink" Target="https://doi.org/10.1186/s12957-023-02953-7"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76FC15-990E-4D37-BF99-742E8FDC5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15</Pages>
  <Words>6545</Words>
  <Characters>37307</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 Acc 101</cp:lastModifiedBy>
  <cp:revision>19</cp:revision>
  <dcterms:created xsi:type="dcterms:W3CDTF">2026-03-26T09:02:00Z</dcterms:created>
  <dcterms:modified xsi:type="dcterms:W3CDTF">2026-04-11T04:32:00Z</dcterms:modified>
</cp:coreProperties>
</file>