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35AB" w14:textId="77777777" w:rsidR="00514450" w:rsidRPr="00514450" w:rsidRDefault="00514450" w:rsidP="00514450">
      <w:pPr>
        <w:rPr>
          <w:rFonts w:ascii="Arial" w:hAnsi="Arial" w:cs="Arial"/>
          <w:b/>
          <w:bCs/>
          <w:sz w:val="36"/>
          <w:szCs w:val="36"/>
          <w:u w:val="single"/>
        </w:rPr>
      </w:pPr>
    </w:p>
    <w:p w14:paraId="382701AA" w14:textId="114AEF8B" w:rsidR="00187A60" w:rsidRDefault="00187A60" w:rsidP="00FC0365">
      <w:pPr>
        <w:jc w:val="center"/>
        <w:rPr>
          <w:rFonts w:ascii="Arial" w:hAnsi="Arial" w:cs="Arial"/>
          <w:b/>
          <w:bCs/>
          <w:sz w:val="36"/>
          <w:szCs w:val="36"/>
        </w:rPr>
      </w:pPr>
      <w:r w:rsidRPr="00FC0365">
        <w:rPr>
          <w:rFonts w:ascii="Arial" w:hAnsi="Arial" w:cs="Arial"/>
          <w:b/>
          <w:bCs/>
          <w:sz w:val="36"/>
          <w:szCs w:val="36"/>
          <w:highlight w:val="yellow"/>
        </w:rPr>
        <w:t>Retrospective Analysis of Gender Distribution in Dementia Cases from a Neuropsychiatric Hospital in Calabar, Nigeria (2011–2021)</w:t>
      </w:r>
    </w:p>
    <w:p w14:paraId="3D3A7C5A" w14:textId="77777777" w:rsidR="00EE3FD5" w:rsidRDefault="00EE3FD5">
      <w:pPr>
        <w:pStyle w:val="Author"/>
        <w:spacing w:line="240" w:lineRule="auto"/>
        <w:rPr>
          <w:rFonts w:ascii="Arial" w:hAnsi="Arial" w:cs="Arial"/>
          <w:sz w:val="36"/>
          <w:szCs w:val="36"/>
        </w:rPr>
      </w:pPr>
    </w:p>
    <w:p w14:paraId="26C5A76D" w14:textId="77777777" w:rsidR="00EE3FD5" w:rsidRDefault="00EE3FD5">
      <w:pPr>
        <w:pStyle w:val="Affiliation"/>
        <w:spacing w:after="0" w:line="240" w:lineRule="auto"/>
        <w:jc w:val="both"/>
        <w:rPr>
          <w:rFonts w:ascii="Arial" w:hAnsi="Arial" w:cs="Arial"/>
        </w:rPr>
      </w:pPr>
    </w:p>
    <w:p w14:paraId="07B4DA97" w14:textId="77777777" w:rsidR="00EE3FD5" w:rsidRDefault="00EE3FD5">
      <w:pPr>
        <w:pStyle w:val="Affiliation"/>
        <w:spacing w:after="0" w:line="240" w:lineRule="auto"/>
        <w:jc w:val="both"/>
        <w:rPr>
          <w:rFonts w:ascii="Arial" w:hAnsi="Arial" w:cs="Arial"/>
        </w:rPr>
      </w:pPr>
    </w:p>
    <w:p w14:paraId="40328C1A" w14:textId="77777777" w:rsidR="00EE3FD5" w:rsidRDefault="00811C81">
      <w:pPr>
        <w:pStyle w:val="Copyright"/>
        <w:spacing w:after="0" w:line="240" w:lineRule="auto"/>
        <w:jc w:val="both"/>
        <w:rPr>
          <w:rFonts w:ascii="Arial" w:hAnsi="Arial" w:cs="Arial"/>
        </w:rPr>
        <w:sectPr w:rsidR="00EE3FD5" w:rsidSect="006F74CC">
          <w:headerReference w:type="even" r:id="rId8"/>
          <w:headerReference w:type="default" r:id="rId9"/>
          <w:footerReference w:type="even" r:id="rId10"/>
          <w:footerReference w:type="default" r:id="rId11"/>
          <w:headerReference w:type="first" r:id="rId12"/>
          <w:footerReference w:type="first" r:id="rId13"/>
          <w:pgSz w:w="12240" w:h="15840"/>
          <w:pgMar w:top="1440" w:right="424" w:bottom="2016" w:left="816" w:header="720" w:footer="1296" w:gutter="0"/>
          <w:cols w:space="720"/>
          <w:docGrid w:linePitch="272"/>
        </w:sectPr>
      </w:pPr>
      <w:r>
        <w:rPr>
          <w:rFonts w:ascii="Arial" w:hAnsi="Arial" w:cs="Arial"/>
          <w:noProof/>
        </w:rPr>
        <mc:AlternateContent>
          <mc:Choice Requires="wps">
            <w:drawing>
              <wp:inline distT="0" distB="0" distL="114300" distR="114300" wp14:anchorId="6367532B" wp14:editId="0DEE8139">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7B101A9"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14:paraId="6E359297" w14:textId="77777777" w:rsidR="00EE3FD5" w:rsidRDefault="00811C81">
      <w:pPr>
        <w:pStyle w:val="AbstHead"/>
        <w:spacing w:after="0"/>
        <w:jc w:val="both"/>
        <w:rPr>
          <w:rFonts w:ascii="Arial" w:hAnsi="Arial" w:cs="Arial"/>
        </w:rPr>
      </w:pPr>
      <w:r>
        <w:rPr>
          <w:rFonts w:ascii="Arial" w:hAnsi="Arial" w:cs="Arial"/>
        </w:rPr>
        <w:t xml:space="preserve">ABSTRACT </w:t>
      </w:r>
    </w:p>
    <w:p w14:paraId="1845A032" w14:textId="77777777" w:rsidR="00EE3FD5" w:rsidRDefault="00EE3F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E3FD5" w14:paraId="38396519" w14:textId="77777777">
        <w:tc>
          <w:tcPr>
            <w:tcW w:w="9576" w:type="dxa"/>
            <w:shd w:val="clear" w:color="auto" w:fill="F2F2F2"/>
          </w:tcPr>
          <w:p w14:paraId="49EEF1B8" w14:textId="77777777" w:rsidR="00996ADC" w:rsidRDefault="00187A60">
            <w:pPr>
              <w:pStyle w:val="Body"/>
              <w:spacing w:after="0"/>
              <w:rPr>
                <w:rFonts w:ascii="Arial" w:hAnsi="Arial"/>
              </w:rPr>
            </w:pPr>
            <w:r w:rsidRPr="00FC0365">
              <w:rPr>
                <w:rFonts w:ascii="Arial" w:eastAsia="Calibri" w:hAnsi="Arial" w:cs="Arial"/>
                <w:b/>
                <w:szCs w:val="22"/>
                <w:highlight w:val="yellow"/>
              </w:rPr>
              <w:t xml:space="preserve">Background: </w:t>
            </w:r>
            <w:r w:rsidR="00996ADC" w:rsidRPr="00996ADC">
              <w:rPr>
                <w:rFonts w:ascii="Arial" w:hAnsi="Arial"/>
              </w:rPr>
              <w:t xml:space="preserve">Dementia represents a critical public health challenge, as it is among the most prevalent disorders affecting the elderly and constitutes a leading cause of both disability and mortality within this </w:t>
            </w:r>
            <w:proofErr w:type="spellStart"/>
            <w:r w:rsidR="00996ADC" w:rsidRPr="00996ADC">
              <w:rPr>
                <w:rFonts w:ascii="Arial" w:hAnsi="Arial"/>
              </w:rPr>
              <w:t>population.</w:t>
            </w:r>
          </w:p>
          <w:p w14:paraId="421F6306" w14:textId="38F27E95" w:rsidR="00EE3FD5" w:rsidRDefault="00811C81">
            <w:pPr>
              <w:pStyle w:val="Body"/>
              <w:spacing w:after="0"/>
              <w:rPr>
                <w:rFonts w:ascii="Arial" w:eastAsia="Calibri" w:hAnsi="Arial" w:cs="Arial"/>
                <w:szCs w:val="22"/>
              </w:rPr>
            </w:pPr>
            <w:bookmarkStart w:id="0" w:name="_GoBack"/>
            <w:bookmarkEnd w:id="0"/>
            <w:r w:rsidRPr="00FC0365">
              <w:rPr>
                <w:rFonts w:ascii="Arial" w:eastAsia="Calibri" w:hAnsi="Arial" w:cs="Arial"/>
                <w:b/>
                <w:szCs w:val="22"/>
                <w:highlight w:val="yellow"/>
              </w:rPr>
              <w:t>Ai</w:t>
            </w:r>
            <w:proofErr w:type="spellEnd"/>
            <w:r w:rsidRPr="00FC0365">
              <w:rPr>
                <w:rFonts w:ascii="Arial" w:eastAsia="Calibri" w:hAnsi="Arial" w:cs="Arial"/>
                <w:b/>
                <w:szCs w:val="22"/>
                <w:highlight w:val="yellow"/>
              </w:rPr>
              <w:t xml:space="preserve">m: </w:t>
            </w:r>
            <w:r w:rsidR="00187A60" w:rsidRPr="00FC0365">
              <w:rPr>
                <w:rFonts w:ascii="Arial" w:eastAsia="Calibri" w:hAnsi="Arial"/>
                <w:szCs w:val="22"/>
                <w:highlight w:val="yellow"/>
              </w:rPr>
              <w:t>The study aim</w:t>
            </w:r>
            <w:r w:rsidR="0089122F" w:rsidRPr="00FC0365">
              <w:rPr>
                <w:rFonts w:ascii="Arial" w:eastAsia="Calibri" w:hAnsi="Arial"/>
                <w:szCs w:val="22"/>
                <w:highlight w:val="yellow"/>
              </w:rPr>
              <w:t>s</w:t>
            </w:r>
            <w:r>
              <w:rPr>
                <w:rFonts w:ascii="Arial" w:eastAsia="Calibri" w:hAnsi="Arial"/>
                <w:szCs w:val="22"/>
              </w:rPr>
              <w:t xml:space="preserve"> to investigate the prevalence of dementia among patients in Calabar metropolis, from Federal Neuro-Psychiatric Hospital, Calabar, Cross River State.</w:t>
            </w:r>
          </w:p>
          <w:p w14:paraId="4926B43F" w14:textId="6ADA58B1" w:rsidR="00EE3FD5" w:rsidRDefault="00811C81">
            <w:pPr>
              <w:pStyle w:val="Body"/>
              <w:spacing w:after="0"/>
              <w:rPr>
                <w:rFonts w:ascii="Arial" w:eastAsia="Calibri" w:hAnsi="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The retrospective research design was adopted for the study. This was suitable to enable the review of the records of patients who had suffered from dementia in Federal Neuro-Psychiatric Hospital, Calabar, Cross River State</w:t>
            </w:r>
            <w:r w:rsidR="0089122F">
              <w:rPr>
                <w:rFonts w:ascii="Arial" w:eastAsia="Calibri" w:hAnsi="Arial"/>
                <w:szCs w:val="22"/>
              </w:rPr>
              <w:t>,</w:t>
            </w:r>
            <w:r>
              <w:rPr>
                <w:rFonts w:ascii="Arial" w:eastAsia="Calibri" w:hAnsi="Arial"/>
                <w:szCs w:val="22"/>
              </w:rPr>
              <w:t xml:space="preserve"> from 2011 to 2021.</w:t>
            </w:r>
          </w:p>
          <w:p w14:paraId="0FE6A2D9" w14:textId="7A6BC4F9" w:rsidR="00EE3FD5" w:rsidRDefault="00811C81">
            <w:pPr>
              <w:pStyle w:val="Body"/>
              <w:spacing w:after="0"/>
              <w:rPr>
                <w:rFonts w:ascii="Arial" w:eastAsia="Calibri" w:hAnsi="Arial"/>
                <w:szCs w:val="22"/>
              </w:rPr>
            </w:pPr>
            <w:r>
              <w:rPr>
                <w:rFonts w:ascii="Arial" w:eastAsia="Calibri" w:hAnsi="Arial" w:cs="Arial"/>
                <w:b/>
                <w:bCs/>
                <w:szCs w:val="22"/>
              </w:rPr>
              <w:t xml:space="preserve">Methodology: </w:t>
            </w:r>
            <w:r w:rsidR="00996ADC" w:rsidRPr="00996ADC">
              <w:rPr>
                <w:rFonts w:ascii="Arial" w:eastAsia="Calibri" w:hAnsi="Arial"/>
                <w:szCs w:val="22"/>
              </w:rPr>
              <w:t xml:space="preserve">A total of 195 medical records were extracted and </w:t>
            </w:r>
            <w:proofErr w:type="spellStart"/>
            <w:r w:rsidR="00996ADC" w:rsidRPr="00996ADC">
              <w:rPr>
                <w:rFonts w:ascii="Arial" w:eastAsia="Calibri" w:hAnsi="Arial"/>
                <w:szCs w:val="22"/>
              </w:rPr>
              <w:t>analysed</w:t>
            </w:r>
            <w:proofErr w:type="spellEnd"/>
            <w:r w:rsidR="00996ADC" w:rsidRPr="00996ADC">
              <w:rPr>
                <w:rFonts w:ascii="Arial" w:eastAsia="Calibri" w:hAnsi="Arial"/>
                <w:szCs w:val="22"/>
              </w:rPr>
              <w:t xml:space="preserve"> in this study. The target population comprised all patients diagnosed with dementia who attended the Federal Neuro-Psychiatric Hospital, Calabar, Cross River State, between January 2011 and December 2021. Primary data were obtained using a validated checklist specifically developed to extract relevant information, structured into two sections: Section A addressed the socio-demographic characteristics of the participants, while Section B focused on the prevalence of dementia within the hospital. Data analysis was conducted using descriptive statistical techniques, with computations performed using the Statistical Package for the Social Sciences (SPSS), version 23.</w:t>
            </w:r>
          </w:p>
          <w:p w14:paraId="1E021F33" w14:textId="5191DD26" w:rsidR="00EE3FD5" w:rsidRDefault="00811C81">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The percentage of female patients with dementia (56.4</w:t>
            </w:r>
            <w:r w:rsidRPr="00FC0365">
              <w:rPr>
                <w:rFonts w:ascii="Arial" w:eastAsia="Calibri" w:hAnsi="Arial"/>
                <w:szCs w:val="22"/>
                <w:highlight w:val="yellow"/>
              </w:rPr>
              <w:t xml:space="preserve">%) </w:t>
            </w:r>
            <w:r w:rsidR="0089122F" w:rsidRPr="00FC0365">
              <w:rPr>
                <w:rFonts w:ascii="Arial" w:eastAsia="Calibri" w:hAnsi="Arial"/>
                <w:szCs w:val="22"/>
                <w:highlight w:val="yellow"/>
              </w:rPr>
              <w:t xml:space="preserve">was </w:t>
            </w:r>
            <w:r w:rsidRPr="00FC0365">
              <w:rPr>
                <w:rFonts w:ascii="Arial" w:eastAsia="Calibri" w:hAnsi="Arial"/>
                <w:szCs w:val="22"/>
                <w:highlight w:val="yellow"/>
              </w:rPr>
              <w:t xml:space="preserve">higher than </w:t>
            </w:r>
            <w:r w:rsidR="0089122F" w:rsidRPr="00FC0365">
              <w:rPr>
                <w:rFonts w:ascii="Arial" w:eastAsia="Calibri" w:hAnsi="Arial"/>
                <w:szCs w:val="22"/>
                <w:highlight w:val="yellow"/>
              </w:rPr>
              <w:t>that of</w:t>
            </w:r>
            <w:r w:rsidR="0089122F">
              <w:rPr>
                <w:rFonts w:ascii="Arial" w:eastAsia="Calibri" w:hAnsi="Arial"/>
                <w:szCs w:val="22"/>
              </w:rPr>
              <w:t xml:space="preserve"> </w:t>
            </w:r>
            <w:r>
              <w:rPr>
                <w:rFonts w:ascii="Arial" w:eastAsia="Calibri" w:hAnsi="Arial"/>
                <w:szCs w:val="22"/>
              </w:rPr>
              <w:t>males (43.6%) at the Federal Neuro-Psychiatric Hospital. The age range of patients with the highest percentage (44.6%) of dementia was between 65 and 74</w:t>
            </w:r>
            <w:r w:rsidR="00C00AA9">
              <w:rPr>
                <w:rFonts w:ascii="Arial" w:eastAsia="Calibri" w:hAnsi="Arial"/>
                <w:szCs w:val="22"/>
              </w:rPr>
              <w:t>,</w:t>
            </w:r>
            <w:r>
              <w:rPr>
                <w:rFonts w:ascii="Arial" w:eastAsia="Calibri" w:hAnsi="Arial"/>
                <w:szCs w:val="22"/>
              </w:rPr>
              <w:t xml:space="preserve"> and the lowest was between 94 years and above. The patients from Cross River state had the highest percentage (52.8%)</w:t>
            </w:r>
            <w:r w:rsidR="00C00AA9">
              <w:rPr>
                <w:rFonts w:ascii="Arial" w:eastAsia="Calibri" w:hAnsi="Arial"/>
                <w:szCs w:val="22"/>
              </w:rPr>
              <w:t>,</w:t>
            </w:r>
            <w:r>
              <w:rPr>
                <w:rFonts w:ascii="Arial" w:eastAsia="Calibri" w:hAnsi="Arial"/>
                <w:szCs w:val="22"/>
              </w:rPr>
              <w:t xml:space="preserve"> while those from Anambra and Imo states had the lowest percentage (1.1%).</w:t>
            </w:r>
            <w:r w:rsidR="00725E01">
              <w:rPr>
                <w:rFonts w:ascii="Arial" w:eastAsia="Calibri" w:hAnsi="Arial"/>
                <w:szCs w:val="22"/>
              </w:rPr>
              <w:t xml:space="preserve"> </w:t>
            </w:r>
            <w:r w:rsidR="00725E01" w:rsidRPr="00725E01">
              <w:rPr>
                <w:rFonts w:ascii="Arial" w:hAnsi="Arial"/>
                <w:szCs w:val="22"/>
                <w:highlight w:val="yellow"/>
              </w:rPr>
              <w:t>The predominant type of dementia at the Federal Neuro-Psychiatric Hospital was Alzheimer’s disease (57.9%).</w:t>
            </w:r>
          </w:p>
          <w:p w14:paraId="52739C20" w14:textId="1EC38478" w:rsidR="00EE3FD5" w:rsidRDefault="00811C8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 xml:space="preserve">The study showed that </w:t>
            </w:r>
            <w:r w:rsidR="00C00AA9" w:rsidRPr="00FC0365">
              <w:rPr>
                <w:szCs w:val="22"/>
                <w:highlight w:val="yellow"/>
              </w:rPr>
              <w:t>a</w:t>
            </w:r>
            <w:r w:rsidR="00C00AA9" w:rsidRPr="00FC0365">
              <w:rPr>
                <w:highlight w:val="yellow"/>
                <w:lang w:val="en-GB"/>
              </w:rPr>
              <w:t xml:space="preserve"> higher proportion of female dementia cases was observed </w:t>
            </w:r>
            <w:r>
              <w:rPr>
                <w:rFonts w:ascii="Arial" w:eastAsia="Calibri" w:hAnsi="Arial"/>
                <w:szCs w:val="22"/>
              </w:rPr>
              <w:t>within the Cross River population of Nigeria.</w:t>
            </w:r>
          </w:p>
        </w:tc>
      </w:tr>
    </w:tbl>
    <w:p w14:paraId="0CE83206" w14:textId="77777777" w:rsidR="00EE3FD5" w:rsidRDefault="00EE3FD5">
      <w:pPr>
        <w:pStyle w:val="Body"/>
        <w:spacing w:after="0"/>
        <w:rPr>
          <w:rFonts w:ascii="Arial" w:hAnsi="Arial" w:cs="Arial"/>
          <w:i/>
        </w:rPr>
      </w:pPr>
    </w:p>
    <w:p w14:paraId="42D3BDA9" w14:textId="1646BF16" w:rsidR="00EE3FD5" w:rsidRDefault="00811C81">
      <w:pPr>
        <w:pStyle w:val="Body"/>
        <w:spacing w:after="0"/>
        <w:rPr>
          <w:rFonts w:ascii="Arial" w:hAnsi="Arial" w:cs="Arial"/>
          <w:i/>
        </w:rPr>
      </w:pPr>
      <w:r>
        <w:rPr>
          <w:rFonts w:ascii="Arial" w:hAnsi="Arial" w:cs="Arial"/>
          <w:i/>
        </w:rPr>
        <w:t xml:space="preserve">Keywords: </w:t>
      </w:r>
      <w:r>
        <w:rPr>
          <w:rFonts w:ascii="Arial" w:hAnsi="Arial"/>
          <w:i/>
        </w:rPr>
        <w:t xml:space="preserve">Dementia; </w:t>
      </w:r>
      <w:r w:rsidR="00C00AA9">
        <w:rPr>
          <w:rFonts w:ascii="Arial" w:hAnsi="Arial"/>
          <w:i/>
        </w:rPr>
        <w:t>G</w:t>
      </w:r>
      <w:r>
        <w:rPr>
          <w:rFonts w:ascii="Arial" w:hAnsi="Arial"/>
          <w:i/>
        </w:rPr>
        <w:t xml:space="preserve">ender specificity; </w:t>
      </w:r>
      <w:r w:rsidR="00C00AA9">
        <w:rPr>
          <w:rFonts w:ascii="Arial" w:hAnsi="Arial"/>
          <w:i/>
        </w:rPr>
        <w:t>N</w:t>
      </w:r>
      <w:r>
        <w:rPr>
          <w:rFonts w:ascii="Arial" w:hAnsi="Arial"/>
          <w:i/>
        </w:rPr>
        <w:t xml:space="preserve">euro-psychiatry; Alzheimer’s disease, </w:t>
      </w:r>
      <w:r w:rsidR="00C00AA9">
        <w:rPr>
          <w:rFonts w:ascii="Arial" w:hAnsi="Arial"/>
          <w:i/>
        </w:rPr>
        <w:t>A</w:t>
      </w:r>
      <w:r>
        <w:rPr>
          <w:rFonts w:ascii="Arial" w:hAnsi="Arial"/>
          <w:i/>
        </w:rPr>
        <w:t xml:space="preserve">ge specificity; </w:t>
      </w:r>
      <w:r w:rsidR="00C00AA9">
        <w:rPr>
          <w:rFonts w:ascii="Arial" w:hAnsi="Arial"/>
          <w:i/>
        </w:rPr>
        <w:t>M</w:t>
      </w:r>
      <w:r>
        <w:rPr>
          <w:rFonts w:ascii="Arial" w:hAnsi="Arial"/>
          <w:i/>
        </w:rPr>
        <w:t>ental health</w:t>
      </w:r>
    </w:p>
    <w:p w14:paraId="501FE00C" w14:textId="77777777" w:rsidR="00EE3FD5" w:rsidRDefault="00EE3FD5">
      <w:pPr>
        <w:pStyle w:val="Body"/>
        <w:spacing w:after="0"/>
        <w:rPr>
          <w:rFonts w:ascii="Arial" w:hAnsi="Arial" w:cs="Arial"/>
          <w:i/>
        </w:rPr>
      </w:pPr>
    </w:p>
    <w:p w14:paraId="71E31C86" w14:textId="77777777" w:rsidR="00EE3FD5" w:rsidRDefault="00811C81">
      <w:pPr>
        <w:pStyle w:val="AbstHead"/>
        <w:spacing w:after="0"/>
        <w:jc w:val="both"/>
        <w:rPr>
          <w:rFonts w:ascii="Arial" w:hAnsi="Arial" w:cs="Arial"/>
        </w:rPr>
      </w:pPr>
      <w:r>
        <w:rPr>
          <w:rFonts w:ascii="Arial" w:hAnsi="Arial" w:cs="Arial"/>
        </w:rPr>
        <w:t>1. INTRODUCTION</w:t>
      </w:r>
    </w:p>
    <w:p w14:paraId="30CA3DA9" w14:textId="77777777" w:rsidR="00EE3FD5" w:rsidRDefault="00EE3FD5">
      <w:pPr>
        <w:pStyle w:val="AbstHead"/>
        <w:spacing w:after="0"/>
        <w:jc w:val="both"/>
        <w:rPr>
          <w:rFonts w:ascii="Arial" w:hAnsi="Arial" w:cs="Arial"/>
        </w:rPr>
      </w:pPr>
    </w:p>
    <w:p w14:paraId="59AC5555" w14:textId="151B4BFD" w:rsidR="00EE3FD5" w:rsidRDefault="00811C81" w:rsidP="00FC0365">
      <w:pPr>
        <w:pStyle w:val="Body"/>
        <w:rPr>
          <w:rFonts w:ascii="Arial" w:hAnsi="Arial"/>
        </w:rPr>
      </w:pPr>
      <w:r>
        <w:rPr>
          <w:rFonts w:ascii="Arial" w:hAnsi="Arial"/>
        </w:rPr>
        <w:t>Dementia is known to be one of the major challenges of the century due to the enormous pathologies imposed on the health care system (</w:t>
      </w:r>
      <w:proofErr w:type="spellStart"/>
      <w:r>
        <w:rPr>
          <w:rFonts w:ascii="Arial" w:hAnsi="Arial"/>
        </w:rPr>
        <w:t>Budson</w:t>
      </w:r>
      <w:proofErr w:type="spellEnd"/>
      <w:r>
        <w:rPr>
          <w:rFonts w:ascii="Arial" w:hAnsi="Arial"/>
        </w:rPr>
        <w:t xml:space="preserve"> and Solomon, 2017). It is a significant public health issue because it is one of the most common diseases in the elderly and a major cause of disability and mortality in the aged population. </w:t>
      </w:r>
      <w:r w:rsidR="00996ADC" w:rsidRPr="00996ADC">
        <w:rPr>
          <w:rFonts w:ascii="Arial" w:hAnsi="Arial"/>
        </w:rPr>
        <w:t>Dementia, an overarching term encompassing progressive cognitive decline that results in significant functional impairment, currently affects approximately 55 million individuals worldwide (</w:t>
      </w:r>
      <w:proofErr w:type="spellStart"/>
      <w:r w:rsidR="00996ADC" w:rsidRPr="00996ADC">
        <w:rPr>
          <w:rFonts w:ascii="Arial" w:hAnsi="Arial"/>
        </w:rPr>
        <w:t>Wimo</w:t>
      </w:r>
      <w:proofErr w:type="spellEnd"/>
      <w:r w:rsidR="00996ADC" w:rsidRPr="00996ADC">
        <w:rPr>
          <w:rFonts w:ascii="Arial" w:hAnsi="Arial"/>
        </w:rPr>
        <w:t xml:space="preserve"> et al., 2023). The most prevalent forms of dementia include Alzheimer’s disease (AD), Lewy body dementia (LBD)—which encompasses both dementia with Lewy bodies (DLB) and Parkinson’s disease dementia—vascular dementia (</w:t>
      </w:r>
      <w:proofErr w:type="spellStart"/>
      <w:r w:rsidR="00996ADC" w:rsidRPr="00996ADC">
        <w:rPr>
          <w:rFonts w:ascii="Arial" w:hAnsi="Arial"/>
        </w:rPr>
        <w:t>VaD</w:t>
      </w:r>
      <w:proofErr w:type="spellEnd"/>
      <w:r w:rsidR="00996ADC" w:rsidRPr="00996ADC">
        <w:rPr>
          <w:rFonts w:ascii="Arial" w:hAnsi="Arial"/>
        </w:rPr>
        <w:t>), and frontotemporal dementia (FTD). These conditions differ in their neuropathological mechanisms, clinical manifestations, and progression patterns, yet collectively represent a major global public health challenge due to their profound impact on patients, caregivers, and healthcare systems</w:t>
      </w:r>
      <w:r w:rsidR="00F14C5C" w:rsidRPr="00FC0365">
        <w:rPr>
          <w:rFonts w:ascii="Arial" w:hAnsi="Arial"/>
          <w:highlight w:val="yellow"/>
        </w:rPr>
        <w:t xml:space="preserve"> (</w:t>
      </w:r>
      <w:proofErr w:type="spellStart"/>
      <w:r w:rsidR="00F14C5C" w:rsidRPr="00FC0365">
        <w:rPr>
          <w:rFonts w:ascii="Arial" w:hAnsi="Arial" w:cs="Arial"/>
          <w:color w:val="000000" w:themeColor="text1"/>
          <w:highlight w:val="yellow"/>
        </w:rPr>
        <w:t>Chouliaras</w:t>
      </w:r>
      <w:proofErr w:type="spellEnd"/>
      <w:r w:rsidR="00F14C5C" w:rsidRPr="00FC0365">
        <w:rPr>
          <w:rFonts w:ascii="Arial" w:hAnsi="Arial" w:cs="Arial"/>
          <w:color w:val="000000" w:themeColor="text1"/>
          <w:highlight w:val="yellow"/>
        </w:rPr>
        <w:t xml:space="preserve"> &amp; O’Brien, 2024)</w:t>
      </w:r>
      <w:r w:rsidR="00F14C5C" w:rsidRPr="00FC0365">
        <w:rPr>
          <w:rFonts w:ascii="Arial" w:hAnsi="Arial"/>
          <w:highlight w:val="yellow"/>
        </w:rPr>
        <w:t>.</w:t>
      </w:r>
      <w:r w:rsidR="00F14C5C">
        <w:rPr>
          <w:rFonts w:ascii="Arial" w:hAnsi="Arial"/>
        </w:rPr>
        <w:t xml:space="preserve"> </w:t>
      </w:r>
      <w:r>
        <w:rPr>
          <w:rFonts w:ascii="Arial" w:hAnsi="Arial"/>
        </w:rPr>
        <w:t xml:space="preserve">The condition affects memory, thinking, comprehension, orientation, calculation, learning capacity, </w:t>
      </w:r>
      <w:r>
        <w:rPr>
          <w:rFonts w:ascii="Arial" w:hAnsi="Arial"/>
        </w:rPr>
        <w:lastRenderedPageBreak/>
        <w:t xml:space="preserve">language and judgement. In 2020, an outstanding review increased the number of risk factors for dementia from nine to twelve. The three newly added risks are traumatic brain injury, air pollution and over-indulgence in alcohol. The other nine risk factors are high blood pressure, hearing loss, smoking, obesity, depression, lower levels of education, low social contact, inactivity and diabetes (Livingston et al., 2020). With increasing loss of function, a patient is gradually robbed of his or her independence. Patients with dementia usually survive seven to ten years after the onset of the symptoms (World Health Organization, 2022). The signs and symptoms of dementia are termed as the neuropsychiatric symptoms known as </w:t>
      </w:r>
      <w:proofErr w:type="spellStart"/>
      <w:r>
        <w:rPr>
          <w:rFonts w:ascii="Arial" w:hAnsi="Arial"/>
        </w:rPr>
        <w:t>behavioural</w:t>
      </w:r>
      <w:proofErr w:type="spellEnd"/>
      <w:r>
        <w:rPr>
          <w:rFonts w:ascii="Arial" w:hAnsi="Arial"/>
        </w:rPr>
        <w:t xml:space="preserve"> and psychological symptoms of dementia (Kales et al., 2015; Radue et al., 2019). </w:t>
      </w:r>
    </w:p>
    <w:p w14:paraId="43528F05" w14:textId="77777777" w:rsidR="00EE3FD5" w:rsidRDefault="00EE3FD5">
      <w:pPr>
        <w:pStyle w:val="Body"/>
        <w:spacing w:after="0"/>
        <w:rPr>
          <w:rFonts w:ascii="Arial" w:hAnsi="Arial"/>
        </w:rPr>
      </w:pPr>
    </w:p>
    <w:p w14:paraId="5145974B" w14:textId="3AB531BC" w:rsidR="00EE3FD5" w:rsidRDefault="00996ADC">
      <w:pPr>
        <w:pStyle w:val="Body"/>
        <w:spacing w:after="0"/>
        <w:rPr>
          <w:rFonts w:ascii="Arial" w:hAnsi="Arial"/>
        </w:rPr>
      </w:pPr>
      <w:r w:rsidRPr="00996ADC">
        <w:rPr>
          <w:rFonts w:ascii="Arial" w:hAnsi="Arial"/>
        </w:rPr>
        <w:t xml:space="preserve">The Diagnostic and Statistical Manual of Mental Disorders, Fifth Edition (DSM-5), has reclassified dementia under the term “major neurocognitive disorder,” </w:t>
      </w:r>
      <w:proofErr w:type="spellStart"/>
      <w:r w:rsidRPr="00996ADC">
        <w:rPr>
          <w:rFonts w:ascii="Arial" w:hAnsi="Arial"/>
        </w:rPr>
        <w:t>recognising</w:t>
      </w:r>
      <w:proofErr w:type="spellEnd"/>
      <w:r w:rsidRPr="00996ADC">
        <w:rPr>
          <w:rFonts w:ascii="Arial" w:hAnsi="Arial"/>
        </w:rPr>
        <w:t xml:space="preserve"> a spectrum of severity and a range of </w:t>
      </w:r>
      <w:proofErr w:type="spellStart"/>
      <w:r w:rsidRPr="00996ADC">
        <w:rPr>
          <w:rFonts w:ascii="Arial" w:hAnsi="Arial"/>
        </w:rPr>
        <w:t>aetiological</w:t>
      </w:r>
      <w:proofErr w:type="spellEnd"/>
      <w:r w:rsidRPr="00996ADC">
        <w:rPr>
          <w:rFonts w:ascii="Arial" w:hAnsi="Arial"/>
        </w:rPr>
        <w:t xml:space="preserve"> subtypes. Among these, Alzheimer’s disease remains the most prevalent form. Other frequently observed types include vascular dementia, dementia with Lewy bodies, frontotemporal dementia, and mixed dementia, each </w:t>
      </w:r>
      <w:proofErr w:type="spellStart"/>
      <w:r w:rsidRPr="00996ADC">
        <w:rPr>
          <w:rFonts w:ascii="Arial" w:hAnsi="Arial"/>
        </w:rPr>
        <w:t>characterised</w:t>
      </w:r>
      <w:proofErr w:type="spellEnd"/>
      <w:r w:rsidRPr="00996ADC">
        <w:rPr>
          <w:rFonts w:ascii="Arial" w:hAnsi="Arial"/>
        </w:rPr>
        <w:t xml:space="preserve"> by distinct neuropathological features and clinical presentations. This reclassification </w:t>
      </w:r>
      <w:proofErr w:type="spellStart"/>
      <w:r w:rsidRPr="00996ADC">
        <w:rPr>
          <w:rFonts w:ascii="Arial" w:hAnsi="Arial"/>
        </w:rPr>
        <w:t>emphasises</w:t>
      </w:r>
      <w:proofErr w:type="spellEnd"/>
      <w:r w:rsidRPr="00996ADC">
        <w:rPr>
          <w:rFonts w:ascii="Arial" w:hAnsi="Arial"/>
        </w:rPr>
        <w:t xml:space="preserve"> the heterogeneity of cognitive decline and facilitates more precise diagnosis, management, and research into the underlying mechanisms of these disorders</w:t>
      </w:r>
      <w:r w:rsidR="00811C81">
        <w:rPr>
          <w:rFonts w:ascii="Arial" w:hAnsi="Arial"/>
        </w:rPr>
        <w:t xml:space="preserve"> (World Health Organization, 2022).  By 2050, the number of people living with dementia is estimated to be over 150 million globally (Arvanitakis et al., 2019). </w:t>
      </w:r>
      <w:r w:rsidR="00C00AA9" w:rsidRPr="00FC0365">
        <w:rPr>
          <w:rFonts w:ascii="Arial" w:hAnsi="Arial"/>
          <w:highlight w:val="yellow"/>
        </w:rPr>
        <w:t>This growth is expected to be more pronounced in lower-and middle-income countries compared to high-income countries (</w:t>
      </w:r>
      <w:proofErr w:type="spellStart"/>
      <w:r w:rsidR="00C00AA9" w:rsidRPr="00FC0365">
        <w:rPr>
          <w:rFonts w:ascii="Arial" w:hAnsi="Arial" w:cs="Arial"/>
          <w:color w:val="000000" w:themeColor="text1"/>
          <w:highlight w:val="yellow"/>
        </w:rPr>
        <w:t>Oshnouei</w:t>
      </w:r>
      <w:proofErr w:type="spellEnd"/>
      <w:r w:rsidR="00C00AA9" w:rsidRPr="00FC0365">
        <w:rPr>
          <w:rFonts w:ascii="Arial" w:hAnsi="Arial" w:cs="Arial"/>
          <w:color w:val="000000" w:themeColor="text1"/>
          <w:highlight w:val="yellow"/>
        </w:rPr>
        <w:t xml:space="preserve"> et al., 2024</w:t>
      </w:r>
      <w:r w:rsidR="00340979">
        <w:rPr>
          <w:rFonts w:ascii="Arial" w:hAnsi="Arial" w:cs="Arial"/>
          <w:color w:val="000000" w:themeColor="text1"/>
          <w:highlight w:val="yellow"/>
        </w:rPr>
        <w:t xml:space="preserve">; </w:t>
      </w:r>
      <w:proofErr w:type="spellStart"/>
      <w:r w:rsidR="00340979" w:rsidRPr="00340979">
        <w:rPr>
          <w:rFonts w:ascii="Arial" w:hAnsi="Arial" w:cs="Arial"/>
          <w:color w:val="000000" w:themeColor="text1"/>
          <w:highlight w:val="yellow"/>
        </w:rPr>
        <w:t>Suemoto</w:t>
      </w:r>
      <w:proofErr w:type="spellEnd"/>
      <w:r w:rsidR="00340979">
        <w:rPr>
          <w:rFonts w:ascii="Arial" w:hAnsi="Arial" w:cs="Arial"/>
          <w:color w:val="000000" w:themeColor="text1"/>
          <w:highlight w:val="yellow"/>
        </w:rPr>
        <w:t xml:space="preserve"> et al., 2025</w:t>
      </w:r>
      <w:r w:rsidR="00C00AA9" w:rsidRPr="00FC0365">
        <w:rPr>
          <w:rFonts w:ascii="Arial" w:hAnsi="Arial" w:cs="Arial"/>
          <w:color w:val="000000" w:themeColor="text1"/>
          <w:highlight w:val="yellow"/>
        </w:rPr>
        <w:t>)</w:t>
      </w:r>
      <w:r w:rsidR="00C00AA9" w:rsidRPr="00FC0365">
        <w:rPr>
          <w:rFonts w:ascii="Arial" w:hAnsi="Arial"/>
          <w:highlight w:val="yellow"/>
        </w:rPr>
        <w:t>.</w:t>
      </w:r>
      <w:r w:rsidR="00C00AA9">
        <w:rPr>
          <w:rFonts w:ascii="Arial" w:hAnsi="Arial"/>
        </w:rPr>
        <w:t xml:space="preserve"> </w:t>
      </w:r>
      <w:r w:rsidRPr="00996ADC">
        <w:rPr>
          <w:rFonts w:ascii="Arial" w:hAnsi="Arial"/>
        </w:rPr>
        <w:t>The prevalence of dementia varies considerably across different regions of the world, ranging from approximately 4.7% in Central Europe to 8.7% in North Africa and the Middle East. In other regions, prevalence estimates generally fall between 5.6% and 7.6% (Nichols, 2022). Notably, it is estimated that around 58% of individuals affected by dementia reside in low- and middle-income countries, highlighting a disproportionate burden on regions with limited healthcare resources and underscoring the need for targeted public health strategies and resource allocation</w:t>
      </w:r>
      <w:r w:rsidR="00811C81">
        <w:rPr>
          <w:rFonts w:ascii="Arial" w:hAnsi="Arial"/>
        </w:rPr>
        <w:t xml:space="preserve"> (Weidner, 2023). The number of people living with dementia is estimated to double every 20 years. About 3% of people between the ages of 65-74 years have dementia, 19% between 75 and 84 and nearly half of those over 85 years of age (Prince et al. 2016).</w:t>
      </w:r>
    </w:p>
    <w:p w14:paraId="75CA0856" w14:textId="77777777" w:rsidR="00EE3FD5" w:rsidRDefault="00EE3FD5">
      <w:pPr>
        <w:pStyle w:val="Body"/>
        <w:spacing w:after="0"/>
        <w:rPr>
          <w:rFonts w:ascii="Arial" w:hAnsi="Arial"/>
        </w:rPr>
      </w:pPr>
    </w:p>
    <w:p w14:paraId="6538B7BF" w14:textId="48F6F29E" w:rsidR="00EE3FD5" w:rsidRDefault="00996ADC">
      <w:pPr>
        <w:pStyle w:val="Body"/>
        <w:spacing w:after="0"/>
        <w:rPr>
          <w:rFonts w:ascii="Arial" w:hAnsi="Arial"/>
        </w:rPr>
      </w:pPr>
      <w:r w:rsidRPr="00996ADC">
        <w:rPr>
          <w:rFonts w:ascii="Arial" w:hAnsi="Arial"/>
        </w:rPr>
        <w:t>The documented prevalence of dementia in sub-Saharan Africa (</w:t>
      </w:r>
      <w:proofErr w:type="spellStart"/>
      <w:r w:rsidRPr="00996ADC">
        <w:rPr>
          <w:rFonts w:ascii="Arial" w:hAnsi="Arial"/>
        </w:rPr>
        <w:t>sSA</w:t>
      </w:r>
      <w:proofErr w:type="spellEnd"/>
      <w:r w:rsidRPr="00996ADC">
        <w:rPr>
          <w:rFonts w:ascii="Arial" w:hAnsi="Arial"/>
        </w:rPr>
        <w:t>) ranges from approximately 2% to 5% (</w:t>
      </w:r>
      <w:proofErr w:type="spellStart"/>
      <w:r w:rsidRPr="00996ADC">
        <w:rPr>
          <w:rFonts w:ascii="Arial" w:hAnsi="Arial"/>
        </w:rPr>
        <w:t>Mavrodaris</w:t>
      </w:r>
      <w:proofErr w:type="spellEnd"/>
      <w:r w:rsidRPr="00996ADC">
        <w:rPr>
          <w:rFonts w:ascii="Arial" w:hAnsi="Arial"/>
        </w:rPr>
        <w:t xml:space="preserve"> et al., 2013; George-Carey et al., 2015). However, dementia research in most </w:t>
      </w:r>
      <w:proofErr w:type="spellStart"/>
      <w:r w:rsidRPr="00996ADC">
        <w:rPr>
          <w:rFonts w:ascii="Arial" w:hAnsi="Arial"/>
        </w:rPr>
        <w:t>sSA</w:t>
      </w:r>
      <w:proofErr w:type="spellEnd"/>
      <w:r w:rsidRPr="00996ADC">
        <w:rPr>
          <w:rFonts w:ascii="Arial" w:hAnsi="Arial"/>
        </w:rPr>
        <w:t xml:space="preserve"> settings remains limited, resulting in low levels of public awareness and an inadequate healthcare response to the condition (Olayinka and </w:t>
      </w:r>
      <w:proofErr w:type="spellStart"/>
      <w:r w:rsidRPr="00996ADC">
        <w:rPr>
          <w:rFonts w:ascii="Arial" w:hAnsi="Arial"/>
        </w:rPr>
        <w:t>Mbuyi</w:t>
      </w:r>
      <w:proofErr w:type="spellEnd"/>
      <w:r w:rsidRPr="00996ADC">
        <w:rPr>
          <w:rFonts w:ascii="Arial" w:hAnsi="Arial"/>
        </w:rPr>
        <w:t>, 2014). In Nigeria, for instance, dementia is frequently perceived as a normal aspect of ageing, leading to significant stigma; many patients are abandoned due to the widespread belief that their condition is beyond medical intervention (</w:t>
      </w:r>
      <w:proofErr w:type="spellStart"/>
      <w:r w:rsidRPr="00996ADC">
        <w:rPr>
          <w:rFonts w:ascii="Arial" w:hAnsi="Arial"/>
        </w:rPr>
        <w:t>Sanni</w:t>
      </w:r>
      <w:proofErr w:type="spellEnd"/>
      <w:r w:rsidRPr="00996ADC">
        <w:rPr>
          <w:rFonts w:ascii="Arial" w:hAnsi="Arial"/>
        </w:rPr>
        <w:t xml:space="preserve"> and Adebayo, 2014). Current estimates indicate a national dementia prevalence of 4.9%. The country faces multiple challenges, including a pronounced brain drain within the healthcare sector, fragmented geriatric care services, and a pervasive lack of knowledge about dementia among both the public and health professionals (</w:t>
      </w:r>
      <w:proofErr w:type="spellStart"/>
      <w:r w:rsidRPr="00996ADC">
        <w:rPr>
          <w:rFonts w:ascii="Arial" w:hAnsi="Arial"/>
        </w:rPr>
        <w:t>Oyinlola</w:t>
      </w:r>
      <w:proofErr w:type="spellEnd"/>
      <w:r w:rsidRPr="00996ADC">
        <w:rPr>
          <w:rFonts w:ascii="Arial" w:hAnsi="Arial"/>
        </w:rPr>
        <w:t xml:space="preserve"> et al., 2024). These factors contribute to delays in seeking medical care and result in suboptimal clinical outcomes (</w:t>
      </w:r>
      <w:proofErr w:type="spellStart"/>
      <w:r w:rsidRPr="00996ADC">
        <w:rPr>
          <w:rFonts w:ascii="Arial" w:hAnsi="Arial"/>
        </w:rPr>
        <w:t>Adeloye</w:t>
      </w:r>
      <w:proofErr w:type="spellEnd"/>
      <w:r w:rsidRPr="00996ADC">
        <w:rPr>
          <w:rFonts w:ascii="Arial" w:hAnsi="Arial"/>
        </w:rPr>
        <w:t xml:space="preserve"> et al., 2019). The situation is further compounded by limited access to quality mental healthcare, which often entails high out-of-pocket costs that are unaffordable for the majority of the population (</w:t>
      </w:r>
      <w:proofErr w:type="spellStart"/>
      <w:r w:rsidRPr="00996ADC">
        <w:rPr>
          <w:rFonts w:ascii="Arial" w:hAnsi="Arial"/>
        </w:rPr>
        <w:t>Ogunniyi</w:t>
      </w:r>
      <w:proofErr w:type="spellEnd"/>
      <w:r w:rsidRPr="00996ADC">
        <w:rPr>
          <w:rFonts w:ascii="Arial" w:hAnsi="Arial"/>
        </w:rPr>
        <w:t xml:space="preserve"> et al., 2013; Albanese et al., 2017).</w:t>
      </w:r>
    </w:p>
    <w:p w14:paraId="44C672BC" w14:textId="77777777" w:rsidR="00996ADC" w:rsidRDefault="00996ADC">
      <w:pPr>
        <w:pStyle w:val="Body"/>
        <w:spacing w:after="0"/>
        <w:rPr>
          <w:rFonts w:ascii="Arial" w:hAnsi="Arial"/>
        </w:rPr>
      </w:pPr>
    </w:p>
    <w:p w14:paraId="4BEE121F" w14:textId="678C35D9" w:rsidR="00EE3FD5" w:rsidRDefault="00996ADC">
      <w:pPr>
        <w:pStyle w:val="Body"/>
        <w:spacing w:after="0"/>
        <w:rPr>
          <w:rFonts w:ascii="Arial" w:hAnsi="Arial"/>
        </w:rPr>
      </w:pPr>
      <w:r w:rsidRPr="00996ADC">
        <w:rPr>
          <w:rFonts w:ascii="Arial" w:hAnsi="Arial"/>
        </w:rPr>
        <w:t xml:space="preserve">The Ibadan Study of Ageing group, led by </w:t>
      </w:r>
      <w:proofErr w:type="spellStart"/>
      <w:r w:rsidRPr="00996ADC">
        <w:rPr>
          <w:rFonts w:ascii="Arial" w:hAnsi="Arial"/>
        </w:rPr>
        <w:t>Ogunniyi</w:t>
      </w:r>
      <w:proofErr w:type="spellEnd"/>
      <w:r w:rsidRPr="00996ADC">
        <w:rPr>
          <w:rFonts w:ascii="Arial" w:hAnsi="Arial"/>
        </w:rPr>
        <w:t xml:space="preserve"> et al. (2013), encompassing multiple areas of South-West Nigeria, is widely acknowledged as a prominent research body on dementia within the country. Over the past two decades, this group has substantially advanced the understanding of the dementia burden in the South-West region. Nevertheless, five of the six geopolitical zones in Nigeria still lack up-to-date epidemiological data, as noted by Prince et al. (2013) and Olayinka and </w:t>
      </w:r>
      <w:proofErr w:type="spellStart"/>
      <w:r w:rsidRPr="00996ADC">
        <w:rPr>
          <w:rFonts w:ascii="Arial" w:hAnsi="Arial"/>
        </w:rPr>
        <w:t>Mbuyi</w:t>
      </w:r>
      <w:proofErr w:type="spellEnd"/>
      <w:r w:rsidRPr="00996ADC">
        <w:rPr>
          <w:rFonts w:ascii="Arial" w:hAnsi="Arial"/>
        </w:rPr>
        <w:t xml:space="preserve"> (2014). Consequently, there is a need to consolidate existing evidence and raise awareness regarding the prevalence and gender-specific patterns of dementia among patients attending the Federal Neuro-Psychiatric Hospital, Calabar, between January 2011 and December 2021</w:t>
      </w:r>
      <w:r w:rsidR="00811C81">
        <w:rPr>
          <w:rFonts w:ascii="Arial" w:hAnsi="Arial"/>
        </w:rPr>
        <w:t>.</w:t>
      </w:r>
    </w:p>
    <w:p w14:paraId="073A1325" w14:textId="77777777" w:rsidR="00EE3FD5" w:rsidRDefault="00EE3FD5">
      <w:pPr>
        <w:pStyle w:val="Body"/>
        <w:spacing w:after="0"/>
        <w:rPr>
          <w:rFonts w:ascii="Arial" w:hAnsi="Arial"/>
        </w:rPr>
      </w:pPr>
    </w:p>
    <w:p w14:paraId="59FD2AC9" w14:textId="1FF76519" w:rsidR="00EE3FD5" w:rsidRDefault="00811C81">
      <w:pPr>
        <w:pStyle w:val="AbstHead"/>
        <w:spacing w:after="0"/>
        <w:jc w:val="both"/>
        <w:rPr>
          <w:rFonts w:ascii="Arial" w:hAnsi="Arial" w:cs="Arial"/>
        </w:rPr>
      </w:pPr>
      <w:r>
        <w:rPr>
          <w:rFonts w:ascii="Arial" w:hAnsi="Arial" w:cs="Arial"/>
        </w:rPr>
        <w:t xml:space="preserve">2. </w:t>
      </w:r>
      <w:r w:rsidR="00106067" w:rsidRPr="00FC0365">
        <w:rPr>
          <w:rFonts w:ascii="Arial" w:hAnsi="Arial" w:cs="Arial"/>
          <w:highlight w:val="yellow"/>
        </w:rPr>
        <w:t xml:space="preserve">Materials </w:t>
      </w:r>
      <w:r w:rsidRPr="00FC0365">
        <w:rPr>
          <w:rFonts w:ascii="Arial" w:hAnsi="Arial" w:cs="Arial"/>
          <w:highlight w:val="yellow"/>
        </w:rPr>
        <w:t>and</w:t>
      </w:r>
      <w:r>
        <w:rPr>
          <w:rFonts w:ascii="Arial" w:hAnsi="Arial" w:cs="Arial"/>
        </w:rPr>
        <w:t xml:space="preserve"> methods</w:t>
      </w:r>
    </w:p>
    <w:p w14:paraId="605F51A3" w14:textId="77777777" w:rsidR="00EE3FD5" w:rsidRDefault="00811C81">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 xml:space="preserve">Experimental design </w:t>
      </w:r>
    </w:p>
    <w:p w14:paraId="43CBB447" w14:textId="77777777" w:rsidR="00EE3FD5" w:rsidRDefault="00EE3FD5">
      <w:pPr>
        <w:pStyle w:val="Body"/>
        <w:spacing w:after="0"/>
        <w:rPr>
          <w:rFonts w:ascii="Arial" w:hAnsi="Arial" w:cs="Arial"/>
          <w:b/>
          <w:sz w:val="22"/>
        </w:rPr>
      </w:pPr>
    </w:p>
    <w:p w14:paraId="5BF87F89" w14:textId="370CADF3" w:rsidR="00EE3FD5" w:rsidRDefault="00811C81">
      <w:pPr>
        <w:jc w:val="both"/>
        <w:rPr>
          <w:rFonts w:ascii="Arial" w:hAnsi="Arial"/>
        </w:rPr>
      </w:pPr>
      <w:r>
        <w:rPr>
          <w:rFonts w:ascii="Arial" w:hAnsi="Arial"/>
        </w:rPr>
        <w:t xml:space="preserve">A total of 195 medical records were extracted and used for the study. </w:t>
      </w:r>
      <w:r w:rsidR="00996ADC" w:rsidRPr="00996ADC">
        <w:rPr>
          <w:rFonts w:ascii="Arial" w:hAnsi="Arial"/>
        </w:rPr>
        <w:t>The target population for this study comprised all patients diagnosed with dementia who attended the Federal Neuro-Psychiatric Hospital, Calabar, Cross River State, between January 2011 and December 2021. A retrospective research design was employed, which was appropriate for reviewing the medical records of patients who had received a dementia diagnosis at the hospital during this period.</w:t>
      </w:r>
    </w:p>
    <w:p w14:paraId="7C7A250E" w14:textId="77777777" w:rsidR="00996ADC" w:rsidRDefault="00996ADC">
      <w:pPr>
        <w:jc w:val="both"/>
        <w:rPr>
          <w:rFonts w:ascii="Arial" w:hAnsi="Arial" w:cs="Arial"/>
        </w:rPr>
      </w:pPr>
    </w:p>
    <w:p w14:paraId="6741A07B" w14:textId="77777777" w:rsidR="00EE3FD5" w:rsidRDefault="00811C81">
      <w:pPr>
        <w:pStyle w:val="Body"/>
        <w:spacing w:after="0"/>
        <w:rPr>
          <w:rFonts w:ascii="Arial" w:hAnsi="Arial" w:cs="Arial"/>
          <w:b/>
          <w:sz w:val="22"/>
        </w:rPr>
      </w:pPr>
      <w:r>
        <w:rPr>
          <w:rFonts w:ascii="Arial" w:hAnsi="Arial" w:cs="Arial"/>
          <w:b/>
          <w:sz w:val="22"/>
        </w:rPr>
        <w:t xml:space="preserve"> </w:t>
      </w:r>
      <w:r>
        <w:rPr>
          <w:rFonts w:ascii="Arial" w:hAnsi="Arial" w:cs="Arial"/>
          <w:b/>
          <w:caps/>
          <w:sz w:val="22"/>
        </w:rPr>
        <w:t xml:space="preserve">2.2 </w:t>
      </w:r>
      <w:r>
        <w:rPr>
          <w:rFonts w:ascii="Arial" w:hAnsi="Arial" w:cs="Arial"/>
          <w:b/>
          <w:sz w:val="22"/>
        </w:rPr>
        <w:t xml:space="preserve">Location of study </w:t>
      </w:r>
    </w:p>
    <w:p w14:paraId="5BB6763C" w14:textId="77777777" w:rsidR="00EE3FD5" w:rsidRDefault="00EE3FD5">
      <w:pPr>
        <w:pStyle w:val="Body"/>
        <w:spacing w:after="0"/>
        <w:rPr>
          <w:rFonts w:ascii="Arial" w:hAnsi="Arial" w:cs="Arial"/>
          <w:b/>
          <w:sz w:val="22"/>
        </w:rPr>
      </w:pPr>
    </w:p>
    <w:p w14:paraId="71873E13" w14:textId="68E685B6" w:rsidR="00EE3FD5" w:rsidRDefault="00996ADC">
      <w:pPr>
        <w:jc w:val="both"/>
        <w:rPr>
          <w:rFonts w:ascii="Arial" w:hAnsi="Arial" w:cs="Arial"/>
        </w:rPr>
      </w:pPr>
      <w:r w:rsidRPr="00996ADC">
        <w:rPr>
          <w:rFonts w:ascii="Arial" w:hAnsi="Arial" w:cs="Arial"/>
        </w:rPr>
        <w:t xml:space="preserve">The study was conducted at the Federal Neuro-Psychiatric Hospital, Calabar, Cross River State, which provides both inpatient and outpatient services. The hospital comprises multiple departments, including Clinical Services, Nursing, Laboratory, Pharmacy, Medical Records, Electroconvulsive Therapy, Occupational Therapy, Library, Research and Training, Administration, Accounting, Kitchen, Laundry, and Maintenance. In addition to its clinical functions, the hospital </w:t>
      </w:r>
      <w:r w:rsidRPr="00996ADC">
        <w:rPr>
          <w:rFonts w:ascii="Arial" w:hAnsi="Arial" w:cs="Arial"/>
        </w:rPr>
        <w:lastRenderedPageBreak/>
        <w:t xml:space="preserve">serves as a training institution for medical students, nurses, and social workers, operates as a treatment </w:t>
      </w:r>
      <w:proofErr w:type="spellStart"/>
      <w:r w:rsidRPr="00996ADC">
        <w:rPr>
          <w:rFonts w:ascii="Arial" w:hAnsi="Arial" w:cs="Arial"/>
        </w:rPr>
        <w:t>centre</w:t>
      </w:r>
      <w:proofErr w:type="spellEnd"/>
      <w:r w:rsidRPr="00996ADC">
        <w:rPr>
          <w:rFonts w:ascii="Arial" w:hAnsi="Arial" w:cs="Arial"/>
        </w:rPr>
        <w:t xml:space="preserve"> for psychiatric patients, and functions in collaboration with the United Nations Office on Drugs and Crime for capacity-building and training initiatives.</w:t>
      </w:r>
    </w:p>
    <w:p w14:paraId="6C654B53" w14:textId="77777777" w:rsidR="00EE3FD5" w:rsidRDefault="00811C81">
      <w:pPr>
        <w:pStyle w:val="Body"/>
        <w:spacing w:after="0"/>
        <w:rPr>
          <w:rFonts w:ascii="Arial" w:hAnsi="Arial" w:cs="Arial"/>
          <w:b/>
          <w:sz w:val="22"/>
        </w:rPr>
      </w:pPr>
      <w:r>
        <w:rPr>
          <w:rFonts w:ascii="Arial" w:hAnsi="Arial" w:cs="Arial"/>
          <w:b/>
          <w:sz w:val="22"/>
        </w:rPr>
        <w:t xml:space="preserve"> </w:t>
      </w:r>
      <w:r>
        <w:rPr>
          <w:rFonts w:ascii="Arial" w:hAnsi="Arial" w:cs="Arial"/>
          <w:b/>
          <w:caps/>
          <w:sz w:val="22"/>
        </w:rPr>
        <w:t xml:space="preserve">2.3 </w:t>
      </w:r>
      <w:r>
        <w:rPr>
          <w:rFonts w:ascii="Arial" w:hAnsi="Arial" w:cs="Arial"/>
          <w:b/>
          <w:sz w:val="22"/>
        </w:rPr>
        <w:t xml:space="preserve">Data collection </w:t>
      </w:r>
    </w:p>
    <w:p w14:paraId="050799A1" w14:textId="77777777" w:rsidR="00EE3FD5" w:rsidRDefault="00EE3FD5">
      <w:pPr>
        <w:jc w:val="both"/>
        <w:rPr>
          <w:rFonts w:ascii="Arial" w:hAnsi="Arial"/>
        </w:rPr>
      </w:pPr>
    </w:p>
    <w:p w14:paraId="0F9D6D50" w14:textId="1E2EB5AC" w:rsidR="00EE3FD5" w:rsidRDefault="00996ADC">
      <w:pPr>
        <w:jc w:val="both"/>
        <w:rPr>
          <w:rFonts w:ascii="Arial" w:hAnsi="Arial"/>
        </w:rPr>
      </w:pPr>
      <w:r w:rsidRPr="00996ADC">
        <w:rPr>
          <w:rFonts w:ascii="Arial" w:hAnsi="Arial"/>
        </w:rPr>
        <w:t>The primary data were collected using a validated checklist specifically designed to extract relevant information. The instrument was structured into two sections: Section A captured the socio-demographic characteristics of the participants, while Section B focused on the prevalence of dementia at the Federal Neuro-Psychiatric Hospital.</w:t>
      </w:r>
      <w:r>
        <w:rPr>
          <w:rFonts w:ascii="Arial" w:hAnsi="Arial"/>
        </w:rPr>
        <w:t xml:space="preserve"> </w:t>
      </w:r>
      <w:r w:rsidR="00811C81">
        <w:rPr>
          <w:rFonts w:ascii="Arial" w:hAnsi="Arial"/>
        </w:rPr>
        <w:t>The data was collected based on the admission records of the patients at the Federal Neuro-Psychiatric Hospital from 2011 to 2021.</w:t>
      </w:r>
    </w:p>
    <w:p w14:paraId="257755E7" w14:textId="77777777" w:rsidR="00EE3FD5" w:rsidRDefault="00EE3FD5">
      <w:pPr>
        <w:jc w:val="both"/>
        <w:rPr>
          <w:rFonts w:ascii="Arial" w:hAnsi="Arial"/>
        </w:rPr>
      </w:pPr>
    </w:p>
    <w:p w14:paraId="6E274F77" w14:textId="77777777" w:rsidR="00EE3FD5" w:rsidRDefault="00811C81">
      <w:pPr>
        <w:pStyle w:val="Body"/>
        <w:spacing w:after="0"/>
        <w:rPr>
          <w:rFonts w:ascii="Arial" w:hAnsi="Arial" w:cs="Arial"/>
          <w:b/>
          <w:sz w:val="22"/>
        </w:rPr>
      </w:pPr>
      <w:r>
        <w:rPr>
          <w:rFonts w:ascii="Arial" w:hAnsi="Arial" w:cs="Arial"/>
          <w:b/>
          <w:sz w:val="22"/>
        </w:rPr>
        <w:t xml:space="preserve"> </w:t>
      </w:r>
      <w:r>
        <w:rPr>
          <w:rFonts w:ascii="Arial" w:hAnsi="Arial" w:cs="Arial"/>
          <w:b/>
          <w:caps/>
          <w:sz w:val="22"/>
        </w:rPr>
        <w:t xml:space="preserve">2.4 </w:t>
      </w:r>
      <w:r>
        <w:rPr>
          <w:rFonts w:ascii="Arial" w:hAnsi="Arial" w:cs="Arial"/>
          <w:b/>
          <w:sz w:val="22"/>
        </w:rPr>
        <w:t>Statistical analysis</w:t>
      </w:r>
    </w:p>
    <w:p w14:paraId="75206C2F" w14:textId="77777777" w:rsidR="00EE3FD5" w:rsidRDefault="00EE3FD5">
      <w:pPr>
        <w:jc w:val="both"/>
        <w:rPr>
          <w:rFonts w:ascii="Arial" w:hAnsi="Arial"/>
        </w:rPr>
      </w:pPr>
    </w:p>
    <w:p w14:paraId="77E32CE6" w14:textId="77777777" w:rsidR="00EE3FD5" w:rsidRDefault="00811C81">
      <w:pPr>
        <w:jc w:val="both"/>
        <w:rPr>
          <w:rFonts w:ascii="Arial" w:hAnsi="Arial"/>
        </w:rPr>
      </w:pPr>
      <w:r>
        <w:rPr>
          <w:rFonts w:ascii="Arial" w:hAnsi="Arial" w:cs="Arial"/>
        </w:rPr>
        <w:t>The data was collected and sorted in an excel spreadsheet. The data was analyzed using Statistical Package for Social Sciences (SPSS) version 23.</w:t>
      </w:r>
    </w:p>
    <w:p w14:paraId="613E6E10" w14:textId="77777777" w:rsidR="00EE3FD5" w:rsidRDefault="00EE3FD5">
      <w:pPr>
        <w:pStyle w:val="Body"/>
        <w:spacing w:after="0"/>
        <w:rPr>
          <w:rFonts w:ascii="Arial" w:hAnsi="Arial" w:cs="Arial"/>
        </w:rPr>
      </w:pPr>
    </w:p>
    <w:p w14:paraId="3311350E" w14:textId="77777777" w:rsidR="00EE3FD5" w:rsidRDefault="00811C81">
      <w:pPr>
        <w:pStyle w:val="Head1"/>
        <w:spacing w:after="0"/>
        <w:jc w:val="both"/>
        <w:rPr>
          <w:rFonts w:ascii="Arial" w:hAnsi="Arial" w:cs="Arial"/>
        </w:rPr>
      </w:pPr>
      <w:r>
        <w:rPr>
          <w:rFonts w:ascii="Arial" w:hAnsi="Arial" w:cs="Arial"/>
        </w:rPr>
        <w:t>3. results</w:t>
      </w:r>
    </w:p>
    <w:p w14:paraId="362D1A60" w14:textId="77777777" w:rsidR="00EE3FD5" w:rsidRDefault="00EE3FD5">
      <w:pPr>
        <w:pStyle w:val="Body"/>
        <w:spacing w:after="0"/>
        <w:rPr>
          <w:rFonts w:ascii="Arial" w:hAnsi="Arial" w:cs="Arial"/>
        </w:rPr>
      </w:pPr>
    </w:p>
    <w:p w14:paraId="7B59A8DE" w14:textId="77777777" w:rsidR="00EE3FD5" w:rsidRDefault="00811C81">
      <w:pPr>
        <w:pStyle w:val="Body"/>
        <w:spacing w:after="0"/>
        <w:rPr>
          <w:rFonts w:ascii="Arial" w:hAnsi="Arial" w:cs="Arial"/>
        </w:rPr>
      </w:pPr>
      <w:r>
        <w:rPr>
          <w:rFonts w:ascii="Arial" w:hAnsi="Arial"/>
        </w:rPr>
        <w:t>The age range of patients with the highest percentage (44.6%) of dementia from 2011 to 2021 was between 65 and 74 and the lowest was between 94 years and above (Table 1). This revealed that the former were more susceptible to dementia than the other groups.</w:t>
      </w:r>
    </w:p>
    <w:p w14:paraId="39B03E3E" w14:textId="77777777" w:rsidR="00EE3FD5" w:rsidRDefault="00EE3FD5">
      <w:pPr>
        <w:pStyle w:val="Body"/>
        <w:spacing w:after="0"/>
        <w:rPr>
          <w:rFonts w:ascii="Arial" w:hAnsi="Arial" w:cs="Arial"/>
        </w:rPr>
      </w:pPr>
    </w:p>
    <w:p w14:paraId="39509216" w14:textId="77777777" w:rsidR="00EE3FD5" w:rsidRDefault="00811C81">
      <w:pPr>
        <w:tabs>
          <w:tab w:val="left" w:pos="1080"/>
        </w:tabs>
        <w:jc w:val="both"/>
        <w:rPr>
          <w:rFonts w:ascii="Arial" w:hAnsi="Arial"/>
          <w:b/>
        </w:rPr>
      </w:pPr>
      <w:r>
        <w:rPr>
          <w:rFonts w:ascii="Arial" w:hAnsi="Arial"/>
          <w:b/>
        </w:rPr>
        <w:t>Table 1. Frequency distribution of respondents based on age</w:t>
      </w:r>
    </w:p>
    <w:p w14:paraId="63012D5B" w14:textId="77777777" w:rsidR="00EE3FD5" w:rsidRDefault="00EE3FD5">
      <w:pPr>
        <w:tabs>
          <w:tab w:val="left" w:pos="1080"/>
        </w:tabs>
        <w:jc w:val="both"/>
        <w:rPr>
          <w:rFonts w:ascii="Arial" w:hAnsi="Arial"/>
          <w:b/>
        </w:rPr>
      </w:pPr>
    </w:p>
    <w:tbl>
      <w:tblPr>
        <w:tblW w:w="64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60"/>
        <w:gridCol w:w="1228"/>
        <w:gridCol w:w="2129"/>
      </w:tblGrid>
      <w:tr w:rsidR="00EE3FD5" w14:paraId="70EF4B6A" w14:textId="77777777">
        <w:trPr>
          <w:trHeight w:val="494"/>
          <w:jc w:val="center"/>
        </w:trPr>
        <w:tc>
          <w:tcPr>
            <w:tcW w:w="3060" w:type="dxa"/>
            <w:tcBorders>
              <w:bottom w:val="single" w:sz="4" w:space="0" w:color="auto"/>
            </w:tcBorders>
          </w:tcPr>
          <w:p w14:paraId="3F35F452" w14:textId="77777777" w:rsidR="00EE3FD5" w:rsidRDefault="00811C81">
            <w:pPr>
              <w:jc w:val="both"/>
              <w:rPr>
                <w:rFonts w:ascii="Arial" w:hAnsi="Arial"/>
                <w:b/>
                <w:bCs/>
              </w:rPr>
            </w:pPr>
            <w:r>
              <w:rPr>
                <w:rFonts w:ascii="Arial" w:hAnsi="Arial"/>
                <w:b/>
                <w:bCs/>
              </w:rPr>
              <w:t>Age</w:t>
            </w:r>
          </w:p>
        </w:tc>
        <w:tc>
          <w:tcPr>
            <w:tcW w:w="1228" w:type="dxa"/>
            <w:tcBorders>
              <w:bottom w:val="single" w:sz="4" w:space="0" w:color="auto"/>
            </w:tcBorders>
          </w:tcPr>
          <w:p w14:paraId="13EAB5B9" w14:textId="77777777" w:rsidR="00EE3FD5" w:rsidRDefault="00811C81">
            <w:pPr>
              <w:jc w:val="both"/>
              <w:rPr>
                <w:rFonts w:ascii="Arial" w:hAnsi="Arial"/>
                <w:b/>
                <w:bCs/>
              </w:rPr>
            </w:pPr>
            <w:r>
              <w:rPr>
                <w:rFonts w:ascii="Arial" w:hAnsi="Arial"/>
                <w:b/>
                <w:bCs/>
              </w:rPr>
              <w:t>Frequency (n=195)</w:t>
            </w:r>
          </w:p>
        </w:tc>
        <w:tc>
          <w:tcPr>
            <w:tcW w:w="2129" w:type="dxa"/>
            <w:tcBorders>
              <w:bottom w:val="single" w:sz="4" w:space="0" w:color="auto"/>
            </w:tcBorders>
          </w:tcPr>
          <w:p w14:paraId="2E4A3C12" w14:textId="77777777" w:rsidR="00EE3FD5" w:rsidRDefault="00811C81">
            <w:pPr>
              <w:jc w:val="both"/>
              <w:rPr>
                <w:rFonts w:ascii="Arial" w:hAnsi="Arial"/>
                <w:b/>
                <w:bCs/>
              </w:rPr>
            </w:pPr>
            <w:r>
              <w:rPr>
                <w:rFonts w:ascii="Arial" w:hAnsi="Arial"/>
                <w:b/>
                <w:bCs/>
              </w:rPr>
              <w:t>Percentage (%)</w:t>
            </w:r>
          </w:p>
        </w:tc>
      </w:tr>
      <w:tr w:rsidR="00EE3FD5" w14:paraId="52646323" w14:textId="77777777">
        <w:trPr>
          <w:trHeight w:val="713"/>
          <w:jc w:val="center"/>
          <w:hidden/>
        </w:trPr>
        <w:tc>
          <w:tcPr>
            <w:tcW w:w="3060" w:type="dxa"/>
            <w:tcBorders>
              <w:bottom w:val="nil"/>
            </w:tcBorders>
          </w:tcPr>
          <w:p w14:paraId="272D0949" w14:textId="77777777" w:rsidR="00EE3FD5" w:rsidRDefault="00EE3FD5">
            <w:pPr>
              <w:jc w:val="both"/>
              <w:rPr>
                <w:rFonts w:ascii="Arial" w:hAnsi="Arial"/>
                <w:vanish/>
              </w:rPr>
            </w:pPr>
          </w:p>
          <w:p w14:paraId="05C9FF07" w14:textId="77777777" w:rsidR="00EE3FD5" w:rsidRDefault="00811C81">
            <w:pPr>
              <w:jc w:val="both"/>
              <w:rPr>
                <w:rFonts w:ascii="Arial" w:hAnsi="Arial"/>
              </w:rPr>
            </w:pPr>
            <w:r>
              <w:rPr>
                <w:rFonts w:ascii="Arial" w:hAnsi="Arial"/>
              </w:rPr>
              <w:t>65-74</w:t>
            </w:r>
          </w:p>
          <w:p w14:paraId="31496A4A" w14:textId="77777777" w:rsidR="00EE3FD5" w:rsidRDefault="00EE3FD5">
            <w:pPr>
              <w:jc w:val="both"/>
              <w:rPr>
                <w:rFonts w:ascii="Arial" w:hAnsi="Arial"/>
                <w:vanish/>
              </w:rPr>
            </w:pPr>
          </w:p>
          <w:p w14:paraId="687F5BF1" w14:textId="77777777" w:rsidR="00EE3FD5" w:rsidRDefault="00811C81">
            <w:pPr>
              <w:jc w:val="both"/>
              <w:rPr>
                <w:rFonts w:ascii="Arial" w:hAnsi="Arial"/>
              </w:rPr>
            </w:pPr>
            <w:r>
              <w:rPr>
                <w:rFonts w:ascii="Arial" w:hAnsi="Arial"/>
              </w:rPr>
              <w:t>75-84</w:t>
            </w:r>
          </w:p>
          <w:p w14:paraId="78F71C31" w14:textId="77777777" w:rsidR="00EE3FD5" w:rsidRDefault="00811C81">
            <w:pPr>
              <w:jc w:val="both"/>
              <w:rPr>
                <w:rFonts w:ascii="Arial" w:hAnsi="Arial"/>
                <w:b/>
                <w:bCs/>
              </w:rPr>
            </w:pPr>
            <w:r>
              <w:rPr>
                <w:rFonts w:ascii="Arial" w:hAnsi="Arial"/>
              </w:rPr>
              <w:t>85-94</w:t>
            </w:r>
          </w:p>
        </w:tc>
        <w:tc>
          <w:tcPr>
            <w:tcW w:w="1228" w:type="dxa"/>
            <w:tcBorders>
              <w:bottom w:val="nil"/>
            </w:tcBorders>
          </w:tcPr>
          <w:p w14:paraId="3B01765E" w14:textId="77777777" w:rsidR="00EE3FD5" w:rsidRDefault="00811C81">
            <w:pPr>
              <w:jc w:val="both"/>
              <w:rPr>
                <w:rFonts w:ascii="Arial" w:hAnsi="Arial"/>
              </w:rPr>
            </w:pPr>
            <w:r>
              <w:rPr>
                <w:rFonts w:ascii="Arial" w:hAnsi="Arial"/>
              </w:rPr>
              <w:t>87</w:t>
            </w:r>
          </w:p>
          <w:p w14:paraId="4226C3A6" w14:textId="77777777" w:rsidR="00EE3FD5" w:rsidRDefault="00811C81">
            <w:pPr>
              <w:jc w:val="both"/>
              <w:rPr>
                <w:rFonts w:ascii="Arial" w:hAnsi="Arial"/>
              </w:rPr>
            </w:pPr>
            <w:r>
              <w:rPr>
                <w:rFonts w:ascii="Arial" w:hAnsi="Arial"/>
              </w:rPr>
              <w:t>21.4</w:t>
            </w:r>
          </w:p>
          <w:p w14:paraId="642C866D" w14:textId="77777777" w:rsidR="00EE3FD5" w:rsidRDefault="00811C81">
            <w:pPr>
              <w:jc w:val="both"/>
              <w:rPr>
                <w:rFonts w:ascii="Arial" w:hAnsi="Arial"/>
                <w:b/>
                <w:bCs/>
              </w:rPr>
            </w:pPr>
            <w:r>
              <w:rPr>
                <w:rFonts w:ascii="Arial" w:hAnsi="Arial"/>
              </w:rPr>
              <w:t>37</w:t>
            </w:r>
          </w:p>
        </w:tc>
        <w:tc>
          <w:tcPr>
            <w:tcW w:w="2129" w:type="dxa"/>
            <w:tcBorders>
              <w:bottom w:val="nil"/>
            </w:tcBorders>
          </w:tcPr>
          <w:p w14:paraId="1B2DFC9C" w14:textId="77777777" w:rsidR="00EE3FD5" w:rsidRDefault="00811C81">
            <w:pPr>
              <w:jc w:val="both"/>
              <w:rPr>
                <w:rFonts w:ascii="Arial" w:hAnsi="Arial" w:cs="Arial"/>
              </w:rPr>
            </w:pPr>
            <w:r>
              <w:rPr>
                <w:rFonts w:ascii="Arial" w:hAnsi="Arial" w:cs="Arial"/>
              </w:rPr>
              <w:t>44.6</w:t>
            </w:r>
          </w:p>
          <w:p w14:paraId="4E40AD8F" w14:textId="77777777" w:rsidR="00EE3FD5" w:rsidRDefault="00811C81">
            <w:pPr>
              <w:jc w:val="both"/>
              <w:rPr>
                <w:rFonts w:ascii="Arial" w:hAnsi="Arial" w:cs="Arial"/>
              </w:rPr>
            </w:pPr>
            <w:r>
              <w:rPr>
                <w:rFonts w:ascii="Arial" w:hAnsi="Arial" w:cs="Arial"/>
              </w:rPr>
              <w:t>25.3</w:t>
            </w:r>
          </w:p>
          <w:p w14:paraId="224F2C54" w14:textId="77777777" w:rsidR="00EE3FD5" w:rsidRDefault="00811C81">
            <w:pPr>
              <w:jc w:val="both"/>
              <w:rPr>
                <w:rFonts w:ascii="Arial" w:hAnsi="Arial" w:cs="Arial"/>
              </w:rPr>
            </w:pPr>
            <w:r>
              <w:rPr>
                <w:rFonts w:ascii="Arial" w:hAnsi="Arial" w:cs="Arial"/>
              </w:rPr>
              <w:t>18.9</w:t>
            </w:r>
          </w:p>
        </w:tc>
      </w:tr>
      <w:tr w:rsidR="00EE3FD5" w14:paraId="74349DF1" w14:textId="77777777">
        <w:trPr>
          <w:trHeight w:val="90"/>
          <w:jc w:val="center"/>
          <w:hidden/>
        </w:trPr>
        <w:tc>
          <w:tcPr>
            <w:tcW w:w="3060" w:type="dxa"/>
            <w:tcBorders>
              <w:top w:val="nil"/>
              <w:bottom w:val="single" w:sz="4" w:space="0" w:color="auto"/>
            </w:tcBorders>
          </w:tcPr>
          <w:p w14:paraId="703C20A3" w14:textId="77777777" w:rsidR="00EE3FD5" w:rsidRDefault="00811C81">
            <w:pPr>
              <w:jc w:val="both"/>
              <w:rPr>
                <w:rFonts w:ascii="Arial" w:hAnsi="Arial" w:cs="Arial"/>
                <w:vanish/>
                <w:vertAlign w:val="superscript"/>
              </w:rPr>
            </w:pPr>
            <w:r>
              <w:rPr>
                <w:rFonts w:ascii="Arial" w:hAnsi="Arial" w:cs="Arial"/>
                <w:vanish/>
                <w:vertAlign w:val="superscript"/>
              </w:rPr>
              <w:t>95 9995</w:t>
            </w:r>
          </w:p>
          <w:p w14:paraId="4DBCEEC5" w14:textId="77777777" w:rsidR="00EE3FD5" w:rsidRDefault="00EE3FD5">
            <w:pPr>
              <w:jc w:val="both"/>
              <w:rPr>
                <w:rFonts w:ascii="Arial" w:hAnsi="Arial" w:cs="Arial"/>
                <w:vanish/>
              </w:rPr>
            </w:pPr>
          </w:p>
          <w:p w14:paraId="6420E896" w14:textId="77777777" w:rsidR="00EE3FD5" w:rsidRDefault="00811C81">
            <w:pPr>
              <w:jc w:val="both"/>
              <w:rPr>
                <w:rFonts w:ascii="Arial" w:hAnsi="Arial" w:cs="Arial"/>
              </w:rPr>
            </w:pPr>
            <w:r>
              <w:rPr>
                <w:rFonts w:ascii="Arial" w:hAnsi="Arial" w:cs="Arial"/>
              </w:rPr>
              <w:t>95 and above</w:t>
            </w:r>
          </w:p>
          <w:p w14:paraId="5D87A758" w14:textId="77777777" w:rsidR="00EE3FD5" w:rsidRDefault="00811C81">
            <w:pPr>
              <w:jc w:val="both"/>
              <w:rPr>
                <w:rFonts w:ascii="Arial" w:hAnsi="Arial" w:cs="Arial"/>
              </w:rPr>
            </w:pPr>
            <w:r>
              <w:rPr>
                <w:rFonts w:ascii="Arial" w:hAnsi="Arial" w:cs="Arial"/>
                <w:b/>
                <w:bCs/>
              </w:rPr>
              <w:t>Total</w:t>
            </w:r>
          </w:p>
        </w:tc>
        <w:tc>
          <w:tcPr>
            <w:tcW w:w="1228" w:type="dxa"/>
            <w:tcBorders>
              <w:top w:val="nil"/>
              <w:bottom w:val="single" w:sz="4" w:space="0" w:color="auto"/>
            </w:tcBorders>
          </w:tcPr>
          <w:p w14:paraId="382BC78A" w14:textId="77777777" w:rsidR="00EE3FD5" w:rsidRDefault="00811C81">
            <w:pPr>
              <w:jc w:val="both"/>
              <w:rPr>
                <w:rFonts w:ascii="Arial" w:hAnsi="Arial" w:cs="Arial"/>
              </w:rPr>
            </w:pPr>
            <w:r>
              <w:rPr>
                <w:rFonts w:ascii="Arial" w:hAnsi="Arial" w:cs="Arial"/>
              </w:rPr>
              <w:t>22</w:t>
            </w:r>
          </w:p>
          <w:p w14:paraId="0292DA8B" w14:textId="77777777" w:rsidR="00EE3FD5" w:rsidRDefault="00811C81">
            <w:pPr>
              <w:jc w:val="both"/>
              <w:rPr>
                <w:rFonts w:ascii="Arial" w:hAnsi="Arial" w:cs="Arial"/>
              </w:rPr>
            </w:pPr>
            <w:r>
              <w:rPr>
                <w:rFonts w:ascii="Arial" w:hAnsi="Arial" w:cs="Arial"/>
                <w:b/>
                <w:bCs/>
              </w:rPr>
              <w:t>195</w:t>
            </w:r>
          </w:p>
        </w:tc>
        <w:tc>
          <w:tcPr>
            <w:tcW w:w="2129" w:type="dxa"/>
            <w:tcBorders>
              <w:top w:val="nil"/>
              <w:bottom w:val="single" w:sz="4" w:space="0" w:color="auto"/>
            </w:tcBorders>
          </w:tcPr>
          <w:p w14:paraId="56D6BF11" w14:textId="77777777" w:rsidR="00EE3FD5" w:rsidRDefault="00811C81">
            <w:pPr>
              <w:jc w:val="both"/>
              <w:rPr>
                <w:rFonts w:ascii="Arial" w:hAnsi="Arial" w:cs="Arial"/>
              </w:rPr>
            </w:pPr>
            <w:r>
              <w:rPr>
                <w:rFonts w:ascii="Arial" w:hAnsi="Arial" w:cs="Arial"/>
              </w:rPr>
              <w:t>11.2</w:t>
            </w:r>
          </w:p>
          <w:p w14:paraId="076CCE57" w14:textId="77777777" w:rsidR="00EE3FD5" w:rsidRDefault="00811C81">
            <w:pPr>
              <w:jc w:val="both"/>
              <w:rPr>
                <w:rFonts w:ascii="Arial" w:hAnsi="Arial"/>
              </w:rPr>
            </w:pPr>
            <w:r>
              <w:rPr>
                <w:rFonts w:ascii="Arial" w:hAnsi="Arial" w:cs="Arial"/>
                <w:b/>
                <w:bCs/>
              </w:rPr>
              <w:t>100</w:t>
            </w:r>
          </w:p>
        </w:tc>
      </w:tr>
    </w:tbl>
    <w:p w14:paraId="219C2B8D" w14:textId="77777777" w:rsidR="00EE3FD5" w:rsidRDefault="00EE3FD5">
      <w:pPr>
        <w:pStyle w:val="BodyText3"/>
        <w:tabs>
          <w:tab w:val="left" w:pos="1080"/>
        </w:tabs>
        <w:spacing w:after="0"/>
        <w:ind w:left="1080" w:hanging="1080"/>
        <w:jc w:val="both"/>
        <w:rPr>
          <w:rFonts w:ascii="Arial" w:hAnsi="Arial"/>
          <w:b/>
          <w:sz w:val="20"/>
          <w:szCs w:val="20"/>
        </w:rPr>
      </w:pPr>
    </w:p>
    <w:p w14:paraId="7F3F8394" w14:textId="77777777" w:rsidR="00EE3FD5" w:rsidRDefault="00811C81">
      <w:pPr>
        <w:pStyle w:val="Body"/>
        <w:spacing w:after="0"/>
        <w:rPr>
          <w:rFonts w:ascii="Arial" w:hAnsi="Arial" w:cs="Arial"/>
        </w:rPr>
      </w:pPr>
      <w:r>
        <w:rPr>
          <w:rFonts w:ascii="Arial" w:hAnsi="Arial"/>
        </w:rPr>
        <w:t>The percentage of the female patients with dementia (56.4%) were higher than males (43.6%) at the Federal Neuro-Psychiatric Hospital from 2011-2021 (Table 2).</w:t>
      </w:r>
    </w:p>
    <w:p w14:paraId="42A7D048" w14:textId="77777777" w:rsidR="00EE3FD5" w:rsidRDefault="00EE3FD5">
      <w:pPr>
        <w:pStyle w:val="Body"/>
        <w:spacing w:after="0"/>
        <w:rPr>
          <w:rFonts w:ascii="Arial" w:hAnsi="Arial" w:cs="Arial"/>
        </w:rPr>
      </w:pPr>
    </w:p>
    <w:p w14:paraId="3AEE3C63" w14:textId="77777777" w:rsidR="00EE3FD5" w:rsidRDefault="00811C81">
      <w:pPr>
        <w:tabs>
          <w:tab w:val="left" w:pos="1080"/>
        </w:tabs>
        <w:jc w:val="both"/>
        <w:rPr>
          <w:rFonts w:ascii="Arial" w:hAnsi="Arial"/>
          <w:b/>
        </w:rPr>
      </w:pPr>
      <w:r>
        <w:rPr>
          <w:rFonts w:ascii="Arial" w:hAnsi="Arial"/>
          <w:b/>
        </w:rPr>
        <w:t>Table 2. Frequency distribution of patients based on gender</w:t>
      </w:r>
    </w:p>
    <w:p w14:paraId="608F80D3" w14:textId="77777777" w:rsidR="00EE3FD5" w:rsidRDefault="00EE3FD5">
      <w:pPr>
        <w:tabs>
          <w:tab w:val="left" w:pos="1080"/>
        </w:tabs>
        <w:jc w:val="both"/>
        <w:rPr>
          <w:rFonts w:ascii="Arial" w:hAnsi="Arial"/>
          <w:bCs/>
        </w:rPr>
      </w:pPr>
    </w:p>
    <w:tbl>
      <w:tblPr>
        <w:tblW w:w="64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97"/>
        <w:gridCol w:w="2220"/>
        <w:gridCol w:w="2300"/>
      </w:tblGrid>
      <w:tr w:rsidR="00EE3FD5" w14:paraId="1D20A19A" w14:textId="77777777">
        <w:trPr>
          <w:trHeight w:val="494"/>
          <w:jc w:val="center"/>
        </w:trPr>
        <w:tc>
          <w:tcPr>
            <w:tcW w:w="1897" w:type="dxa"/>
            <w:tcBorders>
              <w:bottom w:val="single" w:sz="4" w:space="0" w:color="auto"/>
            </w:tcBorders>
          </w:tcPr>
          <w:p w14:paraId="7C4DF6D7" w14:textId="77777777" w:rsidR="00EE3FD5" w:rsidRDefault="00811C81">
            <w:pPr>
              <w:jc w:val="both"/>
              <w:rPr>
                <w:rFonts w:ascii="Arial" w:hAnsi="Arial"/>
                <w:b/>
                <w:bCs/>
              </w:rPr>
            </w:pPr>
            <w:r>
              <w:rPr>
                <w:rFonts w:ascii="Arial" w:hAnsi="Arial"/>
                <w:b/>
                <w:bCs/>
              </w:rPr>
              <w:t>Gender</w:t>
            </w:r>
          </w:p>
        </w:tc>
        <w:tc>
          <w:tcPr>
            <w:tcW w:w="2220" w:type="dxa"/>
            <w:tcBorders>
              <w:bottom w:val="single" w:sz="4" w:space="0" w:color="auto"/>
            </w:tcBorders>
          </w:tcPr>
          <w:p w14:paraId="56038E4A" w14:textId="77777777" w:rsidR="00EE3FD5" w:rsidRDefault="00811C81">
            <w:pPr>
              <w:jc w:val="both"/>
              <w:rPr>
                <w:rFonts w:ascii="Arial" w:hAnsi="Arial"/>
                <w:b/>
                <w:bCs/>
              </w:rPr>
            </w:pPr>
            <w:r>
              <w:rPr>
                <w:rFonts w:ascii="Arial" w:hAnsi="Arial"/>
                <w:b/>
                <w:bCs/>
              </w:rPr>
              <w:t>Frequency (n=195)</w:t>
            </w:r>
          </w:p>
        </w:tc>
        <w:tc>
          <w:tcPr>
            <w:tcW w:w="2300" w:type="dxa"/>
            <w:tcBorders>
              <w:bottom w:val="single" w:sz="4" w:space="0" w:color="auto"/>
            </w:tcBorders>
          </w:tcPr>
          <w:p w14:paraId="61769435" w14:textId="77777777" w:rsidR="00EE3FD5" w:rsidRDefault="00811C81">
            <w:pPr>
              <w:jc w:val="both"/>
              <w:rPr>
                <w:rFonts w:ascii="Arial" w:hAnsi="Arial"/>
                <w:b/>
                <w:bCs/>
              </w:rPr>
            </w:pPr>
            <w:r>
              <w:rPr>
                <w:rFonts w:ascii="Arial" w:hAnsi="Arial"/>
                <w:b/>
                <w:bCs/>
              </w:rPr>
              <w:t>Percentage (%)</w:t>
            </w:r>
          </w:p>
        </w:tc>
      </w:tr>
      <w:tr w:rsidR="00EE3FD5" w14:paraId="147192EE" w14:textId="77777777">
        <w:trPr>
          <w:trHeight w:val="539"/>
          <w:jc w:val="center"/>
          <w:hidden/>
        </w:trPr>
        <w:tc>
          <w:tcPr>
            <w:tcW w:w="1897" w:type="dxa"/>
            <w:tcBorders>
              <w:bottom w:val="single" w:sz="4" w:space="0" w:color="auto"/>
            </w:tcBorders>
          </w:tcPr>
          <w:p w14:paraId="07E45D73" w14:textId="77777777" w:rsidR="00EE3FD5" w:rsidRDefault="00EE3FD5">
            <w:pPr>
              <w:jc w:val="both"/>
              <w:rPr>
                <w:rFonts w:ascii="Arial" w:hAnsi="Arial"/>
                <w:vanish/>
              </w:rPr>
            </w:pPr>
          </w:p>
          <w:p w14:paraId="5EE1C9B6" w14:textId="77777777" w:rsidR="00EE3FD5" w:rsidRDefault="00811C81">
            <w:pPr>
              <w:jc w:val="both"/>
              <w:rPr>
                <w:rFonts w:ascii="Arial" w:hAnsi="Arial"/>
              </w:rPr>
            </w:pPr>
            <w:r>
              <w:rPr>
                <w:rFonts w:ascii="Arial" w:hAnsi="Arial"/>
              </w:rPr>
              <w:t>Male</w:t>
            </w:r>
          </w:p>
          <w:p w14:paraId="17042928" w14:textId="77777777" w:rsidR="00EE3FD5" w:rsidRDefault="00EE3FD5">
            <w:pPr>
              <w:jc w:val="both"/>
              <w:rPr>
                <w:rFonts w:ascii="Arial" w:hAnsi="Arial"/>
                <w:vanish/>
              </w:rPr>
            </w:pPr>
          </w:p>
          <w:p w14:paraId="15AB9570" w14:textId="77777777" w:rsidR="00EE3FD5" w:rsidRDefault="00811C81">
            <w:pPr>
              <w:jc w:val="both"/>
              <w:rPr>
                <w:rFonts w:ascii="Arial" w:hAnsi="Arial"/>
              </w:rPr>
            </w:pPr>
            <w:r>
              <w:rPr>
                <w:rFonts w:ascii="Arial" w:hAnsi="Arial"/>
              </w:rPr>
              <w:t>Female</w:t>
            </w:r>
          </w:p>
          <w:p w14:paraId="72909C1D" w14:textId="77777777" w:rsidR="00EE3FD5" w:rsidRDefault="00811C81">
            <w:pPr>
              <w:jc w:val="both"/>
              <w:rPr>
                <w:rFonts w:ascii="Arial" w:hAnsi="Arial"/>
              </w:rPr>
            </w:pPr>
            <w:r>
              <w:rPr>
                <w:rFonts w:ascii="Arial" w:hAnsi="Arial"/>
                <w:b/>
                <w:bCs/>
              </w:rPr>
              <w:t>Total</w:t>
            </w:r>
          </w:p>
        </w:tc>
        <w:tc>
          <w:tcPr>
            <w:tcW w:w="2220" w:type="dxa"/>
            <w:tcBorders>
              <w:bottom w:val="single" w:sz="4" w:space="0" w:color="auto"/>
            </w:tcBorders>
          </w:tcPr>
          <w:p w14:paraId="30C1E7BE" w14:textId="77777777" w:rsidR="00EE3FD5" w:rsidRDefault="00811C81">
            <w:pPr>
              <w:jc w:val="both"/>
              <w:rPr>
                <w:rFonts w:ascii="Arial" w:hAnsi="Arial"/>
              </w:rPr>
            </w:pPr>
            <w:r>
              <w:rPr>
                <w:rFonts w:ascii="Arial" w:hAnsi="Arial"/>
              </w:rPr>
              <w:t>85</w:t>
            </w:r>
          </w:p>
          <w:p w14:paraId="19E42A62" w14:textId="77777777" w:rsidR="00EE3FD5" w:rsidRDefault="00811C81">
            <w:pPr>
              <w:jc w:val="both"/>
              <w:rPr>
                <w:rFonts w:ascii="Arial" w:hAnsi="Arial"/>
              </w:rPr>
            </w:pPr>
            <w:r>
              <w:rPr>
                <w:rFonts w:ascii="Arial" w:hAnsi="Arial"/>
              </w:rPr>
              <w:t>110</w:t>
            </w:r>
          </w:p>
          <w:p w14:paraId="613ABA94" w14:textId="77777777" w:rsidR="00EE3FD5" w:rsidRDefault="00811C81">
            <w:pPr>
              <w:jc w:val="both"/>
              <w:rPr>
                <w:rFonts w:ascii="Arial" w:hAnsi="Arial"/>
                <w:b/>
                <w:bCs/>
              </w:rPr>
            </w:pPr>
            <w:r>
              <w:rPr>
                <w:rFonts w:ascii="Arial" w:hAnsi="Arial"/>
                <w:b/>
                <w:bCs/>
              </w:rPr>
              <w:t>195</w:t>
            </w:r>
          </w:p>
        </w:tc>
        <w:tc>
          <w:tcPr>
            <w:tcW w:w="2300" w:type="dxa"/>
            <w:tcBorders>
              <w:bottom w:val="single" w:sz="4" w:space="0" w:color="auto"/>
            </w:tcBorders>
          </w:tcPr>
          <w:p w14:paraId="2514BCD3" w14:textId="77777777" w:rsidR="00EE3FD5" w:rsidRDefault="00811C81">
            <w:pPr>
              <w:jc w:val="both"/>
              <w:rPr>
                <w:rFonts w:ascii="Arial" w:hAnsi="Arial" w:cs="Arial"/>
              </w:rPr>
            </w:pPr>
            <w:r>
              <w:rPr>
                <w:rFonts w:ascii="Arial" w:hAnsi="Arial" w:cs="Arial"/>
              </w:rPr>
              <w:t>43.6</w:t>
            </w:r>
          </w:p>
          <w:p w14:paraId="279CA433" w14:textId="77777777" w:rsidR="00EE3FD5" w:rsidRDefault="00811C81">
            <w:pPr>
              <w:jc w:val="both"/>
              <w:rPr>
                <w:rFonts w:ascii="Arial" w:hAnsi="Arial" w:cs="Arial"/>
              </w:rPr>
            </w:pPr>
            <w:r>
              <w:rPr>
                <w:rFonts w:ascii="Arial" w:hAnsi="Arial" w:cs="Arial"/>
              </w:rPr>
              <w:t>56.4</w:t>
            </w:r>
          </w:p>
          <w:p w14:paraId="3F53FF2F" w14:textId="77777777" w:rsidR="00EE3FD5" w:rsidRDefault="00811C81">
            <w:pPr>
              <w:jc w:val="both"/>
              <w:rPr>
                <w:rFonts w:ascii="Arial" w:hAnsi="Arial" w:cs="Arial"/>
              </w:rPr>
            </w:pPr>
            <w:r>
              <w:rPr>
                <w:rFonts w:ascii="Arial" w:hAnsi="Arial" w:cs="Arial"/>
                <w:b/>
                <w:bCs/>
              </w:rPr>
              <w:t>100</w:t>
            </w:r>
          </w:p>
        </w:tc>
      </w:tr>
    </w:tbl>
    <w:p w14:paraId="641E7AAB" w14:textId="77777777" w:rsidR="00EE3FD5" w:rsidRDefault="00811C81">
      <w:pPr>
        <w:tabs>
          <w:tab w:val="left" w:pos="5200"/>
        </w:tabs>
        <w:jc w:val="both"/>
        <w:rPr>
          <w:rFonts w:ascii="Arial" w:hAnsi="Arial" w:cs="Arial"/>
        </w:rPr>
      </w:pPr>
      <w:r>
        <w:rPr>
          <w:rFonts w:ascii="Arial" w:hAnsi="Arial" w:cs="Arial"/>
        </w:rPr>
        <w:t>The patients from Cross River state had the highest percentage (52.8%) while those from Anambra and Imo states had the lowest percentage (1.1%) (Table 3). The disparity is accrued to the facility being utilized mostly by the indigenes of Cross River State.</w:t>
      </w:r>
    </w:p>
    <w:p w14:paraId="0054D388" w14:textId="77777777" w:rsidR="00EE3FD5" w:rsidRDefault="00EE3FD5">
      <w:pPr>
        <w:tabs>
          <w:tab w:val="left" w:pos="5200"/>
        </w:tabs>
        <w:jc w:val="both"/>
        <w:rPr>
          <w:rFonts w:ascii="Arial" w:hAnsi="Arial" w:cs="Arial"/>
        </w:rPr>
      </w:pPr>
    </w:p>
    <w:p w14:paraId="5143C0FA" w14:textId="77777777" w:rsidR="00EE3FD5" w:rsidRDefault="00811C81">
      <w:pPr>
        <w:tabs>
          <w:tab w:val="left" w:pos="1080"/>
        </w:tabs>
        <w:jc w:val="both"/>
        <w:rPr>
          <w:rFonts w:ascii="Arial" w:hAnsi="Arial"/>
          <w:b/>
        </w:rPr>
      </w:pPr>
      <w:r>
        <w:rPr>
          <w:rFonts w:ascii="Arial" w:hAnsi="Arial"/>
          <w:b/>
        </w:rPr>
        <w:t>Table 3. Frequency distribution of patients based on state of origin</w:t>
      </w:r>
    </w:p>
    <w:p w14:paraId="2F4F15FB" w14:textId="77777777" w:rsidR="00EE3FD5" w:rsidRDefault="00EE3FD5">
      <w:pPr>
        <w:tabs>
          <w:tab w:val="left" w:pos="1080"/>
        </w:tabs>
        <w:jc w:val="both"/>
        <w:rPr>
          <w:rFonts w:ascii="Arial" w:hAnsi="Arial"/>
          <w:b/>
        </w:rPr>
      </w:pPr>
    </w:p>
    <w:tbl>
      <w:tblPr>
        <w:tblW w:w="64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97"/>
        <w:gridCol w:w="1995"/>
        <w:gridCol w:w="2525"/>
      </w:tblGrid>
      <w:tr w:rsidR="00EE3FD5" w14:paraId="210CC9CD" w14:textId="77777777">
        <w:trPr>
          <w:trHeight w:val="494"/>
          <w:jc w:val="center"/>
        </w:trPr>
        <w:tc>
          <w:tcPr>
            <w:tcW w:w="1897" w:type="dxa"/>
            <w:tcBorders>
              <w:bottom w:val="single" w:sz="4" w:space="0" w:color="auto"/>
            </w:tcBorders>
          </w:tcPr>
          <w:p w14:paraId="080B1A46" w14:textId="77777777" w:rsidR="00EE3FD5" w:rsidRDefault="00811C81">
            <w:pPr>
              <w:jc w:val="both"/>
              <w:rPr>
                <w:rFonts w:ascii="Arial" w:hAnsi="Arial"/>
                <w:b/>
                <w:bCs/>
              </w:rPr>
            </w:pPr>
            <w:r>
              <w:rPr>
                <w:rFonts w:ascii="Arial" w:hAnsi="Arial"/>
                <w:b/>
                <w:bCs/>
              </w:rPr>
              <w:t>State of Origin</w:t>
            </w:r>
          </w:p>
        </w:tc>
        <w:tc>
          <w:tcPr>
            <w:tcW w:w="1995" w:type="dxa"/>
            <w:tcBorders>
              <w:bottom w:val="single" w:sz="4" w:space="0" w:color="auto"/>
            </w:tcBorders>
          </w:tcPr>
          <w:p w14:paraId="2CFBABF9" w14:textId="77777777" w:rsidR="00EE3FD5" w:rsidRDefault="00811C81">
            <w:pPr>
              <w:jc w:val="both"/>
              <w:rPr>
                <w:rFonts w:ascii="Arial" w:hAnsi="Arial"/>
                <w:b/>
                <w:bCs/>
              </w:rPr>
            </w:pPr>
            <w:r>
              <w:rPr>
                <w:rFonts w:ascii="Arial" w:hAnsi="Arial"/>
                <w:b/>
                <w:bCs/>
              </w:rPr>
              <w:t>Frequency (n=195)</w:t>
            </w:r>
          </w:p>
        </w:tc>
        <w:tc>
          <w:tcPr>
            <w:tcW w:w="2525" w:type="dxa"/>
            <w:tcBorders>
              <w:bottom w:val="single" w:sz="4" w:space="0" w:color="auto"/>
            </w:tcBorders>
          </w:tcPr>
          <w:p w14:paraId="4E01404E" w14:textId="77777777" w:rsidR="00EE3FD5" w:rsidRDefault="00811C81">
            <w:pPr>
              <w:jc w:val="both"/>
              <w:rPr>
                <w:rFonts w:ascii="Arial" w:hAnsi="Arial"/>
                <w:b/>
                <w:bCs/>
              </w:rPr>
            </w:pPr>
            <w:r>
              <w:rPr>
                <w:rFonts w:ascii="Arial" w:hAnsi="Arial"/>
                <w:b/>
                <w:bCs/>
              </w:rPr>
              <w:t>Percentage (%)</w:t>
            </w:r>
          </w:p>
        </w:tc>
      </w:tr>
      <w:tr w:rsidR="00EE3FD5" w14:paraId="20D20090" w14:textId="77777777">
        <w:trPr>
          <w:trHeight w:val="539"/>
          <w:jc w:val="center"/>
          <w:hidden/>
        </w:trPr>
        <w:tc>
          <w:tcPr>
            <w:tcW w:w="1897" w:type="dxa"/>
            <w:tcBorders>
              <w:bottom w:val="single" w:sz="4" w:space="0" w:color="auto"/>
            </w:tcBorders>
          </w:tcPr>
          <w:p w14:paraId="02A692AC" w14:textId="77777777" w:rsidR="00EE3FD5" w:rsidRDefault="00EE3FD5">
            <w:pPr>
              <w:jc w:val="both"/>
              <w:rPr>
                <w:rFonts w:ascii="Arial" w:hAnsi="Arial"/>
                <w:vanish/>
              </w:rPr>
            </w:pPr>
          </w:p>
          <w:p w14:paraId="4B5571C1" w14:textId="77777777" w:rsidR="00EE3FD5" w:rsidRDefault="00811C81">
            <w:pPr>
              <w:jc w:val="both"/>
              <w:rPr>
                <w:rFonts w:ascii="Arial" w:hAnsi="Arial"/>
              </w:rPr>
            </w:pPr>
            <w:r>
              <w:rPr>
                <w:rFonts w:ascii="Arial" w:hAnsi="Arial"/>
              </w:rPr>
              <w:t>Cross River</w:t>
            </w:r>
          </w:p>
          <w:p w14:paraId="27F9C578" w14:textId="77777777" w:rsidR="00EE3FD5" w:rsidRDefault="00811C81">
            <w:pPr>
              <w:jc w:val="both"/>
              <w:rPr>
                <w:rFonts w:ascii="Arial" w:hAnsi="Arial"/>
              </w:rPr>
            </w:pPr>
            <w:r>
              <w:rPr>
                <w:rFonts w:ascii="Arial" w:hAnsi="Arial"/>
              </w:rPr>
              <w:t>Akwa Ibom</w:t>
            </w:r>
          </w:p>
          <w:p w14:paraId="34195A98" w14:textId="77777777" w:rsidR="00EE3FD5" w:rsidRDefault="00811C81">
            <w:pPr>
              <w:jc w:val="both"/>
              <w:rPr>
                <w:rFonts w:ascii="Arial" w:hAnsi="Arial"/>
              </w:rPr>
            </w:pPr>
            <w:r>
              <w:rPr>
                <w:rFonts w:ascii="Arial" w:hAnsi="Arial"/>
              </w:rPr>
              <w:t>Rivers</w:t>
            </w:r>
          </w:p>
          <w:p w14:paraId="4BB5566E" w14:textId="77777777" w:rsidR="00EE3FD5" w:rsidRDefault="00811C81">
            <w:pPr>
              <w:jc w:val="both"/>
              <w:rPr>
                <w:rFonts w:ascii="Arial" w:hAnsi="Arial"/>
              </w:rPr>
            </w:pPr>
            <w:r>
              <w:rPr>
                <w:rFonts w:ascii="Arial" w:hAnsi="Arial"/>
              </w:rPr>
              <w:t>Abia</w:t>
            </w:r>
          </w:p>
          <w:p w14:paraId="06C1924E" w14:textId="77777777" w:rsidR="00EE3FD5" w:rsidRPr="00FC0365" w:rsidRDefault="00811C81">
            <w:pPr>
              <w:jc w:val="both"/>
              <w:rPr>
                <w:rFonts w:ascii="Arial" w:hAnsi="Arial"/>
                <w:lang w:val="es-US"/>
              </w:rPr>
            </w:pPr>
            <w:r w:rsidRPr="00FC0365">
              <w:rPr>
                <w:rFonts w:ascii="Arial" w:hAnsi="Arial"/>
                <w:lang w:val="es-US"/>
              </w:rPr>
              <w:t>Delta</w:t>
            </w:r>
          </w:p>
          <w:p w14:paraId="4B1673BB" w14:textId="77777777" w:rsidR="00EE3FD5" w:rsidRPr="00FC0365" w:rsidRDefault="00811C81">
            <w:pPr>
              <w:jc w:val="both"/>
              <w:rPr>
                <w:rFonts w:ascii="Arial" w:hAnsi="Arial"/>
                <w:lang w:val="es-US"/>
              </w:rPr>
            </w:pPr>
            <w:proofErr w:type="spellStart"/>
            <w:r w:rsidRPr="00FC0365">
              <w:rPr>
                <w:rFonts w:ascii="Arial" w:hAnsi="Arial"/>
                <w:lang w:val="es-US"/>
              </w:rPr>
              <w:t>Benue</w:t>
            </w:r>
            <w:proofErr w:type="spellEnd"/>
          </w:p>
          <w:p w14:paraId="3762AC05" w14:textId="77777777" w:rsidR="00EE3FD5" w:rsidRPr="00FC0365" w:rsidRDefault="00811C81">
            <w:pPr>
              <w:jc w:val="both"/>
              <w:rPr>
                <w:rFonts w:ascii="Arial" w:hAnsi="Arial"/>
                <w:lang w:val="es-US"/>
              </w:rPr>
            </w:pPr>
            <w:proofErr w:type="spellStart"/>
            <w:r w:rsidRPr="00FC0365">
              <w:rPr>
                <w:rFonts w:ascii="Arial" w:hAnsi="Arial"/>
                <w:lang w:val="es-US"/>
              </w:rPr>
              <w:t>Ebonyi</w:t>
            </w:r>
            <w:proofErr w:type="spellEnd"/>
          </w:p>
          <w:p w14:paraId="5F6E028C" w14:textId="77777777" w:rsidR="00EE3FD5" w:rsidRPr="00FC0365" w:rsidRDefault="00811C81">
            <w:pPr>
              <w:jc w:val="both"/>
              <w:rPr>
                <w:rFonts w:ascii="Arial" w:hAnsi="Arial"/>
                <w:lang w:val="es-US"/>
              </w:rPr>
            </w:pPr>
            <w:proofErr w:type="spellStart"/>
            <w:r w:rsidRPr="00FC0365">
              <w:rPr>
                <w:rFonts w:ascii="Arial" w:hAnsi="Arial"/>
                <w:lang w:val="es-US"/>
              </w:rPr>
              <w:t>Anambra</w:t>
            </w:r>
            <w:proofErr w:type="spellEnd"/>
          </w:p>
          <w:p w14:paraId="1A64A0AF" w14:textId="77777777" w:rsidR="00EE3FD5" w:rsidRPr="00FC0365" w:rsidRDefault="00811C81">
            <w:pPr>
              <w:jc w:val="both"/>
              <w:rPr>
                <w:rFonts w:ascii="Arial" w:hAnsi="Arial"/>
                <w:lang w:val="es-US"/>
              </w:rPr>
            </w:pPr>
            <w:r w:rsidRPr="00FC0365">
              <w:rPr>
                <w:rFonts w:ascii="Arial" w:hAnsi="Arial"/>
                <w:lang w:val="es-US"/>
              </w:rPr>
              <w:t>Imo</w:t>
            </w:r>
          </w:p>
        </w:tc>
        <w:tc>
          <w:tcPr>
            <w:tcW w:w="1995" w:type="dxa"/>
            <w:tcBorders>
              <w:bottom w:val="single" w:sz="4" w:space="0" w:color="auto"/>
            </w:tcBorders>
          </w:tcPr>
          <w:p w14:paraId="21751BAA" w14:textId="77777777" w:rsidR="00EE3FD5" w:rsidRDefault="00811C81">
            <w:pPr>
              <w:jc w:val="both"/>
              <w:rPr>
                <w:rFonts w:ascii="Arial" w:hAnsi="Arial"/>
              </w:rPr>
            </w:pPr>
            <w:r>
              <w:rPr>
                <w:rFonts w:ascii="Arial" w:hAnsi="Arial"/>
              </w:rPr>
              <w:t>103</w:t>
            </w:r>
          </w:p>
          <w:p w14:paraId="24B3042E" w14:textId="77777777" w:rsidR="00EE3FD5" w:rsidRDefault="00811C81">
            <w:pPr>
              <w:jc w:val="both"/>
              <w:rPr>
                <w:rFonts w:ascii="Arial" w:hAnsi="Arial"/>
              </w:rPr>
            </w:pPr>
            <w:r>
              <w:rPr>
                <w:rFonts w:ascii="Arial" w:hAnsi="Arial"/>
              </w:rPr>
              <w:t>38</w:t>
            </w:r>
          </w:p>
          <w:p w14:paraId="02B40DC4" w14:textId="77777777" w:rsidR="00EE3FD5" w:rsidRDefault="00811C81">
            <w:pPr>
              <w:jc w:val="both"/>
              <w:rPr>
                <w:rFonts w:ascii="Arial" w:hAnsi="Arial"/>
              </w:rPr>
            </w:pPr>
            <w:r>
              <w:rPr>
                <w:rFonts w:ascii="Arial" w:hAnsi="Arial"/>
              </w:rPr>
              <w:t>27</w:t>
            </w:r>
          </w:p>
          <w:p w14:paraId="5080BC65" w14:textId="77777777" w:rsidR="00EE3FD5" w:rsidRDefault="00811C81">
            <w:pPr>
              <w:jc w:val="both"/>
              <w:rPr>
                <w:rFonts w:ascii="Arial" w:hAnsi="Arial"/>
              </w:rPr>
            </w:pPr>
            <w:r>
              <w:rPr>
                <w:rFonts w:ascii="Arial" w:hAnsi="Arial"/>
              </w:rPr>
              <w:t>8</w:t>
            </w:r>
          </w:p>
          <w:p w14:paraId="75C83E44" w14:textId="77777777" w:rsidR="00EE3FD5" w:rsidRDefault="00811C81">
            <w:pPr>
              <w:jc w:val="both"/>
              <w:rPr>
                <w:rFonts w:ascii="Arial" w:hAnsi="Arial"/>
              </w:rPr>
            </w:pPr>
            <w:r>
              <w:rPr>
                <w:rFonts w:ascii="Arial" w:hAnsi="Arial"/>
              </w:rPr>
              <w:t>7</w:t>
            </w:r>
          </w:p>
          <w:p w14:paraId="1E09A3CD" w14:textId="77777777" w:rsidR="00EE3FD5" w:rsidRDefault="00811C81">
            <w:pPr>
              <w:jc w:val="both"/>
              <w:rPr>
                <w:rFonts w:ascii="Arial" w:hAnsi="Arial"/>
              </w:rPr>
            </w:pPr>
            <w:r>
              <w:rPr>
                <w:rFonts w:ascii="Arial" w:hAnsi="Arial"/>
              </w:rPr>
              <w:t>5</w:t>
            </w:r>
          </w:p>
          <w:p w14:paraId="72DDB4EE" w14:textId="77777777" w:rsidR="00EE3FD5" w:rsidRDefault="00811C81">
            <w:pPr>
              <w:jc w:val="both"/>
              <w:rPr>
                <w:rFonts w:ascii="Arial" w:hAnsi="Arial"/>
              </w:rPr>
            </w:pPr>
            <w:r>
              <w:rPr>
                <w:rFonts w:ascii="Arial" w:hAnsi="Arial"/>
              </w:rPr>
              <w:t>3</w:t>
            </w:r>
          </w:p>
          <w:p w14:paraId="3E72F6E9" w14:textId="77777777" w:rsidR="00EE3FD5" w:rsidRDefault="00811C81">
            <w:pPr>
              <w:jc w:val="both"/>
              <w:rPr>
                <w:rFonts w:ascii="Arial" w:hAnsi="Arial"/>
              </w:rPr>
            </w:pPr>
            <w:r>
              <w:rPr>
                <w:rFonts w:ascii="Arial" w:hAnsi="Arial"/>
              </w:rPr>
              <w:t>2</w:t>
            </w:r>
          </w:p>
          <w:p w14:paraId="5B772A93" w14:textId="77777777" w:rsidR="00EE3FD5" w:rsidRDefault="00811C81">
            <w:pPr>
              <w:jc w:val="both"/>
              <w:rPr>
                <w:rFonts w:ascii="Arial" w:hAnsi="Arial"/>
                <w:b/>
                <w:bCs/>
              </w:rPr>
            </w:pPr>
            <w:r>
              <w:rPr>
                <w:rFonts w:ascii="Arial" w:hAnsi="Arial"/>
              </w:rPr>
              <w:t>2</w:t>
            </w:r>
          </w:p>
        </w:tc>
        <w:tc>
          <w:tcPr>
            <w:tcW w:w="2525" w:type="dxa"/>
            <w:tcBorders>
              <w:bottom w:val="single" w:sz="4" w:space="0" w:color="auto"/>
            </w:tcBorders>
          </w:tcPr>
          <w:p w14:paraId="05A932C1" w14:textId="77777777" w:rsidR="00EE3FD5" w:rsidRDefault="00811C81">
            <w:pPr>
              <w:jc w:val="both"/>
              <w:rPr>
                <w:rFonts w:ascii="Arial" w:hAnsi="Arial" w:cs="Arial"/>
              </w:rPr>
            </w:pPr>
            <w:r>
              <w:rPr>
                <w:rFonts w:ascii="Arial" w:hAnsi="Arial" w:cs="Arial"/>
              </w:rPr>
              <w:t>52.8</w:t>
            </w:r>
          </w:p>
          <w:p w14:paraId="470CD86D" w14:textId="77777777" w:rsidR="00EE3FD5" w:rsidRDefault="00811C81">
            <w:pPr>
              <w:jc w:val="both"/>
              <w:rPr>
                <w:rFonts w:ascii="Arial" w:hAnsi="Arial" w:cs="Arial"/>
              </w:rPr>
            </w:pPr>
            <w:r>
              <w:rPr>
                <w:rFonts w:ascii="Arial" w:hAnsi="Arial" w:cs="Arial"/>
              </w:rPr>
              <w:t>19.5</w:t>
            </w:r>
          </w:p>
          <w:p w14:paraId="52D79DEC" w14:textId="77777777" w:rsidR="00EE3FD5" w:rsidRDefault="00811C81">
            <w:pPr>
              <w:jc w:val="both"/>
              <w:rPr>
                <w:rFonts w:ascii="Arial" w:hAnsi="Arial" w:cs="Arial"/>
              </w:rPr>
            </w:pPr>
            <w:r>
              <w:rPr>
                <w:rFonts w:ascii="Arial" w:hAnsi="Arial" w:cs="Arial"/>
              </w:rPr>
              <w:t>13.8</w:t>
            </w:r>
          </w:p>
          <w:p w14:paraId="34D235C9" w14:textId="77777777" w:rsidR="00EE3FD5" w:rsidRDefault="00811C81">
            <w:pPr>
              <w:jc w:val="both"/>
              <w:rPr>
                <w:rFonts w:ascii="Arial" w:hAnsi="Arial" w:cs="Arial"/>
              </w:rPr>
            </w:pPr>
            <w:r>
              <w:rPr>
                <w:rFonts w:ascii="Arial" w:hAnsi="Arial" w:cs="Arial"/>
              </w:rPr>
              <w:t>4.2</w:t>
            </w:r>
          </w:p>
          <w:p w14:paraId="7F662BB2" w14:textId="77777777" w:rsidR="00EE3FD5" w:rsidRDefault="00811C81">
            <w:pPr>
              <w:jc w:val="both"/>
              <w:rPr>
                <w:rFonts w:ascii="Arial" w:hAnsi="Arial" w:cs="Arial"/>
              </w:rPr>
            </w:pPr>
            <w:r>
              <w:rPr>
                <w:rFonts w:ascii="Arial" w:hAnsi="Arial" w:cs="Arial"/>
              </w:rPr>
              <w:t>3.6</w:t>
            </w:r>
          </w:p>
          <w:p w14:paraId="0DA7370A" w14:textId="77777777" w:rsidR="00EE3FD5" w:rsidRDefault="00811C81">
            <w:pPr>
              <w:jc w:val="both"/>
              <w:rPr>
                <w:rFonts w:ascii="Arial" w:hAnsi="Arial" w:cs="Arial"/>
              </w:rPr>
            </w:pPr>
            <w:r>
              <w:rPr>
                <w:rFonts w:ascii="Arial" w:hAnsi="Arial" w:cs="Arial"/>
              </w:rPr>
              <w:t>2.6</w:t>
            </w:r>
          </w:p>
          <w:p w14:paraId="62F73959" w14:textId="77777777" w:rsidR="00EE3FD5" w:rsidRDefault="00811C81">
            <w:pPr>
              <w:jc w:val="both"/>
              <w:rPr>
                <w:rFonts w:ascii="Arial" w:hAnsi="Arial" w:cs="Arial"/>
              </w:rPr>
            </w:pPr>
            <w:r>
              <w:rPr>
                <w:rFonts w:ascii="Arial" w:hAnsi="Arial" w:cs="Arial"/>
              </w:rPr>
              <w:t>1.5</w:t>
            </w:r>
          </w:p>
          <w:p w14:paraId="415FE672" w14:textId="77777777" w:rsidR="00EE3FD5" w:rsidRDefault="00811C81">
            <w:pPr>
              <w:jc w:val="both"/>
              <w:rPr>
                <w:rFonts w:ascii="Arial" w:hAnsi="Arial" w:cs="Arial"/>
              </w:rPr>
            </w:pPr>
            <w:r>
              <w:rPr>
                <w:rFonts w:ascii="Arial" w:hAnsi="Arial" w:cs="Arial"/>
              </w:rPr>
              <w:t>1.1</w:t>
            </w:r>
          </w:p>
          <w:p w14:paraId="17187876" w14:textId="77777777" w:rsidR="00EE3FD5" w:rsidRDefault="00811C81">
            <w:pPr>
              <w:jc w:val="both"/>
              <w:rPr>
                <w:rFonts w:ascii="Arial" w:hAnsi="Arial" w:cs="Arial"/>
              </w:rPr>
            </w:pPr>
            <w:r>
              <w:rPr>
                <w:rFonts w:ascii="Arial" w:hAnsi="Arial" w:cs="Arial"/>
              </w:rPr>
              <w:t>1.1</w:t>
            </w:r>
          </w:p>
        </w:tc>
      </w:tr>
    </w:tbl>
    <w:p w14:paraId="336C68E8" w14:textId="77777777" w:rsidR="00EE3FD5" w:rsidRDefault="00EE3FD5">
      <w:pPr>
        <w:pStyle w:val="Body"/>
        <w:spacing w:after="0"/>
        <w:rPr>
          <w:rFonts w:ascii="Arial" w:hAnsi="Arial" w:cs="Arial"/>
        </w:rPr>
      </w:pPr>
    </w:p>
    <w:p w14:paraId="610168E4" w14:textId="77777777" w:rsidR="00EE3FD5" w:rsidRDefault="00811C81">
      <w:pPr>
        <w:pStyle w:val="Body"/>
        <w:spacing w:after="0"/>
        <w:rPr>
          <w:rFonts w:ascii="Arial" w:hAnsi="Arial" w:cs="Arial"/>
        </w:rPr>
      </w:pPr>
      <w:r>
        <w:rPr>
          <w:rFonts w:ascii="Arial" w:hAnsi="Arial"/>
        </w:rPr>
        <w:lastRenderedPageBreak/>
        <w:t>The highest percentage of male (19.5%) and female patients (22.1%) with dementia visited the Federal Neuro-Psychiatric Hospital from 2011 to 2014. The lowest percentage of male (8.2%) and female patients (14.8%) with dementia visited the facility between 2019 and 2021.</w:t>
      </w:r>
    </w:p>
    <w:p w14:paraId="0E21E027" w14:textId="77777777" w:rsidR="00EE3FD5" w:rsidRDefault="00EE3FD5">
      <w:pPr>
        <w:pStyle w:val="Body"/>
        <w:spacing w:after="0"/>
        <w:rPr>
          <w:rFonts w:ascii="Arial" w:hAnsi="Arial" w:cs="Arial"/>
        </w:rPr>
      </w:pPr>
    </w:p>
    <w:p w14:paraId="44A0EC2B" w14:textId="77777777" w:rsidR="00EE3FD5" w:rsidRDefault="00811C81">
      <w:pPr>
        <w:spacing w:line="360" w:lineRule="auto"/>
        <w:rPr>
          <w:rFonts w:ascii="Arial" w:hAnsi="Arial" w:cs="Arial"/>
          <w:b/>
          <w:bCs/>
          <w:szCs w:val="22"/>
        </w:rPr>
      </w:pPr>
      <w:r>
        <w:rPr>
          <w:noProof/>
        </w:rPr>
        <w:drawing>
          <wp:inline distT="0" distB="0" distL="114300" distR="114300" wp14:anchorId="11E03111" wp14:editId="60C705FB">
            <wp:extent cx="4530725" cy="2466975"/>
            <wp:effectExtent l="4445" t="5080" r="17780" b="4445"/>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9109B5" w14:textId="77777777" w:rsidR="00EE3FD5" w:rsidRDefault="00811C81">
      <w:pPr>
        <w:autoSpaceDE w:val="0"/>
        <w:autoSpaceDN w:val="0"/>
        <w:adjustRightInd w:val="0"/>
        <w:jc w:val="both"/>
        <w:rPr>
          <w:rFonts w:ascii="Arial" w:hAnsi="Arial"/>
          <w:b/>
          <w:bCs/>
          <w:szCs w:val="22"/>
        </w:rPr>
      </w:pPr>
      <w:r>
        <w:rPr>
          <w:rFonts w:ascii="Arial" w:hAnsi="Arial" w:cs="Arial"/>
          <w:b/>
          <w:bCs/>
          <w:szCs w:val="22"/>
        </w:rPr>
        <w:t xml:space="preserve">Fig. 1. </w:t>
      </w:r>
      <w:r>
        <w:rPr>
          <w:rFonts w:ascii="Arial" w:hAnsi="Arial"/>
          <w:b/>
          <w:bCs/>
          <w:szCs w:val="22"/>
        </w:rPr>
        <w:t>Frequency of dementia based on duration</w:t>
      </w:r>
    </w:p>
    <w:p w14:paraId="132E47AA" w14:textId="77777777" w:rsidR="00EE3FD5" w:rsidRDefault="00EE3FD5">
      <w:pPr>
        <w:autoSpaceDE w:val="0"/>
        <w:autoSpaceDN w:val="0"/>
        <w:adjustRightInd w:val="0"/>
        <w:jc w:val="both"/>
        <w:rPr>
          <w:rFonts w:ascii="Arial" w:hAnsi="Arial"/>
          <w:b/>
          <w:bCs/>
          <w:szCs w:val="22"/>
        </w:rPr>
      </w:pPr>
    </w:p>
    <w:p w14:paraId="717FEF3D" w14:textId="77777777" w:rsidR="00EE3FD5" w:rsidRDefault="00811C81">
      <w:pPr>
        <w:autoSpaceDE w:val="0"/>
        <w:autoSpaceDN w:val="0"/>
        <w:adjustRightInd w:val="0"/>
        <w:jc w:val="both"/>
        <w:rPr>
          <w:rFonts w:ascii="Arial" w:hAnsi="Arial"/>
          <w:szCs w:val="22"/>
        </w:rPr>
      </w:pPr>
      <w:r>
        <w:rPr>
          <w:rFonts w:ascii="Arial" w:hAnsi="Arial"/>
          <w:szCs w:val="22"/>
        </w:rPr>
        <w:t>The predominant type of dementia at the Federal Neuro-Psychiatric Hospital within the duration of 2011 to 2021 was Alzheimer’s disease (57.9%) (Fig. 2).</w:t>
      </w:r>
    </w:p>
    <w:p w14:paraId="5409F6FD" w14:textId="77777777" w:rsidR="00EE3FD5" w:rsidRDefault="00EE3FD5">
      <w:pPr>
        <w:autoSpaceDE w:val="0"/>
        <w:autoSpaceDN w:val="0"/>
        <w:adjustRightInd w:val="0"/>
        <w:jc w:val="both"/>
        <w:rPr>
          <w:rFonts w:ascii="Arial" w:hAnsi="Arial"/>
          <w:szCs w:val="22"/>
        </w:rPr>
      </w:pPr>
    </w:p>
    <w:p w14:paraId="1D551D42" w14:textId="77777777" w:rsidR="00EE3FD5" w:rsidRDefault="00811C81">
      <w:pPr>
        <w:tabs>
          <w:tab w:val="left" w:pos="1080"/>
        </w:tabs>
        <w:jc w:val="both"/>
        <w:rPr>
          <w:rFonts w:ascii="Arial" w:hAnsi="Arial"/>
          <w:b/>
        </w:rPr>
      </w:pPr>
      <w:r>
        <w:rPr>
          <w:noProof/>
        </w:rPr>
        <w:drawing>
          <wp:inline distT="0" distB="0" distL="114300" distR="114300" wp14:anchorId="4E3D5FD9" wp14:editId="2392F6BA">
            <wp:extent cx="4387850" cy="2336800"/>
            <wp:effectExtent l="4445" t="5080" r="8255" b="2032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501C2E" w14:textId="77777777" w:rsidR="00EE3FD5" w:rsidRDefault="00EE3FD5">
      <w:pPr>
        <w:autoSpaceDE w:val="0"/>
        <w:autoSpaceDN w:val="0"/>
        <w:adjustRightInd w:val="0"/>
        <w:jc w:val="both"/>
        <w:rPr>
          <w:rFonts w:ascii="Arial" w:hAnsi="Arial" w:cs="Arial"/>
          <w:b/>
          <w:bCs/>
          <w:szCs w:val="22"/>
        </w:rPr>
      </w:pPr>
    </w:p>
    <w:p w14:paraId="4D55FB2F" w14:textId="77777777" w:rsidR="00EE3FD5" w:rsidRDefault="00811C81">
      <w:pPr>
        <w:autoSpaceDE w:val="0"/>
        <w:autoSpaceDN w:val="0"/>
        <w:adjustRightInd w:val="0"/>
        <w:jc w:val="both"/>
        <w:rPr>
          <w:rFonts w:ascii="Arial" w:hAnsi="Arial"/>
          <w:b/>
          <w:bCs/>
          <w:szCs w:val="22"/>
        </w:rPr>
      </w:pPr>
      <w:r>
        <w:rPr>
          <w:rFonts w:ascii="Arial" w:hAnsi="Arial" w:cs="Arial"/>
          <w:b/>
          <w:bCs/>
          <w:szCs w:val="22"/>
        </w:rPr>
        <w:t xml:space="preserve">Fig. 2. </w:t>
      </w:r>
      <w:r>
        <w:rPr>
          <w:rFonts w:ascii="Arial" w:hAnsi="Arial"/>
          <w:b/>
          <w:bCs/>
          <w:szCs w:val="22"/>
        </w:rPr>
        <w:t>Frequency distribution of patients based on the type of dementia</w:t>
      </w:r>
    </w:p>
    <w:p w14:paraId="7692182E" w14:textId="77777777" w:rsidR="00EE3FD5" w:rsidRDefault="00EE3FD5">
      <w:pPr>
        <w:tabs>
          <w:tab w:val="left" w:pos="1080"/>
        </w:tabs>
        <w:jc w:val="both"/>
        <w:rPr>
          <w:rFonts w:ascii="Arial" w:hAnsi="Arial"/>
          <w:b/>
        </w:rPr>
      </w:pPr>
    </w:p>
    <w:p w14:paraId="5DB6A24E" w14:textId="77777777" w:rsidR="00EE3FD5" w:rsidRDefault="00811C81">
      <w:pPr>
        <w:pStyle w:val="Head1"/>
        <w:spacing w:after="0"/>
        <w:jc w:val="both"/>
        <w:rPr>
          <w:rFonts w:ascii="Arial" w:hAnsi="Arial" w:cs="Arial"/>
        </w:rPr>
      </w:pPr>
      <w:r>
        <w:rPr>
          <w:rFonts w:ascii="Arial" w:hAnsi="Arial" w:cs="Arial"/>
        </w:rPr>
        <w:t>4. DISCUSSION</w:t>
      </w:r>
    </w:p>
    <w:p w14:paraId="427D8571" w14:textId="77777777" w:rsidR="00EE3FD5" w:rsidRDefault="00EE3FD5">
      <w:pPr>
        <w:pStyle w:val="ConcHead"/>
        <w:spacing w:after="0"/>
        <w:jc w:val="both"/>
        <w:rPr>
          <w:rFonts w:ascii="Arial" w:hAnsi="Arial" w:cs="Arial"/>
        </w:rPr>
      </w:pPr>
    </w:p>
    <w:p w14:paraId="64752A99" w14:textId="77777777" w:rsidR="00EE3FD5" w:rsidRDefault="00811C81">
      <w:pPr>
        <w:pStyle w:val="Heading1"/>
        <w:shd w:val="clear" w:color="auto" w:fill="FFFFFF"/>
        <w:spacing w:beforeAutospacing="0" w:after="240" w:afterAutospacing="0"/>
        <w:jc w:val="both"/>
        <w:rPr>
          <w:rFonts w:ascii="Arial" w:hAnsi="Arial" w:cs="Arial" w:hint="default"/>
          <w:b w:val="0"/>
          <w:bCs w:val="0"/>
          <w:sz w:val="20"/>
          <w:szCs w:val="20"/>
        </w:rPr>
      </w:pPr>
      <w:r>
        <w:rPr>
          <w:rFonts w:ascii="Arial" w:hAnsi="Arial" w:cs="Arial" w:hint="default"/>
          <w:b w:val="0"/>
          <w:bCs w:val="0"/>
          <w:sz w:val="20"/>
          <w:szCs w:val="20"/>
          <w:lang w:val="en-GB"/>
        </w:rPr>
        <w:t xml:space="preserve">Mental health is a vital part of our </w:t>
      </w:r>
      <w:proofErr w:type="spellStart"/>
      <w:r>
        <w:rPr>
          <w:rFonts w:ascii="Arial" w:hAnsi="Arial" w:cs="Arial" w:hint="default"/>
          <w:b w:val="0"/>
          <w:bCs w:val="0"/>
          <w:sz w:val="20"/>
          <w:szCs w:val="20"/>
          <w:lang w:val="en-GB"/>
        </w:rPr>
        <w:t>well being</w:t>
      </w:r>
      <w:proofErr w:type="spellEnd"/>
      <w:r>
        <w:rPr>
          <w:rFonts w:ascii="Arial" w:hAnsi="Arial" w:cs="Arial" w:hint="default"/>
          <w:b w:val="0"/>
          <w:bCs w:val="0"/>
          <w:sz w:val="20"/>
          <w:szCs w:val="20"/>
          <w:lang w:val="en-GB"/>
        </w:rPr>
        <w:t xml:space="preserve"> and a slight deviation from stability affects the productivity of the individual </w:t>
      </w:r>
      <w:r>
        <w:rPr>
          <w:rFonts w:ascii="Arial" w:hAnsi="Arial" w:cs="Arial" w:hint="default"/>
          <w:b w:val="0"/>
          <w:bCs w:val="0"/>
          <w:kern w:val="0"/>
          <w:sz w:val="20"/>
          <w:szCs w:val="20"/>
          <w:lang w:bidi="ar"/>
        </w:rPr>
        <w:t>(</w:t>
      </w:r>
      <w:proofErr w:type="spellStart"/>
      <w:r>
        <w:rPr>
          <w:rFonts w:ascii="Arial" w:hAnsi="Arial" w:cs="Arial" w:hint="default"/>
          <w:b w:val="0"/>
          <w:bCs w:val="0"/>
          <w:kern w:val="0"/>
          <w:sz w:val="20"/>
          <w:szCs w:val="20"/>
          <w:lang w:bidi="ar"/>
        </w:rPr>
        <w:t>Fadele</w:t>
      </w:r>
      <w:proofErr w:type="spellEnd"/>
      <w:r>
        <w:rPr>
          <w:rFonts w:ascii="Arial" w:hAnsi="Arial" w:cs="Arial" w:hint="default"/>
          <w:b w:val="0"/>
          <w:bCs w:val="0"/>
          <w:kern w:val="0"/>
          <w:sz w:val="20"/>
          <w:szCs w:val="20"/>
          <w:lang w:bidi="ar"/>
        </w:rPr>
        <w:t xml:space="preserve"> </w:t>
      </w:r>
      <w:r>
        <w:rPr>
          <w:rFonts w:ascii="Arial" w:hAnsi="Arial" w:cs="Arial" w:hint="default"/>
          <w:b w:val="0"/>
          <w:bCs w:val="0"/>
          <w:i/>
          <w:iCs/>
          <w:kern w:val="0"/>
          <w:sz w:val="20"/>
          <w:szCs w:val="20"/>
          <w:lang w:bidi="ar"/>
        </w:rPr>
        <w:t>et al</w:t>
      </w:r>
      <w:r>
        <w:rPr>
          <w:rFonts w:ascii="Arial" w:hAnsi="Arial" w:cs="Arial" w:hint="default"/>
          <w:b w:val="0"/>
          <w:bCs w:val="0"/>
          <w:kern w:val="0"/>
          <w:sz w:val="20"/>
          <w:szCs w:val="20"/>
          <w:lang w:bidi="ar"/>
        </w:rPr>
        <w:t>., 2024)</w:t>
      </w:r>
      <w:r>
        <w:rPr>
          <w:rFonts w:ascii="Arial" w:hAnsi="Arial" w:cs="Arial" w:hint="default"/>
          <w:b w:val="0"/>
          <w:bCs w:val="0"/>
          <w:sz w:val="20"/>
          <w:szCs w:val="20"/>
          <w:lang w:val="en-GB"/>
        </w:rPr>
        <w:t xml:space="preserve">. </w:t>
      </w:r>
      <w:r>
        <w:rPr>
          <w:rFonts w:ascii="Arial" w:hAnsi="Arial" w:cs="Arial" w:hint="default"/>
          <w:b w:val="0"/>
          <w:bCs w:val="0"/>
          <w:sz w:val="20"/>
          <w:szCs w:val="20"/>
        </w:rPr>
        <w:t xml:space="preserve">Currently, the mechanism by which the variants of dementia occur at the molecular level are not well understood (Cantone, 2023). The review by Zhang </w:t>
      </w:r>
      <w:r>
        <w:rPr>
          <w:rFonts w:ascii="Arial" w:hAnsi="Arial" w:cs="Arial" w:hint="default"/>
          <w:b w:val="0"/>
          <w:bCs w:val="0"/>
          <w:i/>
          <w:iCs/>
          <w:sz w:val="20"/>
          <w:szCs w:val="20"/>
        </w:rPr>
        <w:t>et al</w:t>
      </w:r>
      <w:r>
        <w:rPr>
          <w:rFonts w:ascii="Arial" w:hAnsi="Arial" w:cs="Arial" w:hint="default"/>
          <w:b w:val="0"/>
          <w:bCs w:val="0"/>
          <w:sz w:val="20"/>
          <w:szCs w:val="20"/>
        </w:rPr>
        <w:t xml:space="preserve">. (2024) on recent advances in Alzheimer’s disease as regards the mechanisms, clinical trials and new drug development strategies showed that the pivotal factors involved in combating </w:t>
      </w:r>
      <w:proofErr w:type="spellStart"/>
      <w:r>
        <w:rPr>
          <w:rFonts w:ascii="Arial" w:hAnsi="Arial" w:cs="Arial" w:hint="default"/>
          <w:b w:val="0"/>
          <w:bCs w:val="0"/>
          <w:sz w:val="20"/>
          <w:szCs w:val="20"/>
        </w:rPr>
        <w:t>alzheimer’s</w:t>
      </w:r>
      <w:proofErr w:type="spellEnd"/>
      <w:r>
        <w:rPr>
          <w:rFonts w:ascii="Arial" w:hAnsi="Arial" w:cs="Arial" w:hint="default"/>
          <w:b w:val="0"/>
          <w:bCs w:val="0"/>
          <w:sz w:val="20"/>
          <w:szCs w:val="20"/>
        </w:rPr>
        <w:t xml:space="preserve"> disease are prevention, early diagnosis and treatment (Zhang </w:t>
      </w:r>
      <w:r>
        <w:rPr>
          <w:rFonts w:ascii="Arial" w:hAnsi="Arial" w:cs="Arial" w:hint="default"/>
          <w:b w:val="0"/>
          <w:bCs w:val="0"/>
          <w:i/>
          <w:iCs/>
          <w:sz w:val="20"/>
          <w:szCs w:val="20"/>
        </w:rPr>
        <w:t>et al.</w:t>
      </w:r>
      <w:r>
        <w:rPr>
          <w:rFonts w:ascii="Arial" w:hAnsi="Arial" w:cs="Arial" w:hint="default"/>
          <w:b w:val="0"/>
          <w:bCs w:val="0"/>
          <w:sz w:val="20"/>
          <w:szCs w:val="20"/>
        </w:rPr>
        <w:t>, 2024).</w:t>
      </w:r>
    </w:p>
    <w:p w14:paraId="7E557281" w14:textId="601D461E" w:rsidR="00EE3FD5" w:rsidRDefault="00996ADC">
      <w:pPr>
        <w:jc w:val="both"/>
        <w:rPr>
          <w:rFonts w:ascii="Arial" w:hAnsi="Arial" w:cs="Arial"/>
        </w:rPr>
      </w:pPr>
      <w:r w:rsidRPr="00996ADC">
        <w:rPr>
          <w:rFonts w:ascii="Arial" w:hAnsi="Arial" w:cs="Arial"/>
        </w:rPr>
        <w:t xml:space="preserve">Globally, the number of individuals living with dementia was estimated at 55 million in 2021, with nearly 10 million new cases reported annually (World Health Organization, 2022). Approximately 58% of people with dementia reside in low- and middle-income countries (Prince et al., 2018). The prevalence of dementia varies across regions, ranging from 4.7% in Central Europe to 8.7% in North Africa and the Middle East, with other regions exhibiting prevalence rates between 5.6% and 7.6% (Prince et al., 2016). The global burden of dementia is projected to double approximately every 20 years. </w:t>
      </w:r>
      <w:r w:rsidRPr="00996ADC">
        <w:rPr>
          <w:rFonts w:ascii="Arial" w:hAnsi="Arial" w:cs="Arial"/>
        </w:rPr>
        <w:lastRenderedPageBreak/>
        <w:t>In 1990, dementia was responsible for 0.8 million deaths worldwide, increasing to an estimated 2.4 million deaths by 2016 (Wang, 2016).</w:t>
      </w:r>
    </w:p>
    <w:p w14:paraId="5E17D858" w14:textId="77777777" w:rsidR="00996ADC" w:rsidRDefault="00996ADC">
      <w:pPr>
        <w:jc w:val="both"/>
        <w:rPr>
          <w:rFonts w:ascii="Arial" w:hAnsi="Arial" w:cs="Arial"/>
        </w:rPr>
      </w:pPr>
    </w:p>
    <w:p w14:paraId="2F16BA46" w14:textId="23867EC4" w:rsidR="00EE3FD5" w:rsidRDefault="00811C81">
      <w:pPr>
        <w:jc w:val="both"/>
        <w:rPr>
          <w:rFonts w:ascii="Arial" w:hAnsi="Arial" w:cs="Arial"/>
          <w:lang w:val="en-GB"/>
        </w:rPr>
      </w:pPr>
      <w:r>
        <w:rPr>
          <w:rFonts w:ascii="Arial" w:hAnsi="Arial" w:cs="Arial"/>
        </w:rPr>
        <w:t xml:space="preserve">A study by Rotstein </w:t>
      </w:r>
      <w:r>
        <w:rPr>
          <w:rFonts w:ascii="Arial" w:hAnsi="Arial" w:cs="Arial"/>
          <w:i/>
          <w:iCs/>
        </w:rPr>
        <w:t>et al.</w:t>
      </w:r>
      <w:r>
        <w:rPr>
          <w:rFonts w:ascii="Arial" w:hAnsi="Arial" w:cs="Arial"/>
        </w:rPr>
        <w:t xml:space="preserve"> (2025) on the gender-specific dementia risk with respect to the causative medical conditions of the Israeli population born between 1922 and 1946 revealed that females are more predisposed to dementia than males (Rotstein </w:t>
      </w:r>
      <w:r>
        <w:rPr>
          <w:rFonts w:ascii="Arial" w:hAnsi="Arial" w:cs="Arial"/>
          <w:i/>
          <w:iCs/>
        </w:rPr>
        <w:t>et al</w:t>
      </w:r>
      <w:r>
        <w:rPr>
          <w:rFonts w:ascii="Arial" w:hAnsi="Arial" w:cs="Arial"/>
        </w:rPr>
        <w:t>., 2025). Similarly, t</w:t>
      </w:r>
      <w:r>
        <w:rPr>
          <w:rFonts w:ascii="Arial" w:hAnsi="Arial" w:cs="Arial"/>
          <w:lang w:val="en-GB"/>
        </w:rPr>
        <w:t xml:space="preserve">he study conducted by </w:t>
      </w:r>
      <w:proofErr w:type="spellStart"/>
      <w:r>
        <w:rPr>
          <w:rFonts w:ascii="Arial" w:eastAsia="SimSun" w:hAnsi="Arial" w:cs="Arial"/>
          <w:lang w:eastAsia="zh-CN" w:bidi="ar"/>
        </w:rPr>
        <w:t>Pszczołowska</w:t>
      </w:r>
      <w:proofErr w:type="spellEnd"/>
      <w:r>
        <w:rPr>
          <w:rFonts w:ascii="Arial" w:eastAsia="SimSun" w:hAnsi="Arial" w:cs="Arial"/>
          <w:lang w:eastAsia="zh-CN" w:bidi="ar"/>
        </w:rPr>
        <w:t xml:space="preserve"> </w:t>
      </w:r>
      <w:r>
        <w:rPr>
          <w:rFonts w:ascii="Arial" w:eastAsia="SimSun" w:hAnsi="Arial" w:cs="Arial"/>
          <w:i/>
          <w:iCs/>
          <w:lang w:eastAsia="zh-CN" w:bidi="ar"/>
        </w:rPr>
        <w:t>et al</w:t>
      </w:r>
      <w:r>
        <w:rPr>
          <w:rFonts w:ascii="Arial" w:eastAsia="SimSun" w:hAnsi="Arial" w:cs="Arial"/>
          <w:lang w:eastAsia="zh-CN" w:bidi="ar"/>
        </w:rPr>
        <w:t>.</w:t>
      </w:r>
      <w:r>
        <w:rPr>
          <w:rFonts w:ascii="Arial" w:eastAsia="SimSun" w:hAnsi="Arial" w:cs="Arial"/>
          <w:lang w:val="en-GB" w:eastAsia="zh-CN" w:bidi="ar"/>
        </w:rPr>
        <w:t xml:space="preserve"> (2024) showed that w</w:t>
      </w:r>
      <w:r>
        <w:rPr>
          <w:rFonts w:ascii="Arial" w:hAnsi="Arial" w:cs="Arial"/>
          <w:lang w:val="en-GB"/>
        </w:rPr>
        <w:t xml:space="preserve">omen are predisposed to dementia due to social factors, longer life expectancy and biological factors like hormonal changes and genetic composition </w:t>
      </w:r>
      <w:r>
        <w:rPr>
          <w:rFonts w:ascii="Arial" w:eastAsia="SimSun" w:hAnsi="Arial" w:cs="Arial"/>
          <w:lang w:eastAsia="zh-CN" w:bidi="ar"/>
        </w:rPr>
        <w:t>(</w:t>
      </w:r>
      <w:proofErr w:type="spellStart"/>
      <w:r>
        <w:rPr>
          <w:rFonts w:ascii="Arial" w:eastAsia="SimSun" w:hAnsi="Arial" w:cs="Arial"/>
          <w:lang w:eastAsia="zh-CN" w:bidi="ar"/>
        </w:rPr>
        <w:t>Pszczołowska</w:t>
      </w:r>
      <w:proofErr w:type="spellEnd"/>
      <w:r>
        <w:rPr>
          <w:rFonts w:ascii="Arial" w:eastAsia="SimSun" w:hAnsi="Arial" w:cs="Arial"/>
          <w:lang w:eastAsia="zh-CN" w:bidi="ar"/>
        </w:rPr>
        <w:t xml:space="preserve"> </w:t>
      </w:r>
      <w:r>
        <w:rPr>
          <w:rFonts w:ascii="Arial" w:eastAsia="SimSun" w:hAnsi="Arial" w:cs="Arial"/>
          <w:i/>
          <w:iCs/>
          <w:lang w:eastAsia="zh-CN" w:bidi="ar"/>
        </w:rPr>
        <w:t>et al</w:t>
      </w:r>
      <w:r>
        <w:rPr>
          <w:rFonts w:ascii="Arial" w:eastAsia="SimSun" w:hAnsi="Arial" w:cs="Arial"/>
          <w:lang w:eastAsia="zh-CN" w:bidi="ar"/>
        </w:rPr>
        <w:t>., 2024)</w:t>
      </w:r>
      <w:r>
        <w:rPr>
          <w:rFonts w:ascii="Arial" w:eastAsia="SimSun" w:hAnsi="Arial" w:cs="Arial"/>
          <w:lang w:val="en-GB" w:eastAsia="zh-CN" w:bidi="ar"/>
        </w:rPr>
        <w:t xml:space="preserve">. </w:t>
      </w:r>
      <w:r>
        <w:rPr>
          <w:rFonts w:ascii="Arial" w:hAnsi="Arial" w:cs="Arial"/>
          <w:lang w:val="en-GB"/>
        </w:rPr>
        <w:t>The</w:t>
      </w:r>
      <w:r>
        <w:rPr>
          <w:rFonts w:ascii="Arial" w:hAnsi="Arial" w:cs="Arial"/>
        </w:rPr>
        <w:t xml:space="preserve"> present</w:t>
      </w:r>
      <w:r>
        <w:rPr>
          <w:rFonts w:ascii="Arial" w:hAnsi="Arial" w:cs="Arial"/>
          <w:lang w:val="en-GB"/>
        </w:rPr>
        <w:t xml:space="preserve"> study on the prevalence of dementia at the Federal </w:t>
      </w:r>
      <w:r w:rsidR="00CF0C7D" w:rsidRPr="00F67CFE">
        <w:rPr>
          <w:rFonts w:ascii="Arial" w:hAnsi="Arial" w:cs="Arial"/>
          <w:highlight w:val="yellow"/>
          <w:lang w:val="en-GB"/>
        </w:rPr>
        <w:t>Neuro-Psychiatric</w:t>
      </w:r>
      <w:r>
        <w:rPr>
          <w:rFonts w:ascii="Arial" w:hAnsi="Arial" w:cs="Arial"/>
          <w:lang w:val="en-GB"/>
        </w:rPr>
        <w:t xml:space="preserve"> Hospital, Calabar highlight</w:t>
      </w:r>
      <w:r>
        <w:rPr>
          <w:rFonts w:ascii="Arial" w:hAnsi="Arial" w:cs="Arial"/>
        </w:rPr>
        <w:t>s</w:t>
      </w:r>
      <w:r>
        <w:rPr>
          <w:rFonts w:ascii="Arial" w:hAnsi="Arial" w:cs="Arial"/>
          <w:lang w:val="en-GB"/>
        </w:rPr>
        <w:t xml:space="preserve"> the gender-specificity of the condition between 2011 and 2021.</w:t>
      </w:r>
      <w:r>
        <w:rPr>
          <w:rFonts w:ascii="Arial" w:hAnsi="Arial" w:cs="Arial"/>
        </w:rPr>
        <w:t xml:space="preserve"> The number of dementia cases between 2011 to 2021 increased particularly in females because women are disproportionately affected by the condition directly and indirectly with majority of the population being diagnosed with Alzheimer’s disease (5</w:t>
      </w:r>
      <w:r>
        <w:rPr>
          <w:rFonts w:ascii="Arial" w:hAnsi="Arial" w:cs="Arial"/>
          <w:lang w:val="en-GB"/>
        </w:rPr>
        <w:t>6</w:t>
      </w:r>
      <w:r>
        <w:rPr>
          <w:rFonts w:ascii="Arial" w:hAnsi="Arial" w:cs="Arial"/>
        </w:rPr>
        <w:t>.</w:t>
      </w:r>
      <w:r>
        <w:rPr>
          <w:rFonts w:ascii="Arial" w:hAnsi="Arial" w:cs="Arial"/>
          <w:lang w:val="en-GB"/>
        </w:rPr>
        <w:t>4</w:t>
      </w:r>
      <w:r>
        <w:rPr>
          <w:rFonts w:ascii="Arial" w:hAnsi="Arial" w:cs="Arial"/>
        </w:rPr>
        <w:t>%).</w:t>
      </w:r>
      <w:r>
        <w:rPr>
          <w:rFonts w:ascii="Arial" w:hAnsi="Arial" w:cs="Arial"/>
          <w:lang w:val="en-GB"/>
        </w:rPr>
        <w:t xml:space="preserve"> </w:t>
      </w:r>
    </w:p>
    <w:p w14:paraId="15F4C934" w14:textId="77777777" w:rsidR="00EE3FD5" w:rsidRDefault="00811C81">
      <w:pPr>
        <w:jc w:val="both"/>
        <w:rPr>
          <w:rFonts w:ascii="Arial" w:hAnsi="Arial" w:cs="Arial"/>
          <w:lang w:val="en-GB"/>
        </w:rPr>
      </w:pPr>
      <w:r>
        <w:rPr>
          <w:rFonts w:ascii="Arial" w:hAnsi="Arial" w:cs="Arial"/>
          <w:lang w:val="en-GB"/>
        </w:rPr>
        <w:t xml:space="preserve"> </w:t>
      </w:r>
    </w:p>
    <w:p w14:paraId="6AD78516" w14:textId="636A9951" w:rsidR="00EE3FD5" w:rsidRDefault="00996ADC">
      <w:pPr>
        <w:jc w:val="both"/>
        <w:rPr>
          <w:rFonts w:ascii="Arial" w:eastAsia="SimSun" w:hAnsi="Arial" w:cs="Arial"/>
          <w:lang w:eastAsia="zh-CN" w:bidi="ar"/>
        </w:rPr>
      </w:pPr>
      <w:r w:rsidRPr="00996ADC">
        <w:rPr>
          <w:rFonts w:ascii="Arial" w:hAnsi="Arial" w:cs="Arial"/>
          <w:lang w:val="en-GB"/>
        </w:rPr>
        <w:t>The three types of dementia identified among patients at the Federal Neuro-Psychiatric Hospital, Calabar, were Alzheimer’s disease, mixed dementia, and vascular (alcohol-related) dementia. Globally, Alzheimer’s disease accounts for 60–70% of dementia cases (Chung et al., 2018). In the present study, 57.9% of patients were diagnosed with Alzheimer’s disease. Vascular dementia, which arises from injury or disease affecting cerebral blood flow, represents approximately 20% of dementia cases, making it the second most prevalent type (</w:t>
      </w:r>
      <w:proofErr w:type="spellStart"/>
      <w:r w:rsidRPr="00996ADC">
        <w:rPr>
          <w:rFonts w:ascii="Arial" w:hAnsi="Arial" w:cs="Arial"/>
          <w:lang w:val="en-GB"/>
        </w:rPr>
        <w:t>Iadecola</w:t>
      </w:r>
      <w:proofErr w:type="spellEnd"/>
      <w:r w:rsidRPr="00996ADC">
        <w:rPr>
          <w:rFonts w:ascii="Arial" w:hAnsi="Arial" w:cs="Arial"/>
          <w:lang w:val="en-GB"/>
        </w:rPr>
        <w:t>, 2013). While multiple injuries may contribute to progressive cognitive decline over time, a single injury in a region critical for cognition—such as the hippocampus or thalamus—can result in abrupt cognitive impairment</w:t>
      </w:r>
      <w:r>
        <w:rPr>
          <w:rFonts w:ascii="Arial" w:hAnsi="Arial" w:cs="Arial"/>
          <w:lang w:val="en-GB"/>
        </w:rPr>
        <w:t xml:space="preserve"> </w:t>
      </w:r>
      <w:r w:rsidR="00811C81">
        <w:rPr>
          <w:rFonts w:ascii="Arial" w:hAnsi="Arial" w:cs="Arial"/>
        </w:rPr>
        <w:t>(</w:t>
      </w:r>
      <w:proofErr w:type="spellStart"/>
      <w:r w:rsidR="00811C81">
        <w:rPr>
          <w:rFonts w:ascii="Arial" w:hAnsi="Arial" w:cs="Arial"/>
        </w:rPr>
        <w:t>Iadecola</w:t>
      </w:r>
      <w:proofErr w:type="spellEnd"/>
      <w:r w:rsidR="00811C81">
        <w:rPr>
          <w:rFonts w:ascii="Arial" w:hAnsi="Arial" w:cs="Arial"/>
        </w:rPr>
        <w:t xml:space="preserve">, 2013). The present study showed that 14.4 % of the patients had vascular dementia. Mixed dementia which is a combination of Alzheimer’s disease and stroke (cerebrovascular disease) affects one patient per time. A review by </w:t>
      </w:r>
      <w:r w:rsidR="00811C81">
        <w:rPr>
          <w:rFonts w:ascii="Arial" w:eastAsia="SimSun" w:hAnsi="Arial" w:cs="Arial"/>
          <w:lang w:eastAsia="zh-CN" w:bidi="ar"/>
        </w:rPr>
        <w:t xml:space="preserve">Custodio </w:t>
      </w:r>
      <w:r w:rsidR="00811C81">
        <w:rPr>
          <w:rFonts w:ascii="Arial" w:eastAsia="SimSun" w:hAnsi="Arial" w:cs="Arial"/>
          <w:i/>
          <w:iCs/>
          <w:lang w:eastAsia="zh-CN" w:bidi="ar"/>
        </w:rPr>
        <w:t xml:space="preserve">et al. </w:t>
      </w:r>
      <w:r w:rsidR="00811C81">
        <w:rPr>
          <w:rFonts w:ascii="Arial" w:eastAsia="SimSun" w:hAnsi="Arial" w:cs="Arial"/>
          <w:lang w:eastAsia="zh-CN" w:bidi="ar"/>
        </w:rPr>
        <w:t xml:space="preserve">(2017) on articles from 1990 to 2016 showed a general prevalence of 22% within a specific population (Custodio </w:t>
      </w:r>
      <w:r w:rsidR="00811C81">
        <w:rPr>
          <w:rFonts w:ascii="Arial" w:eastAsia="SimSun" w:hAnsi="Arial" w:cs="Arial"/>
          <w:i/>
          <w:iCs/>
          <w:lang w:eastAsia="zh-CN" w:bidi="ar"/>
        </w:rPr>
        <w:t xml:space="preserve">et al., </w:t>
      </w:r>
      <w:r w:rsidR="00811C81">
        <w:rPr>
          <w:rFonts w:ascii="Arial" w:eastAsia="SimSun" w:hAnsi="Arial" w:cs="Arial"/>
          <w:lang w:eastAsia="zh-CN" w:bidi="ar"/>
        </w:rPr>
        <w:t>2017). The present study revealed that 27.7% of the patients at the facility had the mixed variant of dementia.</w:t>
      </w:r>
    </w:p>
    <w:p w14:paraId="69199BD8" w14:textId="77777777" w:rsidR="00EE3FD5" w:rsidRDefault="00EE3FD5">
      <w:pPr>
        <w:jc w:val="both"/>
        <w:rPr>
          <w:rFonts w:ascii="Arial" w:eastAsia="SimSun" w:hAnsi="Arial" w:cs="Arial"/>
          <w:lang w:eastAsia="zh-CN" w:bidi="ar"/>
        </w:rPr>
      </w:pPr>
    </w:p>
    <w:p w14:paraId="167C9B3E" w14:textId="38E436A4" w:rsidR="00EE3FD5" w:rsidRDefault="00996ADC">
      <w:pPr>
        <w:jc w:val="both"/>
        <w:rPr>
          <w:rFonts w:ascii="Arial" w:hAnsi="Arial" w:cs="Arial"/>
        </w:rPr>
      </w:pPr>
      <w:r w:rsidRPr="00996ADC">
        <w:rPr>
          <w:rFonts w:ascii="Arial" w:hAnsi="Arial" w:cs="Arial"/>
        </w:rPr>
        <w:t>At present, therapeutic options for dementia are limited, with most interventions aimed primarily at managing or alleviating individual symptoms. At the Federal Neuro-Psychiatric Hospital, Calabar, the majority of patients received cognitive stimulation therapy alongside dietary supplementation, supported by their families and caregivers.</w:t>
      </w:r>
      <w:r w:rsidR="00811C81">
        <w:rPr>
          <w:rFonts w:ascii="Arial" w:hAnsi="Arial" w:cs="Arial"/>
        </w:rPr>
        <w:t xml:space="preserve"> This aligned with the study conducted by </w:t>
      </w:r>
      <w:proofErr w:type="spellStart"/>
      <w:r w:rsidR="00811C81">
        <w:rPr>
          <w:rFonts w:ascii="Arial" w:hAnsi="Arial" w:cs="Arial"/>
        </w:rPr>
        <w:t>Vandepitte</w:t>
      </w:r>
      <w:proofErr w:type="spellEnd"/>
      <w:r w:rsidR="00811C81">
        <w:rPr>
          <w:rFonts w:ascii="Arial" w:hAnsi="Arial" w:cs="Arial"/>
        </w:rPr>
        <w:t xml:space="preserve"> </w:t>
      </w:r>
      <w:r w:rsidR="00811C81">
        <w:rPr>
          <w:rFonts w:ascii="Arial" w:hAnsi="Arial" w:cs="Arial"/>
          <w:i/>
          <w:iCs/>
        </w:rPr>
        <w:t>et al</w:t>
      </w:r>
      <w:r w:rsidR="00811C81">
        <w:rPr>
          <w:rFonts w:ascii="Arial" w:hAnsi="Arial" w:cs="Arial"/>
        </w:rPr>
        <w:t xml:space="preserve">. (2016) which showed that cognitive and </w:t>
      </w:r>
      <w:proofErr w:type="spellStart"/>
      <w:r w:rsidR="00811C81">
        <w:rPr>
          <w:rFonts w:ascii="Arial" w:hAnsi="Arial" w:cs="Arial"/>
        </w:rPr>
        <w:t>behavioural</w:t>
      </w:r>
      <w:proofErr w:type="spellEnd"/>
      <w:r w:rsidR="00811C81">
        <w:rPr>
          <w:rFonts w:ascii="Arial" w:hAnsi="Arial" w:cs="Arial"/>
        </w:rPr>
        <w:t xml:space="preserve"> interventions may be appropriate for the treatment of dementia.</w:t>
      </w:r>
    </w:p>
    <w:p w14:paraId="455C50F8" w14:textId="77777777" w:rsidR="00EE3FD5" w:rsidRDefault="00EE3FD5">
      <w:pPr>
        <w:jc w:val="both"/>
        <w:rPr>
          <w:rFonts w:ascii="Arial" w:hAnsi="Arial" w:cs="Arial"/>
        </w:rPr>
      </w:pPr>
    </w:p>
    <w:p w14:paraId="019B23D2" w14:textId="77777777" w:rsidR="00EE3FD5" w:rsidRDefault="00811C81">
      <w:pPr>
        <w:pStyle w:val="ConcHead"/>
        <w:spacing w:after="0"/>
        <w:jc w:val="both"/>
        <w:rPr>
          <w:rFonts w:ascii="Arial" w:hAnsi="Arial" w:cs="Arial"/>
        </w:rPr>
      </w:pPr>
      <w:r>
        <w:rPr>
          <w:rFonts w:ascii="Arial" w:hAnsi="Arial" w:cs="Arial"/>
        </w:rPr>
        <w:t>5. Conclusion</w:t>
      </w:r>
    </w:p>
    <w:p w14:paraId="37B9EE14" w14:textId="77777777" w:rsidR="00EE3FD5" w:rsidRDefault="00EE3FD5">
      <w:pPr>
        <w:pStyle w:val="ConcHead"/>
        <w:spacing w:after="0"/>
        <w:jc w:val="both"/>
        <w:rPr>
          <w:rFonts w:ascii="Arial" w:hAnsi="Arial" w:cs="Arial"/>
        </w:rPr>
      </w:pPr>
    </w:p>
    <w:p w14:paraId="72EF5758" w14:textId="4C40FCB9" w:rsidR="00EE3FD5" w:rsidRDefault="00996ADC">
      <w:pPr>
        <w:jc w:val="both"/>
        <w:rPr>
          <w:rFonts w:ascii="Arial" w:hAnsi="Arial" w:cs="Arial"/>
        </w:rPr>
      </w:pPr>
      <w:r>
        <w:rPr>
          <w:rFonts w:ascii="Arial" w:hAnsi="Arial" w:cs="Arial"/>
        </w:rPr>
        <w:t xml:space="preserve">The study conclude that </w:t>
      </w:r>
      <w:r w:rsidR="00811C81">
        <w:rPr>
          <w:rFonts w:ascii="Arial" w:hAnsi="Arial" w:cs="Arial"/>
        </w:rPr>
        <w:t xml:space="preserve">Females had more risk of dementia than males at the Federal Neuro-Psychiatric Hospital, Calabar from 2011-2021. The predominant persons that visited the facility with the ten-year range were Cross </w:t>
      </w:r>
      <w:proofErr w:type="spellStart"/>
      <w:r w:rsidR="00811C81">
        <w:rPr>
          <w:rFonts w:ascii="Arial" w:hAnsi="Arial" w:cs="Arial"/>
        </w:rPr>
        <w:t>Riverians</w:t>
      </w:r>
      <w:proofErr w:type="spellEnd"/>
      <w:r w:rsidR="00811C81">
        <w:rPr>
          <w:rFonts w:ascii="Arial" w:hAnsi="Arial" w:cs="Arial"/>
        </w:rPr>
        <w:t xml:space="preserve"> with the peak being between 2011 and 2014.</w:t>
      </w:r>
    </w:p>
    <w:p w14:paraId="62F6CDB8" w14:textId="77777777" w:rsidR="00EE3FD5" w:rsidRDefault="00EE3FD5">
      <w:pPr>
        <w:pStyle w:val="Body"/>
        <w:spacing w:after="0"/>
        <w:rPr>
          <w:rFonts w:ascii="Arial" w:hAnsi="Arial" w:cs="Arial"/>
        </w:rPr>
      </w:pPr>
    </w:p>
    <w:p w14:paraId="44C29EAB" w14:textId="77777777" w:rsidR="00EE3FD5" w:rsidRDefault="00EE3FD5">
      <w:pPr>
        <w:pStyle w:val="ReferHead"/>
        <w:spacing w:after="0"/>
        <w:jc w:val="both"/>
        <w:rPr>
          <w:rFonts w:ascii="Arial" w:hAnsi="Arial" w:cs="Arial"/>
          <w:b w:val="0"/>
          <w:caps w:val="0"/>
          <w:sz w:val="20"/>
        </w:rPr>
      </w:pPr>
    </w:p>
    <w:p w14:paraId="794DF0E4" w14:textId="77777777" w:rsidR="00EE3FD5" w:rsidRDefault="00EE3FD5">
      <w:pPr>
        <w:pStyle w:val="ReferHead"/>
        <w:spacing w:after="0"/>
        <w:jc w:val="both"/>
        <w:rPr>
          <w:rFonts w:ascii="Arial" w:hAnsi="Arial" w:cs="Arial"/>
          <w:b w:val="0"/>
          <w:caps w:val="0"/>
          <w:sz w:val="20"/>
        </w:rPr>
      </w:pPr>
    </w:p>
    <w:p w14:paraId="3E1F54D0" w14:textId="77777777" w:rsidR="00EE3FD5" w:rsidRDefault="00811C81">
      <w:pPr>
        <w:pStyle w:val="ReferHead"/>
        <w:spacing w:after="0"/>
        <w:jc w:val="both"/>
        <w:rPr>
          <w:rFonts w:ascii="Arial" w:hAnsi="Arial" w:cs="Arial"/>
          <w:bCs/>
        </w:rPr>
      </w:pPr>
      <w:r>
        <w:rPr>
          <w:rFonts w:ascii="Arial" w:hAnsi="Arial" w:cs="Arial"/>
          <w:bCs/>
        </w:rPr>
        <w:t>Ethical approval</w:t>
      </w:r>
    </w:p>
    <w:p w14:paraId="53057E50" w14:textId="77777777" w:rsidR="00EE3FD5" w:rsidRDefault="00EE3FD5">
      <w:pPr>
        <w:pStyle w:val="ReferHead"/>
        <w:spacing w:after="0"/>
        <w:jc w:val="both"/>
        <w:rPr>
          <w:rFonts w:ascii="Arial" w:hAnsi="Arial" w:cs="Arial"/>
          <w:b w:val="0"/>
          <w:caps w:val="0"/>
          <w:sz w:val="20"/>
        </w:rPr>
      </w:pPr>
    </w:p>
    <w:p w14:paraId="14CB993C" w14:textId="77777777" w:rsidR="00EE3FD5" w:rsidRDefault="00811C81">
      <w:pPr>
        <w:pStyle w:val="ReferHead"/>
        <w:spacing w:after="0"/>
        <w:jc w:val="both"/>
        <w:rPr>
          <w:rFonts w:ascii="Arial" w:hAnsi="Arial" w:cs="Arial"/>
          <w:b w:val="0"/>
          <w:caps w:val="0"/>
          <w:sz w:val="20"/>
        </w:rPr>
      </w:pPr>
      <w:r>
        <w:rPr>
          <w:rFonts w:ascii="Arial" w:hAnsi="Arial" w:cs="Arial"/>
          <w:b w:val="0"/>
          <w:caps w:val="0"/>
          <w:sz w:val="20"/>
        </w:rPr>
        <w:t>All authors hereby declare that the experiment has been examined and approved by the Cross River State Ministry of Health ethics committee and have therefore been performed in accordance with the ethical standards laid down in the 1964 Declaration of Helsinki. The ethical approval number CRSMOH/RP/REC/2020/125 was issued.</w:t>
      </w:r>
    </w:p>
    <w:p w14:paraId="35403D88" w14:textId="77777777" w:rsidR="00BB2634" w:rsidRDefault="00BB2634">
      <w:pPr>
        <w:pStyle w:val="ReferHead"/>
        <w:spacing w:after="0"/>
        <w:jc w:val="both"/>
        <w:rPr>
          <w:rFonts w:ascii="Arial" w:hAnsi="Arial" w:cs="Arial"/>
          <w:b w:val="0"/>
          <w:caps w:val="0"/>
          <w:sz w:val="20"/>
        </w:rPr>
      </w:pPr>
    </w:p>
    <w:p w14:paraId="1B4724DC" w14:textId="77777777" w:rsidR="00BB2634" w:rsidRPr="003E0116" w:rsidRDefault="00BB2634">
      <w:pPr>
        <w:pStyle w:val="ReferHead"/>
        <w:spacing w:after="0"/>
        <w:jc w:val="both"/>
        <w:rPr>
          <w:rFonts w:ascii="Arial" w:hAnsi="Arial" w:cs="Arial"/>
          <w:caps w:val="0"/>
          <w:sz w:val="20"/>
        </w:rPr>
      </w:pPr>
    </w:p>
    <w:p w14:paraId="2B38FCC6" w14:textId="77777777" w:rsidR="00A014EB" w:rsidRPr="003E0116" w:rsidRDefault="00A014EB" w:rsidP="00A014EB">
      <w:pPr>
        <w:rPr>
          <w:rFonts w:ascii="Times New Roman" w:eastAsia="Calibri" w:hAnsi="Times New Roman"/>
          <w:b/>
          <w:kern w:val="2"/>
          <w:sz w:val="22"/>
          <w:szCs w:val="22"/>
          <w:highlight w:val="yellow"/>
        </w:rPr>
      </w:pPr>
      <w:bookmarkStart w:id="1" w:name="_Hlk198031404"/>
      <w:bookmarkStart w:id="2" w:name="_Hlk219125673"/>
      <w:r w:rsidRPr="003E0116">
        <w:rPr>
          <w:rFonts w:ascii="Times New Roman" w:eastAsia="Calibri" w:hAnsi="Times New Roman"/>
          <w:b/>
          <w:kern w:val="2"/>
          <w:sz w:val="22"/>
          <w:szCs w:val="22"/>
          <w:highlight w:val="yellow"/>
        </w:rPr>
        <w:t>Disclaimer (Artificial intelligence)</w:t>
      </w:r>
    </w:p>
    <w:p w14:paraId="44460C39" w14:textId="77777777" w:rsidR="00A014EB" w:rsidRPr="00A014EB" w:rsidRDefault="00A014EB" w:rsidP="00A014EB">
      <w:pPr>
        <w:rPr>
          <w:rFonts w:ascii="Times New Roman" w:eastAsia="Calibri" w:hAnsi="Times New Roman"/>
          <w:kern w:val="2"/>
          <w:sz w:val="22"/>
          <w:szCs w:val="22"/>
          <w:highlight w:val="yellow"/>
        </w:rPr>
      </w:pPr>
    </w:p>
    <w:p w14:paraId="4E4FCDCF" w14:textId="77777777" w:rsidR="00A014EB" w:rsidRPr="00A014EB" w:rsidRDefault="00A014EB" w:rsidP="00A014EB">
      <w:pPr>
        <w:rPr>
          <w:rFonts w:ascii="Times New Roman" w:eastAsia="Calibri" w:hAnsi="Times New Roman"/>
          <w:kern w:val="2"/>
          <w:sz w:val="22"/>
          <w:szCs w:val="22"/>
          <w:highlight w:val="yellow"/>
        </w:rPr>
      </w:pPr>
      <w:r w:rsidRPr="00A014EB">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69755A3" w14:textId="77777777" w:rsidR="00A014EB" w:rsidRPr="00A014EB" w:rsidRDefault="00A014EB" w:rsidP="00A014EB">
      <w:pPr>
        <w:spacing w:after="200" w:line="276" w:lineRule="auto"/>
        <w:rPr>
          <w:rFonts w:ascii="Calibri" w:eastAsia="Calibri" w:hAnsi="Calibri"/>
          <w:sz w:val="28"/>
          <w:szCs w:val="22"/>
        </w:rPr>
      </w:pPr>
    </w:p>
    <w:bookmarkEnd w:id="2"/>
    <w:p w14:paraId="60A632BE" w14:textId="77777777" w:rsidR="00BB2634" w:rsidRDefault="00BB2634">
      <w:pPr>
        <w:pStyle w:val="ReferHead"/>
        <w:spacing w:after="0"/>
        <w:jc w:val="both"/>
        <w:rPr>
          <w:rFonts w:ascii="Arial" w:hAnsi="Arial" w:cs="Arial"/>
          <w:b w:val="0"/>
          <w:caps w:val="0"/>
          <w:sz w:val="20"/>
          <w:u w:val="single"/>
        </w:rPr>
      </w:pPr>
    </w:p>
    <w:p w14:paraId="61C241ED" w14:textId="77777777" w:rsidR="00EE3FD5" w:rsidRDefault="00EE3FD5">
      <w:pPr>
        <w:pStyle w:val="ReferHead"/>
        <w:spacing w:after="0"/>
        <w:jc w:val="both"/>
        <w:rPr>
          <w:rFonts w:ascii="Arial" w:hAnsi="Arial" w:cs="Arial"/>
        </w:rPr>
      </w:pPr>
    </w:p>
    <w:p w14:paraId="74680499" w14:textId="77777777" w:rsidR="00EE3FD5" w:rsidRDefault="00811C81">
      <w:pPr>
        <w:pStyle w:val="ReferHead"/>
        <w:spacing w:after="0"/>
        <w:jc w:val="both"/>
        <w:rPr>
          <w:rFonts w:ascii="Arial" w:hAnsi="Arial" w:cs="Arial"/>
        </w:rPr>
      </w:pPr>
      <w:r>
        <w:rPr>
          <w:rFonts w:ascii="Arial" w:hAnsi="Arial" w:cs="Arial"/>
        </w:rPr>
        <w:t>References</w:t>
      </w:r>
    </w:p>
    <w:p w14:paraId="55856A2D" w14:textId="77777777" w:rsidR="00EE3FD5" w:rsidRDefault="00EE3FD5">
      <w:pPr>
        <w:pStyle w:val="ReferHead"/>
        <w:spacing w:after="0"/>
        <w:jc w:val="both"/>
        <w:rPr>
          <w:rFonts w:ascii="Arial" w:hAnsi="Arial" w:cs="Arial"/>
        </w:rPr>
      </w:pPr>
    </w:p>
    <w:p w14:paraId="7A471F47" w14:textId="77777777" w:rsidR="00EE3FD5" w:rsidRDefault="00811C81">
      <w:pPr>
        <w:numPr>
          <w:ilvl w:val="0"/>
          <w:numId w:val="2"/>
        </w:numPr>
        <w:jc w:val="both"/>
        <w:rPr>
          <w:rFonts w:ascii="Arial" w:hAnsi="Arial" w:cs="Arial"/>
          <w:color w:val="000000" w:themeColor="text1"/>
        </w:rPr>
      </w:pPr>
      <w:proofErr w:type="spellStart"/>
      <w:r>
        <w:rPr>
          <w:rFonts w:ascii="Arial" w:hAnsi="Arial" w:cs="Arial"/>
          <w:color w:val="000000" w:themeColor="text1"/>
        </w:rPr>
        <w:t>Budson</w:t>
      </w:r>
      <w:proofErr w:type="spellEnd"/>
      <w:r>
        <w:rPr>
          <w:rFonts w:ascii="Arial" w:hAnsi="Arial" w:cs="Arial"/>
          <w:color w:val="000000" w:themeColor="text1"/>
        </w:rPr>
        <w:t>, A. &amp; Solomon, P. (2017). Memory loss: A practical guide for clinicians. Edinburgh: Elsevier Saunders.</w:t>
      </w:r>
    </w:p>
    <w:p w14:paraId="1587EC51" w14:textId="77777777" w:rsidR="00EE3FD5" w:rsidRDefault="00811C81">
      <w:pPr>
        <w:pStyle w:val="NormalWeb"/>
        <w:numPr>
          <w:ilvl w:val="0"/>
          <w:numId w:val="2"/>
        </w:numPr>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Livingston, G., Huntley, J., </w:t>
      </w:r>
      <w:proofErr w:type="spellStart"/>
      <w:r>
        <w:rPr>
          <w:rFonts w:ascii="Arial" w:hAnsi="Arial" w:cs="Arial"/>
          <w:color w:val="000000" w:themeColor="text1"/>
          <w:sz w:val="20"/>
          <w:szCs w:val="20"/>
        </w:rPr>
        <w:t>Sommerlad</w:t>
      </w:r>
      <w:proofErr w:type="spellEnd"/>
      <w:r>
        <w:rPr>
          <w:rFonts w:ascii="Arial" w:hAnsi="Arial" w:cs="Arial"/>
          <w:color w:val="000000" w:themeColor="text1"/>
          <w:sz w:val="20"/>
          <w:szCs w:val="20"/>
        </w:rPr>
        <w:t>, A., Ames, D., Ballard, C., Banerjee, S., et al. (2020). Dementia Prevention, Intervention, and Care: 2020 Report of the Lancet Commission. The Lancet, 396(10248), 413–446.</w:t>
      </w:r>
    </w:p>
    <w:p w14:paraId="1A81AD47" w14:textId="77777777" w:rsidR="00EE3FD5" w:rsidRDefault="00811C81">
      <w:pPr>
        <w:pStyle w:val="NormalWeb"/>
        <w:numPr>
          <w:ilvl w:val="0"/>
          <w:numId w:val="2"/>
        </w:numPr>
        <w:spacing w:beforeAutospacing="0" w:afterAutospacing="0"/>
        <w:jc w:val="both"/>
        <w:rPr>
          <w:rFonts w:ascii="Arial" w:hAnsi="Arial" w:cs="Arial"/>
          <w:color w:val="000000" w:themeColor="text1"/>
        </w:rPr>
      </w:pPr>
      <w:r>
        <w:rPr>
          <w:rFonts w:ascii="Arial" w:eastAsia="Segoe UI" w:hAnsi="Arial" w:cs="Arial"/>
          <w:color w:val="000000" w:themeColor="text1"/>
          <w:sz w:val="20"/>
          <w:szCs w:val="20"/>
          <w:shd w:val="clear" w:color="auto" w:fill="FFFFFF"/>
        </w:rPr>
        <w:lastRenderedPageBreak/>
        <w:t xml:space="preserve">WHO. (2022). </w:t>
      </w:r>
      <w:r>
        <w:rPr>
          <w:rFonts w:ascii="Arial" w:eastAsia="Segoe UI" w:hAnsi="Arial" w:cs="Arial"/>
          <w:i/>
          <w:iCs/>
          <w:color w:val="000000" w:themeColor="text1"/>
          <w:sz w:val="20"/>
          <w:szCs w:val="20"/>
          <w:shd w:val="clear" w:color="auto" w:fill="FFFFFF"/>
        </w:rPr>
        <w:t>A blueprint for dementia research. Geneva: World Health Organization</w:t>
      </w:r>
      <w:r>
        <w:rPr>
          <w:rFonts w:ascii="Arial" w:eastAsia="Segoe UI" w:hAnsi="Arial" w:cs="Arial"/>
          <w:color w:val="000000" w:themeColor="text1"/>
          <w:sz w:val="20"/>
          <w:szCs w:val="20"/>
          <w:shd w:val="clear" w:color="auto" w:fill="FFFFFF"/>
        </w:rPr>
        <w:t> </w:t>
      </w:r>
    </w:p>
    <w:p w14:paraId="7BE14C10"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 xml:space="preserve">Kales, H.C., Gaitlin, L. N. &amp; </w:t>
      </w:r>
      <w:proofErr w:type="spellStart"/>
      <w:r>
        <w:rPr>
          <w:rFonts w:ascii="Arial" w:hAnsi="Arial" w:cs="Arial"/>
          <w:color w:val="000000" w:themeColor="text1"/>
        </w:rPr>
        <w:t>Lyketsos</w:t>
      </w:r>
      <w:proofErr w:type="spellEnd"/>
      <w:r>
        <w:rPr>
          <w:rFonts w:ascii="Arial" w:hAnsi="Arial" w:cs="Arial"/>
          <w:color w:val="000000" w:themeColor="text1"/>
        </w:rPr>
        <w:t xml:space="preserve">, C. G. (2015). Assessment and management of </w:t>
      </w:r>
      <w:proofErr w:type="spellStart"/>
      <w:r>
        <w:rPr>
          <w:rFonts w:ascii="Arial" w:hAnsi="Arial" w:cs="Arial"/>
          <w:color w:val="000000" w:themeColor="text1"/>
        </w:rPr>
        <w:t>behavioural</w:t>
      </w:r>
      <w:proofErr w:type="spellEnd"/>
      <w:r>
        <w:rPr>
          <w:rFonts w:ascii="Arial" w:hAnsi="Arial" w:cs="Arial"/>
          <w:color w:val="000000" w:themeColor="text1"/>
        </w:rPr>
        <w:t xml:space="preserve"> and psychological symptoms of dementia. British Medicinal Journa</w:t>
      </w:r>
      <w:r>
        <w:rPr>
          <w:rFonts w:ascii="Arial" w:hAnsi="Arial" w:cs="Arial"/>
          <w:i/>
          <w:iCs/>
          <w:color w:val="000000" w:themeColor="text1"/>
        </w:rPr>
        <w:t>l</w:t>
      </w:r>
      <w:r>
        <w:rPr>
          <w:rFonts w:ascii="Arial" w:hAnsi="Arial" w:cs="Arial"/>
          <w:color w:val="000000" w:themeColor="text1"/>
        </w:rPr>
        <w:t>, 350</w:t>
      </w:r>
      <w:r>
        <w:rPr>
          <w:rFonts w:ascii="Arial" w:hAnsi="Arial" w:cs="Arial"/>
          <w:color w:val="000000" w:themeColor="text1"/>
          <w:lang w:val="en-GB"/>
        </w:rPr>
        <w:t>-</w:t>
      </w:r>
      <w:r>
        <w:rPr>
          <w:rFonts w:ascii="Arial" w:hAnsi="Arial" w:cs="Arial"/>
          <w:color w:val="000000" w:themeColor="text1"/>
        </w:rPr>
        <w:t>369.</w:t>
      </w:r>
    </w:p>
    <w:p w14:paraId="0D3008C3"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Radue, R., Walaszek, A &amp; Asthana, S. (2019). Chapter 24 - Neuropsychiatric symptoms in dementia. Handbook of Clinical Neurology, 167: 437-454.</w:t>
      </w:r>
    </w:p>
    <w:p w14:paraId="06CCD990"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Arvanitakis, Z., Shah, R. C &amp; Bennett, D. A. (2019). Diagnosis and management of dementia: Review. Journal of American Medicine Association, 322(16), 1589-1599.</w:t>
      </w:r>
    </w:p>
    <w:p w14:paraId="7BC3300B" w14:textId="77777777" w:rsidR="00EE3FD5" w:rsidRDefault="00811C81">
      <w:pPr>
        <w:numPr>
          <w:ilvl w:val="0"/>
          <w:numId w:val="2"/>
        </w:numPr>
        <w:jc w:val="both"/>
        <w:rPr>
          <w:rFonts w:ascii="Arial" w:hAnsi="Arial" w:cs="Arial"/>
          <w:color w:val="000000" w:themeColor="text1"/>
        </w:rPr>
      </w:pPr>
      <w:r>
        <w:rPr>
          <w:rFonts w:ascii="Arial" w:hAnsi="Arial" w:cs="Arial"/>
          <w:color w:val="000000" w:themeColor="text1"/>
        </w:rPr>
        <w:t>Nichols, E. (2022). Estimation of the global prevalence of dementia in 2019 and forecasted prevalence in 2050: An analysis for the global burden of disease study 2019. The Lancet on Public Health, 7(2), 105-125.</w:t>
      </w:r>
    </w:p>
    <w:p w14:paraId="0A1701D2" w14:textId="77777777" w:rsidR="00EE3FD5" w:rsidRDefault="00811C81">
      <w:pPr>
        <w:pStyle w:val="NormalWeb"/>
        <w:numPr>
          <w:ilvl w:val="0"/>
          <w:numId w:val="2"/>
        </w:numPr>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Weidner, W. S. (2023). World Alzheimer Report 2022 ‐ How strong are global health systems: Lessons learned and case studies from across the globe. Alzheimer’s &amp; Dementia, </w:t>
      </w:r>
      <w:r>
        <w:rPr>
          <w:rFonts w:ascii="Arial" w:hAnsi="Arial" w:cs="Arial"/>
          <w:i/>
          <w:iCs/>
          <w:color w:val="000000" w:themeColor="text1"/>
          <w:sz w:val="20"/>
          <w:szCs w:val="20"/>
        </w:rPr>
        <w:t>19</w:t>
      </w:r>
      <w:r>
        <w:rPr>
          <w:rFonts w:ascii="Arial" w:hAnsi="Arial" w:cs="Arial"/>
          <w:color w:val="000000" w:themeColor="text1"/>
          <w:sz w:val="20"/>
          <w:szCs w:val="20"/>
        </w:rPr>
        <w:t xml:space="preserve">(S23). </w:t>
      </w:r>
      <w:hyperlink r:id="rId16" w:history="1">
        <w:r w:rsidR="00EE3FD5">
          <w:rPr>
            <w:rStyle w:val="Hyperlink"/>
            <w:rFonts w:ascii="Arial" w:hAnsi="Arial" w:cs="Arial"/>
            <w:color w:val="000000" w:themeColor="text1"/>
            <w:sz w:val="20"/>
            <w:szCs w:val="20"/>
          </w:rPr>
          <w:t>https://doi.org/10.1002/alz.073714</w:t>
        </w:r>
      </w:hyperlink>
    </w:p>
    <w:p w14:paraId="2FAD9774" w14:textId="77777777" w:rsidR="00EE3FD5" w:rsidRDefault="00811C81">
      <w:pPr>
        <w:numPr>
          <w:ilvl w:val="0"/>
          <w:numId w:val="2"/>
        </w:numPr>
        <w:jc w:val="both"/>
        <w:rPr>
          <w:rFonts w:ascii="Arial" w:hAnsi="Arial" w:cs="Arial"/>
          <w:color w:val="000000" w:themeColor="text1"/>
        </w:rPr>
      </w:pPr>
      <w:r>
        <w:rPr>
          <w:rFonts w:ascii="Arial" w:eastAsia="Consolas" w:hAnsi="Arial" w:cs="Arial"/>
          <w:color w:val="1B1B1B"/>
          <w:shd w:val="clear" w:color="auto" w:fill="FFFFFF"/>
        </w:rPr>
        <w:t xml:space="preserve">Prince, M., Ali, G. C., </w:t>
      </w:r>
      <w:proofErr w:type="spellStart"/>
      <w:r>
        <w:rPr>
          <w:rFonts w:ascii="Arial" w:eastAsia="Consolas" w:hAnsi="Arial" w:cs="Arial"/>
          <w:color w:val="1B1B1B"/>
          <w:shd w:val="clear" w:color="auto" w:fill="FFFFFF"/>
        </w:rPr>
        <w:t>Guerchet</w:t>
      </w:r>
      <w:proofErr w:type="spellEnd"/>
      <w:r>
        <w:rPr>
          <w:rFonts w:ascii="Arial" w:eastAsia="Consolas" w:hAnsi="Arial" w:cs="Arial"/>
          <w:color w:val="1B1B1B"/>
          <w:shd w:val="clear" w:color="auto" w:fill="FFFFFF"/>
        </w:rPr>
        <w:t xml:space="preserve">, M., Prina A. M., Albanese E., &amp; Wu Y. T. (2016). Recent global trends in the prevalence and incidence of dementia, and survival with dementia. </w:t>
      </w:r>
      <w:proofErr w:type="spellStart"/>
      <w:r>
        <w:rPr>
          <w:rFonts w:ascii="Arial" w:eastAsia="Consolas" w:hAnsi="Arial" w:cs="Arial"/>
          <w:color w:val="1B1B1B"/>
          <w:shd w:val="clear" w:color="auto" w:fill="FFFFFF"/>
        </w:rPr>
        <w:t>Alzheimers</w:t>
      </w:r>
      <w:proofErr w:type="spellEnd"/>
      <w:r>
        <w:rPr>
          <w:rFonts w:ascii="Arial" w:eastAsia="Consolas" w:hAnsi="Arial" w:cs="Arial"/>
          <w:color w:val="1B1B1B"/>
          <w:shd w:val="clear" w:color="auto" w:fill="FFFFFF"/>
        </w:rPr>
        <w:t xml:space="preserve"> Research Therapy, 30;8(1):23. </w:t>
      </w:r>
      <w:proofErr w:type="spellStart"/>
      <w:r>
        <w:rPr>
          <w:rFonts w:ascii="Arial" w:eastAsia="Consolas" w:hAnsi="Arial" w:cs="Arial"/>
          <w:color w:val="1B1B1B"/>
          <w:shd w:val="clear" w:color="auto" w:fill="FFFFFF"/>
        </w:rPr>
        <w:t>doi</w:t>
      </w:r>
      <w:proofErr w:type="spellEnd"/>
      <w:r>
        <w:rPr>
          <w:rFonts w:ascii="Arial" w:eastAsia="Consolas" w:hAnsi="Arial" w:cs="Arial"/>
          <w:color w:val="1B1B1B"/>
          <w:shd w:val="clear" w:color="auto" w:fill="FFFFFF"/>
        </w:rPr>
        <w:t>: 10.1186/s13195-016-0188-8. PMID: 27473681; PMCID: PMC4967299.</w:t>
      </w:r>
    </w:p>
    <w:p w14:paraId="3197FF87" w14:textId="77777777" w:rsidR="00EE3FD5" w:rsidRDefault="00811C81">
      <w:pPr>
        <w:numPr>
          <w:ilvl w:val="0"/>
          <w:numId w:val="2"/>
        </w:numPr>
        <w:jc w:val="both"/>
        <w:rPr>
          <w:rFonts w:ascii="Arial" w:hAnsi="Arial" w:cs="Arial"/>
          <w:color w:val="000000" w:themeColor="text1"/>
        </w:rPr>
      </w:pPr>
      <w:proofErr w:type="spellStart"/>
      <w:r>
        <w:rPr>
          <w:rFonts w:ascii="Arial" w:hAnsi="Arial" w:cs="Arial"/>
          <w:color w:val="000000" w:themeColor="text1"/>
        </w:rPr>
        <w:t>Mavrodaris</w:t>
      </w:r>
      <w:proofErr w:type="spellEnd"/>
      <w:r>
        <w:rPr>
          <w:rFonts w:ascii="Arial" w:hAnsi="Arial" w:cs="Arial"/>
          <w:color w:val="000000" w:themeColor="text1"/>
        </w:rPr>
        <w:t>, A., Powell, J. &amp; Thorogood, M. (2013). Prevalences of dementia and cognitive impairment among older people in sub-Saharan Africa: A systematic review. Bulletin World Health Organization, 91 (10): 773-783.</w:t>
      </w:r>
    </w:p>
    <w:p w14:paraId="2F32B556" w14:textId="77777777" w:rsidR="00EE3FD5" w:rsidRDefault="00811C81">
      <w:pPr>
        <w:numPr>
          <w:ilvl w:val="0"/>
          <w:numId w:val="2"/>
        </w:numPr>
        <w:jc w:val="both"/>
        <w:rPr>
          <w:rFonts w:ascii="Arial" w:hAnsi="Arial" w:cs="Arial"/>
          <w:color w:val="000000" w:themeColor="text1"/>
        </w:rPr>
      </w:pPr>
      <w:r>
        <w:rPr>
          <w:rFonts w:ascii="Arial" w:hAnsi="Arial" w:cs="Arial"/>
        </w:rPr>
        <w:t xml:space="preserve">George-Carey, R. </w:t>
      </w:r>
      <w:proofErr w:type="spellStart"/>
      <w:r>
        <w:rPr>
          <w:rFonts w:ascii="Arial" w:hAnsi="Arial" w:cs="Arial"/>
        </w:rPr>
        <w:t>Adeloye</w:t>
      </w:r>
      <w:proofErr w:type="spellEnd"/>
      <w:r>
        <w:rPr>
          <w:rFonts w:ascii="Arial" w:hAnsi="Arial" w:cs="Arial"/>
        </w:rPr>
        <w:t xml:space="preserve">, D. &amp; Chan, K. Y. (2015). An estimate of the prevalence of </w:t>
      </w:r>
      <w:r>
        <w:rPr>
          <w:rFonts w:ascii="Arial" w:hAnsi="Arial" w:cs="Arial"/>
        </w:rPr>
        <w:tab/>
        <w:t xml:space="preserve">dementia in Africa: A systematic analysis. </w:t>
      </w:r>
      <w:r>
        <w:rPr>
          <w:rFonts w:ascii="Arial" w:hAnsi="Arial" w:cs="Arial"/>
          <w:i/>
          <w:iCs/>
        </w:rPr>
        <w:t>Journal Global Health</w:t>
      </w:r>
      <w:r>
        <w:rPr>
          <w:rFonts w:ascii="Arial" w:hAnsi="Arial" w:cs="Arial"/>
        </w:rPr>
        <w:t>, 2(2).</w:t>
      </w:r>
    </w:p>
    <w:p w14:paraId="47636F2C" w14:textId="77777777" w:rsidR="00EE3FD5" w:rsidRDefault="00811C81">
      <w:pPr>
        <w:jc w:val="both"/>
        <w:rPr>
          <w:rFonts w:ascii="Arial" w:hAnsi="Arial" w:cs="Arial"/>
          <w:color w:val="000000" w:themeColor="text1"/>
        </w:rPr>
      </w:pPr>
      <w:r>
        <w:rPr>
          <w:rFonts w:ascii="Arial" w:hAnsi="Arial" w:cs="Arial"/>
          <w:color w:val="000000" w:themeColor="text1"/>
        </w:rPr>
        <w:t xml:space="preserve">12. Olayinka, O.O. &amp; Mbuyi, N. N. (2014). Epidemiology of dementia among the elderly in Sub-Saharan Africa. International Journal </w:t>
      </w:r>
      <w:proofErr w:type="spellStart"/>
      <w:r>
        <w:rPr>
          <w:rFonts w:ascii="Arial" w:hAnsi="Arial" w:cs="Arial"/>
          <w:color w:val="000000" w:themeColor="text1"/>
        </w:rPr>
        <w:t>Alzheimers</w:t>
      </w:r>
      <w:proofErr w:type="spellEnd"/>
      <w:r>
        <w:rPr>
          <w:rFonts w:ascii="Arial" w:hAnsi="Arial" w:cs="Arial"/>
          <w:color w:val="000000" w:themeColor="text1"/>
        </w:rPr>
        <w:t xml:space="preserve"> Diseases, 1-15.</w:t>
      </w:r>
    </w:p>
    <w:p w14:paraId="4CACB709"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13. Sanni, A. A. &amp; Adebayo, F. O. (2013). Nigerian mental health act 2013 assessment: A policy towards modern international standards. American Academic &amp; Scholarly Research </w:t>
      </w:r>
      <w:r>
        <w:rPr>
          <w:rFonts w:ascii="Arial" w:hAnsi="Arial" w:cs="Arial"/>
          <w:color w:val="000000" w:themeColor="text1"/>
          <w:sz w:val="20"/>
          <w:szCs w:val="20"/>
          <w:lang w:val="en-GB"/>
        </w:rPr>
        <w:t>J</w:t>
      </w:r>
      <w:proofErr w:type="spellStart"/>
      <w:r>
        <w:rPr>
          <w:rFonts w:ascii="Arial" w:hAnsi="Arial" w:cs="Arial"/>
          <w:color w:val="000000" w:themeColor="text1"/>
          <w:sz w:val="20"/>
          <w:szCs w:val="20"/>
        </w:rPr>
        <w:t>ou</w:t>
      </w:r>
      <w:proofErr w:type="spellEnd"/>
      <w:r>
        <w:rPr>
          <w:rFonts w:ascii="Arial" w:hAnsi="Arial" w:cs="Arial"/>
          <w:color w:val="000000" w:themeColor="text1"/>
          <w:sz w:val="20"/>
          <w:szCs w:val="20"/>
          <w:lang w:val="en-GB"/>
        </w:rPr>
        <w:t>r</w:t>
      </w:r>
      <w:proofErr w:type="spellStart"/>
      <w:r>
        <w:rPr>
          <w:rFonts w:ascii="Arial" w:hAnsi="Arial" w:cs="Arial"/>
          <w:color w:val="000000" w:themeColor="text1"/>
          <w:sz w:val="20"/>
          <w:szCs w:val="20"/>
        </w:rPr>
        <w:t>nal</w:t>
      </w:r>
      <w:proofErr w:type="spellEnd"/>
      <w:r>
        <w:rPr>
          <w:rFonts w:ascii="Arial" w:hAnsi="Arial" w:cs="Arial"/>
          <w:color w:val="000000" w:themeColor="text1"/>
          <w:sz w:val="20"/>
          <w:szCs w:val="20"/>
        </w:rPr>
        <w:t>, 6, 1.</w:t>
      </w:r>
    </w:p>
    <w:p w14:paraId="18F6BC1F" w14:textId="77777777" w:rsidR="00EE3FD5" w:rsidRDefault="00811C81">
      <w:pPr>
        <w:pStyle w:val="NormalWeb"/>
        <w:spacing w:beforeAutospacing="0" w:afterAutospacing="0"/>
        <w:rPr>
          <w:rFonts w:ascii="Arial" w:hAnsi="Arial" w:cs="Arial"/>
          <w:b/>
          <w:bCs/>
          <w:color w:val="000000" w:themeColor="text1"/>
          <w:sz w:val="20"/>
          <w:szCs w:val="20"/>
        </w:rPr>
      </w:pPr>
      <w:r>
        <w:rPr>
          <w:rFonts w:ascii="Arial" w:hAnsi="Arial" w:cs="Arial"/>
          <w:color w:val="000000" w:themeColor="text1"/>
          <w:sz w:val="20"/>
          <w:szCs w:val="20"/>
        </w:rPr>
        <w:t xml:space="preserve">14 </w:t>
      </w:r>
      <w:proofErr w:type="spellStart"/>
      <w:r>
        <w:rPr>
          <w:rFonts w:ascii="Arial" w:hAnsi="Arial" w:cs="Arial"/>
          <w:sz w:val="20"/>
          <w:szCs w:val="20"/>
        </w:rPr>
        <w:t>Adeloye</w:t>
      </w:r>
      <w:proofErr w:type="spellEnd"/>
      <w:r>
        <w:rPr>
          <w:rFonts w:ascii="Arial" w:hAnsi="Arial" w:cs="Arial"/>
          <w:sz w:val="20"/>
          <w:szCs w:val="20"/>
        </w:rPr>
        <w:t xml:space="preserve">, D., Auta, A., </w:t>
      </w:r>
      <w:proofErr w:type="spellStart"/>
      <w:r>
        <w:rPr>
          <w:rFonts w:ascii="Arial" w:hAnsi="Arial" w:cs="Arial"/>
          <w:sz w:val="20"/>
          <w:szCs w:val="20"/>
        </w:rPr>
        <w:t>Ezejimofor</w:t>
      </w:r>
      <w:proofErr w:type="spellEnd"/>
      <w:r>
        <w:rPr>
          <w:rFonts w:ascii="Arial" w:hAnsi="Arial" w:cs="Arial"/>
          <w:sz w:val="20"/>
          <w:szCs w:val="20"/>
        </w:rPr>
        <w:t xml:space="preserve">, M., </w:t>
      </w:r>
      <w:proofErr w:type="spellStart"/>
      <w:r>
        <w:rPr>
          <w:rFonts w:ascii="Arial" w:hAnsi="Arial" w:cs="Arial"/>
          <w:sz w:val="20"/>
          <w:szCs w:val="20"/>
        </w:rPr>
        <w:t>Oyedokun</w:t>
      </w:r>
      <w:proofErr w:type="spellEnd"/>
      <w:r>
        <w:rPr>
          <w:rFonts w:ascii="Arial" w:hAnsi="Arial" w:cs="Arial"/>
          <w:sz w:val="20"/>
          <w:szCs w:val="20"/>
        </w:rPr>
        <w:t xml:space="preserve">, A., Harhay, M. O., Rudan, I., &amp; Chan, K. Y. (2019). Prevalence of dementia in Nigeria: a systematic review of the evidence. </w:t>
      </w:r>
      <w:r>
        <w:rPr>
          <w:rFonts w:ascii="Arial" w:hAnsi="Arial" w:cs="Arial"/>
          <w:i/>
          <w:iCs/>
          <w:sz w:val="20"/>
          <w:szCs w:val="20"/>
        </w:rPr>
        <w:t>Journal of Global Health Reports</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 https://doi.org/10.29392/joghr.3.e2019014.</w:t>
      </w:r>
    </w:p>
    <w:p w14:paraId="4C9BC1A9" w14:textId="77777777" w:rsidR="00EE3FD5" w:rsidRDefault="00811C81">
      <w:pPr>
        <w:numPr>
          <w:ilvl w:val="0"/>
          <w:numId w:val="3"/>
        </w:numPr>
        <w:jc w:val="both"/>
        <w:rPr>
          <w:rFonts w:ascii="Arial" w:hAnsi="Arial" w:cs="Arial"/>
          <w:color w:val="000000" w:themeColor="text1"/>
        </w:rPr>
      </w:pPr>
      <w:r>
        <w:rPr>
          <w:rFonts w:ascii="Arial" w:hAnsi="Arial" w:cs="Arial"/>
          <w:color w:val="000000" w:themeColor="text1"/>
        </w:rPr>
        <w:t xml:space="preserve">Ogunniyi, A. </w:t>
      </w:r>
      <w:proofErr w:type="spellStart"/>
      <w:r>
        <w:rPr>
          <w:rFonts w:ascii="Arial" w:hAnsi="Arial" w:cs="Arial"/>
          <w:color w:val="000000" w:themeColor="text1"/>
        </w:rPr>
        <w:t>Baiyewu</w:t>
      </w:r>
      <w:proofErr w:type="spellEnd"/>
      <w:r>
        <w:rPr>
          <w:rFonts w:ascii="Arial" w:hAnsi="Arial" w:cs="Arial"/>
          <w:color w:val="000000" w:themeColor="text1"/>
        </w:rPr>
        <w:t xml:space="preserve">, O. &amp; </w:t>
      </w:r>
      <w:proofErr w:type="spellStart"/>
      <w:r>
        <w:rPr>
          <w:rFonts w:ascii="Arial" w:hAnsi="Arial" w:cs="Arial"/>
          <w:color w:val="000000" w:themeColor="text1"/>
        </w:rPr>
        <w:t>Gureje</w:t>
      </w:r>
      <w:proofErr w:type="spellEnd"/>
      <w:r>
        <w:rPr>
          <w:rFonts w:ascii="Arial" w:hAnsi="Arial" w:cs="Arial"/>
          <w:color w:val="000000" w:themeColor="text1"/>
        </w:rPr>
        <w:t>, O. (2013). Epidemiology of dementia in Nigeria: Results from the Indianapolis-Ibadan study. Europe Journal Neurology, 7(5), 485-490.</w:t>
      </w:r>
    </w:p>
    <w:p w14:paraId="0E61466A" w14:textId="77777777" w:rsidR="00EE3FD5" w:rsidRDefault="00811C81">
      <w:pPr>
        <w:jc w:val="both"/>
        <w:rPr>
          <w:rFonts w:ascii="Arial" w:hAnsi="Arial" w:cs="Arial"/>
          <w:color w:val="000000" w:themeColor="text1"/>
        </w:rPr>
      </w:pPr>
      <w:r w:rsidRPr="00FC0365">
        <w:rPr>
          <w:rFonts w:ascii="Arial" w:hAnsi="Arial" w:cs="Arial"/>
          <w:color w:val="000000" w:themeColor="text1"/>
          <w:lang w:val="es-US"/>
        </w:rPr>
        <w:t xml:space="preserve">16. Albanese, E., Liu, Z. &amp; Acosta, D. (2017). </w:t>
      </w:r>
      <w:r>
        <w:rPr>
          <w:rFonts w:ascii="Arial" w:hAnsi="Arial" w:cs="Arial"/>
          <w:color w:val="000000" w:themeColor="text1"/>
        </w:rPr>
        <w:t xml:space="preserve">Equity in the </w:t>
      </w:r>
      <w:proofErr w:type="spellStart"/>
      <w:r>
        <w:rPr>
          <w:rFonts w:ascii="Arial" w:hAnsi="Arial" w:cs="Arial"/>
          <w:color w:val="000000" w:themeColor="text1"/>
        </w:rPr>
        <w:t>dleivery</w:t>
      </w:r>
      <w:proofErr w:type="spellEnd"/>
      <w:r>
        <w:rPr>
          <w:rFonts w:ascii="Arial" w:hAnsi="Arial" w:cs="Arial"/>
          <w:color w:val="000000" w:themeColor="text1"/>
        </w:rPr>
        <w:t xml:space="preserve"> of community healthcare to older people: Findings from 10/66 dementia research group cross-sectional surveys in Latin America, China, India and Nigeria. British Medicinal Council of Health Services Research, 11(1), 153.</w:t>
      </w:r>
    </w:p>
    <w:p w14:paraId="44D71810" w14:textId="77777777" w:rsidR="00EE3FD5" w:rsidRDefault="00811C81">
      <w:pPr>
        <w:pStyle w:val="NormalWeb"/>
        <w:spacing w:beforeAutospacing="0" w:afterAutospacing="0"/>
        <w:jc w:val="both"/>
        <w:rPr>
          <w:rFonts w:ascii="Arial" w:hAnsi="Arial" w:cs="Arial"/>
          <w:color w:val="000000" w:themeColor="text1"/>
          <w:sz w:val="20"/>
          <w:szCs w:val="20"/>
        </w:rPr>
      </w:pPr>
      <w:r w:rsidRPr="00647774">
        <w:rPr>
          <w:rFonts w:ascii="Arial" w:hAnsi="Arial" w:cs="Arial"/>
          <w:color w:val="000000" w:themeColor="text1"/>
          <w:sz w:val="20"/>
          <w:szCs w:val="20"/>
        </w:rPr>
        <w:t xml:space="preserve">17. Prince, M., Ferri, C. P. &amp; Acosta, D. (2013). </w:t>
      </w:r>
      <w:r>
        <w:rPr>
          <w:rFonts w:ascii="Arial" w:hAnsi="Arial" w:cs="Arial"/>
          <w:color w:val="000000" w:themeColor="text1"/>
          <w:sz w:val="20"/>
          <w:szCs w:val="20"/>
        </w:rPr>
        <w:t xml:space="preserve">The protocols for the 10/66 dementia research group </w:t>
      </w:r>
      <w:proofErr w:type="gramStart"/>
      <w:r>
        <w:rPr>
          <w:rFonts w:ascii="Arial" w:hAnsi="Arial" w:cs="Arial"/>
          <w:color w:val="000000" w:themeColor="text1"/>
          <w:sz w:val="20"/>
          <w:szCs w:val="20"/>
        </w:rPr>
        <w:t>population based</w:t>
      </w:r>
      <w:proofErr w:type="gramEnd"/>
      <w:r>
        <w:rPr>
          <w:rFonts w:ascii="Arial" w:hAnsi="Arial" w:cs="Arial"/>
          <w:color w:val="000000" w:themeColor="text1"/>
          <w:sz w:val="20"/>
          <w:szCs w:val="20"/>
        </w:rPr>
        <w:t xml:space="preserve"> research </w:t>
      </w:r>
      <w:proofErr w:type="spellStart"/>
      <w:r>
        <w:rPr>
          <w:rFonts w:ascii="Arial" w:hAnsi="Arial" w:cs="Arial"/>
          <w:color w:val="000000" w:themeColor="text1"/>
          <w:sz w:val="20"/>
          <w:szCs w:val="20"/>
        </w:rPr>
        <w:t>programme</w:t>
      </w:r>
      <w:proofErr w:type="spellEnd"/>
      <w:r>
        <w:rPr>
          <w:rFonts w:ascii="Arial" w:hAnsi="Arial" w:cs="Arial"/>
          <w:color w:val="000000" w:themeColor="text1"/>
          <w:sz w:val="20"/>
          <w:szCs w:val="20"/>
        </w:rPr>
        <w:t>. British Medicinal C</w:t>
      </w:r>
      <w:r>
        <w:rPr>
          <w:rFonts w:ascii="Arial" w:hAnsi="Arial" w:cs="Arial"/>
          <w:color w:val="000000" w:themeColor="text1"/>
          <w:sz w:val="20"/>
          <w:szCs w:val="20"/>
          <w:lang w:val="en-GB"/>
        </w:rPr>
        <w:t>o</w:t>
      </w:r>
      <w:proofErr w:type="spellStart"/>
      <w:r>
        <w:rPr>
          <w:rFonts w:ascii="Arial" w:hAnsi="Arial" w:cs="Arial"/>
          <w:color w:val="000000" w:themeColor="text1"/>
          <w:sz w:val="20"/>
          <w:szCs w:val="20"/>
        </w:rPr>
        <w:t>uncil</w:t>
      </w:r>
      <w:proofErr w:type="spellEnd"/>
      <w:r>
        <w:rPr>
          <w:rFonts w:ascii="Arial" w:hAnsi="Arial" w:cs="Arial"/>
          <w:color w:val="000000" w:themeColor="text1"/>
          <w:sz w:val="20"/>
          <w:szCs w:val="20"/>
        </w:rPr>
        <w:t xml:space="preserve"> of Public Health, 7(1), 165.</w:t>
      </w:r>
    </w:p>
    <w:p w14:paraId="0AC30990" w14:textId="77777777" w:rsidR="00EE3FD5" w:rsidRDefault="00811C81">
      <w:pPr>
        <w:jc w:val="both"/>
        <w:rPr>
          <w:rFonts w:ascii="Arial" w:hAnsi="Arial" w:cs="Arial"/>
          <w:color w:val="000000" w:themeColor="text1"/>
        </w:rPr>
      </w:pPr>
      <w:r>
        <w:rPr>
          <w:rFonts w:ascii="Arial" w:hAnsi="Arial" w:cs="Arial"/>
          <w:color w:val="000000" w:themeColor="text1"/>
        </w:rPr>
        <w:t xml:space="preserve">18. </w:t>
      </w:r>
      <w:proofErr w:type="spellStart"/>
      <w:r>
        <w:rPr>
          <w:rFonts w:ascii="Arial" w:hAnsi="Arial" w:cs="Arial"/>
          <w:color w:val="000000" w:themeColor="text1"/>
        </w:rPr>
        <w:t>Fadele</w:t>
      </w:r>
      <w:proofErr w:type="spellEnd"/>
      <w:r>
        <w:rPr>
          <w:rFonts w:ascii="Arial" w:hAnsi="Arial" w:cs="Arial"/>
          <w:color w:val="000000" w:themeColor="text1"/>
        </w:rPr>
        <w:t xml:space="preserve">, K. P., Igwe, S. C., Olawepo, T. N., </w:t>
      </w:r>
      <w:proofErr w:type="spellStart"/>
      <w:r>
        <w:rPr>
          <w:rFonts w:ascii="Arial" w:hAnsi="Arial" w:cs="Arial"/>
          <w:color w:val="000000" w:themeColor="text1"/>
        </w:rPr>
        <w:t>Udokang</w:t>
      </w:r>
      <w:proofErr w:type="spellEnd"/>
      <w:r>
        <w:rPr>
          <w:rFonts w:ascii="Arial" w:hAnsi="Arial" w:cs="Arial"/>
          <w:color w:val="000000" w:themeColor="text1"/>
        </w:rPr>
        <w:t>, E. I., Ogaya, J. B., &amp; Lucero-</w:t>
      </w:r>
      <w:proofErr w:type="spellStart"/>
      <w:r>
        <w:rPr>
          <w:rFonts w:ascii="Arial" w:hAnsi="Arial" w:cs="Arial"/>
          <w:color w:val="000000" w:themeColor="text1"/>
        </w:rPr>
        <w:t>Prisno</w:t>
      </w:r>
      <w:proofErr w:type="spellEnd"/>
      <w:r>
        <w:rPr>
          <w:rFonts w:ascii="Arial" w:hAnsi="Arial" w:cs="Arial"/>
          <w:color w:val="000000" w:themeColor="text1"/>
        </w:rPr>
        <w:t xml:space="preserve">, D. E. (2024). Mental Health Challenges in Nigeria: Bridging the Gap Between Demand and Resources. </w:t>
      </w:r>
      <w:r>
        <w:rPr>
          <w:rFonts w:ascii="Arial" w:hAnsi="Arial" w:cs="Arial"/>
          <w:iCs/>
          <w:color w:val="000000" w:themeColor="text1"/>
        </w:rPr>
        <w:t>Global Mental Health</w:t>
      </w:r>
      <w:r>
        <w:rPr>
          <w:rFonts w:ascii="Arial" w:hAnsi="Arial" w:cs="Arial"/>
          <w:color w:val="000000" w:themeColor="text1"/>
        </w:rPr>
        <w:t xml:space="preserve">, </w:t>
      </w:r>
      <w:r>
        <w:rPr>
          <w:rFonts w:ascii="Arial" w:hAnsi="Arial" w:cs="Arial"/>
          <w:i/>
          <w:color w:val="000000" w:themeColor="text1"/>
        </w:rPr>
        <w:t>11</w:t>
      </w:r>
      <w:r>
        <w:rPr>
          <w:rFonts w:ascii="Arial" w:hAnsi="Arial" w:cs="Arial"/>
          <w:color w:val="000000" w:themeColor="text1"/>
        </w:rPr>
        <w:t xml:space="preserve">(29), 1–13. </w:t>
      </w:r>
      <w:hyperlink r:id="rId17" w:history="1">
        <w:r w:rsidR="00EE3FD5">
          <w:rPr>
            <w:rFonts w:ascii="Arial" w:hAnsi="Arial" w:cs="Arial"/>
            <w:color w:val="000000" w:themeColor="text1"/>
          </w:rPr>
          <w:t>https://doi.org/10.1017/gmh.2024.19</w:t>
        </w:r>
      </w:hyperlink>
    </w:p>
    <w:p w14:paraId="7752946E"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19. </w:t>
      </w:r>
      <w:r>
        <w:rPr>
          <w:rFonts w:ascii="Arial" w:eastAsia="Consolas" w:hAnsi="Arial" w:cs="Arial"/>
          <w:color w:val="000000" w:themeColor="text1"/>
          <w:sz w:val="20"/>
          <w:szCs w:val="20"/>
          <w:shd w:val="clear" w:color="auto" w:fill="FFFFFF"/>
        </w:rPr>
        <w:t xml:space="preserve">Cantone M. (2023). Molecular Mechanisms of Dementia. International Journal of Molecular Sciences, 24(17):13027. </w:t>
      </w:r>
      <w:proofErr w:type="spellStart"/>
      <w:r>
        <w:rPr>
          <w:rFonts w:ascii="Arial" w:eastAsia="Consolas" w:hAnsi="Arial" w:cs="Arial"/>
          <w:color w:val="000000" w:themeColor="text1"/>
          <w:sz w:val="20"/>
          <w:szCs w:val="20"/>
          <w:shd w:val="clear" w:color="auto" w:fill="FFFFFF"/>
        </w:rPr>
        <w:t>doi</w:t>
      </w:r>
      <w:proofErr w:type="spellEnd"/>
      <w:r>
        <w:rPr>
          <w:rFonts w:ascii="Arial" w:eastAsia="Consolas" w:hAnsi="Arial" w:cs="Arial"/>
          <w:color w:val="000000" w:themeColor="text1"/>
          <w:sz w:val="20"/>
          <w:szCs w:val="20"/>
          <w:shd w:val="clear" w:color="auto" w:fill="FFFFFF"/>
        </w:rPr>
        <w:t>: 10.3390/ijms241713027.</w:t>
      </w:r>
    </w:p>
    <w:p w14:paraId="361525DD" w14:textId="77777777" w:rsidR="00EE3FD5" w:rsidRDefault="00811C81">
      <w:pPr>
        <w:jc w:val="both"/>
        <w:rPr>
          <w:rFonts w:ascii="Arial" w:hAnsi="Arial" w:cs="Arial"/>
          <w:b/>
          <w:bCs/>
          <w:color w:val="000000" w:themeColor="text1"/>
        </w:rPr>
      </w:pPr>
      <w:r>
        <w:rPr>
          <w:rFonts w:ascii="Arial" w:hAnsi="Arial" w:cs="Arial"/>
          <w:color w:val="000000" w:themeColor="text1"/>
        </w:rPr>
        <w:t xml:space="preserve">20. </w:t>
      </w:r>
      <w:r>
        <w:rPr>
          <w:rFonts w:ascii="Arial" w:eastAsia="Segoe UI" w:hAnsi="Arial" w:cs="Arial"/>
          <w:color w:val="000000" w:themeColor="text1"/>
          <w:shd w:val="clear" w:color="auto" w:fill="FFFFFF"/>
        </w:rPr>
        <w:t>Zhang, J., Zhang, Y., Wang, J., Xia, J., Zhang, J., &amp;</w:t>
      </w:r>
      <w:r>
        <w:rPr>
          <w:rFonts w:ascii="Arial" w:eastAsia="Segoe UI" w:hAnsi="Arial" w:cs="Arial"/>
          <w:i/>
          <w:iCs/>
          <w:color w:val="000000" w:themeColor="text1"/>
          <w:shd w:val="clear" w:color="auto" w:fill="FFFFFF"/>
        </w:rPr>
        <w:t xml:space="preserve"> </w:t>
      </w:r>
      <w:r>
        <w:rPr>
          <w:rFonts w:ascii="Arial" w:eastAsia="Segoe UI" w:hAnsi="Arial" w:cs="Arial"/>
          <w:color w:val="000000" w:themeColor="text1"/>
          <w:shd w:val="clear" w:color="auto" w:fill="FFFFFF"/>
        </w:rPr>
        <w:t>Chen, L. (2024). Recent advances in Alzheimer’s disease: mechanisms, clinical trials and new drug development strategies. Signal Transduction Target Therapy, 9, 211. https://doi.org/10.1038/s41392-024-01911-3.</w:t>
      </w:r>
    </w:p>
    <w:p w14:paraId="645A6A52" w14:textId="77777777" w:rsidR="00EE3FD5" w:rsidRDefault="00811C81">
      <w:pPr>
        <w:jc w:val="both"/>
        <w:rPr>
          <w:rFonts w:ascii="Arial" w:hAnsi="Arial" w:cs="Arial"/>
          <w:color w:val="000000" w:themeColor="text1"/>
        </w:rPr>
      </w:pPr>
      <w:r>
        <w:rPr>
          <w:rFonts w:ascii="Arial" w:hAnsi="Arial" w:cs="Arial"/>
          <w:color w:val="000000" w:themeColor="text1"/>
        </w:rPr>
        <w:t>21. Wang, H. (2016). Global, regional and national life expectancy, all-cause mortality and cause-specific mortality for 249 causes of death, 1980-2015: A systematic analysis for the Global Burden of Disease Study 2015. Lancet, 388 (10053), 1459-1544.</w:t>
      </w:r>
    </w:p>
    <w:p w14:paraId="7BADC039" w14:textId="77777777" w:rsidR="00EE3FD5" w:rsidRDefault="00811C81">
      <w:pPr>
        <w:pStyle w:val="NormalWeb"/>
        <w:spacing w:beforeAutospacing="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22. Rotstein, A., Kodesh, A., </w:t>
      </w:r>
      <w:proofErr w:type="spellStart"/>
      <w:r>
        <w:rPr>
          <w:rFonts w:ascii="Arial" w:hAnsi="Arial" w:cs="Arial"/>
          <w:color w:val="000000" w:themeColor="text1"/>
          <w:sz w:val="20"/>
          <w:szCs w:val="20"/>
        </w:rPr>
        <w:t>Schnaider</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Beeri</w:t>
      </w:r>
      <w:proofErr w:type="spellEnd"/>
      <w:r>
        <w:rPr>
          <w:rFonts w:ascii="Arial" w:hAnsi="Arial" w:cs="Arial"/>
          <w:color w:val="000000" w:themeColor="text1"/>
          <w:sz w:val="20"/>
          <w:szCs w:val="20"/>
        </w:rPr>
        <w:t xml:space="preserve">, M., &amp; Levine, S. Z. (2025). Sex differences in dementia risk: considering underlying medical conditions. Alzheimer’s Research &amp; Therapy, </w:t>
      </w:r>
      <w:r>
        <w:rPr>
          <w:rFonts w:ascii="Arial" w:hAnsi="Arial" w:cs="Arial"/>
          <w:i/>
          <w:iCs/>
          <w:color w:val="000000" w:themeColor="text1"/>
          <w:sz w:val="20"/>
          <w:szCs w:val="20"/>
        </w:rPr>
        <w:t>17</w:t>
      </w:r>
      <w:r>
        <w:rPr>
          <w:rFonts w:ascii="Arial" w:hAnsi="Arial" w:cs="Arial"/>
          <w:color w:val="000000" w:themeColor="text1"/>
          <w:sz w:val="20"/>
          <w:szCs w:val="20"/>
        </w:rPr>
        <w:t>(1). https://doi.org/10.1186/s13195-025-01843-2</w:t>
      </w:r>
    </w:p>
    <w:p w14:paraId="53B45540" w14:textId="77777777" w:rsidR="00EE3FD5" w:rsidRDefault="00811C81">
      <w:pPr>
        <w:jc w:val="both"/>
        <w:rPr>
          <w:rFonts w:ascii="Arial" w:hAnsi="Arial" w:cs="Arial"/>
          <w:color w:val="000000" w:themeColor="text1"/>
        </w:rPr>
      </w:pPr>
      <w:r>
        <w:rPr>
          <w:rFonts w:ascii="Arial" w:hAnsi="Arial" w:cs="Arial"/>
          <w:color w:val="000000" w:themeColor="text1"/>
        </w:rPr>
        <w:t xml:space="preserve">23. </w:t>
      </w:r>
      <w:proofErr w:type="spellStart"/>
      <w:r>
        <w:rPr>
          <w:rFonts w:ascii="Arial" w:hAnsi="Arial" w:cs="Arial"/>
          <w:color w:val="000000" w:themeColor="text1"/>
        </w:rPr>
        <w:t>Pszczołowska</w:t>
      </w:r>
      <w:proofErr w:type="spellEnd"/>
      <w:r>
        <w:rPr>
          <w:rFonts w:ascii="Arial" w:hAnsi="Arial" w:cs="Arial"/>
          <w:color w:val="000000" w:themeColor="text1"/>
        </w:rPr>
        <w:t xml:space="preserve">, M., Walczak, K., Miśków, W., </w:t>
      </w:r>
      <w:proofErr w:type="spellStart"/>
      <w:r>
        <w:rPr>
          <w:rFonts w:ascii="Arial" w:hAnsi="Arial" w:cs="Arial"/>
          <w:color w:val="000000" w:themeColor="text1"/>
        </w:rPr>
        <w:t>Mroziak</w:t>
      </w:r>
      <w:proofErr w:type="spellEnd"/>
      <w:r>
        <w:rPr>
          <w:rFonts w:ascii="Arial" w:hAnsi="Arial" w:cs="Arial"/>
          <w:color w:val="000000" w:themeColor="text1"/>
        </w:rPr>
        <w:t xml:space="preserve">, M., Kozłowski, G., </w:t>
      </w:r>
      <w:proofErr w:type="spellStart"/>
      <w:r>
        <w:rPr>
          <w:rFonts w:ascii="Arial" w:hAnsi="Arial" w:cs="Arial"/>
          <w:color w:val="000000" w:themeColor="text1"/>
        </w:rPr>
        <w:t>Beszłej</w:t>
      </w:r>
      <w:proofErr w:type="spellEnd"/>
      <w:r>
        <w:rPr>
          <w:rFonts w:ascii="Arial" w:hAnsi="Arial" w:cs="Arial"/>
          <w:color w:val="000000" w:themeColor="text1"/>
        </w:rPr>
        <w:t xml:space="preserve">, J. A., et al. (2024). Association between Female Reproductive Factors and Risk of Dementia. </w:t>
      </w:r>
      <w:r>
        <w:rPr>
          <w:rFonts w:ascii="Arial" w:hAnsi="Arial" w:cs="Arial"/>
          <w:iCs/>
          <w:color w:val="000000" w:themeColor="text1"/>
        </w:rPr>
        <w:t>Journal of Clinical Medicine</w:t>
      </w:r>
      <w:r>
        <w:rPr>
          <w:rFonts w:ascii="Arial" w:hAnsi="Arial" w:cs="Arial"/>
          <w:color w:val="000000" w:themeColor="text1"/>
        </w:rPr>
        <w:t xml:space="preserve">, </w:t>
      </w:r>
      <w:r>
        <w:rPr>
          <w:rFonts w:ascii="Arial" w:hAnsi="Arial" w:cs="Arial"/>
          <w:i/>
          <w:color w:val="000000" w:themeColor="text1"/>
        </w:rPr>
        <w:t>13</w:t>
      </w:r>
      <w:r>
        <w:rPr>
          <w:rFonts w:ascii="Arial" w:hAnsi="Arial" w:cs="Arial"/>
          <w:color w:val="000000" w:themeColor="text1"/>
        </w:rPr>
        <w:t xml:space="preserve">(10), 2983. </w:t>
      </w:r>
      <w:hyperlink r:id="rId18" w:history="1">
        <w:r w:rsidR="00EE3FD5">
          <w:rPr>
            <w:rFonts w:ascii="Arial" w:hAnsi="Arial" w:cs="Arial"/>
            <w:color w:val="000000" w:themeColor="text1"/>
          </w:rPr>
          <w:t>https://doi.org/10.3390/jcm13102983</w:t>
        </w:r>
      </w:hyperlink>
      <w:r>
        <w:rPr>
          <w:rFonts w:ascii="Arial" w:hAnsi="Arial" w:cs="Arial"/>
          <w:color w:val="000000" w:themeColor="text1"/>
        </w:rPr>
        <w:t>.</w:t>
      </w:r>
    </w:p>
    <w:p w14:paraId="48374C8B" w14:textId="77777777" w:rsidR="00EE3FD5" w:rsidRDefault="00811C81">
      <w:pPr>
        <w:jc w:val="both"/>
        <w:rPr>
          <w:rFonts w:ascii="Arial" w:hAnsi="Arial" w:cs="Arial"/>
          <w:color w:val="000000" w:themeColor="text1"/>
        </w:rPr>
      </w:pPr>
      <w:r>
        <w:rPr>
          <w:rFonts w:ascii="Arial" w:hAnsi="Arial" w:cs="Arial"/>
          <w:color w:val="000000" w:themeColor="text1"/>
        </w:rPr>
        <w:t xml:space="preserve">24. Chung, C. G., Lee, H. &amp; Lee, S. B. (2018). Mechanisms of protein toxicity in </w:t>
      </w:r>
      <w:proofErr w:type="spellStart"/>
      <w:r>
        <w:rPr>
          <w:rFonts w:ascii="Arial" w:hAnsi="Arial" w:cs="Arial"/>
          <w:color w:val="000000" w:themeColor="text1"/>
        </w:rPr>
        <w:t>neurodegenrative</w:t>
      </w:r>
      <w:proofErr w:type="spellEnd"/>
      <w:r>
        <w:rPr>
          <w:rFonts w:ascii="Arial" w:hAnsi="Arial" w:cs="Arial"/>
          <w:color w:val="000000" w:themeColor="text1"/>
        </w:rPr>
        <w:t xml:space="preserve"> diseases. Cell Molecular Life Science, 75 (17), 3159-3180.</w:t>
      </w:r>
    </w:p>
    <w:p w14:paraId="0C80579A" w14:textId="77777777" w:rsidR="00EE3FD5" w:rsidRPr="00A014EB" w:rsidRDefault="00811C81">
      <w:pPr>
        <w:jc w:val="both"/>
        <w:rPr>
          <w:rFonts w:ascii="Arial" w:hAnsi="Arial" w:cs="Arial"/>
          <w:color w:val="000000" w:themeColor="text1"/>
          <w:lang w:val="fr-FR"/>
        </w:rPr>
      </w:pPr>
      <w:r>
        <w:rPr>
          <w:rFonts w:ascii="Arial" w:hAnsi="Arial" w:cs="Arial"/>
          <w:color w:val="000000" w:themeColor="text1"/>
        </w:rPr>
        <w:t xml:space="preserve">25. </w:t>
      </w:r>
      <w:proofErr w:type="spellStart"/>
      <w:r>
        <w:rPr>
          <w:rFonts w:ascii="Arial" w:hAnsi="Arial" w:cs="Arial"/>
          <w:color w:val="000000" w:themeColor="text1"/>
        </w:rPr>
        <w:t>Iadecola</w:t>
      </w:r>
      <w:proofErr w:type="spellEnd"/>
      <w:r>
        <w:rPr>
          <w:rFonts w:ascii="Arial" w:hAnsi="Arial" w:cs="Arial"/>
          <w:color w:val="000000" w:themeColor="text1"/>
        </w:rPr>
        <w:t xml:space="preserve">, C. (2013). The pathobiology of vascular dementia. </w:t>
      </w:r>
      <w:proofErr w:type="spellStart"/>
      <w:r w:rsidRPr="00A014EB">
        <w:rPr>
          <w:rFonts w:ascii="Arial" w:hAnsi="Arial" w:cs="Arial"/>
          <w:i/>
          <w:iCs/>
          <w:color w:val="000000" w:themeColor="text1"/>
          <w:lang w:val="fr-FR"/>
        </w:rPr>
        <w:t>Neurons</w:t>
      </w:r>
      <w:proofErr w:type="spellEnd"/>
      <w:r w:rsidRPr="00A014EB">
        <w:rPr>
          <w:rFonts w:ascii="Arial" w:hAnsi="Arial" w:cs="Arial"/>
          <w:color w:val="000000" w:themeColor="text1"/>
          <w:lang w:val="fr-FR"/>
        </w:rPr>
        <w:t>, 80(4), 844-866.</w:t>
      </w:r>
    </w:p>
    <w:p w14:paraId="32AD6006" w14:textId="77777777" w:rsidR="00EE3FD5" w:rsidRDefault="00811C81">
      <w:pPr>
        <w:jc w:val="both"/>
        <w:rPr>
          <w:rFonts w:ascii="Arial" w:hAnsi="Arial" w:cs="Arial"/>
          <w:color w:val="000000" w:themeColor="text1"/>
        </w:rPr>
      </w:pPr>
      <w:r w:rsidRPr="00A014EB">
        <w:rPr>
          <w:rFonts w:ascii="Arial" w:hAnsi="Arial" w:cs="Arial"/>
          <w:color w:val="000000" w:themeColor="text1"/>
          <w:lang w:val="fr-FR"/>
        </w:rPr>
        <w:t xml:space="preserve">26. Custodio, N., Montesinos, R., Lira, D., Herrera-Pérez, E., Bardales, Y., &amp; Valeriano-Lorenzo, L. (2017). </w:t>
      </w:r>
      <w:r>
        <w:rPr>
          <w:rFonts w:ascii="Arial" w:hAnsi="Arial" w:cs="Arial"/>
          <w:color w:val="000000" w:themeColor="text1"/>
        </w:rPr>
        <w:t xml:space="preserve">Mixed dementia: A review of the evidence. </w:t>
      </w:r>
      <w:r>
        <w:rPr>
          <w:rFonts w:ascii="Arial" w:hAnsi="Arial" w:cs="Arial"/>
          <w:iCs/>
          <w:color w:val="000000" w:themeColor="text1"/>
        </w:rPr>
        <w:t>Dementia &amp; Neuropsychologia</w:t>
      </w:r>
      <w:r>
        <w:rPr>
          <w:rFonts w:ascii="Arial" w:hAnsi="Arial" w:cs="Arial"/>
          <w:color w:val="000000" w:themeColor="text1"/>
        </w:rPr>
        <w:t>,</w:t>
      </w:r>
      <w:r>
        <w:rPr>
          <w:rFonts w:ascii="Arial" w:hAnsi="Arial" w:cs="Arial"/>
          <w:i/>
          <w:color w:val="000000" w:themeColor="text1"/>
        </w:rPr>
        <w:t>11</w:t>
      </w:r>
      <w:r>
        <w:rPr>
          <w:rFonts w:ascii="Arial" w:hAnsi="Arial" w:cs="Arial"/>
          <w:color w:val="000000" w:themeColor="text1"/>
        </w:rPr>
        <w:t xml:space="preserve">(4),364–370. </w:t>
      </w:r>
      <w:hyperlink r:id="rId19" w:history="1">
        <w:r w:rsidR="00EE3FD5">
          <w:rPr>
            <w:rFonts w:ascii="Arial" w:hAnsi="Arial" w:cs="Arial"/>
            <w:color w:val="000000" w:themeColor="text1"/>
          </w:rPr>
          <w:t>https://www.ncbi.nlm.nih.gov/pmc/articles/PMC5769994/</w:t>
        </w:r>
      </w:hyperlink>
    </w:p>
    <w:p w14:paraId="63C25747" w14:textId="77777777" w:rsidR="00C00AA9" w:rsidRDefault="00811C81">
      <w:pPr>
        <w:jc w:val="both"/>
        <w:rPr>
          <w:rFonts w:ascii="Arial" w:hAnsi="Arial" w:cs="Arial"/>
          <w:color w:val="000000" w:themeColor="text1"/>
        </w:rPr>
      </w:pPr>
      <w:r>
        <w:rPr>
          <w:rFonts w:ascii="Arial" w:hAnsi="Arial" w:cs="Arial"/>
          <w:color w:val="000000" w:themeColor="text1"/>
        </w:rPr>
        <w:t xml:space="preserve">27. </w:t>
      </w:r>
      <w:proofErr w:type="spellStart"/>
      <w:r>
        <w:rPr>
          <w:rFonts w:ascii="Arial" w:hAnsi="Arial" w:cs="Arial"/>
          <w:color w:val="000000" w:themeColor="text1"/>
        </w:rPr>
        <w:t>Vandepitte</w:t>
      </w:r>
      <w:proofErr w:type="spellEnd"/>
      <w:r>
        <w:rPr>
          <w:rFonts w:ascii="Arial" w:hAnsi="Arial" w:cs="Arial"/>
          <w:color w:val="000000" w:themeColor="text1"/>
        </w:rPr>
        <w:t xml:space="preserve">, S., Van, Den </w:t>
      </w:r>
      <w:proofErr w:type="spellStart"/>
      <w:r>
        <w:rPr>
          <w:rFonts w:ascii="Arial" w:hAnsi="Arial" w:cs="Arial"/>
          <w:color w:val="000000" w:themeColor="text1"/>
        </w:rPr>
        <w:t>Noortgate</w:t>
      </w:r>
      <w:proofErr w:type="spellEnd"/>
      <w:r>
        <w:rPr>
          <w:rFonts w:ascii="Arial" w:hAnsi="Arial" w:cs="Arial"/>
          <w:color w:val="000000" w:themeColor="text1"/>
        </w:rPr>
        <w:t xml:space="preserve">, N., Putman, K., Verhaeghe, S., Verdonck, C. &amp; </w:t>
      </w:r>
      <w:proofErr w:type="spellStart"/>
      <w:r>
        <w:rPr>
          <w:rFonts w:ascii="Arial" w:hAnsi="Arial" w:cs="Arial"/>
          <w:color w:val="000000" w:themeColor="text1"/>
        </w:rPr>
        <w:t>Annemans</w:t>
      </w:r>
      <w:proofErr w:type="spellEnd"/>
      <w:r>
        <w:rPr>
          <w:rFonts w:ascii="Arial" w:hAnsi="Arial" w:cs="Arial"/>
          <w:color w:val="000000" w:themeColor="text1"/>
        </w:rPr>
        <w:t>, L. (2016). Effectiveness of respite care in supporting informal caregivers of persons with dementia: A systematic review. International Journal of Geriatric Psychiatry, 31(12): 1277-1288.</w:t>
      </w:r>
      <w:r w:rsidR="00C00AA9">
        <w:rPr>
          <w:rFonts w:ascii="Arial" w:hAnsi="Arial" w:cs="Arial"/>
          <w:color w:val="000000" w:themeColor="text1"/>
        </w:rPr>
        <w:t xml:space="preserve"> </w:t>
      </w:r>
    </w:p>
    <w:p w14:paraId="0774630B" w14:textId="77777777" w:rsidR="00F14C5C" w:rsidRPr="00FC0365" w:rsidRDefault="00C00AA9">
      <w:pPr>
        <w:jc w:val="both"/>
        <w:rPr>
          <w:rFonts w:ascii="Arial" w:hAnsi="Arial" w:cs="Arial"/>
          <w:color w:val="000000" w:themeColor="text1"/>
          <w:highlight w:val="yellow"/>
        </w:rPr>
      </w:pPr>
      <w:r w:rsidRPr="00FC0365">
        <w:rPr>
          <w:rFonts w:ascii="Arial" w:hAnsi="Arial" w:cs="Arial"/>
          <w:color w:val="000000" w:themeColor="text1"/>
          <w:highlight w:val="yellow"/>
        </w:rPr>
        <w:t xml:space="preserve">28. </w:t>
      </w:r>
      <w:proofErr w:type="spellStart"/>
      <w:r w:rsidRPr="00FC0365">
        <w:rPr>
          <w:rFonts w:ascii="Arial" w:hAnsi="Arial" w:cs="Arial"/>
          <w:color w:val="000000" w:themeColor="text1"/>
          <w:highlight w:val="yellow"/>
        </w:rPr>
        <w:t>Oshnouei</w:t>
      </w:r>
      <w:proofErr w:type="spellEnd"/>
      <w:r w:rsidRPr="00FC0365">
        <w:rPr>
          <w:rFonts w:ascii="Arial" w:hAnsi="Arial" w:cs="Arial"/>
          <w:color w:val="000000" w:themeColor="text1"/>
          <w:highlight w:val="yellow"/>
        </w:rPr>
        <w:t xml:space="preserve">, S., </w:t>
      </w:r>
      <w:proofErr w:type="spellStart"/>
      <w:r w:rsidRPr="00FC0365">
        <w:rPr>
          <w:rFonts w:ascii="Arial" w:hAnsi="Arial" w:cs="Arial"/>
          <w:color w:val="000000" w:themeColor="text1"/>
          <w:highlight w:val="yellow"/>
        </w:rPr>
        <w:t>Safaralizade</w:t>
      </w:r>
      <w:proofErr w:type="spellEnd"/>
      <w:r w:rsidRPr="00FC0365">
        <w:rPr>
          <w:rFonts w:ascii="Arial" w:hAnsi="Arial" w:cs="Arial"/>
          <w:color w:val="000000" w:themeColor="text1"/>
          <w:highlight w:val="yellow"/>
        </w:rPr>
        <w:t>, M., Eslamlou, N. F., &amp; Heidari, M. (2024). Uncovering the extent of dementia prevalence in Iran: a comprehensive systematic review and meta-analysis. </w:t>
      </w:r>
      <w:r w:rsidRPr="00FC0365">
        <w:rPr>
          <w:rFonts w:ascii="Arial" w:hAnsi="Arial" w:cs="Arial"/>
          <w:i/>
          <w:iCs/>
          <w:color w:val="000000" w:themeColor="text1"/>
          <w:highlight w:val="yellow"/>
        </w:rPr>
        <w:t>BMC Public Health</w:t>
      </w:r>
      <w:r w:rsidRPr="00FC0365">
        <w:rPr>
          <w:rFonts w:ascii="Arial" w:hAnsi="Arial" w:cs="Arial"/>
          <w:color w:val="000000" w:themeColor="text1"/>
          <w:highlight w:val="yellow"/>
        </w:rPr>
        <w:t>, </w:t>
      </w:r>
      <w:r w:rsidRPr="00FC0365">
        <w:rPr>
          <w:rFonts w:ascii="Arial" w:hAnsi="Arial" w:cs="Arial"/>
          <w:i/>
          <w:iCs/>
          <w:color w:val="000000" w:themeColor="text1"/>
          <w:highlight w:val="yellow"/>
        </w:rPr>
        <w:t>24</w:t>
      </w:r>
      <w:r w:rsidRPr="00FC0365">
        <w:rPr>
          <w:rFonts w:ascii="Arial" w:hAnsi="Arial" w:cs="Arial"/>
          <w:color w:val="000000" w:themeColor="text1"/>
          <w:highlight w:val="yellow"/>
        </w:rPr>
        <w:t>(1), 1168.</w:t>
      </w:r>
      <w:r w:rsidR="00F14C5C" w:rsidRPr="00FC0365">
        <w:rPr>
          <w:rFonts w:ascii="Arial" w:hAnsi="Arial" w:cs="Arial"/>
          <w:color w:val="000000" w:themeColor="text1"/>
          <w:highlight w:val="yellow"/>
        </w:rPr>
        <w:t xml:space="preserve"> </w:t>
      </w:r>
    </w:p>
    <w:p w14:paraId="4A6A88A9" w14:textId="77777777" w:rsidR="00F14C5C" w:rsidRPr="00FC0365" w:rsidRDefault="00F14C5C" w:rsidP="00F14C5C">
      <w:pPr>
        <w:jc w:val="both"/>
        <w:rPr>
          <w:rFonts w:ascii="Arial" w:hAnsi="Arial" w:cs="Arial"/>
          <w:color w:val="000000" w:themeColor="text1"/>
          <w:highlight w:val="yellow"/>
        </w:rPr>
      </w:pPr>
      <w:r w:rsidRPr="00FC0365">
        <w:rPr>
          <w:rFonts w:ascii="Arial" w:hAnsi="Arial" w:cs="Arial"/>
          <w:color w:val="000000" w:themeColor="text1"/>
          <w:highlight w:val="yellow"/>
        </w:rPr>
        <w:lastRenderedPageBreak/>
        <w:t>29. Oyinlola, O. (2024). Addressing the challenges of dementia care in Nigeria: A call for a comprehensive national strategy. </w:t>
      </w:r>
      <w:r w:rsidRPr="00FC0365">
        <w:rPr>
          <w:rFonts w:ascii="Arial" w:hAnsi="Arial" w:cs="Arial"/>
          <w:i/>
          <w:iCs/>
          <w:color w:val="000000" w:themeColor="text1"/>
          <w:highlight w:val="yellow"/>
        </w:rPr>
        <w:t>Public Health Challenges</w:t>
      </w:r>
      <w:r w:rsidRPr="00FC0365">
        <w:rPr>
          <w:rFonts w:ascii="Arial" w:hAnsi="Arial" w:cs="Arial"/>
          <w:color w:val="000000" w:themeColor="text1"/>
          <w:highlight w:val="yellow"/>
        </w:rPr>
        <w:t>, </w:t>
      </w:r>
      <w:r w:rsidRPr="00FC0365">
        <w:rPr>
          <w:rFonts w:ascii="Arial" w:hAnsi="Arial" w:cs="Arial"/>
          <w:i/>
          <w:iCs/>
          <w:color w:val="000000" w:themeColor="text1"/>
          <w:highlight w:val="yellow"/>
        </w:rPr>
        <w:t>3</w:t>
      </w:r>
      <w:r w:rsidRPr="00FC0365">
        <w:rPr>
          <w:rFonts w:ascii="Arial" w:hAnsi="Arial" w:cs="Arial"/>
          <w:color w:val="000000" w:themeColor="text1"/>
          <w:highlight w:val="yellow"/>
        </w:rPr>
        <w:t xml:space="preserve">(2), e186. </w:t>
      </w:r>
    </w:p>
    <w:p w14:paraId="12684F27" w14:textId="77777777" w:rsidR="00277894" w:rsidRPr="00FC0365" w:rsidRDefault="00F14C5C" w:rsidP="00277894">
      <w:pPr>
        <w:jc w:val="both"/>
        <w:rPr>
          <w:rFonts w:ascii="Arial" w:hAnsi="Arial" w:cs="Arial"/>
          <w:color w:val="000000" w:themeColor="text1"/>
          <w:highlight w:val="yellow"/>
        </w:rPr>
      </w:pPr>
      <w:r w:rsidRPr="00647774">
        <w:rPr>
          <w:rFonts w:ascii="Arial" w:hAnsi="Arial" w:cs="Arial"/>
          <w:color w:val="000000" w:themeColor="text1"/>
          <w:highlight w:val="yellow"/>
        </w:rPr>
        <w:t xml:space="preserve">30. Chouliaras, L., &amp; O’Brien, J. T. (2023). </w:t>
      </w:r>
      <w:r w:rsidRPr="00FC0365">
        <w:rPr>
          <w:rFonts w:ascii="Arial" w:hAnsi="Arial" w:cs="Arial"/>
          <w:color w:val="000000" w:themeColor="text1"/>
          <w:highlight w:val="yellow"/>
        </w:rPr>
        <w:t>The use of neuroimaging techniques in the early and differential diagnosis of dementia. </w:t>
      </w:r>
      <w:r w:rsidRPr="00FC0365">
        <w:rPr>
          <w:rFonts w:ascii="Arial" w:hAnsi="Arial" w:cs="Arial"/>
          <w:i/>
          <w:iCs/>
          <w:color w:val="000000" w:themeColor="text1"/>
          <w:highlight w:val="yellow"/>
        </w:rPr>
        <w:t>Molecular Psychiatry</w:t>
      </w:r>
      <w:r w:rsidRPr="00FC0365">
        <w:rPr>
          <w:rFonts w:ascii="Arial" w:hAnsi="Arial" w:cs="Arial"/>
          <w:color w:val="000000" w:themeColor="text1"/>
          <w:highlight w:val="yellow"/>
        </w:rPr>
        <w:t>, </w:t>
      </w:r>
      <w:r w:rsidRPr="00FC0365">
        <w:rPr>
          <w:rFonts w:ascii="Arial" w:hAnsi="Arial" w:cs="Arial"/>
          <w:i/>
          <w:iCs/>
          <w:color w:val="000000" w:themeColor="text1"/>
          <w:highlight w:val="yellow"/>
        </w:rPr>
        <w:t>28</w:t>
      </w:r>
      <w:r w:rsidRPr="00FC0365">
        <w:rPr>
          <w:rFonts w:ascii="Arial" w:hAnsi="Arial" w:cs="Arial"/>
          <w:color w:val="000000" w:themeColor="text1"/>
          <w:highlight w:val="yellow"/>
        </w:rPr>
        <w:t xml:space="preserve">(10), 4084–4097. </w:t>
      </w:r>
      <w:r w:rsidR="00277894" w:rsidRPr="00FC0365">
        <w:rPr>
          <w:rFonts w:ascii="Arial" w:hAnsi="Arial" w:cs="Arial"/>
          <w:color w:val="000000" w:themeColor="text1"/>
          <w:highlight w:val="yellow"/>
        </w:rPr>
        <w:fldChar w:fldCharType="begin"/>
      </w:r>
      <w:r w:rsidR="00277894" w:rsidRPr="00FC0365">
        <w:rPr>
          <w:rFonts w:ascii="Arial" w:hAnsi="Arial" w:cs="Arial"/>
          <w:color w:val="000000" w:themeColor="text1"/>
          <w:highlight w:val="yellow"/>
        </w:rPr>
        <w:instrText xml:space="preserve">HYPERLINK "https://doi.org/10.1038/s41380-023-02215-8 </w:instrText>
      </w:r>
    </w:p>
    <w:p w14:paraId="46B13ABF" w14:textId="77777777" w:rsidR="00277894" w:rsidRPr="00FC0365" w:rsidRDefault="00277894" w:rsidP="00277894">
      <w:pPr>
        <w:jc w:val="both"/>
        <w:rPr>
          <w:rStyle w:val="Hyperlink"/>
          <w:rFonts w:ascii="Arial" w:hAnsi="Arial" w:cs="Arial"/>
          <w:highlight w:val="yellow"/>
        </w:rPr>
      </w:pPr>
      <w:r w:rsidRPr="00FC0365">
        <w:rPr>
          <w:rFonts w:ascii="Arial" w:hAnsi="Arial" w:cs="Arial"/>
          <w:color w:val="000000" w:themeColor="text1"/>
          <w:highlight w:val="yellow"/>
        </w:rPr>
        <w:instrText>31"</w:instrText>
      </w:r>
      <w:r w:rsidRPr="00FC0365">
        <w:rPr>
          <w:rFonts w:ascii="Arial" w:hAnsi="Arial" w:cs="Arial"/>
          <w:color w:val="000000" w:themeColor="text1"/>
          <w:highlight w:val="yellow"/>
        </w:rPr>
        <w:fldChar w:fldCharType="separate"/>
      </w:r>
      <w:r w:rsidRPr="00FC0365">
        <w:rPr>
          <w:rStyle w:val="Hyperlink"/>
          <w:rFonts w:ascii="Arial" w:hAnsi="Arial" w:cs="Arial"/>
          <w:highlight w:val="yellow"/>
        </w:rPr>
        <w:t xml:space="preserve">https://doi.org/10.1038/s41380-023-02215-8 </w:t>
      </w:r>
    </w:p>
    <w:p w14:paraId="6B516170" w14:textId="18279857" w:rsidR="00277894" w:rsidRPr="00FC0365" w:rsidRDefault="00277894" w:rsidP="00277894">
      <w:pPr>
        <w:jc w:val="both"/>
        <w:rPr>
          <w:rFonts w:ascii="Arial" w:hAnsi="Arial" w:cs="Arial"/>
          <w:color w:val="000000" w:themeColor="text1"/>
          <w:highlight w:val="yellow"/>
        </w:rPr>
      </w:pPr>
      <w:r w:rsidRPr="00FC0365">
        <w:rPr>
          <w:rStyle w:val="Hyperlink"/>
          <w:rFonts w:ascii="Arial" w:hAnsi="Arial" w:cs="Arial"/>
          <w:highlight w:val="yellow"/>
        </w:rPr>
        <w:t>31</w:t>
      </w:r>
      <w:r w:rsidRPr="00FC0365">
        <w:rPr>
          <w:rFonts w:ascii="Arial" w:hAnsi="Arial" w:cs="Arial"/>
          <w:color w:val="000000" w:themeColor="text1"/>
          <w:highlight w:val="yellow"/>
        </w:rPr>
        <w:fldChar w:fldCharType="end"/>
      </w:r>
      <w:r w:rsidRPr="00FC0365">
        <w:rPr>
          <w:rFonts w:ascii="Arial" w:hAnsi="Arial" w:cs="Arial"/>
          <w:color w:val="000000" w:themeColor="text1"/>
          <w:highlight w:val="yellow"/>
        </w:rPr>
        <w:t xml:space="preserve">. Wimo, A., </w:t>
      </w:r>
      <w:proofErr w:type="spellStart"/>
      <w:r w:rsidRPr="00FC0365">
        <w:rPr>
          <w:rFonts w:ascii="Arial" w:hAnsi="Arial" w:cs="Arial"/>
          <w:color w:val="000000" w:themeColor="text1"/>
          <w:highlight w:val="yellow"/>
        </w:rPr>
        <w:t>Seeher</w:t>
      </w:r>
      <w:proofErr w:type="spellEnd"/>
      <w:r w:rsidRPr="00FC0365">
        <w:rPr>
          <w:rFonts w:ascii="Arial" w:hAnsi="Arial" w:cs="Arial"/>
          <w:color w:val="000000" w:themeColor="text1"/>
          <w:highlight w:val="yellow"/>
        </w:rPr>
        <w:t xml:space="preserve">, K., Cataldi, R., </w:t>
      </w:r>
      <w:proofErr w:type="spellStart"/>
      <w:r w:rsidRPr="00FC0365">
        <w:rPr>
          <w:rFonts w:ascii="Arial" w:hAnsi="Arial" w:cs="Arial"/>
          <w:color w:val="000000" w:themeColor="text1"/>
          <w:highlight w:val="yellow"/>
        </w:rPr>
        <w:t>Cyhlarova</w:t>
      </w:r>
      <w:proofErr w:type="spellEnd"/>
      <w:r w:rsidRPr="00FC0365">
        <w:rPr>
          <w:rFonts w:ascii="Arial" w:hAnsi="Arial" w:cs="Arial"/>
          <w:color w:val="000000" w:themeColor="text1"/>
          <w:highlight w:val="yellow"/>
        </w:rPr>
        <w:t xml:space="preserve">, E., </w:t>
      </w:r>
      <w:proofErr w:type="spellStart"/>
      <w:r w:rsidRPr="00FC0365">
        <w:rPr>
          <w:rFonts w:ascii="Arial" w:hAnsi="Arial" w:cs="Arial"/>
          <w:color w:val="000000" w:themeColor="text1"/>
          <w:highlight w:val="yellow"/>
        </w:rPr>
        <w:t>Dielemann</w:t>
      </w:r>
      <w:proofErr w:type="spellEnd"/>
      <w:r w:rsidRPr="00FC0365">
        <w:rPr>
          <w:rFonts w:ascii="Arial" w:hAnsi="Arial" w:cs="Arial"/>
          <w:color w:val="000000" w:themeColor="text1"/>
          <w:highlight w:val="yellow"/>
        </w:rPr>
        <w:t xml:space="preserve">, J. L., Frisell, O., </w:t>
      </w:r>
      <w:proofErr w:type="spellStart"/>
      <w:r w:rsidRPr="00FC0365">
        <w:rPr>
          <w:rFonts w:ascii="Arial" w:hAnsi="Arial" w:cs="Arial"/>
          <w:color w:val="000000" w:themeColor="text1"/>
          <w:highlight w:val="yellow"/>
        </w:rPr>
        <w:t>Guerchet</w:t>
      </w:r>
      <w:proofErr w:type="spellEnd"/>
      <w:r w:rsidRPr="00FC0365">
        <w:rPr>
          <w:rFonts w:ascii="Arial" w:hAnsi="Arial" w:cs="Arial"/>
          <w:color w:val="000000" w:themeColor="text1"/>
          <w:highlight w:val="yellow"/>
        </w:rPr>
        <w:t>, M., Jönsson, L., Malaha, A. K., Nichols, E., Pedroza, P., Prince, M., Knapp, M., &amp; Dua, T. (2023). The worldwide costs of dementia in 2019. </w:t>
      </w:r>
      <w:r w:rsidRPr="00FC0365">
        <w:rPr>
          <w:rFonts w:ascii="Arial" w:hAnsi="Arial" w:cs="Arial"/>
          <w:i/>
          <w:iCs/>
          <w:color w:val="000000" w:themeColor="text1"/>
          <w:highlight w:val="yellow"/>
        </w:rPr>
        <w:t>Alzheimer’s &amp; Dementia</w:t>
      </w:r>
      <w:r w:rsidRPr="00FC0365">
        <w:rPr>
          <w:rFonts w:ascii="Arial" w:hAnsi="Arial" w:cs="Arial"/>
          <w:color w:val="000000" w:themeColor="text1"/>
          <w:highlight w:val="yellow"/>
        </w:rPr>
        <w:t>, </w:t>
      </w:r>
      <w:r w:rsidRPr="00FC0365">
        <w:rPr>
          <w:rFonts w:ascii="Arial" w:hAnsi="Arial" w:cs="Arial"/>
          <w:i/>
          <w:iCs/>
          <w:color w:val="000000" w:themeColor="text1"/>
          <w:highlight w:val="yellow"/>
        </w:rPr>
        <w:t>19</w:t>
      </w:r>
      <w:r w:rsidRPr="00FC0365">
        <w:rPr>
          <w:rFonts w:ascii="Arial" w:hAnsi="Arial" w:cs="Arial"/>
          <w:color w:val="000000" w:themeColor="text1"/>
          <w:highlight w:val="yellow"/>
        </w:rPr>
        <w:t>(7), 2865–2873. https://doi.org/10.1002/alz.12901</w:t>
      </w:r>
    </w:p>
    <w:p w14:paraId="2C13F03D" w14:textId="3DA70726" w:rsidR="00277894" w:rsidRPr="00277894" w:rsidRDefault="00277894" w:rsidP="00277894">
      <w:pPr>
        <w:jc w:val="both"/>
        <w:rPr>
          <w:rFonts w:ascii="Arial" w:hAnsi="Arial" w:cs="Arial"/>
          <w:color w:val="000000" w:themeColor="text1"/>
        </w:rPr>
      </w:pPr>
      <w:r w:rsidRPr="00340979">
        <w:rPr>
          <w:rFonts w:ascii="Arial" w:hAnsi="Arial" w:cs="Arial"/>
          <w:color w:val="000000" w:themeColor="text1"/>
          <w:highlight w:val="yellow"/>
        </w:rPr>
        <w:t>‌</w:t>
      </w:r>
      <w:r w:rsidR="00340979" w:rsidRPr="00340979">
        <w:rPr>
          <w:rFonts w:ascii="Arial" w:hAnsi="Arial" w:cs="Arial"/>
          <w:color w:val="000000" w:themeColor="text1"/>
          <w:highlight w:val="yellow"/>
        </w:rPr>
        <w:t xml:space="preserve">32. </w:t>
      </w:r>
      <w:proofErr w:type="spellStart"/>
      <w:r w:rsidR="00340979" w:rsidRPr="00340979">
        <w:rPr>
          <w:rFonts w:ascii="Arial" w:hAnsi="Arial" w:cs="Arial"/>
          <w:color w:val="000000" w:themeColor="text1"/>
          <w:highlight w:val="yellow"/>
        </w:rPr>
        <w:t>Suemoto</w:t>
      </w:r>
      <w:proofErr w:type="spellEnd"/>
      <w:r w:rsidR="00340979" w:rsidRPr="00340979">
        <w:rPr>
          <w:rFonts w:ascii="Arial" w:hAnsi="Arial" w:cs="Arial"/>
          <w:color w:val="000000" w:themeColor="text1"/>
          <w:highlight w:val="yellow"/>
        </w:rPr>
        <w:t xml:space="preserve">, C. K., Borelli, W. V., Calandri, I. L., Bertola, L., Castilhos, R. M., Caramelli, P., Nitrini, R., Brucki, S. M. D., </w:t>
      </w:r>
      <w:proofErr w:type="spellStart"/>
      <w:r w:rsidR="00340979" w:rsidRPr="00340979">
        <w:rPr>
          <w:rFonts w:ascii="Arial" w:hAnsi="Arial" w:cs="Arial"/>
          <w:color w:val="000000" w:themeColor="text1"/>
          <w:highlight w:val="yellow"/>
        </w:rPr>
        <w:t>Laks</w:t>
      </w:r>
      <w:proofErr w:type="spellEnd"/>
      <w:r w:rsidR="00340979" w:rsidRPr="00340979">
        <w:rPr>
          <w:rFonts w:ascii="Arial" w:hAnsi="Arial" w:cs="Arial"/>
          <w:color w:val="000000" w:themeColor="text1"/>
          <w:highlight w:val="yellow"/>
        </w:rPr>
        <w:t>, J., Mukadam, N., Livingston, G., &amp; Ferri, C. P. (2025). The potential for dementia prevention in Brazil: a population attributable fraction calculation for 14 modifiable risk factors. </w:t>
      </w:r>
      <w:r w:rsidR="00340979" w:rsidRPr="00340979">
        <w:rPr>
          <w:rFonts w:ascii="Arial" w:hAnsi="Arial" w:cs="Arial"/>
          <w:i/>
          <w:iCs/>
          <w:color w:val="000000" w:themeColor="text1"/>
          <w:highlight w:val="yellow"/>
        </w:rPr>
        <w:t>Lancet regional health. Americas</w:t>
      </w:r>
      <w:r w:rsidR="00340979" w:rsidRPr="00340979">
        <w:rPr>
          <w:rFonts w:ascii="Arial" w:hAnsi="Arial" w:cs="Arial"/>
          <w:color w:val="000000" w:themeColor="text1"/>
          <w:highlight w:val="yellow"/>
        </w:rPr>
        <w:t>, </w:t>
      </w:r>
      <w:r w:rsidR="00340979" w:rsidRPr="00340979">
        <w:rPr>
          <w:rFonts w:ascii="Arial" w:hAnsi="Arial" w:cs="Arial"/>
          <w:i/>
          <w:iCs/>
          <w:color w:val="000000" w:themeColor="text1"/>
          <w:highlight w:val="yellow"/>
        </w:rPr>
        <w:t>49</w:t>
      </w:r>
      <w:r w:rsidR="00340979" w:rsidRPr="00340979">
        <w:rPr>
          <w:rFonts w:ascii="Arial" w:hAnsi="Arial" w:cs="Arial"/>
          <w:color w:val="000000" w:themeColor="text1"/>
          <w:highlight w:val="yellow"/>
        </w:rPr>
        <w:t xml:space="preserve">, 101209. </w:t>
      </w:r>
      <w:hyperlink r:id="rId20" w:history="1">
        <w:r w:rsidR="00340979" w:rsidRPr="00340979">
          <w:rPr>
            <w:rStyle w:val="Hyperlink"/>
            <w:rFonts w:ascii="Arial" w:hAnsi="Arial" w:cs="Arial"/>
            <w:highlight w:val="yellow"/>
          </w:rPr>
          <w:t>https://doi.org/10.1016/j.lana.2025.101209</w:t>
        </w:r>
      </w:hyperlink>
      <w:r w:rsidR="00340979">
        <w:rPr>
          <w:rFonts w:ascii="Arial" w:hAnsi="Arial" w:cs="Arial"/>
          <w:color w:val="000000" w:themeColor="text1"/>
        </w:rPr>
        <w:t xml:space="preserve"> </w:t>
      </w:r>
    </w:p>
    <w:p w14:paraId="49C5749B" w14:textId="13F41307" w:rsidR="00F14C5C" w:rsidRPr="00F14C5C" w:rsidRDefault="00F14C5C" w:rsidP="00F14C5C">
      <w:pPr>
        <w:jc w:val="both"/>
        <w:rPr>
          <w:rFonts w:ascii="Arial" w:hAnsi="Arial" w:cs="Arial"/>
          <w:color w:val="000000" w:themeColor="text1"/>
        </w:rPr>
      </w:pPr>
    </w:p>
    <w:p w14:paraId="37174CC1" w14:textId="77777777" w:rsidR="00F14C5C" w:rsidRPr="00F14C5C" w:rsidRDefault="00F14C5C" w:rsidP="00F14C5C">
      <w:pPr>
        <w:jc w:val="both"/>
        <w:rPr>
          <w:rFonts w:ascii="Arial" w:hAnsi="Arial" w:cs="Arial"/>
          <w:color w:val="000000" w:themeColor="text1"/>
        </w:rPr>
      </w:pPr>
      <w:r w:rsidRPr="00F14C5C">
        <w:rPr>
          <w:rFonts w:ascii="Arial" w:hAnsi="Arial" w:cs="Arial"/>
          <w:color w:val="000000" w:themeColor="text1"/>
        </w:rPr>
        <w:t>‌</w:t>
      </w:r>
    </w:p>
    <w:p w14:paraId="40499F0C" w14:textId="13E857EA" w:rsidR="00EE3FD5" w:rsidRDefault="00EE3FD5">
      <w:pPr>
        <w:jc w:val="both"/>
        <w:rPr>
          <w:rFonts w:ascii="Arial" w:hAnsi="Arial" w:cs="Arial"/>
        </w:rPr>
      </w:pPr>
    </w:p>
    <w:sectPr w:rsidR="00EE3FD5" w:rsidSect="006F74CC">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CAA0" w14:textId="77777777" w:rsidR="00980118" w:rsidRDefault="00980118">
      <w:r>
        <w:separator/>
      </w:r>
    </w:p>
  </w:endnote>
  <w:endnote w:type="continuationSeparator" w:id="0">
    <w:p w14:paraId="06431FC6" w14:textId="77777777" w:rsidR="00980118" w:rsidRDefault="0098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30E6E" w14:textId="77777777" w:rsidR="00A475D5" w:rsidRDefault="00A4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0192" w14:textId="77777777" w:rsidR="00A475D5" w:rsidRDefault="00A47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FF7C" w14:textId="5F37EFD6" w:rsidR="00EE3FD5" w:rsidRPr="005A0906" w:rsidRDefault="00EE3FD5" w:rsidP="005A09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0509" w14:textId="77777777" w:rsidR="00EE3FD5" w:rsidRDefault="00811C81">
    <w:pPr>
      <w:pStyle w:val="Footer"/>
    </w:pPr>
    <w:r>
      <w:rPr>
        <w:noProof/>
      </w:rPr>
      <mc:AlternateContent>
        <mc:Choice Requires="wps">
          <w:drawing>
            <wp:anchor distT="0" distB="0" distL="114300" distR="114300" simplePos="0" relativeHeight="251657216" behindDoc="0" locked="0" layoutInCell="1" allowOverlap="1" wp14:anchorId="32421CB4" wp14:editId="2D53F7AA">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CAB46" w14:textId="77777777" w:rsidR="00EE3FD5" w:rsidRDefault="00811C81">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421CB4" id="_x0000_t202" coordsize="21600,21600" o:spt="202" path="m,l,21600r21600,l21600,xe">
              <v:stroke joinstyle="miter"/>
              <v:path gradientshapeok="t" o:connecttype="rect"/>
            </v:shapetype>
            <v:shape id="Text Box 7"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cOUwIAAAkFAAAOAAAAZHJzL2Uyb0RvYy54bWysVMFu2zAMvQ/YPwi6L047rA2C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h&#10;t3cOUwIAAAkFAAAOAAAAAAAAAAAAAAAAAC4CAABkcnMvZTJvRG9jLnhtbFBLAQItABQABgAIAAAA&#10;IQBxqtG51wAAAAUBAAAPAAAAAAAAAAAAAAAAAK0EAABkcnMvZG93bnJldi54bWxQSwUGAAAAAAQA&#10;BADzAAAAsQUAAAAA&#10;" filled="f" stroked="f" strokeweight=".5pt">
              <v:textbox style="mso-fit-shape-to-text:t" inset="0,0,0,0">
                <w:txbxContent>
                  <w:p w14:paraId="2CBCAB46" w14:textId="77777777" w:rsidR="00EE3FD5" w:rsidRDefault="00811C81">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E4C6E" w14:textId="77777777" w:rsidR="00980118" w:rsidRDefault="00980118">
      <w:r>
        <w:separator/>
      </w:r>
    </w:p>
  </w:footnote>
  <w:footnote w:type="continuationSeparator" w:id="0">
    <w:p w14:paraId="1DA18A2A" w14:textId="77777777" w:rsidR="00980118" w:rsidRDefault="0098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5C26" w14:textId="35077388" w:rsidR="00A475D5" w:rsidRDefault="00980118">
    <w:pPr>
      <w:pStyle w:val="Header"/>
    </w:pPr>
    <w:r>
      <w:rPr>
        <w:noProof/>
      </w:rPr>
      <w:pict w14:anchorId="0D6D4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7" o:spid="_x0000_s2050"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63A3" w14:textId="52BF1753" w:rsidR="00A475D5" w:rsidRDefault="00980118">
    <w:pPr>
      <w:pStyle w:val="Header"/>
    </w:pPr>
    <w:r>
      <w:rPr>
        <w:noProof/>
      </w:rPr>
      <w:pict w14:anchorId="6BE88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8" o:spid="_x0000_s2051"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0445" w14:textId="62D7193F" w:rsidR="00EE3FD5" w:rsidRDefault="00980118">
    <w:pPr>
      <w:ind w:left="2160"/>
      <w:jc w:val="center"/>
      <w:rPr>
        <w:rFonts w:ascii="Times New Roman" w:eastAsia="Calibri" w:hAnsi="Times New Roman"/>
        <w:i/>
        <w:sz w:val="18"/>
        <w:szCs w:val="22"/>
      </w:rPr>
    </w:pPr>
    <w:r>
      <w:rPr>
        <w:noProof/>
      </w:rPr>
      <w:pict w14:anchorId="04203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6" o:spid="_x0000_s2049" type="#_x0000_t136" style="position:absolute;left:0;text-align:left;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AA84D7" w14:textId="77777777" w:rsidR="00EE3FD5" w:rsidRDefault="00811C8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DB6E14D" w14:textId="77777777" w:rsidR="00EE3FD5" w:rsidRDefault="00811C81">
    <w:pPr>
      <w:jc w:val="center"/>
      <w:rPr>
        <w:rFonts w:ascii="Times New Roman" w:eastAsia="Calibri" w:hAnsi="Times New Roman"/>
        <w:i/>
        <w:sz w:val="18"/>
        <w:szCs w:val="22"/>
      </w:rPr>
    </w:pPr>
    <w:r>
      <w:rPr>
        <w:rFonts w:ascii="Times New Roman" w:eastAsia="Calibri" w:hAnsi="Times New Roman"/>
        <w:i/>
        <w:sz w:val="18"/>
        <w:szCs w:val="22"/>
      </w:rPr>
      <w:t>.</w:t>
    </w:r>
  </w:p>
  <w:p w14:paraId="1BEE45D4" w14:textId="77777777" w:rsidR="00EE3FD5" w:rsidRDefault="00811C8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EF99D6D" w14:textId="77777777" w:rsidR="00EE3FD5" w:rsidRDefault="00811C8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919160B" w14:textId="77777777" w:rsidR="00EE3FD5" w:rsidRDefault="00811C8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6F8DB9" w14:textId="77777777" w:rsidR="00EE3FD5" w:rsidRDefault="00811C8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D295" w14:textId="54E69850" w:rsidR="00A475D5" w:rsidRDefault="00980118">
    <w:pPr>
      <w:pStyle w:val="Header"/>
    </w:pPr>
    <w:r>
      <w:rPr>
        <w:noProof/>
      </w:rPr>
      <w:pict w14:anchorId="1A128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50" o:spid="_x0000_s2053" type="#_x0000_t136" style="position:absolute;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5A22" w14:textId="5DFFB724" w:rsidR="00A475D5" w:rsidRDefault="00980118">
    <w:pPr>
      <w:pStyle w:val="Header"/>
    </w:pPr>
    <w:r>
      <w:rPr>
        <w:noProof/>
      </w:rPr>
      <w:pict w14:anchorId="467DA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51" o:spid="_x0000_s2054"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318C" w14:textId="7D9C0314" w:rsidR="00A475D5" w:rsidRDefault="00980118">
    <w:pPr>
      <w:pStyle w:val="Header"/>
    </w:pPr>
    <w:r>
      <w:rPr>
        <w:noProof/>
      </w:rPr>
      <w:pict w14:anchorId="0AC9D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66549" o:spid="_x0000_s2052"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B82663"/>
    <w:multiLevelType w:val="singleLevel"/>
    <w:tmpl w:val="F1B82663"/>
    <w:lvl w:ilvl="0">
      <w:start w:val="15"/>
      <w:numFmt w:val="decimal"/>
      <w:suff w:val="space"/>
      <w:lvlText w:val="%1."/>
      <w:lvlJc w:val="left"/>
    </w:lvl>
  </w:abstractNum>
  <w:abstractNum w:abstractNumId="1" w15:restartNumberingAfterBreak="0">
    <w:nsid w:val="4172A99A"/>
    <w:multiLevelType w:val="singleLevel"/>
    <w:tmpl w:val="4172A99A"/>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zI3NDK2MLMwszRX0lEKTi0uzszPAykwrgUAlTVwtiwAAAA="/>
  </w:docVars>
  <w:rsids>
    <w:rsidRoot w:val="00172A27"/>
    <w:rsid w:val="00023280"/>
    <w:rsid w:val="00106067"/>
    <w:rsid w:val="001476BB"/>
    <w:rsid w:val="00172A27"/>
    <w:rsid w:val="00187A60"/>
    <w:rsid w:val="00216E61"/>
    <w:rsid w:val="00227ABB"/>
    <w:rsid w:val="00277894"/>
    <w:rsid w:val="00340979"/>
    <w:rsid w:val="003E0116"/>
    <w:rsid w:val="00514450"/>
    <w:rsid w:val="00523649"/>
    <w:rsid w:val="0053136A"/>
    <w:rsid w:val="005A0906"/>
    <w:rsid w:val="00647774"/>
    <w:rsid w:val="006710A8"/>
    <w:rsid w:val="006F74CC"/>
    <w:rsid w:val="0070664E"/>
    <w:rsid w:val="00725E01"/>
    <w:rsid w:val="007944CF"/>
    <w:rsid w:val="00811C81"/>
    <w:rsid w:val="0089122F"/>
    <w:rsid w:val="00980118"/>
    <w:rsid w:val="00996ADC"/>
    <w:rsid w:val="00996F54"/>
    <w:rsid w:val="00A014EB"/>
    <w:rsid w:val="00A475D5"/>
    <w:rsid w:val="00BB2634"/>
    <w:rsid w:val="00C00AA9"/>
    <w:rsid w:val="00C73C7E"/>
    <w:rsid w:val="00CC1BE8"/>
    <w:rsid w:val="00CF0C7D"/>
    <w:rsid w:val="00E42101"/>
    <w:rsid w:val="00E535DC"/>
    <w:rsid w:val="00E95C73"/>
    <w:rsid w:val="00EE3FD5"/>
    <w:rsid w:val="00F14C5C"/>
    <w:rsid w:val="00F17DD4"/>
    <w:rsid w:val="00F261AC"/>
    <w:rsid w:val="00F67CFE"/>
    <w:rsid w:val="00FC0365"/>
    <w:rsid w:val="010121B4"/>
    <w:rsid w:val="022A4754"/>
    <w:rsid w:val="033E7560"/>
    <w:rsid w:val="034F2C81"/>
    <w:rsid w:val="053B4F8F"/>
    <w:rsid w:val="05921402"/>
    <w:rsid w:val="06285D29"/>
    <w:rsid w:val="07897E26"/>
    <w:rsid w:val="08502684"/>
    <w:rsid w:val="08C068E7"/>
    <w:rsid w:val="09F826F1"/>
    <w:rsid w:val="0B790C6D"/>
    <w:rsid w:val="0B8C5B00"/>
    <w:rsid w:val="0C38149C"/>
    <w:rsid w:val="0C830864"/>
    <w:rsid w:val="0D1B0366"/>
    <w:rsid w:val="0D23109A"/>
    <w:rsid w:val="0D542EEE"/>
    <w:rsid w:val="0E4C2BC1"/>
    <w:rsid w:val="0FD629AB"/>
    <w:rsid w:val="10977CE3"/>
    <w:rsid w:val="11521D1E"/>
    <w:rsid w:val="133A093E"/>
    <w:rsid w:val="14FA66F7"/>
    <w:rsid w:val="16910080"/>
    <w:rsid w:val="18085437"/>
    <w:rsid w:val="184B341D"/>
    <w:rsid w:val="195B4191"/>
    <w:rsid w:val="1E4C3240"/>
    <w:rsid w:val="20297421"/>
    <w:rsid w:val="20B96BBD"/>
    <w:rsid w:val="221948AF"/>
    <w:rsid w:val="23083840"/>
    <w:rsid w:val="27A3133B"/>
    <w:rsid w:val="27FB75DF"/>
    <w:rsid w:val="27FE1B38"/>
    <w:rsid w:val="28572556"/>
    <w:rsid w:val="28701767"/>
    <w:rsid w:val="2AE666D2"/>
    <w:rsid w:val="2AF670D9"/>
    <w:rsid w:val="2CCD2011"/>
    <w:rsid w:val="2FA07530"/>
    <w:rsid w:val="30401638"/>
    <w:rsid w:val="30F92FE5"/>
    <w:rsid w:val="32866BD7"/>
    <w:rsid w:val="342949DB"/>
    <w:rsid w:val="34FC16D0"/>
    <w:rsid w:val="38074FC1"/>
    <w:rsid w:val="385602EA"/>
    <w:rsid w:val="3B977B51"/>
    <w:rsid w:val="3C593051"/>
    <w:rsid w:val="3D8A4574"/>
    <w:rsid w:val="3F251027"/>
    <w:rsid w:val="4057049F"/>
    <w:rsid w:val="41941FB2"/>
    <w:rsid w:val="42ED5653"/>
    <w:rsid w:val="431F762D"/>
    <w:rsid w:val="43E95C26"/>
    <w:rsid w:val="43F4090A"/>
    <w:rsid w:val="43F4670C"/>
    <w:rsid w:val="44160097"/>
    <w:rsid w:val="44972FAA"/>
    <w:rsid w:val="46166F98"/>
    <w:rsid w:val="46BF5306"/>
    <w:rsid w:val="46E64066"/>
    <w:rsid w:val="470F78A3"/>
    <w:rsid w:val="48934632"/>
    <w:rsid w:val="49175A7A"/>
    <w:rsid w:val="4A687A06"/>
    <w:rsid w:val="4BC05088"/>
    <w:rsid w:val="4C321CB5"/>
    <w:rsid w:val="4D37308F"/>
    <w:rsid w:val="4D3D03C8"/>
    <w:rsid w:val="4E8428DD"/>
    <w:rsid w:val="4FD16CF7"/>
    <w:rsid w:val="50F1625A"/>
    <w:rsid w:val="51956D68"/>
    <w:rsid w:val="52421573"/>
    <w:rsid w:val="530E63FB"/>
    <w:rsid w:val="5415227F"/>
    <w:rsid w:val="54204B40"/>
    <w:rsid w:val="54DC31DB"/>
    <w:rsid w:val="569272B9"/>
    <w:rsid w:val="571E3FA4"/>
    <w:rsid w:val="57652CE4"/>
    <w:rsid w:val="576D5090"/>
    <w:rsid w:val="57B54CF4"/>
    <w:rsid w:val="5B4F6DF9"/>
    <w:rsid w:val="5B5041DA"/>
    <w:rsid w:val="5BD218CF"/>
    <w:rsid w:val="5C447CC6"/>
    <w:rsid w:val="5D5B0DB7"/>
    <w:rsid w:val="60C367B5"/>
    <w:rsid w:val="618B4BE0"/>
    <w:rsid w:val="61D41755"/>
    <w:rsid w:val="62173BF9"/>
    <w:rsid w:val="62BC7C0A"/>
    <w:rsid w:val="62FE0980"/>
    <w:rsid w:val="636E32B1"/>
    <w:rsid w:val="65A11F4C"/>
    <w:rsid w:val="666B32B4"/>
    <w:rsid w:val="67AB7DC0"/>
    <w:rsid w:val="682F601A"/>
    <w:rsid w:val="6B234374"/>
    <w:rsid w:val="6B3A7AF3"/>
    <w:rsid w:val="6DC30922"/>
    <w:rsid w:val="6E306D57"/>
    <w:rsid w:val="6E4A7901"/>
    <w:rsid w:val="6F3D7161"/>
    <w:rsid w:val="70371236"/>
    <w:rsid w:val="70883DDA"/>
    <w:rsid w:val="72D043AB"/>
    <w:rsid w:val="736C11ED"/>
    <w:rsid w:val="761F61D8"/>
    <w:rsid w:val="76AC72AD"/>
    <w:rsid w:val="76B63BA5"/>
    <w:rsid w:val="774614BE"/>
    <w:rsid w:val="79092423"/>
    <w:rsid w:val="7B077B06"/>
    <w:rsid w:val="7BC96724"/>
    <w:rsid w:val="7CEF488E"/>
    <w:rsid w:val="7D937014"/>
    <w:rsid w:val="7F22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81A8240"/>
  <w15:docId w15:val="{E06EBAB1-3941-40A1-9F4B-BAF57BA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qFormat/>
    <w:pPr>
      <w:spacing w:beforeAutospacing="1" w:afterAutospacing="1"/>
    </w:pPr>
    <w:rPr>
      <w:sz w:val="24"/>
      <w:szCs w:val="24"/>
      <w:lang w:eastAsia="zh-CN"/>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character" w:styleId="LineNumber">
    <w:name w:val="line number"/>
    <w:basedOn w:val="DefaultParagraphFont"/>
    <w:rsid w:val="00514450"/>
  </w:style>
  <w:style w:type="character" w:styleId="UnresolvedMention">
    <w:name w:val="Unresolved Mention"/>
    <w:basedOn w:val="DefaultParagraphFont"/>
    <w:uiPriority w:val="99"/>
    <w:semiHidden/>
    <w:unhideWhenUsed/>
    <w:rsid w:val="00514450"/>
    <w:rPr>
      <w:color w:val="605E5C"/>
      <w:shd w:val="clear" w:color="auto" w:fill="E1DFDD"/>
    </w:rPr>
  </w:style>
  <w:style w:type="table" w:styleId="TableGrid">
    <w:name w:val="Table Grid"/>
    <w:basedOn w:val="TableNormal"/>
    <w:uiPriority w:val="39"/>
    <w:rsid w:val="0051445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187A60"/>
    <w:rPr>
      <w:rFonts w:ascii="Helvetica" w:eastAsia="Times New Roman" w:hAnsi="Helvetica"/>
    </w:rPr>
  </w:style>
  <w:style w:type="paragraph" w:styleId="BalloonText">
    <w:name w:val="Balloon Text"/>
    <w:basedOn w:val="Normal"/>
    <w:link w:val="BalloonTextChar"/>
    <w:rsid w:val="00023280"/>
    <w:rPr>
      <w:rFonts w:ascii="Segoe UI" w:hAnsi="Segoe UI" w:cs="Segoe UI"/>
      <w:sz w:val="18"/>
      <w:szCs w:val="18"/>
    </w:rPr>
  </w:style>
  <w:style w:type="character" w:customStyle="1" w:styleId="BalloonTextChar">
    <w:name w:val="Balloon Text Char"/>
    <w:basedOn w:val="DefaultParagraphFont"/>
    <w:link w:val="BalloonText"/>
    <w:rsid w:val="000232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891">
      <w:bodyDiv w:val="1"/>
      <w:marLeft w:val="0"/>
      <w:marRight w:val="0"/>
      <w:marTop w:val="0"/>
      <w:marBottom w:val="0"/>
      <w:divBdr>
        <w:top w:val="none" w:sz="0" w:space="0" w:color="auto"/>
        <w:left w:val="none" w:sz="0" w:space="0" w:color="auto"/>
        <w:bottom w:val="none" w:sz="0" w:space="0" w:color="auto"/>
        <w:right w:val="none" w:sz="0" w:space="0" w:color="auto"/>
      </w:divBdr>
    </w:div>
    <w:div w:id="43216189">
      <w:bodyDiv w:val="1"/>
      <w:marLeft w:val="0"/>
      <w:marRight w:val="0"/>
      <w:marTop w:val="0"/>
      <w:marBottom w:val="0"/>
      <w:divBdr>
        <w:top w:val="none" w:sz="0" w:space="0" w:color="auto"/>
        <w:left w:val="none" w:sz="0" w:space="0" w:color="auto"/>
        <w:bottom w:val="none" w:sz="0" w:space="0" w:color="auto"/>
        <w:right w:val="none" w:sz="0" w:space="0" w:color="auto"/>
      </w:divBdr>
    </w:div>
    <w:div w:id="531261216">
      <w:bodyDiv w:val="1"/>
      <w:marLeft w:val="0"/>
      <w:marRight w:val="0"/>
      <w:marTop w:val="0"/>
      <w:marBottom w:val="0"/>
      <w:divBdr>
        <w:top w:val="none" w:sz="0" w:space="0" w:color="auto"/>
        <w:left w:val="none" w:sz="0" w:space="0" w:color="auto"/>
        <w:bottom w:val="none" w:sz="0" w:space="0" w:color="auto"/>
        <w:right w:val="none" w:sz="0" w:space="0" w:color="auto"/>
      </w:divBdr>
    </w:div>
    <w:div w:id="588781773">
      <w:bodyDiv w:val="1"/>
      <w:marLeft w:val="0"/>
      <w:marRight w:val="0"/>
      <w:marTop w:val="0"/>
      <w:marBottom w:val="0"/>
      <w:divBdr>
        <w:top w:val="none" w:sz="0" w:space="0" w:color="auto"/>
        <w:left w:val="none" w:sz="0" w:space="0" w:color="auto"/>
        <w:bottom w:val="none" w:sz="0" w:space="0" w:color="auto"/>
        <w:right w:val="none" w:sz="0" w:space="0" w:color="auto"/>
      </w:divBdr>
    </w:div>
    <w:div w:id="880942437">
      <w:bodyDiv w:val="1"/>
      <w:marLeft w:val="0"/>
      <w:marRight w:val="0"/>
      <w:marTop w:val="0"/>
      <w:marBottom w:val="0"/>
      <w:divBdr>
        <w:top w:val="none" w:sz="0" w:space="0" w:color="auto"/>
        <w:left w:val="none" w:sz="0" w:space="0" w:color="auto"/>
        <w:bottom w:val="none" w:sz="0" w:space="0" w:color="auto"/>
        <w:right w:val="none" w:sz="0" w:space="0" w:color="auto"/>
      </w:divBdr>
    </w:div>
    <w:div w:id="970355569">
      <w:bodyDiv w:val="1"/>
      <w:marLeft w:val="0"/>
      <w:marRight w:val="0"/>
      <w:marTop w:val="0"/>
      <w:marBottom w:val="0"/>
      <w:divBdr>
        <w:top w:val="none" w:sz="0" w:space="0" w:color="auto"/>
        <w:left w:val="none" w:sz="0" w:space="0" w:color="auto"/>
        <w:bottom w:val="none" w:sz="0" w:space="0" w:color="auto"/>
        <w:right w:val="none" w:sz="0" w:space="0" w:color="auto"/>
      </w:divBdr>
    </w:div>
    <w:div w:id="1286887041">
      <w:bodyDiv w:val="1"/>
      <w:marLeft w:val="0"/>
      <w:marRight w:val="0"/>
      <w:marTop w:val="0"/>
      <w:marBottom w:val="0"/>
      <w:divBdr>
        <w:top w:val="none" w:sz="0" w:space="0" w:color="auto"/>
        <w:left w:val="none" w:sz="0" w:space="0" w:color="auto"/>
        <w:bottom w:val="none" w:sz="0" w:space="0" w:color="auto"/>
        <w:right w:val="none" w:sz="0" w:space="0" w:color="auto"/>
      </w:divBdr>
    </w:div>
    <w:div w:id="1622027654">
      <w:bodyDiv w:val="1"/>
      <w:marLeft w:val="0"/>
      <w:marRight w:val="0"/>
      <w:marTop w:val="0"/>
      <w:marBottom w:val="0"/>
      <w:divBdr>
        <w:top w:val="none" w:sz="0" w:space="0" w:color="auto"/>
        <w:left w:val="none" w:sz="0" w:space="0" w:color="auto"/>
        <w:bottom w:val="none" w:sz="0" w:space="0" w:color="auto"/>
        <w:right w:val="none" w:sz="0" w:space="0" w:color="auto"/>
      </w:divBdr>
    </w:div>
    <w:div w:id="1990816805">
      <w:bodyDiv w:val="1"/>
      <w:marLeft w:val="0"/>
      <w:marRight w:val="0"/>
      <w:marTop w:val="0"/>
      <w:marBottom w:val="0"/>
      <w:divBdr>
        <w:top w:val="none" w:sz="0" w:space="0" w:color="auto"/>
        <w:left w:val="none" w:sz="0" w:space="0" w:color="auto"/>
        <w:bottom w:val="none" w:sz="0" w:space="0" w:color="auto"/>
        <w:right w:val="none" w:sz="0" w:space="0" w:color="auto"/>
      </w:divBdr>
    </w:div>
    <w:div w:id="1992437805">
      <w:bodyDiv w:val="1"/>
      <w:marLeft w:val="0"/>
      <w:marRight w:val="0"/>
      <w:marTop w:val="0"/>
      <w:marBottom w:val="0"/>
      <w:divBdr>
        <w:top w:val="none" w:sz="0" w:space="0" w:color="auto"/>
        <w:left w:val="none" w:sz="0" w:space="0" w:color="auto"/>
        <w:bottom w:val="none" w:sz="0" w:space="0" w:color="auto"/>
        <w:right w:val="none" w:sz="0" w:space="0" w:color="auto"/>
      </w:divBdr>
    </w:div>
    <w:div w:id="2006007381">
      <w:bodyDiv w:val="1"/>
      <w:marLeft w:val="0"/>
      <w:marRight w:val="0"/>
      <w:marTop w:val="0"/>
      <w:marBottom w:val="0"/>
      <w:divBdr>
        <w:top w:val="none" w:sz="0" w:space="0" w:color="auto"/>
        <w:left w:val="none" w:sz="0" w:space="0" w:color="auto"/>
        <w:bottom w:val="none" w:sz="0" w:space="0" w:color="auto"/>
        <w:right w:val="none" w:sz="0" w:space="0" w:color="auto"/>
      </w:divBdr>
    </w:div>
    <w:div w:id="2126657930">
      <w:bodyDiv w:val="1"/>
      <w:marLeft w:val="0"/>
      <w:marRight w:val="0"/>
      <w:marTop w:val="0"/>
      <w:marBottom w:val="0"/>
      <w:divBdr>
        <w:top w:val="none" w:sz="0" w:space="0" w:color="auto"/>
        <w:left w:val="none" w:sz="0" w:space="0" w:color="auto"/>
        <w:bottom w:val="none" w:sz="0" w:space="0" w:color="auto"/>
        <w:right w:val="none" w:sz="0" w:space="0" w:color="auto"/>
      </w:divBdr>
    </w:div>
    <w:div w:id="213544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jcm131029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7/gmh.2024.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alz.073714" TargetMode="External"/><Relationship Id="rId20" Type="http://schemas.openxmlformats.org/officeDocument/2006/relationships/hyperlink" Target="https://doi.org/10.1016/j.lana.2025.1012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cbi.nlm.nih.gov/pmc/articles/PMC57699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RISTABEL%20FRANCIS\Desktop\DR%20ERU%20MANUSCRIPT\DEMENTI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RISTABEL%20FRANCIS\Desktop\DR%20ERU%20MANUSCRIPT\DEMENTI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'[DEMENTIA ANALYSIS.xlsx]Sheet1'!$H$48</c:f>
              <c:strCache>
                <c:ptCount val="1"/>
                <c:pt idx="0">
                  <c:v>Male </c:v>
                </c:pt>
              </c:strCache>
            </c:strRef>
          </c:tx>
          <c:spPr>
            <a:pattFill prst="wdUpDiag">
              <a:fgClr>
                <a:schemeClr val="tx1"/>
              </a:fgClr>
              <a:bgClr>
                <a:srgbClr val="FFFFFF"/>
              </a:bgClr>
            </a:pattFill>
            <a:ln w="9525">
              <a:solidFill>
                <a:schemeClr val="tx1"/>
              </a:solidFill>
            </a:ln>
            <a:effectLst/>
            <a:sp3d contourW="9525"/>
          </c:spPr>
          <c:invertIfNegative val="0"/>
          <c:dPt>
            <c:idx val="0"/>
            <c:invertIfNegative val="0"/>
            <c:bubble3D val="0"/>
            <c:extLst>
              <c:ext xmlns:c16="http://schemas.microsoft.com/office/drawing/2014/chart" uri="{C3380CC4-5D6E-409C-BE32-E72D297353CC}">
                <c16:uniqueId val="{00000000-8A38-4BD7-A1D4-7503F97BCD66}"/>
              </c:ext>
            </c:extLst>
          </c:dPt>
          <c:errBars>
            <c:errBarType val="both"/>
            <c:errValType val="percentage"/>
            <c:noEndCap val="0"/>
            <c:val val="5"/>
            <c:spPr>
              <a:noFill/>
              <a:ln w="9525" cap="flat" cmpd="sng" algn="ctr">
                <a:solidFill>
                  <a:schemeClr val="tx1">
                    <a:lumMod val="65000"/>
                    <a:lumOff val="35000"/>
                  </a:schemeClr>
                </a:solidFill>
                <a:round/>
              </a:ln>
              <a:effectLst/>
            </c:spPr>
          </c:errBars>
          <c:cat>
            <c:strRef>
              <c:f>'[DEMENTIA ANALYSIS.xlsx]Sheet1'!$G$49:$G$51</c:f>
              <c:strCache>
                <c:ptCount val="3"/>
                <c:pt idx="0">
                  <c:v>2011-2014</c:v>
                </c:pt>
                <c:pt idx="1">
                  <c:v>2015-2018</c:v>
                </c:pt>
                <c:pt idx="2">
                  <c:v>2019-2021</c:v>
                </c:pt>
              </c:strCache>
            </c:strRef>
          </c:cat>
          <c:val>
            <c:numRef>
              <c:f>'[DEMENTIA ANALYSIS.xlsx]Sheet1'!$H$49:$H$51</c:f>
              <c:numCache>
                <c:formatCode>0.00%</c:formatCode>
                <c:ptCount val="3"/>
                <c:pt idx="0">
                  <c:v>0.19500000000000001</c:v>
                </c:pt>
                <c:pt idx="1">
                  <c:v>0.159</c:v>
                </c:pt>
                <c:pt idx="2">
                  <c:v>8.2000000000000003E-2</c:v>
                </c:pt>
              </c:numCache>
            </c:numRef>
          </c:val>
          <c:extLst>
            <c:ext xmlns:c16="http://schemas.microsoft.com/office/drawing/2014/chart" uri="{C3380CC4-5D6E-409C-BE32-E72D297353CC}">
              <c16:uniqueId val="{00000001-8A38-4BD7-A1D4-7503F97BCD66}"/>
            </c:ext>
          </c:extLst>
        </c:ser>
        <c:ser>
          <c:idx val="1"/>
          <c:order val="1"/>
          <c:tx>
            <c:strRef>
              <c:f>'[DEMENTIA ANALYSIS.xlsx]Sheet1'!$I$48</c:f>
              <c:strCache>
                <c:ptCount val="1"/>
                <c:pt idx="0">
                  <c:v>Female</c:v>
                </c:pt>
              </c:strCache>
            </c:strRef>
          </c:tx>
          <c:spPr>
            <a:pattFill prst="smGrid">
              <a:fgClr>
                <a:schemeClr val="tx1"/>
              </a:fgClr>
              <a:bgClr>
                <a:srgbClr val="FFFFFF"/>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'[DEMENTIA ANALYSIS.xlsx]Sheet1'!$G$49:$G$51</c:f>
              <c:strCache>
                <c:ptCount val="3"/>
                <c:pt idx="0">
                  <c:v>2011-2014</c:v>
                </c:pt>
                <c:pt idx="1">
                  <c:v>2015-2018</c:v>
                </c:pt>
                <c:pt idx="2">
                  <c:v>2019-2021</c:v>
                </c:pt>
              </c:strCache>
            </c:strRef>
          </c:cat>
          <c:val>
            <c:numRef>
              <c:f>'[DEMENTIA ANALYSIS.xlsx]Sheet1'!$I$49:$I$51</c:f>
              <c:numCache>
                <c:formatCode>0.00%</c:formatCode>
                <c:ptCount val="3"/>
                <c:pt idx="0">
                  <c:v>0.221</c:v>
                </c:pt>
                <c:pt idx="1">
                  <c:v>0.19500000000000001</c:v>
                </c:pt>
                <c:pt idx="2">
                  <c:v>0.14799999999999999</c:v>
                </c:pt>
              </c:numCache>
            </c:numRef>
          </c:val>
          <c:extLst>
            <c:ext xmlns:c16="http://schemas.microsoft.com/office/drawing/2014/chart" uri="{C3380CC4-5D6E-409C-BE32-E72D297353CC}">
              <c16:uniqueId val="{00000002-8A38-4BD7-A1D4-7503F97BCD66}"/>
            </c:ext>
          </c:extLst>
        </c:ser>
        <c:dLbls>
          <c:showLegendKey val="0"/>
          <c:showVal val="0"/>
          <c:showCatName val="0"/>
          <c:showSerName val="0"/>
          <c:showPercent val="0"/>
          <c:showBubbleSize val="0"/>
        </c:dLbls>
        <c:gapWidth val="246"/>
        <c:overlap val="-28"/>
        <c:axId val="451326978"/>
        <c:axId val="119524725"/>
      </c:barChart>
      <c:catAx>
        <c:axId val="451326978"/>
        <c:scaling>
          <c:orientation val="minMax"/>
        </c:scaling>
        <c:delete val="0"/>
        <c:axPos val="b"/>
        <c:title>
          <c:tx>
            <c:rich>
              <a:bodyPr rot="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r>
                  <a:rPr lang="en-US" altLang="en-GB" b="1"/>
                  <a:t>Duration (years)</a:t>
                </a:r>
              </a:p>
            </c:rich>
          </c:tx>
          <c:overlay val="0"/>
          <c:spPr>
            <a:noFill/>
            <a:ln>
              <a:noFill/>
            </a:ln>
            <a:effectLst/>
          </c:spPr>
          <c:txPr>
            <a:bodyPr rot="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524725"/>
        <c:crossesAt val="0"/>
        <c:auto val="1"/>
        <c:lblAlgn val="ctr"/>
        <c:lblOffset val="100"/>
        <c:noMultiLvlLbl val="0"/>
      </c:catAx>
      <c:valAx>
        <c:axId val="119524725"/>
        <c:scaling>
          <c:orientation val="minMax"/>
        </c:scaling>
        <c:delete val="0"/>
        <c:axPos val="l"/>
        <c:title>
          <c:tx>
            <c:rich>
              <a:bodyPr rot="-540000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r>
                  <a:rPr lang="en-US" altLang="en-GB" b="1"/>
                  <a:t>Percentage (%)</a:t>
                </a:r>
              </a:p>
            </c:rich>
          </c:tx>
          <c:overlay val="0"/>
          <c:spPr>
            <a:noFill/>
            <a:ln>
              <a:noFill/>
            </a:ln>
            <a:effectLst/>
          </c:spPr>
          <c:txPr>
            <a:bodyPr rot="-5400000" spcFirstLastPara="0" vertOverflow="ellipsis" vert="horz" wrap="square" anchor="ctr" anchorCtr="1"/>
            <a:lstStyle/>
            <a:p>
              <a:pPr defTabSz="914400">
                <a:defRPr lang="en-GB"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cross"/>
        <c:minorTickMark val="none"/>
        <c:tickLblPos val="nextTo"/>
        <c:spPr>
          <a:noFill/>
          <a:ln>
            <a:solidFill>
              <a:schemeClr val="accent1"/>
            </a:solidFill>
          </a:ln>
          <a:effectLst/>
        </c:spPr>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45132697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7dde287-4184-4a60-846d-22962444e07e}"/>
      </c:ext>
    </c:extLst>
  </c:chart>
  <c:spPr>
    <a:solidFill>
      <a:schemeClr val="bg1"/>
    </a:solidFill>
    <a:ln w="9525" cap="flat" cmpd="sng" algn="ctr">
      <a:solidFill>
        <a:schemeClr val="tx1"/>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4.3415340086830701E-3"/>
          <c:y val="0.101086956521739"/>
          <c:w val="0.94211287988422598"/>
          <c:h val="0.74021739130434805"/>
        </c:manualLayout>
      </c:layout>
      <c:pie3DChart>
        <c:varyColors val="1"/>
        <c:ser>
          <c:idx val="0"/>
          <c:order val="0"/>
          <c:tx>
            <c:strRef>
              <c:f>'[DEMENTIA ANALYSIS.xlsx]Sheet1'!$G$59</c:f>
              <c:strCache>
                <c:ptCount val="1"/>
                <c:pt idx="0">
                  <c:v>Percentage (%)</c:v>
                </c:pt>
              </c:strCache>
            </c:strRef>
          </c:tx>
          <c:spPr>
            <a:scene3d>
              <a:camera prst="orthographicFront"/>
              <a:lightRig rig="threePt" dir="t"/>
            </a:scene3d>
            <a:sp3d contourW="9525"/>
          </c:spPr>
          <c:dPt>
            <c:idx val="0"/>
            <c:bubble3D val="0"/>
            <c:spPr>
              <a:solidFill>
                <a:schemeClr val="accent6"/>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15FF-4857-97D3-A0FCD2B49017}"/>
              </c:ext>
            </c:extLst>
          </c:dPt>
          <c:dPt>
            <c:idx val="1"/>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15FF-4857-97D3-A0FCD2B49017}"/>
              </c:ext>
            </c:extLst>
          </c:dPt>
          <c:dPt>
            <c:idx val="2"/>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15FF-4857-97D3-A0FCD2B49017}"/>
              </c:ext>
            </c:extLst>
          </c:dPt>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'[DEMENTIA ANALYSIS.xlsx]Sheet1'!$E$60:$E$62</c:f>
              <c:strCache>
                <c:ptCount val="3"/>
                <c:pt idx="0">
                  <c:v>Alzheimer's disease</c:v>
                </c:pt>
                <c:pt idx="1">
                  <c:v>Mixed dementia</c:v>
                </c:pt>
                <c:pt idx="2">
                  <c:v>Vascular (alcohol) dementia</c:v>
                </c:pt>
              </c:strCache>
            </c:strRef>
          </c:cat>
          <c:val>
            <c:numRef>
              <c:f>'[DEMENTIA ANALYSIS.xlsx]Sheet1'!$G$60:$G$62</c:f>
              <c:numCache>
                <c:formatCode>General</c:formatCode>
                <c:ptCount val="3"/>
                <c:pt idx="0">
                  <c:v>57.9</c:v>
                </c:pt>
                <c:pt idx="1">
                  <c:v>27.7</c:v>
                </c:pt>
                <c:pt idx="2">
                  <c:v>14.4</c:v>
                </c:pt>
              </c:numCache>
            </c:numRef>
          </c:val>
          <c:extLst>
            <c:ext xmlns:c16="http://schemas.microsoft.com/office/drawing/2014/chart" uri="{C3380CC4-5D6E-409C-BE32-E72D297353CC}">
              <c16:uniqueId val="{00000006-15FF-4857-97D3-A0FCD2B49017}"/>
            </c:ext>
          </c:extLst>
        </c:ser>
        <c:dLbls>
          <c:showLegendKey val="0"/>
          <c:showVal val="0"/>
          <c:showCatName val="0"/>
          <c:showSerName val="0"/>
          <c:showPercent val="1"/>
          <c:showBubbleSize val="0"/>
          <c:showLeaderLines val="1"/>
        </c:dLbls>
      </c:pie3DChart>
      <c:spPr>
        <a:noFill/>
        <a:ln>
          <a:noFill/>
        </a:ln>
        <a:effectLst/>
      </c:spPr>
    </c:plotArea>
    <c:legend>
      <c:legendPos val="t"/>
      <c:legendEntry>
        <c:idx val="0"/>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2"/>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Entry>
      <c:layout>
        <c:manualLayout>
          <c:xMode val="edge"/>
          <c:yMode val="edge"/>
          <c:x val="0.101652163150278"/>
          <c:y val="0.90135869565217397"/>
        </c:manualLayout>
      </c:layout>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extLst>
      <c:ext uri="{0b15fc19-7d7d-44ad-8c2d-2c3a37ce22c3}">
        <chartProps xmlns="https://web.wps.cn/et/2018/main" chartId="{576bf6b0-b267-4e49-a9b2-1306f9e234ef}"/>
      </c:ext>
    </c:extLst>
  </c:chart>
  <c:spPr>
    <a:solidFill>
      <a:schemeClr val="bg1"/>
    </a:solidFill>
    <a:ln w="9525" cap="flat" cmpd="sng" algn="ctr">
      <a:solidFill>
        <a:schemeClr val="tx1"/>
      </a:solidFill>
      <a:round/>
    </a:ln>
    <a:effectLst/>
  </c:spPr>
  <c:txPr>
    <a:bodyPr/>
    <a:lstStyle/>
    <a:p>
      <a:pPr>
        <a:defRPr lang="en-GB">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WPS_1754139648</dc:creator>
  <cp:lastModifiedBy>Editor-1183</cp:lastModifiedBy>
  <cp:revision>26</cp:revision>
  <dcterms:created xsi:type="dcterms:W3CDTF">2026-03-10T13:04:00Z</dcterms:created>
  <dcterms:modified xsi:type="dcterms:W3CDTF">2026-04-06T04:34:00Z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550843B638774A478697FB77543C9154_11</vt:lpwstr>
  </property>
  <property fmtid="{D5CDD505-2E9C-101B-9397-08002B2CF9AE}" pid="4" name="GrammarlyDocumentId">
    <vt:lpwstr>38470c0a-b9d5-4a5f-8623-46898343762c</vt:lpwstr>
  </property>
</Properties>
</file>