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8A1F" w14:textId="195B146F" w:rsidR="00163BC4" w:rsidRPr="00163BC4" w:rsidRDefault="009634CE" w:rsidP="00002BE2">
      <w:pPr>
        <w:pStyle w:val="Author"/>
        <w:spacing w:line="240" w:lineRule="auto"/>
        <w:rPr>
          <w:rFonts w:ascii="Arial" w:hAnsi="Arial" w:cs="Arial"/>
          <w:bCs/>
          <w:iCs/>
          <w:kern w:val="28"/>
          <w:sz w:val="36"/>
        </w:rPr>
      </w:pPr>
      <w:r w:rsidRPr="009634CE">
        <w:rPr>
          <w:rFonts w:ascii="Arial" w:hAnsi="Arial" w:cs="Arial"/>
          <w:bCs/>
          <w:iCs/>
          <w:kern w:val="28"/>
          <w:sz w:val="36"/>
        </w:rPr>
        <w:t xml:space="preserve">Prevalence </w:t>
      </w:r>
      <w:r w:rsidR="009163BE">
        <w:rPr>
          <w:rFonts w:ascii="Arial" w:hAnsi="Arial" w:cs="Arial"/>
          <w:bCs/>
          <w:iCs/>
          <w:kern w:val="28"/>
          <w:sz w:val="36"/>
        </w:rPr>
        <w:t>a</w:t>
      </w:r>
      <w:r w:rsidRPr="009634CE">
        <w:rPr>
          <w:rFonts w:ascii="Arial" w:hAnsi="Arial" w:cs="Arial"/>
          <w:bCs/>
          <w:iCs/>
          <w:kern w:val="28"/>
          <w:sz w:val="36"/>
        </w:rPr>
        <w:t xml:space="preserve">nd Related Factors </w:t>
      </w:r>
      <w:r w:rsidR="009163BE">
        <w:rPr>
          <w:rFonts w:ascii="Arial" w:hAnsi="Arial" w:cs="Arial"/>
          <w:bCs/>
          <w:iCs/>
          <w:kern w:val="28"/>
          <w:sz w:val="36"/>
        </w:rPr>
        <w:t>o</w:t>
      </w:r>
      <w:r w:rsidRPr="009634CE">
        <w:rPr>
          <w:rFonts w:ascii="Arial" w:hAnsi="Arial" w:cs="Arial"/>
          <w:bCs/>
          <w:iCs/>
          <w:kern w:val="28"/>
          <w:sz w:val="36"/>
        </w:rPr>
        <w:t xml:space="preserve">f Burnout Among Healthcare Practitioners </w:t>
      </w:r>
      <w:r w:rsidR="009163BE">
        <w:rPr>
          <w:rFonts w:ascii="Arial" w:hAnsi="Arial" w:cs="Arial"/>
          <w:bCs/>
          <w:iCs/>
          <w:kern w:val="28"/>
          <w:sz w:val="36"/>
        </w:rPr>
        <w:t>a</w:t>
      </w:r>
      <w:r w:rsidRPr="009634CE">
        <w:rPr>
          <w:rFonts w:ascii="Arial" w:hAnsi="Arial" w:cs="Arial"/>
          <w:bCs/>
          <w:iCs/>
          <w:kern w:val="28"/>
          <w:sz w:val="36"/>
        </w:rPr>
        <w:t xml:space="preserve">t Livingstone Central Hospital </w:t>
      </w:r>
      <w:r w:rsidR="009163BE">
        <w:rPr>
          <w:rFonts w:ascii="Arial" w:hAnsi="Arial" w:cs="Arial"/>
          <w:bCs/>
          <w:iCs/>
          <w:kern w:val="28"/>
          <w:sz w:val="36"/>
        </w:rPr>
        <w:t>i</w:t>
      </w:r>
      <w:r w:rsidRPr="009634CE">
        <w:rPr>
          <w:rFonts w:ascii="Arial" w:hAnsi="Arial" w:cs="Arial"/>
          <w:bCs/>
          <w:iCs/>
          <w:kern w:val="28"/>
          <w:sz w:val="36"/>
        </w:rPr>
        <w:t>n Livingstone, Zambia</w:t>
      </w:r>
    </w:p>
    <w:p w14:paraId="536466B0" w14:textId="77777777" w:rsidR="00D448F8" w:rsidRPr="00790ADA" w:rsidRDefault="00D448F8" w:rsidP="00D448F8">
      <w:pPr>
        <w:pStyle w:val="Author"/>
        <w:spacing w:line="240" w:lineRule="auto"/>
        <w:jc w:val="both"/>
        <w:rPr>
          <w:rFonts w:ascii="Arial" w:hAnsi="Arial" w:cs="Arial"/>
          <w:sz w:val="36"/>
        </w:rPr>
      </w:pPr>
    </w:p>
    <w:p w14:paraId="2ED5C57B" w14:textId="77777777" w:rsidR="00215BF7" w:rsidRDefault="00215BF7" w:rsidP="003B388E">
      <w:pPr>
        <w:pStyle w:val="Affiliation"/>
        <w:spacing w:after="0" w:line="240" w:lineRule="auto"/>
        <w:rPr>
          <w:rFonts w:ascii="Arial" w:hAnsi="Arial" w:cs="Arial"/>
          <w:i/>
        </w:rPr>
      </w:pPr>
    </w:p>
    <w:p w14:paraId="7D5726DA" w14:textId="77777777" w:rsidR="002C57D2" w:rsidRPr="00FB3A86" w:rsidRDefault="002C57D2" w:rsidP="00441B6F">
      <w:pPr>
        <w:pStyle w:val="Affiliation"/>
        <w:spacing w:after="0" w:line="240" w:lineRule="auto"/>
        <w:jc w:val="both"/>
        <w:rPr>
          <w:rFonts w:ascii="Arial" w:hAnsi="Arial" w:cs="Arial"/>
        </w:rPr>
      </w:pPr>
    </w:p>
    <w:p w14:paraId="137A83BE" w14:textId="36958E9F" w:rsidR="00B01FCD" w:rsidRPr="00FB3A86" w:rsidRDefault="000C58A7" w:rsidP="00441B6F">
      <w:pPr>
        <w:pStyle w:val="Copyright"/>
        <w:spacing w:after="0" w:line="240" w:lineRule="auto"/>
        <w:jc w:val="both"/>
        <w:rPr>
          <w:rFonts w:ascii="Arial" w:hAnsi="Arial" w:cs="Arial"/>
        </w:rPr>
        <w:sectPr w:rsidR="00B01FCD" w:rsidRPr="00FB3A86" w:rsidSect="006B16CE">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B29433" wp14:editId="4325EE85">
                <wp:extent cx="5303520" cy="635"/>
                <wp:effectExtent l="0" t="12700" r="5080" b="12065"/>
                <wp:docPr id="17744137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E1E05B"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" strokeweight="1.5pt">
                <o:lock v:ext="edit" shapetype="f"/>
                <w10:anchorlock/>
              </v:shape>
            </w:pict>
          </mc:Fallback>
        </mc:AlternateContent>
      </w:r>
      <w:r w:rsidR="00621BFA" w:rsidRPr="00621BFA">
        <w:rPr>
          <w:rFonts w:ascii="Arial" w:hAnsi="Arial" w:cs="Arial"/>
          <w:b/>
          <w:bCs/>
          <w:sz w:val="22"/>
          <w:szCs w:val="28"/>
        </w:rPr>
        <w:t>ABSTRACT</w:t>
      </w:r>
    </w:p>
    <w:p w14:paraId="0FB020B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6F41F59" w14:textId="77777777" w:rsidTr="001E44FE">
        <w:tc>
          <w:tcPr>
            <w:tcW w:w="9576" w:type="dxa"/>
            <w:shd w:val="clear" w:color="auto" w:fill="F2F2F2"/>
          </w:tcPr>
          <w:p w14:paraId="71A37609" w14:textId="7B533315" w:rsidR="00505F06" w:rsidRPr="00BA1B01" w:rsidRDefault="00CF12A9" w:rsidP="00CF12A9">
            <w:pPr>
              <w:jc w:val="both"/>
              <w:rPr>
                <w:rFonts w:ascii="Arial" w:eastAsia="Calibri" w:hAnsi="Arial" w:cs="Arial"/>
                <w:szCs w:val="22"/>
              </w:rPr>
            </w:pPr>
            <w:r w:rsidRPr="00CF12A9">
              <w:rPr>
                <w:rFonts w:ascii="Arial" w:eastAsia="Calibri" w:hAnsi="Arial" w:cs="Arial"/>
                <w:szCs w:val="22"/>
              </w:rPr>
              <w:t xml:space="preserve">Burnout among healthcare practitioners is a critical issue affecting both the workforce and the quality of patient care. It is characterized by emotional exhaustion, depersonalization, and a reduced sense of personal accomplishment, leading to decreased job satisfaction and increased turnover rates. This study aimed to assess the prevalence and related factors of burnout among healthcare practitioners at Livingstone Central Hospital in Zambia. A cross-sectional survey was conducted with 69 healthcare practitioners at Livingstone Central Hospital. The Maslach Burnout Inventory (MBI) was used to measure burnout across three dimensions: emotional exhaustion, depersonalization, and personal achievement. Socio-demographic and work-related factors were also collected. Descriptive statistics, correlation analysis, and multiple regression analysis were employed to examine the relationships between these factors and burnout. </w:t>
            </w:r>
            <w:r w:rsidR="00D2655F" w:rsidRPr="008C54DA">
              <w:rPr>
                <w:rFonts w:ascii="Arial" w:hAnsi="Arial" w:cs="Arial"/>
              </w:rPr>
              <w:t xml:space="preserve">The findings revealed moderate levels of burnout. Emotional exhaustion averaged </w:t>
            </w:r>
            <w:r w:rsidR="00D2655F" w:rsidRPr="008C54DA">
              <w:rPr>
                <w:rStyle w:val="Strong"/>
                <w:rFonts w:ascii="Arial" w:hAnsi="Arial" w:cs="Arial"/>
                <w:b w:val="0"/>
              </w:rPr>
              <w:t>18.2</w:t>
            </w:r>
            <w:r w:rsidR="00D2655F" w:rsidRPr="008C54DA">
              <w:rPr>
                <w:rFonts w:ascii="Arial" w:hAnsi="Arial" w:cs="Arial"/>
              </w:rPr>
              <w:t xml:space="preserve">, with </w:t>
            </w:r>
            <w:r w:rsidR="00D2655F" w:rsidRPr="008C54DA">
              <w:rPr>
                <w:rStyle w:val="Strong"/>
                <w:rFonts w:ascii="Arial" w:hAnsi="Arial" w:cs="Arial"/>
                <w:b w:val="0"/>
              </w:rPr>
              <w:t>16% reporting extreme fatigue</w:t>
            </w:r>
            <w:r w:rsidR="00D2655F" w:rsidRPr="008C54DA">
              <w:rPr>
                <w:rFonts w:ascii="Arial" w:hAnsi="Arial" w:cs="Arial"/>
              </w:rPr>
              <w:t xml:space="preserve">. Depersonalization had a mean score of </w:t>
            </w:r>
            <w:r w:rsidR="00D2655F" w:rsidRPr="00F77DB1">
              <w:rPr>
                <w:rStyle w:val="Strong"/>
                <w:rFonts w:ascii="Arial" w:hAnsi="Arial" w:cs="Arial"/>
                <w:b w:val="0"/>
              </w:rPr>
              <w:t>9.8</w:t>
            </w:r>
            <w:r w:rsidR="00D2655F" w:rsidRPr="008C54DA">
              <w:rPr>
                <w:rFonts w:ascii="Arial" w:hAnsi="Arial" w:cs="Arial"/>
              </w:rPr>
              <w:t xml:space="preserve">, while personal achievement was generally low, averaging </w:t>
            </w:r>
            <w:r w:rsidR="00D2655F" w:rsidRPr="008C54DA">
              <w:rPr>
                <w:rStyle w:val="Strong"/>
                <w:rFonts w:ascii="Arial" w:hAnsi="Arial" w:cs="Arial"/>
                <w:b w:val="0"/>
              </w:rPr>
              <w:t>39.5</w:t>
            </w:r>
            <w:r w:rsidR="00D2655F" w:rsidRPr="008C54DA">
              <w:rPr>
                <w:rFonts w:ascii="Arial" w:hAnsi="Arial" w:cs="Arial"/>
              </w:rPr>
              <w:t xml:space="preserve">, with about </w:t>
            </w:r>
            <w:r w:rsidR="00D2655F" w:rsidRPr="008C54DA">
              <w:rPr>
                <w:rStyle w:val="Strong"/>
                <w:rFonts w:ascii="Arial" w:hAnsi="Arial" w:cs="Arial"/>
                <w:b w:val="0"/>
              </w:rPr>
              <w:t>61% of respondents reporting reduced accomplishment</w:t>
            </w:r>
            <w:r w:rsidR="00D2655F" w:rsidRPr="008C54DA">
              <w:rPr>
                <w:rFonts w:ascii="Arial" w:hAnsi="Arial" w:cs="Arial"/>
              </w:rPr>
              <w:t xml:space="preserve">. Age, work experience, and professional role were significantly associated with burnout dimensions. Regression analysis showed that </w:t>
            </w:r>
            <w:r w:rsidR="00D2655F" w:rsidRPr="008C54DA">
              <w:rPr>
                <w:rStyle w:val="Strong"/>
                <w:rFonts w:ascii="Arial" w:hAnsi="Arial" w:cs="Arial"/>
                <w:b w:val="0"/>
              </w:rPr>
              <w:t>workplace comfort and functionality (β = -11.2, p &lt; 0.001)</w:t>
            </w:r>
            <w:r w:rsidR="00D2655F" w:rsidRPr="008C54DA">
              <w:rPr>
                <w:rFonts w:ascii="Arial" w:hAnsi="Arial" w:cs="Arial"/>
              </w:rPr>
              <w:t xml:space="preserve"> and </w:t>
            </w:r>
            <w:r w:rsidR="00D2655F" w:rsidRPr="008C54DA">
              <w:rPr>
                <w:rStyle w:val="Strong"/>
                <w:rFonts w:ascii="Arial" w:hAnsi="Arial" w:cs="Arial"/>
                <w:b w:val="0"/>
              </w:rPr>
              <w:t>decision-making involvement (β = -7.5, p = 0.007)</w:t>
            </w:r>
            <w:r w:rsidR="00D2655F" w:rsidRPr="008C54DA">
              <w:rPr>
                <w:rFonts w:ascii="Arial" w:hAnsi="Arial" w:cs="Arial"/>
              </w:rPr>
              <w:t xml:space="preserve"> were strong protective factors, explaining about </w:t>
            </w:r>
            <w:r w:rsidR="00D2655F" w:rsidRPr="008C54DA">
              <w:rPr>
                <w:rStyle w:val="Strong"/>
                <w:rFonts w:ascii="Arial" w:hAnsi="Arial" w:cs="Arial"/>
                <w:b w:val="0"/>
              </w:rPr>
              <w:t>45%</w:t>
            </w:r>
            <w:r w:rsidR="00D2655F" w:rsidRPr="008C54DA">
              <w:rPr>
                <w:rStyle w:val="Strong"/>
                <w:rFonts w:ascii="Arial" w:hAnsi="Arial" w:cs="Arial"/>
              </w:rPr>
              <w:t xml:space="preserve"> </w:t>
            </w:r>
            <w:r w:rsidR="00D2655F" w:rsidRPr="008C54DA">
              <w:rPr>
                <w:rStyle w:val="Strong"/>
                <w:rFonts w:ascii="Arial" w:hAnsi="Arial" w:cs="Arial"/>
                <w:b w:val="0"/>
              </w:rPr>
              <w:t>of burnout variance</w:t>
            </w:r>
            <w:r w:rsidR="00D2655F" w:rsidRPr="008C54DA">
              <w:rPr>
                <w:rStyle w:val="Strong"/>
                <w:rFonts w:ascii="Arial" w:hAnsi="Arial" w:cs="Arial"/>
              </w:rPr>
              <w:t xml:space="preserve"> </w:t>
            </w:r>
            <w:r w:rsidR="00D2655F" w:rsidRPr="008C54DA">
              <w:rPr>
                <w:rStyle w:val="Strong"/>
                <w:rFonts w:ascii="Arial" w:hAnsi="Arial" w:cs="Arial"/>
                <w:b w:val="0"/>
              </w:rPr>
              <w:t>(R² = 0.445)</w:t>
            </w:r>
            <w:r w:rsidR="00D2655F" w:rsidRPr="008C54DA">
              <w:rPr>
                <w:rFonts w:ascii="Arial" w:hAnsi="Arial" w:cs="Arial"/>
              </w:rPr>
              <w:t xml:space="preserve">. Organizational support for professional growth also had a significant impact, accounting for </w:t>
            </w:r>
            <w:r w:rsidR="00D2655F" w:rsidRPr="008C54DA">
              <w:rPr>
                <w:rStyle w:val="Strong"/>
                <w:rFonts w:ascii="Arial" w:hAnsi="Arial" w:cs="Arial"/>
                <w:b w:val="0"/>
              </w:rPr>
              <w:t>46% of variance (R² = 0.461)</w:t>
            </w:r>
            <w:r w:rsidR="00D2655F" w:rsidRPr="008C54DA">
              <w:rPr>
                <w:rFonts w:ascii="Arial" w:hAnsi="Arial" w:cs="Arial"/>
              </w:rPr>
              <w:t>.</w:t>
            </w:r>
            <w:r w:rsidRPr="00CF12A9">
              <w:rPr>
                <w:rFonts w:ascii="Arial" w:eastAsia="Calibri" w:hAnsi="Arial" w:cs="Arial"/>
                <w:szCs w:val="22"/>
              </w:rPr>
              <w:t xml:space="preserve"> </w:t>
            </w:r>
            <w:r w:rsidR="007867B2" w:rsidRPr="008C54DA">
              <w:rPr>
                <w:rFonts w:ascii="Arial" w:hAnsi="Arial" w:cs="Arial"/>
              </w:rPr>
              <w:t xml:space="preserve">Findings suggest that workplace comfort, involvement in decision-making, and organizational support for professional growth are strongly associated with lower burnout scores. These factors may serve as protective correlates rather than definitive solutions. </w:t>
            </w:r>
            <w:r w:rsidRPr="00CF12A9">
              <w:rPr>
                <w:rFonts w:ascii="Arial" w:eastAsia="Calibri" w:hAnsi="Arial" w:cs="Arial"/>
                <w:szCs w:val="22"/>
              </w:rPr>
              <w:t>The study underscores the need for targeted interventions and policies to support the well-being of healthcare workers and, consequently, improve the quality of patient care. The need for future research remains to solidify and expand understanding on burnout.</w:t>
            </w:r>
          </w:p>
        </w:tc>
      </w:tr>
    </w:tbl>
    <w:p w14:paraId="7E635858" w14:textId="77777777" w:rsidR="00636EB2" w:rsidRDefault="00636EB2" w:rsidP="00441B6F">
      <w:pPr>
        <w:pStyle w:val="Body"/>
        <w:spacing w:after="0"/>
        <w:rPr>
          <w:rFonts w:ascii="Arial" w:hAnsi="Arial" w:cs="Arial"/>
          <w:i/>
        </w:rPr>
      </w:pPr>
    </w:p>
    <w:p w14:paraId="44411EF4" w14:textId="728CA18B" w:rsidR="00A24E7E" w:rsidRDefault="00A24E7E" w:rsidP="00441B6F">
      <w:pPr>
        <w:pStyle w:val="Body"/>
        <w:spacing w:after="0"/>
        <w:rPr>
          <w:rFonts w:ascii="Arial" w:hAnsi="Arial" w:cs="Arial"/>
          <w:i/>
        </w:rPr>
      </w:pPr>
      <w:r>
        <w:rPr>
          <w:rFonts w:ascii="Arial" w:hAnsi="Arial" w:cs="Arial"/>
          <w:i/>
        </w:rPr>
        <w:t xml:space="preserve">Keywords: </w:t>
      </w:r>
      <w:r w:rsidR="00CF12A9" w:rsidRPr="00CF12A9">
        <w:rPr>
          <w:rFonts w:ascii="Arial" w:hAnsi="Arial" w:cs="Arial"/>
          <w:i/>
        </w:rPr>
        <w:t>Burnout; Healthcare Practitioners; Prevalence; Related Factors; Hospital</w:t>
      </w:r>
    </w:p>
    <w:p w14:paraId="17F45040" w14:textId="77777777" w:rsidR="0024282C" w:rsidRDefault="0024282C" w:rsidP="00441B6F">
      <w:pPr>
        <w:pStyle w:val="Body"/>
        <w:spacing w:after="0"/>
        <w:rPr>
          <w:rFonts w:ascii="Arial" w:hAnsi="Arial" w:cs="Arial"/>
          <w:i/>
          <w:sz w:val="18"/>
        </w:rPr>
      </w:pPr>
    </w:p>
    <w:p w14:paraId="12B7618C" w14:textId="692DD2B9" w:rsidR="00505F06" w:rsidRPr="000C58A7" w:rsidRDefault="00DA125D" w:rsidP="00441B6F">
      <w:pPr>
        <w:pStyle w:val="Body"/>
        <w:spacing w:after="0"/>
        <w:rPr>
          <w:rFonts w:ascii="Arial" w:hAnsi="Arial" w:cs="Arial"/>
          <w:b/>
          <w:bCs/>
          <w:iCs/>
        </w:rPr>
      </w:pPr>
      <w:r w:rsidRPr="000C58A7">
        <w:rPr>
          <w:rFonts w:ascii="Arial" w:hAnsi="Arial" w:cs="Arial"/>
          <w:b/>
          <w:bCs/>
          <w:iCs/>
        </w:rPr>
        <w:t>1. INTRODUCTION</w:t>
      </w:r>
    </w:p>
    <w:p w14:paraId="003DB8CE" w14:textId="77777777" w:rsidR="00DA125D" w:rsidRPr="000C58A7" w:rsidRDefault="00DA125D" w:rsidP="00441B6F">
      <w:pPr>
        <w:pStyle w:val="AbstHead"/>
        <w:spacing w:after="0"/>
        <w:jc w:val="both"/>
        <w:rPr>
          <w:rFonts w:ascii="Arial" w:hAnsi="Arial" w:cs="Arial"/>
          <w:sz w:val="20"/>
        </w:rPr>
      </w:pPr>
    </w:p>
    <w:p w14:paraId="563E21E5" w14:textId="77777777" w:rsidR="00277C9B" w:rsidRDefault="00DA125D" w:rsidP="00DA125D">
      <w:pPr>
        <w:pStyle w:val="Body"/>
        <w:rPr>
          <w:rFonts w:ascii="Arial" w:hAnsi="Arial" w:cs="Arial"/>
        </w:rPr>
      </w:pPr>
      <w:r w:rsidRPr="000C58A7">
        <w:rPr>
          <w:rFonts w:ascii="Arial" w:hAnsi="Arial" w:cs="Arial"/>
        </w:rPr>
        <w:t>Burnout significantly impacts healthcare workers globally, manifesting as emotional exhaustion, depersonalization, and diminished personal achievement (Nagarajan et al., 2024). A systematic review indicate</w:t>
      </w:r>
      <w:r w:rsidR="00F77DB1">
        <w:rPr>
          <w:rFonts w:ascii="Arial" w:hAnsi="Arial" w:cs="Arial"/>
        </w:rPr>
        <w:t>d</w:t>
      </w:r>
      <w:r w:rsidRPr="000C58A7">
        <w:rPr>
          <w:rFonts w:ascii="Arial" w:hAnsi="Arial" w:cs="Arial"/>
        </w:rPr>
        <w:t xml:space="preserve"> a 39% global burnout prevalence among public health pr</w:t>
      </w:r>
      <w:r w:rsidR="00F77DB1">
        <w:rPr>
          <w:rFonts w:ascii="Arial" w:hAnsi="Arial" w:cs="Arial"/>
        </w:rPr>
        <w:t>actitioners</w:t>
      </w:r>
      <w:r w:rsidRPr="000C58A7">
        <w:rPr>
          <w:rFonts w:ascii="Arial" w:hAnsi="Arial" w:cs="Arial"/>
        </w:rPr>
        <w:t xml:space="preserve"> (Nagarajan et al., 2024). The Coronavirus disease of 2019 (COVID-19) pandemic intensified burnout, affecting nearly half of healthcare workers (Ghahramani et al., 2021). A 2019 review revealed a 51.0% burnout prevalence among medical and surgical residents globally (Low et al., 2019). Another review of 61 studies involving 45,539 nurses from 49 countries reported a pooled prevalence of 11.2% for burnout symptoms (Woo et al., 2020). </w:t>
      </w:r>
      <w:r w:rsidR="00F77DB1">
        <w:rPr>
          <w:rFonts w:ascii="Arial" w:hAnsi="Arial" w:cs="Arial"/>
        </w:rPr>
        <w:t xml:space="preserve">A </w:t>
      </w:r>
      <w:r w:rsidRPr="000C58A7">
        <w:rPr>
          <w:rFonts w:ascii="Arial" w:hAnsi="Arial" w:cs="Arial"/>
        </w:rPr>
        <w:t>2020 survey highlighted a burnout rate of approximately 43% among physicians (De Hert, 2020). The changing healthcare environment, alongside new diseases and technologies, compounds challenges for pr</w:t>
      </w:r>
      <w:r w:rsidR="00277C9B">
        <w:rPr>
          <w:rFonts w:ascii="Arial" w:hAnsi="Arial" w:cs="Arial"/>
        </w:rPr>
        <w:t>actitioner</w:t>
      </w:r>
      <w:r w:rsidRPr="000C58A7">
        <w:rPr>
          <w:rFonts w:ascii="Arial" w:hAnsi="Arial" w:cs="Arial"/>
        </w:rPr>
        <w:t xml:space="preserve">s due to limited resources. Research demonstrates a </w:t>
      </w:r>
      <w:r w:rsidRPr="000C58A7">
        <w:rPr>
          <w:rFonts w:ascii="Arial" w:hAnsi="Arial" w:cs="Arial"/>
        </w:rPr>
        <w:lastRenderedPageBreak/>
        <w:t xml:space="preserve">significant correlation between healthcare professional burnout and patient safety, with poor well-being adversely impacting safety outcomes (Janes et al., 2021). Burnout contributes notably to medical errors, jeopardizing patient care (Low et al., 2019; De Hert, 2020; Janes et al., 2021). </w:t>
      </w:r>
    </w:p>
    <w:p w14:paraId="06B67A02" w14:textId="5EF3F51F" w:rsidR="00DA125D" w:rsidRPr="000C58A7" w:rsidRDefault="00DA125D" w:rsidP="00DA125D">
      <w:pPr>
        <w:pStyle w:val="Body"/>
        <w:rPr>
          <w:rFonts w:ascii="Arial" w:hAnsi="Arial" w:cs="Arial"/>
        </w:rPr>
      </w:pPr>
      <w:r w:rsidRPr="000C58A7">
        <w:rPr>
          <w:rFonts w:ascii="Arial" w:hAnsi="Arial" w:cs="Arial"/>
        </w:rPr>
        <w:t xml:space="preserve">In many developing nations, healthcare environments suffer from understaffing, excessive workloads, and demanding tasks, compromising quality health service delivery (World Health Organization [WHO] Africa, 2022). In Africa, the ratio of 1.55 health </w:t>
      </w:r>
      <w:r w:rsidR="00277C9B">
        <w:rPr>
          <w:rFonts w:ascii="Arial" w:hAnsi="Arial" w:cs="Arial"/>
        </w:rPr>
        <w:t xml:space="preserve">practitioners </w:t>
      </w:r>
      <w:r w:rsidRPr="000C58A7">
        <w:rPr>
          <w:rFonts w:ascii="Arial" w:hAnsi="Arial" w:cs="Arial"/>
        </w:rPr>
        <w:t xml:space="preserve"> per 1000 people falls short of the WHO's required density of 4.45 per 1000 (WHO Africa, 2022; Ahmat et al., 2022). Despite better ratios in developed countries, understaffing remains a pressing issue. For instance, Europe faced a healthcare worker shortfall of 1.6 million in 2013, projected to escalate to 4.1 million by 2030 (Wismar and Goffin, 2023). These staffing deficits lead to overwhelming workloads, heightening stress, illness, and absenteeism risks (Batanda, 2024). The resultant physical and mental fatigue can impair clinical decision-making, communication quality, and coping with work pressures (Rotenstein et al., 2018). Although burnout's impact on healthcare systems has been historically examined, its documentation within the African context remains insufficient, particularly given the prevalent understaffing, resource constraints, and excessive workloads that heighten work-related stress risks.</w:t>
      </w:r>
    </w:p>
    <w:p w14:paraId="12FDE331" w14:textId="76A25055" w:rsidR="00DA125D" w:rsidRPr="000C58A7" w:rsidRDefault="00DA125D" w:rsidP="00DA125D">
      <w:pPr>
        <w:pStyle w:val="Body"/>
        <w:rPr>
          <w:rFonts w:ascii="Arial" w:hAnsi="Arial" w:cs="Arial"/>
        </w:rPr>
      </w:pPr>
      <w:r w:rsidRPr="000C58A7">
        <w:rPr>
          <w:rFonts w:ascii="Arial" w:hAnsi="Arial" w:cs="Arial"/>
        </w:rPr>
        <w:t xml:space="preserve">Recent efforts to standardize burnout definitions have yielded a simplified version addressing foundational definition principles (Canu et al., 2021). This definition delineates occupational burnout as exhaustion arising from prolonged exposure to work-related challenges (Canu et al., 2021). The WHO characterizes burnout as a syndrome with three dimensions: energy depletion, increased mental distance from work, and reduced professional efficiency due to unmanaged chronic workplace stress (WHO, 2021). While not classified as a mental disorder, burnout is recognized as a reason for seeking health services and is included in the International Classification of Diseases (ICD-11) as an occupational phenomenon (WHO, 2021). Its ICD-11 inclusion signifies the recognition of burnout as a workplace concern. With the increasing understanding of burnout, numerous studies have been undertaken among healthcare professionals. Burnout syndrome manifests in health professionals throughout their careers, with emotional exhaustion and depersonalization notably prevalent among nurses. Hospitals frequently provide insufficient mechanisms for health professionals to report and manage work-related stress, contributing to heightened staff turnover (Montgomery et al., 2019). Individual healthcare </w:t>
      </w:r>
      <w:r w:rsidR="00277C9B">
        <w:rPr>
          <w:rFonts w:ascii="Arial" w:hAnsi="Arial" w:cs="Arial"/>
        </w:rPr>
        <w:t>practitioners</w:t>
      </w:r>
      <w:r w:rsidRPr="000C58A7">
        <w:rPr>
          <w:rFonts w:ascii="Arial" w:hAnsi="Arial" w:cs="Arial"/>
        </w:rPr>
        <w:t xml:space="preserve"> are often tasked with recognizing and mitigating their own stress and burnout symptoms, with limited institutional resources available for support (Søvold et al., 2021). Informal mental health discussions in hospital settings, if institutionalized and destigmatized, could mitigate burnout among healthcare pr</w:t>
      </w:r>
      <w:r w:rsidR="00277C9B">
        <w:rPr>
          <w:rFonts w:ascii="Arial" w:hAnsi="Arial" w:cs="Arial"/>
        </w:rPr>
        <w:t>actitioner</w:t>
      </w:r>
      <w:r w:rsidRPr="000C58A7">
        <w:rPr>
          <w:rFonts w:ascii="Arial" w:hAnsi="Arial" w:cs="Arial"/>
        </w:rPr>
        <w:t>s (Deakin, 2022). Furthermore, healthcare workers exhibit poor healthcare-seeking behavior,</w:t>
      </w:r>
      <w:r w:rsidR="00277C9B">
        <w:rPr>
          <w:rFonts w:ascii="Arial" w:hAnsi="Arial" w:cs="Arial"/>
        </w:rPr>
        <w:t xml:space="preserve"> </w:t>
      </w:r>
      <w:r w:rsidRPr="000C58A7">
        <w:rPr>
          <w:rFonts w:ascii="Arial" w:hAnsi="Arial" w:cs="Arial"/>
        </w:rPr>
        <w:t>especially regarding mental health support; a study during the COVID-19 outbreak indicated that only 12.7% sought professional mental health assistance (She et al., 2021). Consequently, burnout among health workers frequently remains undocumented and underreported.</w:t>
      </w:r>
    </w:p>
    <w:p w14:paraId="1E11D3B0" w14:textId="6D914C0D" w:rsidR="00B95236" w:rsidRPr="000C58A7" w:rsidRDefault="00DA125D" w:rsidP="00DA125D">
      <w:pPr>
        <w:pStyle w:val="Body"/>
        <w:spacing w:after="0"/>
        <w:rPr>
          <w:rFonts w:ascii="Arial" w:hAnsi="Arial" w:cs="Arial"/>
        </w:rPr>
      </w:pPr>
      <w:r w:rsidRPr="000C58A7">
        <w:rPr>
          <w:rFonts w:ascii="Arial" w:hAnsi="Arial" w:cs="Arial"/>
        </w:rPr>
        <w:t xml:space="preserve">In Zambia, burnout among healthcare practitioners remains underexplored across the healthcare professional spectrum. A study on doctors at the University Teaching Hospital in Lusaka revealed that over half experienced significant emotional exhaustion, depersonalization, and reduced personal accomplishment (Simuyemba and Mathole, 2019). Additionally, research on </w:t>
      </w:r>
      <w:r w:rsidR="00277C9B" w:rsidRPr="000C58A7">
        <w:rPr>
          <w:rFonts w:ascii="Arial" w:hAnsi="Arial" w:cs="Arial"/>
        </w:rPr>
        <w:t>anesthetic</w:t>
      </w:r>
      <w:r w:rsidRPr="000C58A7">
        <w:rPr>
          <w:rFonts w:ascii="Arial" w:hAnsi="Arial" w:cs="Arial"/>
        </w:rPr>
        <w:t xml:space="preserve"> care providers in Zambian hospitals identified sociodemographic and occupational factors as key predictors of burnout (Mumbwe, 2019). These results emphasize the necessity for targeted interventions to mitigate burnout among healthcare practitioners in Zambia.</w:t>
      </w:r>
    </w:p>
    <w:p w14:paraId="7636EE67" w14:textId="77777777" w:rsidR="00DA125D" w:rsidRPr="000C58A7" w:rsidRDefault="00DA125D" w:rsidP="00DA125D">
      <w:pPr>
        <w:pStyle w:val="Body"/>
        <w:spacing w:after="0"/>
        <w:rPr>
          <w:rFonts w:ascii="Arial" w:hAnsi="Arial" w:cs="Arial"/>
        </w:rPr>
      </w:pPr>
    </w:p>
    <w:p w14:paraId="3D0D1B18" w14:textId="63A32982" w:rsidR="00DA125D" w:rsidRPr="00606E6F" w:rsidRDefault="00DA125D" w:rsidP="00DA125D">
      <w:pPr>
        <w:pStyle w:val="Body"/>
        <w:spacing w:after="0"/>
        <w:rPr>
          <w:rFonts w:ascii="Arial" w:hAnsi="Arial" w:cs="Arial"/>
          <w:b/>
          <w:bCs/>
        </w:rPr>
      </w:pPr>
      <w:r w:rsidRPr="00606E6F">
        <w:rPr>
          <w:rFonts w:ascii="Arial" w:hAnsi="Arial" w:cs="Arial"/>
          <w:b/>
          <w:bCs/>
        </w:rPr>
        <w:t>1.1. Problem Statement</w:t>
      </w:r>
    </w:p>
    <w:p w14:paraId="7FD15CFA" w14:textId="77777777" w:rsidR="00DA125D" w:rsidRPr="000C58A7" w:rsidRDefault="00DA125D" w:rsidP="00DA125D">
      <w:pPr>
        <w:pStyle w:val="Body"/>
        <w:spacing w:after="0"/>
        <w:rPr>
          <w:rFonts w:ascii="Arial" w:hAnsi="Arial" w:cs="Arial"/>
        </w:rPr>
      </w:pPr>
    </w:p>
    <w:p w14:paraId="4FD108C6" w14:textId="20677728" w:rsidR="000C58A7" w:rsidRPr="000C58A7" w:rsidRDefault="000C58A7" w:rsidP="000C58A7">
      <w:pPr>
        <w:pStyle w:val="Body"/>
        <w:rPr>
          <w:rFonts w:ascii="Arial" w:hAnsi="Arial" w:cs="Arial"/>
        </w:rPr>
      </w:pPr>
      <w:r w:rsidRPr="000C58A7">
        <w:rPr>
          <w:rFonts w:ascii="Arial" w:hAnsi="Arial" w:cs="Arial"/>
        </w:rPr>
        <w:lastRenderedPageBreak/>
        <w:t xml:space="preserve">Burnout among healthcare practitioners is a significant issue that affects their well-being, job performance, and the quality of care provided to patients. Although most present studies and researchers on burnout have demonstrated the dangers of burnout, yet it can still be qualified as an ailment that does not seem to be an emergency. On the contrary, the truth of the matter is that burnout is a detrimental health condition need of prevention and agency in treatments. </w:t>
      </w:r>
      <w:r w:rsidR="007867B2" w:rsidRPr="008C54DA">
        <w:rPr>
          <w:rFonts w:ascii="Arial" w:hAnsi="Arial" w:cs="Arial"/>
        </w:rPr>
        <w:t>Burnout is often associated with the demanding nature of healthcare work, particularly when practitioners engage in prolonged tasks without adequate rest or recovery.</w:t>
      </w:r>
      <w:r w:rsidR="00277C9B">
        <w:rPr>
          <w:rFonts w:ascii="Arial" w:hAnsi="Arial" w:cs="Arial"/>
        </w:rPr>
        <w:t xml:space="preserve"> </w:t>
      </w:r>
      <w:r w:rsidRPr="000C58A7">
        <w:rPr>
          <w:rFonts w:ascii="Arial" w:hAnsi="Arial" w:cs="Arial"/>
        </w:rPr>
        <w:t xml:space="preserve">In Zambia, healthcare practitioners at Livingstone Central Hospital were likely to experience high levels of burnout due to the demanding nature of their work, limited resources, and challenging work environments. Despite the documented prevalence of burnout in other Zambian hospitals, there was a lack of comprehensive data on the prevalence and related factors of burnout among healthcare practitioners at Livingstone Central Hospital. This study sought to fill this gap by investigating the prevalence and related factors of burnout in this specific setting. </w:t>
      </w:r>
    </w:p>
    <w:p w14:paraId="214A6322" w14:textId="77777777" w:rsidR="000C58A7" w:rsidRPr="00606E6F" w:rsidRDefault="000C58A7" w:rsidP="003B1D77">
      <w:pPr>
        <w:jc w:val="both"/>
        <w:rPr>
          <w:rFonts w:ascii="Arial" w:hAnsi="Arial" w:cs="Arial"/>
          <w:b/>
          <w:bCs/>
        </w:rPr>
      </w:pPr>
      <w:r w:rsidRPr="00606E6F">
        <w:rPr>
          <w:rFonts w:ascii="Arial" w:hAnsi="Arial" w:cs="Arial"/>
          <w:b/>
          <w:bCs/>
        </w:rPr>
        <w:t>1.2. Objectives of the Study</w:t>
      </w:r>
    </w:p>
    <w:p w14:paraId="0C60E60D" w14:textId="77777777" w:rsidR="003B1D77" w:rsidRDefault="003B1D77" w:rsidP="003B1D77">
      <w:pPr>
        <w:jc w:val="both"/>
        <w:rPr>
          <w:rFonts w:ascii="Arial" w:hAnsi="Arial" w:cs="Arial"/>
        </w:rPr>
      </w:pPr>
    </w:p>
    <w:p w14:paraId="7947EC98" w14:textId="38A08E39" w:rsidR="003B1D77" w:rsidRDefault="000C58A7" w:rsidP="003B1D77">
      <w:pPr>
        <w:jc w:val="both"/>
        <w:rPr>
          <w:rFonts w:ascii="Arial" w:hAnsi="Arial" w:cs="Arial"/>
        </w:rPr>
      </w:pPr>
      <w:r w:rsidRPr="003B1D77">
        <w:rPr>
          <w:rFonts w:ascii="Arial" w:hAnsi="Arial" w:cs="Arial"/>
        </w:rPr>
        <w:t>The study was guided by the following specific objectives:</w:t>
      </w:r>
    </w:p>
    <w:p w14:paraId="036DCBA9" w14:textId="70242AE5" w:rsidR="000C58A7" w:rsidRPr="00277C9B" w:rsidRDefault="000C58A7" w:rsidP="00060D54">
      <w:pPr>
        <w:pStyle w:val="ListParagraph"/>
        <w:numPr>
          <w:ilvl w:val="0"/>
          <w:numId w:val="6"/>
        </w:numPr>
        <w:rPr>
          <w:rFonts w:ascii="Arial" w:hAnsi="Arial" w:cs="Arial"/>
          <w:sz w:val="20"/>
        </w:rPr>
      </w:pPr>
      <w:r w:rsidRPr="00277C9B">
        <w:rPr>
          <w:rFonts w:ascii="Arial" w:hAnsi="Arial" w:cs="Arial"/>
          <w:sz w:val="20"/>
        </w:rPr>
        <w:t>To establish the prevalence of burnout among healthcare practitioners at Livingstone Central Hospital.</w:t>
      </w:r>
    </w:p>
    <w:p w14:paraId="500D320A" w14:textId="65288B57" w:rsidR="000C58A7" w:rsidRPr="00277C9B" w:rsidRDefault="000C58A7" w:rsidP="00060D54">
      <w:pPr>
        <w:pStyle w:val="ListParagraph"/>
        <w:numPr>
          <w:ilvl w:val="0"/>
          <w:numId w:val="6"/>
        </w:numPr>
        <w:rPr>
          <w:rFonts w:ascii="Arial" w:hAnsi="Arial" w:cs="Arial"/>
          <w:sz w:val="20"/>
        </w:rPr>
      </w:pPr>
      <w:r w:rsidRPr="00277C9B">
        <w:rPr>
          <w:rFonts w:ascii="Arial" w:hAnsi="Arial" w:cs="Arial"/>
          <w:sz w:val="20"/>
        </w:rPr>
        <w:t>To determine the individual factors associated with burnout among healthcare practitioners at Livingstone Central Hospital.</w:t>
      </w:r>
    </w:p>
    <w:p w14:paraId="79DB17AE" w14:textId="24C54FBB" w:rsidR="000C58A7" w:rsidRPr="00277C9B" w:rsidRDefault="000C58A7" w:rsidP="00060D54">
      <w:pPr>
        <w:pStyle w:val="ListParagraph"/>
        <w:numPr>
          <w:ilvl w:val="0"/>
          <w:numId w:val="6"/>
        </w:numPr>
        <w:rPr>
          <w:rFonts w:ascii="Arial" w:hAnsi="Arial" w:cs="Arial"/>
          <w:sz w:val="20"/>
        </w:rPr>
      </w:pPr>
      <w:r w:rsidRPr="00277C9B">
        <w:rPr>
          <w:rFonts w:ascii="Arial" w:hAnsi="Arial" w:cs="Arial"/>
          <w:sz w:val="20"/>
        </w:rPr>
        <w:t>To identify the job-related factors associated with burnout among healthcare practitioners at Livingstone Central Hospital.</w:t>
      </w:r>
    </w:p>
    <w:p w14:paraId="65286F3C" w14:textId="4A4E75B2" w:rsidR="000C58A7" w:rsidRPr="00277C9B" w:rsidRDefault="000C58A7" w:rsidP="00060D54">
      <w:pPr>
        <w:pStyle w:val="ListParagraph"/>
        <w:numPr>
          <w:ilvl w:val="0"/>
          <w:numId w:val="6"/>
        </w:numPr>
        <w:rPr>
          <w:rFonts w:ascii="Arial" w:hAnsi="Arial" w:cs="Arial"/>
          <w:sz w:val="20"/>
        </w:rPr>
      </w:pPr>
      <w:r w:rsidRPr="00277C9B">
        <w:rPr>
          <w:rFonts w:ascii="Arial" w:hAnsi="Arial" w:cs="Arial"/>
          <w:sz w:val="20"/>
        </w:rPr>
        <w:t xml:space="preserve">To assess the organizational factors associated with burnout among healthcare practitioners at Livingstone Central Hospital. </w:t>
      </w:r>
    </w:p>
    <w:p w14:paraId="7FFE34B0" w14:textId="77777777" w:rsidR="003B1D77" w:rsidRPr="003B1D77" w:rsidRDefault="003B1D77" w:rsidP="003B1D77">
      <w:pPr>
        <w:jc w:val="both"/>
        <w:rPr>
          <w:rFonts w:ascii="Arial" w:hAnsi="Arial" w:cs="Arial"/>
        </w:rPr>
      </w:pPr>
    </w:p>
    <w:p w14:paraId="5B4048C1" w14:textId="4B4DBAA5" w:rsidR="000C58A7" w:rsidRPr="00606E6F" w:rsidRDefault="000C58A7" w:rsidP="003B1D77">
      <w:pPr>
        <w:jc w:val="both"/>
        <w:rPr>
          <w:rFonts w:ascii="Arial" w:hAnsi="Arial" w:cs="Arial"/>
          <w:b/>
          <w:bCs/>
        </w:rPr>
      </w:pPr>
      <w:r w:rsidRPr="00606E6F">
        <w:rPr>
          <w:rFonts w:ascii="Arial" w:hAnsi="Arial" w:cs="Arial"/>
          <w:b/>
          <w:bCs/>
        </w:rPr>
        <w:t>1.3. Research Questions</w:t>
      </w:r>
    </w:p>
    <w:p w14:paraId="3F07D70D" w14:textId="77777777" w:rsidR="003B1D77" w:rsidRDefault="003B1D77" w:rsidP="003B1D77">
      <w:pPr>
        <w:jc w:val="both"/>
        <w:rPr>
          <w:rFonts w:ascii="Arial" w:hAnsi="Arial" w:cs="Arial"/>
        </w:rPr>
      </w:pPr>
    </w:p>
    <w:p w14:paraId="03DFA5E8" w14:textId="24B0FC2F" w:rsidR="000C58A7" w:rsidRPr="00277C9B" w:rsidRDefault="000C58A7" w:rsidP="00060D54">
      <w:pPr>
        <w:pStyle w:val="ListParagraph"/>
        <w:numPr>
          <w:ilvl w:val="0"/>
          <w:numId w:val="7"/>
        </w:numPr>
        <w:rPr>
          <w:rFonts w:ascii="Arial" w:hAnsi="Arial" w:cs="Arial"/>
          <w:sz w:val="20"/>
        </w:rPr>
      </w:pPr>
      <w:r w:rsidRPr="00277C9B">
        <w:rPr>
          <w:rFonts w:ascii="Arial" w:hAnsi="Arial" w:cs="Arial"/>
          <w:sz w:val="20"/>
        </w:rPr>
        <w:t>What is the prevalence of burnout among healthcare practitioners at Livingstone Central Hospital?</w:t>
      </w:r>
    </w:p>
    <w:p w14:paraId="4750E51C" w14:textId="4A916DFB" w:rsidR="000C58A7" w:rsidRPr="00277C9B" w:rsidRDefault="000C58A7" w:rsidP="00060D54">
      <w:pPr>
        <w:pStyle w:val="ListParagraph"/>
        <w:numPr>
          <w:ilvl w:val="0"/>
          <w:numId w:val="7"/>
        </w:numPr>
        <w:rPr>
          <w:rFonts w:ascii="Arial" w:hAnsi="Arial" w:cs="Arial"/>
          <w:sz w:val="20"/>
        </w:rPr>
      </w:pPr>
      <w:r w:rsidRPr="00277C9B">
        <w:rPr>
          <w:rFonts w:ascii="Arial" w:hAnsi="Arial" w:cs="Arial"/>
          <w:sz w:val="20"/>
        </w:rPr>
        <w:t>What individual factors are associated with burnout among healthcare practitioners at Livingstone Central Hospital?</w:t>
      </w:r>
    </w:p>
    <w:p w14:paraId="09006042" w14:textId="27F0B5AD" w:rsidR="000C58A7" w:rsidRPr="00277C9B" w:rsidRDefault="000C58A7" w:rsidP="00060D54">
      <w:pPr>
        <w:pStyle w:val="ListParagraph"/>
        <w:numPr>
          <w:ilvl w:val="0"/>
          <w:numId w:val="7"/>
        </w:numPr>
        <w:rPr>
          <w:rFonts w:ascii="Arial" w:hAnsi="Arial" w:cs="Arial"/>
          <w:sz w:val="20"/>
        </w:rPr>
      </w:pPr>
      <w:r w:rsidRPr="00277C9B">
        <w:rPr>
          <w:rFonts w:ascii="Arial" w:hAnsi="Arial" w:cs="Arial"/>
          <w:sz w:val="20"/>
        </w:rPr>
        <w:t>What job-related factors are associated with burnout among healthcare practitioners at Livingstone Central Hospital?</w:t>
      </w:r>
    </w:p>
    <w:p w14:paraId="6E7984DD" w14:textId="36E50DC5" w:rsidR="000C58A7" w:rsidRPr="00277C9B" w:rsidRDefault="000C58A7" w:rsidP="00060D54">
      <w:pPr>
        <w:pStyle w:val="ListParagraph"/>
        <w:numPr>
          <w:ilvl w:val="0"/>
          <w:numId w:val="7"/>
        </w:numPr>
        <w:rPr>
          <w:rFonts w:ascii="Arial" w:hAnsi="Arial" w:cs="Arial"/>
          <w:sz w:val="20"/>
        </w:rPr>
      </w:pPr>
      <w:r w:rsidRPr="00277C9B">
        <w:rPr>
          <w:rFonts w:ascii="Arial" w:hAnsi="Arial" w:cs="Arial"/>
          <w:sz w:val="20"/>
        </w:rPr>
        <w:t xml:space="preserve">What organizational factors are associated with burnout among healthcare practitioners at Livingstone Central Hospital? </w:t>
      </w:r>
    </w:p>
    <w:p w14:paraId="2D739D21" w14:textId="77777777" w:rsidR="00DA125D" w:rsidRPr="003B1D77" w:rsidRDefault="00DA125D" w:rsidP="003B1D77">
      <w:pPr>
        <w:jc w:val="both"/>
        <w:rPr>
          <w:rFonts w:ascii="Arial" w:hAnsi="Arial" w:cs="Arial"/>
        </w:rPr>
      </w:pPr>
    </w:p>
    <w:p w14:paraId="78491FFA" w14:textId="6FDB9AD8" w:rsidR="00DA125D" w:rsidRPr="000C58A7" w:rsidRDefault="000C58A7" w:rsidP="00DA125D">
      <w:pPr>
        <w:pStyle w:val="Body"/>
        <w:spacing w:after="0"/>
        <w:rPr>
          <w:rFonts w:ascii="Arial" w:hAnsi="Arial" w:cs="Arial"/>
          <w:b/>
          <w:bCs/>
        </w:rPr>
      </w:pPr>
      <w:r w:rsidRPr="000C58A7">
        <w:rPr>
          <w:rFonts w:ascii="Arial" w:hAnsi="Arial" w:cs="Arial"/>
          <w:b/>
          <w:bCs/>
        </w:rPr>
        <w:t>2. LITERATURE REVIEW</w:t>
      </w:r>
    </w:p>
    <w:p w14:paraId="5128C97B" w14:textId="77777777" w:rsidR="00DA125D" w:rsidRPr="000C58A7" w:rsidRDefault="00DA125D" w:rsidP="00DA125D">
      <w:pPr>
        <w:pStyle w:val="Body"/>
        <w:spacing w:after="0"/>
        <w:rPr>
          <w:rFonts w:ascii="Arial" w:hAnsi="Arial" w:cs="Arial"/>
        </w:rPr>
      </w:pPr>
    </w:p>
    <w:p w14:paraId="5322180D" w14:textId="77777777" w:rsidR="000C58A7" w:rsidRPr="00606E6F" w:rsidRDefault="000C58A7" w:rsidP="000C58A7">
      <w:pPr>
        <w:pStyle w:val="Body"/>
        <w:rPr>
          <w:rFonts w:ascii="Arial" w:hAnsi="Arial" w:cs="Arial"/>
          <w:b/>
          <w:bCs/>
        </w:rPr>
      </w:pPr>
      <w:r w:rsidRPr="00606E6F">
        <w:rPr>
          <w:rFonts w:ascii="Arial" w:hAnsi="Arial" w:cs="Arial"/>
          <w:b/>
          <w:bCs/>
        </w:rPr>
        <w:t>2.1 Prevalence of Burnout Syndrome Among Healthcare Providers</w:t>
      </w:r>
    </w:p>
    <w:p w14:paraId="0541C493" w14:textId="56633BC1" w:rsidR="000C58A7" w:rsidRPr="000C58A7" w:rsidRDefault="000C58A7" w:rsidP="000C58A7">
      <w:pPr>
        <w:pStyle w:val="Body"/>
        <w:rPr>
          <w:rFonts w:ascii="Arial" w:hAnsi="Arial" w:cs="Arial"/>
        </w:rPr>
      </w:pPr>
      <w:r w:rsidRPr="000C58A7">
        <w:rPr>
          <w:rFonts w:ascii="Arial" w:hAnsi="Arial" w:cs="Arial"/>
        </w:rPr>
        <w:t xml:space="preserve">Maslach and Leiter (2016), </w:t>
      </w:r>
      <w:r w:rsidR="00277C9B" w:rsidRPr="000C58A7">
        <w:rPr>
          <w:rFonts w:ascii="Arial" w:hAnsi="Arial" w:cs="Arial"/>
        </w:rPr>
        <w:t xml:space="preserve">conceptualized </w:t>
      </w:r>
      <w:r w:rsidRPr="000C58A7">
        <w:rPr>
          <w:rFonts w:ascii="Arial" w:hAnsi="Arial" w:cs="Arial"/>
        </w:rPr>
        <w:t>occupational burnout as a prolonged reaction to enduring interpersonal stressors that emerge from professional engagements. It encompasses three vital dimensions, specifically emotional exhaustion, depersonalization, and diminished personal achievement. Burnout signifies a personal experience of stress, framed by arduous social interactions, and implicates the individual's self-perception and their perception of others. Emotional exhaustion is characterized by a sense of emotional depletion and insufficient personal resources, resulting in employees feeling inadequately energized to confront daily challenges or to engage with colleagues.</w:t>
      </w:r>
    </w:p>
    <w:p w14:paraId="09B0748D" w14:textId="6FC6AD7D" w:rsidR="000C58A7" w:rsidRPr="000C58A7" w:rsidRDefault="000C58A7" w:rsidP="000C58A7">
      <w:pPr>
        <w:pStyle w:val="Body"/>
        <w:rPr>
          <w:rFonts w:ascii="Arial" w:hAnsi="Arial" w:cs="Arial"/>
        </w:rPr>
      </w:pPr>
      <w:r w:rsidRPr="000C58A7">
        <w:rPr>
          <w:rFonts w:ascii="Arial" w:hAnsi="Arial" w:cs="Arial"/>
        </w:rPr>
        <w:t xml:space="preserve">Depersonalization is construed as a negative, cynical, or markedly detached response toward others, frequently arising as a consequence of heightened emotional exhaustion. Initially, it may present as a self-protective strategy; however, sustained exposure can culminate in </w:t>
      </w:r>
      <w:r w:rsidRPr="000C58A7">
        <w:rPr>
          <w:rFonts w:ascii="Arial" w:hAnsi="Arial" w:cs="Arial"/>
        </w:rPr>
        <w:lastRenderedPageBreak/>
        <w:t xml:space="preserve">dehumanization (Pisanti et al., 2013). Diminished personal accomplishment is characterized by a reduction in the sense of competence and overall work productivity. These sentiments of inefficacy are closely associated with the inability to manage occupational demands and may exacerbate due to insufficient opportunities for professional growth and lack of social support (Maslach and Leiter, 2016). Diminished personal accomplishment is correlated with a feeling of achieving minimal outcomes and harboring doubts regarding the value of one's contributions. </w:t>
      </w:r>
    </w:p>
    <w:p w14:paraId="68E4FF06" w14:textId="3D709B4E" w:rsidR="000C58A7" w:rsidRPr="000C58A7" w:rsidRDefault="000C58A7" w:rsidP="000C58A7">
      <w:pPr>
        <w:pStyle w:val="Body"/>
        <w:rPr>
          <w:rFonts w:ascii="Arial" w:hAnsi="Arial" w:cs="Arial"/>
        </w:rPr>
      </w:pPr>
      <w:r w:rsidRPr="000C58A7">
        <w:rPr>
          <w:rFonts w:ascii="Arial" w:hAnsi="Arial" w:cs="Arial"/>
        </w:rPr>
        <w:t>Within the healthcare milieu, burnout is frequently accompanied by moral distress, which pertains to the psychological fragility and concomitant negative emotions that arise when healthcare professionals resolve to act in a particular manner but face obstacles in executing such actions. Healthcare workers (HCWs) experiencing burnout often demonstrate psychological rigidity and self-criticism (Friganović et al., 2019). Fatigue is a common manifestation of burnout among nursing professionals, primarily attributable to augmented workloads and staff shortages within clinical environments. Severe fatigue can induce both mental and physical symptoms, compelling nurses to resort to taking leave or becoming absent from their duties. As nurses navigate diverse healthcare institutions, they regularly confront daily stressors within their professional environments, leading to experiences of emotional strain, mental fatigue, and physical exhaustion, which stem from excessive workload (Elbarazi et al., 2017).</w:t>
      </w:r>
    </w:p>
    <w:p w14:paraId="5AE5AB85" w14:textId="6980E120" w:rsidR="000C58A7" w:rsidRPr="00606E6F" w:rsidRDefault="000C58A7" w:rsidP="000C58A7">
      <w:pPr>
        <w:pStyle w:val="Body"/>
        <w:rPr>
          <w:rFonts w:ascii="Arial" w:hAnsi="Arial" w:cs="Arial"/>
          <w:b/>
          <w:bCs/>
        </w:rPr>
      </w:pPr>
      <w:r w:rsidRPr="00606E6F">
        <w:rPr>
          <w:rFonts w:ascii="Arial" w:hAnsi="Arial" w:cs="Arial"/>
          <w:b/>
          <w:bCs/>
        </w:rPr>
        <w:t>2.3 Factors Associated with Burnout Syndrome Among Healthcare Providers</w:t>
      </w:r>
    </w:p>
    <w:p w14:paraId="37F1F325" w14:textId="77777777" w:rsidR="000C58A7" w:rsidRPr="00606E6F" w:rsidRDefault="000C58A7" w:rsidP="000C58A7">
      <w:pPr>
        <w:pStyle w:val="Body"/>
        <w:rPr>
          <w:rFonts w:ascii="Arial" w:hAnsi="Arial" w:cs="Arial"/>
          <w:b/>
          <w:bCs/>
        </w:rPr>
      </w:pPr>
      <w:r w:rsidRPr="00606E6F">
        <w:rPr>
          <w:rFonts w:ascii="Arial" w:hAnsi="Arial" w:cs="Arial"/>
          <w:b/>
          <w:bCs/>
        </w:rPr>
        <w:t>2.3.1 Socio-demographic characteristics</w:t>
      </w:r>
    </w:p>
    <w:p w14:paraId="0545C1CA" w14:textId="085BE17C" w:rsidR="000C58A7" w:rsidRPr="000C58A7" w:rsidRDefault="000C58A7" w:rsidP="000C58A7">
      <w:pPr>
        <w:pStyle w:val="Body"/>
        <w:rPr>
          <w:rFonts w:ascii="Arial" w:hAnsi="Arial" w:cs="Arial"/>
        </w:rPr>
      </w:pPr>
      <w:r w:rsidRPr="000C58A7">
        <w:rPr>
          <w:rFonts w:ascii="Arial" w:hAnsi="Arial" w:cs="Arial"/>
        </w:rPr>
        <w:t xml:space="preserve">Numerous empirical investigations have delineated a variety of socio-demographic variables, including age, marital status, and educational attainment, that are correlated with the phenomenon of burnout. Age has emerged as a focal point of rigorous inquiry among medical practitioners as a potential determinant of burnout. The status of being relatively young is frequently regarded as a critical element contributing to occupational burnout, particularly during the nascent phases of one’s professional journey when discerning an appropriate career trajectory may pose considerable challenges. Abdulla et al. (2011) classified individuals aged 55 or younger as being at risk for burnout, whereas an alternate study revealed that age cohorts under 29 years and over 40 years exhibited markedly elevated levels of burnout. Medical professionals within the 40–49-year age range were observed to be most susceptible to reporting feelings of exhaustion and stress-related ailments. Nevertheless, a cross-sectional analysis conducted in Ethiopia suggested that age did not significantly predict the emotional exhaustion and depersonalization facets of burnout, yet it was positively correlated with the dimension of personal accomplishment (Fentie et al., 2021). The observed discrepancies in burnout scores between older and younger physicians may be ascribed to the development of protective mechanisms in patient interactions among older physicians, as posited by Al-Haddad. </w:t>
      </w:r>
    </w:p>
    <w:p w14:paraId="60281FD3" w14:textId="77777777" w:rsidR="000C58A7" w:rsidRPr="00606E6F" w:rsidRDefault="000C58A7" w:rsidP="000C58A7">
      <w:pPr>
        <w:pStyle w:val="Body"/>
        <w:rPr>
          <w:rFonts w:ascii="Arial" w:hAnsi="Arial" w:cs="Arial"/>
          <w:b/>
          <w:bCs/>
        </w:rPr>
      </w:pPr>
      <w:r w:rsidRPr="00606E6F">
        <w:rPr>
          <w:rFonts w:ascii="Arial" w:hAnsi="Arial" w:cs="Arial"/>
          <w:b/>
          <w:bCs/>
        </w:rPr>
        <w:t>2.3.2 Lack of Social Support</w:t>
      </w:r>
    </w:p>
    <w:p w14:paraId="532A2611" w14:textId="5CFC6C38" w:rsidR="000C58A7" w:rsidRPr="000C58A7" w:rsidRDefault="000C58A7" w:rsidP="000C58A7">
      <w:pPr>
        <w:pStyle w:val="Body"/>
        <w:rPr>
          <w:rFonts w:ascii="Arial" w:hAnsi="Arial" w:cs="Arial"/>
        </w:rPr>
      </w:pPr>
      <w:r w:rsidRPr="000C58A7">
        <w:rPr>
          <w:rFonts w:ascii="Arial" w:hAnsi="Arial" w:cs="Arial"/>
        </w:rPr>
        <w:t>Huang et al. (2023) elucidated that the incidence of burnout among healthcare professionals is intricately associated with the deficiency of social support. Healthcare professionals devoid of a robust support network may encounter significant challenges in executing their professional responsibilities effectively. The researchers discovered that healthcare professionals exhibiting elevated levels of self-efficacy and substantial social support are more inclined to confront adversities with a positive mindset and employ adaptive coping strategies. Social support encompasses not only colleagues and supervisors but also extends to family, friends, and even the patients under their care. Healthcare pr</w:t>
      </w:r>
      <w:r w:rsidR="00060D54">
        <w:rPr>
          <w:rFonts w:ascii="Arial" w:hAnsi="Arial" w:cs="Arial"/>
        </w:rPr>
        <w:t>actitioners</w:t>
      </w:r>
      <w:r w:rsidRPr="000C58A7">
        <w:rPr>
          <w:rFonts w:ascii="Arial" w:hAnsi="Arial" w:cs="Arial"/>
        </w:rPr>
        <w:t xml:space="preserve"> who do not receive </w:t>
      </w:r>
      <w:r w:rsidRPr="000C58A7">
        <w:rPr>
          <w:rFonts w:ascii="Arial" w:hAnsi="Arial" w:cs="Arial"/>
        </w:rPr>
        <w:lastRenderedPageBreak/>
        <w:t>affirmative feedback from patients or lack encouragement from friends and family may experience feelings of undervaluation and inadequacy, which can precipitate burnout. Furthermore, marital difficulties have been demonstrated to adversely impact job performance, as healthcare professionals preoccupied with marital discord may inadvertently neglect their patients and consequently provide substandard care (Jenkins &amp; Elliott, 2014).</w:t>
      </w:r>
    </w:p>
    <w:p w14:paraId="130333DE" w14:textId="77777777" w:rsidR="000C58A7" w:rsidRPr="00606E6F" w:rsidRDefault="000C58A7" w:rsidP="000C58A7">
      <w:pPr>
        <w:pStyle w:val="Body"/>
        <w:rPr>
          <w:rFonts w:ascii="Arial" w:hAnsi="Arial" w:cs="Arial"/>
          <w:b/>
          <w:bCs/>
        </w:rPr>
      </w:pPr>
      <w:r w:rsidRPr="00606E6F">
        <w:rPr>
          <w:rFonts w:ascii="Arial" w:hAnsi="Arial" w:cs="Arial"/>
          <w:b/>
          <w:bCs/>
        </w:rPr>
        <w:t>2.3.3 Influence of work-related factors on burnout syndrome among healthcare providers</w:t>
      </w:r>
    </w:p>
    <w:p w14:paraId="272E843C" w14:textId="3CC0ACF1" w:rsidR="000C58A7" w:rsidRPr="000C58A7" w:rsidRDefault="000C58A7" w:rsidP="000C58A7">
      <w:pPr>
        <w:pStyle w:val="Body"/>
        <w:rPr>
          <w:rFonts w:ascii="Arial" w:hAnsi="Arial" w:cs="Arial"/>
        </w:rPr>
      </w:pPr>
      <w:r w:rsidRPr="000C58A7">
        <w:rPr>
          <w:rFonts w:ascii="Arial" w:hAnsi="Arial" w:cs="Arial"/>
        </w:rPr>
        <w:t>The work environment is integral to the job satisfaction of nursing professionals and the likelihood of experiencing burnout. Elements such as prolonged working hours, nurse-to-patient ratios, and collaborative efforts among staff can lead to burnout and warrant further investigation to elucidate their effects on the well-being of nurses. Occupational hazards, aggression from non-staff individuals, and overwhelming workloads constitute prevalent obstacles that nurses encounter in their work settings, which may exacerbate burnout. An escalation in nursing workload correlates with diminished job satisfaction, increased turnover rates, lowered morale, and poses potential risks to both the quality of patient care and the effectiveness of the healthcare organization. Workload has been recognized as a direct contributor to profound fatigue and burnout among healthcare practitioners. Inadequate staffing in healthcare environments compels professionals to endure excessive workloads without sufficient support, culminating in fatigue. Healthcare practitioners operating in critical care settings are particularly vulnerable to burnout due to the elevated levels of job-related stress they encounter. The intrinsic demands of their role, which involves caring for patients in precarious health situations, necessitate both emotional and physical preparedness to mitigate burnout. Moreover, financial constraints within the healthcare system may influence staffing levels, leading to unmanageable workloads and heightened stress for practitioners (Falgueras et al., 2015).</w:t>
      </w:r>
    </w:p>
    <w:p w14:paraId="3E93BF59" w14:textId="77777777" w:rsidR="000C58A7" w:rsidRPr="00606E6F" w:rsidRDefault="000C58A7" w:rsidP="000C58A7">
      <w:pPr>
        <w:pStyle w:val="Body"/>
        <w:rPr>
          <w:rFonts w:ascii="Arial" w:hAnsi="Arial" w:cs="Arial"/>
          <w:b/>
          <w:bCs/>
        </w:rPr>
      </w:pPr>
      <w:r w:rsidRPr="00606E6F">
        <w:rPr>
          <w:rFonts w:ascii="Arial" w:hAnsi="Arial" w:cs="Arial"/>
          <w:b/>
          <w:bCs/>
        </w:rPr>
        <w:t>2.3.4 Interpersonal Relationships</w:t>
      </w:r>
    </w:p>
    <w:p w14:paraId="0DB7F0CA" w14:textId="7354D040" w:rsidR="000C58A7" w:rsidRPr="000C58A7" w:rsidRDefault="000C58A7" w:rsidP="000C58A7">
      <w:pPr>
        <w:pStyle w:val="Body"/>
        <w:rPr>
          <w:rFonts w:ascii="Arial" w:hAnsi="Arial" w:cs="Arial"/>
        </w:rPr>
      </w:pPr>
      <w:r w:rsidRPr="000C58A7">
        <w:rPr>
          <w:rFonts w:ascii="Arial" w:hAnsi="Arial" w:cs="Arial"/>
        </w:rPr>
        <w:t xml:space="preserve">The occupational milieu and the interpersonal dynamics among healthcare practitioners have the potential to incite burnout. Collaborative endeavors involving professionals from diverse disciplines may elicit stress and serve as a catalyst for burnout. The </w:t>
      </w:r>
      <w:r w:rsidR="00060D54" w:rsidRPr="000C58A7">
        <w:rPr>
          <w:rFonts w:ascii="Arial" w:hAnsi="Arial" w:cs="Arial"/>
        </w:rPr>
        <w:t>caliber</w:t>
      </w:r>
      <w:r w:rsidRPr="000C58A7">
        <w:rPr>
          <w:rFonts w:ascii="Arial" w:hAnsi="Arial" w:cs="Arial"/>
        </w:rPr>
        <w:t xml:space="preserve"> of relationships among healthcare practitioners can significantly influence their emotional health, sense of professional achievement, and the standard of care rendered to patients. An absence of support from superiors and peers may result in emotional maltreatment and adversely impact motivation and job satisfaction, ultimately culminating in burnout (Konlan et al., 2022).</w:t>
      </w:r>
    </w:p>
    <w:p w14:paraId="649D2C87" w14:textId="27886307" w:rsidR="000C58A7" w:rsidRPr="000C58A7" w:rsidRDefault="000C58A7" w:rsidP="000C58A7">
      <w:pPr>
        <w:pStyle w:val="Body"/>
        <w:rPr>
          <w:rFonts w:ascii="Arial" w:hAnsi="Arial" w:cs="Arial"/>
        </w:rPr>
      </w:pPr>
      <w:r w:rsidRPr="000C58A7">
        <w:rPr>
          <w:rFonts w:ascii="Arial" w:hAnsi="Arial" w:cs="Arial"/>
        </w:rPr>
        <w:t>Healthcare practitioners frequently partake in emotional labor, which necessitates managing the emotional states of ill patients and their relatives. Such emotional labor can exacerbate stress and contribute to burnout, particularly in scenarios involving patients experiencing critical health conditions (Belay et al., 2021). The severity of stress and emotional depletion may escalate over time, leading to difficulties in recruitment and retention within the healthcare profession. Adequate debriefing and support mechanisms are essential for practitioners to safeguard themselves against burnout.</w:t>
      </w:r>
    </w:p>
    <w:p w14:paraId="40025240" w14:textId="77777777" w:rsidR="000C58A7" w:rsidRPr="00606E6F" w:rsidRDefault="000C58A7" w:rsidP="000C58A7">
      <w:pPr>
        <w:pStyle w:val="Body"/>
        <w:rPr>
          <w:rFonts w:ascii="Arial" w:hAnsi="Arial" w:cs="Arial"/>
          <w:b/>
          <w:bCs/>
        </w:rPr>
      </w:pPr>
      <w:r w:rsidRPr="00606E6F">
        <w:rPr>
          <w:rFonts w:ascii="Arial" w:hAnsi="Arial" w:cs="Arial"/>
          <w:b/>
          <w:bCs/>
        </w:rPr>
        <w:t>2.3.5 Influence of organizational factors on burnout syndrome among healthcare providers</w:t>
      </w:r>
    </w:p>
    <w:p w14:paraId="6E5C6763" w14:textId="364BCE53" w:rsidR="000C58A7" w:rsidRPr="000C58A7" w:rsidRDefault="000C58A7" w:rsidP="000C58A7">
      <w:pPr>
        <w:pStyle w:val="Body"/>
        <w:rPr>
          <w:rFonts w:ascii="Arial" w:hAnsi="Arial" w:cs="Arial"/>
        </w:rPr>
      </w:pPr>
      <w:r w:rsidRPr="000C58A7">
        <w:rPr>
          <w:rFonts w:ascii="Arial" w:hAnsi="Arial" w:cs="Arial"/>
        </w:rPr>
        <w:t xml:space="preserve">The body of research pertaining to organizational interventions aimed at mitigating burnout is comparatively limited when juxtaposed with the existing scholarship on self-care interventions. Such organizational interventions necessitate extensive alterations to the work environment or operational processes, which may induce reluctance among organizations to allocate </w:t>
      </w:r>
      <w:r w:rsidRPr="000C58A7">
        <w:rPr>
          <w:rFonts w:ascii="Arial" w:hAnsi="Arial" w:cs="Arial"/>
        </w:rPr>
        <w:lastRenderedPageBreak/>
        <w:t>resources towards them in the absence of compelling evidence demonstrating their efficacy. Nevertheless, certain empirical studies have yielded encouraging findings. For instance, the Legacy Health System located in Portland, Oregon, executed an intervention that emphasized physician well-being in conjunction with financial and quality performance metrics. This initiative culminated in quantifiable reductions in burnout scores, particularly within the emotional exhaustion category, as well as a notable decline in staff turnover rates (Pawłowicz and Nowicki, 2020). This redesign engendered enhancements in patient experiences and reductions in care delivery costs, alongside a measurable decrease in clinician burnout scores (Hudek-Knežević et al., 2011). These instances indicate that organizational modifications to the workplace may exert a beneficial effect on alleviating burnout among healthcare professionals, particularly in primary care contexts. Such interventions not only augment the well-being of healthcare practitioners but also bear implications for patient experiences and the overall performance of organizations.</w:t>
      </w:r>
    </w:p>
    <w:p w14:paraId="69F72717" w14:textId="77777777" w:rsidR="000C58A7" w:rsidRPr="00606E6F" w:rsidRDefault="000C58A7" w:rsidP="000C58A7">
      <w:pPr>
        <w:pStyle w:val="Body"/>
        <w:rPr>
          <w:rFonts w:ascii="Arial" w:hAnsi="Arial" w:cs="Arial"/>
          <w:b/>
          <w:bCs/>
        </w:rPr>
      </w:pPr>
      <w:r w:rsidRPr="00606E6F">
        <w:rPr>
          <w:rFonts w:ascii="Arial" w:hAnsi="Arial" w:cs="Arial"/>
          <w:b/>
          <w:bCs/>
        </w:rPr>
        <w:t>2.4 Gaps in Literature</w:t>
      </w:r>
    </w:p>
    <w:p w14:paraId="2273648F" w14:textId="2C25CFD4" w:rsidR="000C58A7" w:rsidRPr="000C58A7" w:rsidRDefault="000C58A7" w:rsidP="000C58A7">
      <w:pPr>
        <w:pStyle w:val="Body"/>
        <w:rPr>
          <w:rFonts w:ascii="Arial" w:hAnsi="Arial" w:cs="Arial"/>
        </w:rPr>
      </w:pPr>
      <w:r w:rsidRPr="000C58A7">
        <w:rPr>
          <w:rFonts w:ascii="Arial" w:hAnsi="Arial" w:cs="Arial"/>
        </w:rPr>
        <w:t>Notwithstanding the comprehensive investigations conducted on this topic, several significant deficiencies persist within the current body of literature. A substantial portion of the research surrounding burnout among healthcare professionals has predominantly taken place in developed nations, with a conspicuous lack of focus on particular regions within developing countries, such as Zambia. Although both individual and work-related determinants contributing to burnout have been thoroughly examined, there remains a deficiency in extensive research that scrutinizes the specific organizational elements that affect burnout among healthcare practitioners. Despite the acknowledgment of the critical need to address burnout in healthcare professionals, there exists a notable absence of agreement regarding effective preventive and intervention methodologies. The prevailing literature frequently fails to incorporate evidence-based strategies that are customized to particular contexts, especially in settings characterized by limited resources. There exists a pressing demand for more exhaustive research that investigates the interplay of variables such as age, gender, marital status, educational attainment, and professional experience.</w:t>
      </w:r>
    </w:p>
    <w:p w14:paraId="61F05B98" w14:textId="525E7D6A" w:rsidR="000C58A7" w:rsidRPr="00606E6F" w:rsidRDefault="000C58A7" w:rsidP="000C58A7">
      <w:pPr>
        <w:pStyle w:val="Body"/>
        <w:rPr>
          <w:rFonts w:ascii="Arial" w:hAnsi="Arial" w:cs="Arial"/>
          <w:b/>
          <w:bCs/>
        </w:rPr>
      </w:pPr>
      <w:r w:rsidRPr="00606E6F">
        <w:rPr>
          <w:rFonts w:ascii="Arial" w:hAnsi="Arial" w:cs="Arial"/>
          <w:b/>
          <w:bCs/>
        </w:rPr>
        <w:t>2.5 Theoretical framework</w:t>
      </w:r>
    </w:p>
    <w:p w14:paraId="5CF6C1BD" w14:textId="77777777" w:rsidR="000C58A7" w:rsidRPr="00606E6F" w:rsidRDefault="000C58A7" w:rsidP="000C58A7">
      <w:pPr>
        <w:pStyle w:val="Body"/>
        <w:rPr>
          <w:rFonts w:ascii="Arial" w:hAnsi="Arial" w:cs="Arial"/>
          <w:b/>
          <w:bCs/>
        </w:rPr>
      </w:pPr>
      <w:r w:rsidRPr="00606E6F">
        <w:rPr>
          <w:rFonts w:ascii="Arial" w:hAnsi="Arial" w:cs="Arial"/>
          <w:b/>
          <w:bCs/>
        </w:rPr>
        <w:t>2.5.1 Job Demands-Resources model</w:t>
      </w:r>
    </w:p>
    <w:p w14:paraId="429A79D9" w14:textId="7AAB94CB" w:rsidR="000C58A7" w:rsidRPr="000C58A7" w:rsidRDefault="000C58A7" w:rsidP="000C58A7">
      <w:pPr>
        <w:pStyle w:val="Body"/>
        <w:rPr>
          <w:rFonts w:ascii="Arial" w:hAnsi="Arial" w:cs="Arial"/>
        </w:rPr>
      </w:pPr>
      <w:r w:rsidRPr="000C58A7">
        <w:rPr>
          <w:rFonts w:ascii="Arial" w:hAnsi="Arial" w:cs="Arial"/>
        </w:rPr>
        <w:t>The Job-Demands-Resources model constitutes a theoretical framework positing that every employee is confronted with a distinct array of risk factors contributing to the onset of work-related stress. The classifications of job demand and job resources encompass these elements (Bakker et al., 2020). Job resources pertain to factors linked to the efficacy in achieving occupational objectives, the alleviation of job demands, and the facilitation of personal growth, learning, and development. Conversely, job demands encompass various aspects of a role that necessitate sustained effort or ski</w:t>
      </w:r>
      <w:r w:rsidR="00060D54">
        <w:rPr>
          <w:rFonts w:ascii="Arial" w:hAnsi="Arial" w:cs="Arial"/>
        </w:rPr>
        <w:t>l</w:t>
      </w:r>
      <w:r w:rsidRPr="000C58A7">
        <w:rPr>
          <w:rFonts w:ascii="Arial" w:hAnsi="Arial" w:cs="Arial"/>
        </w:rPr>
        <w:t>lful application. These characteristics may manifest as physical, psychological, social, or organizational in nature. In contrast, the demands and resources are perceived as being more delineated in other theoretical frameworks, having been operationalized into constructs such as requests, control, and reward, among others (Van Rensburg, 2020).</w:t>
      </w:r>
    </w:p>
    <w:p w14:paraId="3B4153BF" w14:textId="77777777" w:rsidR="000C58A7" w:rsidRPr="00606E6F" w:rsidRDefault="000C58A7" w:rsidP="000C58A7">
      <w:pPr>
        <w:pStyle w:val="Body"/>
        <w:rPr>
          <w:rFonts w:ascii="Arial" w:hAnsi="Arial" w:cs="Arial"/>
          <w:b/>
          <w:bCs/>
        </w:rPr>
      </w:pPr>
      <w:r w:rsidRPr="00606E6F">
        <w:rPr>
          <w:rFonts w:ascii="Arial" w:hAnsi="Arial" w:cs="Arial"/>
          <w:b/>
          <w:bCs/>
        </w:rPr>
        <w:t>2.5.1 Job strain and Iso-strain</w:t>
      </w:r>
    </w:p>
    <w:p w14:paraId="66EA3FBC" w14:textId="237825C3" w:rsidR="00DA125D" w:rsidRPr="000C58A7" w:rsidRDefault="000C58A7" w:rsidP="000C58A7">
      <w:pPr>
        <w:pStyle w:val="Body"/>
        <w:spacing w:after="0"/>
        <w:rPr>
          <w:rFonts w:ascii="Arial" w:hAnsi="Arial" w:cs="Arial"/>
        </w:rPr>
      </w:pPr>
      <w:r w:rsidRPr="000C58A7">
        <w:rPr>
          <w:rFonts w:ascii="Arial" w:hAnsi="Arial" w:cs="Arial"/>
        </w:rPr>
        <w:t xml:space="preserve">The demand-control model, an established theoretical framework that encompasses the constructs of “work demand” and “job control,” delineates the concept of job strain. The demand-control-support model represents an adaptation of the demand-control model that integrates the dimension of social support from colleagues and supervisors. Job control </w:t>
      </w:r>
      <w:r w:rsidRPr="000C58A7">
        <w:rPr>
          <w:rFonts w:ascii="Arial" w:hAnsi="Arial" w:cs="Arial"/>
        </w:rPr>
        <w:lastRenderedPageBreak/>
        <w:t>pertains to the individual’s capacity to modify the work environment, while job demand relates to the psychologically burdensome aspects of the occupational setting, such as the volume of work. Job strain is a psychological state that elevates the risk of adverse health outcomes and is typified by elevated labor demands coupled with diminished job control (irrespective of social support) (Mather et al., 2015). The risk of experiencing negative health consequences is further exacerbated by Iso-strain, which arises from a confluence of high job demands, restricted control, and insufficient social support (Amick et al., 1998). The frameworks of demand, control, and support can also be employed to elucidate the notion of “healthy work,” which is characterized by an equilibrium that encompasses moderate to high workplace demands, substantial job control, and ideally, robust social support.</w:t>
      </w:r>
    </w:p>
    <w:p w14:paraId="1B54C3A2" w14:textId="77777777" w:rsidR="00606E6F" w:rsidRDefault="00606E6F" w:rsidP="00DA125D">
      <w:pPr>
        <w:pStyle w:val="Body"/>
        <w:spacing w:after="0"/>
        <w:rPr>
          <w:rFonts w:ascii="Arial" w:hAnsi="Arial" w:cs="Arial"/>
        </w:rPr>
      </w:pPr>
    </w:p>
    <w:p w14:paraId="01CB9B7B" w14:textId="77777777" w:rsidR="00606E6F" w:rsidRPr="00606E6F" w:rsidRDefault="00606E6F" w:rsidP="00606E6F">
      <w:pPr>
        <w:pStyle w:val="Body"/>
        <w:rPr>
          <w:rFonts w:ascii="Arial" w:hAnsi="Arial" w:cs="Arial"/>
          <w:b/>
          <w:bCs/>
        </w:rPr>
      </w:pPr>
      <w:r w:rsidRPr="00606E6F">
        <w:rPr>
          <w:rFonts w:ascii="Arial" w:hAnsi="Arial" w:cs="Arial"/>
          <w:b/>
          <w:bCs/>
        </w:rPr>
        <w:t>2.4. The Conceptual Framework</w:t>
      </w:r>
    </w:p>
    <w:p w14:paraId="2019F6C0" w14:textId="534D609D" w:rsidR="00606E6F" w:rsidRDefault="00606E6F" w:rsidP="00606E6F">
      <w:pPr>
        <w:pStyle w:val="Body"/>
        <w:spacing w:after="0"/>
        <w:rPr>
          <w:rFonts w:ascii="Arial" w:hAnsi="Arial" w:cs="Arial"/>
        </w:rPr>
      </w:pPr>
      <w:r w:rsidRPr="00606E6F">
        <w:rPr>
          <w:rFonts w:ascii="Arial" w:hAnsi="Arial" w:cs="Arial"/>
        </w:rPr>
        <w:t>Based on the theoretical models reviewed above, the following conceptual framework (Figure 1) was used to define the variables that were considered in this study. The variable dependent in the present investigation pertains to the phenomenon of burnout syndrome among healthcare providers. The initial category of independent variables, identified as socio-demographic characteristics, comprises elements such as age, gender, educational attainment, marital status, and tenure in the profession. These variables hold significant relevance as they possess the potential to affect the experiences, perceptions, and coping mechanisms of healthcare providers within the context of their daily professional responsibilities. Factors associated with work encompass variables including workload, shift patterns, emotional demands, job autonomy, and overall job satisfaction. These elements are integral to the work milieu and can exert substantial influence on the psychological and emotional welfare of healthcare providers. Elevated workloads, unpredictable shift patterns, and substantial emotional demands may engender chronic stress and exacerbate feelings of burnout, whereas job satisfaction and autonomy could serve as mitigating factors against the incidence of burnout.</w:t>
      </w:r>
    </w:p>
    <w:p w14:paraId="090D057C" w14:textId="5ABFE77C" w:rsidR="00606E6F" w:rsidRPr="000C58A7" w:rsidRDefault="00892AB9" w:rsidP="00DA125D">
      <w:pPr>
        <w:pStyle w:val="Body"/>
        <w:spacing w:after="0"/>
        <w:rPr>
          <w:rFonts w:ascii="Arial" w:hAnsi="Arial" w:cs="Arial"/>
        </w:rPr>
      </w:pPr>
      <w:r>
        <w:rPr>
          <w:rFonts w:ascii="Arial" w:hAnsi="Arial" w:cs="Arial"/>
          <w:noProof/>
        </w:rPr>
        <mc:AlternateContent>
          <mc:Choice Requires="wpg">
            <w:drawing>
              <wp:anchor distT="0" distB="0" distL="114300" distR="114300" simplePos="0" relativeHeight="251663360" behindDoc="0" locked="0" layoutInCell="1" allowOverlap="1" wp14:anchorId="0F2074CA" wp14:editId="22D0196C">
                <wp:simplePos x="0" y="0"/>
                <wp:positionH relativeFrom="column">
                  <wp:posOffset>-3810</wp:posOffset>
                </wp:positionH>
                <wp:positionV relativeFrom="paragraph">
                  <wp:posOffset>124460</wp:posOffset>
                </wp:positionV>
                <wp:extent cx="5194300" cy="2460625"/>
                <wp:effectExtent l="0" t="0" r="25400" b="15875"/>
                <wp:wrapNone/>
                <wp:docPr id="1" name="Group 1"/>
                <wp:cNvGraphicFramePr/>
                <a:graphic xmlns:a="http://schemas.openxmlformats.org/drawingml/2006/main">
                  <a:graphicData uri="http://schemas.microsoft.com/office/word/2010/wordprocessingGroup">
                    <wpg:wgp>
                      <wpg:cNvGrpSpPr/>
                      <wpg:grpSpPr>
                        <a:xfrm>
                          <a:off x="0" y="0"/>
                          <a:ext cx="5194300" cy="2460625"/>
                          <a:chOff x="0" y="0"/>
                          <a:chExt cx="5194300" cy="2460625"/>
                        </a:xfrm>
                      </wpg:grpSpPr>
                      <wpg:grpSp>
                        <wpg:cNvPr id="1732340767" name="Group 10"/>
                        <wpg:cNvGrpSpPr/>
                        <wpg:grpSpPr>
                          <a:xfrm>
                            <a:off x="266700" y="171450"/>
                            <a:ext cx="4665980" cy="2110740"/>
                            <a:chOff x="-93060" y="-2"/>
                            <a:chExt cx="6377653" cy="2861150"/>
                          </a:xfrm>
                        </wpg:grpSpPr>
                        <wps:wsp>
                          <wps:cNvPr id="1863084145" name="Text Box 2"/>
                          <wps:cNvSpPr txBox="1">
                            <a:spLocks noChangeArrowheads="1"/>
                          </wps:cNvSpPr>
                          <wps:spPr bwMode="auto">
                            <a:xfrm>
                              <a:off x="-93060" y="-2"/>
                              <a:ext cx="1437163" cy="817472"/>
                            </a:xfrm>
                            <a:prstGeom prst="rect">
                              <a:avLst/>
                            </a:prstGeom>
                            <a:solidFill>
                              <a:schemeClr val="accent2">
                                <a:lumMod val="20000"/>
                                <a:lumOff val="80000"/>
                              </a:schemeClr>
                            </a:solidFill>
                            <a:ln w="12700">
                              <a:solidFill>
                                <a:schemeClr val="tx1"/>
                              </a:solidFill>
                              <a:miter lim="800000"/>
                              <a:headEnd/>
                              <a:tailEnd/>
                            </a:ln>
                          </wps:spPr>
                          <wps:txbx>
                            <w:txbxContent>
                              <w:p w14:paraId="25D441C1" w14:textId="77777777" w:rsidR="008C54DA" w:rsidRPr="006A2F5E" w:rsidRDefault="008C54DA" w:rsidP="00892AB9">
                                <w:pPr>
                                  <w:rPr>
                                    <w:rFonts w:ascii="Arial" w:hAnsi="Arial" w:cs="Arial"/>
                                    <w:b/>
                                    <w:bCs/>
                                  </w:rPr>
                                </w:pPr>
                                <w:r w:rsidRPr="006A2F5E">
                                  <w:rPr>
                                    <w:rFonts w:ascii="Arial" w:hAnsi="Arial" w:cs="Arial"/>
                                    <w:b/>
                                    <w:bCs/>
                                  </w:rPr>
                                  <w:t xml:space="preserve">Extremely Busy Work Environment </w:t>
                                </w:r>
                              </w:p>
                            </w:txbxContent>
                          </wps:txbx>
                          <wps:bodyPr rot="0" vert="horz" wrap="square" lIns="91440" tIns="45720" rIns="91440" bIns="45720" anchor="t" anchorCtr="0">
                            <a:noAutofit/>
                          </wps:bodyPr>
                        </wps:wsp>
                        <wps:wsp>
                          <wps:cNvPr id="77885885" name="Text Box 77885885"/>
                          <wps:cNvSpPr txBox="1">
                            <a:spLocks noChangeArrowheads="1"/>
                          </wps:cNvSpPr>
                          <wps:spPr bwMode="auto">
                            <a:xfrm>
                              <a:off x="12697" y="1117412"/>
                              <a:ext cx="1294130" cy="675749"/>
                            </a:xfrm>
                            <a:prstGeom prst="rect">
                              <a:avLst/>
                            </a:prstGeom>
                            <a:solidFill>
                              <a:schemeClr val="accent5">
                                <a:lumMod val="20000"/>
                                <a:lumOff val="80000"/>
                              </a:schemeClr>
                            </a:solidFill>
                            <a:ln w="12700">
                              <a:solidFill>
                                <a:schemeClr val="tx1"/>
                              </a:solidFill>
                              <a:miter lim="800000"/>
                              <a:headEnd/>
                              <a:tailEnd/>
                            </a:ln>
                          </wps:spPr>
                          <wps:txbx>
                            <w:txbxContent>
                              <w:p w14:paraId="1314DE41" w14:textId="77777777" w:rsidR="008C54DA" w:rsidRPr="006A2F5E" w:rsidRDefault="008C54DA" w:rsidP="00892AB9">
                                <w:pPr>
                                  <w:rPr>
                                    <w:rFonts w:ascii="Arial" w:hAnsi="Arial" w:cs="Arial"/>
                                    <w:b/>
                                    <w:bCs/>
                                  </w:rPr>
                                </w:pPr>
                                <w:r w:rsidRPr="006A2F5E">
                                  <w:rPr>
                                    <w:rFonts w:ascii="Arial" w:hAnsi="Arial" w:cs="Arial"/>
                                    <w:b/>
                                    <w:bCs/>
                                  </w:rPr>
                                  <w:t>Patient Overload</w:t>
                                </w:r>
                              </w:p>
                            </w:txbxContent>
                          </wps:txbx>
                          <wps:bodyPr rot="0" vert="horz" wrap="square" lIns="91440" tIns="45720" rIns="91440" bIns="45720" anchor="t" anchorCtr="0">
                            <a:noAutofit/>
                          </wps:bodyPr>
                        </wps:wsp>
                        <wps:wsp>
                          <wps:cNvPr id="479276987" name="Text Box 2"/>
                          <wps:cNvSpPr txBox="1">
                            <a:spLocks noChangeArrowheads="1"/>
                          </wps:cNvSpPr>
                          <wps:spPr bwMode="auto">
                            <a:xfrm>
                              <a:off x="-2" y="2209427"/>
                              <a:ext cx="1294130" cy="651721"/>
                            </a:xfrm>
                            <a:prstGeom prst="rect">
                              <a:avLst/>
                            </a:prstGeom>
                            <a:solidFill>
                              <a:schemeClr val="accent4">
                                <a:lumMod val="20000"/>
                                <a:lumOff val="80000"/>
                              </a:schemeClr>
                            </a:solidFill>
                            <a:ln w="12700">
                              <a:solidFill>
                                <a:schemeClr val="tx1"/>
                              </a:solidFill>
                              <a:miter lim="800000"/>
                              <a:headEnd/>
                              <a:tailEnd/>
                            </a:ln>
                          </wps:spPr>
                          <wps:txbx>
                            <w:txbxContent>
                              <w:p w14:paraId="4FB81753" w14:textId="77777777" w:rsidR="008C54DA" w:rsidRPr="006A2F5E" w:rsidRDefault="008C54DA" w:rsidP="00892AB9">
                                <w:pPr>
                                  <w:rPr>
                                    <w:rFonts w:ascii="Arial" w:hAnsi="Arial" w:cs="Arial"/>
                                    <w:b/>
                                    <w:bCs/>
                                  </w:rPr>
                                </w:pPr>
                                <w:r w:rsidRPr="006A2F5E">
                                  <w:rPr>
                                    <w:rFonts w:ascii="Arial" w:hAnsi="Arial" w:cs="Arial"/>
                                    <w:b/>
                                    <w:bCs/>
                                  </w:rPr>
                                  <w:t>Inadequate Salary</w:t>
                                </w:r>
                              </w:p>
                            </w:txbxContent>
                          </wps:txbx>
                          <wps:bodyPr rot="0" vert="horz" wrap="square" lIns="91440" tIns="45720" rIns="91440" bIns="45720" anchor="t" anchorCtr="0">
                            <a:noAutofit/>
                          </wps:bodyPr>
                        </wps:wsp>
                        <wps:wsp>
                          <wps:cNvPr id="2124964230" name="Text Box 2"/>
                          <wps:cNvSpPr txBox="1">
                            <a:spLocks noChangeArrowheads="1"/>
                          </wps:cNvSpPr>
                          <wps:spPr bwMode="auto">
                            <a:xfrm>
                              <a:off x="2616044" y="896318"/>
                              <a:ext cx="1049020" cy="804156"/>
                            </a:xfrm>
                            <a:prstGeom prst="rect">
                              <a:avLst/>
                            </a:prstGeom>
                            <a:solidFill>
                              <a:schemeClr val="accent4">
                                <a:lumMod val="20000"/>
                                <a:lumOff val="80000"/>
                              </a:schemeClr>
                            </a:solidFill>
                            <a:ln w="12700">
                              <a:solidFill>
                                <a:schemeClr val="tx1"/>
                              </a:solidFill>
                              <a:miter lim="800000"/>
                              <a:headEnd/>
                              <a:tailEnd/>
                            </a:ln>
                          </wps:spPr>
                          <wps:txbx>
                            <w:txbxContent>
                              <w:p w14:paraId="5DCBD54C" w14:textId="77777777" w:rsidR="008C54DA" w:rsidRPr="00DA0F4C" w:rsidRDefault="008C54DA" w:rsidP="00892AB9">
                                <w:pPr>
                                  <w:pStyle w:val="Heading2"/>
                                  <w:rPr>
                                    <w:rFonts w:ascii="Arial" w:hAnsi="Arial" w:cs="Arial"/>
                                    <w:sz w:val="20"/>
                                    <w:szCs w:val="20"/>
                                  </w:rPr>
                                </w:pPr>
                                <w:bookmarkStart w:id="0" w:name="_Toc154151464"/>
                                <w:r w:rsidRPr="00DA0F4C">
                                  <w:rPr>
                                    <w:rFonts w:ascii="Arial" w:hAnsi="Arial" w:cs="Arial"/>
                                    <w:sz w:val="20"/>
                                    <w:szCs w:val="20"/>
                                  </w:rPr>
                                  <w:t>Burnout</w:t>
                                </w:r>
                                <w:bookmarkEnd w:id="0"/>
                              </w:p>
                            </w:txbxContent>
                          </wps:txbx>
                          <wps:bodyPr rot="0" vert="horz" wrap="square" lIns="91440" tIns="45720" rIns="91440" bIns="45720" anchor="t" anchorCtr="0">
                            <a:noAutofit/>
                          </wps:bodyPr>
                        </wps:wsp>
                        <wps:wsp>
                          <wps:cNvPr id="2117961563" name="Straight Arrow Connector 2117961563"/>
                          <wps:cNvCnPr/>
                          <wps:spPr>
                            <a:xfrm>
                              <a:off x="1346200" y="190500"/>
                              <a:ext cx="1219200" cy="9239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772022" name="Straight Arrow Connector 74772022"/>
                          <wps:cNvCnPr/>
                          <wps:spPr>
                            <a:xfrm flipV="1">
                              <a:off x="1308100" y="1257300"/>
                              <a:ext cx="126682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4968569" name="Straight Arrow Connector 694968569"/>
                          <wps:cNvCnPr/>
                          <wps:spPr>
                            <a:xfrm flipV="1">
                              <a:off x="1308100" y="1409700"/>
                              <a:ext cx="1276350" cy="10109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5484651" name="Text Box 2"/>
                          <wps:cNvSpPr txBox="1">
                            <a:spLocks noChangeArrowheads="1"/>
                          </wps:cNvSpPr>
                          <wps:spPr bwMode="auto">
                            <a:xfrm>
                              <a:off x="4775198" y="1009115"/>
                              <a:ext cx="1509395" cy="599317"/>
                            </a:xfrm>
                            <a:prstGeom prst="rect">
                              <a:avLst/>
                            </a:prstGeom>
                            <a:solidFill>
                              <a:schemeClr val="accent3">
                                <a:lumMod val="40000"/>
                                <a:lumOff val="60000"/>
                              </a:schemeClr>
                            </a:solidFill>
                            <a:ln w="12700">
                              <a:solidFill>
                                <a:schemeClr val="tx1"/>
                              </a:solidFill>
                              <a:miter lim="800000"/>
                              <a:headEnd/>
                              <a:tailEnd/>
                            </a:ln>
                          </wps:spPr>
                          <wps:txbx>
                            <w:txbxContent>
                              <w:p w14:paraId="1ADD7594" w14:textId="77777777" w:rsidR="008C54DA" w:rsidRPr="006A2F5E" w:rsidRDefault="008C54DA" w:rsidP="00892AB9">
                                <w:pPr>
                                  <w:rPr>
                                    <w:rFonts w:ascii="Arial" w:hAnsi="Arial" w:cs="Arial"/>
                                    <w:b/>
                                  </w:rPr>
                                </w:pPr>
                                <w:r w:rsidRPr="006A2F5E">
                                  <w:rPr>
                                    <w:rFonts w:ascii="Arial" w:hAnsi="Arial" w:cs="Arial"/>
                                    <w:b/>
                                  </w:rPr>
                                  <w:t>Compassion Fatigue</w:t>
                                </w:r>
                              </w:p>
                            </w:txbxContent>
                          </wps:txbx>
                          <wps:bodyPr rot="0" vert="horz" wrap="square" lIns="91440" tIns="45720" rIns="91440" bIns="45720" anchor="t" anchorCtr="0">
                            <a:noAutofit/>
                          </wps:bodyPr>
                        </wps:wsp>
                        <wps:wsp>
                          <wps:cNvPr id="1568328361" name="Straight Arrow Connector 1568328361"/>
                          <wps:cNvCnPr/>
                          <wps:spPr>
                            <a:xfrm>
                              <a:off x="3657600" y="1282700"/>
                              <a:ext cx="1117600"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112727352" name="Rectangle 3"/>
                        <wps:cNvSpPr/>
                        <wps:spPr>
                          <a:xfrm>
                            <a:off x="0" y="0"/>
                            <a:ext cx="5194300" cy="246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2074CA" id="Group 1" o:spid="_x0000_s1026" style="position:absolute;left:0;text-align:left;margin-left:-.3pt;margin-top:9.8pt;width:409pt;height:193.75pt;z-index:251663360" coordsize="51943,24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">
                <v:group id="Group 10" o:spid="_x0000_s1027" style="position:absolute;left:2667;top:1714;width:46659;height:21107" coordorigin="-930" coordsize="63776,28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8" type="#_x0000_t202" style="position:absolute;left:-930;width:14371;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" fillcolor="#f2dbdb [661]" strokecolor="black [3213]" strokeweight="1pt">
                    <v:textbox>
                      <w:txbxContent>
                        <w:p w14:paraId="25D441C1" w14:textId="77777777" w:rsidR="008C54DA" w:rsidRPr="006A2F5E" w:rsidRDefault="008C54DA" w:rsidP="00892AB9">
                          <w:pPr>
                            <w:rPr>
                              <w:rFonts w:ascii="Arial" w:hAnsi="Arial" w:cs="Arial"/>
                              <w:b/>
                              <w:bCs/>
                            </w:rPr>
                          </w:pPr>
                          <w:r w:rsidRPr="006A2F5E">
                            <w:rPr>
                              <w:rFonts w:ascii="Arial" w:hAnsi="Arial" w:cs="Arial"/>
                              <w:b/>
                              <w:bCs/>
                            </w:rPr>
                            <w:t xml:space="preserve">Extremely Busy Work Environment </w:t>
                          </w:r>
                        </w:p>
                      </w:txbxContent>
                    </v:textbox>
                  </v:shape>
                  <v:shape id="Text Box 77885885" o:spid="_x0000_s1029" type="#_x0000_t202" style="position:absolute;left:126;top:11174;width:12942;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" fillcolor="#daeef3 [664]" strokecolor="black [3213]" strokeweight="1pt">
                    <v:textbox>
                      <w:txbxContent>
                        <w:p w14:paraId="1314DE41" w14:textId="77777777" w:rsidR="008C54DA" w:rsidRPr="006A2F5E" w:rsidRDefault="008C54DA" w:rsidP="00892AB9">
                          <w:pPr>
                            <w:rPr>
                              <w:rFonts w:ascii="Arial" w:hAnsi="Arial" w:cs="Arial"/>
                              <w:b/>
                              <w:bCs/>
                            </w:rPr>
                          </w:pPr>
                          <w:r w:rsidRPr="006A2F5E">
                            <w:rPr>
                              <w:rFonts w:ascii="Arial" w:hAnsi="Arial" w:cs="Arial"/>
                              <w:b/>
                              <w:bCs/>
                            </w:rPr>
                            <w:t>Patient Overload</w:t>
                          </w:r>
                        </w:p>
                      </w:txbxContent>
                    </v:textbox>
                  </v:shape>
                  <v:shape id="Text Box 2" o:spid="_x0000_s1030" type="#_x0000_t202" style="position:absolute;top:22094;width:12941;height:6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" fillcolor="#e5dfec [663]" strokecolor="black [3213]" strokeweight="1pt">
                    <v:textbox>
                      <w:txbxContent>
                        <w:p w14:paraId="4FB81753" w14:textId="77777777" w:rsidR="008C54DA" w:rsidRPr="006A2F5E" w:rsidRDefault="008C54DA" w:rsidP="00892AB9">
                          <w:pPr>
                            <w:rPr>
                              <w:rFonts w:ascii="Arial" w:hAnsi="Arial" w:cs="Arial"/>
                              <w:b/>
                              <w:bCs/>
                            </w:rPr>
                          </w:pPr>
                          <w:r w:rsidRPr="006A2F5E">
                            <w:rPr>
                              <w:rFonts w:ascii="Arial" w:hAnsi="Arial" w:cs="Arial"/>
                              <w:b/>
                              <w:bCs/>
                            </w:rPr>
                            <w:t>Inadequate Salary</w:t>
                          </w:r>
                        </w:p>
                      </w:txbxContent>
                    </v:textbox>
                  </v:shape>
                  <v:shape id="Text Box 2" o:spid="_x0000_s1031" type="#_x0000_t202" style="position:absolute;left:26160;top:8963;width:10490;height:8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" fillcolor="#e5dfec [663]" strokecolor="black [3213]" strokeweight="1pt">
                    <v:textbox>
                      <w:txbxContent>
                        <w:p w14:paraId="5DCBD54C" w14:textId="77777777" w:rsidR="008C54DA" w:rsidRPr="00DA0F4C" w:rsidRDefault="008C54DA" w:rsidP="00892AB9">
                          <w:pPr>
                            <w:pStyle w:val="Heading2"/>
                            <w:rPr>
                              <w:rFonts w:ascii="Arial" w:hAnsi="Arial" w:cs="Arial"/>
                              <w:sz w:val="20"/>
                              <w:szCs w:val="20"/>
                            </w:rPr>
                          </w:pPr>
                          <w:bookmarkStart w:id="1" w:name="_Toc154151464"/>
                          <w:r w:rsidRPr="00DA0F4C">
                            <w:rPr>
                              <w:rFonts w:ascii="Arial" w:hAnsi="Arial" w:cs="Arial"/>
                              <w:sz w:val="20"/>
                              <w:szCs w:val="20"/>
                            </w:rPr>
                            <w:t>Burnout</w:t>
                          </w:r>
                          <w:bookmarkEnd w:id="1"/>
                        </w:p>
                      </w:txbxContent>
                    </v:textbox>
                  </v:shape>
                  <v:shape id="Straight Arrow Connector 2117961563" o:spid="_x0000_s1032" type="#_x0000_t32" style="position:absolute;left:13462;top:1905;width:12192;height:9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" strokecolor="black [3213]" strokeweight="1pt">
                    <v:stroke endarrow="block"/>
                  </v:shape>
                  <v:shape id="Straight Arrow Connector 74772022" o:spid="_x0000_s1033" type="#_x0000_t32" style="position:absolute;left:13081;top:12573;width:1266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" strokecolor="black [3213]" strokeweight="1pt">
                    <v:stroke endarrow="block"/>
                  </v:shape>
                  <v:shape id="Straight Arrow Connector 694968569" o:spid="_x0000_s1034" type="#_x0000_t32" style="position:absolute;left:13081;top:14097;width:12763;height:10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" strokecolor="black [3213]" strokeweight="1pt">
                    <v:stroke endarrow="block"/>
                  </v:shape>
                  <v:shape id="Text Box 2" o:spid="_x0000_s1035" type="#_x0000_t202" style="position:absolute;left:47751;top:10091;width:1509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" fillcolor="#d6e3bc [1302]" strokecolor="black [3213]" strokeweight="1pt">
                    <v:textbox>
                      <w:txbxContent>
                        <w:p w14:paraId="1ADD7594" w14:textId="77777777" w:rsidR="008C54DA" w:rsidRPr="006A2F5E" w:rsidRDefault="008C54DA" w:rsidP="00892AB9">
                          <w:pPr>
                            <w:rPr>
                              <w:rFonts w:ascii="Arial" w:hAnsi="Arial" w:cs="Arial"/>
                              <w:b/>
                            </w:rPr>
                          </w:pPr>
                          <w:r w:rsidRPr="006A2F5E">
                            <w:rPr>
                              <w:rFonts w:ascii="Arial" w:hAnsi="Arial" w:cs="Arial"/>
                              <w:b/>
                            </w:rPr>
                            <w:t>Compassion Fatigue</w:t>
                          </w:r>
                        </w:p>
                      </w:txbxContent>
                    </v:textbox>
                  </v:shape>
                  <v:shape id="Straight Arrow Connector 1568328361" o:spid="_x0000_s1036" type="#_x0000_t32" style="position:absolute;left:36576;top:12827;width:1117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" strokecolor="black [3213]" strokeweight="1pt">
                    <v:stroke endarrow="block"/>
                  </v:shape>
                </v:group>
                <v:rect id="Rectangle 3" o:spid="_x0000_s1037" style="position:absolute;width:51943;height:24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" filled="f" strokecolor="#0a121c [484]" strokeweight="2pt"/>
              </v:group>
            </w:pict>
          </mc:Fallback>
        </mc:AlternateContent>
      </w:r>
    </w:p>
    <w:p w14:paraId="5EFE5146" w14:textId="28EE119E" w:rsidR="00DA125D" w:rsidRPr="000C58A7" w:rsidRDefault="00DA125D" w:rsidP="00DA125D">
      <w:pPr>
        <w:pStyle w:val="Body"/>
        <w:spacing w:after="0"/>
        <w:rPr>
          <w:rFonts w:ascii="Arial" w:hAnsi="Arial" w:cs="Arial"/>
        </w:rPr>
      </w:pPr>
    </w:p>
    <w:p w14:paraId="1028DD2D" w14:textId="62BEFFA5" w:rsidR="00DA125D" w:rsidRPr="000C58A7" w:rsidRDefault="00DA125D" w:rsidP="00DA125D">
      <w:pPr>
        <w:pStyle w:val="Body"/>
        <w:spacing w:after="0"/>
        <w:rPr>
          <w:rFonts w:ascii="Arial" w:hAnsi="Arial" w:cs="Arial"/>
        </w:rPr>
      </w:pPr>
    </w:p>
    <w:p w14:paraId="27638081" w14:textId="7ADE32DF" w:rsidR="00DA125D" w:rsidRPr="000C58A7" w:rsidRDefault="00DA125D" w:rsidP="00DA125D">
      <w:pPr>
        <w:pStyle w:val="Body"/>
        <w:spacing w:after="0"/>
        <w:rPr>
          <w:rFonts w:ascii="Arial" w:hAnsi="Arial" w:cs="Arial"/>
        </w:rPr>
      </w:pPr>
    </w:p>
    <w:p w14:paraId="46652593" w14:textId="784E4D16" w:rsidR="00DA125D" w:rsidRPr="000C58A7" w:rsidRDefault="00DA125D" w:rsidP="00DA125D">
      <w:pPr>
        <w:pStyle w:val="Body"/>
        <w:spacing w:after="0"/>
        <w:rPr>
          <w:rFonts w:ascii="Arial" w:hAnsi="Arial" w:cs="Arial"/>
        </w:rPr>
      </w:pPr>
    </w:p>
    <w:p w14:paraId="222EB367" w14:textId="6E087F63" w:rsidR="00DA125D" w:rsidRPr="000C58A7" w:rsidRDefault="00DA125D" w:rsidP="00DA125D">
      <w:pPr>
        <w:pStyle w:val="Body"/>
        <w:spacing w:after="0"/>
        <w:rPr>
          <w:rFonts w:ascii="Arial" w:hAnsi="Arial" w:cs="Arial"/>
        </w:rPr>
      </w:pPr>
    </w:p>
    <w:p w14:paraId="025A6BF3" w14:textId="205CBF19" w:rsidR="00DA125D" w:rsidRPr="000C58A7" w:rsidRDefault="00DA125D" w:rsidP="00DA125D">
      <w:pPr>
        <w:pStyle w:val="Body"/>
        <w:spacing w:after="0"/>
        <w:rPr>
          <w:rFonts w:ascii="Arial" w:hAnsi="Arial" w:cs="Arial"/>
        </w:rPr>
      </w:pPr>
    </w:p>
    <w:p w14:paraId="4936997B" w14:textId="7229CDA0" w:rsidR="00DA125D" w:rsidRPr="000C58A7" w:rsidRDefault="00DA125D" w:rsidP="00DA125D">
      <w:pPr>
        <w:pStyle w:val="Body"/>
        <w:spacing w:after="0"/>
        <w:rPr>
          <w:rFonts w:ascii="Arial" w:hAnsi="Arial" w:cs="Arial"/>
        </w:rPr>
      </w:pPr>
    </w:p>
    <w:p w14:paraId="670D3B0B" w14:textId="494D6686" w:rsidR="00DA125D" w:rsidRPr="000C58A7" w:rsidRDefault="00DA125D" w:rsidP="00DA125D">
      <w:pPr>
        <w:pStyle w:val="Body"/>
        <w:spacing w:after="0"/>
        <w:rPr>
          <w:rFonts w:ascii="Arial" w:hAnsi="Arial" w:cs="Arial"/>
        </w:rPr>
      </w:pPr>
    </w:p>
    <w:p w14:paraId="2A550BF7" w14:textId="76C9E6B8" w:rsidR="00DA125D" w:rsidRPr="000C58A7" w:rsidRDefault="00DA125D" w:rsidP="00DA125D">
      <w:pPr>
        <w:pStyle w:val="Body"/>
        <w:spacing w:after="0"/>
        <w:rPr>
          <w:rFonts w:ascii="Arial" w:hAnsi="Arial" w:cs="Arial"/>
        </w:rPr>
      </w:pPr>
    </w:p>
    <w:p w14:paraId="44D06EF9" w14:textId="50C86E29" w:rsidR="00DA125D" w:rsidRPr="000C58A7" w:rsidRDefault="00DA125D" w:rsidP="00DA125D">
      <w:pPr>
        <w:pStyle w:val="Body"/>
        <w:spacing w:after="0"/>
        <w:rPr>
          <w:rFonts w:ascii="Arial" w:hAnsi="Arial" w:cs="Arial"/>
        </w:rPr>
      </w:pPr>
    </w:p>
    <w:p w14:paraId="5C426827" w14:textId="63752DB1" w:rsidR="00DA125D" w:rsidRPr="000C58A7" w:rsidRDefault="00DA125D" w:rsidP="00DA125D">
      <w:pPr>
        <w:pStyle w:val="Body"/>
        <w:spacing w:after="0"/>
        <w:rPr>
          <w:rFonts w:ascii="Arial" w:hAnsi="Arial" w:cs="Arial"/>
        </w:rPr>
      </w:pPr>
    </w:p>
    <w:p w14:paraId="72AB6CE6" w14:textId="7C46D254" w:rsidR="00DA125D" w:rsidRPr="000C58A7" w:rsidRDefault="00DA125D" w:rsidP="00DA125D">
      <w:pPr>
        <w:pStyle w:val="Body"/>
        <w:spacing w:after="0"/>
        <w:rPr>
          <w:rFonts w:ascii="Arial" w:hAnsi="Arial" w:cs="Arial"/>
        </w:rPr>
      </w:pPr>
    </w:p>
    <w:p w14:paraId="0F81507B" w14:textId="05EDF90A" w:rsidR="00DA125D" w:rsidRPr="000C58A7" w:rsidRDefault="00DA125D" w:rsidP="00DA125D">
      <w:pPr>
        <w:pStyle w:val="Body"/>
        <w:spacing w:after="0"/>
        <w:rPr>
          <w:rFonts w:ascii="Arial" w:hAnsi="Arial" w:cs="Arial"/>
        </w:rPr>
      </w:pPr>
    </w:p>
    <w:p w14:paraId="67A30F12" w14:textId="78DDE161" w:rsidR="00DA125D" w:rsidRPr="000C58A7" w:rsidRDefault="00DA125D" w:rsidP="00DA125D">
      <w:pPr>
        <w:pStyle w:val="Body"/>
        <w:spacing w:after="0"/>
        <w:rPr>
          <w:rFonts w:ascii="Arial" w:hAnsi="Arial" w:cs="Arial"/>
        </w:rPr>
      </w:pPr>
    </w:p>
    <w:p w14:paraId="333EF473" w14:textId="55DF68FF" w:rsidR="00DA125D" w:rsidRPr="000C58A7" w:rsidRDefault="00DA125D" w:rsidP="00DA125D">
      <w:pPr>
        <w:pStyle w:val="Body"/>
        <w:spacing w:after="0"/>
        <w:rPr>
          <w:rFonts w:ascii="Arial" w:hAnsi="Arial" w:cs="Arial"/>
        </w:rPr>
      </w:pPr>
    </w:p>
    <w:p w14:paraId="58D8FBF3" w14:textId="77777777" w:rsidR="00060D54" w:rsidRDefault="00060D54" w:rsidP="00892AB9">
      <w:pPr>
        <w:ind w:firstLine="720"/>
        <w:jc w:val="center"/>
        <w:rPr>
          <w:rFonts w:ascii="Arial" w:hAnsi="Arial" w:cs="Arial"/>
        </w:rPr>
      </w:pPr>
    </w:p>
    <w:p w14:paraId="72BC8EBF" w14:textId="77777777" w:rsidR="00060D54" w:rsidRDefault="00060D54" w:rsidP="00892AB9">
      <w:pPr>
        <w:ind w:firstLine="720"/>
        <w:jc w:val="center"/>
        <w:rPr>
          <w:rFonts w:ascii="Arial" w:hAnsi="Arial" w:cs="Arial"/>
          <w:i/>
          <w:iCs/>
        </w:rPr>
      </w:pPr>
    </w:p>
    <w:p w14:paraId="68D0213C" w14:textId="10283D18" w:rsidR="00892AB9" w:rsidRPr="000C58A7" w:rsidRDefault="00892AB9" w:rsidP="00892AB9">
      <w:pPr>
        <w:ind w:firstLine="720"/>
        <w:jc w:val="center"/>
        <w:rPr>
          <w:rFonts w:ascii="Arial" w:hAnsi="Arial" w:cs="Arial"/>
          <w:i/>
          <w:iCs/>
        </w:rPr>
      </w:pPr>
      <w:r w:rsidRPr="000C58A7">
        <w:rPr>
          <w:rFonts w:ascii="Arial" w:hAnsi="Arial" w:cs="Arial"/>
          <w:i/>
          <w:iCs/>
        </w:rPr>
        <w:t>Figure 1: Diagrammatic representation of the Conceptual Framework</w:t>
      </w:r>
    </w:p>
    <w:p w14:paraId="022B4009" w14:textId="5178EE26" w:rsidR="00DA125D" w:rsidRPr="000C58A7" w:rsidRDefault="00DA125D" w:rsidP="00DA125D">
      <w:pPr>
        <w:pStyle w:val="Body"/>
        <w:spacing w:after="0"/>
        <w:rPr>
          <w:rFonts w:ascii="Arial" w:hAnsi="Arial" w:cs="Arial"/>
        </w:rPr>
      </w:pPr>
    </w:p>
    <w:p w14:paraId="163DFE00" w14:textId="40291AAD" w:rsidR="00DA125D" w:rsidRPr="000C58A7" w:rsidRDefault="00DA125D" w:rsidP="00DA125D">
      <w:pPr>
        <w:pStyle w:val="Body"/>
        <w:spacing w:after="0"/>
        <w:rPr>
          <w:rFonts w:ascii="Arial" w:hAnsi="Arial" w:cs="Arial"/>
        </w:rPr>
      </w:pPr>
    </w:p>
    <w:p w14:paraId="3796AE97" w14:textId="1A088471" w:rsidR="00DA125D" w:rsidRPr="000C58A7" w:rsidRDefault="00DA125D" w:rsidP="00DA125D">
      <w:pPr>
        <w:pStyle w:val="Body"/>
        <w:spacing w:after="0"/>
        <w:rPr>
          <w:rFonts w:ascii="Arial" w:hAnsi="Arial" w:cs="Arial"/>
        </w:rPr>
      </w:pPr>
    </w:p>
    <w:p w14:paraId="0032A0B8" w14:textId="77777777" w:rsidR="00DA125D" w:rsidRPr="000C58A7" w:rsidRDefault="00DA125D" w:rsidP="00DA125D">
      <w:pPr>
        <w:pStyle w:val="Body"/>
        <w:spacing w:after="0"/>
        <w:rPr>
          <w:rFonts w:ascii="Arial" w:hAnsi="Arial" w:cs="Arial"/>
        </w:rPr>
      </w:pPr>
    </w:p>
    <w:p w14:paraId="70BBE051" w14:textId="77777777" w:rsidR="00DA125D" w:rsidRPr="000C58A7" w:rsidRDefault="00DA125D" w:rsidP="000C58A7">
      <w:pPr>
        <w:pStyle w:val="Body"/>
        <w:spacing w:after="0"/>
        <w:jc w:val="center"/>
        <w:rPr>
          <w:rFonts w:ascii="Arial" w:hAnsi="Arial" w:cs="Arial"/>
          <w:i/>
          <w:iCs/>
        </w:rPr>
      </w:pPr>
    </w:p>
    <w:p w14:paraId="4414B28F" w14:textId="5FDE004B" w:rsidR="000C58A7" w:rsidRPr="000C58A7" w:rsidRDefault="000C58A7" w:rsidP="000C58A7">
      <w:pPr>
        <w:pStyle w:val="Body"/>
        <w:rPr>
          <w:rFonts w:ascii="Arial" w:hAnsi="Arial" w:cs="Arial"/>
        </w:rPr>
      </w:pPr>
      <w:r w:rsidRPr="000C58A7">
        <w:rPr>
          <w:rFonts w:ascii="Arial" w:hAnsi="Arial" w:cs="Arial"/>
        </w:rPr>
        <w:lastRenderedPageBreak/>
        <w:t>Organizational factors comprise components such as organizational culture, support from supervisors and colleagues, opportunities for professional advancement, work-life balance, and the availability of essential resources. These organizational factors are instrumental in shaping the work environment and influencing the overall well-being of healthcare providers. A nurturing organizational culture, constructive relationships with supervisors and peers, along with avenues for personal and professional development, may enhance job satisfaction and mitigate levels of burnout. In contrast, an absence of support, scarcity of resources, and inadequate work-life balance may heighten the likelihood of experiencing burnout</w:t>
      </w:r>
      <w:r w:rsidR="00606E6F">
        <w:rPr>
          <w:rFonts w:ascii="Arial" w:hAnsi="Arial" w:cs="Arial"/>
        </w:rPr>
        <w:t xml:space="preserve">. </w:t>
      </w:r>
      <w:r w:rsidRPr="000C58A7">
        <w:rPr>
          <w:rFonts w:ascii="Arial" w:hAnsi="Arial" w:cs="Arial"/>
        </w:rPr>
        <w:t xml:space="preserve">To assess burnout syndrome, numerous studies employing varied methodologies were </w:t>
      </w:r>
      <w:r w:rsidR="00060D54" w:rsidRPr="000C58A7">
        <w:rPr>
          <w:rFonts w:ascii="Arial" w:hAnsi="Arial" w:cs="Arial"/>
        </w:rPr>
        <w:t>analyzed</w:t>
      </w:r>
      <w:r w:rsidRPr="000C58A7">
        <w:rPr>
          <w:rFonts w:ascii="Arial" w:hAnsi="Arial" w:cs="Arial"/>
        </w:rPr>
        <w:t>. Findings revealed that burnout syndrome is prevalent among healthcare professionals, with many experiencing emotional exhaustion, depersonalization, and reduced personal accomplishment. Socio-demographic factors significantly impacted burnout syndrome. Age was a key factor, as younger healthcare professionals showed increased vulnerability due to challenges in career advancement. Additionally, marital status and family responsibilities were associated with burnout, with mixed results indicating that both single and married individuals may experience high levels of burnout. The level of education and professional qualifications also influenced burnout, with those having advanced degrees being more prone to it.</w:t>
      </w:r>
    </w:p>
    <w:p w14:paraId="15F54E04" w14:textId="77777777" w:rsidR="000C58A7" w:rsidRPr="000C58A7" w:rsidRDefault="000C58A7" w:rsidP="000C58A7">
      <w:pPr>
        <w:pStyle w:val="Body"/>
        <w:rPr>
          <w:rFonts w:ascii="Arial" w:hAnsi="Arial" w:cs="Arial"/>
        </w:rPr>
      </w:pPr>
      <w:r w:rsidRPr="000C58A7">
        <w:rPr>
          <w:rFonts w:ascii="Arial" w:hAnsi="Arial" w:cs="Arial"/>
        </w:rPr>
        <w:t>Work-related factors were pivotal in contributing to burnout syndrome among healthcare professionals. Increased workloads, especially in critical care settings, were linked to greater emotional exhaustion and burnout. Role ambiguity, lack of autonomy, and value conflicts were identified as emotional distress sources that worsen burnout. Furthermore, insufficient workplace social support was closely related to burnout, highlighting the importance of a strong support network for healthcare professionals. Organizational aspects were also explored, showing that interventions at the organizational level can significantly affect burnout rates. Research suggested that improvements in the work environment and processes, including enhancing physician well-being and managing workloads, are associated with lower burnout levels among healthcare professionals.</w:t>
      </w:r>
    </w:p>
    <w:p w14:paraId="73FBA4EE" w14:textId="353151F3" w:rsidR="000C58A7" w:rsidRPr="00606E6F" w:rsidRDefault="00606E6F" w:rsidP="000C58A7">
      <w:pPr>
        <w:pStyle w:val="Body"/>
        <w:rPr>
          <w:rFonts w:ascii="Arial" w:hAnsi="Arial" w:cs="Arial"/>
          <w:b/>
          <w:bCs/>
        </w:rPr>
      </w:pPr>
      <w:r w:rsidRPr="00606E6F">
        <w:rPr>
          <w:rFonts w:ascii="Arial" w:hAnsi="Arial" w:cs="Arial"/>
          <w:b/>
          <w:bCs/>
        </w:rPr>
        <w:t xml:space="preserve">3. </w:t>
      </w:r>
      <w:r w:rsidR="000C58A7" w:rsidRPr="00606E6F">
        <w:rPr>
          <w:rFonts w:ascii="Arial" w:hAnsi="Arial" w:cs="Arial"/>
          <w:b/>
          <w:bCs/>
        </w:rPr>
        <w:t>RESEARCH METHDOLOGY</w:t>
      </w:r>
    </w:p>
    <w:p w14:paraId="6802E529" w14:textId="77777777" w:rsidR="000C58A7" w:rsidRPr="000C58A7" w:rsidRDefault="000C58A7" w:rsidP="000C58A7">
      <w:pPr>
        <w:pStyle w:val="Body"/>
        <w:rPr>
          <w:rFonts w:ascii="Arial" w:hAnsi="Arial" w:cs="Arial"/>
        </w:rPr>
      </w:pPr>
      <w:r w:rsidRPr="000C58A7">
        <w:rPr>
          <w:rFonts w:ascii="Arial" w:hAnsi="Arial" w:cs="Arial"/>
        </w:rPr>
        <w:t>An institution-based descriptive cross-sectional survey research design was adopted for this research work. This was a non-experimental observational design that does not require manipulation or subjecting variables to a treatment. This method was chosen because it is relatively inexpensive, faster, and easier to conduct since data on all variables are collected only once. With cross-sectional study design, there is a measurement between variables both dependent and independent at a fixed point in time. Here, there is an appropriate description of relationships among phenomena at a fixed point in time (Owusu Adjah and Agbemafle, 2016). In the cross cross-sectional study, Adhikari et al. (2021) pointed out that, either the entire population or a subset is selected, and from these individuals, data are collected to help answer the research questions of interest. The quantitative research approach is used when a researcher wants to create meaning through objective measurement of the situation and presents the findings of the study numerically (Tenkorang et al., 2013).</w:t>
      </w:r>
    </w:p>
    <w:p w14:paraId="6DF70FFD" w14:textId="77777777" w:rsidR="000C58A7" w:rsidRPr="00606E6F" w:rsidRDefault="000C58A7" w:rsidP="000C58A7">
      <w:pPr>
        <w:pStyle w:val="Body"/>
        <w:rPr>
          <w:rFonts w:ascii="Arial" w:hAnsi="Arial" w:cs="Arial"/>
          <w:b/>
          <w:bCs/>
        </w:rPr>
      </w:pPr>
      <w:r w:rsidRPr="00606E6F">
        <w:rPr>
          <w:rFonts w:ascii="Arial" w:hAnsi="Arial" w:cs="Arial"/>
          <w:b/>
          <w:bCs/>
        </w:rPr>
        <w:t>3.1 Study Site</w:t>
      </w:r>
    </w:p>
    <w:p w14:paraId="7706EDF9" w14:textId="7A8BB03E" w:rsidR="000C58A7" w:rsidRPr="000C58A7" w:rsidRDefault="000C58A7" w:rsidP="000C58A7">
      <w:pPr>
        <w:pStyle w:val="Body"/>
        <w:rPr>
          <w:rFonts w:ascii="Arial" w:hAnsi="Arial" w:cs="Arial"/>
        </w:rPr>
      </w:pPr>
      <w:r w:rsidRPr="000C58A7">
        <w:rPr>
          <w:rFonts w:ascii="Arial" w:hAnsi="Arial" w:cs="Arial"/>
        </w:rPr>
        <w:t xml:space="preserve">The study was conducted at Livingstone Central Hospital, a prominent public healthcare facility located in Livingstone, the capital of the Southern Province of Zambia. The hospital serves as a key medical institution in the region, providing a wide range of healthcare services to the local population and surrounding areas. The hospital is equipped with various medical departments and units, including general medicine, surgery, </w:t>
      </w:r>
      <w:r w:rsidR="008E61B1" w:rsidRPr="000C58A7">
        <w:rPr>
          <w:rFonts w:ascii="Arial" w:hAnsi="Arial" w:cs="Arial"/>
        </w:rPr>
        <w:t>pediatrics</w:t>
      </w:r>
      <w:r w:rsidRPr="000C58A7">
        <w:rPr>
          <w:rFonts w:ascii="Arial" w:hAnsi="Arial" w:cs="Arial"/>
        </w:rPr>
        <w:t xml:space="preserve">, obstetrics and </w:t>
      </w:r>
      <w:r w:rsidR="00F7364C" w:rsidRPr="000C58A7">
        <w:rPr>
          <w:rFonts w:ascii="Arial" w:hAnsi="Arial" w:cs="Arial"/>
        </w:rPr>
        <w:t>gynecology</w:t>
      </w:r>
      <w:r w:rsidRPr="000C58A7">
        <w:rPr>
          <w:rFonts w:ascii="Arial" w:hAnsi="Arial" w:cs="Arial"/>
        </w:rPr>
        <w:t xml:space="preserve">, and emergency services. The hospital also has specialized units for infectious diseases, mental health, and outpatient services. It is staffed by a team of dedicated </w:t>
      </w:r>
      <w:r w:rsidRPr="000C58A7">
        <w:rPr>
          <w:rFonts w:ascii="Arial" w:hAnsi="Arial" w:cs="Arial"/>
        </w:rPr>
        <w:lastRenderedPageBreak/>
        <w:t>healthcare pr</w:t>
      </w:r>
      <w:r w:rsidR="00F7364C">
        <w:rPr>
          <w:rFonts w:ascii="Arial" w:hAnsi="Arial" w:cs="Arial"/>
        </w:rPr>
        <w:t>actitioner</w:t>
      </w:r>
      <w:r w:rsidRPr="000C58A7">
        <w:rPr>
          <w:rFonts w:ascii="Arial" w:hAnsi="Arial" w:cs="Arial"/>
        </w:rPr>
        <w:t>s, including doctors, nurses, paramedical and support staff, who work tirelessly to provide quality care to patients. Livingstone Central Hospital was an ideal setting for this study due to its high patient load and the demanding nature of the work environment. Healthcare providers at the hospital often face significant stress and workload, making them susceptible to burnout.</w:t>
      </w:r>
    </w:p>
    <w:p w14:paraId="0DC7FF86" w14:textId="77777777" w:rsidR="00606E6F" w:rsidRPr="00606E6F" w:rsidRDefault="000C58A7" w:rsidP="000C58A7">
      <w:pPr>
        <w:pStyle w:val="Body"/>
        <w:rPr>
          <w:rFonts w:ascii="Arial" w:hAnsi="Arial" w:cs="Arial"/>
          <w:b/>
          <w:bCs/>
        </w:rPr>
      </w:pPr>
      <w:r w:rsidRPr="00606E6F">
        <w:rPr>
          <w:rFonts w:ascii="Arial" w:hAnsi="Arial" w:cs="Arial"/>
          <w:b/>
          <w:bCs/>
        </w:rPr>
        <w:t>3.2 Sample and Sample Technique</w:t>
      </w:r>
    </w:p>
    <w:p w14:paraId="08B96C18" w14:textId="7D5FB23E" w:rsidR="00DA125D" w:rsidRPr="000C58A7" w:rsidRDefault="000C58A7" w:rsidP="00606E6F">
      <w:pPr>
        <w:pStyle w:val="Body"/>
        <w:rPr>
          <w:rFonts w:ascii="Arial" w:hAnsi="Arial" w:cs="Arial"/>
        </w:rPr>
      </w:pPr>
      <w:r w:rsidRPr="000C58A7">
        <w:rPr>
          <w:rFonts w:ascii="Arial" w:hAnsi="Arial" w:cs="Arial"/>
        </w:rPr>
        <w:t>A stratified random sampling technique was used to ensure representation from different categories of healthcare practitioners (e.g., doctors, nurses, clinical officers, paramedical staff). The steps involved in the sampling technique are as follows: (1) Identify Strata: Divided the target population into strata based on job categories (e.g., doctors, nurses, clinical officers, paramedical staff). (2) Determine Sample Size for Each Stratum: Calculated the sample size for each stratum proportionate to its size in the target population. (3) Random Selection: Used a random number generator to select participants from each stratum. (4) Recruit Participants: Approached the selected participants and invited them to participate in the study, ensuring informed consent is obtained.</w:t>
      </w:r>
      <w:r w:rsidR="00606E6F">
        <w:rPr>
          <w:rFonts w:ascii="Arial" w:hAnsi="Arial" w:cs="Arial"/>
        </w:rPr>
        <w:t xml:space="preserve"> </w:t>
      </w:r>
      <w:r w:rsidRPr="000C58A7">
        <w:rPr>
          <w:rFonts w:ascii="Arial" w:hAnsi="Arial" w:cs="Arial"/>
        </w:rPr>
        <w:t>The sample size was determined based on a 5% margin of error (e2), at a 95% confidence interval on the normal distribution curve (z2), and 17% variability (p) (Mendez et al., 2024):</w:t>
      </w:r>
    </w:p>
    <w:p w14:paraId="2CA4D1D4" w14:textId="77777777" w:rsidR="00002BE2" w:rsidRDefault="000C58A7" w:rsidP="00002BE2">
      <w:pPr>
        <w:pStyle w:val="Body"/>
        <w:rPr>
          <w:rFonts w:ascii="Arial" w:hAnsi="Arial" w:cs="Arial"/>
        </w:rPr>
      </w:pPr>
      <w:r w:rsidRPr="000C58A7">
        <w:rPr>
          <w:rFonts w:ascii="Arial" w:hAnsi="Arial" w:cs="Arial"/>
        </w:rPr>
        <w:t>Finite population correction was applied to produce a sample size that was proportional to the accessible population therefore the sample size was adjusted as;</w:t>
      </w:r>
      <w:r w:rsidR="00002BE2">
        <w:rPr>
          <w:rFonts w:ascii="Arial" w:hAnsi="Arial" w:cs="Arial"/>
        </w:rPr>
        <w:t xml:space="preserve"> </w:t>
      </w:r>
    </w:p>
    <w:p w14:paraId="7A90F617" w14:textId="10A1DCEB" w:rsidR="000C58A7" w:rsidRPr="0079608E" w:rsidRDefault="000C58A7" w:rsidP="00002BE2">
      <w:pPr>
        <w:pStyle w:val="Body"/>
        <w:rPr>
          <w:rFonts w:ascii="Arial" w:hAnsi="Arial" w:cs="Arial"/>
          <w:lang w:val="pt-BR"/>
        </w:rPr>
      </w:pPr>
      <w:r w:rsidRPr="0079608E">
        <w:rPr>
          <w:rFonts w:ascii="Arial" w:hAnsi="Arial" w:cs="Arial"/>
          <w:lang w:val="pt-BR"/>
        </w:rPr>
        <w:t>n=n_o/(1+((n_o-1))/N)</w:t>
      </w:r>
    </w:p>
    <w:p w14:paraId="29CAAE7A" w14:textId="77777777" w:rsidR="000C58A7" w:rsidRPr="0079608E" w:rsidRDefault="000C58A7" w:rsidP="00606E6F">
      <w:pPr>
        <w:rPr>
          <w:rFonts w:ascii="Arial" w:hAnsi="Arial" w:cs="Arial"/>
          <w:lang w:val="pt-BR"/>
        </w:rPr>
      </w:pPr>
      <w:r w:rsidRPr="0079608E">
        <w:rPr>
          <w:rFonts w:ascii="Arial" w:hAnsi="Arial" w:cs="Arial"/>
          <w:lang w:val="pt-BR"/>
        </w:rPr>
        <w:t xml:space="preserve">Where: </w:t>
      </w:r>
    </w:p>
    <w:p w14:paraId="5F944E0B" w14:textId="77777777" w:rsidR="000C58A7" w:rsidRPr="00606E6F" w:rsidRDefault="000C58A7" w:rsidP="00606E6F">
      <w:pPr>
        <w:rPr>
          <w:rFonts w:ascii="Arial" w:hAnsi="Arial" w:cs="Arial"/>
        </w:rPr>
      </w:pPr>
      <w:r w:rsidRPr="00606E6F">
        <w:rPr>
          <w:rFonts w:ascii="Arial" w:hAnsi="Arial" w:cs="Arial"/>
        </w:rPr>
        <w:t>no= desired sample size</w:t>
      </w:r>
    </w:p>
    <w:p w14:paraId="5782E006" w14:textId="77777777" w:rsidR="000C58A7" w:rsidRPr="00606E6F" w:rsidRDefault="000C58A7" w:rsidP="00606E6F">
      <w:pPr>
        <w:rPr>
          <w:rFonts w:ascii="Arial" w:hAnsi="Arial" w:cs="Arial"/>
        </w:rPr>
      </w:pPr>
      <w:r w:rsidRPr="00606E6F">
        <w:rPr>
          <w:rFonts w:ascii="Arial" w:hAnsi="Arial" w:cs="Arial"/>
        </w:rPr>
        <w:t>N=the estimate of the population size</w:t>
      </w:r>
    </w:p>
    <w:p w14:paraId="52D932D3" w14:textId="77777777" w:rsidR="000C58A7" w:rsidRPr="00606E6F" w:rsidRDefault="000C58A7" w:rsidP="00606E6F">
      <w:pPr>
        <w:rPr>
          <w:rFonts w:ascii="Arial" w:hAnsi="Arial" w:cs="Arial"/>
        </w:rPr>
      </w:pPr>
      <w:r w:rsidRPr="00606E6F">
        <w:rPr>
          <w:rFonts w:ascii="Arial" w:hAnsi="Arial" w:cs="Arial"/>
        </w:rPr>
        <w:t>n=217/(1+((217-1))/100)</w:t>
      </w:r>
    </w:p>
    <w:p w14:paraId="4AB7345B" w14:textId="224F268F" w:rsidR="000C58A7" w:rsidRPr="000C58A7" w:rsidRDefault="000C58A7" w:rsidP="000C58A7">
      <w:pPr>
        <w:pStyle w:val="Body"/>
        <w:rPr>
          <w:rFonts w:ascii="Arial" w:hAnsi="Arial" w:cs="Arial"/>
        </w:rPr>
      </w:pPr>
      <w:r w:rsidRPr="000C58A7">
        <w:rPr>
          <w:rFonts w:ascii="Arial" w:hAnsi="Arial" w:cs="Arial"/>
        </w:rPr>
        <w:t>Therefore, the number of participants was 69 healthcare practitioners</w:t>
      </w:r>
    </w:p>
    <w:p w14:paraId="64F584E5" w14:textId="77777777" w:rsidR="000C58A7" w:rsidRPr="00606E6F" w:rsidRDefault="000C58A7" w:rsidP="000C58A7">
      <w:pPr>
        <w:pStyle w:val="Body"/>
        <w:rPr>
          <w:rFonts w:ascii="Arial" w:hAnsi="Arial" w:cs="Arial"/>
          <w:b/>
          <w:bCs/>
        </w:rPr>
      </w:pPr>
      <w:r w:rsidRPr="00606E6F">
        <w:rPr>
          <w:rFonts w:ascii="Arial" w:hAnsi="Arial" w:cs="Arial"/>
          <w:b/>
          <w:bCs/>
        </w:rPr>
        <w:t>3.3 Data collection tools</w:t>
      </w:r>
    </w:p>
    <w:p w14:paraId="53FCB423" w14:textId="65DC67E0" w:rsidR="001B3DC5" w:rsidRDefault="000C58A7" w:rsidP="000C58A7">
      <w:pPr>
        <w:pStyle w:val="Body"/>
        <w:rPr>
          <w:rFonts w:ascii="Arial" w:hAnsi="Arial" w:cs="Arial"/>
        </w:rPr>
      </w:pPr>
      <w:r w:rsidRPr="000C58A7">
        <w:rPr>
          <w:rFonts w:ascii="Arial" w:hAnsi="Arial" w:cs="Arial"/>
        </w:rPr>
        <w:t xml:space="preserve">A self-administered structured questionnaire was used for data collection. </w:t>
      </w:r>
      <w:r w:rsidR="001B3DC5">
        <w:t xml:space="preserve">The questionnaire used in this study was adapted from the standardized Maslach Burnout Inventory (MBI) and supplemented with socio-demographic and work-related items developed specifically for this study to reflect the local context of Livingstone Central Hospital. </w:t>
      </w:r>
      <w:r w:rsidRPr="000C58A7">
        <w:rPr>
          <w:rFonts w:ascii="Arial" w:hAnsi="Arial" w:cs="Arial"/>
        </w:rPr>
        <w:t xml:space="preserve">Section A assessed socio-demographic characteristics. Information was collected on age, gender, shifts worked, working unit, marital status, qualification, type of cadre and years of experience. To assess the prevalence of Burnout syndrome, the MBI was adopted for section B. </w:t>
      </w:r>
      <w:r w:rsidR="001B3DC5" w:rsidRPr="008C54DA">
        <w:rPr>
          <w:rFonts w:ascii="Arial" w:hAnsi="Arial" w:cs="Arial"/>
        </w:rPr>
        <w:t>Burnout was assessed using the Maslach Burnout Inventory (MBI), originally developed by Maslach and Jackson (1981), which remains the most widely validated tool for measuring burnout across three dimensions: emotional exhaustion, depersonalization, and personal accomplishment.</w:t>
      </w:r>
      <w:r w:rsidR="008C54DA">
        <w:rPr>
          <w:rFonts w:ascii="Arial" w:hAnsi="Arial" w:cs="Arial"/>
        </w:rPr>
        <w:t xml:space="preserve"> </w:t>
      </w:r>
      <w:r w:rsidRPr="000C58A7">
        <w:rPr>
          <w:rFonts w:ascii="Arial" w:hAnsi="Arial" w:cs="Arial"/>
        </w:rPr>
        <w:t>The MBI instrument contains 22 items that measure the cumulative effects of work-related pressure in three subscales: the Emotional Exhaustion (EE) subscale assesses feelings of being emotionally overextended and exhausted by one’s work (e.g., intense emotional tiredness); the Depersonalization (DP) subscale measures a negative, cynical, and impersonal attitude towards recipients of one’s service, care, treatment or instruction (e.g., patients). The Personal Achievement (PA) subscale assesses feelings of competence and achievement in one’s work with low personal accomplishment corresponding to demotivation, loss of self-confidence, and self-depreciation about work. Each question was assessed on a scale ranging from 0 (not at all) to 5 (yes, absolutely). A high degree of burnout was represented by high scores of EE (≥30) and DP (≥ 12) and a low score of PA (≤ 33).</w:t>
      </w:r>
      <w:r w:rsidR="00606E6F">
        <w:rPr>
          <w:rFonts w:ascii="Arial" w:hAnsi="Arial" w:cs="Arial"/>
        </w:rPr>
        <w:t xml:space="preserve"> </w:t>
      </w:r>
      <w:r w:rsidRPr="000C58A7">
        <w:rPr>
          <w:rFonts w:ascii="Arial" w:hAnsi="Arial" w:cs="Arial"/>
        </w:rPr>
        <w:t xml:space="preserve">Section </w:t>
      </w:r>
      <w:r w:rsidRPr="000C58A7">
        <w:rPr>
          <w:rFonts w:ascii="Arial" w:hAnsi="Arial" w:cs="Arial"/>
        </w:rPr>
        <w:lastRenderedPageBreak/>
        <w:t>C examined the influence of work-related factors on burnout syndrome. It included questions on workload, job demands, autonomy, control over work, shift patterns, overtime hours, and perceived social support at work. A validated scale, the Job Content Questionnaire, was included to measure these factors. Section D assessed the impact of organizational factors on burnout syndrome among healthcare providers. It included questions on leadership style, organizational culture, recognition and rewards, teamwork, communication, and access to resources. A validated   instrument, the Organizational Culture Assessment Instrument, was utilized to capture these factors.</w:t>
      </w:r>
      <w:r w:rsidR="001B3DC5">
        <w:rPr>
          <w:rFonts w:ascii="Arial" w:hAnsi="Arial" w:cs="Arial"/>
        </w:rPr>
        <w:t xml:space="preserve"> </w:t>
      </w:r>
    </w:p>
    <w:p w14:paraId="7AFF8353" w14:textId="3B014954" w:rsidR="001B3DC5" w:rsidRPr="008C54DA" w:rsidRDefault="001B3DC5" w:rsidP="000C58A7">
      <w:pPr>
        <w:pStyle w:val="Body"/>
        <w:rPr>
          <w:rFonts w:ascii="Arial" w:hAnsi="Arial" w:cs="Arial"/>
          <w:b/>
        </w:rPr>
      </w:pPr>
      <w:r w:rsidRPr="008C54DA">
        <w:rPr>
          <w:rFonts w:ascii="Arial" w:hAnsi="Arial" w:cs="Arial"/>
          <w:b/>
        </w:rPr>
        <w:t xml:space="preserve">3.3 </w:t>
      </w:r>
      <w:r w:rsidR="00781C69">
        <w:rPr>
          <w:rFonts w:ascii="Arial" w:hAnsi="Arial" w:cs="Arial"/>
          <w:b/>
        </w:rPr>
        <w:t>D</w:t>
      </w:r>
      <w:r w:rsidRPr="008C54DA">
        <w:rPr>
          <w:rFonts w:ascii="Arial" w:hAnsi="Arial" w:cs="Arial"/>
          <w:b/>
        </w:rPr>
        <w:t xml:space="preserve">ata Analysis </w:t>
      </w:r>
    </w:p>
    <w:p w14:paraId="6DC58028" w14:textId="10EEEDDA" w:rsidR="000C58A7" w:rsidRPr="000C58A7" w:rsidRDefault="001B3DC5" w:rsidP="000C58A7">
      <w:pPr>
        <w:pStyle w:val="Body"/>
        <w:rPr>
          <w:rFonts w:ascii="Arial" w:hAnsi="Arial" w:cs="Arial"/>
        </w:rPr>
      </w:pPr>
      <w:r>
        <w:t xml:space="preserve">Data were collected through self-administered questionnaires distributed to healthcare practitioners during working hours. Completed questionnaires were checked for completeness before entry into SPSS version </w:t>
      </w:r>
      <w:r w:rsidR="00781C69">
        <w:t>21</w:t>
      </w:r>
      <w:r>
        <w:t>. Data entry was double-verified to minimize errors. Missing data were handled using pairwise deletion, and no significant attrition was observed as the response rate was 95.8%.”</w:t>
      </w:r>
    </w:p>
    <w:p w14:paraId="4257A3D7" w14:textId="6ADA49A5" w:rsidR="000C58A7" w:rsidRPr="000C58A7" w:rsidRDefault="000C58A7" w:rsidP="000C58A7">
      <w:pPr>
        <w:pStyle w:val="Body"/>
        <w:rPr>
          <w:rFonts w:ascii="Arial" w:hAnsi="Arial" w:cs="Arial"/>
        </w:rPr>
      </w:pPr>
      <w:r w:rsidRPr="00606E6F">
        <w:rPr>
          <w:rFonts w:ascii="Arial" w:hAnsi="Arial" w:cs="Arial"/>
          <w:b/>
          <w:bCs/>
        </w:rPr>
        <w:t>3.</w:t>
      </w:r>
      <w:r w:rsidR="001B3DC5">
        <w:rPr>
          <w:rFonts w:ascii="Arial" w:hAnsi="Arial" w:cs="Arial"/>
          <w:b/>
          <w:bCs/>
        </w:rPr>
        <w:t>4</w:t>
      </w:r>
      <w:r w:rsidRPr="00606E6F">
        <w:rPr>
          <w:rFonts w:ascii="Arial" w:hAnsi="Arial" w:cs="Arial"/>
          <w:b/>
          <w:bCs/>
        </w:rPr>
        <w:t xml:space="preserve"> Reliability and Validity</w:t>
      </w:r>
    </w:p>
    <w:p w14:paraId="118CE57A" w14:textId="62B76F29" w:rsidR="000C58A7" w:rsidRPr="000C58A7" w:rsidRDefault="000C58A7" w:rsidP="000C58A7">
      <w:pPr>
        <w:pStyle w:val="Body"/>
        <w:rPr>
          <w:rFonts w:ascii="Arial" w:hAnsi="Arial" w:cs="Arial"/>
        </w:rPr>
      </w:pPr>
      <w:r w:rsidRPr="000C58A7">
        <w:rPr>
          <w:rFonts w:ascii="Arial" w:hAnsi="Arial" w:cs="Arial"/>
        </w:rPr>
        <w:t xml:space="preserve">The reliability of the data collection tools was assessed using internal consistency measures, such as Cronbach's alpha, to ensure that the items within each section of the questionnaire were consistently measuring the same construct. </w:t>
      </w:r>
      <w:r w:rsidR="00781C69">
        <w:t xml:space="preserve">The internal consistency of the MBI scales was assessed using Cronbach’s alpha, which yielded acceptable reliability values (α &gt; 0.70). </w:t>
      </w:r>
      <w:r w:rsidR="00781C69" w:rsidRPr="008C54DA">
        <w:t>Content validity was established through expert review by senior clinicians and psychologists, ensuring that the adapted items were contextually relevant and comprehensible</w:t>
      </w:r>
      <w:r w:rsidR="00781C69" w:rsidRPr="008C54DA">
        <w:rPr>
          <w:color w:val="FF0000"/>
        </w:rPr>
        <w:t xml:space="preserve">. </w:t>
      </w:r>
      <w:r w:rsidRPr="000C58A7">
        <w:rPr>
          <w:rFonts w:ascii="Arial" w:hAnsi="Arial" w:cs="Arial"/>
        </w:rPr>
        <w:t xml:space="preserve">The validity of the data collection tools was ensured through expert review and pilot testing. The questionnaire was reviewed by experts in burnout research and healthcare management to ensure content validity. Pilot testing was conducted with a small sample of healthcare practitioners to identify any issues and make necessary adjustments. </w:t>
      </w:r>
    </w:p>
    <w:p w14:paraId="0C51E742" w14:textId="6E680889" w:rsidR="000C58A7" w:rsidRPr="00F7364C" w:rsidRDefault="00606E6F" w:rsidP="00F7364C">
      <w:pPr>
        <w:pStyle w:val="Body"/>
      </w:pPr>
      <w:r w:rsidRPr="00606E6F">
        <w:rPr>
          <w:rFonts w:ascii="Arial" w:hAnsi="Arial" w:cs="Arial"/>
          <w:b/>
          <w:bCs/>
        </w:rPr>
        <w:t xml:space="preserve">4. </w:t>
      </w:r>
      <w:r w:rsidR="00F7364C">
        <w:rPr>
          <w:rFonts w:ascii="Arial" w:hAnsi="Arial" w:cs="Arial"/>
          <w:b/>
          <w:bCs/>
        </w:rPr>
        <w:t xml:space="preserve">RESULTS AND DISCUSSION </w:t>
      </w:r>
    </w:p>
    <w:p w14:paraId="3D218141" w14:textId="1CB96439" w:rsidR="000C58A7" w:rsidRDefault="001B4C23" w:rsidP="000C58A7">
      <w:pPr>
        <w:tabs>
          <w:tab w:val="left" w:pos="555"/>
        </w:tabs>
        <w:spacing w:line="228" w:lineRule="exact"/>
        <w:rPr>
          <w:rFonts w:ascii="Arial" w:hAnsi="Arial" w:cs="Arial"/>
          <w:b/>
          <w:bCs/>
        </w:rPr>
      </w:pPr>
      <w:r>
        <w:rPr>
          <w:rFonts w:ascii="Arial" w:hAnsi="Arial" w:cs="Arial"/>
          <w:b/>
          <w:bCs/>
        </w:rPr>
        <w:t>4</w:t>
      </w:r>
      <w:r w:rsidR="000C58A7" w:rsidRPr="0054084E">
        <w:rPr>
          <w:rFonts w:ascii="Arial" w:hAnsi="Arial" w:cs="Arial"/>
          <w:b/>
          <w:bCs/>
        </w:rPr>
        <w:t>.2 Distribution of sociodemographic characteristics of study respondents</w:t>
      </w:r>
    </w:p>
    <w:p w14:paraId="0F4691F6" w14:textId="022B2519" w:rsidR="00C914C4" w:rsidRDefault="00C914C4" w:rsidP="000C58A7">
      <w:pPr>
        <w:tabs>
          <w:tab w:val="left" w:pos="555"/>
        </w:tabs>
        <w:spacing w:line="228" w:lineRule="exact"/>
        <w:rPr>
          <w:rFonts w:ascii="Arial" w:hAnsi="Arial" w:cs="Arial"/>
          <w:b/>
          <w:bCs/>
        </w:rPr>
      </w:pPr>
    </w:p>
    <w:p w14:paraId="4C3AE4C2" w14:textId="47F0B9F7" w:rsidR="00C914C4" w:rsidRPr="00C914C4" w:rsidRDefault="00C914C4" w:rsidP="000C58A7">
      <w:pPr>
        <w:tabs>
          <w:tab w:val="left" w:pos="555"/>
        </w:tabs>
        <w:spacing w:line="228" w:lineRule="exact"/>
        <w:rPr>
          <w:rFonts w:ascii="Arial" w:hAnsi="Arial" w:cs="Arial"/>
          <w:b/>
          <w:bCs/>
        </w:rPr>
      </w:pPr>
      <w:r w:rsidRPr="008C54DA">
        <w:rPr>
          <w:rFonts w:ascii="Arial" w:hAnsi="Arial" w:cs="Arial"/>
        </w:rPr>
        <w:t>Table 1: Sociodemographic Characteristics of Respondents</w:t>
      </w:r>
    </w:p>
    <w:tbl>
      <w:tblPr>
        <w:tblStyle w:val="TableGrid"/>
        <w:tblW w:w="8062" w:type="dxa"/>
        <w:tblLook w:val="04A0" w:firstRow="1" w:lastRow="0" w:firstColumn="1" w:lastColumn="0" w:noHBand="0" w:noVBand="1"/>
      </w:tblPr>
      <w:tblGrid>
        <w:gridCol w:w="2459"/>
        <w:gridCol w:w="1906"/>
        <w:gridCol w:w="1778"/>
        <w:gridCol w:w="1919"/>
      </w:tblGrid>
      <w:tr w:rsidR="00C914C4" w:rsidRPr="00C914C4" w14:paraId="4AA6B211" w14:textId="77777777" w:rsidTr="00F7364C">
        <w:trPr>
          <w:trHeight w:val="272"/>
        </w:trPr>
        <w:tc>
          <w:tcPr>
            <w:tcW w:w="0" w:type="auto"/>
            <w:hideMark/>
          </w:tcPr>
          <w:p w14:paraId="43AE1B1B"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Variable</w:t>
            </w:r>
          </w:p>
        </w:tc>
        <w:tc>
          <w:tcPr>
            <w:tcW w:w="0" w:type="auto"/>
            <w:hideMark/>
          </w:tcPr>
          <w:p w14:paraId="0952C031"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Indicator</w:t>
            </w:r>
          </w:p>
        </w:tc>
        <w:tc>
          <w:tcPr>
            <w:tcW w:w="0" w:type="auto"/>
            <w:hideMark/>
          </w:tcPr>
          <w:p w14:paraId="46A3C20F"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Frequency (n)</w:t>
            </w:r>
          </w:p>
        </w:tc>
        <w:tc>
          <w:tcPr>
            <w:tcW w:w="0" w:type="auto"/>
            <w:hideMark/>
          </w:tcPr>
          <w:p w14:paraId="1358A460"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Percentage (%)</w:t>
            </w:r>
          </w:p>
        </w:tc>
      </w:tr>
      <w:tr w:rsidR="00C914C4" w:rsidRPr="00C914C4" w14:paraId="2312ADD7" w14:textId="77777777" w:rsidTr="00F7364C">
        <w:trPr>
          <w:trHeight w:val="288"/>
        </w:trPr>
        <w:tc>
          <w:tcPr>
            <w:tcW w:w="0" w:type="auto"/>
            <w:hideMark/>
          </w:tcPr>
          <w:p w14:paraId="780A230B" w14:textId="77777777" w:rsidR="00C914C4" w:rsidRPr="008C54DA" w:rsidRDefault="00C914C4" w:rsidP="00C914C4">
            <w:pPr>
              <w:rPr>
                <w:rFonts w:ascii="Arial" w:hAnsi="Arial" w:cs="Arial"/>
                <w:sz w:val="20"/>
                <w:szCs w:val="20"/>
              </w:rPr>
            </w:pPr>
            <w:r w:rsidRPr="008C54DA">
              <w:rPr>
                <w:rFonts w:ascii="Arial" w:hAnsi="Arial" w:cs="Arial"/>
                <w:b/>
                <w:bCs/>
                <w:sz w:val="20"/>
                <w:szCs w:val="20"/>
              </w:rPr>
              <w:t>Gender</w:t>
            </w:r>
          </w:p>
        </w:tc>
        <w:tc>
          <w:tcPr>
            <w:tcW w:w="0" w:type="auto"/>
            <w:hideMark/>
          </w:tcPr>
          <w:p w14:paraId="37EF5A47" w14:textId="77777777" w:rsidR="00C914C4" w:rsidRPr="008C54DA" w:rsidRDefault="00C914C4" w:rsidP="00C914C4">
            <w:pPr>
              <w:rPr>
                <w:rFonts w:ascii="Arial" w:hAnsi="Arial" w:cs="Arial"/>
                <w:sz w:val="20"/>
                <w:szCs w:val="20"/>
              </w:rPr>
            </w:pPr>
            <w:r w:rsidRPr="008C54DA">
              <w:rPr>
                <w:rFonts w:ascii="Arial" w:hAnsi="Arial" w:cs="Arial"/>
                <w:sz w:val="20"/>
                <w:szCs w:val="20"/>
              </w:rPr>
              <w:t>Female</w:t>
            </w:r>
          </w:p>
        </w:tc>
        <w:tc>
          <w:tcPr>
            <w:tcW w:w="0" w:type="auto"/>
            <w:hideMark/>
          </w:tcPr>
          <w:p w14:paraId="7467243D" w14:textId="77777777" w:rsidR="00C914C4" w:rsidRPr="008C54DA" w:rsidRDefault="00C914C4" w:rsidP="00C914C4">
            <w:pPr>
              <w:rPr>
                <w:rFonts w:ascii="Arial" w:hAnsi="Arial" w:cs="Arial"/>
                <w:sz w:val="20"/>
                <w:szCs w:val="20"/>
              </w:rPr>
            </w:pPr>
            <w:r w:rsidRPr="008C54DA">
              <w:rPr>
                <w:rFonts w:ascii="Arial" w:hAnsi="Arial" w:cs="Arial"/>
                <w:sz w:val="20"/>
                <w:szCs w:val="20"/>
              </w:rPr>
              <w:t>191</w:t>
            </w:r>
          </w:p>
        </w:tc>
        <w:tc>
          <w:tcPr>
            <w:tcW w:w="0" w:type="auto"/>
            <w:hideMark/>
          </w:tcPr>
          <w:p w14:paraId="33E63F2F" w14:textId="77777777" w:rsidR="00C914C4" w:rsidRPr="008C54DA" w:rsidRDefault="00C914C4" w:rsidP="00C914C4">
            <w:pPr>
              <w:rPr>
                <w:rFonts w:ascii="Arial" w:hAnsi="Arial" w:cs="Arial"/>
                <w:sz w:val="20"/>
                <w:szCs w:val="20"/>
              </w:rPr>
            </w:pPr>
            <w:r w:rsidRPr="008C54DA">
              <w:rPr>
                <w:rFonts w:ascii="Arial" w:hAnsi="Arial" w:cs="Arial"/>
                <w:sz w:val="20"/>
                <w:szCs w:val="20"/>
              </w:rPr>
              <w:t>82.6</w:t>
            </w:r>
          </w:p>
        </w:tc>
      </w:tr>
      <w:tr w:rsidR="00C914C4" w:rsidRPr="00C914C4" w14:paraId="0097ED46" w14:textId="77777777" w:rsidTr="00F7364C">
        <w:trPr>
          <w:trHeight w:val="272"/>
        </w:trPr>
        <w:tc>
          <w:tcPr>
            <w:tcW w:w="0" w:type="auto"/>
            <w:hideMark/>
          </w:tcPr>
          <w:p w14:paraId="1EA3DAB0" w14:textId="77777777" w:rsidR="00C914C4" w:rsidRPr="008C54DA" w:rsidRDefault="00C914C4" w:rsidP="00C914C4">
            <w:pPr>
              <w:rPr>
                <w:rFonts w:ascii="Arial" w:hAnsi="Arial" w:cs="Arial"/>
                <w:sz w:val="20"/>
                <w:szCs w:val="20"/>
              </w:rPr>
            </w:pPr>
          </w:p>
        </w:tc>
        <w:tc>
          <w:tcPr>
            <w:tcW w:w="0" w:type="auto"/>
            <w:hideMark/>
          </w:tcPr>
          <w:p w14:paraId="0F0953A7" w14:textId="77777777" w:rsidR="00C914C4" w:rsidRPr="008C54DA" w:rsidRDefault="00C914C4" w:rsidP="00C914C4">
            <w:pPr>
              <w:rPr>
                <w:rFonts w:ascii="Arial" w:hAnsi="Arial" w:cs="Arial"/>
                <w:sz w:val="20"/>
                <w:szCs w:val="20"/>
              </w:rPr>
            </w:pPr>
            <w:r w:rsidRPr="008C54DA">
              <w:rPr>
                <w:rFonts w:ascii="Arial" w:hAnsi="Arial" w:cs="Arial"/>
                <w:sz w:val="20"/>
                <w:szCs w:val="20"/>
              </w:rPr>
              <w:t>Male</w:t>
            </w:r>
          </w:p>
        </w:tc>
        <w:tc>
          <w:tcPr>
            <w:tcW w:w="0" w:type="auto"/>
            <w:hideMark/>
          </w:tcPr>
          <w:p w14:paraId="73DAEC9B" w14:textId="77777777" w:rsidR="00C914C4" w:rsidRPr="008C54DA" w:rsidRDefault="00C914C4" w:rsidP="00C914C4">
            <w:pPr>
              <w:rPr>
                <w:rFonts w:ascii="Arial" w:hAnsi="Arial" w:cs="Arial"/>
                <w:sz w:val="20"/>
                <w:szCs w:val="20"/>
              </w:rPr>
            </w:pPr>
            <w:r w:rsidRPr="008C54DA">
              <w:rPr>
                <w:rFonts w:ascii="Arial" w:hAnsi="Arial" w:cs="Arial"/>
                <w:sz w:val="20"/>
                <w:szCs w:val="20"/>
              </w:rPr>
              <w:t>41</w:t>
            </w:r>
          </w:p>
        </w:tc>
        <w:tc>
          <w:tcPr>
            <w:tcW w:w="0" w:type="auto"/>
            <w:hideMark/>
          </w:tcPr>
          <w:p w14:paraId="30B3E654" w14:textId="77777777" w:rsidR="00C914C4" w:rsidRPr="008C54DA" w:rsidRDefault="00C914C4" w:rsidP="00C914C4">
            <w:pPr>
              <w:rPr>
                <w:rFonts w:ascii="Arial" w:hAnsi="Arial" w:cs="Arial"/>
                <w:sz w:val="20"/>
                <w:szCs w:val="20"/>
              </w:rPr>
            </w:pPr>
            <w:r w:rsidRPr="008C54DA">
              <w:rPr>
                <w:rFonts w:ascii="Arial" w:hAnsi="Arial" w:cs="Arial"/>
                <w:sz w:val="20"/>
                <w:szCs w:val="20"/>
              </w:rPr>
              <w:t>17.4</w:t>
            </w:r>
          </w:p>
        </w:tc>
      </w:tr>
      <w:tr w:rsidR="00C914C4" w:rsidRPr="00C914C4" w14:paraId="72B8F5DA" w14:textId="77777777" w:rsidTr="00F7364C">
        <w:trPr>
          <w:trHeight w:val="288"/>
        </w:trPr>
        <w:tc>
          <w:tcPr>
            <w:tcW w:w="0" w:type="auto"/>
            <w:hideMark/>
          </w:tcPr>
          <w:p w14:paraId="5F765837" w14:textId="77777777" w:rsidR="00C914C4" w:rsidRPr="008C54DA" w:rsidRDefault="00C914C4" w:rsidP="00C914C4">
            <w:pPr>
              <w:rPr>
                <w:rFonts w:ascii="Arial" w:hAnsi="Arial" w:cs="Arial"/>
                <w:sz w:val="20"/>
                <w:szCs w:val="20"/>
              </w:rPr>
            </w:pPr>
            <w:r w:rsidRPr="008C54DA">
              <w:rPr>
                <w:rFonts w:ascii="Arial" w:hAnsi="Arial" w:cs="Arial"/>
                <w:b/>
                <w:bCs/>
                <w:sz w:val="20"/>
                <w:szCs w:val="20"/>
              </w:rPr>
              <w:t>Age (years)</w:t>
            </w:r>
          </w:p>
        </w:tc>
        <w:tc>
          <w:tcPr>
            <w:tcW w:w="0" w:type="auto"/>
            <w:hideMark/>
          </w:tcPr>
          <w:p w14:paraId="5A232240" w14:textId="77777777" w:rsidR="00C914C4" w:rsidRPr="008C54DA" w:rsidRDefault="00C914C4" w:rsidP="00C914C4">
            <w:pPr>
              <w:rPr>
                <w:rFonts w:ascii="Arial" w:hAnsi="Arial" w:cs="Arial"/>
                <w:sz w:val="20"/>
                <w:szCs w:val="20"/>
              </w:rPr>
            </w:pPr>
            <w:r w:rsidRPr="008C54DA">
              <w:rPr>
                <w:rFonts w:ascii="Arial" w:hAnsi="Arial" w:cs="Arial"/>
                <w:sz w:val="20"/>
                <w:szCs w:val="20"/>
              </w:rPr>
              <w:t>Mean age</w:t>
            </w:r>
          </w:p>
        </w:tc>
        <w:tc>
          <w:tcPr>
            <w:tcW w:w="0" w:type="auto"/>
            <w:hideMark/>
          </w:tcPr>
          <w:p w14:paraId="10E5E89D"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5F199012" w14:textId="77777777" w:rsidR="00C914C4" w:rsidRPr="008C54DA" w:rsidRDefault="00C914C4" w:rsidP="00C914C4">
            <w:pPr>
              <w:rPr>
                <w:rFonts w:ascii="Arial" w:hAnsi="Arial" w:cs="Arial"/>
                <w:sz w:val="20"/>
                <w:szCs w:val="20"/>
              </w:rPr>
            </w:pPr>
            <w:r w:rsidRPr="008C54DA">
              <w:rPr>
                <w:rFonts w:ascii="Arial" w:hAnsi="Arial" w:cs="Arial"/>
                <w:sz w:val="20"/>
                <w:szCs w:val="20"/>
              </w:rPr>
              <w:t>33.2 (±6.8)</w:t>
            </w:r>
          </w:p>
        </w:tc>
      </w:tr>
      <w:tr w:rsidR="00C914C4" w:rsidRPr="00C914C4" w14:paraId="6DAEB366" w14:textId="77777777" w:rsidTr="00F7364C">
        <w:trPr>
          <w:trHeight w:val="272"/>
        </w:trPr>
        <w:tc>
          <w:tcPr>
            <w:tcW w:w="0" w:type="auto"/>
            <w:hideMark/>
          </w:tcPr>
          <w:p w14:paraId="3CBC9AF1" w14:textId="77777777" w:rsidR="00C914C4" w:rsidRPr="008C54DA" w:rsidRDefault="00C914C4" w:rsidP="00C914C4">
            <w:pPr>
              <w:rPr>
                <w:rFonts w:ascii="Arial" w:hAnsi="Arial" w:cs="Arial"/>
                <w:sz w:val="20"/>
                <w:szCs w:val="20"/>
              </w:rPr>
            </w:pPr>
          </w:p>
        </w:tc>
        <w:tc>
          <w:tcPr>
            <w:tcW w:w="0" w:type="auto"/>
            <w:hideMark/>
          </w:tcPr>
          <w:p w14:paraId="2A90D503" w14:textId="77777777" w:rsidR="00C914C4" w:rsidRPr="008C54DA" w:rsidRDefault="00C914C4" w:rsidP="00C914C4">
            <w:pPr>
              <w:rPr>
                <w:rFonts w:ascii="Arial" w:hAnsi="Arial" w:cs="Arial"/>
                <w:sz w:val="20"/>
                <w:szCs w:val="20"/>
              </w:rPr>
            </w:pPr>
            <w:r w:rsidRPr="008C54DA">
              <w:rPr>
                <w:rFonts w:ascii="Arial" w:hAnsi="Arial" w:cs="Arial"/>
                <w:sz w:val="20"/>
                <w:szCs w:val="20"/>
              </w:rPr>
              <w:t>Range</w:t>
            </w:r>
          </w:p>
        </w:tc>
        <w:tc>
          <w:tcPr>
            <w:tcW w:w="0" w:type="auto"/>
            <w:hideMark/>
          </w:tcPr>
          <w:p w14:paraId="1148962E"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28B61E21" w14:textId="77777777" w:rsidR="00C914C4" w:rsidRPr="008C54DA" w:rsidRDefault="00C914C4" w:rsidP="00C914C4">
            <w:pPr>
              <w:rPr>
                <w:rFonts w:ascii="Arial" w:hAnsi="Arial" w:cs="Arial"/>
                <w:sz w:val="20"/>
                <w:szCs w:val="20"/>
              </w:rPr>
            </w:pPr>
            <w:r w:rsidRPr="008C54DA">
              <w:rPr>
                <w:rFonts w:ascii="Arial" w:hAnsi="Arial" w:cs="Arial"/>
                <w:sz w:val="20"/>
                <w:szCs w:val="20"/>
              </w:rPr>
              <w:t>23 – 54</w:t>
            </w:r>
          </w:p>
        </w:tc>
      </w:tr>
      <w:tr w:rsidR="00C914C4" w:rsidRPr="00C914C4" w14:paraId="58761382" w14:textId="77777777" w:rsidTr="00F7364C">
        <w:trPr>
          <w:trHeight w:val="272"/>
        </w:trPr>
        <w:tc>
          <w:tcPr>
            <w:tcW w:w="0" w:type="auto"/>
            <w:hideMark/>
          </w:tcPr>
          <w:p w14:paraId="622540F8" w14:textId="77777777" w:rsidR="00C914C4" w:rsidRPr="008C54DA" w:rsidRDefault="00C914C4" w:rsidP="00C914C4">
            <w:pPr>
              <w:rPr>
                <w:rFonts w:ascii="Arial" w:hAnsi="Arial" w:cs="Arial"/>
                <w:sz w:val="20"/>
                <w:szCs w:val="20"/>
              </w:rPr>
            </w:pPr>
            <w:r w:rsidRPr="008C54DA">
              <w:rPr>
                <w:rFonts w:ascii="Arial" w:hAnsi="Arial" w:cs="Arial"/>
                <w:b/>
                <w:bCs/>
                <w:sz w:val="20"/>
                <w:szCs w:val="20"/>
              </w:rPr>
              <w:t>Marital Status</w:t>
            </w:r>
          </w:p>
        </w:tc>
        <w:tc>
          <w:tcPr>
            <w:tcW w:w="0" w:type="auto"/>
            <w:hideMark/>
          </w:tcPr>
          <w:p w14:paraId="4A3A601B" w14:textId="77777777" w:rsidR="00C914C4" w:rsidRPr="008C54DA" w:rsidRDefault="00C914C4" w:rsidP="00C914C4">
            <w:pPr>
              <w:rPr>
                <w:rFonts w:ascii="Arial" w:hAnsi="Arial" w:cs="Arial"/>
                <w:sz w:val="20"/>
                <w:szCs w:val="20"/>
              </w:rPr>
            </w:pPr>
            <w:r w:rsidRPr="008C54DA">
              <w:rPr>
                <w:rFonts w:ascii="Arial" w:hAnsi="Arial" w:cs="Arial"/>
                <w:sz w:val="20"/>
                <w:szCs w:val="20"/>
              </w:rPr>
              <w:t>Married</w:t>
            </w:r>
          </w:p>
        </w:tc>
        <w:tc>
          <w:tcPr>
            <w:tcW w:w="0" w:type="auto"/>
            <w:hideMark/>
          </w:tcPr>
          <w:p w14:paraId="3C85C8DF" w14:textId="77777777" w:rsidR="00C914C4" w:rsidRPr="008C54DA" w:rsidRDefault="00C914C4" w:rsidP="00C914C4">
            <w:pPr>
              <w:rPr>
                <w:rFonts w:ascii="Arial" w:hAnsi="Arial" w:cs="Arial"/>
                <w:sz w:val="20"/>
                <w:szCs w:val="20"/>
              </w:rPr>
            </w:pPr>
            <w:r w:rsidRPr="008C54DA">
              <w:rPr>
                <w:rFonts w:ascii="Arial" w:hAnsi="Arial" w:cs="Arial"/>
                <w:sz w:val="20"/>
                <w:szCs w:val="20"/>
              </w:rPr>
              <w:t>117</w:t>
            </w:r>
          </w:p>
        </w:tc>
        <w:tc>
          <w:tcPr>
            <w:tcW w:w="0" w:type="auto"/>
            <w:hideMark/>
          </w:tcPr>
          <w:p w14:paraId="7377DD6A" w14:textId="77777777" w:rsidR="00C914C4" w:rsidRPr="008C54DA" w:rsidRDefault="00C914C4" w:rsidP="00C914C4">
            <w:pPr>
              <w:rPr>
                <w:rFonts w:ascii="Arial" w:hAnsi="Arial" w:cs="Arial"/>
                <w:sz w:val="20"/>
                <w:szCs w:val="20"/>
              </w:rPr>
            </w:pPr>
            <w:r w:rsidRPr="008C54DA">
              <w:rPr>
                <w:rFonts w:ascii="Arial" w:hAnsi="Arial" w:cs="Arial"/>
                <w:sz w:val="20"/>
                <w:szCs w:val="20"/>
              </w:rPr>
              <w:t>50.7</w:t>
            </w:r>
          </w:p>
        </w:tc>
      </w:tr>
      <w:tr w:rsidR="00C914C4" w:rsidRPr="00C914C4" w14:paraId="1D89A9B8" w14:textId="77777777" w:rsidTr="00F7364C">
        <w:trPr>
          <w:trHeight w:val="288"/>
        </w:trPr>
        <w:tc>
          <w:tcPr>
            <w:tcW w:w="0" w:type="auto"/>
            <w:hideMark/>
          </w:tcPr>
          <w:p w14:paraId="44D74090" w14:textId="77777777" w:rsidR="00C914C4" w:rsidRPr="008C54DA" w:rsidRDefault="00C914C4" w:rsidP="00C914C4">
            <w:pPr>
              <w:rPr>
                <w:rFonts w:ascii="Arial" w:hAnsi="Arial" w:cs="Arial"/>
                <w:sz w:val="20"/>
                <w:szCs w:val="20"/>
              </w:rPr>
            </w:pPr>
          </w:p>
        </w:tc>
        <w:tc>
          <w:tcPr>
            <w:tcW w:w="0" w:type="auto"/>
            <w:hideMark/>
          </w:tcPr>
          <w:p w14:paraId="10D4A217" w14:textId="77777777" w:rsidR="00C914C4" w:rsidRPr="008C54DA" w:rsidRDefault="00C914C4" w:rsidP="00C914C4">
            <w:pPr>
              <w:rPr>
                <w:rFonts w:ascii="Arial" w:hAnsi="Arial" w:cs="Arial"/>
                <w:sz w:val="20"/>
                <w:szCs w:val="20"/>
              </w:rPr>
            </w:pPr>
            <w:r w:rsidRPr="008C54DA">
              <w:rPr>
                <w:rFonts w:ascii="Arial" w:hAnsi="Arial" w:cs="Arial"/>
                <w:sz w:val="20"/>
                <w:szCs w:val="20"/>
              </w:rPr>
              <w:t>Single/Other</w:t>
            </w:r>
          </w:p>
        </w:tc>
        <w:tc>
          <w:tcPr>
            <w:tcW w:w="0" w:type="auto"/>
            <w:hideMark/>
          </w:tcPr>
          <w:p w14:paraId="485B14A9" w14:textId="77777777" w:rsidR="00C914C4" w:rsidRPr="008C54DA" w:rsidRDefault="00C914C4" w:rsidP="00C914C4">
            <w:pPr>
              <w:rPr>
                <w:rFonts w:ascii="Arial" w:hAnsi="Arial" w:cs="Arial"/>
                <w:sz w:val="20"/>
                <w:szCs w:val="20"/>
              </w:rPr>
            </w:pPr>
            <w:r w:rsidRPr="008C54DA">
              <w:rPr>
                <w:rFonts w:ascii="Arial" w:hAnsi="Arial" w:cs="Arial"/>
                <w:sz w:val="20"/>
                <w:szCs w:val="20"/>
              </w:rPr>
              <w:t>114</w:t>
            </w:r>
          </w:p>
        </w:tc>
        <w:tc>
          <w:tcPr>
            <w:tcW w:w="0" w:type="auto"/>
            <w:hideMark/>
          </w:tcPr>
          <w:p w14:paraId="69347C19" w14:textId="77777777" w:rsidR="00C914C4" w:rsidRPr="008C54DA" w:rsidRDefault="00C914C4" w:rsidP="00C914C4">
            <w:pPr>
              <w:rPr>
                <w:rFonts w:ascii="Arial" w:hAnsi="Arial" w:cs="Arial"/>
                <w:sz w:val="20"/>
                <w:szCs w:val="20"/>
              </w:rPr>
            </w:pPr>
            <w:r w:rsidRPr="008C54DA">
              <w:rPr>
                <w:rFonts w:ascii="Arial" w:hAnsi="Arial" w:cs="Arial"/>
                <w:sz w:val="20"/>
                <w:szCs w:val="20"/>
              </w:rPr>
              <w:t>49.3</w:t>
            </w:r>
          </w:p>
        </w:tc>
      </w:tr>
      <w:tr w:rsidR="00C914C4" w:rsidRPr="00C914C4" w14:paraId="68DFAD80" w14:textId="77777777" w:rsidTr="00F7364C">
        <w:trPr>
          <w:trHeight w:val="272"/>
        </w:trPr>
        <w:tc>
          <w:tcPr>
            <w:tcW w:w="0" w:type="auto"/>
            <w:hideMark/>
          </w:tcPr>
          <w:p w14:paraId="4540BB21" w14:textId="77777777" w:rsidR="00C914C4" w:rsidRPr="008C54DA" w:rsidRDefault="00C914C4" w:rsidP="00C914C4">
            <w:pPr>
              <w:rPr>
                <w:rFonts w:ascii="Arial" w:hAnsi="Arial" w:cs="Arial"/>
                <w:sz w:val="20"/>
                <w:szCs w:val="20"/>
              </w:rPr>
            </w:pPr>
            <w:r w:rsidRPr="008C54DA">
              <w:rPr>
                <w:rFonts w:ascii="Arial" w:hAnsi="Arial" w:cs="Arial"/>
                <w:b/>
                <w:bCs/>
                <w:sz w:val="20"/>
                <w:szCs w:val="20"/>
              </w:rPr>
              <w:t>Religion</w:t>
            </w:r>
          </w:p>
        </w:tc>
        <w:tc>
          <w:tcPr>
            <w:tcW w:w="0" w:type="auto"/>
            <w:hideMark/>
          </w:tcPr>
          <w:p w14:paraId="5F57BF2C" w14:textId="77777777" w:rsidR="00C914C4" w:rsidRPr="008C54DA" w:rsidRDefault="00C914C4" w:rsidP="00C914C4">
            <w:pPr>
              <w:rPr>
                <w:rFonts w:ascii="Arial" w:hAnsi="Arial" w:cs="Arial"/>
                <w:sz w:val="20"/>
                <w:szCs w:val="20"/>
              </w:rPr>
            </w:pPr>
            <w:r w:rsidRPr="008C54DA">
              <w:rPr>
                <w:rFonts w:ascii="Arial" w:hAnsi="Arial" w:cs="Arial"/>
                <w:sz w:val="20"/>
                <w:szCs w:val="20"/>
              </w:rPr>
              <w:t>Christian</w:t>
            </w:r>
          </w:p>
        </w:tc>
        <w:tc>
          <w:tcPr>
            <w:tcW w:w="0" w:type="auto"/>
            <w:hideMark/>
          </w:tcPr>
          <w:p w14:paraId="444DE130" w14:textId="77777777" w:rsidR="00C914C4" w:rsidRPr="008C54DA" w:rsidRDefault="00C914C4" w:rsidP="00C914C4">
            <w:pPr>
              <w:rPr>
                <w:rFonts w:ascii="Arial" w:hAnsi="Arial" w:cs="Arial"/>
                <w:sz w:val="20"/>
                <w:szCs w:val="20"/>
              </w:rPr>
            </w:pPr>
            <w:r w:rsidRPr="008C54DA">
              <w:rPr>
                <w:rFonts w:ascii="Arial" w:hAnsi="Arial" w:cs="Arial"/>
                <w:sz w:val="20"/>
                <w:szCs w:val="20"/>
              </w:rPr>
              <w:t>211</w:t>
            </w:r>
          </w:p>
        </w:tc>
        <w:tc>
          <w:tcPr>
            <w:tcW w:w="0" w:type="auto"/>
            <w:hideMark/>
          </w:tcPr>
          <w:p w14:paraId="7AC4BEFB" w14:textId="77777777" w:rsidR="00C914C4" w:rsidRPr="008C54DA" w:rsidRDefault="00C914C4" w:rsidP="00C914C4">
            <w:pPr>
              <w:rPr>
                <w:rFonts w:ascii="Arial" w:hAnsi="Arial" w:cs="Arial"/>
                <w:sz w:val="20"/>
                <w:szCs w:val="20"/>
              </w:rPr>
            </w:pPr>
            <w:r w:rsidRPr="008C54DA">
              <w:rPr>
                <w:rFonts w:ascii="Arial" w:hAnsi="Arial" w:cs="Arial"/>
                <w:sz w:val="20"/>
                <w:szCs w:val="20"/>
              </w:rPr>
              <w:t>91.3</w:t>
            </w:r>
          </w:p>
        </w:tc>
      </w:tr>
      <w:tr w:rsidR="00C914C4" w:rsidRPr="00C914C4" w14:paraId="1BDBE2C5" w14:textId="77777777" w:rsidTr="00F7364C">
        <w:trPr>
          <w:trHeight w:val="288"/>
        </w:trPr>
        <w:tc>
          <w:tcPr>
            <w:tcW w:w="0" w:type="auto"/>
            <w:hideMark/>
          </w:tcPr>
          <w:p w14:paraId="680FED53" w14:textId="77777777" w:rsidR="00C914C4" w:rsidRPr="008C54DA" w:rsidRDefault="00C914C4" w:rsidP="00C914C4">
            <w:pPr>
              <w:rPr>
                <w:rFonts w:ascii="Arial" w:hAnsi="Arial" w:cs="Arial"/>
                <w:sz w:val="20"/>
                <w:szCs w:val="20"/>
              </w:rPr>
            </w:pPr>
          </w:p>
        </w:tc>
        <w:tc>
          <w:tcPr>
            <w:tcW w:w="0" w:type="auto"/>
            <w:hideMark/>
          </w:tcPr>
          <w:p w14:paraId="46108396" w14:textId="77777777" w:rsidR="00C914C4" w:rsidRPr="008C54DA" w:rsidRDefault="00C914C4" w:rsidP="00C914C4">
            <w:pPr>
              <w:rPr>
                <w:rFonts w:ascii="Arial" w:hAnsi="Arial" w:cs="Arial"/>
                <w:sz w:val="20"/>
                <w:szCs w:val="20"/>
              </w:rPr>
            </w:pPr>
            <w:r w:rsidRPr="008C54DA">
              <w:rPr>
                <w:rFonts w:ascii="Arial" w:hAnsi="Arial" w:cs="Arial"/>
                <w:sz w:val="20"/>
                <w:szCs w:val="20"/>
              </w:rPr>
              <w:t>Other</w:t>
            </w:r>
          </w:p>
        </w:tc>
        <w:tc>
          <w:tcPr>
            <w:tcW w:w="0" w:type="auto"/>
            <w:hideMark/>
          </w:tcPr>
          <w:p w14:paraId="0294E3B1" w14:textId="77777777" w:rsidR="00C914C4" w:rsidRPr="008C54DA" w:rsidRDefault="00C914C4" w:rsidP="00C914C4">
            <w:pPr>
              <w:rPr>
                <w:rFonts w:ascii="Arial" w:hAnsi="Arial" w:cs="Arial"/>
                <w:sz w:val="20"/>
                <w:szCs w:val="20"/>
              </w:rPr>
            </w:pPr>
            <w:r w:rsidRPr="008C54DA">
              <w:rPr>
                <w:rFonts w:ascii="Arial" w:hAnsi="Arial" w:cs="Arial"/>
                <w:sz w:val="20"/>
                <w:szCs w:val="20"/>
              </w:rPr>
              <w:t>20</w:t>
            </w:r>
          </w:p>
        </w:tc>
        <w:tc>
          <w:tcPr>
            <w:tcW w:w="0" w:type="auto"/>
            <w:hideMark/>
          </w:tcPr>
          <w:p w14:paraId="24EFBABE" w14:textId="77777777" w:rsidR="00C914C4" w:rsidRPr="008C54DA" w:rsidRDefault="00C914C4" w:rsidP="00C914C4">
            <w:pPr>
              <w:rPr>
                <w:rFonts w:ascii="Arial" w:hAnsi="Arial" w:cs="Arial"/>
                <w:sz w:val="20"/>
                <w:szCs w:val="20"/>
              </w:rPr>
            </w:pPr>
            <w:r w:rsidRPr="008C54DA">
              <w:rPr>
                <w:rFonts w:ascii="Arial" w:hAnsi="Arial" w:cs="Arial"/>
                <w:sz w:val="20"/>
                <w:szCs w:val="20"/>
              </w:rPr>
              <w:t>8.7</w:t>
            </w:r>
          </w:p>
        </w:tc>
      </w:tr>
      <w:tr w:rsidR="00C914C4" w:rsidRPr="00C914C4" w14:paraId="56EA1681" w14:textId="77777777" w:rsidTr="00F7364C">
        <w:trPr>
          <w:trHeight w:val="272"/>
        </w:trPr>
        <w:tc>
          <w:tcPr>
            <w:tcW w:w="0" w:type="auto"/>
            <w:hideMark/>
          </w:tcPr>
          <w:p w14:paraId="5D975E94" w14:textId="77777777" w:rsidR="00C914C4" w:rsidRPr="008C54DA" w:rsidRDefault="00C914C4" w:rsidP="00C914C4">
            <w:pPr>
              <w:rPr>
                <w:rFonts w:ascii="Arial" w:hAnsi="Arial" w:cs="Arial"/>
                <w:sz w:val="20"/>
                <w:szCs w:val="20"/>
              </w:rPr>
            </w:pPr>
            <w:r w:rsidRPr="008C54DA">
              <w:rPr>
                <w:rFonts w:ascii="Arial" w:hAnsi="Arial" w:cs="Arial"/>
                <w:b/>
                <w:bCs/>
                <w:sz w:val="20"/>
                <w:szCs w:val="20"/>
              </w:rPr>
              <w:t>Profession</w:t>
            </w:r>
          </w:p>
        </w:tc>
        <w:tc>
          <w:tcPr>
            <w:tcW w:w="0" w:type="auto"/>
            <w:hideMark/>
          </w:tcPr>
          <w:p w14:paraId="13144AC1" w14:textId="77777777" w:rsidR="00C914C4" w:rsidRPr="008C54DA" w:rsidRDefault="00C914C4" w:rsidP="00C914C4">
            <w:pPr>
              <w:rPr>
                <w:rFonts w:ascii="Arial" w:hAnsi="Arial" w:cs="Arial"/>
                <w:sz w:val="20"/>
                <w:szCs w:val="20"/>
              </w:rPr>
            </w:pPr>
            <w:r w:rsidRPr="008C54DA">
              <w:rPr>
                <w:rFonts w:ascii="Arial" w:hAnsi="Arial" w:cs="Arial"/>
                <w:sz w:val="20"/>
                <w:szCs w:val="20"/>
              </w:rPr>
              <w:t>Nurses</w:t>
            </w:r>
          </w:p>
        </w:tc>
        <w:tc>
          <w:tcPr>
            <w:tcW w:w="0" w:type="auto"/>
            <w:hideMark/>
          </w:tcPr>
          <w:p w14:paraId="0C8492AD" w14:textId="77777777" w:rsidR="00C914C4" w:rsidRPr="008C54DA" w:rsidRDefault="00C914C4" w:rsidP="00C914C4">
            <w:pPr>
              <w:rPr>
                <w:rFonts w:ascii="Arial" w:hAnsi="Arial" w:cs="Arial"/>
                <w:sz w:val="20"/>
                <w:szCs w:val="20"/>
              </w:rPr>
            </w:pPr>
            <w:r w:rsidRPr="008C54DA">
              <w:rPr>
                <w:rFonts w:ascii="Arial" w:hAnsi="Arial" w:cs="Arial"/>
                <w:sz w:val="20"/>
                <w:szCs w:val="20"/>
              </w:rPr>
              <w:t>136</w:t>
            </w:r>
          </w:p>
        </w:tc>
        <w:tc>
          <w:tcPr>
            <w:tcW w:w="0" w:type="auto"/>
            <w:hideMark/>
          </w:tcPr>
          <w:p w14:paraId="54FBB20A" w14:textId="77777777" w:rsidR="00C914C4" w:rsidRPr="008C54DA" w:rsidRDefault="00C914C4" w:rsidP="00C914C4">
            <w:pPr>
              <w:rPr>
                <w:rFonts w:ascii="Arial" w:hAnsi="Arial" w:cs="Arial"/>
                <w:sz w:val="20"/>
                <w:szCs w:val="20"/>
              </w:rPr>
            </w:pPr>
            <w:r w:rsidRPr="008C54DA">
              <w:rPr>
                <w:rFonts w:ascii="Arial" w:hAnsi="Arial" w:cs="Arial"/>
                <w:sz w:val="20"/>
                <w:szCs w:val="20"/>
              </w:rPr>
              <w:t>58.62</w:t>
            </w:r>
          </w:p>
        </w:tc>
      </w:tr>
      <w:tr w:rsidR="00C914C4" w:rsidRPr="00C914C4" w14:paraId="0788D428" w14:textId="77777777" w:rsidTr="00F7364C">
        <w:trPr>
          <w:trHeight w:val="272"/>
        </w:trPr>
        <w:tc>
          <w:tcPr>
            <w:tcW w:w="0" w:type="auto"/>
            <w:hideMark/>
          </w:tcPr>
          <w:p w14:paraId="6D6E29C7" w14:textId="77777777" w:rsidR="00C914C4" w:rsidRPr="008C54DA" w:rsidRDefault="00C914C4" w:rsidP="00C914C4">
            <w:pPr>
              <w:rPr>
                <w:rFonts w:ascii="Arial" w:hAnsi="Arial" w:cs="Arial"/>
                <w:sz w:val="20"/>
                <w:szCs w:val="20"/>
              </w:rPr>
            </w:pPr>
          </w:p>
        </w:tc>
        <w:tc>
          <w:tcPr>
            <w:tcW w:w="0" w:type="auto"/>
            <w:hideMark/>
          </w:tcPr>
          <w:p w14:paraId="3645AC1B" w14:textId="77777777" w:rsidR="00C914C4" w:rsidRPr="008C54DA" w:rsidRDefault="00C914C4" w:rsidP="00C914C4">
            <w:pPr>
              <w:rPr>
                <w:rFonts w:ascii="Arial" w:hAnsi="Arial" w:cs="Arial"/>
                <w:sz w:val="20"/>
                <w:szCs w:val="20"/>
              </w:rPr>
            </w:pPr>
            <w:r w:rsidRPr="008C54DA">
              <w:rPr>
                <w:rFonts w:ascii="Arial" w:hAnsi="Arial" w:cs="Arial"/>
                <w:sz w:val="20"/>
                <w:szCs w:val="20"/>
              </w:rPr>
              <w:t>Medical Doctors</w:t>
            </w:r>
          </w:p>
        </w:tc>
        <w:tc>
          <w:tcPr>
            <w:tcW w:w="0" w:type="auto"/>
            <w:hideMark/>
          </w:tcPr>
          <w:p w14:paraId="29E8688B" w14:textId="77777777" w:rsidR="00C914C4" w:rsidRPr="008C54DA" w:rsidRDefault="00C914C4" w:rsidP="00C914C4">
            <w:pPr>
              <w:rPr>
                <w:rFonts w:ascii="Arial" w:hAnsi="Arial" w:cs="Arial"/>
                <w:sz w:val="20"/>
                <w:szCs w:val="20"/>
              </w:rPr>
            </w:pPr>
            <w:r w:rsidRPr="008C54DA">
              <w:rPr>
                <w:rFonts w:ascii="Arial" w:hAnsi="Arial" w:cs="Arial"/>
                <w:sz w:val="20"/>
                <w:szCs w:val="20"/>
              </w:rPr>
              <w:t>96</w:t>
            </w:r>
          </w:p>
        </w:tc>
        <w:tc>
          <w:tcPr>
            <w:tcW w:w="0" w:type="auto"/>
            <w:hideMark/>
          </w:tcPr>
          <w:p w14:paraId="53FF6314" w14:textId="77777777" w:rsidR="00C914C4" w:rsidRPr="008C54DA" w:rsidRDefault="00C914C4" w:rsidP="00C914C4">
            <w:pPr>
              <w:rPr>
                <w:rFonts w:ascii="Arial" w:hAnsi="Arial" w:cs="Arial"/>
                <w:sz w:val="20"/>
                <w:szCs w:val="20"/>
              </w:rPr>
            </w:pPr>
            <w:r w:rsidRPr="008C54DA">
              <w:rPr>
                <w:rFonts w:ascii="Arial" w:hAnsi="Arial" w:cs="Arial"/>
                <w:sz w:val="20"/>
                <w:szCs w:val="20"/>
              </w:rPr>
              <w:t>41.38</w:t>
            </w:r>
          </w:p>
        </w:tc>
      </w:tr>
      <w:tr w:rsidR="00C914C4" w:rsidRPr="00C914C4" w14:paraId="62C48EF2" w14:textId="77777777" w:rsidTr="00F7364C">
        <w:trPr>
          <w:trHeight w:val="288"/>
        </w:trPr>
        <w:tc>
          <w:tcPr>
            <w:tcW w:w="0" w:type="auto"/>
            <w:hideMark/>
          </w:tcPr>
          <w:p w14:paraId="273FA680" w14:textId="77777777" w:rsidR="00C914C4" w:rsidRPr="008C54DA" w:rsidRDefault="00C914C4" w:rsidP="00C914C4">
            <w:pPr>
              <w:rPr>
                <w:rFonts w:ascii="Arial" w:hAnsi="Arial" w:cs="Arial"/>
                <w:sz w:val="20"/>
                <w:szCs w:val="20"/>
              </w:rPr>
            </w:pPr>
            <w:r w:rsidRPr="008C54DA">
              <w:rPr>
                <w:rFonts w:ascii="Arial" w:hAnsi="Arial" w:cs="Arial"/>
                <w:b/>
                <w:bCs/>
                <w:sz w:val="20"/>
                <w:szCs w:val="20"/>
              </w:rPr>
              <w:t>Years of Experience</w:t>
            </w:r>
          </w:p>
        </w:tc>
        <w:tc>
          <w:tcPr>
            <w:tcW w:w="0" w:type="auto"/>
            <w:hideMark/>
          </w:tcPr>
          <w:p w14:paraId="4FE3372B" w14:textId="77777777" w:rsidR="00C914C4" w:rsidRPr="008C54DA" w:rsidRDefault="00C914C4" w:rsidP="00C914C4">
            <w:pPr>
              <w:rPr>
                <w:rFonts w:ascii="Arial" w:hAnsi="Arial" w:cs="Arial"/>
                <w:sz w:val="20"/>
                <w:szCs w:val="20"/>
              </w:rPr>
            </w:pPr>
            <w:r w:rsidRPr="008C54DA">
              <w:rPr>
                <w:rFonts w:ascii="Arial" w:hAnsi="Arial" w:cs="Arial"/>
                <w:sz w:val="20"/>
                <w:szCs w:val="20"/>
              </w:rPr>
              <w:t>1 year</w:t>
            </w:r>
          </w:p>
        </w:tc>
        <w:tc>
          <w:tcPr>
            <w:tcW w:w="0" w:type="auto"/>
            <w:hideMark/>
          </w:tcPr>
          <w:p w14:paraId="5AC84F13" w14:textId="77777777" w:rsidR="00C914C4" w:rsidRPr="008C54DA" w:rsidRDefault="00C914C4" w:rsidP="00C914C4">
            <w:pPr>
              <w:rPr>
                <w:rFonts w:ascii="Arial" w:hAnsi="Arial" w:cs="Arial"/>
                <w:sz w:val="20"/>
                <w:szCs w:val="20"/>
              </w:rPr>
            </w:pPr>
            <w:r w:rsidRPr="008C54DA">
              <w:rPr>
                <w:rFonts w:ascii="Arial" w:hAnsi="Arial" w:cs="Arial"/>
                <w:sz w:val="20"/>
                <w:szCs w:val="20"/>
              </w:rPr>
              <w:t>62</w:t>
            </w:r>
          </w:p>
        </w:tc>
        <w:tc>
          <w:tcPr>
            <w:tcW w:w="0" w:type="auto"/>
            <w:hideMark/>
          </w:tcPr>
          <w:p w14:paraId="518E7FAA" w14:textId="77777777" w:rsidR="00C914C4" w:rsidRPr="008C54DA" w:rsidRDefault="00C914C4" w:rsidP="00C914C4">
            <w:pPr>
              <w:rPr>
                <w:rFonts w:ascii="Arial" w:hAnsi="Arial" w:cs="Arial"/>
                <w:sz w:val="20"/>
                <w:szCs w:val="20"/>
              </w:rPr>
            </w:pPr>
            <w:r w:rsidRPr="008C54DA">
              <w:rPr>
                <w:rFonts w:ascii="Arial" w:hAnsi="Arial" w:cs="Arial"/>
                <w:sz w:val="20"/>
                <w:szCs w:val="20"/>
              </w:rPr>
              <w:t>26.72</w:t>
            </w:r>
          </w:p>
        </w:tc>
      </w:tr>
      <w:tr w:rsidR="00C914C4" w:rsidRPr="00C914C4" w14:paraId="73270D3D" w14:textId="77777777" w:rsidTr="00F7364C">
        <w:trPr>
          <w:trHeight w:val="272"/>
        </w:trPr>
        <w:tc>
          <w:tcPr>
            <w:tcW w:w="0" w:type="auto"/>
            <w:hideMark/>
          </w:tcPr>
          <w:p w14:paraId="29ACD33A" w14:textId="77777777" w:rsidR="00C914C4" w:rsidRPr="008C54DA" w:rsidRDefault="00C914C4" w:rsidP="00C914C4">
            <w:pPr>
              <w:rPr>
                <w:rFonts w:ascii="Arial" w:hAnsi="Arial" w:cs="Arial"/>
                <w:sz w:val="20"/>
                <w:szCs w:val="20"/>
              </w:rPr>
            </w:pPr>
          </w:p>
        </w:tc>
        <w:tc>
          <w:tcPr>
            <w:tcW w:w="0" w:type="auto"/>
            <w:hideMark/>
          </w:tcPr>
          <w:p w14:paraId="66300E77" w14:textId="77777777" w:rsidR="00C914C4" w:rsidRPr="008C54DA" w:rsidRDefault="00C914C4" w:rsidP="00C914C4">
            <w:pPr>
              <w:rPr>
                <w:rFonts w:ascii="Arial" w:hAnsi="Arial" w:cs="Arial"/>
                <w:sz w:val="20"/>
                <w:szCs w:val="20"/>
              </w:rPr>
            </w:pPr>
            <w:r w:rsidRPr="008C54DA">
              <w:rPr>
                <w:rFonts w:ascii="Arial" w:hAnsi="Arial" w:cs="Arial"/>
                <w:sz w:val="20"/>
                <w:szCs w:val="20"/>
              </w:rPr>
              <w:t>2 years</w:t>
            </w:r>
          </w:p>
        </w:tc>
        <w:tc>
          <w:tcPr>
            <w:tcW w:w="0" w:type="auto"/>
            <w:hideMark/>
          </w:tcPr>
          <w:p w14:paraId="5CA7E67C" w14:textId="77777777" w:rsidR="00C914C4" w:rsidRPr="008C54DA" w:rsidRDefault="00C914C4" w:rsidP="00C914C4">
            <w:pPr>
              <w:rPr>
                <w:rFonts w:ascii="Arial" w:hAnsi="Arial" w:cs="Arial"/>
                <w:sz w:val="20"/>
                <w:szCs w:val="20"/>
              </w:rPr>
            </w:pPr>
            <w:r w:rsidRPr="008C54DA">
              <w:rPr>
                <w:rFonts w:ascii="Arial" w:hAnsi="Arial" w:cs="Arial"/>
                <w:sz w:val="20"/>
                <w:szCs w:val="20"/>
              </w:rPr>
              <w:t>75</w:t>
            </w:r>
          </w:p>
        </w:tc>
        <w:tc>
          <w:tcPr>
            <w:tcW w:w="0" w:type="auto"/>
            <w:hideMark/>
          </w:tcPr>
          <w:p w14:paraId="30421B88" w14:textId="77777777" w:rsidR="00C914C4" w:rsidRPr="008C54DA" w:rsidRDefault="00C914C4" w:rsidP="00C914C4">
            <w:pPr>
              <w:rPr>
                <w:rFonts w:ascii="Arial" w:hAnsi="Arial" w:cs="Arial"/>
                <w:sz w:val="20"/>
                <w:szCs w:val="20"/>
              </w:rPr>
            </w:pPr>
            <w:r w:rsidRPr="008C54DA">
              <w:rPr>
                <w:rFonts w:ascii="Arial" w:hAnsi="Arial" w:cs="Arial"/>
                <w:sz w:val="20"/>
                <w:szCs w:val="20"/>
              </w:rPr>
              <w:t>32.33</w:t>
            </w:r>
          </w:p>
        </w:tc>
      </w:tr>
      <w:tr w:rsidR="00C914C4" w:rsidRPr="00C914C4" w14:paraId="706BCA10" w14:textId="77777777" w:rsidTr="00F7364C">
        <w:trPr>
          <w:trHeight w:val="288"/>
        </w:trPr>
        <w:tc>
          <w:tcPr>
            <w:tcW w:w="0" w:type="auto"/>
            <w:hideMark/>
          </w:tcPr>
          <w:p w14:paraId="3C33DF63" w14:textId="77777777" w:rsidR="00C914C4" w:rsidRPr="008C54DA" w:rsidRDefault="00C914C4" w:rsidP="00C914C4">
            <w:pPr>
              <w:rPr>
                <w:rFonts w:ascii="Arial" w:hAnsi="Arial" w:cs="Arial"/>
                <w:sz w:val="20"/>
                <w:szCs w:val="20"/>
              </w:rPr>
            </w:pPr>
          </w:p>
        </w:tc>
        <w:tc>
          <w:tcPr>
            <w:tcW w:w="0" w:type="auto"/>
            <w:hideMark/>
          </w:tcPr>
          <w:p w14:paraId="2D0DA71E" w14:textId="77777777" w:rsidR="00C914C4" w:rsidRPr="008C54DA" w:rsidRDefault="00C914C4" w:rsidP="00C914C4">
            <w:pPr>
              <w:rPr>
                <w:rFonts w:ascii="Arial" w:hAnsi="Arial" w:cs="Arial"/>
                <w:sz w:val="20"/>
                <w:szCs w:val="20"/>
              </w:rPr>
            </w:pPr>
            <w:r w:rsidRPr="008C54DA">
              <w:rPr>
                <w:rFonts w:ascii="Arial" w:hAnsi="Arial" w:cs="Arial"/>
                <w:sz w:val="20"/>
                <w:szCs w:val="20"/>
              </w:rPr>
              <w:t>3 years</w:t>
            </w:r>
          </w:p>
        </w:tc>
        <w:tc>
          <w:tcPr>
            <w:tcW w:w="0" w:type="auto"/>
            <w:hideMark/>
          </w:tcPr>
          <w:p w14:paraId="7FD0EEAE" w14:textId="77777777" w:rsidR="00C914C4" w:rsidRPr="008C54DA" w:rsidRDefault="00C914C4" w:rsidP="00C914C4">
            <w:pPr>
              <w:rPr>
                <w:rFonts w:ascii="Arial" w:hAnsi="Arial" w:cs="Arial"/>
                <w:sz w:val="20"/>
                <w:szCs w:val="20"/>
              </w:rPr>
            </w:pPr>
            <w:r w:rsidRPr="008C54DA">
              <w:rPr>
                <w:rFonts w:ascii="Arial" w:hAnsi="Arial" w:cs="Arial"/>
                <w:sz w:val="20"/>
                <w:szCs w:val="20"/>
              </w:rPr>
              <w:t>36</w:t>
            </w:r>
          </w:p>
        </w:tc>
        <w:tc>
          <w:tcPr>
            <w:tcW w:w="0" w:type="auto"/>
            <w:hideMark/>
          </w:tcPr>
          <w:p w14:paraId="0D617FAD" w14:textId="77777777" w:rsidR="00C914C4" w:rsidRPr="008C54DA" w:rsidRDefault="00C914C4" w:rsidP="00C914C4">
            <w:pPr>
              <w:rPr>
                <w:rFonts w:ascii="Arial" w:hAnsi="Arial" w:cs="Arial"/>
                <w:sz w:val="20"/>
                <w:szCs w:val="20"/>
              </w:rPr>
            </w:pPr>
            <w:r w:rsidRPr="008C54DA">
              <w:rPr>
                <w:rFonts w:ascii="Arial" w:hAnsi="Arial" w:cs="Arial"/>
                <w:sz w:val="20"/>
                <w:szCs w:val="20"/>
              </w:rPr>
              <w:t>15.52</w:t>
            </w:r>
          </w:p>
        </w:tc>
      </w:tr>
      <w:tr w:rsidR="00C914C4" w:rsidRPr="00C914C4" w14:paraId="4C34AC50" w14:textId="77777777" w:rsidTr="00F7364C">
        <w:trPr>
          <w:trHeight w:val="272"/>
        </w:trPr>
        <w:tc>
          <w:tcPr>
            <w:tcW w:w="0" w:type="auto"/>
            <w:hideMark/>
          </w:tcPr>
          <w:p w14:paraId="7233CD2F" w14:textId="77777777" w:rsidR="00C914C4" w:rsidRPr="008C54DA" w:rsidRDefault="00C914C4" w:rsidP="00C914C4">
            <w:pPr>
              <w:rPr>
                <w:rFonts w:ascii="Arial" w:hAnsi="Arial" w:cs="Arial"/>
                <w:sz w:val="20"/>
                <w:szCs w:val="20"/>
              </w:rPr>
            </w:pPr>
          </w:p>
        </w:tc>
        <w:tc>
          <w:tcPr>
            <w:tcW w:w="0" w:type="auto"/>
            <w:hideMark/>
          </w:tcPr>
          <w:p w14:paraId="48536A34" w14:textId="77777777" w:rsidR="00C914C4" w:rsidRPr="008C54DA" w:rsidRDefault="00C914C4" w:rsidP="00C914C4">
            <w:pPr>
              <w:rPr>
                <w:rFonts w:ascii="Arial" w:hAnsi="Arial" w:cs="Arial"/>
                <w:sz w:val="20"/>
                <w:szCs w:val="20"/>
              </w:rPr>
            </w:pPr>
            <w:r w:rsidRPr="008C54DA">
              <w:rPr>
                <w:rFonts w:ascii="Arial" w:hAnsi="Arial" w:cs="Arial"/>
                <w:sz w:val="20"/>
                <w:szCs w:val="20"/>
              </w:rPr>
              <w:t>4–6 years</w:t>
            </w:r>
          </w:p>
        </w:tc>
        <w:tc>
          <w:tcPr>
            <w:tcW w:w="0" w:type="auto"/>
            <w:hideMark/>
          </w:tcPr>
          <w:p w14:paraId="431E168C" w14:textId="77777777" w:rsidR="00C914C4" w:rsidRPr="008C54DA" w:rsidRDefault="00C914C4" w:rsidP="00C914C4">
            <w:pPr>
              <w:rPr>
                <w:rFonts w:ascii="Arial" w:hAnsi="Arial" w:cs="Arial"/>
                <w:sz w:val="20"/>
                <w:szCs w:val="20"/>
              </w:rPr>
            </w:pPr>
            <w:r w:rsidRPr="008C54DA">
              <w:rPr>
                <w:rFonts w:ascii="Arial" w:hAnsi="Arial" w:cs="Arial"/>
                <w:sz w:val="20"/>
                <w:szCs w:val="20"/>
              </w:rPr>
              <w:t>29</w:t>
            </w:r>
          </w:p>
        </w:tc>
        <w:tc>
          <w:tcPr>
            <w:tcW w:w="0" w:type="auto"/>
            <w:hideMark/>
          </w:tcPr>
          <w:p w14:paraId="7453C189" w14:textId="77777777" w:rsidR="00C914C4" w:rsidRPr="008C54DA" w:rsidRDefault="00C914C4" w:rsidP="00C914C4">
            <w:pPr>
              <w:rPr>
                <w:rFonts w:ascii="Arial" w:hAnsi="Arial" w:cs="Arial"/>
                <w:sz w:val="20"/>
                <w:szCs w:val="20"/>
              </w:rPr>
            </w:pPr>
            <w:r w:rsidRPr="008C54DA">
              <w:rPr>
                <w:rFonts w:ascii="Arial" w:hAnsi="Arial" w:cs="Arial"/>
                <w:sz w:val="20"/>
                <w:szCs w:val="20"/>
              </w:rPr>
              <w:t>12.47</w:t>
            </w:r>
          </w:p>
        </w:tc>
      </w:tr>
      <w:tr w:rsidR="00C914C4" w:rsidRPr="00C914C4" w14:paraId="2B43FFBA" w14:textId="77777777" w:rsidTr="00F7364C">
        <w:trPr>
          <w:trHeight w:val="272"/>
        </w:trPr>
        <w:tc>
          <w:tcPr>
            <w:tcW w:w="0" w:type="auto"/>
            <w:hideMark/>
          </w:tcPr>
          <w:p w14:paraId="1BC36988" w14:textId="77777777" w:rsidR="00C914C4" w:rsidRPr="008C54DA" w:rsidRDefault="00C914C4" w:rsidP="00C914C4">
            <w:pPr>
              <w:rPr>
                <w:rFonts w:ascii="Arial" w:hAnsi="Arial" w:cs="Arial"/>
                <w:sz w:val="20"/>
                <w:szCs w:val="20"/>
              </w:rPr>
            </w:pPr>
          </w:p>
        </w:tc>
        <w:tc>
          <w:tcPr>
            <w:tcW w:w="0" w:type="auto"/>
            <w:hideMark/>
          </w:tcPr>
          <w:p w14:paraId="32B45289" w14:textId="77777777" w:rsidR="00C914C4" w:rsidRPr="008C54DA" w:rsidRDefault="00C914C4" w:rsidP="00C914C4">
            <w:pPr>
              <w:rPr>
                <w:rFonts w:ascii="Arial" w:hAnsi="Arial" w:cs="Arial"/>
                <w:sz w:val="20"/>
                <w:szCs w:val="20"/>
              </w:rPr>
            </w:pPr>
            <w:r w:rsidRPr="008C54DA">
              <w:rPr>
                <w:rFonts w:ascii="Arial" w:hAnsi="Arial" w:cs="Arial"/>
                <w:sz w:val="20"/>
                <w:szCs w:val="20"/>
              </w:rPr>
              <w:t>7–8 years</w:t>
            </w:r>
          </w:p>
        </w:tc>
        <w:tc>
          <w:tcPr>
            <w:tcW w:w="0" w:type="auto"/>
            <w:hideMark/>
          </w:tcPr>
          <w:p w14:paraId="4ACF1A3A" w14:textId="77777777" w:rsidR="00C914C4" w:rsidRPr="008C54DA" w:rsidRDefault="00C914C4" w:rsidP="00C914C4">
            <w:pPr>
              <w:rPr>
                <w:rFonts w:ascii="Arial" w:hAnsi="Arial" w:cs="Arial"/>
                <w:sz w:val="20"/>
                <w:szCs w:val="20"/>
              </w:rPr>
            </w:pPr>
            <w:r w:rsidRPr="008C54DA">
              <w:rPr>
                <w:rFonts w:ascii="Arial" w:hAnsi="Arial" w:cs="Arial"/>
                <w:sz w:val="20"/>
                <w:szCs w:val="20"/>
              </w:rPr>
              <w:t>6</w:t>
            </w:r>
          </w:p>
        </w:tc>
        <w:tc>
          <w:tcPr>
            <w:tcW w:w="0" w:type="auto"/>
            <w:hideMark/>
          </w:tcPr>
          <w:p w14:paraId="062DEF5A" w14:textId="77777777" w:rsidR="00C914C4" w:rsidRPr="008C54DA" w:rsidRDefault="00C914C4" w:rsidP="00C914C4">
            <w:pPr>
              <w:rPr>
                <w:rFonts w:ascii="Arial" w:hAnsi="Arial" w:cs="Arial"/>
                <w:sz w:val="20"/>
                <w:szCs w:val="20"/>
              </w:rPr>
            </w:pPr>
            <w:r w:rsidRPr="008C54DA">
              <w:rPr>
                <w:rFonts w:ascii="Arial" w:hAnsi="Arial" w:cs="Arial"/>
                <w:sz w:val="20"/>
                <w:szCs w:val="20"/>
              </w:rPr>
              <w:t>2.58</w:t>
            </w:r>
          </w:p>
        </w:tc>
      </w:tr>
      <w:tr w:rsidR="00C914C4" w:rsidRPr="00C914C4" w14:paraId="2F34EEC9" w14:textId="77777777" w:rsidTr="00F7364C">
        <w:trPr>
          <w:trHeight w:val="288"/>
        </w:trPr>
        <w:tc>
          <w:tcPr>
            <w:tcW w:w="0" w:type="auto"/>
            <w:hideMark/>
          </w:tcPr>
          <w:p w14:paraId="6AB6469A" w14:textId="77777777" w:rsidR="00C914C4" w:rsidRPr="008C54DA" w:rsidRDefault="00C914C4" w:rsidP="00C914C4">
            <w:pPr>
              <w:rPr>
                <w:rFonts w:ascii="Arial" w:hAnsi="Arial" w:cs="Arial"/>
                <w:sz w:val="20"/>
                <w:szCs w:val="20"/>
              </w:rPr>
            </w:pPr>
          </w:p>
        </w:tc>
        <w:tc>
          <w:tcPr>
            <w:tcW w:w="0" w:type="auto"/>
            <w:hideMark/>
          </w:tcPr>
          <w:p w14:paraId="6DBF7F73" w14:textId="77777777" w:rsidR="00C914C4" w:rsidRPr="008C54DA" w:rsidRDefault="00C914C4" w:rsidP="00C914C4">
            <w:pPr>
              <w:rPr>
                <w:rFonts w:ascii="Arial" w:hAnsi="Arial" w:cs="Arial"/>
                <w:sz w:val="20"/>
                <w:szCs w:val="20"/>
              </w:rPr>
            </w:pPr>
            <w:r w:rsidRPr="008C54DA">
              <w:rPr>
                <w:rFonts w:ascii="Arial" w:hAnsi="Arial" w:cs="Arial"/>
                <w:sz w:val="20"/>
                <w:szCs w:val="20"/>
              </w:rPr>
              <w:t>9–22 years</w:t>
            </w:r>
          </w:p>
        </w:tc>
        <w:tc>
          <w:tcPr>
            <w:tcW w:w="0" w:type="auto"/>
            <w:hideMark/>
          </w:tcPr>
          <w:p w14:paraId="66894221" w14:textId="77777777" w:rsidR="00C914C4" w:rsidRPr="008C54DA" w:rsidRDefault="00C914C4" w:rsidP="00C914C4">
            <w:pPr>
              <w:rPr>
                <w:rFonts w:ascii="Arial" w:hAnsi="Arial" w:cs="Arial"/>
                <w:sz w:val="20"/>
                <w:szCs w:val="20"/>
              </w:rPr>
            </w:pPr>
            <w:r w:rsidRPr="008C54DA">
              <w:rPr>
                <w:rFonts w:ascii="Arial" w:hAnsi="Arial" w:cs="Arial"/>
                <w:sz w:val="20"/>
                <w:szCs w:val="20"/>
              </w:rPr>
              <w:t>8</w:t>
            </w:r>
          </w:p>
        </w:tc>
        <w:tc>
          <w:tcPr>
            <w:tcW w:w="0" w:type="auto"/>
            <w:hideMark/>
          </w:tcPr>
          <w:p w14:paraId="3ABAE6CC" w14:textId="77777777" w:rsidR="00C914C4" w:rsidRPr="008C54DA" w:rsidRDefault="00C914C4" w:rsidP="00C914C4">
            <w:pPr>
              <w:rPr>
                <w:rFonts w:ascii="Arial" w:hAnsi="Arial" w:cs="Arial"/>
                <w:sz w:val="20"/>
                <w:szCs w:val="20"/>
              </w:rPr>
            </w:pPr>
            <w:r w:rsidRPr="008C54DA">
              <w:rPr>
                <w:rFonts w:ascii="Arial" w:hAnsi="Arial" w:cs="Arial"/>
                <w:sz w:val="20"/>
                <w:szCs w:val="20"/>
              </w:rPr>
              <w:t>3.45</w:t>
            </w:r>
          </w:p>
        </w:tc>
      </w:tr>
    </w:tbl>
    <w:p w14:paraId="31CBE3E9" w14:textId="77777777" w:rsidR="00C914C4" w:rsidRPr="0054084E" w:rsidRDefault="00C914C4" w:rsidP="000C58A7">
      <w:pPr>
        <w:tabs>
          <w:tab w:val="left" w:pos="555"/>
        </w:tabs>
        <w:spacing w:line="228" w:lineRule="exact"/>
        <w:rPr>
          <w:rFonts w:ascii="Arial" w:hAnsi="Arial" w:cs="Arial"/>
          <w:b/>
          <w:bCs/>
        </w:rPr>
      </w:pPr>
    </w:p>
    <w:p w14:paraId="49686FE2" w14:textId="77777777" w:rsidR="000C58A7" w:rsidRPr="000C58A7" w:rsidRDefault="000C58A7" w:rsidP="000C58A7">
      <w:pPr>
        <w:tabs>
          <w:tab w:val="left" w:pos="555"/>
        </w:tabs>
        <w:spacing w:line="228" w:lineRule="exact"/>
        <w:rPr>
          <w:rFonts w:ascii="Arial" w:hAnsi="Arial" w:cs="Arial"/>
        </w:rPr>
      </w:pPr>
    </w:p>
    <w:p w14:paraId="4698FFB4" w14:textId="0E760E30" w:rsidR="000C58A7" w:rsidRDefault="000C58A7" w:rsidP="0054084E">
      <w:pPr>
        <w:tabs>
          <w:tab w:val="left" w:pos="555"/>
        </w:tabs>
        <w:spacing w:line="228" w:lineRule="exact"/>
        <w:jc w:val="both"/>
        <w:rPr>
          <w:rFonts w:ascii="Arial" w:hAnsi="Arial" w:cs="Arial"/>
        </w:rPr>
      </w:pPr>
      <w:r w:rsidRPr="000C58A7">
        <w:rPr>
          <w:rFonts w:ascii="Arial" w:hAnsi="Arial" w:cs="Arial"/>
        </w:rPr>
        <w:t xml:space="preserve">The sociodemographic characteristics of the respondents </w:t>
      </w:r>
      <w:r w:rsidR="00C914C4">
        <w:rPr>
          <w:rFonts w:ascii="Arial" w:hAnsi="Arial" w:cs="Arial"/>
        </w:rPr>
        <w:t xml:space="preserve">in </w:t>
      </w:r>
      <w:r w:rsidR="00C914C4" w:rsidRPr="00F7364C">
        <w:rPr>
          <w:rFonts w:ascii="Arial" w:hAnsi="Arial" w:cs="Arial"/>
          <w:b/>
        </w:rPr>
        <w:t>Table 1</w:t>
      </w:r>
      <w:r w:rsidRPr="000C58A7">
        <w:rPr>
          <w:rFonts w:ascii="Arial" w:hAnsi="Arial" w:cs="Arial"/>
        </w:rPr>
        <w:t xml:space="preserve"> provide valuable insights into the workforce composition at Livingstone Central Hospital. The study reveals that 82.6% of respondents were female, which is a notably high proportion. This finding aligns with global and regional trends in the healthcare sector, where nursing and other caregiving roles, which are predominantly female-dominated, constitute a significant portion of the workforce. In support to this, a study by Owuor et al.</w:t>
      </w:r>
      <w:r w:rsidR="00F7364C">
        <w:rPr>
          <w:rFonts w:ascii="Arial" w:hAnsi="Arial" w:cs="Arial"/>
        </w:rPr>
        <w:t>,</w:t>
      </w:r>
      <w:r w:rsidRPr="000C58A7">
        <w:rPr>
          <w:rFonts w:ascii="Arial" w:hAnsi="Arial" w:cs="Arial"/>
        </w:rPr>
        <w:t xml:space="preserve"> (2020) in sub-Saharan Africa found that 78% of nurses were female, which is consistent with the high percentage observed in this study. Similarly, Hayes et al. (2020) reported that nursing professions in Western countries are also predominantly female, with percentages ranging from 75% to 85%. In contrast, a study by Shanafelt et al. (2015) in the United States found a more balanced gender distribution among medical officers, with females constituting around 48% of the workforce. This difference could be attributed to variations in cultural and societal norms influencing career choices in different regions. The study also found that the mean age of respondents was 33.2 years (±6.8), ranging from 23 to 54 years. This indicates a relatively young workforce, which is common in many healthcare settings due to the demanding nature of the job and the relatively early entry age for many healthcare professions. Similar to this result, Olley (2016) reported a similar mean age of 35 years among healthcare workers in Africa, suggesting a common trend of a youthful workforce. However, Dyrbye et al. (2014) found a higher mean age of 42 years among physicians in the United States, which could be due to longer training periods and later entry into the workforce in more developed countries.</w:t>
      </w:r>
    </w:p>
    <w:p w14:paraId="65DC577A" w14:textId="77777777" w:rsidR="0054084E" w:rsidRPr="000C58A7" w:rsidRDefault="0054084E" w:rsidP="0054084E">
      <w:pPr>
        <w:tabs>
          <w:tab w:val="left" w:pos="555"/>
        </w:tabs>
        <w:spacing w:line="228" w:lineRule="exact"/>
        <w:jc w:val="both"/>
        <w:rPr>
          <w:rFonts w:ascii="Arial" w:hAnsi="Arial" w:cs="Arial"/>
        </w:rPr>
      </w:pPr>
    </w:p>
    <w:p w14:paraId="7696649E" w14:textId="77777777" w:rsidR="000C58A7" w:rsidRDefault="000C58A7" w:rsidP="0054084E">
      <w:pPr>
        <w:tabs>
          <w:tab w:val="left" w:pos="555"/>
        </w:tabs>
        <w:spacing w:line="228" w:lineRule="exact"/>
        <w:jc w:val="both"/>
        <w:rPr>
          <w:rFonts w:ascii="Arial" w:hAnsi="Arial" w:cs="Arial"/>
        </w:rPr>
      </w:pPr>
      <w:r w:rsidRPr="000C58A7">
        <w:rPr>
          <w:rFonts w:ascii="Arial" w:hAnsi="Arial" w:cs="Arial"/>
        </w:rPr>
        <w:t xml:space="preserve">The study found that slightly over half of the respondents were married (50.7%). This finding is consistent with studies that suggest a moderate level of marital stability among healthcare professionals, possibly due to the demanding work schedules that can affect personal life. Consistent with this result, Mumbwe (2019) reported a slightly lower percentage of married healthcare workers (45%) in Zambia, indicating variability within the same country. In contrast, Leiter and Maslach (2009) found that married individuals in the United States had higher levels of job satisfaction, which could be related to the support system provided by a spouse. Further, the majority of respondents in this study identified as Christian (91.3%). This is reflective of the religious demographics in Zambia, where Christianity is the dominant religion. Olley (2016) noted that religious affiliation can influence coping mechanisms among healthcare workers, with Christian healthcare workers in Africa often relying on their faith for support. Shanafelt et al. (2015) found that spiritual well-being was associated with lower levels of burnout in the United States, suggesting a potential protective effect of religious beliefs. </w:t>
      </w:r>
    </w:p>
    <w:p w14:paraId="30AE7465" w14:textId="77777777" w:rsidR="00F23B58" w:rsidRDefault="00F23B58" w:rsidP="0054084E">
      <w:pPr>
        <w:tabs>
          <w:tab w:val="left" w:pos="555"/>
        </w:tabs>
        <w:spacing w:line="228" w:lineRule="exact"/>
        <w:jc w:val="both"/>
        <w:rPr>
          <w:rFonts w:ascii="Arial" w:hAnsi="Arial" w:cs="Arial"/>
        </w:rPr>
      </w:pPr>
    </w:p>
    <w:p w14:paraId="174A3D6A" w14:textId="5ACD1AD2" w:rsidR="000C58A7" w:rsidRPr="0054084E" w:rsidRDefault="001B4C23" w:rsidP="0054084E">
      <w:pPr>
        <w:tabs>
          <w:tab w:val="left" w:pos="555"/>
        </w:tabs>
        <w:spacing w:line="228" w:lineRule="exact"/>
        <w:jc w:val="both"/>
        <w:rPr>
          <w:rFonts w:ascii="Arial" w:hAnsi="Arial" w:cs="Arial"/>
          <w:b/>
          <w:bCs/>
        </w:rPr>
      </w:pPr>
      <w:r>
        <w:rPr>
          <w:rFonts w:ascii="Arial" w:hAnsi="Arial" w:cs="Arial"/>
          <w:b/>
          <w:bCs/>
        </w:rPr>
        <w:t>4</w:t>
      </w:r>
      <w:r w:rsidR="000C58A7" w:rsidRPr="0054084E">
        <w:rPr>
          <w:rFonts w:ascii="Arial" w:hAnsi="Arial" w:cs="Arial"/>
          <w:b/>
          <w:bCs/>
        </w:rPr>
        <w:t>.</w:t>
      </w:r>
      <w:r w:rsidR="0054084E">
        <w:rPr>
          <w:rFonts w:ascii="Arial" w:hAnsi="Arial" w:cs="Arial"/>
          <w:b/>
          <w:bCs/>
        </w:rPr>
        <w:t>3</w:t>
      </w:r>
      <w:r w:rsidR="000C58A7" w:rsidRPr="0054084E">
        <w:rPr>
          <w:rFonts w:ascii="Arial" w:hAnsi="Arial" w:cs="Arial"/>
          <w:b/>
          <w:bCs/>
        </w:rPr>
        <w:t xml:space="preserve"> Prevalence of Burnout Syndrome Among Healthcare Providers</w:t>
      </w:r>
    </w:p>
    <w:p w14:paraId="1622D11E" w14:textId="2851F1A1" w:rsidR="000C58A7" w:rsidRPr="001C5971" w:rsidRDefault="001C5971" w:rsidP="0054084E">
      <w:pPr>
        <w:tabs>
          <w:tab w:val="left" w:pos="555"/>
        </w:tabs>
        <w:spacing w:line="228" w:lineRule="exact"/>
        <w:jc w:val="both"/>
        <w:rPr>
          <w:rFonts w:ascii="Arial" w:hAnsi="Arial" w:cs="Arial"/>
        </w:rPr>
      </w:pPr>
      <w:r w:rsidRPr="008C54DA">
        <w:rPr>
          <w:rFonts w:ascii="Arial" w:hAnsi="Arial" w:cs="Arial"/>
        </w:rPr>
        <w:t>Table 2: Prevalence of Burnout Syndrome Among Healthcare Providers</w:t>
      </w:r>
    </w:p>
    <w:tbl>
      <w:tblPr>
        <w:tblStyle w:val="TableGrid"/>
        <w:tblW w:w="0" w:type="auto"/>
        <w:tblLook w:val="04A0" w:firstRow="1" w:lastRow="0" w:firstColumn="1" w:lastColumn="0" w:noHBand="0" w:noVBand="1"/>
      </w:tblPr>
      <w:tblGrid>
        <w:gridCol w:w="2352"/>
        <w:gridCol w:w="2413"/>
        <w:gridCol w:w="1781"/>
        <w:gridCol w:w="1652"/>
      </w:tblGrid>
      <w:tr w:rsidR="00C914C4" w:rsidRPr="00C914C4" w14:paraId="3B27AB14" w14:textId="77777777" w:rsidTr="008C54DA">
        <w:tc>
          <w:tcPr>
            <w:tcW w:w="0" w:type="auto"/>
            <w:hideMark/>
          </w:tcPr>
          <w:p w14:paraId="6943D316"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Variable</w:t>
            </w:r>
          </w:p>
        </w:tc>
        <w:tc>
          <w:tcPr>
            <w:tcW w:w="2413" w:type="dxa"/>
            <w:hideMark/>
          </w:tcPr>
          <w:p w14:paraId="6A05D572"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Indicator</w:t>
            </w:r>
          </w:p>
        </w:tc>
        <w:tc>
          <w:tcPr>
            <w:tcW w:w="1781" w:type="dxa"/>
            <w:hideMark/>
          </w:tcPr>
          <w:p w14:paraId="7CDA6A2D"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Frequency (n)</w:t>
            </w:r>
          </w:p>
        </w:tc>
        <w:tc>
          <w:tcPr>
            <w:tcW w:w="0" w:type="auto"/>
            <w:hideMark/>
          </w:tcPr>
          <w:p w14:paraId="62283289"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Percentage (%)</w:t>
            </w:r>
          </w:p>
        </w:tc>
      </w:tr>
      <w:tr w:rsidR="00C914C4" w:rsidRPr="00C914C4" w14:paraId="6192F305" w14:textId="77777777" w:rsidTr="008C54DA">
        <w:tc>
          <w:tcPr>
            <w:tcW w:w="0" w:type="auto"/>
            <w:hideMark/>
          </w:tcPr>
          <w:p w14:paraId="7BDAFB06" w14:textId="77777777" w:rsidR="00C914C4" w:rsidRPr="008C54DA" w:rsidRDefault="00C914C4" w:rsidP="00C914C4">
            <w:pPr>
              <w:rPr>
                <w:rFonts w:ascii="Arial" w:hAnsi="Arial" w:cs="Arial"/>
                <w:sz w:val="20"/>
                <w:szCs w:val="20"/>
              </w:rPr>
            </w:pPr>
            <w:r w:rsidRPr="008C54DA">
              <w:rPr>
                <w:rFonts w:ascii="Arial" w:hAnsi="Arial" w:cs="Arial"/>
                <w:b/>
                <w:bCs/>
                <w:sz w:val="20"/>
                <w:szCs w:val="20"/>
              </w:rPr>
              <w:t>Emotional Exhaustion</w:t>
            </w:r>
          </w:p>
        </w:tc>
        <w:tc>
          <w:tcPr>
            <w:tcW w:w="2413" w:type="dxa"/>
            <w:hideMark/>
          </w:tcPr>
          <w:p w14:paraId="1ADD1070" w14:textId="77777777" w:rsidR="00C914C4" w:rsidRPr="008C54DA" w:rsidRDefault="00C914C4" w:rsidP="00C914C4">
            <w:pPr>
              <w:rPr>
                <w:rFonts w:ascii="Arial" w:hAnsi="Arial" w:cs="Arial"/>
                <w:sz w:val="20"/>
                <w:szCs w:val="20"/>
              </w:rPr>
            </w:pPr>
            <w:r w:rsidRPr="008C54DA">
              <w:rPr>
                <w:rFonts w:ascii="Arial" w:hAnsi="Arial" w:cs="Arial"/>
                <w:sz w:val="20"/>
                <w:szCs w:val="20"/>
              </w:rPr>
              <w:t>Low fatigue</w:t>
            </w:r>
          </w:p>
        </w:tc>
        <w:tc>
          <w:tcPr>
            <w:tcW w:w="1781" w:type="dxa"/>
            <w:hideMark/>
          </w:tcPr>
          <w:p w14:paraId="2DCC6AE3" w14:textId="77777777" w:rsidR="00C914C4" w:rsidRPr="008C54DA" w:rsidRDefault="00C914C4" w:rsidP="00C914C4">
            <w:pPr>
              <w:rPr>
                <w:rFonts w:ascii="Arial" w:hAnsi="Arial" w:cs="Arial"/>
                <w:sz w:val="20"/>
                <w:szCs w:val="20"/>
              </w:rPr>
            </w:pPr>
            <w:r w:rsidRPr="008C54DA">
              <w:rPr>
                <w:rFonts w:ascii="Arial" w:hAnsi="Arial" w:cs="Arial"/>
                <w:sz w:val="20"/>
                <w:szCs w:val="20"/>
              </w:rPr>
              <w:t>131</w:t>
            </w:r>
          </w:p>
        </w:tc>
        <w:tc>
          <w:tcPr>
            <w:tcW w:w="0" w:type="auto"/>
            <w:hideMark/>
          </w:tcPr>
          <w:p w14:paraId="162D43E9" w14:textId="77777777" w:rsidR="00C914C4" w:rsidRPr="008C54DA" w:rsidRDefault="00C914C4" w:rsidP="00C914C4">
            <w:pPr>
              <w:rPr>
                <w:rFonts w:ascii="Arial" w:hAnsi="Arial" w:cs="Arial"/>
                <w:sz w:val="20"/>
                <w:szCs w:val="20"/>
              </w:rPr>
            </w:pPr>
            <w:r w:rsidRPr="008C54DA">
              <w:rPr>
                <w:rFonts w:ascii="Arial" w:hAnsi="Arial" w:cs="Arial"/>
                <w:sz w:val="20"/>
                <w:szCs w:val="20"/>
              </w:rPr>
              <w:t>56.5</w:t>
            </w:r>
          </w:p>
        </w:tc>
      </w:tr>
      <w:tr w:rsidR="00C914C4" w:rsidRPr="00C914C4" w14:paraId="2D4E5553" w14:textId="77777777" w:rsidTr="008C54DA">
        <w:tc>
          <w:tcPr>
            <w:tcW w:w="0" w:type="auto"/>
            <w:hideMark/>
          </w:tcPr>
          <w:p w14:paraId="5D81FB8E" w14:textId="77777777" w:rsidR="00C914C4" w:rsidRPr="008C54DA" w:rsidRDefault="00C914C4" w:rsidP="00C914C4">
            <w:pPr>
              <w:rPr>
                <w:rFonts w:ascii="Arial" w:hAnsi="Arial" w:cs="Arial"/>
                <w:sz w:val="20"/>
                <w:szCs w:val="20"/>
              </w:rPr>
            </w:pPr>
          </w:p>
        </w:tc>
        <w:tc>
          <w:tcPr>
            <w:tcW w:w="2413" w:type="dxa"/>
            <w:hideMark/>
          </w:tcPr>
          <w:p w14:paraId="5E9C5046" w14:textId="77777777" w:rsidR="00C914C4" w:rsidRPr="008C54DA" w:rsidRDefault="00C914C4" w:rsidP="00C914C4">
            <w:pPr>
              <w:rPr>
                <w:rFonts w:ascii="Arial" w:hAnsi="Arial" w:cs="Arial"/>
                <w:sz w:val="20"/>
                <w:szCs w:val="20"/>
              </w:rPr>
            </w:pPr>
            <w:r w:rsidRPr="008C54DA">
              <w:rPr>
                <w:rFonts w:ascii="Arial" w:hAnsi="Arial" w:cs="Arial"/>
                <w:sz w:val="20"/>
                <w:szCs w:val="20"/>
              </w:rPr>
              <w:t>Moderate fatigue</w:t>
            </w:r>
          </w:p>
        </w:tc>
        <w:tc>
          <w:tcPr>
            <w:tcW w:w="1781" w:type="dxa"/>
            <w:hideMark/>
          </w:tcPr>
          <w:p w14:paraId="2DC07788" w14:textId="77777777" w:rsidR="00C914C4" w:rsidRPr="008C54DA" w:rsidRDefault="00C914C4" w:rsidP="00C914C4">
            <w:pPr>
              <w:rPr>
                <w:rFonts w:ascii="Arial" w:hAnsi="Arial" w:cs="Arial"/>
                <w:sz w:val="20"/>
                <w:szCs w:val="20"/>
              </w:rPr>
            </w:pPr>
            <w:r w:rsidRPr="008C54DA">
              <w:rPr>
                <w:rFonts w:ascii="Arial" w:hAnsi="Arial" w:cs="Arial"/>
                <w:sz w:val="20"/>
                <w:szCs w:val="20"/>
              </w:rPr>
              <w:t>64</w:t>
            </w:r>
          </w:p>
        </w:tc>
        <w:tc>
          <w:tcPr>
            <w:tcW w:w="0" w:type="auto"/>
            <w:hideMark/>
          </w:tcPr>
          <w:p w14:paraId="4BB657AD" w14:textId="77777777" w:rsidR="00C914C4" w:rsidRPr="008C54DA" w:rsidRDefault="00C914C4" w:rsidP="00C914C4">
            <w:pPr>
              <w:rPr>
                <w:rFonts w:ascii="Arial" w:hAnsi="Arial" w:cs="Arial"/>
                <w:sz w:val="20"/>
                <w:szCs w:val="20"/>
              </w:rPr>
            </w:pPr>
            <w:r w:rsidRPr="008C54DA">
              <w:rPr>
                <w:rFonts w:ascii="Arial" w:hAnsi="Arial" w:cs="Arial"/>
                <w:sz w:val="20"/>
                <w:szCs w:val="20"/>
              </w:rPr>
              <w:t>27.5</w:t>
            </w:r>
          </w:p>
        </w:tc>
      </w:tr>
      <w:tr w:rsidR="00C914C4" w:rsidRPr="00C914C4" w14:paraId="4A608561" w14:textId="77777777" w:rsidTr="008C54DA">
        <w:tc>
          <w:tcPr>
            <w:tcW w:w="0" w:type="auto"/>
            <w:hideMark/>
          </w:tcPr>
          <w:p w14:paraId="312C23F3" w14:textId="77777777" w:rsidR="00C914C4" w:rsidRPr="008C54DA" w:rsidRDefault="00C914C4" w:rsidP="00C914C4">
            <w:pPr>
              <w:rPr>
                <w:rFonts w:ascii="Arial" w:hAnsi="Arial" w:cs="Arial"/>
                <w:sz w:val="20"/>
                <w:szCs w:val="20"/>
              </w:rPr>
            </w:pPr>
          </w:p>
        </w:tc>
        <w:tc>
          <w:tcPr>
            <w:tcW w:w="2413" w:type="dxa"/>
            <w:hideMark/>
          </w:tcPr>
          <w:p w14:paraId="056BF01B" w14:textId="77777777" w:rsidR="00C914C4" w:rsidRPr="008C54DA" w:rsidRDefault="00C914C4" w:rsidP="00C914C4">
            <w:pPr>
              <w:rPr>
                <w:rFonts w:ascii="Arial" w:hAnsi="Arial" w:cs="Arial"/>
                <w:sz w:val="20"/>
                <w:szCs w:val="20"/>
              </w:rPr>
            </w:pPr>
            <w:r w:rsidRPr="008C54DA">
              <w:rPr>
                <w:rFonts w:ascii="Arial" w:hAnsi="Arial" w:cs="Arial"/>
                <w:sz w:val="20"/>
                <w:szCs w:val="20"/>
              </w:rPr>
              <w:t>Extreme fatigue</w:t>
            </w:r>
          </w:p>
        </w:tc>
        <w:tc>
          <w:tcPr>
            <w:tcW w:w="1781" w:type="dxa"/>
            <w:hideMark/>
          </w:tcPr>
          <w:p w14:paraId="18E6F295" w14:textId="77777777" w:rsidR="00C914C4" w:rsidRPr="008C54DA" w:rsidRDefault="00C914C4" w:rsidP="00C914C4">
            <w:pPr>
              <w:rPr>
                <w:rFonts w:ascii="Arial" w:hAnsi="Arial" w:cs="Arial"/>
                <w:sz w:val="20"/>
                <w:szCs w:val="20"/>
              </w:rPr>
            </w:pPr>
            <w:r w:rsidRPr="008C54DA">
              <w:rPr>
                <w:rFonts w:ascii="Arial" w:hAnsi="Arial" w:cs="Arial"/>
                <w:sz w:val="20"/>
                <w:szCs w:val="20"/>
              </w:rPr>
              <w:t>37</w:t>
            </w:r>
          </w:p>
        </w:tc>
        <w:tc>
          <w:tcPr>
            <w:tcW w:w="0" w:type="auto"/>
            <w:hideMark/>
          </w:tcPr>
          <w:p w14:paraId="6EF50F80" w14:textId="77777777" w:rsidR="00C914C4" w:rsidRPr="008C54DA" w:rsidRDefault="00C914C4" w:rsidP="00C914C4">
            <w:pPr>
              <w:rPr>
                <w:rFonts w:ascii="Arial" w:hAnsi="Arial" w:cs="Arial"/>
                <w:sz w:val="20"/>
                <w:szCs w:val="20"/>
              </w:rPr>
            </w:pPr>
            <w:r w:rsidRPr="008C54DA">
              <w:rPr>
                <w:rFonts w:ascii="Arial" w:hAnsi="Arial" w:cs="Arial"/>
                <w:sz w:val="20"/>
                <w:szCs w:val="20"/>
              </w:rPr>
              <w:t>16.0</w:t>
            </w:r>
          </w:p>
        </w:tc>
      </w:tr>
      <w:tr w:rsidR="00C914C4" w:rsidRPr="00C914C4" w14:paraId="6B8BE561" w14:textId="77777777" w:rsidTr="008C54DA">
        <w:tc>
          <w:tcPr>
            <w:tcW w:w="0" w:type="auto"/>
            <w:hideMark/>
          </w:tcPr>
          <w:p w14:paraId="73E9B905" w14:textId="77777777" w:rsidR="00C914C4" w:rsidRPr="008C54DA" w:rsidRDefault="00C914C4" w:rsidP="00C914C4">
            <w:pPr>
              <w:rPr>
                <w:rFonts w:ascii="Arial" w:hAnsi="Arial" w:cs="Arial"/>
                <w:sz w:val="20"/>
                <w:szCs w:val="20"/>
              </w:rPr>
            </w:pPr>
          </w:p>
        </w:tc>
        <w:tc>
          <w:tcPr>
            <w:tcW w:w="2413" w:type="dxa"/>
            <w:hideMark/>
          </w:tcPr>
          <w:p w14:paraId="686BEC66" w14:textId="77777777" w:rsidR="00C914C4" w:rsidRPr="008C54DA" w:rsidRDefault="00C914C4" w:rsidP="00C914C4">
            <w:pPr>
              <w:rPr>
                <w:rFonts w:ascii="Arial" w:hAnsi="Arial" w:cs="Arial"/>
                <w:sz w:val="20"/>
                <w:szCs w:val="20"/>
              </w:rPr>
            </w:pPr>
            <w:r w:rsidRPr="008C54DA">
              <w:rPr>
                <w:rFonts w:ascii="Arial" w:hAnsi="Arial" w:cs="Arial"/>
                <w:sz w:val="20"/>
                <w:szCs w:val="20"/>
              </w:rPr>
              <w:t>Mean score (±SD)</w:t>
            </w:r>
          </w:p>
        </w:tc>
        <w:tc>
          <w:tcPr>
            <w:tcW w:w="1781" w:type="dxa"/>
            <w:hideMark/>
          </w:tcPr>
          <w:p w14:paraId="0F59015D"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64960D5F" w14:textId="77777777" w:rsidR="00C914C4" w:rsidRPr="008C54DA" w:rsidRDefault="00C914C4" w:rsidP="00C914C4">
            <w:pPr>
              <w:rPr>
                <w:rFonts w:ascii="Arial" w:hAnsi="Arial" w:cs="Arial"/>
                <w:sz w:val="20"/>
                <w:szCs w:val="20"/>
              </w:rPr>
            </w:pPr>
            <w:r w:rsidRPr="008C54DA">
              <w:rPr>
                <w:rFonts w:ascii="Arial" w:hAnsi="Arial" w:cs="Arial"/>
                <w:sz w:val="20"/>
                <w:szCs w:val="20"/>
              </w:rPr>
              <w:t>18.2 (±10.4)</w:t>
            </w:r>
          </w:p>
        </w:tc>
      </w:tr>
      <w:tr w:rsidR="00C914C4" w:rsidRPr="00C914C4" w14:paraId="76F443B5" w14:textId="77777777" w:rsidTr="008C54DA">
        <w:tc>
          <w:tcPr>
            <w:tcW w:w="0" w:type="auto"/>
            <w:hideMark/>
          </w:tcPr>
          <w:p w14:paraId="70EB9B58" w14:textId="77777777" w:rsidR="00C914C4" w:rsidRPr="008C54DA" w:rsidRDefault="00C914C4" w:rsidP="00C914C4">
            <w:pPr>
              <w:rPr>
                <w:rFonts w:ascii="Arial" w:hAnsi="Arial" w:cs="Arial"/>
                <w:sz w:val="20"/>
                <w:szCs w:val="20"/>
              </w:rPr>
            </w:pPr>
          </w:p>
        </w:tc>
        <w:tc>
          <w:tcPr>
            <w:tcW w:w="2413" w:type="dxa"/>
            <w:hideMark/>
          </w:tcPr>
          <w:p w14:paraId="19B36865" w14:textId="77777777" w:rsidR="00C914C4" w:rsidRPr="008C54DA" w:rsidRDefault="00C914C4" w:rsidP="00C914C4">
            <w:pPr>
              <w:rPr>
                <w:rFonts w:ascii="Arial" w:hAnsi="Arial" w:cs="Arial"/>
                <w:sz w:val="20"/>
                <w:szCs w:val="20"/>
              </w:rPr>
            </w:pPr>
            <w:r w:rsidRPr="008C54DA">
              <w:rPr>
                <w:rFonts w:ascii="Arial" w:hAnsi="Arial" w:cs="Arial"/>
                <w:sz w:val="20"/>
                <w:szCs w:val="20"/>
              </w:rPr>
              <w:t>Range</w:t>
            </w:r>
          </w:p>
        </w:tc>
        <w:tc>
          <w:tcPr>
            <w:tcW w:w="1781" w:type="dxa"/>
            <w:hideMark/>
          </w:tcPr>
          <w:p w14:paraId="12B8B40D"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52E00387" w14:textId="77777777" w:rsidR="00C914C4" w:rsidRPr="008C54DA" w:rsidRDefault="00C914C4" w:rsidP="00C914C4">
            <w:pPr>
              <w:rPr>
                <w:rFonts w:ascii="Arial" w:hAnsi="Arial" w:cs="Arial"/>
                <w:sz w:val="20"/>
                <w:szCs w:val="20"/>
              </w:rPr>
            </w:pPr>
            <w:r w:rsidRPr="008C54DA">
              <w:rPr>
                <w:rFonts w:ascii="Arial" w:hAnsi="Arial" w:cs="Arial"/>
                <w:sz w:val="20"/>
                <w:szCs w:val="20"/>
              </w:rPr>
              <w:t>4 – 42</w:t>
            </w:r>
          </w:p>
        </w:tc>
      </w:tr>
      <w:tr w:rsidR="00C914C4" w:rsidRPr="00C914C4" w14:paraId="7245A97A" w14:textId="77777777" w:rsidTr="008C54DA">
        <w:tc>
          <w:tcPr>
            <w:tcW w:w="0" w:type="auto"/>
            <w:hideMark/>
          </w:tcPr>
          <w:p w14:paraId="13D665A7" w14:textId="77777777" w:rsidR="00C914C4" w:rsidRPr="008C54DA" w:rsidRDefault="00C914C4" w:rsidP="00C914C4">
            <w:pPr>
              <w:rPr>
                <w:rFonts w:ascii="Arial" w:hAnsi="Arial" w:cs="Arial"/>
                <w:sz w:val="20"/>
                <w:szCs w:val="20"/>
              </w:rPr>
            </w:pPr>
            <w:r w:rsidRPr="008C54DA">
              <w:rPr>
                <w:rFonts w:ascii="Arial" w:hAnsi="Arial" w:cs="Arial"/>
                <w:b/>
                <w:bCs/>
                <w:sz w:val="20"/>
                <w:szCs w:val="20"/>
              </w:rPr>
              <w:t>Depersonalization</w:t>
            </w:r>
          </w:p>
        </w:tc>
        <w:tc>
          <w:tcPr>
            <w:tcW w:w="2413" w:type="dxa"/>
            <w:hideMark/>
          </w:tcPr>
          <w:p w14:paraId="2306648D" w14:textId="77777777" w:rsidR="00C914C4" w:rsidRPr="008C54DA" w:rsidRDefault="00C914C4" w:rsidP="00C914C4">
            <w:pPr>
              <w:rPr>
                <w:rFonts w:ascii="Arial" w:hAnsi="Arial" w:cs="Arial"/>
                <w:sz w:val="20"/>
                <w:szCs w:val="20"/>
              </w:rPr>
            </w:pPr>
            <w:r w:rsidRPr="008C54DA">
              <w:rPr>
                <w:rFonts w:ascii="Arial" w:hAnsi="Arial" w:cs="Arial"/>
                <w:sz w:val="20"/>
                <w:szCs w:val="20"/>
              </w:rPr>
              <w:t>Low depersonalization</w:t>
            </w:r>
          </w:p>
        </w:tc>
        <w:tc>
          <w:tcPr>
            <w:tcW w:w="1781" w:type="dxa"/>
            <w:hideMark/>
          </w:tcPr>
          <w:p w14:paraId="474C477E" w14:textId="77777777" w:rsidR="00C914C4" w:rsidRPr="008C54DA" w:rsidRDefault="00C914C4" w:rsidP="00C914C4">
            <w:pPr>
              <w:rPr>
                <w:rFonts w:ascii="Arial" w:hAnsi="Arial" w:cs="Arial"/>
                <w:sz w:val="20"/>
                <w:szCs w:val="20"/>
              </w:rPr>
            </w:pPr>
            <w:r w:rsidRPr="008C54DA">
              <w:rPr>
                <w:rFonts w:ascii="Arial" w:hAnsi="Arial" w:cs="Arial"/>
                <w:sz w:val="20"/>
                <w:szCs w:val="20"/>
              </w:rPr>
              <w:t>91</w:t>
            </w:r>
          </w:p>
        </w:tc>
        <w:tc>
          <w:tcPr>
            <w:tcW w:w="0" w:type="auto"/>
            <w:hideMark/>
          </w:tcPr>
          <w:p w14:paraId="545F978C" w14:textId="77777777" w:rsidR="00C914C4" w:rsidRPr="008C54DA" w:rsidRDefault="00C914C4" w:rsidP="00C914C4">
            <w:pPr>
              <w:rPr>
                <w:rFonts w:ascii="Arial" w:hAnsi="Arial" w:cs="Arial"/>
                <w:sz w:val="20"/>
                <w:szCs w:val="20"/>
              </w:rPr>
            </w:pPr>
            <w:r w:rsidRPr="008C54DA">
              <w:rPr>
                <w:rFonts w:ascii="Arial" w:hAnsi="Arial" w:cs="Arial"/>
                <w:sz w:val="20"/>
                <w:szCs w:val="20"/>
              </w:rPr>
              <w:t>39.2</w:t>
            </w:r>
          </w:p>
        </w:tc>
      </w:tr>
      <w:tr w:rsidR="00C914C4" w:rsidRPr="00C914C4" w14:paraId="2BFC1A94" w14:textId="77777777" w:rsidTr="008C54DA">
        <w:tc>
          <w:tcPr>
            <w:tcW w:w="0" w:type="auto"/>
            <w:hideMark/>
          </w:tcPr>
          <w:p w14:paraId="7583A26E" w14:textId="77777777" w:rsidR="00C914C4" w:rsidRPr="008C54DA" w:rsidRDefault="00C914C4" w:rsidP="00C914C4">
            <w:pPr>
              <w:rPr>
                <w:rFonts w:ascii="Arial" w:hAnsi="Arial" w:cs="Arial"/>
                <w:sz w:val="20"/>
                <w:szCs w:val="20"/>
              </w:rPr>
            </w:pPr>
          </w:p>
        </w:tc>
        <w:tc>
          <w:tcPr>
            <w:tcW w:w="2413" w:type="dxa"/>
            <w:hideMark/>
          </w:tcPr>
          <w:p w14:paraId="55FB5291" w14:textId="77777777" w:rsidR="00C914C4" w:rsidRPr="008C54DA" w:rsidRDefault="00C914C4" w:rsidP="00C914C4">
            <w:pPr>
              <w:rPr>
                <w:rFonts w:ascii="Arial" w:hAnsi="Arial" w:cs="Arial"/>
                <w:sz w:val="20"/>
                <w:szCs w:val="20"/>
              </w:rPr>
            </w:pPr>
            <w:r w:rsidRPr="008C54DA">
              <w:rPr>
                <w:rFonts w:ascii="Arial" w:hAnsi="Arial" w:cs="Arial"/>
                <w:sz w:val="20"/>
                <w:szCs w:val="20"/>
              </w:rPr>
              <w:t>Moderate depersonalization</w:t>
            </w:r>
          </w:p>
        </w:tc>
        <w:tc>
          <w:tcPr>
            <w:tcW w:w="1781" w:type="dxa"/>
            <w:hideMark/>
          </w:tcPr>
          <w:p w14:paraId="259B6137" w14:textId="77777777" w:rsidR="00C914C4" w:rsidRPr="008C54DA" w:rsidRDefault="00C914C4" w:rsidP="00C914C4">
            <w:pPr>
              <w:rPr>
                <w:rFonts w:ascii="Arial" w:hAnsi="Arial" w:cs="Arial"/>
                <w:sz w:val="20"/>
                <w:szCs w:val="20"/>
              </w:rPr>
            </w:pPr>
            <w:r w:rsidRPr="008C54DA">
              <w:rPr>
                <w:rFonts w:ascii="Arial" w:hAnsi="Arial" w:cs="Arial"/>
                <w:sz w:val="20"/>
                <w:szCs w:val="20"/>
              </w:rPr>
              <w:t>71</w:t>
            </w:r>
          </w:p>
        </w:tc>
        <w:tc>
          <w:tcPr>
            <w:tcW w:w="0" w:type="auto"/>
            <w:hideMark/>
          </w:tcPr>
          <w:p w14:paraId="54ED3AF8" w14:textId="77777777" w:rsidR="00C914C4" w:rsidRPr="008C54DA" w:rsidRDefault="00C914C4" w:rsidP="00C914C4">
            <w:pPr>
              <w:rPr>
                <w:rFonts w:ascii="Arial" w:hAnsi="Arial" w:cs="Arial"/>
                <w:sz w:val="20"/>
                <w:szCs w:val="20"/>
              </w:rPr>
            </w:pPr>
            <w:r w:rsidRPr="008C54DA">
              <w:rPr>
                <w:rFonts w:ascii="Arial" w:hAnsi="Arial" w:cs="Arial"/>
                <w:sz w:val="20"/>
                <w:szCs w:val="20"/>
              </w:rPr>
              <w:t>30.4</w:t>
            </w:r>
          </w:p>
        </w:tc>
      </w:tr>
      <w:tr w:rsidR="00C914C4" w:rsidRPr="00C914C4" w14:paraId="57C5C7AD" w14:textId="77777777" w:rsidTr="008C54DA">
        <w:tc>
          <w:tcPr>
            <w:tcW w:w="0" w:type="auto"/>
            <w:hideMark/>
          </w:tcPr>
          <w:p w14:paraId="01947B7B" w14:textId="77777777" w:rsidR="00C914C4" w:rsidRPr="008C54DA" w:rsidRDefault="00C914C4" w:rsidP="00C914C4">
            <w:pPr>
              <w:rPr>
                <w:rFonts w:ascii="Arial" w:hAnsi="Arial" w:cs="Arial"/>
                <w:sz w:val="20"/>
                <w:szCs w:val="20"/>
              </w:rPr>
            </w:pPr>
          </w:p>
        </w:tc>
        <w:tc>
          <w:tcPr>
            <w:tcW w:w="2413" w:type="dxa"/>
            <w:hideMark/>
          </w:tcPr>
          <w:p w14:paraId="3851DDC0" w14:textId="77777777" w:rsidR="00C914C4" w:rsidRPr="008C54DA" w:rsidRDefault="00C914C4" w:rsidP="00C914C4">
            <w:pPr>
              <w:rPr>
                <w:rFonts w:ascii="Arial" w:hAnsi="Arial" w:cs="Arial"/>
                <w:sz w:val="20"/>
                <w:szCs w:val="20"/>
              </w:rPr>
            </w:pPr>
            <w:r w:rsidRPr="008C54DA">
              <w:rPr>
                <w:rFonts w:ascii="Arial" w:hAnsi="Arial" w:cs="Arial"/>
                <w:sz w:val="20"/>
                <w:szCs w:val="20"/>
              </w:rPr>
              <w:t>High depersonalization</w:t>
            </w:r>
          </w:p>
        </w:tc>
        <w:tc>
          <w:tcPr>
            <w:tcW w:w="1781" w:type="dxa"/>
            <w:hideMark/>
          </w:tcPr>
          <w:p w14:paraId="37B4CDD7" w14:textId="77777777" w:rsidR="00C914C4" w:rsidRPr="008C54DA" w:rsidRDefault="00C914C4" w:rsidP="00C914C4">
            <w:pPr>
              <w:rPr>
                <w:rFonts w:ascii="Arial" w:hAnsi="Arial" w:cs="Arial"/>
                <w:sz w:val="20"/>
                <w:szCs w:val="20"/>
              </w:rPr>
            </w:pPr>
            <w:r w:rsidRPr="008C54DA">
              <w:rPr>
                <w:rFonts w:ascii="Arial" w:hAnsi="Arial" w:cs="Arial"/>
                <w:sz w:val="20"/>
                <w:szCs w:val="20"/>
              </w:rPr>
              <w:t>70</w:t>
            </w:r>
          </w:p>
        </w:tc>
        <w:tc>
          <w:tcPr>
            <w:tcW w:w="0" w:type="auto"/>
            <w:hideMark/>
          </w:tcPr>
          <w:p w14:paraId="2E499429" w14:textId="77777777" w:rsidR="00C914C4" w:rsidRPr="008C54DA" w:rsidRDefault="00C914C4" w:rsidP="00C914C4">
            <w:pPr>
              <w:rPr>
                <w:rFonts w:ascii="Arial" w:hAnsi="Arial" w:cs="Arial"/>
                <w:sz w:val="20"/>
                <w:szCs w:val="20"/>
              </w:rPr>
            </w:pPr>
            <w:r w:rsidRPr="008C54DA">
              <w:rPr>
                <w:rFonts w:ascii="Arial" w:hAnsi="Arial" w:cs="Arial"/>
                <w:sz w:val="20"/>
                <w:szCs w:val="20"/>
              </w:rPr>
              <w:t>30.4</w:t>
            </w:r>
          </w:p>
        </w:tc>
      </w:tr>
      <w:tr w:rsidR="00C914C4" w:rsidRPr="00C914C4" w14:paraId="1C988CE1" w14:textId="77777777" w:rsidTr="008C54DA">
        <w:tc>
          <w:tcPr>
            <w:tcW w:w="0" w:type="auto"/>
            <w:hideMark/>
          </w:tcPr>
          <w:p w14:paraId="598A2F6F" w14:textId="77777777" w:rsidR="00C914C4" w:rsidRPr="008C54DA" w:rsidRDefault="00C914C4" w:rsidP="00C914C4">
            <w:pPr>
              <w:rPr>
                <w:rFonts w:ascii="Arial" w:hAnsi="Arial" w:cs="Arial"/>
                <w:sz w:val="20"/>
                <w:szCs w:val="20"/>
              </w:rPr>
            </w:pPr>
          </w:p>
        </w:tc>
        <w:tc>
          <w:tcPr>
            <w:tcW w:w="2413" w:type="dxa"/>
            <w:hideMark/>
          </w:tcPr>
          <w:p w14:paraId="254A8B45" w14:textId="77777777" w:rsidR="00C914C4" w:rsidRPr="008C54DA" w:rsidRDefault="00C914C4" w:rsidP="00C914C4">
            <w:pPr>
              <w:rPr>
                <w:rFonts w:ascii="Arial" w:hAnsi="Arial" w:cs="Arial"/>
                <w:sz w:val="20"/>
                <w:szCs w:val="20"/>
              </w:rPr>
            </w:pPr>
            <w:r w:rsidRPr="008C54DA">
              <w:rPr>
                <w:rFonts w:ascii="Arial" w:hAnsi="Arial" w:cs="Arial"/>
                <w:sz w:val="20"/>
                <w:szCs w:val="20"/>
              </w:rPr>
              <w:t>Mean score (±SD)</w:t>
            </w:r>
          </w:p>
        </w:tc>
        <w:tc>
          <w:tcPr>
            <w:tcW w:w="1781" w:type="dxa"/>
            <w:hideMark/>
          </w:tcPr>
          <w:p w14:paraId="37CD96A8"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65197489" w14:textId="77777777" w:rsidR="00C914C4" w:rsidRPr="008C54DA" w:rsidRDefault="00C914C4" w:rsidP="00C914C4">
            <w:pPr>
              <w:rPr>
                <w:rFonts w:ascii="Arial" w:hAnsi="Arial" w:cs="Arial"/>
                <w:sz w:val="20"/>
                <w:szCs w:val="20"/>
              </w:rPr>
            </w:pPr>
            <w:r w:rsidRPr="008C54DA">
              <w:rPr>
                <w:rFonts w:ascii="Arial" w:hAnsi="Arial" w:cs="Arial"/>
                <w:sz w:val="20"/>
                <w:szCs w:val="20"/>
              </w:rPr>
              <w:t>9.8 (±9.6)</w:t>
            </w:r>
          </w:p>
        </w:tc>
      </w:tr>
      <w:tr w:rsidR="00C914C4" w:rsidRPr="00C914C4" w14:paraId="3375905A" w14:textId="77777777" w:rsidTr="008C54DA">
        <w:tc>
          <w:tcPr>
            <w:tcW w:w="0" w:type="auto"/>
            <w:hideMark/>
          </w:tcPr>
          <w:p w14:paraId="236156CD" w14:textId="77777777" w:rsidR="00C914C4" w:rsidRPr="008C54DA" w:rsidRDefault="00C914C4" w:rsidP="00C914C4">
            <w:pPr>
              <w:rPr>
                <w:rFonts w:ascii="Arial" w:hAnsi="Arial" w:cs="Arial"/>
                <w:sz w:val="20"/>
                <w:szCs w:val="20"/>
              </w:rPr>
            </w:pPr>
          </w:p>
        </w:tc>
        <w:tc>
          <w:tcPr>
            <w:tcW w:w="2413" w:type="dxa"/>
            <w:hideMark/>
          </w:tcPr>
          <w:p w14:paraId="684BBFC0" w14:textId="77777777" w:rsidR="00C914C4" w:rsidRPr="008C54DA" w:rsidRDefault="00C914C4" w:rsidP="00C914C4">
            <w:pPr>
              <w:rPr>
                <w:rFonts w:ascii="Arial" w:hAnsi="Arial" w:cs="Arial"/>
                <w:sz w:val="20"/>
                <w:szCs w:val="20"/>
              </w:rPr>
            </w:pPr>
            <w:r w:rsidRPr="008C54DA">
              <w:rPr>
                <w:rFonts w:ascii="Arial" w:hAnsi="Arial" w:cs="Arial"/>
                <w:sz w:val="20"/>
                <w:szCs w:val="20"/>
              </w:rPr>
              <w:t>Range</w:t>
            </w:r>
          </w:p>
        </w:tc>
        <w:tc>
          <w:tcPr>
            <w:tcW w:w="1781" w:type="dxa"/>
            <w:hideMark/>
          </w:tcPr>
          <w:p w14:paraId="3D081B51"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7B0CC1D9" w14:textId="77777777" w:rsidR="00C914C4" w:rsidRPr="008C54DA" w:rsidRDefault="00C914C4" w:rsidP="00C914C4">
            <w:pPr>
              <w:rPr>
                <w:rFonts w:ascii="Arial" w:hAnsi="Arial" w:cs="Arial"/>
                <w:sz w:val="20"/>
                <w:szCs w:val="20"/>
              </w:rPr>
            </w:pPr>
            <w:r w:rsidRPr="008C54DA">
              <w:rPr>
                <w:rFonts w:ascii="Arial" w:hAnsi="Arial" w:cs="Arial"/>
                <w:sz w:val="20"/>
                <w:szCs w:val="20"/>
              </w:rPr>
              <w:t>0 – 42</w:t>
            </w:r>
          </w:p>
        </w:tc>
      </w:tr>
      <w:tr w:rsidR="00C914C4" w:rsidRPr="00C914C4" w14:paraId="17BD9CA9" w14:textId="77777777" w:rsidTr="008C54DA">
        <w:tc>
          <w:tcPr>
            <w:tcW w:w="0" w:type="auto"/>
            <w:hideMark/>
          </w:tcPr>
          <w:p w14:paraId="402FA38A" w14:textId="77777777" w:rsidR="00C914C4" w:rsidRPr="008C54DA" w:rsidRDefault="00C914C4" w:rsidP="00C914C4">
            <w:pPr>
              <w:rPr>
                <w:rFonts w:ascii="Arial" w:hAnsi="Arial" w:cs="Arial"/>
                <w:sz w:val="20"/>
                <w:szCs w:val="20"/>
              </w:rPr>
            </w:pPr>
            <w:r w:rsidRPr="008C54DA">
              <w:rPr>
                <w:rFonts w:ascii="Arial" w:hAnsi="Arial" w:cs="Arial"/>
                <w:b/>
                <w:bCs/>
                <w:sz w:val="20"/>
                <w:szCs w:val="20"/>
              </w:rPr>
              <w:t>Personal Achievement</w:t>
            </w:r>
          </w:p>
        </w:tc>
        <w:tc>
          <w:tcPr>
            <w:tcW w:w="2413" w:type="dxa"/>
            <w:hideMark/>
          </w:tcPr>
          <w:p w14:paraId="7EA1AC9C" w14:textId="77777777" w:rsidR="00C914C4" w:rsidRPr="008C54DA" w:rsidRDefault="00C914C4" w:rsidP="00C914C4">
            <w:pPr>
              <w:rPr>
                <w:rFonts w:ascii="Arial" w:hAnsi="Arial" w:cs="Arial"/>
                <w:sz w:val="20"/>
                <w:szCs w:val="20"/>
              </w:rPr>
            </w:pPr>
            <w:r w:rsidRPr="008C54DA">
              <w:rPr>
                <w:rFonts w:ascii="Arial" w:hAnsi="Arial" w:cs="Arial"/>
                <w:sz w:val="20"/>
                <w:szCs w:val="20"/>
              </w:rPr>
              <w:t>High achievement</w:t>
            </w:r>
          </w:p>
        </w:tc>
        <w:tc>
          <w:tcPr>
            <w:tcW w:w="1781" w:type="dxa"/>
            <w:hideMark/>
          </w:tcPr>
          <w:p w14:paraId="1B67E7D1" w14:textId="77777777" w:rsidR="00C914C4" w:rsidRPr="008C54DA" w:rsidRDefault="00C914C4" w:rsidP="00C914C4">
            <w:pPr>
              <w:rPr>
                <w:rFonts w:ascii="Arial" w:hAnsi="Arial" w:cs="Arial"/>
                <w:sz w:val="20"/>
                <w:szCs w:val="20"/>
              </w:rPr>
            </w:pPr>
            <w:r w:rsidRPr="008C54DA">
              <w:rPr>
                <w:rFonts w:ascii="Arial" w:hAnsi="Arial" w:cs="Arial"/>
                <w:sz w:val="20"/>
                <w:szCs w:val="20"/>
              </w:rPr>
              <w:t>102</w:t>
            </w:r>
          </w:p>
        </w:tc>
        <w:tc>
          <w:tcPr>
            <w:tcW w:w="0" w:type="auto"/>
            <w:hideMark/>
          </w:tcPr>
          <w:p w14:paraId="7C34FC3D" w14:textId="77777777" w:rsidR="00C914C4" w:rsidRPr="008C54DA" w:rsidRDefault="00C914C4" w:rsidP="00C914C4">
            <w:pPr>
              <w:rPr>
                <w:rFonts w:ascii="Arial" w:hAnsi="Arial" w:cs="Arial"/>
                <w:sz w:val="20"/>
                <w:szCs w:val="20"/>
              </w:rPr>
            </w:pPr>
            <w:r w:rsidRPr="008C54DA">
              <w:rPr>
                <w:rFonts w:ascii="Arial" w:hAnsi="Arial" w:cs="Arial"/>
                <w:sz w:val="20"/>
                <w:szCs w:val="20"/>
              </w:rPr>
              <w:t>44.0</w:t>
            </w:r>
          </w:p>
        </w:tc>
      </w:tr>
      <w:tr w:rsidR="00C914C4" w:rsidRPr="00C914C4" w14:paraId="40A3CAB5" w14:textId="77777777" w:rsidTr="008C54DA">
        <w:tc>
          <w:tcPr>
            <w:tcW w:w="0" w:type="auto"/>
            <w:hideMark/>
          </w:tcPr>
          <w:p w14:paraId="602FB378" w14:textId="77777777" w:rsidR="00C914C4" w:rsidRPr="008C54DA" w:rsidRDefault="00C914C4" w:rsidP="00C914C4">
            <w:pPr>
              <w:rPr>
                <w:rFonts w:ascii="Arial" w:hAnsi="Arial" w:cs="Arial"/>
                <w:sz w:val="20"/>
                <w:szCs w:val="20"/>
              </w:rPr>
            </w:pPr>
          </w:p>
        </w:tc>
        <w:tc>
          <w:tcPr>
            <w:tcW w:w="2413" w:type="dxa"/>
            <w:hideMark/>
          </w:tcPr>
          <w:p w14:paraId="2104E5A7" w14:textId="77777777" w:rsidR="00C914C4" w:rsidRPr="008C54DA" w:rsidRDefault="00C914C4" w:rsidP="00C914C4">
            <w:pPr>
              <w:rPr>
                <w:rFonts w:ascii="Arial" w:hAnsi="Arial" w:cs="Arial"/>
                <w:sz w:val="20"/>
                <w:szCs w:val="20"/>
              </w:rPr>
            </w:pPr>
            <w:r w:rsidRPr="008C54DA">
              <w:rPr>
                <w:rFonts w:ascii="Arial" w:hAnsi="Arial" w:cs="Arial"/>
                <w:sz w:val="20"/>
                <w:szCs w:val="20"/>
              </w:rPr>
              <w:t>Moderate achievement</w:t>
            </w:r>
          </w:p>
        </w:tc>
        <w:tc>
          <w:tcPr>
            <w:tcW w:w="1781" w:type="dxa"/>
            <w:hideMark/>
          </w:tcPr>
          <w:p w14:paraId="53EAF017" w14:textId="77777777" w:rsidR="00C914C4" w:rsidRPr="008C54DA" w:rsidRDefault="00C914C4" w:rsidP="00C914C4">
            <w:pPr>
              <w:rPr>
                <w:rFonts w:ascii="Arial" w:hAnsi="Arial" w:cs="Arial"/>
                <w:sz w:val="20"/>
                <w:szCs w:val="20"/>
              </w:rPr>
            </w:pPr>
            <w:r w:rsidRPr="008C54DA">
              <w:rPr>
                <w:rFonts w:ascii="Arial" w:hAnsi="Arial" w:cs="Arial"/>
                <w:sz w:val="20"/>
                <w:szCs w:val="20"/>
              </w:rPr>
              <w:t>85</w:t>
            </w:r>
          </w:p>
        </w:tc>
        <w:tc>
          <w:tcPr>
            <w:tcW w:w="0" w:type="auto"/>
            <w:hideMark/>
          </w:tcPr>
          <w:p w14:paraId="77097393" w14:textId="77777777" w:rsidR="00C914C4" w:rsidRPr="008C54DA" w:rsidRDefault="00C914C4" w:rsidP="00C914C4">
            <w:pPr>
              <w:rPr>
                <w:rFonts w:ascii="Arial" w:hAnsi="Arial" w:cs="Arial"/>
                <w:sz w:val="20"/>
                <w:szCs w:val="20"/>
              </w:rPr>
            </w:pPr>
            <w:r w:rsidRPr="008C54DA">
              <w:rPr>
                <w:rFonts w:ascii="Arial" w:hAnsi="Arial" w:cs="Arial"/>
                <w:sz w:val="20"/>
                <w:szCs w:val="20"/>
              </w:rPr>
              <w:t>36.6</w:t>
            </w:r>
          </w:p>
        </w:tc>
      </w:tr>
      <w:tr w:rsidR="00C914C4" w:rsidRPr="00C914C4" w14:paraId="1AF14EBD" w14:textId="77777777" w:rsidTr="008C54DA">
        <w:tc>
          <w:tcPr>
            <w:tcW w:w="0" w:type="auto"/>
            <w:hideMark/>
          </w:tcPr>
          <w:p w14:paraId="66A468C7" w14:textId="77777777" w:rsidR="00C914C4" w:rsidRPr="008C54DA" w:rsidRDefault="00C914C4" w:rsidP="00C914C4">
            <w:pPr>
              <w:rPr>
                <w:rFonts w:ascii="Arial" w:hAnsi="Arial" w:cs="Arial"/>
                <w:sz w:val="20"/>
                <w:szCs w:val="20"/>
              </w:rPr>
            </w:pPr>
          </w:p>
        </w:tc>
        <w:tc>
          <w:tcPr>
            <w:tcW w:w="2413" w:type="dxa"/>
            <w:hideMark/>
          </w:tcPr>
          <w:p w14:paraId="4C549121" w14:textId="77777777" w:rsidR="00C914C4" w:rsidRPr="008C54DA" w:rsidRDefault="00C914C4" w:rsidP="00C914C4">
            <w:pPr>
              <w:rPr>
                <w:rFonts w:ascii="Arial" w:hAnsi="Arial" w:cs="Arial"/>
                <w:sz w:val="20"/>
                <w:szCs w:val="20"/>
              </w:rPr>
            </w:pPr>
            <w:r w:rsidRPr="008C54DA">
              <w:rPr>
                <w:rFonts w:ascii="Arial" w:hAnsi="Arial" w:cs="Arial"/>
                <w:sz w:val="20"/>
                <w:szCs w:val="20"/>
              </w:rPr>
              <w:t>Low achievement</w:t>
            </w:r>
          </w:p>
        </w:tc>
        <w:tc>
          <w:tcPr>
            <w:tcW w:w="1781" w:type="dxa"/>
            <w:hideMark/>
          </w:tcPr>
          <w:p w14:paraId="63507BF9" w14:textId="77777777" w:rsidR="00C914C4" w:rsidRPr="008C54DA" w:rsidRDefault="00C914C4" w:rsidP="00C914C4">
            <w:pPr>
              <w:rPr>
                <w:rFonts w:ascii="Arial" w:hAnsi="Arial" w:cs="Arial"/>
                <w:sz w:val="20"/>
                <w:szCs w:val="20"/>
              </w:rPr>
            </w:pPr>
            <w:r w:rsidRPr="008C54DA">
              <w:rPr>
                <w:rFonts w:ascii="Arial" w:hAnsi="Arial" w:cs="Arial"/>
                <w:sz w:val="20"/>
                <w:szCs w:val="20"/>
              </w:rPr>
              <w:t>45</w:t>
            </w:r>
          </w:p>
        </w:tc>
        <w:tc>
          <w:tcPr>
            <w:tcW w:w="0" w:type="auto"/>
            <w:hideMark/>
          </w:tcPr>
          <w:p w14:paraId="21B0E942" w14:textId="77777777" w:rsidR="00C914C4" w:rsidRPr="008C54DA" w:rsidRDefault="00C914C4" w:rsidP="00C914C4">
            <w:pPr>
              <w:rPr>
                <w:rFonts w:ascii="Arial" w:hAnsi="Arial" w:cs="Arial"/>
                <w:sz w:val="20"/>
                <w:szCs w:val="20"/>
              </w:rPr>
            </w:pPr>
            <w:r w:rsidRPr="008C54DA">
              <w:rPr>
                <w:rFonts w:ascii="Arial" w:hAnsi="Arial" w:cs="Arial"/>
                <w:sz w:val="20"/>
                <w:szCs w:val="20"/>
              </w:rPr>
              <w:t>19.4</w:t>
            </w:r>
          </w:p>
        </w:tc>
      </w:tr>
      <w:tr w:rsidR="00C914C4" w:rsidRPr="00C914C4" w14:paraId="0365E192" w14:textId="77777777" w:rsidTr="008C54DA">
        <w:tc>
          <w:tcPr>
            <w:tcW w:w="0" w:type="auto"/>
            <w:hideMark/>
          </w:tcPr>
          <w:p w14:paraId="36666042" w14:textId="77777777" w:rsidR="00C914C4" w:rsidRPr="008C54DA" w:rsidRDefault="00C914C4" w:rsidP="00C914C4">
            <w:pPr>
              <w:rPr>
                <w:rFonts w:ascii="Arial" w:hAnsi="Arial" w:cs="Arial"/>
                <w:sz w:val="20"/>
                <w:szCs w:val="20"/>
              </w:rPr>
            </w:pPr>
          </w:p>
        </w:tc>
        <w:tc>
          <w:tcPr>
            <w:tcW w:w="2413" w:type="dxa"/>
            <w:hideMark/>
          </w:tcPr>
          <w:p w14:paraId="10879547" w14:textId="77777777" w:rsidR="00C914C4" w:rsidRPr="008C54DA" w:rsidRDefault="00C914C4" w:rsidP="00C914C4">
            <w:pPr>
              <w:rPr>
                <w:rFonts w:ascii="Arial" w:hAnsi="Arial" w:cs="Arial"/>
                <w:sz w:val="20"/>
                <w:szCs w:val="20"/>
              </w:rPr>
            </w:pPr>
            <w:r w:rsidRPr="008C54DA">
              <w:rPr>
                <w:rFonts w:ascii="Arial" w:hAnsi="Arial" w:cs="Arial"/>
                <w:sz w:val="20"/>
                <w:szCs w:val="20"/>
              </w:rPr>
              <w:t>Mean score (±SD)</w:t>
            </w:r>
          </w:p>
        </w:tc>
        <w:tc>
          <w:tcPr>
            <w:tcW w:w="1781" w:type="dxa"/>
            <w:hideMark/>
          </w:tcPr>
          <w:p w14:paraId="3C767B57"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28669B70" w14:textId="77777777" w:rsidR="00C914C4" w:rsidRPr="008C54DA" w:rsidRDefault="00C914C4" w:rsidP="00C914C4">
            <w:pPr>
              <w:rPr>
                <w:rFonts w:ascii="Arial" w:hAnsi="Arial" w:cs="Arial"/>
                <w:sz w:val="20"/>
                <w:szCs w:val="20"/>
              </w:rPr>
            </w:pPr>
            <w:r w:rsidRPr="008C54DA">
              <w:rPr>
                <w:rFonts w:ascii="Arial" w:hAnsi="Arial" w:cs="Arial"/>
                <w:sz w:val="20"/>
                <w:szCs w:val="20"/>
              </w:rPr>
              <w:t>34.6 (±7.8)</w:t>
            </w:r>
          </w:p>
        </w:tc>
      </w:tr>
      <w:tr w:rsidR="00C914C4" w:rsidRPr="00C914C4" w14:paraId="13C807EB" w14:textId="77777777" w:rsidTr="008C54DA">
        <w:tc>
          <w:tcPr>
            <w:tcW w:w="0" w:type="auto"/>
            <w:hideMark/>
          </w:tcPr>
          <w:p w14:paraId="768B5542" w14:textId="77777777" w:rsidR="00C914C4" w:rsidRPr="008C54DA" w:rsidRDefault="00C914C4" w:rsidP="00C914C4">
            <w:pPr>
              <w:rPr>
                <w:rFonts w:ascii="Arial" w:hAnsi="Arial" w:cs="Arial"/>
                <w:sz w:val="20"/>
                <w:szCs w:val="20"/>
              </w:rPr>
            </w:pPr>
          </w:p>
        </w:tc>
        <w:tc>
          <w:tcPr>
            <w:tcW w:w="2413" w:type="dxa"/>
            <w:hideMark/>
          </w:tcPr>
          <w:p w14:paraId="5A52C028" w14:textId="77777777" w:rsidR="00C914C4" w:rsidRPr="008C54DA" w:rsidRDefault="00C914C4" w:rsidP="00C914C4">
            <w:pPr>
              <w:rPr>
                <w:rFonts w:ascii="Arial" w:hAnsi="Arial" w:cs="Arial"/>
                <w:sz w:val="20"/>
                <w:szCs w:val="20"/>
              </w:rPr>
            </w:pPr>
            <w:r w:rsidRPr="008C54DA">
              <w:rPr>
                <w:rFonts w:ascii="Arial" w:hAnsi="Arial" w:cs="Arial"/>
                <w:sz w:val="20"/>
                <w:szCs w:val="20"/>
              </w:rPr>
              <w:t>Range</w:t>
            </w:r>
          </w:p>
        </w:tc>
        <w:tc>
          <w:tcPr>
            <w:tcW w:w="1781" w:type="dxa"/>
            <w:hideMark/>
          </w:tcPr>
          <w:p w14:paraId="33A2B00C"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03489D52" w14:textId="77777777" w:rsidR="00C914C4" w:rsidRPr="008C54DA" w:rsidRDefault="00C914C4" w:rsidP="00C914C4">
            <w:pPr>
              <w:rPr>
                <w:rFonts w:ascii="Arial" w:hAnsi="Arial" w:cs="Arial"/>
                <w:sz w:val="20"/>
                <w:szCs w:val="20"/>
              </w:rPr>
            </w:pPr>
            <w:r w:rsidRPr="008C54DA">
              <w:rPr>
                <w:rFonts w:ascii="Arial" w:hAnsi="Arial" w:cs="Arial"/>
                <w:sz w:val="20"/>
                <w:szCs w:val="20"/>
              </w:rPr>
              <w:t>18 – 48</w:t>
            </w:r>
          </w:p>
        </w:tc>
      </w:tr>
    </w:tbl>
    <w:p w14:paraId="001423B1" w14:textId="77777777" w:rsidR="00C914C4" w:rsidRPr="00F7364C" w:rsidRDefault="00C914C4" w:rsidP="0054084E">
      <w:pPr>
        <w:tabs>
          <w:tab w:val="left" w:pos="555"/>
        </w:tabs>
        <w:spacing w:line="228" w:lineRule="exact"/>
        <w:jc w:val="both"/>
        <w:rPr>
          <w:rFonts w:ascii="Arial" w:hAnsi="Arial" w:cs="Arial"/>
          <w:b/>
        </w:rPr>
      </w:pPr>
    </w:p>
    <w:p w14:paraId="41E7A797" w14:textId="3CADDDBD" w:rsidR="000C58A7" w:rsidRDefault="0066115F" w:rsidP="0054084E">
      <w:pPr>
        <w:tabs>
          <w:tab w:val="left" w:pos="555"/>
        </w:tabs>
        <w:spacing w:line="228" w:lineRule="exact"/>
        <w:jc w:val="both"/>
        <w:rPr>
          <w:rFonts w:ascii="Arial" w:hAnsi="Arial" w:cs="Arial"/>
        </w:rPr>
      </w:pPr>
      <w:r w:rsidRPr="00F7364C">
        <w:rPr>
          <w:rFonts w:ascii="Arial" w:hAnsi="Arial" w:cs="Arial"/>
          <w:b/>
        </w:rPr>
        <w:t>Table 2</w:t>
      </w:r>
      <w:r w:rsidR="000C58A7" w:rsidRPr="000C58A7">
        <w:rPr>
          <w:rFonts w:ascii="Arial" w:hAnsi="Arial" w:cs="Arial"/>
        </w:rPr>
        <w:t xml:space="preserve"> indicate varying levels of burnout among healthcare providers at Livingstone Central Hospital, as measured by the three dimensions of burnout: emotional exhaustion, depersonalization, and personal achievement. Emotional exhaustion is characterized by feelings of being emotionally overextended and depleted of one's emotional resources. The study found a mean score of 18.2 (±10.4), ranging from 4 to 42. Over half of the respondents (56.5%) reported less fatigue, while 27.5% experienced moderate fatigue, and 16% reported extreme fatigue. Consistent with this result, Owuor et al. (2020) reported a mean</w:t>
      </w:r>
      <w:r w:rsidR="00F23B58">
        <w:rPr>
          <w:rFonts w:ascii="Arial" w:hAnsi="Arial" w:cs="Arial"/>
        </w:rPr>
        <w:t xml:space="preserve"> </w:t>
      </w:r>
      <w:r w:rsidR="000C58A7" w:rsidRPr="000C58A7">
        <w:rPr>
          <w:rFonts w:ascii="Arial" w:hAnsi="Arial" w:cs="Arial"/>
        </w:rPr>
        <w:t>emotional exhaustion score of 22.5 among nurses in sub-Saharan Africa, which is slightly higher than the mean score in this study. This difference could be attributed to variations in work environments, resource availability, and cultural factors influencing stress perception. Similarly, Shanafelt et al. (2015) found that physicians in the United States had a mean emotional exhaustion score of 25.8, which is higher than the score observed in this study. This disparity might be due to the higher workload and more demanding work conditions in the U.S. healthcare system. While, Olley (2016) noted that emotional exhaustion levels in Africa varied significantly by country and healthcare setting, with some studies reporting lower levels similar to those found in this study, while others reported higher levels. This variability suggests that local factors, such as hospital management and support systems, play a crucial role in emotional exhaustion.</w:t>
      </w:r>
    </w:p>
    <w:p w14:paraId="4983B181" w14:textId="77777777" w:rsidR="0054084E" w:rsidRPr="000C58A7" w:rsidRDefault="0054084E" w:rsidP="0054084E">
      <w:pPr>
        <w:tabs>
          <w:tab w:val="left" w:pos="555"/>
        </w:tabs>
        <w:spacing w:line="228" w:lineRule="exact"/>
        <w:jc w:val="both"/>
        <w:rPr>
          <w:rFonts w:ascii="Arial" w:hAnsi="Arial" w:cs="Arial"/>
        </w:rPr>
      </w:pPr>
    </w:p>
    <w:p w14:paraId="6F1535BA" w14:textId="218C5231" w:rsidR="000C58A7" w:rsidRDefault="000C58A7" w:rsidP="0054084E">
      <w:pPr>
        <w:tabs>
          <w:tab w:val="left" w:pos="555"/>
        </w:tabs>
        <w:spacing w:line="228" w:lineRule="exact"/>
        <w:jc w:val="both"/>
        <w:rPr>
          <w:rFonts w:ascii="Arial" w:hAnsi="Arial" w:cs="Arial"/>
        </w:rPr>
      </w:pPr>
      <w:r w:rsidRPr="000C58A7">
        <w:rPr>
          <w:rFonts w:ascii="Arial" w:hAnsi="Arial" w:cs="Arial"/>
        </w:rPr>
        <w:t>Depersonalization refers to a negative, cynical, or excessively detached response to others. The study found a mean score of 9.8 (±9.6), ranging from 0 to 42. Less than two-fifths of respondents (39.2%) had low depersonalization, while there was no difference in depersonalization between respondents who reported high levels (30.4%) and those who experienced moderate depersonalization (30.4%). Hayes et al. (2020) reported a mean depersonalization score of 8.5 among nurses in Western countries, which is slightly lower than the score in this study.</w:t>
      </w:r>
      <w:r w:rsidR="007D090D">
        <w:rPr>
          <w:rFonts w:ascii="Arial" w:hAnsi="Arial" w:cs="Arial"/>
        </w:rPr>
        <w:t xml:space="preserve"> Elbarazi et al., (2017) found high depersonalization (9.2 – 80.0%).</w:t>
      </w:r>
      <w:r w:rsidRPr="000C58A7">
        <w:rPr>
          <w:rFonts w:ascii="Arial" w:hAnsi="Arial" w:cs="Arial"/>
        </w:rPr>
        <w:t xml:space="preserve"> This difference could be due to cultural variations in expressing cynicism or detachment. Similarly, Dyrbye et al. (2014) found that physicians in the United States had a mean depersonalization score of 10.4, which is comparable to the score in this study. This similarity might reflect the global nature of depersonalization as a coping mechanism in high-stress environments. While, Leiter and Maslach (2009) noted that depersonalization levels were influenced by job satisfaction and support systems, suggesting that interventions addressing these factors could reduce depersonalization.</w:t>
      </w:r>
    </w:p>
    <w:p w14:paraId="72EE143B" w14:textId="77777777" w:rsidR="000C58A7" w:rsidRPr="000C58A7" w:rsidRDefault="000C58A7" w:rsidP="000C58A7">
      <w:pPr>
        <w:tabs>
          <w:tab w:val="left" w:pos="555"/>
        </w:tabs>
        <w:spacing w:line="228" w:lineRule="exact"/>
        <w:rPr>
          <w:rFonts w:ascii="Arial" w:hAnsi="Arial" w:cs="Arial"/>
        </w:rPr>
      </w:pPr>
    </w:p>
    <w:p w14:paraId="328B1378" w14:textId="54BF0EC7" w:rsidR="000C58A7" w:rsidRPr="0054084E" w:rsidRDefault="001B4C23" w:rsidP="000C58A7">
      <w:pPr>
        <w:tabs>
          <w:tab w:val="left" w:pos="555"/>
        </w:tabs>
        <w:spacing w:line="228" w:lineRule="exact"/>
        <w:rPr>
          <w:rFonts w:ascii="Arial" w:hAnsi="Arial" w:cs="Arial"/>
          <w:b/>
          <w:bCs/>
        </w:rPr>
      </w:pPr>
      <w:r>
        <w:rPr>
          <w:rFonts w:ascii="Arial" w:hAnsi="Arial" w:cs="Arial"/>
          <w:b/>
          <w:bCs/>
        </w:rPr>
        <w:t>5</w:t>
      </w:r>
      <w:r w:rsidR="000C58A7" w:rsidRPr="0054084E">
        <w:rPr>
          <w:rFonts w:ascii="Arial" w:hAnsi="Arial" w:cs="Arial"/>
          <w:b/>
          <w:bCs/>
        </w:rPr>
        <w:t>.</w:t>
      </w:r>
      <w:r w:rsidR="0054084E" w:rsidRPr="0054084E">
        <w:rPr>
          <w:rFonts w:ascii="Arial" w:hAnsi="Arial" w:cs="Arial"/>
          <w:b/>
          <w:bCs/>
        </w:rPr>
        <w:t>4</w:t>
      </w:r>
      <w:r w:rsidR="000C58A7" w:rsidRPr="0054084E">
        <w:rPr>
          <w:rFonts w:ascii="Arial" w:hAnsi="Arial" w:cs="Arial"/>
          <w:b/>
          <w:bCs/>
        </w:rPr>
        <w:t xml:space="preserve"> Influence of Sociodemographic Characteristics on Burnout Syndrome</w:t>
      </w:r>
    </w:p>
    <w:p w14:paraId="1C76BBFC" w14:textId="30862DE9" w:rsidR="000C58A7" w:rsidRPr="0066115F" w:rsidRDefault="0066115F" w:rsidP="000C58A7">
      <w:pPr>
        <w:tabs>
          <w:tab w:val="left" w:pos="555"/>
        </w:tabs>
        <w:spacing w:line="228" w:lineRule="exact"/>
        <w:rPr>
          <w:rFonts w:ascii="Arial" w:hAnsi="Arial" w:cs="Arial"/>
        </w:rPr>
      </w:pPr>
      <w:r w:rsidRPr="008C54DA">
        <w:rPr>
          <w:rFonts w:ascii="Arial" w:hAnsi="Arial" w:cs="Arial"/>
        </w:rPr>
        <w:t>Table 3: Influence of Sociodemographic Characteristics on Burnout Syndrome</w:t>
      </w:r>
    </w:p>
    <w:tbl>
      <w:tblPr>
        <w:tblStyle w:val="TableGrid"/>
        <w:tblW w:w="0" w:type="auto"/>
        <w:tblLook w:val="04A0" w:firstRow="1" w:lastRow="0" w:firstColumn="1" w:lastColumn="0" w:noHBand="0" w:noVBand="1"/>
      </w:tblPr>
      <w:tblGrid>
        <w:gridCol w:w="1772"/>
        <w:gridCol w:w="1599"/>
        <w:gridCol w:w="1973"/>
        <w:gridCol w:w="1235"/>
        <w:gridCol w:w="1619"/>
      </w:tblGrid>
      <w:tr w:rsidR="0066115F" w:rsidRPr="0066115F" w14:paraId="20F14B7E" w14:textId="77777777" w:rsidTr="008C54DA">
        <w:tc>
          <w:tcPr>
            <w:tcW w:w="0" w:type="auto"/>
            <w:hideMark/>
          </w:tcPr>
          <w:p w14:paraId="1B7A96FB" w14:textId="77777777" w:rsidR="0066115F" w:rsidRPr="008C54DA" w:rsidRDefault="0066115F" w:rsidP="0066115F">
            <w:pPr>
              <w:jc w:val="center"/>
              <w:rPr>
                <w:rFonts w:ascii="Arial" w:hAnsi="Arial" w:cs="Arial"/>
                <w:b/>
                <w:bCs/>
                <w:sz w:val="20"/>
                <w:szCs w:val="20"/>
              </w:rPr>
            </w:pPr>
            <w:r w:rsidRPr="008C54DA">
              <w:rPr>
                <w:rFonts w:ascii="Arial" w:hAnsi="Arial" w:cs="Arial"/>
                <w:b/>
                <w:bCs/>
                <w:sz w:val="20"/>
                <w:szCs w:val="20"/>
              </w:rPr>
              <w:t>Sociodemographic Variable</w:t>
            </w:r>
          </w:p>
        </w:tc>
        <w:tc>
          <w:tcPr>
            <w:tcW w:w="0" w:type="auto"/>
            <w:hideMark/>
          </w:tcPr>
          <w:p w14:paraId="48FED58D" w14:textId="77777777" w:rsidR="0066115F" w:rsidRPr="008C54DA" w:rsidRDefault="0066115F" w:rsidP="0066115F">
            <w:pPr>
              <w:jc w:val="center"/>
              <w:rPr>
                <w:rFonts w:ascii="Arial" w:hAnsi="Arial" w:cs="Arial"/>
                <w:b/>
                <w:bCs/>
                <w:sz w:val="20"/>
                <w:szCs w:val="20"/>
              </w:rPr>
            </w:pPr>
            <w:r w:rsidRPr="008C54DA">
              <w:rPr>
                <w:rFonts w:ascii="Arial" w:hAnsi="Arial" w:cs="Arial"/>
                <w:b/>
                <w:bCs/>
                <w:sz w:val="20"/>
                <w:szCs w:val="20"/>
              </w:rPr>
              <w:t>Burnout Dimension</w:t>
            </w:r>
          </w:p>
        </w:tc>
        <w:tc>
          <w:tcPr>
            <w:tcW w:w="0" w:type="auto"/>
            <w:hideMark/>
          </w:tcPr>
          <w:p w14:paraId="73536F2A" w14:textId="77777777" w:rsidR="0066115F" w:rsidRPr="008C54DA" w:rsidRDefault="0066115F" w:rsidP="0066115F">
            <w:pPr>
              <w:jc w:val="center"/>
              <w:rPr>
                <w:rFonts w:ascii="Arial" w:hAnsi="Arial" w:cs="Arial"/>
                <w:b/>
                <w:bCs/>
                <w:sz w:val="20"/>
                <w:szCs w:val="20"/>
              </w:rPr>
            </w:pPr>
            <w:r w:rsidRPr="008C54DA">
              <w:rPr>
                <w:rFonts w:ascii="Arial" w:hAnsi="Arial" w:cs="Arial"/>
                <w:b/>
                <w:bCs/>
                <w:sz w:val="20"/>
                <w:szCs w:val="20"/>
              </w:rPr>
              <w:t>Association/Indicator (r-value)</w:t>
            </w:r>
          </w:p>
        </w:tc>
        <w:tc>
          <w:tcPr>
            <w:tcW w:w="0" w:type="auto"/>
            <w:hideMark/>
          </w:tcPr>
          <w:p w14:paraId="62DCA281" w14:textId="77777777" w:rsidR="0066115F" w:rsidRPr="008C54DA" w:rsidRDefault="0066115F" w:rsidP="0066115F">
            <w:pPr>
              <w:jc w:val="center"/>
              <w:rPr>
                <w:rFonts w:ascii="Arial" w:hAnsi="Arial" w:cs="Arial"/>
                <w:b/>
                <w:bCs/>
                <w:sz w:val="20"/>
                <w:szCs w:val="20"/>
              </w:rPr>
            </w:pPr>
            <w:r w:rsidRPr="008C54DA">
              <w:rPr>
                <w:rFonts w:ascii="Arial" w:hAnsi="Arial" w:cs="Arial"/>
                <w:b/>
                <w:bCs/>
                <w:sz w:val="20"/>
                <w:szCs w:val="20"/>
              </w:rPr>
              <w:t>Statistical Significance (p-value)</w:t>
            </w:r>
          </w:p>
        </w:tc>
        <w:tc>
          <w:tcPr>
            <w:tcW w:w="0" w:type="auto"/>
            <w:hideMark/>
          </w:tcPr>
          <w:p w14:paraId="45531FA1" w14:textId="77777777" w:rsidR="0066115F" w:rsidRPr="008C54DA" w:rsidRDefault="0066115F" w:rsidP="0066115F">
            <w:pPr>
              <w:jc w:val="center"/>
              <w:rPr>
                <w:rFonts w:ascii="Arial" w:hAnsi="Arial" w:cs="Arial"/>
                <w:b/>
                <w:bCs/>
                <w:sz w:val="20"/>
                <w:szCs w:val="20"/>
              </w:rPr>
            </w:pPr>
            <w:r w:rsidRPr="008C54DA">
              <w:rPr>
                <w:rFonts w:ascii="Arial" w:hAnsi="Arial" w:cs="Arial"/>
                <w:b/>
                <w:bCs/>
                <w:sz w:val="20"/>
                <w:szCs w:val="20"/>
              </w:rPr>
              <w:t>Key Finding</w:t>
            </w:r>
          </w:p>
        </w:tc>
      </w:tr>
      <w:tr w:rsidR="0066115F" w:rsidRPr="0066115F" w14:paraId="102C22A5" w14:textId="77777777" w:rsidTr="008C54DA">
        <w:tc>
          <w:tcPr>
            <w:tcW w:w="0" w:type="auto"/>
            <w:hideMark/>
          </w:tcPr>
          <w:p w14:paraId="63E9D8BE" w14:textId="77777777" w:rsidR="0066115F" w:rsidRPr="008C54DA" w:rsidRDefault="0066115F" w:rsidP="0066115F">
            <w:pPr>
              <w:rPr>
                <w:rFonts w:ascii="Arial" w:hAnsi="Arial" w:cs="Arial"/>
                <w:sz w:val="20"/>
                <w:szCs w:val="20"/>
              </w:rPr>
            </w:pPr>
            <w:r w:rsidRPr="008C54DA">
              <w:rPr>
                <w:rFonts w:ascii="Arial" w:hAnsi="Arial" w:cs="Arial"/>
                <w:b/>
                <w:bCs/>
                <w:sz w:val="20"/>
                <w:szCs w:val="20"/>
              </w:rPr>
              <w:t>Age</w:t>
            </w:r>
          </w:p>
        </w:tc>
        <w:tc>
          <w:tcPr>
            <w:tcW w:w="0" w:type="auto"/>
            <w:hideMark/>
          </w:tcPr>
          <w:p w14:paraId="1D2CE52A" w14:textId="77777777" w:rsidR="0066115F" w:rsidRPr="008C54DA" w:rsidRDefault="0066115F" w:rsidP="0066115F">
            <w:pPr>
              <w:rPr>
                <w:rFonts w:ascii="Arial" w:hAnsi="Arial" w:cs="Arial"/>
                <w:sz w:val="20"/>
                <w:szCs w:val="20"/>
              </w:rPr>
            </w:pPr>
            <w:r w:rsidRPr="008C54DA">
              <w:rPr>
                <w:rFonts w:ascii="Arial" w:hAnsi="Arial" w:cs="Arial"/>
                <w:sz w:val="20"/>
                <w:szCs w:val="20"/>
              </w:rPr>
              <w:t>Depersonalization</w:t>
            </w:r>
          </w:p>
        </w:tc>
        <w:tc>
          <w:tcPr>
            <w:tcW w:w="0" w:type="auto"/>
            <w:hideMark/>
          </w:tcPr>
          <w:p w14:paraId="5E604490" w14:textId="77777777" w:rsidR="0066115F" w:rsidRPr="008C54DA" w:rsidRDefault="0066115F" w:rsidP="0066115F">
            <w:pPr>
              <w:rPr>
                <w:rFonts w:ascii="Arial" w:hAnsi="Arial" w:cs="Arial"/>
                <w:sz w:val="20"/>
                <w:szCs w:val="20"/>
              </w:rPr>
            </w:pPr>
            <w:r w:rsidRPr="008C54DA">
              <w:rPr>
                <w:rFonts w:ascii="Arial" w:hAnsi="Arial" w:cs="Arial"/>
                <w:sz w:val="20"/>
                <w:szCs w:val="20"/>
              </w:rPr>
              <w:t>r = 0.27</w:t>
            </w:r>
          </w:p>
        </w:tc>
        <w:tc>
          <w:tcPr>
            <w:tcW w:w="0" w:type="auto"/>
            <w:hideMark/>
          </w:tcPr>
          <w:p w14:paraId="2E332D04" w14:textId="77777777" w:rsidR="0066115F" w:rsidRPr="008C54DA" w:rsidRDefault="0066115F" w:rsidP="0066115F">
            <w:pPr>
              <w:rPr>
                <w:rFonts w:ascii="Arial" w:hAnsi="Arial" w:cs="Arial"/>
                <w:sz w:val="20"/>
                <w:szCs w:val="20"/>
              </w:rPr>
            </w:pPr>
            <w:r w:rsidRPr="008C54DA">
              <w:rPr>
                <w:rFonts w:ascii="Arial" w:hAnsi="Arial" w:cs="Arial"/>
                <w:sz w:val="20"/>
                <w:szCs w:val="20"/>
              </w:rPr>
              <w:t>p = 0.023</w:t>
            </w:r>
          </w:p>
        </w:tc>
        <w:tc>
          <w:tcPr>
            <w:tcW w:w="0" w:type="auto"/>
            <w:hideMark/>
          </w:tcPr>
          <w:p w14:paraId="7C52D116" w14:textId="77777777" w:rsidR="0066115F" w:rsidRPr="008C54DA" w:rsidRDefault="0066115F" w:rsidP="0066115F">
            <w:pPr>
              <w:rPr>
                <w:rFonts w:ascii="Arial" w:hAnsi="Arial" w:cs="Arial"/>
                <w:sz w:val="20"/>
                <w:szCs w:val="20"/>
              </w:rPr>
            </w:pPr>
            <w:r w:rsidRPr="008C54DA">
              <w:rPr>
                <w:rFonts w:ascii="Arial" w:hAnsi="Arial" w:cs="Arial"/>
                <w:sz w:val="20"/>
                <w:szCs w:val="20"/>
              </w:rPr>
              <w:t xml:space="preserve">Younger healthcare providers </w:t>
            </w:r>
            <w:r w:rsidRPr="008C54DA">
              <w:rPr>
                <w:rFonts w:ascii="Arial" w:hAnsi="Arial" w:cs="Arial"/>
                <w:sz w:val="20"/>
                <w:szCs w:val="20"/>
              </w:rPr>
              <w:lastRenderedPageBreak/>
              <w:t>reported higher depersonalization.</w:t>
            </w:r>
          </w:p>
        </w:tc>
      </w:tr>
      <w:tr w:rsidR="0066115F" w:rsidRPr="0066115F" w14:paraId="16FDD574" w14:textId="77777777" w:rsidTr="008C54DA">
        <w:tc>
          <w:tcPr>
            <w:tcW w:w="0" w:type="auto"/>
            <w:hideMark/>
          </w:tcPr>
          <w:p w14:paraId="0839CBEB" w14:textId="77777777" w:rsidR="0066115F" w:rsidRPr="008C54DA" w:rsidRDefault="0066115F" w:rsidP="0066115F">
            <w:pPr>
              <w:rPr>
                <w:rFonts w:ascii="Arial" w:hAnsi="Arial" w:cs="Arial"/>
                <w:sz w:val="20"/>
                <w:szCs w:val="20"/>
              </w:rPr>
            </w:pPr>
          </w:p>
        </w:tc>
        <w:tc>
          <w:tcPr>
            <w:tcW w:w="0" w:type="auto"/>
            <w:hideMark/>
          </w:tcPr>
          <w:p w14:paraId="2C509DC9" w14:textId="77777777" w:rsidR="0066115F" w:rsidRPr="008C54DA" w:rsidRDefault="0066115F" w:rsidP="0066115F">
            <w:pPr>
              <w:rPr>
                <w:rFonts w:ascii="Arial" w:hAnsi="Arial" w:cs="Arial"/>
                <w:sz w:val="20"/>
                <w:szCs w:val="20"/>
              </w:rPr>
            </w:pPr>
            <w:r w:rsidRPr="008C54DA">
              <w:rPr>
                <w:rFonts w:ascii="Arial" w:hAnsi="Arial" w:cs="Arial"/>
                <w:sz w:val="20"/>
                <w:szCs w:val="20"/>
              </w:rPr>
              <w:t>Personal Achievement</w:t>
            </w:r>
          </w:p>
        </w:tc>
        <w:tc>
          <w:tcPr>
            <w:tcW w:w="0" w:type="auto"/>
            <w:hideMark/>
          </w:tcPr>
          <w:p w14:paraId="2BC1F054" w14:textId="77777777" w:rsidR="0066115F" w:rsidRPr="008C54DA" w:rsidRDefault="0066115F" w:rsidP="0066115F">
            <w:pPr>
              <w:rPr>
                <w:rFonts w:ascii="Arial" w:hAnsi="Arial" w:cs="Arial"/>
                <w:sz w:val="20"/>
                <w:szCs w:val="20"/>
              </w:rPr>
            </w:pPr>
            <w:r w:rsidRPr="008C54DA">
              <w:rPr>
                <w:rFonts w:ascii="Arial" w:hAnsi="Arial" w:cs="Arial"/>
                <w:sz w:val="20"/>
                <w:szCs w:val="20"/>
              </w:rPr>
              <w:t>r = -0.31</w:t>
            </w:r>
          </w:p>
        </w:tc>
        <w:tc>
          <w:tcPr>
            <w:tcW w:w="0" w:type="auto"/>
            <w:hideMark/>
          </w:tcPr>
          <w:p w14:paraId="4A2D84DB" w14:textId="77777777" w:rsidR="0066115F" w:rsidRPr="008C54DA" w:rsidRDefault="0066115F" w:rsidP="0066115F">
            <w:pPr>
              <w:rPr>
                <w:rFonts w:ascii="Arial" w:hAnsi="Arial" w:cs="Arial"/>
                <w:sz w:val="20"/>
                <w:szCs w:val="20"/>
              </w:rPr>
            </w:pPr>
            <w:r w:rsidRPr="008C54DA">
              <w:rPr>
                <w:rFonts w:ascii="Arial" w:hAnsi="Arial" w:cs="Arial"/>
                <w:sz w:val="20"/>
                <w:szCs w:val="20"/>
              </w:rPr>
              <w:t>p = 0.009</w:t>
            </w:r>
          </w:p>
        </w:tc>
        <w:tc>
          <w:tcPr>
            <w:tcW w:w="0" w:type="auto"/>
            <w:hideMark/>
          </w:tcPr>
          <w:p w14:paraId="4F4EA431" w14:textId="77777777" w:rsidR="0066115F" w:rsidRPr="008C54DA" w:rsidRDefault="0066115F" w:rsidP="0066115F">
            <w:pPr>
              <w:rPr>
                <w:rFonts w:ascii="Arial" w:hAnsi="Arial" w:cs="Arial"/>
                <w:sz w:val="20"/>
                <w:szCs w:val="20"/>
              </w:rPr>
            </w:pPr>
            <w:r w:rsidRPr="008C54DA">
              <w:rPr>
                <w:rFonts w:ascii="Arial" w:hAnsi="Arial" w:cs="Arial"/>
                <w:sz w:val="20"/>
                <w:szCs w:val="20"/>
              </w:rPr>
              <w:t>Younger healthcare providers reported lower personal achievement.</w:t>
            </w:r>
          </w:p>
        </w:tc>
      </w:tr>
      <w:tr w:rsidR="0066115F" w:rsidRPr="0066115F" w14:paraId="6B7EF5D9" w14:textId="77777777" w:rsidTr="008C54DA">
        <w:tc>
          <w:tcPr>
            <w:tcW w:w="0" w:type="auto"/>
            <w:hideMark/>
          </w:tcPr>
          <w:p w14:paraId="22F27AF7" w14:textId="77777777" w:rsidR="0066115F" w:rsidRPr="008C54DA" w:rsidRDefault="0066115F" w:rsidP="0066115F">
            <w:pPr>
              <w:rPr>
                <w:rFonts w:ascii="Arial" w:hAnsi="Arial" w:cs="Arial"/>
                <w:sz w:val="20"/>
                <w:szCs w:val="20"/>
              </w:rPr>
            </w:pPr>
            <w:r w:rsidRPr="008C54DA">
              <w:rPr>
                <w:rFonts w:ascii="Arial" w:hAnsi="Arial" w:cs="Arial"/>
                <w:b/>
                <w:bCs/>
                <w:sz w:val="20"/>
                <w:szCs w:val="20"/>
              </w:rPr>
              <w:t>Years of Experience</w:t>
            </w:r>
          </w:p>
        </w:tc>
        <w:tc>
          <w:tcPr>
            <w:tcW w:w="0" w:type="auto"/>
            <w:hideMark/>
          </w:tcPr>
          <w:p w14:paraId="4B641592" w14:textId="77777777" w:rsidR="0066115F" w:rsidRPr="008C54DA" w:rsidRDefault="0066115F" w:rsidP="0066115F">
            <w:pPr>
              <w:rPr>
                <w:rFonts w:ascii="Arial" w:hAnsi="Arial" w:cs="Arial"/>
                <w:sz w:val="20"/>
                <w:szCs w:val="20"/>
              </w:rPr>
            </w:pPr>
            <w:r w:rsidRPr="008C54DA">
              <w:rPr>
                <w:rFonts w:ascii="Arial" w:hAnsi="Arial" w:cs="Arial"/>
                <w:sz w:val="20"/>
                <w:szCs w:val="20"/>
              </w:rPr>
              <w:t>Depersonalization</w:t>
            </w:r>
          </w:p>
        </w:tc>
        <w:tc>
          <w:tcPr>
            <w:tcW w:w="0" w:type="auto"/>
            <w:hideMark/>
          </w:tcPr>
          <w:p w14:paraId="599C5296" w14:textId="77777777" w:rsidR="0066115F" w:rsidRPr="008C54DA" w:rsidRDefault="0066115F" w:rsidP="0066115F">
            <w:pPr>
              <w:rPr>
                <w:rFonts w:ascii="Arial" w:hAnsi="Arial" w:cs="Arial"/>
                <w:sz w:val="20"/>
                <w:szCs w:val="20"/>
              </w:rPr>
            </w:pPr>
            <w:r w:rsidRPr="008C54DA">
              <w:rPr>
                <w:rFonts w:ascii="Arial" w:hAnsi="Arial" w:cs="Arial"/>
                <w:sz w:val="20"/>
                <w:szCs w:val="20"/>
              </w:rPr>
              <w:t>r = -0.29</w:t>
            </w:r>
          </w:p>
        </w:tc>
        <w:tc>
          <w:tcPr>
            <w:tcW w:w="0" w:type="auto"/>
            <w:hideMark/>
          </w:tcPr>
          <w:p w14:paraId="5D192872" w14:textId="77777777" w:rsidR="0066115F" w:rsidRPr="008C54DA" w:rsidRDefault="0066115F" w:rsidP="0066115F">
            <w:pPr>
              <w:rPr>
                <w:rFonts w:ascii="Arial" w:hAnsi="Arial" w:cs="Arial"/>
                <w:sz w:val="20"/>
                <w:szCs w:val="20"/>
              </w:rPr>
            </w:pPr>
          </w:p>
        </w:tc>
        <w:tc>
          <w:tcPr>
            <w:tcW w:w="0" w:type="auto"/>
            <w:hideMark/>
          </w:tcPr>
          <w:p w14:paraId="29318318" w14:textId="77777777" w:rsidR="0066115F" w:rsidRPr="008C54DA" w:rsidRDefault="0066115F" w:rsidP="0066115F">
            <w:pPr>
              <w:rPr>
                <w:rFonts w:ascii="Arial" w:hAnsi="Arial" w:cs="Arial"/>
                <w:sz w:val="20"/>
                <w:szCs w:val="20"/>
              </w:rPr>
            </w:pPr>
            <w:r w:rsidRPr="008C54DA">
              <w:rPr>
                <w:rFonts w:ascii="Arial" w:hAnsi="Arial" w:cs="Arial"/>
                <w:sz w:val="20"/>
                <w:szCs w:val="20"/>
              </w:rPr>
              <w:t>More years of practice linked to lower depersonalization (experience as a buffer).</w:t>
            </w:r>
          </w:p>
        </w:tc>
      </w:tr>
    </w:tbl>
    <w:p w14:paraId="2F6A07C0" w14:textId="77777777" w:rsidR="0066115F" w:rsidRPr="000C58A7" w:rsidRDefault="0066115F" w:rsidP="000C58A7">
      <w:pPr>
        <w:tabs>
          <w:tab w:val="left" w:pos="555"/>
        </w:tabs>
        <w:spacing w:line="228" w:lineRule="exact"/>
        <w:rPr>
          <w:rFonts w:ascii="Arial" w:hAnsi="Arial" w:cs="Arial"/>
        </w:rPr>
      </w:pPr>
    </w:p>
    <w:p w14:paraId="121680C6" w14:textId="75207BB7" w:rsidR="000C58A7" w:rsidRDefault="0066115F" w:rsidP="0054084E">
      <w:pPr>
        <w:tabs>
          <w:tab w:val="left" w:pos="555"/>
        </w:tabs>
        <w:spacing w:line="228" w:lineRule="exact"/>
        <w:jc w:val="both"/>
        <w:rPr>
          <w:rFonts w:ascii="Arial" w:hAnsi="Arial" w:cs="Arial"/>
        </w:rPr>
      </w:pPr>
      <w:r w:rsidRPr="00F7364C">
        <w:rPr>
          <w:rFonts w:ascii="Arial" w:hAnsi="Arial" w:cs="Arial"/>
          <w:b/>
        </w:rPr>
        <w:t>Table 3</w:t>
      </w:r>
      <w:r>
        <w:rPr>
          <w:rFonts w:ascii="Arial" w:hAnsi="Arial" w:cs="Arial"/>
        </w:rPr>
        <w:t xml:space="preserve"> presents</w:t>
      </w:r>
      <w:r w:rsidR="000C58A7" w:rsidRPr="000C58A7">
        <w:rPr>
          <w:rFonts w:ascii="Arial" w:hAnsi="Arial" w:cs="Arial"/>
        </w:rPr>
        <w:t xml:space="preserve"> findings regarding the influence of socio-demographic characteristics on burnout syndrome, particularly in relation to depersonalization and personal achievement, reveal several significant associations. The study found that age was significantly associated with both depersonalization (p = 0.023) and personal achievement (p = 0.009). Younger healthcare providers reported higher levels of depersonalization and lower personal achievement, which is consistent with trends observed in other studies. Hayes et al. (2020) reported that younger nurses in Western countries experienced higher levels of burnout, particularly in terms of emotional exhaustion and depersonalization. This could be due to less experience in managing work-related stress and a steeper learning curve in the early stages of their careers. Owuor et al. (2020) found that age was inversely related to burnout among nurses in sub-Saharan Africa, with younger nurses reporting higher levels of burnout. This aligns with the findings of this study and suggests that age may be a universal factor influencing burnout, possibly due to the accumulation of coping mechanisms over time. Shanafelt et al. (2015) noted that younger physicians in the United States had higher burnout rates, which could be attributed to the challenges of transitioning from training to practice and the demands of establishing a career.</w:t>
      </w:r>
    </w:p>
    <w:p w14:paraId="462DA270" w14:textId="77777777" w:rsidR="00F23B58" w:rsidRDefault="00F23B58" w:rsidP="000C58A7">
      <w:pPr>
        <w:tabs>
          <w:tab w:val="left" w:pos="555"/>
        </w:tabs>
        <w:spacing w:line="228" w:lineRule="exact"/>
        <w:rPr>
          <w:rFonts w:ascii="Arial" w:hAnsi="Arial" w:cs="Arial"/>
        </w:rPr>
      </w:pPr>
    </w:p>
    <w:p w14:paraId="1976CBDD" w14:textId="5DF21C26" w:rsidR="000C58A7" w:rsidRPr="0054084E" w:rsidRDefault="001B4C23" w:rsidP="000C58A7">
      <w:pPr>
        <w:tabs>
          <w:tab w:val="left" w:pos="555"/>
        </w:tabs>
        <w:spacing w:line="228" w:lineRule="exact"/>
        <w:rPr>
          <w:rFonts w:ascii="Arial" w:hAnsi="Arial" w:cs="Arial"/>
          <w:b/>
          <w:bCs/>
        </w:rPr>
      </w:pPr>
      <w:r>
        <w:rPr>
          <w:rFonts w:ascii="Arial" w:hAnsi="Arial" w:cs="Arial"/>
          <w:b/>
          <w:bCs/>
        </w:rPr>
        <w:t>4</w:t>
      </w:r>
      <w:r w:rsidR="000C58A7" w:rsidRPr="0054084E">
        <w:rPr>
          <w:rFonts w:ascii="Arial" w:hAnsi="Arial" w:cs="Arial"/>
          <w:b/>
          <w:bCs/>
        </w:rPr>
        <w:t>.</w:t>
      </w:r>
      <w:r w:rsidR="0054084E">
        <w:rPr>
          <w:rFonts w:ascii="Arial" w:hAnsi="Arial" w:cs="Arial"/>
          <w:b/>
          <w:bCs/>
        </w:rPr>
        <w:t>5</w:t>
      </w:r>
      <w:r w:rsidR="000C58A7" w:rsidRPr="0054084E">
        <w:rPr>
          <w:rFonts w:ascii="Arial" w:hAnsi="Arial" w:cs="Arial"/>
          <w:b/>
          <w:bCs/>
        </w:rPr>
        <w:t xml:space="preserve"> Work-Related Factors and Burnout Syndromes</w:t>
      </w:r>
    </w:p>
    <w:p w14:paraId="7D778D63" w14:textId="30974738" w:rsidR="000C58A7" w:rsidRDefault="000C58A7" w:rsidP="000C58A7">
      <w:pPr>
        <w:tabs>
          <w:tab w:val="left" w:pos="555"/>
        </w:tabs>
        <w:spacing w:line="228" w:lineRule="exact"/>
        <w:rPr>
          <w:rFonts w:ascii="Arial" w:hAnsi="Arial" w:cs="Arial"/>
        </w:rPr>
      </w:pPr>
    </w:p>
    <w:p w14:paraId="3693F747" w14:textId="0DC7FEA5" w:rsidR="0066115F" w:rsidRPr="008C54DA" w:rsidRDefault="0066115F" w:rsidP="000C58A7">
      <w:pPr>
        <w:tabs>
          <w:tab w:val="left" w:pos="555"/>
        </w:tabs>
        <w:spacing w:line="228" w:lineRule="exact"/>
        <w:rPr>
          <w:rFonts w:ascii="Arial" w:hAnsi="Arial" w:cs="Arial"/>
        </w:rPr>
      </w:pPr>
      <w:r w:rsidRPr="008C54DA">
        <w:rPr>
          <w:rFonts w:ascii="Arial" w:hAnsi="Arial" w:cs="Arial"/>
        </w:rPr>
        <w:t>Table 4: Work-Related Factors and Burnout Syndromes (ANOVA &amp; Regression)</w:t>
      </w:r>
    </w:p>
    <w:tbl>
      <w:tblPr>
        <w:tblStyle w:val="TableGrid"/>
        <w:tblW w:w="8280" w:type="dxa"/>
        <w:tblLook w:val="04A0" w:firstRow="1" w:lastRow="0" w:firstColumn="1" w:lastColumn="0" w:noHBand="0" w:noVBand="1"/>
      </w:tblPr>
      <w:tblGrid>
        <w:gridCol w:w="2442"/>
        <w:gridCol w:w="1563"/>
        <w:gridCol w:w="1419"/>
        <w:gridCol w:w="1079"/>
        <w:gridCol w:w="985"/>
        <w:gridCol w:w="792"/>
      </w:tblGrid>
      <w:tr w:rsidR="009A5BD0" w:rsidRPr="009A5BD0" w14:paraId="1393B3B2" w14:textId="77777777" w:rsidTr="009A5BD0">
        <w:trPr>
          <w:trHeight w:val="225"/>
        </w:trPr>
        <w:tc>
          <w:tcPr>
            <w:tcW w:w="0" w:type="auto"/>
            <w:hideMark/>
          </w:tcPr>
          <w:p w14:paraId="3F05F467"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Model Statistics</w:t>
            </w:r>
          </w:p>
        </w:tc>
        <w:tc>
          <w:tcPr>
            <w:tcW w:w="6123" w:type="dxa"/>
            <w:gridSpan w:val="5"/>
            <w:hideMark/>
          </w:tcPr>
          <w:p w14:paraId="627DEA55"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Value</w:t>
            </w:r>
          </w:p>
        </w:tc>
      </w:tr>
      <w:tr w:rsidR="009A5BD0" w:rsidRPr="009A5BD0" w14:paraId="2A57C031" w14:textId="77777777" w:rsidTr="009A5BD0">
        <w:trPr>
          <w:trHeight w:val="225"/>
        </w:trPr>
        <w:tc>
          <w:tcPr>
            <w:tcW w:w="0" w:type="auto"/>
            <w:hideMark/>
          </w:tcPr>
          <w:p w14:paraId="24616DF6" w14:textId="77777777" w:rsidR="0066115F" w:rsidRPr="008C54DA" w:rsidRDefault="0066115F" w:rsidP="0066115F">
            <w:pPr>
              <w:rPr>
                <w:rFonts w:ascii="Arial" w:hAnsi="Arial" w:cs="Arial"/>
                <w:sz w:val="20"/>
                <w:szCs w:val="24"/>
              </w:rPr>
            </w:pPr>
            <w:r w:rsidRPr="008C54DA">
              <w:rPr>
                <w:rFonts w:ascii="Arial" w:hAnsi="Arial" w:cs="Arial"/>
                <w:sz w:val="20"/>
                <w:szCs w:val="24"/>
              </w:rPr>
              <w:t>R</w:t>
            </w:r>
          </w:p>
        </w:tc>
        <w:tc>
          <w:tcPr>
            <w:tcW w:w="6123" w:type="dxa"/>
            <w:gridSpan w:val="5"/>
            <w:hideMark/>
          </w:tcPr>
          <w:p w14:paraId="48C435FB" w14:textId="77777777" w:rsidR="0066115F" w:rsidRPr="008C54DA" w:rsidRDefault="0066115F" w:rsidP="0066115F">
            <w:pPr>
              <w:rPr>
                <w:rFonts w:ascii="Arial" w:hAnsi="Arial" w:cs="Arial"/>
                <w:sz w:val="20"/>
                <w:szCs w:val="24"/>
              </w:rPr>
            </w:pPr>
            <w:r w:rsidRPr="008C54DA">
              <w:rPr>
                <w:rFonts w:ascii="Arial" w:hAnsi="Arial" w:cs="Arial"/>
                <w:sz w:val="20"/>
                <w:szCs w:val="24"/>
              </w:rPr>
              <w:t>0.478</w:t>
            </w:r>
          </w:p>
        </w:tc>
      </w:tr>
      <w:tr w:rsidR="009A5BD0" w:rsidRPr="009A5BD0" w14:paraId="0E18A9D2" w14:textId="77777777" w:rsidTr="009A5BD0">
        <w:trPr>
          <w:trHeight w:val="225"/>
        </w:trPr>
        <w:tc>
          <w:tcPr>
            <w:tcW w:w="0" w:type="auto"/>
            <w:hideMark/>
          </w:tcPr>
          <w:p w14:paraId="0374E1C2" w14:textId="77777777" w:rsidR="0066115F" w:rsidRPr="008C54DA" w:rsidRDefault="0066115F" w:rsidP="0066115F">
            <w:pPr>
              <w:rPr>
                <w:rFonts w:ascii="Arial" w:hAnsi="Arial" w:cs="Arial"/>
                <w:sz w:val="20"/>
                <w:szCs w:val="24"/>
              </w:rPr>
            </w:pPr>
            <w:r w:rsidRPr="008C54DA">
              <w:rPr>
                <w:rFonts w:ascii="Arial" w:hAnsi="Arial" w:cs="Arial"/>
                <w:sz w:val="20"/>
                <w:szCs w:val="24"/>
              </w:rPr>
              <w:t>R²</w:t>
            </w:r>
          </w:p>
        </w:tc>
        <w:tc>
          <w:tcPr>
            <w:tcW w:w="6123" w:type="dxa"/>
            <w:gridSpan w:val="5"/>
            <w:hideMark/>
          </w:tcPr>
          <w:p w14:paraId="36058DAB" w14:textId="77777777" w:rsidR="0066115F" w:rsidRPr="008C54DA" w:rsidRDefault="0066115F" w:rsidP="0066115F">
            <w:pPr>
              <w:rPr>
                <w:rFonts w:ascii="Arial" w:hAnsi="Arial" w:cs="Arial"/>
                <w:sz w:val="20"/>
                <w:szCs w:val="24"/>
              </w:rPr>
            </w:pPr>
            <w:r w:rsidRPr="008C54DA">
              <w:rPr>
                <w:rFonts w:ascii="Arial" w:hAnsi="Arial" w:cs="Arial"/>
                <w:sz w:val="20"/>
                <w:szCs w:val="24"/>
              </w:rPr>
              <w:t>0.445</w:t>
            </w:r>
          </w:p>
        </w:tc>
      </w:tr>
      <w:tr w:rsidR="009A5BD0" w:rsidRPr="009A5BD0" w14:paraId="5EDCB1AA" w14:textId="77777777" w:rsidTr="009A5BD0">
        <w:trPr>
          <w:trHeight w:val="225"/>
        </w:trPr>
        <w:tc>
          <w:tcPr>
            <w:tcW w:w="0" w:type="auto"/>
            <w:hideMark/>
          </w:tcPr>
          <w:p w14:paraId="6337A8D1" w14:textId="77777777" w:rsidR="0066115F" w:rsidRPr="008C54DA" w:rsidRDefault="0066115F" w:rsidP="0066115F">
            <w:pPr>
              <w:rPr>
                <w:rFonts w:ascii="Arial" w:hAnsi="Arial" w:cs="Arial"/>
                <w:sz w:val="20"/>
                <w:szCs w:val="24"/>
              </w:rPr>
            </w:pPr>
            <w:r w:rsidRPr="008C54DA">
              <w:rPr>
                <w:rFonts w:ascii="Arial" w:hAnsi="Arial" w:cs="Arial"/>
                <w:sz w:val="20"/>
                <w:szCs w:val="24"/>
              </w:rPr>
              <w:t>F-statistic</w:t>
            </w:r>
          </w:p>
        </w:tc>
        <w:tc>
          <w:tcPr>
            <w:tcW w:w="6123" w:type="dxa"/>
            <w:gridSpan w:val="5"/>
            <w:hideMark/>
          </w:tcPr>
          <w:p w14:paraId="6954375C" w14:textId="77777777" w:rsidR="0066115F" w:rsidRPr="008C54DA" w:rsidRDefault="0066115F" w:rsidP="0066115F">
            <w:pPr>
              <w:rPr>
                <w:rFonts w:ascii="Arial" w:hAnsi="Arial" w:cs="Arial"/>
                <w:sz w:val="20"/>
                <w:szCs w:val="24"/>
              </w:rPr>
            </w:pPr>
            <w:r w:rsidRPr="008C54DA">
              <w:rPr>
                <w:rFonts w:ascii="Arial" w:hAnsi="Arial" w:cs="Arial"/>
                <w:sz w:val="20"/>
                <w:szCs w:val="24"/>
              </w:rPr>
              <w:t>F (4, 64) = 14.656</w:t>
            </w:r>
          </w:p>
        </w:tc>
      </w:tr>
      <w:tr w:rsidR="009A5BD0" w:rsidRPr="009A5BD0" w14:paraId="778ECF6C" w14:textId="77777777" w:rsidTr="009A5BD0">
        <w:trPr>
          <w:trHeight w:val="450"/>
        </w:trPr>
        <w:tc>
          <w:tcPr>
            <w:tcW w:w="0" w:type="auto"/>
            <w:hideMark/>
          </w:tcPr>
          <w:p w14:paraId="5398C084" w14:textId="77777777" w:rsidR="0066115F" w:rsidRPr="008C54DA" w:rsidRDefault="0066115F" w:rsidP="0066115F">
            <w:pPr>
              <w:rPr>
                <w:rFonts w:ascii="Arial" w:hAnsi="Arial" w:cs="Arial"/>
                <w:sz w:val="20"/>
                <w:szCs w:val="24"/>
              </w:rPr>
            </w:pPr>
            <w:r w:rsidRPr="008C54DA">
              <w:rPr>
                <w:rFonts w:ascii="Arial" w:hAnsi="Arial" w:cs="Arial"/>
                <w:sz w:val="20"/>
                <w:szCs w:val="24"/>
              </w:rPr>
              <w:t>Model Significance</w:t>
            </w:r>
          </w:p>
        </w:tc>
        <w:tc>
          <w:tcPr>
            <w:tcW w:w="6123" w:type="dxa"/>
            <w:gridSpan w:val="5"/>
            <w:hideMark/>
          </w:tcPr>
          <w:p w14:paraId="261E682A" w14:textId="77777777" w:rsidR="0066115F" w:rsidRPr="008C54DA" w:rsidRDefault="0066115F" w:rsidP="0066115F">
            <w:pPr>
              <w:rPr>
                <w:rFonts w:ascii="Arial" w:hAnsi="Arial" w:cs="Arial"/>
                <w:sz w:val="20"/>
                <w:szCs w:val="24"/>
              </w:rPr>
            </w:pPr>
            <w:r w:rsidRPr="008C54DA">
              <w:rPr>
                <w:rFonts w:ascii="Arial" w:hAnsi="Arial" w:cs="Arial"/>
                <w:sz w:val="20"/>
                <w:szCs w:val="24"/>
              </w:rPr>
              <w:t>p &lt; 0.001</w:t>
            </w:r>
          </w:p>
        </w:tc>
      </w:tr>
      <w:tr w:rsidR="0066115F" w:rsidRPr="009A5BD0" w14:paraId="6D4C004B" w14:textId="77777777" w:rsidTr="008C54DA">
        <w:trPr>
          <w:trHeight w:val="690"/>
        </w:trPr>
        <w:tc>
          <w:tcPr>
            <w:tcW w:w="0" w:type="auto"/>
            <w:hideMark/>
          </w:tcPr>
          <w:p w14:paraId="3E976028"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Work-Related Factor</w:t>
            </w:r>
          </w:p>
        </w:tc>
        <w:tc>
          <w:tcPr>
            <w:tcW w:w="0" w:type="auto"/>
            <w:hideMark/>
          </w:tcPr>
          <w:p w14:paraId="5050C662"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β (Beta Coefficient)</w:t>
            </w:r>
          </w:p>
        </w:tc>
        <w:tc>
          <w:tcPr>
            <w:tcW w:w="0" w:type="auto"/>
            <w:hideMark/>
          </w:tcPr>
          <w:p w14:paraId="45D76E00"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Standard Error (SE)</w:t>
            </w:r>
          </w:p>
        </w:tc>
        <w:tc>
          <w:tcPr>
            <w:tcW w:w="0" w:type="auto"/>
            <w:hideMark/>
          </w:tcPr>
          <w:p w14:paraId="74A3CC04"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Odds Ratio (OR)</w:t>
            </w:r>
          </w:p>
        </w:tc>
        <w:tc>
          <w:tcPr>
            <w:tcW w:w="0" w:type="auto"/>
            <w:hideMark/>
          </w:tcPr>
          <w:p w14:paraId="4AD6A35F"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Range</w:t>
            </w:r>
          </w:p>
        </w:tc>
        <w:tc>
          <w:tcPr>
            <w:tcW w:w="0" w:type="auto"/>
            <w:hideMark/>
          </w:tcPr>
          <w:p w14:paraId="27465F56"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p-value</w:t>
            </w:r>
          </w:p>
        </w:tc>
      </w:tr>
      <w:tr w:rsidR="0066115F" w:rsidRPr="009A5BD0" w14:paraId="214766E5" w14:textId="77777777" w:rsidTr="008C54DA">
        <w:trPr>
          <w:trHeight w:val="450"/>
        </w:trPr>
        <w:tc>
          <w:tcPr>
            <w:tcW w:w="0" w:type="auto"/>
            <w:hideMark/>
          </w:tcPr>
          <w:p w14:paraId="17B43F06" w14:textId="77777777" w:rsidR="0066115F" w:rsidRPr="008C54DA" w:rsidRDefault="0066115F" w:rsidP="0066115F">
            <w:pPr>
              <w:rPr>
                <w:rFonts w:ascii="Arial" w:hAnsi="Arial" w:cs="Arial"/>
                <w:sz w:val="20"/>
                <w:szCs w:val="24"/>
              </w:rPr>
            </w:pPr>
            <w:r w:rsidRPr="008C54DA">
              <w:rPr>
                <w:rFonts w:ascii="Arial" w:hAnsi="Arial" w:cs="Arial"/>
                <w:sz w:val="20"/>
                <w:szCs w:val="24"/>
              </w:rPr>
              <w:t>Overall Comfort &amp; Functionality</w:t>
            </w:r>
          </w:p>
        </w:tc>
        <w:tc>
          <w:tcPr>
            <w:tcW w:w="0" w:type="auto"/>
            <w:hideMark/>
          </w:tcPr>
          <w:p w14:paraId="78E293BB" w14:textId="77777777" w:rsidR="0066115F" w:rsidRPr="008C54DA" w:rsidRDefault="0066115F" w:rsidP="0066115F">
            <w:pPr>
              <w:rPr>
                <w:rFonts w:ascii="Arial" w:hAnsi="Arial" w:cs="Arial"/>
                <w:sz w:val="20"/>
                <w:szCs w:val="24"/>
              </w:rPr>
            </w:pPr>
            <w:r w:rsidRPr="008C54DA">
              <w:rPr>
                <w:rFonts w:ascii="Arial" w:hAnsi="Arial" w:cs="Arial"/>
                <w:sz w:val="20"/>
                <w:szCs w:val="24"/>
              </w:rPr>
              <w:t>-11.248</w:t>
            </w:r>
          </w:p>
        </w:tc>
        <w:tc>
          <w:tcPr>
            <w:tcW w:w="0" w:type="auto"/>
            <w:hideMark/>
          </w:tcPr>
          <w:p w14:paraId="274A62DF" w14:textId="77777777" w:rsidR="0066115F" w:rsidRPr="008C54DA" w:rsidRDefault="0066115F" w:rsidP="0066115F">
            <w:pPr>
              <w:rPr>
                <w:rFonts w:ascii="Arial" w:hAnsi="Arial" w:cs="Arial"/>
                <w:sz w:val="20"/>
                <w:szCs w:val="24"/>
              </w:rPr>
            </w:pPr>
            <w:r w:rsidRPr="008C54DA">
              <w:rPr>
                <w:rFonts w:ascii="Arial" w:hAnsi="Arial" w:cs="Arial"/>
                <w:sz w:val="20"/>
                <w:szCs w:val="24"/>
              </w:rPr>
              <w:t>2.94</w:t>
            </w:r>
          </w:p>
        </w:tc>
        <w:tc>
          <w:tcPr>
            <w:tcW w:w="0" w:type="auto"/>
            <w:hideMark/>
          </w:tcPr>
          <w:p w14:paraId="6BBFDB40" w14:textId="77777777" w:rsidR="0066115F" w:rsidRPr="008C54DA" w:rsidRDefault="0066115F" w:rsidP="0066115F">
            <w:pPr>
              <w:rPr>
                <w:rFonts w:ascii="Arial" w:hAnsi="Arial" w:cs="Arial"/>
                <w:sz w:val="20"/>
                <w:szCs w:val="24"/>
              </w:rPr>
            </w:pPr>
            <w:r w:rsidRPr="008C54DA">
              <w:rPr>
                <w:rFonts w:ascii="Arial" w:hAnsi="Arial" w:cs="Arial"/>
                <w:sz w:val="20"/>
                <w:szCs w:val="24"/>
              </w:rPr>
              <w:t>0.33</w:t>
            </w:r>
          </w:p>
        </w:tc>
        <w:tc>
          <w:tcPr>
            <w:tcW w:w="0" w:type="auto"/>
            <w:hideMark/>
          </w:tcPr>
          <w:p w14:paraId="3A4B2913" w14:textId="77777777" w:rsidR="0066115F" w:rsidRPr="008C54DA" w:rsidRDefault="0066115F" w:rsidP="0066115F">
            <w:pPr>
              <w:rPr>
                <w:rFonts w:ascii="Arial" w:hAnsi="Arial" w:cs="Arial"/>
                <w:sz w:val="20"/>
                <w:szCs w:val="24"/>
              </w:rPr>
            </w:pPr>
            <w:r w:rsidRPr="008C54DA">
              <w:rPr>
                <w:rFonts w:ascii="Arial" w:hAnsi="Arial" w:cs="Arial"/>
                <w:sz w:val="20"/>
                <w:szCs w:val="24"/>
              </w:rPr>
              <w:t>-18.9 to -3.6</w:t>
            </w:r>
          </w:p>
        </w:tc>
        <w:tc>
          <w:tcPr>
            <w:tcW w:w="0" w:type="auto"/>
            <w:hideMark/>
          </w:tcPr>
          <w:p w14:paraId="70739D6F" w14:textId="77777777" w:rsidR="0066115F" w:rsidRPr="008C54DA" w:rsidRDefault="0066115F" w:rsidP="0066115F">
            <w:pPr>
              <w:rPr>
                <w:rFonts w:ascii="Arial" w:hAnsi="Arial" w:cs="Arial"/>
                <w:sz w:val="20"/>
                <w:szCs w:val="24"/>
              </w:rPr>
            </w:pPr>
          </w:p>
        </w:tc>
      </w:tr>
      <w:tr w:rsidR="0066115F" w:rsidRPr="009A5BD0" w14:paraId="73DE19D3" w14:textId="77777777" w:rsidTr="008C54DA">
        <w:trPr>
          <w:trHeight w:val="465"/>
        </w:trPr>
        <w:tc>
          <w:tcPr>
            <w:tcW w:w="0" w:type="auto"/>
            <w:hideMark/>
          </w:tcPr>
          <w:p w14:paraId="4B433176" w14:textId="77777777" w:rsidR="0066115F" w:rsidRPr="008C54DA" w:rsidRDefault="0066115F" w:rsidP="0066115F">
            <w:pPr>
              <w:rPr>
                <w:rFonts w:ascii="Arial" w:hAnsi="Arial" w:cs="Arial"/>
                <w:sz w:val="20"/>
                <w:szCs w:val="24"/>
              </w:rPr>
            </w:pPr>
            <w:r w:rsidRPr="008C54DA">
              <w:rPr>
                <w:rFonts w:ascii="Arial" w:hAnsi="Arial" w:cs="Arial"/>
                <w:sz w:val="20"/>
                <w:szCs w:val="24"/>
              </w:rPr>
              <w:t>Decision-Making Process</w:t>
            </w:r>
          </w:p>
        </w:tc>
        <w:tc>
          <w:tcPr>
            <w:tcW w:w="0" w:type="auto"/>
            <w:hideMark/>
          </w:tcPr>
          <w:p w14:paraId="6BCD66A3" w14:textId="77777777" w:rsidR="0066115F" w:rsidRPr="008C54DA" w:rsidRDefault="0066115F" w:rsidP="0066115F">
            <w:pPr>
              <w:rPr>
                <w:rFonts w:ascii="Arial" w:hAnsi="Arial" w:cs="Arial"/>
                <w:sz w:val="20"/>
                <w:szCs w:val="24"/>
              </w:rPr>
            </w:pPr>
            <w:r w:rsidRPr="008C54DA">
              <w:rPr>
                <w:rFonts w:ascii="Arial" w:hAnsi="Arial" w:cs="Arial"/>
                <w:sz w:val="20"/>
                <w:szCs w:val="24"/>
              </w:rPr>
              <w:t>-7.471</w:t>
            </w:r>
          </w:p>
        </w:tc>
        <w:tc>
          <w:tcPr>
            <w:tcW w:w="0" w:type="auto"/>
            <w:hideMark/>
          </w:tcPr>
          <w:p w14:paraId="41E77533" w14:textId="77777777" w:rsidR="0066115F" w:rsidRPr="008C54DA" w:rsidRDefault="0066115F" w:rsidP="0066115F">
            <w:pPr>
              <w:rPr>
                <w:rFonts w:ascii="Arial" w:hAnsi="Arial" w:cs="Arial"/>
                <w:sz w:val="20"/>
                <w:szCs w:val="24"/>
              </w:rPr>
            </w:pPr>
            <w:r w:rsidRPr="008C54DA">
              <w:rPr>
                <w:rFonts w:ascii="Arial" w:hAnsi="Arial" w:cs="Arial"/>
                <w:sz w:val="20"/>
                <w:szCs w:val="24"/>
              </w:rPr>
              <w:t>2.65</w:t>
            </w:r>
          </w:p>
        </w:tc>
        <w:tc>
          <w:tcPr>
            <w:tcW w:w="0" w:type="auto"/>
            <w:hideMark/>
          </w:tcPr>
          <w:p w14:paraId="6787F446" w14:textId="77777777" w:rsidR="0066115F" w:rsidRPr="008C54DA" w:rsidRDefault="0066115F" w:rsidP="0066115F">
            <w:pPr>
              <w:rPr>
                <w:rFonts w:ascii="Arial" w:hAnsi="Arial" w:cs="Arial"/>
                <w:sz w:val="20"/>
                <w:szCs w:val="24"/>
              </w:rPr>
            </w:pPr>
            <w:r w:rsidRPr="008C54DA">
              <w:rPr>
                <w:rFonts w:ascii="Arial" w:hAnsi="Arial" w:cs="Arial"/>
                <w:sz w:val="20"/>
                <w:szCs w:val="24"/>
              </w:rPr>
              <w:t>0.47</w:t>
            </w:r>
          </w:p>
        </w:tc>
        <w:tc>
          <w:tcPr>
            <w:tcW w:w="0" w:type="auto"/>
            <w:hideMark/>
          </w:tcPr>
          <w:p w14:paraId="65B31DF5" w14:textId="77777777" w:rsidR="0066115F" w:rsidRPr="008C54DA" w:rsidRDefault="0066115F" w:rsidP="0066115F">
            <w:pPr>
              <w:rPr>
                <w:rFonts w:ascii="Arial" w:hAnsi="Arial" w:cs="Arial"/>
                <w:sz w:val="20"/>
                <w:szCs w:val="24"/>
              </w:rPr>
            </w:pPr>
            <w:r w:rsidRPr="008C54DA">
              <w:rPr>
                <w:rFonts w:ascii="Arial" w:hAnsi="Arial" w:cs="Arial"/>
                <w:sz w:val="20"/>
                <w:szCs w:val="24"/>
              </w:rPr>
              <w:t>-12.6 to -2.3</w:t>
            </w:r>
          </w:p>
        </w:tc>
        <w:tc>
          <w:tcPr>
            <w:tcW w:w="0" w:type="auto"/>
            <w:hideMark/>
          </w:tcPr>
          <w:p w14:paraId="23913BDD" w14:textId="77777777" w:rsidR="0066115F" w:rsidRPr="008C54DA" w:rsidRDefault="0066115F" w:rsidP="0066115F">
            <w:pPr>
              <w:rPr>
                <w:rFonts w:ascii="Arial" w:hAnsi="Arial" w:cs="Arial"/>
                <w:sz w:val="20"/>
                <w:szCs w:val="24"/>
              </w:rPr>
            </w:pPr>
            <w:r w:rsidRPr="008C54DA">
              <w:rPr>
                <w:rFonts w:ascii="Arial" w:hAnsi="Arial" w:cs="Arial"/>
                <w:sz w:val="20"/>
                <w:szCs w:val="24"/>
              </w:rPr>
              <w:t>0.007</w:t>
            </w:r>
          </w:p>
        </w:tc>
      </w:tr>
      <w:tr w:rsidR="0066115F" w:rsidRPr="009A5BD0" w14:paraId="6A284586" w14:textId="77777777" w:rsidTr="00F7364C">
        <w:trPr>
          <w:trHeight w:val="593"/>
        </w:trPr>
        <w:tc>
          <w:tcPr>
            <w:tcW w:w="0" w:type="auto"/>
            <w:hideMark/>
          </w:tcPr>
          <w:p w14:paraId="2A91B8E0" w14:textId="77777777" w:rsidR="0066115F" w:rsidRPr="008C54DA" w:rsidRDefault="0066115F" w:rsidP="0066115F">
            <w:pPr>
              <w:rPr>
                <w:rFonts w:ascii="Arial" w:hAnsi="Arial" w:cs="Arial"/>
                <w:sz w:val="20"/>
                <w:szCs w:val="24"/>
              </w:rPr>
            </w:pPr>
            <w:r w:rsidRPr="008C54DA">
              <w:rPr>
                <w:rFonts w:ascii="Arial" w:hAnsi="Arial" w:cs="Arial"/>
                <w:sz w:val="20"/>
                <w:szCs w:val="24"/>
              </w:rPr>
              <w:t>Other Factors (workload, support, culture, coping)</w:t>
            </w:r>
          </w:p>
        </w:tc>
        <w:tc>
          <w:tcPr>
            <w:tcW w:w="0" w:type="auto"/>
            <w:hideMark/>
          </w:tcPr>
          <w:p w14:paraId="336E41B7" w14:textId="77777777" w:rsidR="0066115F" w:rsidRPr="008C54DA" w:rsidRDefault="0066115F" w:rsidP="0066115F">
            <w:pPr>
              <w:rPr>
                <w:rFonts w:ascii="Arial" w:hAnsi="Arial" w:cs="Arial"/>
                <w:sz w:val="20"/>
                <w:szCs w:val="24"/>
              </w:rPr>
            </w:pPr>
            <w:r w:rsidRPr="008C54DA">
              <w:rPr>
                <w:rFonts w:ascii="Arial" w:hAnsi="Arial" w:cs="Arial"/>
                <w:sz w:val="20"/>
                <w:szCs w:val="24"/>
              </w:rPr>
              <w:t>–</w:t>
            </w:r>
          </w:p>
        </w:tc>
        <w:tc>
          <w:tcPr>
            <w:tcW w:w="0" w:type="auto"/>
            <w:hideMark/>
          </w:tcPr>
          <w:p w14:paraId="27DBE93E" w14:textId="77777777" w:rsidR="0066115F" w:rsidRPr="008C54DA" w:rsidRDefault="0066115F" w:rsidP="0066115F">
            <w:pPr>
              <w:rPr>
                <w:rFonts w:ascii="Arial" w:hAnsi="Arial" w:cs="Arial"/>
                <w:sz w:val="20"/>
                <w:szCs w:val="24"/>
              </w:rPr>
            </w:pPr>
            <w:r w:rsidRPr="008C54DA">
              <w:rPr>
                <w:rFonts w:ascii="Arial" w:hAnsi="Arial" w:cs="Arial"/>
                <w:sz w:val="20"/>
                <w:szCs w:val="24"/>
              </w:rPr>
              <w:t>–</w:t>
            </w:r>
          </w:p>
        </w:tc>
        <w:tc>
          <w:tcPr>
            <w:tcW w:w="0" w:type="auto"/>
            <w:hideMark/>
          </w:tcPr>
          <w:p w14:paraId="3A8FA83F" w14:textId="77777777" w:rsidR="0066115F" w:rsidRPr="008C54DA" w:rsidRDefault="0066115F" w:rsidP="0066115F">
            <w:pPr>
              <w:rPr>
                <w:rFonts w:ascii="Arial" w:hAnsi="Arial" w:cs="Arial"/>
                <w:sz w:val="20"/>
                <w:szCs w:val="24"/>
              </w:rPr>
            </w:pPr>
            <w:r w:rsidRPr="008C54DA">
              <w:rPr>
                <w:rFonts w:ascii="Arial" w:hAnsi="Arial" w:cs="Arial"/>
                <w:sz w:val="20"/>
                <w:szCs w:val="24"/>
              </w:rPr>
              <w:t>–</w:t>
            </w:r>
          </w:p>
        </w:tc>
        <w:tc>
          <w:tcPr>
            <w:tcW w:w="0" w:type="auto"/>
            <w:hideMark/>
          </w:tcPr>
          <w:p w14:paraId="34363F9F" w14:textId="77777777" w:rsidR="0066115F" w:rsidRPr="008C54DA" w:rsidRDefault="0066115F" w:rsidP="0066115F">
            <w:pPr>
              <w:rPr>
                <w:rFonts w:ascii="Arial" w:hAnsi="Arial" w:cs="Arial"/>
                <w:sz w:val="20"/>
                <w:szCs w:val="24"/>
              </w:rPr>
            </w:pPr>
            <w:r w:rsidRPr="008C54DA">
              <w:rPr>
                <w:rFonts w:ascii="Arial" w:hAnsi="Arial" w:cs="Arial"/>
                <w:sz w:val="20"/>
                <w:szCs w:val="24"/>
              </w:rPr>
              <w:t>–</w:t>
            </w:r>
          </w:p>
        </w:tc>
        <w:tc>
          <w:tcPr>
            <w:tcW w:w="0" w:type="auto"/>
            <w:hideMark/>
          </w:tcPr>
          <w:p w14:paraId="20337C39" w14:textId="77777777" w:rsidR="0066115F" w:rsidRPr="008C54DA" w:rsidRDefault="0066115F" w:rsidP="0066115F">
            <w:pPr>
              <w:rPr>
                <w:rFonts w:ascii="Arial" w:hAnsi="Arial" w:cs="Arial"/>
                <w:sz w:val="20"/>
                <w:szCs w:val="24"/>
              </w:rPr>
            </w:pPr>
            <w:r w:rsidRPr="008C54DA">
              <w:rPr>
                <w:rFonts w:ascii="Arial" w:hAnsi="Arial" w:cs="Arial"/>
                <w:sz w:val="20"/>
                <w:szCs w:val="24"/>
              </w:rPr>
              <w:t>&gt; 0.05</w:t>
            </w:r>
          </w:p>
        </w:tc>
      </w:tr>
    </w:tbl>
    <w:p w14:paraId="4C80A94D" w14:textId="77777777" w:rsidR="0066115F" w:rsidRPr="000C58A7" w:rsidRDefault="0066115F" w:rsidP="000C58A7">
      <w:pPr>
        <w:tabs>
          <w:tab w:val="left" w:pos="555"/>
        </w:tabs>
        <w:spacing w:line="228" w:lineRule="exact"/>
        <w:rPr>
          <w:rFonts w:ascii="Arial" w:hAnsi="Arial" w:cs="Arial"/>
        </w:rPr>
      </w:pPr>
    </w:p>
    <w:p w14:paraId="6E780054" w14:textId="620B0121" w:rsidR="000C58A7" w:rsidRDefault="000C58A7" w:rsidP="0054084E">
      <w:pPr>
        <w:tabs>
          <w:tab w:val="left" w:pos="555"/>
        </w:tabs>
        <w:spacing w:line="228" w:lineRule="exact"/>
        <w:jc w:val="both"/>
        <w:rPr>
          <w:rFonts w:ascii="Arial" w:hAnsi="Arial" w:cs="Arial"/>
        </w:rPr>
      </w:pPr>
      <w:r w:rsidRPr="000C58A7">
        <w:rPr>
          <w:rFonts w:ascii="Arial" w:hAnsi="Arial" w:cs="Arial"/>
        </w:rPr>
        <w:lastRenderedPageBreak/>
        <w:t xml:space="preserve">The relationship between work-related factors and burnout syndrome </w:t>
      </w:r>
      <w:r w:rsidR="009A5BD0">
        <w:rPr>
          <w:rFonts w:ascii="Arial" w:hAnsi="Arial" w:cs="Arial"/>
        </w:rPr>
        <w:t xml:space="preserve">presented in </w:t>
      </w:r>
      <w:r w:rsidR="009A5BD0" w:rsidRPr="00F7364C">
        <w:rPr>
          <w:rFonts w:ascii="Arial" w:hAnsi="Arial" w:cs="Arial"/>
          <w:b/>
        </w:rPr>
        <w:t>Table 4</w:t>
      </w:r>
      <w:r w:rsidR="009A5BD0">
        <w:rPr>
          <w:rFonts w:ascii="Arial" w:hAnsi="Arial" w:cs="Arial"/>
        </w:rPr>
        <w:t xml:space="preserve"> </w:t>
      </w:r>
      <w:r w:rsidRPr="000C58A7">
        <w:rPr>
          <w:rFonts w:ascii="Arial" w:hAnsi="Arial" w:cs="Arial"/>
        </w:rPr>
        <w:t xml:space="preserve">has been a topic of interest in various studies, with the findings of this study indicating a weak model fit. </w:t>
      </w:r>
      <w:r w:rsidR="007867B2">
        <w:t>Workload has consistently been linked to higher levels of fatigue and burnout symptoms among healthcare practitioners, indicating a strong association between excessive demands and psychological strain.</w:t>
      </w:r>
      <w:r w:rsidR="00F7364C">
        <w:t xml:space="preserve"> </w:t>
      </w:r>
      <w:r w:rsidRPr="000C58A7">
        <w:rPr>
          <w:rFonts w:ascii="Arial" w:hAnsi="Arial" w:cs="Arial"/>
        </w:rPr>
        <w:t>While the results indicated that approximately 44.5% of the variance in burnout syndromes could be explained by the model (R = 0.478, R2 = 0.445), the overall significance of the model was confirmed by ANOVA (F (4, 64) = 14.656, p &lt; 0.001). Notably, the study identified overall comfort and functionality (β = -11.248, p &lt; .001) and the decision-making process (β = -7.471, p = 0.007) as work-related factors with significant negative effects on burnout. This suggests that improvements in workplace comfort, functionality, and empowering employees in the decision-making process could significantly reduce burnout levels. To understand the broader implications of these findings, it's crucial to compare them with other studies published within the last decade examining the influence of similar work-related factors on burnout.</w:t>
      </w:r>
    </w:p>
    <w:p w14:paraId="2C995902" w14:textId="77777777" w:rsidR="004A308B" w:rsidRPr="000C58A7" w:rsidRDefault="004A308B" w:rsidP="0054084E">
      <w:pPr>
        <w:tabs>
          <w:tab w:val="left" w:pos="555"/>
        </w:tabs>
        <w:spacing w:line="228" w:lineRule="exact"/>
        <w:jc w:val="both"/>
        <w:rPr>
          <w:rFonts w:ascii="Arial" w:hAnsi="Arial" w:cs="Arial"/>
        </w:rPr>
      </w:pPr>
    </w:p>
    <w:p w14:paraId="3013610E" w14:textId="77777777" w:rsidR="000C58A7" w:rsidRPr="000C58A7" w:rsidRDefault="000C58A7" w:rsidP="0054084E">
      <w:pPr>
        <w:tabs>
          <w:tab w:val="left" w:pos="555"/>
        </w:tabs>
        <w:spacing w:line="228" w:lineRule="exact"/>
        <w:jc w:val="both"/>
        <w:rPr>
          <w:rFonts w:ascii="Arial" w:hAnsi="Arial" w:cs="Arial"/>
        </w:rPr>
      </w:pPr>
      <w:r w:rsidRPr="000C58A7">
        <w:rPr>
          <w:rFonts w:ascii="Arial" w:hAnsi="Arial" w:cs="Arial"/>
        </w:rPr>
        <w:t>While this recent regression analysis reinforces the importance of comfort, functionality, and decision-making in addressing burnout, the relatively weak model fit (R2 = 0.445) suggests that other critical factors may also play a significant role. These could include workload, social support, organizational culture, and individual coping mechanisms. Future research should explore these additional factors to develop more comprehensive models for understanding and addressing burnout in the workplace.</w:t>
      </w:r>
    </w:p>
    <w:p w14:paraId="727F24D5" w14:textId="77777777" w:rsidR="000C58A7" w:rsidRPr="000C58A7" w:rsidRDefault="000C58A7" w:rsidP="000C58A7">
      <w:pPr>
        <w:tabs>
          <w:tab w:val="left" w:pos="555"/>
        </w:tabs>
        <w:spacing w:line="228" w:lineRule="exact"/>
        <w:rPr>
          <w:rFonts w:ascii="Arial" w:hAnsi="Arial" w:cs="Arial"/>
        </w:rPr>
      </w:pPr>
    </w:p>
    <w:p w14:paraId="12B4FBEA" w14:textId="6BDD38F9" w:rsidR="000C58A7" w:rsidRPr="0054084E" w:rsidRDefault="001B4C23" w:rsidP="000C58A7">
      <w:pPr>
        <w:tabs>
          <w:tab w:val="left" w:pos="555"/>
        </w:tabs>
        <w:spacing w:line="228" w:lineRule="exact"/>
        <w:rPr>
          <w:rFonts w:ascii="Arial" w:hAnsi="Arial" w:cs="Arial"/>
          <w:b/>
          <w:bCs/>
        </w:rPr>
      </w:pPr>
      <w:r>
        <w:rPr>
          <w:rFonts w:ascii="Arial" w:hAnsi="Arial" w:cs="Arial"/>
          <w:b/>
          <w:bCs/>
        </w:rPr>
        <w:t>4</w:t>
      </w:r>
      <w:r w:rsidR="000C58A7" w:rsidRPr="0054084E">
        <w:rPr>
          <w:rFonts w:ascii="Arial" w:hAnsi="Arial" w:cs="Arial"/>
          <w:b/>
          <w:bCs/>
        </w:rPr>
        <w:t>.</w:t>
      </w:r>
      <w:r w:rsidR="0054084E" w:rsidRPr="0054084E">
        <w:rPr>
          <w:rFonts w:ascii="Arial" w:hAnsi="Arial" w:cs="Arial"/>
          <w:b/>
          <w:bCs/>
        </w:rPr>
        <w:t>6</w:t>
      </w:r>
      <w:r w:rsidR="000C58A7" w:rsidRPr="0054084E">
        <w:rPr>
          <w:rFonts w:ascii="Arial" w:hAnsi="Arial" w:cs="Arial"/>
          <w:b/>
          <w:bCs/>
        </w:rPr>
        <w:t xml:space="preserve"> Organizational/Health System Factors and Burnout Syndrome</w:t>
      </w:r>
    </w:p>
    <w:p w14:paraId="4430EF23" w14:textId="41F74657" w:rsidR="000C58A7" w:rsidRPr="009A5BD0" w:rsidRDefault="000C58A7" w:rsidP="000C58A7">
      <w:pPr>
        <w:tabs>
          <w:tab w:val="left" w:pos="555"/>
        </w:tabs>
        <w:spacing w:line="228" w:lineRule="exact"/>
        <w:rPr>
          <w:rFonts w:ascii="Arial" w:hAnsi="Arial" w:cs="Arial"/>
        </w:rPr>
      </w:pPr>
    </w:p>
    <w:p w14:paraId="46525D82" w14:textId="183DA31D" w:rsidR="009A5BD0" w:rsidRDefault="009A5BD0" w:rsidP="000C58A7">
      <w:pPr>
        <w:tabs>
          <w:tab w:val="left" w:pos="555"/>
        </w:tabs>
        <w:spacing w:line="228" w:lineRule="exact"/>
        <w:rPr>
          <w:rFonts w:ascii="Arial" w:hAnsi="Arial" w:cs="Arial"/>
        </w:rPr>
      </w:pPr>
      <w:r w:rsidRPr="008C54DA">
        <w:rPr>
          <w:rFonts w:ascii="Arial" w:hAnsi="Arial" w:cs="Arial"/>
        </w:rPr>
        <w:t>Table 5: Organizational/Health System Factors and Burnout Syndrome (Regression Analysis)</w:t>
      </w:r>
    </w:p>
    <w:tbl>
      <w:tblPr>
        <w:tblStyle w:val="TableGrid"/>
        <w:tblW w:w="8198" w:type="dxa"/>
        <w:tblLook w:val="04A0" w:firstRow="1" w:lastRow="0" w:firstColumn="1" w:lastColumn="0" w:noHBand="0" w:noVBand="1"/>
      </w:tblPr>
      <w:tblGrid>
        <w:gridCol w:w="3041"/>
        <w:gridCol w:w="1426"/>
        <w:gridCol w:w="1207"/>
        <w:gridCol w:w="818"/>
        <w:gridCol w:w="920"/>
        <w:gridCol w:w="786"/>
      </w:tblGrid>
      <w:tr w:rsidR="009A5BD0" w:rsidRPr="009A5BD0" w14:paraId="66E1AF49" w14:textId="77777777" w:rsidTr="00F7364C">
        <w:trPr>
          <w:trHeight w:val="228"/>
        </w:trPr>
        <w:tc>
          <w:tcPr>
            <w:tcW w:w="3041" w:type="dxa"/>
            <w:hideMark/>
          </w:tcPr>
          <w:p w14:paraId="1032CC34" w14:textId="77777777" w:rsidR="009A5BD0" w:rsidRPr="008C54DA" w:rsidRDefault="009A5BD0" w:rsidP="009A5BD0">
            <w:pPr>
              <w:jc w:val="center"/>
              <w:rPr>
                <w:rFonts w:ascii="Arial" w:hAnsi="Arial" w:cs="Arial"/>
                <w:b/>
                <w:bCs/>
                <w:szCs w:val="24"/>
              </w:rPr>
            </w:pPr>
            <w:r w:rsidRPr="008C54DA">
              <w:rPr>
                <w:rFonts w:ascii="Arial" w:hAnsi="Arial" w:cs="Arial"/>
                <w:b/>
                <w:bCs/>
                <w:szCs w:val="24"/>
              </w:rPr>
              <w:t>Model Statistics</w:t>
            </w:r>
          </w:p>
        </w:tc>
        <w:tc>
          <w:tcPr>
            <w:tcW w:w="5157" w:type="dxa"/>
            <w:gridSpan w:val="5"/>
            <w:hideMark/>
          </w:tcPr>
          <w:p w14:paraId="07D08DEF" w14:textId="77777777" w:rsidR="009A5BD0" w:rsidRPr="008C54DA" w:rsidRDefault="009A5BD0" w:rsidP="009A5BD0">
            <w:pPr>
              <w:jc w:val="center"/>
              <w:rPr>
                <w:rFonts w:ascii="Arial" w:hAnsi="Arial" w:cs="Arial"/>
                <w:b/>
                <w:bCs/>
                <w:szCs w:val="24"/>
              </w:rPr>
            </w:pPr>
            <w:r w:rsidRPr="008C54DA">
              <w:rPr>
                <w:rFonts w:ascii="Arial" w:hAnsi="Arial" w:cs="Arial"/>
                <w:b/>
                <w:bCs/>
                <w:szCs w:val="24"/>
              </w:rPr>
              <w:t>Value</w:t>
            </w:r>
          </w:p>
        </w:tc>
      </w:tr>
      <w:tr w:rsidR="009A5BD0" w:rsidRPr="009A5BD0" w14:paraId="6E328056" w14:textId="77777777" w:rsidTr="00F7364C">
        <w:trPr>
          <w:trHeight w:val="244"/>
        </w:trPr>
        <w:tc>
          <w:tcPr>
            <w:tcW w:w="3041" w:type="dxa"/>
            <w:hideMark/>
          </w:tcPr>
          <w:p w14:paraId="7B0E7CD3" w14:textId="77777777" w:rsidR="009A5BD0" w:rsidRPr="008C54DA" w:rsidRDefault="009A5BD0" w:rsidP="009A5BD0">
            <w:pPr>
              <w:rPr>
                <w:rFonts w:ascii="Arial" w:hAnsi="Arial" w:cs="Arial"/>
                <w:szCs w:val="24"/>
              </w:rPr>
            </w:pPr>
            <w:r w:rsidRPr="008C54DA">
              <w:rPr>
                <w:rFonts w:ascii="Arial" w:hAnsi="Arial" w:cs="Arial"/>
                <w:szCs w:val="24"/>
              </w:rPr>
              <w:t>R</w:t>
            </w:r>
          </w:p>
        </w:tc>
        <w:tc>
          <w:tcPr>
            <w:tcW w:w="5157" w:type="dxa"/>
            <w:gridSpan w:val="5"/>
            <w:hideMark/>
          </w:tcPr>
          <w:p w14:paraId="75D7ADC6" w14:textId="77777777" w:rsidR="009A5BD0" w:rsidRPr="008C54DA" w:rsidRDefault="009A5BD0" w:rsidP="009A5BD0">
            <w:pPr>
              <w:rPr>
                <w:rFonts w:ascii="Arial" w:hAnsi="Arial" w:cs="Arial"/>
                <w:szCs w:val="24"/>
              </w:rPr>
            </w:pPr>
            <w:r w:rsidRPr="008C54DA">
              <w:rPr>
                <w:rFonts w:ascii="Arial" w:hAnsi="Arial" w:cs="Arial"/>
                <w:szCs w:val="24"/>
              </w:rPr>
              <w:t>0.479</w:t>
            </w:r>
          </w:p>
        </w:tc>
      </w:tr>
      <w:tr w:rsidR="009A5BD0" w:rsidRPr="009A5BD0" w14:paraId="6367A20C" w14:textId="77777777" w:rsidTr="00F7364C">
        <w:trPr>
          <w:trHeight w:val="228"/>
        </w:trPr>
        <w:tc>
          <w:tcPr>
            <w:tcW w:w="3041" w:type="dxa"/>
            <w:hideMark/>
          </w:tcPr>
          <w:p w14:paraId="22724361" w14:textId="77777777" w:rsidR="009A5BD0" w:rsidRPr="008C54DA" w:rsidRDefault="009A5BD0" w:rsidP="009A5BD0">
            <w:pPr>
              <w:rPr>
                <w:rFonts w:ascii="Arial" w:hAnsi="Arial" w:cs="Arial"/>
                <w:szCs w:val="24"/>
              </w:rPr>
            </w:pPr>
            <w:r w:rsidRPr="008C54DA">
              <w:rPr>
                <w:rFonts w:ascii="Arial" w:hAnsi="Arial" w:cs="Arial"/>
                <w:szCs w:val="24"/>
              </w:rPr>
              <w:t>R²</w:t>
            </w:r>
          </w:p>
        </w:tc>
        <w:tc>
          <w:tcPr>
            <w:tcW w:w="5157" w:type="dxa"/>
            <w:gridSpan w:val="5"/>
            <w:hideMark/>
          </w:tcPr>
          <w:p w14:paraId="148F9584" w14:textId="77777777" w:rsidR="009A5BD0" w:rsidRPr="008C54DA" w:rsidRDefault="009A5BD0" w:rsidP="009A5BD0">
            <w:pPr>
              <w:rPr>
                <w:rFonts w:ascii="Arial" w:hAnsi="Arial" w:cs="Arial"/>
                <w:szCs w:val="24"/>
              </w:rPr>
            </w:pPr>
            <w:r w:rsidRPr="008C54DA">
              <w:rPr>
                <w:rFonts w:ascii="Arial" w:hAnsi="Arial" w:cs="Arial"/>
                <w:szCs w:val="24"/>
              </w:rPr>
              <w:t>0.461</w:t>
            </w:r>
          </w:p>
        </w:tc>
      </w:tr>
      <w:tr w:rsidR="009A5BD0" w:rsidRPr="009A5BD0" w14:paraId="476EB8F5" w14:textId="77777777" w:rsidTr="00F7364C">
        <w:trPr>
          <w:trHeight w:val="228"/>
        </w:trPr>
        <w:tc>
          <w:tcPr>
            <w:tcW w:w="3041" w:type="dxa"/>
            <w:hideMark/>
          </w:tcPr>
          <w:p w14:paraId="19C08FF0" w14:textId="77777777" w:rsidR="009A5BD0" w:rsidRPr="008C54DA" w:rsidRDefault="009A5BD0" w:rsidP="009A5BD0">
            <w:pPr>
              <w:rPr>
                <w:rFonts w:ascii="Arial" w:hAnsi="Arial" w:cs="Arial"/>
                <w:szCs w:val="24"/>
              </w:rPr>
            </w:pPr>
            <w:r w:rsidRPr="008C54DA">
              <w:rPr>
                <w:rFonts w:ascii="Arial" w:hAnsi="Arial" w:cs="Arial"/>
                <w:szCs w:val="24"/>
              </w:rPr>
              <w:t>Model Significance (ANOVA)</w:t>
            </w:r>
          </w:p>
        </w:tc>
        <w:tc>
          <w:tcPr>
            <w:tcW w:w="5157" w:type="dxa"/>
            <w:gridSpan w:val="5"/>
            <w:hideMark/>
          </w:tcPr>
          <w:p w14:paraId="0B5E9B0B" w14:textId="77777777" w:rsidR="009A5BD0" w:rsidRPr="008C54DA" w:rsidRDefault="009A5BD0" w:rsidP="009A5BD0">
            <w:pPr>
              <w:rPr>
                <w:rFonts w:ascii="Arial" w:hAnsi="Arial" w:cs="Arial"/>
                <w:szCs w:val="24"/>
              </w:rPr>
            </w:pPr>
            <w:r w:rsidRPr="008C54DA">
              <w:rPr>
                <w:rFonts w:ascii="Arial" w:hAnsi="Arial" w:cs="Arial"/>
                <w:szCs w:val="24"/>
              </w:rPr>
              <w:t>F (3, 62) = 15.214, p &lt; 0.001</w:t>
            </w:r>
          </w:p>
        </w:tc>
      </w:tr>
      <w:tr w:rsidR="009A5BD0" w:rsidRPr="009A5BD0" w14:paraId="10D4CE8D" w14:textId="77777777" w:rsidTr="00F7364C">
        <w:trPr>
          <w:trHeight w:val="702"/>
        </w:trPr>
        <w:tc>
          <w:tcPr>
            <w:tcW w:w="3041" w:type="dxa"/>
            <w:hideMark/>
          </w:tcPr>
          <w:p w14:paraId="6C438782" w14:textId="77777777" w:rsidR="009A5BD0" w:rsidRPr="008C54DA" w:rsidRDefault="009A5BD0" w:rsidP="009A5BD0">
            <w:pPr>
              <w:jc w:val="center"/>
              <w:rPr>
                <w:rFonts w:ascii="Arial" w:hAnsi="Arial" w:cs="Arial"/>
                <w:b/>
                <w:bCs/>
                <w:szCs w:val="24"/>
              </w:rPr>
            </w:pPr>
            <w:r w:rsidRPr="008C54DA">
              <w:rPr>
                <w:rFonts w:ascii="Arial" w:hAnsi="Arial" w:cs="Arial"/>
                <w:b/>
                <w:bCs/>
                <w:szCs w:val="24"/>
              </w:rPr>
              <w:t>Organizational Factor</w:t>
            </w:r>
          </w:p>
        </w:tc>
        <w:tc>
          <w:tcPr>
            <w:tcW w:w="1426" w:type="dxa"/>
            <w:hideMark/>
          </w:tcPr>
          <w:p w14:paraId="75B2715F" w14:textId="77777777" w:rsidR="009A5BD0" w:rsidRPr="008C54DA" w:rsidRDefault="009A5BD0" w:rsidP="009A5BD0">
            <w:pPr>
              <w:jc w:val="center"/>
              <w:rPr>
                <w:rFonts w:ascii="Arial" w:hAnsi="Arial" w:cs="Arial"/>
                <w:b/>
                <w:bCs/>
                <w:szCs w:val="24"/>
              </w:rPr>
            </w:pPr>
            <w:r w:rsidRPr="008C54DA">
              <w:rPr>
                <w:rFonts w:ascii="Arial" w:hAnsi="Arial" w:cs="Arial"/>
                <w:b/>
                <w:bCs/>
                <w:szCs w:val="24"/>
              </w:rPr>
              <w:t>β (Beta Coefficient)</w:t>
            </w:r>
          </w:p>
        </w:tc>
        <w:tc>
          <w:tcPr>
            <w:tcW w:w="0" w:type="auto"/>
            <w:hideMark/>
          </w:tcPr>
          <w:p w14:paraId="59B4401F" w14:textId="77777777" w:rsidR="009A5BD0" w:rsidRPr="008C54DA" w:rsidRDefault="009A5BD0" w:rsidP="009A5BD0">
            <w:pPr>
              <w:jc w:val="center"/>
              <w:rPr>
                <w:rFonts w:ascii="Arial" w:hAnsi="Arial" w:cs="Arial"/>
                <w:b/>
                <w:bCs/>
                <w:szCs w:val="24"/>
              </w:rPr>
            </w:pPr>
            <w:r w:rsidRPr="008C54DA">
              <w:rPr>
                <w:rFonts w:ascii="Arial" w:hAnsi="Arial" w:cs="Arial"/>
                <w:b/>
                <w:bCs/>
                <w:szCs w:val="24"/>
              </w:rPr>
              <w:t>Standard Error (SE)</w:t>
            </w:r>
          </w:p>
        </w:tc>
        <w:tc>
          <w:tcPr>
            <w:tcW w:w="0" w:type="auto"/>
            <w:hideMark/>
          </w:tcPr>
          <w:p w14:paraId="730CD3C7" w14:textId="77777777" w:rsidR="009A5BD0" w:rsidRPr="008C54DA" w:rsidRDefault="009A5BD0" w:rsidP="009A5BD0">
            <w:pPr>
              <w:jc w:val="center"/>
              <w:rPr>
                <w:rFonts w:ascii="Arial" w:hAnsi="Arial" w:cs="Arial"/>
                <w:b/>
                <w:bCs/>
                <w:szCs w:val="24"/>
              </w:rPr>
            </w:pPr>
            <w:r w:rsidRPr="008C54DA">
              <w:rPr>
                <w:rFonts w:ascii="Arial" w:hAnsi="Arial" w:cs="Arial"/>
                <w:b/>
                <w:bCs/>
                <w:szCs w:val="24"/>
              </w:rPr>
              <w:t>Odds Ratio (OR)</w:t>
            </w:r>
          </w:p>
        </w:tc>
        <w:tc>
          <w:tcPr>
            <w:tcW w:w="0" w:type="auto"/>
            <w:hideMark/>
          </w:tcPr>
          <w:p w14:paraId="4E25766C" w14:textId="77777777" w:rsidR="009A5BD0" w:rsidRPr="008C54DA" w:rsidRDefault="009A5BD0" w:rsidP="009A5BD0">
            <w:pPr>
              <w:jc w:val="center"/>
              <w:rPr>
                <w:rFonts w:ascii="Arial" w:hAnsi="Arial" w:cs="Arial"/>
                <w:b/>
                <w:bCs/>
                <w:szCs w:val="24"/>
              </w:rPr>
            </w:pPr>
            <w:r w:rsidRPr="008C54DA">
              <w:rPr>
                <w:rFonts w:ascii="Arial" w:hAnsi="Arial" w:cs="Arial"/>
                <w:b/>
                <w:bCs/>
                <w:szCs w:val="24"/>
              </w:rPr>
              <w:t>Range (95% CI)</w:t>
            </w:r>
          </w:p>
        </w:tc>
        <w:tc>
          <w:tcPr>
            <w:tcW w:w="0" w:type="auto"/>
            <w:hideMark/>
          </w:tcPr>
          <w:p w14:paraId="0E3CF444" w14:textId="77777777" w:rsidR="009A5BD0" w:rsidRPr="008C54DA" w:rsidRDefault="009A5BD0" w:rsidP="009A5BD0">
            <w:pPr>
              <w:jc w:val="center"/>
              <w:rPr>
                <w:rFonts w:ascii="Arial" w:hAnsi="Arial" w:cs="Arial"/>
                <w:b/>
                <w:bCs/>
                <w:szCs w:val="24"/>
              </w:rPr>
            </w:pPr>
            <w:r w:rsidRPr="008C54DA">
              <w:rPr>
                <w:rFonts w:ascii="Arial" w:hAnsi="Arial" w:cs="Arial"/>
                <w:b/>
                <w:bCs/>
                <w:szCs w:val="24"/>
              </w:rPr>
              <w:t>p-value</w:t>
            </w:r>
          </w:p>
        </w:tc>
      </w:tr>
      <w:tr w:rsidR="009A5BD0" w:rsidRPr="009A5BD0" w14:paraId="41D69BEA" w14:textId="77777777" w:rsidTr="00F7364C">
        <w:trPr>
          <w:trHeight w:val="473"/>
        </w:trPr>
        <w:tc>
          <w:tcPr>
            <w:tcW w:w="3041" w:type="dxa"/>
            <w:hideMark/>
          </w:tcPr>
          <w:p w14:paraId="4F04BAA8" w14:textId="77777777" w:rsidR="009A5BD0" w:rsidRPr="008C54DA" w:rsidRDefault="009A5BD0" w:rsidP="009A5BD0">
            <w:pPr>
              <w:rPr>
                <w:rFonts w:ascii="Arial" w:hAnsi="Arial" w:cs="Arial"/>
                <w:szCs w:val="24"/>
              </w:rPr>
            </w:pPr>
            <w:r w:rsidRPr="008C54DA">
              <w:rPr>
                <w:rFonts w:ascii="Arial" w:hAnsi="Arial" w:cs="Arial"/>
                <w:szCs w:val="24"/>
              </w:rPr>
              <w:t>Support for Professional Growth</w:t>
            </w:r>
          </w:p>
        </w:tc>
        <w:tc>
          <w:tcPr>
            <w:tcW w:w="1426" w:type="dxa"/>
            <w:hideMark/>
          </w:tcPr>
          <w:p w14:paraId="0379AB28" w14:textId="77777777" w:rsidR="009A5BD0" w:rsidRPr="008C54DA" w:rsidRDefault="009A5BD0" w:rsidP="009A5BD0">
            <w:pPr>
              <w:rPr>
                <w:rFonts w:ascii="Arial" w:hAnsi="Arial" w:cs="Arial"/>
                <w:szCs w:val="24"/>
              </w:rPr>
            </w:pPr>
            <w:r w:rsidRPr="008C54DA">
              <w:rPr>
                <w:rFonts w:ascii="Arial" w:hAnsi="Arial" w:cs="Arial"/>
                <w:szCs w:val="24"/>
              </w:rPr>
              <w:t>-10.562</w:t>
            </w:r>
          </w:p>
        </w:tc>
        <w:tc>
          <w:tcPr>
            <w:tcW w:w="0" w:type="auto"/>
            <w:hideMark/>
          </w:tcPr>
          <w:p w14:paraId="6DA7D520" w14:textId="77777777" w:rsidR="009A5BD0" w:rsidRPr="008C54DA" w:rsidRDefault="009A5BD0" w:rsidP="009A5BD0">
            <w:pPr>
              <w:rPr>
                <w:rFonts w:ascii="Arial" w:hAnsi="Arial" w:cs="Arial"/>
                <w:szCs w:val="24"/>
              </w:rPr>
            </w:pPr>
            <w:r w:rsidRPr="008C54DA">
              <w:rPr>
                <w:rFonts w:ascii="Arial" w:hAnsi="Arial" w:cs="Arial"/>
                <w:szCs w:val="24"/>
              </w:rPr>
              <w:t>3.12</w:t>
            </w:r>
          </w:p>
        </w:tc>
        <w:tc>
          <w:tcPr>
            <w:tcW w:w="0" w:type="auto"/>
            <w:hideMark/>
          </w:tcPr>
          <w:p w14:paraId="5AA82449" w14:textId="77777777" w:rsidR="009A5BD0" w:rsidRPr="008C54DA" w:rsidRDefault="009A5BD0" w:rsidP="009A5BD0">
            <w:pPr>
              <w:rPr>
                <w:rFonts w:ascii="Arial" w:hAnsi="Arial" w:cs="Arial"/>
                <w:szCs w:val="24"/>
              </w:rPr>
            </w:pPr>
            <w:r w:rsidRPr="008C54DA">
              <w:rPr>
                <w:rFonts w:ascii="Arial" w:hAnsi="Arial" w:cs="Arial"/>
                <w:szCs w:val="24"/>
              </w:rPr>
              <w:t>0.34</w:t>
            </w:r>
          </w:p>
        </w:tc>
        <w:tc>
          <w:tcPr>
            <w:tcW w:w="0" w:type="auto"/>
            <w:hideMark/>
          </w:tcPr>
          <w:p w14:paraId="7F84E181" w14:textId="77777777" w:rsidR="009A5BD0" w:rsidRPr="008C54DA" w:rsidRDefault="009A5BD0" w:rsidP="009A5BD0">
            <w:pPr>
              <w:rPr>
                <w:rFonts w:ascii="Arial" w:hAnsi="Arial" w:cs="Arial"/>
                <w:szCs w:val="24"/>
              </w:rPr>
            </w:pPr>
            <w:r w:rsidRPr="008C54DA">
              <w:rPr>
                <w:rFonts w:ascii="Arial" w:hAnsi="Arial" w:cs="Arial"/>
                <w:szCs w:val="24"/>
              </w:rPr>
              <w:t>-16.7 to -4.4</w:t>
            </w:r>
          </w:p>
        </w:tc>
        <w:tc>
          <w:tcPr>
            <w:tcW w:w="0" w:type="auto"/>
            <w:hideMark/>
          </w:tcPr>
          <w:p w14:paraId="27CBFBAA" w14:textId="77777777" w:rsidR="009A5BD0" w:rsidRPr="008C54DA" w:rsidRDefault="009A5BD0" w:rsidP="009A5BD0">
            <w:pPr>
              <w:rPr>
                <w:rFonts w:ascii="Arial" w:hAnsi="Arial" w:cs="Arial"/>
                <w:szCs w:val="24"/>
              </w:rPr>
            </w:pPr>
          </w:p>
        </w:tc>
      </w:tr>
      <w:tr w:rsidR="009A5BD0" w:rsidRPr="009A5BD0" w14:paraId="7C9BE1F8" w14:textId="77777777" w:rsidTr="00F7364C">
        <w:trPr>
          <w:trHeight w:val="473"/>
        </w:trPr>
        <w:tc>
          <w:tcPr>
            <w:tcW w:w="3041" w:type="dxa"/>
            <w:hideMark/>
          </w:tcPr>
          <w:p w14:paraId="6128314E" w14:textId="77777777" w:rsidR="009A5BD0" w:rsidRPr="008C54DA" w:rsidRDefault="009A5BD0" w:rsidP="009A5BD0">
            <w:pPr>
              <w:rPr>
                <w:rFonts w:ascii="Arial" w:hAnsi="Arial" w:cs="Arial"/>
                <w:szCs w:val="24"/>
              </w:rPr>
            </w:pPr>
            <w:r w:rsidRPr="008C54DA">
              <w:rPr>
                <w:rFonts w:ascii="Arial" w:hAnsi="Arial" w:cs="Arial"/>
                <w:szCs w:val="24"/>
              </w:rPr>
              <w:t>Skill Development Opportunities</w:t>
            </w:r>
          </w:p>
        </w:tc>
        <w:tc>
          <w:tcPr>
            <w:tcW w:w="1426" w:type="dxa"/>
            <w:hideMark/>
          </w:tcPr>
          <w:p w14:paraId="5DF85A3F" w14:textId="77777777" w:rsidR="009A5BD0" w:rsidRPr="008C54DA" w:rsidRDefault="009A5BD0" w:rsidP="009A5BD0">
            <w:pPr>
              <w:rPr>
                <w:rFonts w:ascii="Arial" w:hAnsi="Arial" w:cs="Arial"/>
                <w:szCs w:val="24"/>
              </w:rPr>
            </w:pPr>
            <w:r w:rsidRPr="008C54DA">
              <w:rPr>
                <w:rFonts w:ascii="Arial" w:hAnsi="Arial" w:cs="Arial"/>
                <w:szCs w:val="24"/>
              </w:rPr>
              <w:t>-8.237</w:t>
            </w:r>
          </w:p>
        </w:tc>
        <w:tc>
          <w:tcPr>
            <w:tcW w:w="0" w:type="auto"/>
            <w:hideMark/>
          </w:tcPr>
          <w:p w14:paraId="1BAB05B8" w14:textId="77777777" w:rsidR="009A5BD0" w:rsidRPr="008C54DA" w:rsidRDefault="009A5BD0" w:rsidP="009A5BD0">
            <w:pPr>
              <w:rPr>
                <w:rFonts w:ascii="Arial" w:hAnsi="Arial" w:cs="Arial"/>
                <w:szCs w:val="24"/>
              </w:rPr>
            </w:pPr>
            <w:r w:rsidRPr="008C54DA">
              <w:rPr>
                <w:rFonts w:ascii="Arial" w:hAnsi="Arial" w:cs="Arial"/>
                <w:szCs w:val="24"/>
              </w:rPr>
              <w:t>2.87</w:t>
            </w:r>
          </w:p>
        </w:tc>
        <w:tc>
          <w:tcPr>
            <w:tcW w:w="0" w:type="auto"/>
            <w:hideMark/>
          </w:tcPr>
          <w:p w14:paraId="0B072DBA" w14:textId="77777777" w:rsidR="009A5BD0" w:rsidRPr="008C54DA" w:rsidRDefault="009A5BD0" w:rsidP="009A5BD0">
            <w:pPr>
              <w:rPr>
                <w:rFonts w:ascii="Arial" w:hAnsi="Arial" w:cs="Arial"/>
                <w:szCs w:val="24"/>
              </w:rPr>
            </w:pPr>
            <w:r w:rsidRPr="008C54DA">
              <w:rPr>
                <w:rFonts w:ascii="Arial" w:hAnsi="Arial" w:cs="Arial"/>
                <w:szCs w:val="24"/>
              </w:rPr>
              <w:t>0.42</w:t>
            </w:r>
          </w:p>
        </w:tc>
        <w:tc>
          <w:tcPr>
            <w:tcW w:w="0" w:type="auto"/>
            <w:hideMark/>
          </w:tcPr>
          <w:p w14:paraId="2D71EFCB" w14:textId="77777777" w:rsidR="009A5BD0" w:rsidRPr="008C54DA" w:rsidRDefault="009A5BD0" w:rsidP="009A5BD0">
            <w:pPr>
              <w:rPr>
                <w:rFonts w:ascii="Arial" w:hAnsi="Arial" w:cs="Arial"/>
                <w:szCs w:val="24"/>
              </w:rPr>
            </w:pPr>
            <w:r w:rsidRPr="008C54DA">
              <w:rPr>
                <w:rFonts w:ascii="Arial" w:hAnsi="Arial" w:cs="Arial"/>
                <w:szCs w:val="24"/>
              </w:rPr>
              <w:t>-13.9 to -2.6</w:t>
            </w:r>
          </w:p>
        </w:tc>
        <w:tc>
          <w:tcPr>
            <w:tcW w:w="0" w:type="auto"/>
            <w:hideMark/>
          </w:tcPr>
          <w:p w14:paraId="07091392" w14:textId="77777777" w:rsidR="009A5BD0" w:rsidRPr="008C54DA" w:rsidRDefault="009A5BD0" w:rsidP="009A5BD0">
            <w:pPr>
              <w:rPr>
                <w:rFonts w:ascii="Arial" w:hAnsi="Arial" w:cs="Arial"/>
                <w:szCs w:val="24"/>
              </w:rPr>
            </w:pPr>
            <w:r w:rsidRPr="008C54DA">
              <w:rPr>
                <w:rFonts w:ascii="Arial" w:hAnsi="Arial" w:cs="Arial"/>
                <w:szCs w:val="24"/>
              </w:rPr>
              <w:t>0.004</w:t>
            </w:r>
          </w:p>
        </w:tc>
      </w:tr>
      <w:tr w:rsidR="009A5BD0" w:rsidRPr="009A5BD0" w14:paraId="7F192CA5" w14:textId="77777777" w:rsidTr="00F7364C">
        <w:trPr>
          <w:trHeight w:val="457"/>
        </w:trPr>
        <w:tc>
          <w:tcPr>
            <w:tcW w:w="3041" w:type="dxa"/>
            <w:hideMark/>
          </w:tcPr>
          <w:p w14:paraId="0338E8F3" w14:textId="77777777" w:rsidR="009A5BD0" w:rsidRPr="008C54DA" w:rsidRDefault="009A5BD0" w:rsidP="009A5BD0">
            <w:pPr>
              <w:rPr>
                <w:rFonts w:ascii="Arial" w:hAnsi="Arial" w:cs="Arial"/>
                <w:szCs w:val="24"/>
              </w:rPr>
            </w:pPr>
            <w:r w:rsidRPr="008C54DA">
              <w:rPr>
                <w:rFonts w:ascii="Arial" w:hAnsi="Arial" w:cs="Arial"/>
                <w:szCs w:val="24"/>
              </w:rPr>
              <w:t>Organizational Support (overall)</w:t>
            </w:r>
          </w:p>
        </w:tc>
        <w:tc>
          <w:tcPr>
            <w:tcW w:w="1426" w:type="dxa"/>
            <w:hideMark/>
          </w:tcPr>
          <w:p w14:paraId="394D7471" w14:textId="77777777" w:rsidR="009A5BD0" w:rsidRPr="008C54DA" w:rsidRDefault="009A5BD0" w:rsidP="009A5BD0">
            <w:pPr>
              <w:rPr>
                <w:rFonts w:ascii="Arial" w:hAnsi="Arial" w:cs="Arial"/>
                <w:szCs w:val="24"/>
              </w:rPr>
            </w:pPr>
            <w:r w:rsidRPr="008C54DA">
              <w:rPr>
                <w:rFonts w:ascii="Arial" w:hAnsi="Arial" w:cs="Arial"/>
                <w:szCs w:val="24"/>
              </w:rPr>
              <w:t>-9.114</w:t>
            </w:r>
          </w:p>
        </w:tc>
        <w:tc>
          <w:tcPr>
            <w:tcW w:w="0" w:type="auto"/>
            <w:hideMark/>
          </w:tcPr>
          <w:p w14:paraId="6B78D570" w14:textId="77777777" w:rsidR="009A5BD0" w:rsidRPr="008C54DA" w:rsidRDefault="009A5BD0" w:rsidP="009A5BD0">
            <w:pPr>
              <w:rPr>
                <w:rFonts w:ascii="Arial" w:hAnsi="Arial" w:cs="Arial"/>
                <w:szCs w:val="24"/>
              </w:rPr>
            </w:pPr>
            <w:r w:rsidRPr="008C54DA">
              <w:rPr>
                <w:rFonts w:ascii="Arial" w:hAnsi="Arial" w:cs="Arial"/>
                <w:szCs w:val="24"/>
              </w:rPr>
              <w:t>2.95</w:t>
            </w:r>
          </w:p>
        </w:tc>
        <w:tc>
          <w:tcPr>
            <w:tcW w:w="0" w:type="auto"/>
            <w:hideMark/>
          </w:tcPr>
          <w:p w14:paraId="15A117FC" w14:textId="77777777" w:rsidR="009A5BD0" w:rsidRPr="008C54DA" w:rsidRDefault="009A5BD0" w:rsidP="009A5BD0">
            <w:pPr>
              <w:rPr>
                <w:rFonts w:ascii="Arial" w:hAnsi="Arial" w:cs="Arial"/>
                <w:szCs w:val="24"/>
              </w:rPr>
            </w:pPr>
            <w:r w:rsidRPr="008C54DA">
              <w:rPr>
                <w:rFonts w:ascii="Arial" w:hAnsi="Arial" w:cs="Arial"/>
                <w:szCs w:val="24"/>
              </w:rPr>
              <w:t>0.40</w:t>
            </w:r>
          </w:p>
        </w:tc>
        <w:tc>
          <w:tcPr>
            <w:tcW w:w="0" w:type="auto"/>
            <w:hideMark/>
          </w:tcPr>
          <w:p w14:paraId="6021E068" w14:textId="77777777" w:rsidR="009A5BD0" w:rsidRPr="008C54DA" w:rsidRDefault="009A5BD0" w:rsidP="009A5BD0">
            <w:pPr>
              <w:rPr>
                <w:rFonts w:ascii="Arial" w:hAnsi="Arial" w:cs="Arial"/>
                <w:szCs w:val="24"/>
              </w:rPr>
            </w:pPr>
            <w:r w:rsidRPr="008C54DA">
              <w:rPr>
                <w:rFonts w:ascii="Arial" w:hAnsi="Arial" w:cs="Arial"/>
                <w:szCs w:val="24"/>
              </w:rPr>
              <w:t>-14.9 to -3.3</w:t>
            </w:r>
          </w:p>
        </w:tc>
        <w:tc>
          <w:tcPr>
            <w:tcW w:w="0" w:type="auto"/>
            <w:hideMark/>
          </w:tcPr>
          <w:p w14:paraId="0EAAE906" w14:textId="77777777" w:rsidR="009A5BD0" w:rsidRPr="008C54DA" w:rsidRDefault="009A5BD0" w:rsidP="009A5BD0">
            <w:pPr>
              <w:rPr>
                <w:rFonts w:ascii="Arial" w:hAnsi="Arial" w:cs="Arial"/>
                <w:szCs w:val="24"/>
              </w:rPr>
            </w:pPr>
            <w:r w:rsidRPr="008C54DA">
              <w:rPr>
                <w:rFonts w:ascii="Arial" w:hAnsi="Arial" w:cs="Arial"/>
                <w:szCs w:val="24"/>
              </w:rPr>
              <w:t>0.002</w:t>
            </w:r>
          </w:p>
        </w:tc>
      </w:tr>
      <w:tr w:rsidR="009A5BD0" w:rsidRPr="009A5BD0" w14:paraId="5744DD3B" w14:textId="77777777" w:rsidTr="00F7364C">
        <w:trPr>
          <w:trHeight w:val="702"/>
        </w:trPr>
        <w:tc>
          <w:tcPr>
            <w:tcW w:w="3041" w:type="dxa"/>
            <w:hideMark/>
          </w:tcPr>
          <w:p w14:paraId="03D2B673" w14:textId="77777777" w:rsidR="009A5BD0" w:rsidRPr="008C54DA" w:rsidRDefault="009A5BD0" w:rsidP="009A5BD0">
            <w:pPr>
              <w:rPr>
                <w:rFonts w:ascii="Arial" w:hAnsi="Arial" w:cs="Arial"/>
                <w:szCs w:val="24"/>
              </w:rPr>
            </w:pPr>
            <w:r w:rsidRPr="008C54DA">
              <w:rPr>
                <w:rFonts w:ascii="Arial" w:hAnsi="Arial" w:cs="Arial"/>
                <w:szCs w:val="24"/>
              </w:rPr>
              <w:t>Other Factors (culture, workload, etc.)</w:t>
            </w:r>
          </w:p>
        </w:tc>
        <w:tc>
          <w:tcPr>
            <w:tcW w:w="1426" w:type="dxa"/>
            <w:hideMark/>
          </w:tcPr>
          <w:p w14:paraId="45ADFAAC" w14:textId="77777777" w:rsidR="009A5BD0" w:rsidRPr="008C54DA" w:rsidRDefault="009A5BD0" w:rsidP="009A5BD0">
            <w:pPr>
              <w:rPr>
                <w:rFonts w:ascii="Arial" w:hAnsi="Arial" w:cs="Arial"/>
                <w:szCs w:val="24"/>
              </w:rPr>
            </w:pPr>
            <w:r w:rsidRPr="008C54DA">
              <w:rPr>
                <w:rFonts w:ascii="Arial" w:hAnsi="Arial" w:cs="Arial"/>
                <w:szCs w:val="24"/>
              </w:rPr>
              <w:t>–</w:t>
            </w:r>
          </w:p>
        </w:tc>
        <w:tc>
          <w:tcPr>
            <w:tcW w:w="0" w:type="auto"/>
            <w:hideMark/>
          </w:tcPr>
          <w:p w14:paraId="3E76685C" w14:textId="77777777" w:rsidR="009A5BD0" w:rsidRPr="008C54DA" w:rsidRDefault="009A5BD0" w:rsidP="009A5BD0">
            <w:pPr>
              <w:rPr>
                <w:rFonts w:ascii="Arial" w:hAnsi="Arial" w:cs="Arial"/>
                <w:szCs w:val="24"/>
              </w:rPr>
            </w:pPr>
            <w:r w:rsidRPr="008C54DA">
              <w:rPr>
                <w:rFonts w:ascii="Arial" w:hAnsi="Arial" w:cs="Arial"/>
                <w:szCs w:val="24"/>
              </w:rPr>
              <w:t>–</w:t>
            </w:r>
          </w:p>
        </w:tc>
        <w:tc>
          <w:tcPr>
            <w:tcW w:w="0" w:type="auto"/>
            <w:hideMark/>
          </w:tcPr>
          <w:p w14:paraId="5F8E5D06" w14:textId="77777777" w:rsidR="009A5BD0" w:rsidRPr="008C54DA" w:rsidRDefault="009A5BD0" w:rsidP="009A5BD0">
            <w:pPr>
              <w:rPr>
                <w:rFonts w:ascii="Arial" w:hAnsi="Arial" w:cs="Arial"/>
                <w:szCs w:val="24"/>
              </w:rPr>
            </w:pPr>
            <w:r w:rsidRPr="008C54DA">
              <w:rPr>
                <w:rFonts w:ascii="Arial" w:hAnsi="Arial" w:cs="Arial"/>
                <w:szCs w:val="24"/>
              </w:rPr>
              <w:t>–</w:t>
            </w:r>
          </w:p>
        </w:tc>
        <w:tc>
          <w:tcPr>
            <w:tcW w:w="0" w:type="auto"/>
            <w:hideMark/>
          </w:tcPr>
          <w:p w14:paraId="73939395" w14:textId="77777777" w:rsidR="009A5BD0" w:rsidRPr="008C54DA" w:rsidRDefault="009A5BD0" w:rsidP="009A5BD0">
            <w:pPr>
              <w:rPr>
                <w:rFonts w:ascii="Arial" w:hAnsi="Arial" w:cs="Arial"/>
                <w:szCs w:val="24"/>
              </w:rPr>
            </w:pPr>
            <w:r w:rsidRPr="008C54DA">
              <w:rPr>
                <w:rFonts w:ascii="Arial" w:hAnsi="Arial" w:cs="Arial"/>
                <w:szCs w:val="24"/>
              </w:rPr>
              <w:t>–</w:t>
            </w:r>
          </w:p>
        </w:tc>
        <w:tc>
          <w:tcPr>
            <w:tcW w:w="0" w:type="auto"/>
            <w:hideMark/>
          </w:tcPr>
          <w:p w14:paraId="7F91A440" w14:textId="77777777" w:rsidR="009A5BD0" w:rsidRPr="008C54DA" w:rsidRDefault="009A5BD0" w:rsidP="009A5BD0">
            <w:pPr>
              <w:rPr>
                <w:rFonts w:ascii="Arial" w:hAnsi="Arial" w:cs="Arial"/>
                <w:szCs w:val="24"/>
              </w:rPr>
            </w:pPr>
            <w:r w:rsidRPr="008C54DA">
              <w:rPr>
                <w:rFonts w:ascii="Arial" w:hAnsi="Arial" w:cs="Arial"/>
                <w:szCs w:val="24"/>
              </w:rPr>
              <w:t>&gt; 0.05</w:t>
            </w:r>
          </w:p>
        </w:tc>
      </w:tr>
    </w:tbl>
    <w:p w14:paraId="0FA74B42" w14:textId="77777777" w:rsidR="009A5BD0" w:rsidRPr="009A5BD0" w:rsidRDefault="009A5BD0" w:rsidP="000C58A7">
      <w:pPr>
        <w:tabs>
          <w:tab w:val="left" w:pos="555"/>
        </w:tabs>
        <w:spacing w:line="228" w:lineRule="exact"/>
        <w:rPr>
          <w:rFonts w:ascii="Arial" w:hAnsi="Arial" w:cs="Arial"/>
        </w:rPr>
      </w:pPr>
    </w:p>
    <w:p w14:paraId="4B512F88" w14:textId="2E64A360" w:rsidR="000C58A7" w:rsidRPr="000C58A7" w:rsidRDefault="000C58A7" w:rsidP="000C58A7">
      <w:pPr>
        <w:tabs>
          <w:tab w:val="left" w:pos="555"/>
        </w:tabs>
        <w:spacing w:line="228" w:lineRule="exact"/>
        <w:jc w:val="both"/>
        <w:rPr>
          <w:rFonts w:ascii="Arial" w:hAnsi="Arial" w:cs="Arial"/>
        </w:rPr>
      </w:pPr>
      <w:r w:rsidRPr="000C58A7">
        <w:rPr>
          <w:rFonts w:ascii="Arial" w:hAnsi="Arial" w:cs="Arial"/>
        </w:rPr>
        <w:t xml:space="preserve">The influence of organizational/health system factors on burnout syndrome has been a topic of interest in recent years, with numerous studies exploring the relationship between these factors and burnout. </w:t>
      </w:r>
      <w:r w:rsidR="001C5971" w:rsidRPr="00F7364C">
        <w:rPr>
          <w:rFonts w:ascii="Arial" w:hAnsi="Arial" w:cs="Arial"/>
          <w:b/>
        </w:rPr>
        <w:t>Table 5</w:t>
      </w:r>
      <w:r w:rsidR="001C5971">
        <w:rPr>
          <w:rFonts w:ascii="Arial" w:hAnsi="Arial" w:cs="Arial"/>
        </w:rPr>
        <w:t xml:space="preserve"> shows</w:t>
      </w:r>
      <w:r w:rsidRPr="000C58A7">
        <w:rPr>
          <w:rFonts w:ascii="Arial" w:hAnsi="Arial" w:cs="Arial"/>
        </w:rPr>
        <w:t xml:space="preserve"> that organizational factors, including support for professional growth and skill development, have a significant impact on burnout syndrome, with approximately 46.1% of the variance in burnout accounted for by these factors. This finding is consistent with other studies, which have also highlighted the importance of organizational support in mitigating burnout. For example, a study by West et al. (2018) found that perceived organizational support was negatively associated with burnout in healthcare professionals, with a significant correlation coefficient of -0.35 (p &lt; 0.001). Similarly, a study </w:t>
      </w:r>
      <w:r w:rsidRPr="000C58A7">
        <w:rPr>
          <w:rFonts w:ascii="Arial" w:hAnsi="Arial" w:cs="Arial"/>
        </w:rPr>
        <w:lastRenderedPageBreak/>
        <w:t>by Lee et al. (2020) found that organizational support for employee well-being was a significant predictor of reduced burnout in nurses, with a beta coefficient of -0.23 (p = 0.01).</w:t>
      </w:r>
    </w:p>
    <w:p w14:paraId="569E41D1" w14:textId="77777777" w:rsidR="007867B2" w:rsidRDefault="007867B2" w:rsidP="007867B2">
      <w:pPr>
        <w:pStyle w:val="Heading3"/>
        <w:jc w:val="both"/>
        <w:rPr>
          <w:rFonts w:ascii="Arial" w:hAnsi="Arial" w:cs="Arial"/>
          <w:b/>
          <w:sz w:val="22"/>
        </w:rPr>
      </w:pPr>
    </w:p>
    <w:p w14:paraId="0499463B" w14:textId="77777777" w:rsidR="000C58A7" w:rsidRPr="000C58A7" w:rsidRDefault="000C58A7" w:rsidP="000C58A7">
      <w:pPr>
        <w:tabs>
          <w:tab w:val="left" w:pos="555"/>
        </w:tabs>
        <w:spacing w:line="228" w:lineRule="exact"/>
        <w:rPr>
          <w:rFonts w:ascii="Arial" w:hAnsi="Arial" w:cs="Arial"/>
        </w:rPr>
      </w:pPr>
    </w:p>
    <w:p w14:paraId="609BC2CD" w14:textId="67D0FB6D" w:rsidR="000C58A7" w:rsidRPr="0054084E" w:rsidRDefault="001B4C23" w:rsidP="0054084E">
      <w:pPr>
        <w:tabs>
          <w:tab w:val="left" w:pos="555"/>
        </w:tabs>
        <w:spacing w:line="228" w:lineRule="exact"/>
        <w:rPr>
          <w:rFonts w:ascii="Arial" w:hAnsi="Arial" w:cs="Arial"/>
          <w:b/>
          <w:bCs/>
        </w:rPr>
      </w:pPr>
      <w:r>
        <w:rPr>
          <w:rFonts w:ascii="Arial" w:hAnsi="Arial" w:cs="Arial"/>
          <w:b/>
          <w:bCs/>
        </w:rPr>
        <w:t>5</w:t>
      </w:r>
      <w:r w:rsidR="0054084E" w:rsidRPr="0054084E">
        <w:rPr>
          <w:rFonts w:ascii="Arial" w:hAnsi="Arial" w:cs="Arial"/>
          <w:b/>
          <w:bCs/>
        </w:rPr>
        <w:t xml:space="preserve">. </w:t>
      </w:r>
      <w:r w:rsidR="000C58A7" w:rsidRPr="0054084E">
        <w:rPr>
          <w:rFonts w:ascii="Arial" w:hAnsi="Arial" w:cs="Arial"/>
          <w:b/>
          <w:bCs/>
        </w:rPr>
        <w:t>CONCLUSION</w:t>
      </w:r>
      <w:r w:rsidR="0054084E">
        <w:rPr>
          <w:rFonts w:ascii="Arial" w:hAnsi="Arial" w:cs="Arial"/>
          <w:b/>
          <w:bCs/>
        </w:rPr>
        <w:t>S</w:t>
      </w:r>
    </w:p>
    <w:p w14:paraId="528D15AD" w14:textId="77777777" w:rsidR="000C58A7" w:rsidRPr="000C58A7" w:rsidRDefault="000C58A7" w:rsidP="000C58A7">
      <w:pPr>
        <w:tabs>
          <w:tab w:val="left" w:pos="555"/>
        </w:tabs>
        <w:spacing w:line="228" w:lineRule="exact"/>
        <w:rPr>
          <w:rFonts w:ascii="Arial" w:hAnsi="Arial" w:cs="Arial"/>
        </w:rPr>
      </w:pPr>
    </w:p>
    <w:p w14:paraId="09857A92" w14:textId="77777777" w:rsidR="000C58A7" w:rsidRPr="000C58A7" w:rsidRDefault="000C58A7" w:rsidP="000C58A7">
      <w:pPr>
        <w:tabs>
          <w:tab w:val="left" w:pos="555"/>
        </w:tabs>
        <w:spacing w:line="228" w:lineRule="exact"/>
        <w:jc w:val="both"/>
        <w:rPr>
          <w:rFonts w:ascii="Arial" w:hAnsi="Arial" w:cs="Arial"/>
        </w:rPr>
      </w:pPr>
      <w:r w:rsidRPr="000C58A7">
        <w:rPr>
          <w:rFonts w:ascii="Arial" w:hAnsi="Arial" w:cs="Arial"/>
        </w:rPr>
        <w:t>The study on the prevalence and related factors of burnout among healthcare practitioners at Livingstone Central Hospital has shed light on the critical challenges faced by the healthcare workforce in Zambia. The findings reveal a significant prevalence of burnout, particularly in terms of emotional exhaustion and depersonalization, which are key indicators of the stress and dissatisfaction experienced by healthcare professionals. The study identifies several socio-demographic and work-related factors that significantly influence burnout. For instance, age, marital status, religion, and work experience were found to be significantly associated with depersonalization, while age, marital status, religion, education, profession, and department were significantly related to personal achievement. These findings suggest that personal and professional circumstances play a crucial role in shaping the burnout experience.</w:t>
      </w:r>
    </w:p>
    <w:p w14:paraId="60BBFC04" w14:textId="77777777" w:rsidR="000C58A7" w:rsidRDefault="000C58A7" w:rsidP="000C58A7">
      <w:pPr>
        <w:tabs>
          <w:tab w:val="left" w:pos="555"/>
        </w:tabs>
        <w:spacing w:line="228" w:lineRule="exact"/>
        <w:jc w:val="both"/>
        <w:rPr>
          <w:rFonts w:ascii="Arial" w:hAnsi="Arial" w:cs="Arial"/>
        </w:rPr>
      </w:pPr>
      <w:r w:rsidRPr="000C58A7">
        <w:rPr>
          <w:rFonts w:ascii="Arial" w:hAnsi="Arial" w:cs="Arial"/>
        </w:rPr>
        <w:t xml:space="preserve">Moreover, the regression analysis underscores the importance of work-related factors in mitigating burnout. The study found that overall comfort and functionality and the decision-making process had significant negative effects on burnout, indicating that a supportive and empowering work environment can substantially reduce burnout levels. Additionally, organizational support for professional growth and skill development was shown to have a negative impact on burnout, highlighting the need for continuous investment in the development and well-being of healthcare practitioners. The study's insights have important implications for clinical practice, policy formulation, and future research. In clinical practice, interventions should focus on enhancing the work environment, promoting involvement in decision-making, and providing robust support for professional development. At the policy level, there is a need for comprehensive strategies that address workload management, mental health, and the overall well-being of healthcare workers. </w:t>
      </w:r>
    </w:p>
    <w:p w14:paraId="33F8B523" w14:textId="77777777" w:rsidR="000C58A7" w:rsidRPr="000C58A7" w:rsidRDefault="000C58A7" w:rsidP="000C58A7">
      <w:pPr>
        <w:tabs>
          <w:tab w:val="left" w:pos="555"/>
        </w:tabs>
        <w:spacing w:line="228" w:lineRule="exact"/>
        <w:jc w:val="both"/>
        <w:rPr>
          <w:rFonts w:ascii="Arial" w:hAnsi="Arial" w:cs="Arial"/>
        </w:rPr>
      </w:pPr>
    </w:p>
    <w:p w14:paraId="6749C65F" w14:textId="2C2BB646" w:rsidR="000C58A7" w:rsidRPr="000C58A7" w:rsidRDefault="001B4C23" w:rsidP="000C58A7">
      <w:pPr>
        <w:tabs>
          <w:tab w:val="left" w:pos="555"/>
        </w:tabs>
        <w:spacing w:line="228" w:lineRule="exact"/>
        <w:jc w:val="both"/>
        <w:rPr>
          <w:rFonts w:ascii="Arial" w:hAnsi="Arial" w:cs="Arial"/>
        </w:rPr>
      </w:pPr>
      <w:r>
        <w:rPr>
          <w:rFonts w:ascii="Arial" w:hAnsi="Arial" w:cs="Arial"/>
          <w:b/>
          <w:bCs/>
        </w:rPr>
        <w:t>6</w:t>
      </w:r>
      <w:r w:rsidR="0054084E" w:rsidRPr="0054084E">
        <w:rPr>
          <w:rFonts w:ascii="Arial" w:hAnsi="Arial" w:cs="Arial"/>
          <w:b/>
          <w:bCs/>
        </w:rPr>
        <w:t xml:space="preserve">. </w:t>
      </w:r>
      <w:r w:rsidR="000C58A7" w:rsidRPr="0054084E">
        <w:rPr>
          <w:rFonts w:ascii="Arial" w:hAnsi="Arial" w:cs="Arial"/>
          <w:b/>
          <w:bCs/>
        </w:rPr>
        <w:t>RECOMMENDATIONS</w:t>
      </w:r>
      <w:r w:rsidR="000C58A7" w:rsidRPr="000C58A7">
        <w:rPr>
          <w:rFonts w:ascii="Arial" w:hAnsi="Arial" w:cs="Arial"/>
        </w:rPr>
        <w:t>:</w:t>
      </w:r>
    </w:p>
    <w:p w14:paraId="144C0F5E" w14:textId="77777777" w:rsidR="000C58A7" w:rsidRPr="000C58A7" w:rsidRDefault="000C58A7" w:rsidP="000C58A7">
      <w:pPr>
        <w:tabs>
          <w:tab w:val="left" w:pos="555"/>
        </w:tabs>
        <w:spacing w:line="228" w:lineRule="exact"/>
        <w:jc w:val="both"/>
        <w:rPr>
          <w:rFonts w:ascii="Arial" w:hAnsi="Arial" w:cs="Arial"/>
        </w:rPr>
      </w:pPr>
    </w:p>
    <w:p w14:paraId="44F64F5B" w14:textId="77777777" w:rsidR="000C58A7" w:rsidRPr="000C58A7" w:rsidRDefault="000C58A7" w:rsidP="000C58A7">
      <w:pPr>
        <w:tabs>
          <w:tab w:val="left" w:pos="555"/>
        </w:tabs>
        <w:spacing w:line="228" w:lineRule="exact"/>
        <w:jc w:val="both"/>
        <w:rPr>
          <w:rFonts w:ascii="Arial" w:hAnsi="Arial" w:cs="Arial"/>
        </w:rPr>
      </w:pPr>
      <w:r w:rsidRPr="000C58A7">
        <w:rPr>
          <w:rFonts w:ascii="Arial" w:hAnsi="Arial" w:cs="Arial"/>
        </w:rPr>
        <w:t>Based on these findings, the following recommendations are proposed for clinical practice, policy formulation, and future research:</w:t>
      </w:r>
    </w:p>
    <w:p w14:paraId="384F3777" w14:textId="77777777" w:rsidR="000C58A7" w:rsidRP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Healthcare professionals should implement routine screening for burnout symptoms, especially among individuals with specific demographic risk factors (e.g., younger individuals, unmarried individuals, those with less work experience).</w:t>
      </w:r>
    </w:p>
    <w:p w14:paraId="520FAF2A" w14:textId="77777777" w:rsidR="000C58A7" w:rsidRP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Mental health professionals can use these results to inform burnout management programs. Interventions could include stress-reduction techniques (mindfulness, meditation), cognitive restructuring, and time management strategies.</w:t>
      </w:r>
    </w:p>
    <w:p w14:paraId="3EBFBD6B" w14:textId="77777777" w:rsidR="000C58A7" w:rsidRP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Encourage individuals to prioritize self-care activities, such as exercise, hobbies, and social connections, to mitigate the impact of emotional exhaustion and depersonalization.</w:t>
      </w:r>
    </w:p>
    <w:p w14:paraId="5CD27F92" w14:textId="77777777" w:rsidR="000C58A7" w:rsidRP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Managers and stakeholders (Ministry of Health) should implement transparent and inclusive decision-making processes can foster a sense of control and reduce feelings of depersonalization.</w:t>
      </w:r>
    </w:p>
    <w:p w14:paraId="1274EBBE" w14:textId="77777777" w:rsidR="000C58A7" w:rsidRP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Managers and stakeholders (Ministry of Health) should make policies that addresses systemic issues contributing to burnout, such as excessive workloads, lack of autonomy, inadequate resources, and poor communication.</w:t>
      </w:r>
    </w:p>
    <w:p w14:paraId="2A849A7D" w14:textId="038BC403" w:rsid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Consider implementing flexible work arrangements, such as remote work options or flexible scheduling, to improve work-life balance and reduce stress.</w:t>
      </w:r>
    </w:p>
    <w:p w14:paraId="23EB5480" w14:textId="0F28E3E6" w:rsidR="00C823F4" w:rsidRDefault="00C823F4" w:rsidP="00C823F4">
      <w:pPr>
        <w:tabs>
          <w:tab w:val="left" w:pos="555"/>
        </w:tabs>
        <w:spacing w:line="228" w:lineRule="exact"/>
        <w:rPr>
          <w:rFonts w:ascii="Arial" w:hAnsi="Arial" w:cs="Arial"/>
        </w:rPr>
      </w:pPr>
    </w:p>
    <w:p w14:paraId="6F7D5BFD" w14:textId="77777777" w:rsidR="00C823F4" w:rsidRPr="00C823F4" w:rsidRDefault="00C823F4" w:rsidP="00C823F4">
      <w:pPr>
        <w:pStyle w:val="Heading3"/>
        <w:jc w:val="both"/>
        <w:rPr>
          <w:rFonts w:ascii="Arial" w:hAnsi="Arial" w:cs="Arial"/>
          <w:b/>
          <w:color w:val="auto"/>
          <w:sz w:val="22"/>
        </w:rPr>
      </w:pPr>
      <w:r w:rsidRPr="00C823F4">
        <w:rPr>
          <w:rFonts w:ascii="Arial" w:hAnsi="Arial" w:cs="Arial"/>
          <w:b/>
          <w:color w:val="auto"/>
          <w:sz w:val="22"/>
        </w:rPr>
        <w:lastRenderedPageBreak/>
        <w:t>Limitations of the Study</w:t>
      </w:r>
    </w:p>
    <w:p w14:paraId="35EF17FC" w14:textId="45B7FD2B" w:rsidR="0054084E" w:rsidRDefault="00C823F4" w:rsidP="00C823F4">
      <w:pPr>
        <w:pStyle w:val="NormalWeb"/>
        <w:jc w:val="both"/>
        <w:rPr>
          <w:rFonts w:ascii="Arial" w:hAnsi="Arial" w:cs="Arial"/>
          <w:sz w:val="20"/>
        </w:rPr>
      </w:pPr>
      <w:r>
        <w:rPr>
          <w:rFonts w:ascii="Arial" w:hAnsi="Arial" w:cs="Arial"/>
          <w:sz w:val="20"/>
        </w:rPr>
        <w:t>Our</w:t>
      </w:r>
      <w:r w:rsidRPr="008C54DA">
        <w:rPr>
          <w:rFonts w:ascii="Arial" w:hAnsi="Arial" w:cs="Arial"/>
          <w:sz w:val="20"/>
        </w:rPr>
        <w:t xml:space="preserve"> study has s</w:t>
      </w:r>
      <w:r>
        <w:rPr>
          <w:rFonts w:ascii="Arial" w:hAnsi="Arial" w:cs="Arial"/>
          <w:sz w:val="20"/>
        </w:rPr>
        <w:t>ome</w:t>
      </w:r>
      <w:r w:rsidRPr="008C54DA">
        <w:rPr>
          <w:rFonts w:ascii="Arial" w:hAnsi="Arial" w:cs="Arial"/>
          <w:sz w:val="20"/>
        </w:rPr>
        <w:t xml:space="preserve"> limitations that </w:t>
      </w:r>
      <w:r>
        <w:rPr>
          <w:rFonts w:ascii="Arial" w:hAnsi="Arial" w:cs="Arial"/>
          <w:sz w:val="20"/>
        </w:rPr>
        <w:t>require attention including but not limited to;</w:t>
      </w:r>
      <w:r w:rsidRPr="008C54DA">
        <w:rPr>
          <w:rFonts w:ascii="Arial" w:hAnsi="Arial" w:cs="Arial"/>
          <w:sz w:val="20"/>
        </w:rPr>
        <w:t xml:space="preserve"> the cross-sectional design restricts the ability to infer causality between the identified factors and burnout; the findings only demonstrate associations. </w:t>
      </w:r>
      <w:r>
        <w:rPr>
          <w:rFonts w:ascii="Arial" w:hAnsi="Arial" w:cs="Arial"/>
          <w:sz w:val="20"/>
        </w:rPr>
        <w:t>T</w:t>
      </w:r>
      <w:r w:rsidRPr="008C54DA">
        <w:rPr>
          <w:rFonts w:ascii="Arial" w:hAnsi="Arial" w:cs="Arial"/>
          <w:sz w:val="20"/>
        </w:rPr>
        <w:t xml:space="preserve">he relatively small sample size of 69 participants from a single hospital may limit the generalizability of results to other healthcare settings in Zambia or beyond. </w:t>
      </w:r>
      <w:r>
        <w:rPr>
          <w:rFonts w:ascii="Arial" w:hAnsi="Arial" w:cs="Arial"/>
          <w:sz w:val="20"/>
        </w:rPr>
        <w:t>D</w:t>
      </w:r>
      <w:r w:rsidRPr="008C54DA">
        <w:rPr>
          <w:rFonts w:ascii="Arial" w:hAnsi="Arial" w:cs="Arial"/>
          <w:sz w:val="20"/>
        </w:rPr>
        <w:t>ata were collect</w:t>
      </w:r>
      <w:r>
        <w:rPr>
          <w:rFonts w:ascii="Arial" w:hAnsi="Arial" w:cs="Arial"/>
          <w:sz w:val="20"/>
        </w:rPr>
        <w:t>ion</w:t>
      </w:r>
      <w:r w:rsidRPr="008C54DA">
        <w:rPr>
          <w:rFonts w:ascii="Arial" w:hAnsi="Arial" w:cs="Arial"/>
          <w:sz w:val="20"/>
        </w:rPr>
        <w:t xml:space="preserve"> through self-reported questionnaires, may be subject to recall bias and social desirability bias, potentially influencing the accuracy of responses. F</w:t>
      </w:r>
      <w:r>
        <w:rPr>
          <w:rFonts w:ascii="Arial" w:hAnsi="Arial" w:cs="Arial"/>
          <w:sz w:val="20"/>
        </w:rPr>
        <w:t>urther</w:t>
      </w:r>
      <w:r w:rsidRPr="008C54DA">
        <w:rPr>
          <w:rFonts w:ascii="Arial" w:hAnsi="Arial" w:cs="Arial"/>
          <w:sz w:val="20"/>
        </w:rPr>
        <w:t xml:space="preserve">, the study focused only on healthcare practitioners directly involved in patient care, excluding administrative and support staff who may also experience burnout. </w:t>
      </w:r>
      <w:r>
        <w:rPr>
          <w:rFonts w:ascii="Arial" w:hAnsi="Arial" w:cs="Arial"/>
          <w:sz w:val="20"/>
        </w:rPr>
        <w:t>C</w:t>
      </w:r>
      <w:r w:rsidRPr="008C54DA">
        <w:rPr>
          <w:rFonts w:ascii="Arial" w:hAnsi="Arial" w:cs="Arial"/>
          <w:sz w:val="20"/>
        </w:rPr>
        <w:t>ontextual factors such as cultural influences, institutional policies, and broader health system challenges were not fully explored, which may have contributed to unmeasured confounding. Future research employing longitudinal designs, larger and more diverse samples, and mixed-method approaches could provide deeper insights into the dynamics of burnout among healthcare practitioners.</w:t>
      </w:r>
    </w:p>
    <w:p w14:paraId="2601C5AC" w14:textId="6E1803DA" w:rsidR="00DD0612" w:rsidRPr="00DD0612" w:rsidRDefault="00DD0612" w:rsidP="00DD0612">
      <w:pPr>
        <w:pStyle w:val="NormalWeb"/>
        <w:jc w:val="both"/>
        <w:rPr>
          <w:rFonts w:ascii="Arial" w:hAnsi="Arial" w:cs="Arial"/>
          <w:b/>
          <w:bCs/>
          <w:sz w:val="20"/>
        </w:rPr>
      </w:pPr>
      <w:r w:rsidRPr="00DD0612">
        <w:rPr>
          <w:rFonts w:ascii="Arial" w:hAnsi="Arial" w:cs="Arial"/>
          <w:b/>
          <w:bCs/>
          <w:sz w:val="20"/>
        </w:rPr>
        <w:t xml:space="preserve"> Ethical </w:t>
      </w:r>
      <w:r>
        <w:rPr>
          <w:rFonts w:ascii="Arial" w:hAnsi="Arial" w:cs="Arial"/>
          <w:b/>
          <w:bCs/>
          <w:sz w:val="20"/>
        </w:rPr>
        <w:t>A</w:t>
      </w:r>
      <w:r w:rsidRPr="00DD0612">
        <w:rPr>
          <w:rFonts w:ascii="Arial" w:hAnsi="Arial" w:cs="Arial"/>
          <w:b/>
          <w:bCs/>
          <w:sz w:val="20"/>
        </w:rPr>
        <w:t xml:space="preserve">pproval </w:t>
      </w:r>
      <w:r>
        <w:rPr>
          <w:rFonts w:ascii="Arial" w:hAnsi="Arial" w:cs="Arial"/>
          <w:b/>
          <w:bCs/>
          <w:sz w:val="20"/>
        </w:rPr>
        <w:t>and C</w:t>
      </w:r>
      <w:r w:rsidRPr="00DD0612">
        <w:rPr>
          <w:rFonts w:ascii="Arial" w:hAnsi="Arial" w:cs="Arial"/>
          <w:b/>
          <w:bCs/>
          <w:sz w:val="20"/>
        </w:rPr>
        <w:t xml:space="preserve">onsent </w:t>
      </w:r>
    </w:p>
    <w:p w14:paraId="40D0D006" w14:textId="2D092410" w:rsidR="00DD0612" w:rsidRPr="00C823F4" w:rsidRDefault="00DD0612" w:rsidP="00DD0612">
      <w:pPr>
        <w:pStyle w:val="NormalWeb"/>
        <w:jc w:val="both"/>
        <w:rPr>
          <w:rFonts w:ascii="Arial" w:hAnsi="Arial" w:cs="Arial"/>
          <w:sz w:val="20"/>
        </w:rPr>
      </w:pPr>
      <w:r w:rsidRPr="00DD0612">
        <w:rPr>
          <w:rFonts w:ascii="Arial" w:hAnsi="Arial" w:cs="Arial"/>
          <w:sz w:val="20"/>
        </w:rPr>
        <w:t>In accordance with the Declaration of Helsinki (1964), ethical approval was obtained from the Ethics Review Committee of the School of University of Lusaka, through a letter of reference. Permission to commence the study was obtained from the Livingstone District Health Office. Written consent was obtained from each participant before being included in the study. All information collected from the survey was kept confidential and safe. The anonymity and confidentiality of the study subjects were ensured by assigned numerical codes instead of names without any personal identifiers in the data collection, analysis, and findings. Participants were informed that participation was voluntary and based on their willingness and they had the right to withdraw from the study at any point</w:t>
      </w:r>
    </w:p>
    <w:p w14:paraId="118D7DA1" w14:textId="77777777" w:rsidR="003F062E" w:rsidRPr="009C5487" w:rsidRDefault="003F062E" w:rsidP="003F062E">
      <w:pPr>
        <w:rPr>
          <w:rFonts w:ascii="Calibri" w:eastAsia="Calibri" w:hAnsi="Calibri"/>
          <w:kern w:val="2"/>
          <w:highlight w:val="yellow"/>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kern w:val="2"/>
          <w:highlight w:val="yellow"/>
        </w:rPr>
        <w:t>Disclaimer (Artificial intelligence)</w:t>
      </w:r>
    </w:p>
    <w:p w14:paraId="6DEBB0EB" w14:textId="77777777" w:rsidR="003F062E" w:rsidRPr="009C5487" w:rsidRDefault="003F062E" w:rsidP="003F062E">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65127EA4" w14:textId="77777777" w:rsidR="00002BE2" w:rsidRDefault="00002BE2" w:rsidP="0054084E">
      <w:pPr>
        <w:rPr>
          <w:rFonts w:ascii="Calibri" w:eastAsia="Calibri" w:hAnsi="Calibri"/>
          <w:kern w:val="2"/>
        </w:rPr>
      </w:pPr>
    </w:p>
    <w:p w14:paraId="39C53B58" w14:textId="77777777" w:rsidR="00A072D0" w:rsidRDefault="00A072D0" w:rsidP="0054084E">
      <w:pPr>
        <w:rPr>
          <w:rFonts w:ascii="Arial" w:hAnsi="Arial" w:cs="Arial"/>
          <w:b/>
          <w:bCs/>
        </w:rPr>
      </w:pPr>
    </w:p>
    <w:p w14:paraId="45DE9DA7" w14:textId="5B2CE9CF" w:rsidR="000C58A7" w:rsidRPr="00002BE2" w:rsidRDefault="0054084E" w:rsidP="0054084E">
      <w:pPr>
        <w:rPr>
          <w:rFonts w:ascii="Arial" w:hAnsi="Arial" w:cs="Arial"/>
          <w:b/>
          <w:bCs/>
        </w:rPr>
      </w:pPr>
      <w:r w:rsidRPr="00002BE2">
        <w:rPr>
          <w:rFonts w:ascii="Arial" w:hAnsi="Arial" w:cs="Arial"/>
          <w:b/>
          <w:bCs/>
        </w:rPr>
        <w:t>REFERENCES</w:t>
      </w:r>
    </w:p>
    <w:p w14:paraId="3CB851C7" w14:textId="354B25F6"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lang w:val="pt-BR"/>
        </w:rPr>
        <w:t xml:space="preserve">Ahmat, A., Okoroafor, S. C., Kazanga, I., Asamani, J. A., Millogo, J. J. S., Illou, M. M. A., Mwinga, K., &amp; Nyoni, J. (2022). </w:t>
      </w:r>
      <w:r w:rsidRPr="0079608E">
        <w:rPr>
          <w:rFonts w:ascii="Arial" w:hAnsi="Arial" w:cs="Arial"/>
          <w:sz w:val="20"/>
          <w:szCs w:val="20"/>
        </w:rPr>
        <w:t xml:space="preserve">The health workforce status in the WHO African Region: findings of a cross-sectional study. BMJ Global Health, 7(Suppl 1), e008317. </w:t>
      </w:r>
      <w:hyperlink r:id="rId12" w:history="1">
        <w:r w:rsidRPr="008C0129">
          <w:rPr>
            <w:rStyle w:val="Hyperlink"/>
            <w:rFonts w:ascii="Arial" w:hAnsi="Arial" w:cs="Arial"/>
            <w:sz w:val="20"/>
            <w:szCs w:val="20"/>
          </w:rPr>
          <w:t>https://doi.org/10.1136/bmjgh-2021-008317</w:t>
        </w:r>
      </w:hyperlink>
    </w:p>
    <w:p w14:paraId="2EF8A386" w14:textId="73385E50"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Al-Haddad, A., Al-Omar, F., Al-Khaleel, A., &amp; Al-Khalaf, A. (2020). Prevalence of burnout syndrome and its related risk factors among physicians working in primary health care centers of the Ministry of Health, Al Ahsa region, Saudi Arabia, 2018–2019. Journal of Family Medicine &amp; Primary Care, 9(2). </w:t>
      </w:r>
      <w:hyperlink r:id="rId13" w:history="1">
        <w:r w:rsidRPr="008C0129">
          <w:rPr>
            <w:rStyle w:val="Hyperlink"/>
            <w:rFonts w:ascii="Arial" w:hAnsi="Arial" w:cs="Arial"/>
            <w:sz w:val="20"/>
            <w:szCs w:val="20"/>
          </w:rPr>
          <w:t>https://doi.org/10.4103/jfmpc.jfmpc_743_19</w:t>
        </w:r>
      </w:hyperlink>
    </w:p>
    <w:p w14:paraId="70515CEF" w14:textId="578DDF5A"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Batanda, I. (2024). Prevalence of burnout among healthcare professionals: a survey at fort portal regional referral hospital. npj Mental Health Research. </w:t>
      </w:r>
      <w:hyperlink r:id="rId14" w:history="1">
        <w:r w:rsidRPr="008C0129">
          <w:rPr>
            <w:rStyle w:val="Hyperlink"/>
            <w:rFonts w:ascii="Arial" w:hAnsi="Arial" w:cs="Arial"/>
            <w:sz w:val="20"/>
            <w:szCs w:val="20"/>
          </w:rPr>
          <w:t>https://doi.org/10.1038/s44184-024-00061-2</w:t>
        </w:r>
      </w:hyperlink>
    </w:p>
    <w:p w14:paraId="4F918DC2" w14:textId="05016E89"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Canu, I. G., Marca, S. C., Dell'Oro, F., Balázs, Á., Bergamaschi, E., Besse, C., Bianchi, R., Bislimovska, J., Bjelajac, A. K., Bugge, M., Busneag, C. I., Çağlayan, Ç., Cernițanu, M., Costa Pereira, C., Dernovšček Hafner, N., Droz, N., Eglite, M., Godderis, L., Gündel, H., ... Wahlen, A. (2021). Harmonized definition of </w:t>
      </w:r>
      <w:r w:rsidRPr="0079608E">
        <w:rPr>
          <w:rFonts w:ascii="Arial" w:hAnsi="Arial" w:cs="Arial"/>
          <w:sz w:val="20"/>
          <w:szCs w:val="20"/>
        </w:rPr>
        <w:lastRenderedPageBreak/>
        <w:t xml:space="preserve">occupational burnout: A systematic review, semantic analysis, and Delphi consensus in 29 countries. Scandinavian Journal of Work, Environment &amp; Health, 47(2), 95-107. </w:t>
      </w:r>
      <w:hyperlink r:id="rId15" w:history="1">
        <w:r w:rsidRPr="008C0129">
          <w:rPr>
            <w:rStyle w:val="Hyperlink"/>
            <w:rFonts w:ascii="Arial" w:hAnsi="Arial" w:cs="Arial"/>
            <w:sz w:val="20"/>
            <w:szCs w:val="20"/>
          </w:rPr>
          <w:t>https://doi.org/10.5271/sjweh.3935</w:t>
        </w:r>
      </w:hyperlink>
    </w:p>
    <w:p w14:paraId="2497F49B" w14:textId="6CC40BA1"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Cho, S., Noh, H., Yang, E., Lee, J., Lee, N., Schaufeli, W. B., &amp; Lee, S. M. (2020). Examining the job demands-resources model in a sample of Korean correctional officers. Current Psychology, 39, 1521-1534. </w:t>
      </w:r>
      <w:hyperlink r:id="rId16" w:history="1">
        <w:r w:rsidRPr="008C0129">
          <w:rPr>
            <w:rStyle w:val="Hyperlink"/>
            <w:rFonts w:ascii="Arial" w:hAnsi="Arial" w:cs="Arial"/>
            <w:sz w:val="20"/>
            <w:szCs w:val="20"/>
          </w:rPr>
          <w:t>https://doi.org/10.1007/s12144-020-00620-8</w:t>
        </w:r>
      </w:hyperlink>
    </w:p>
    <w:p w14:paraId="1C77B019" w14:textId="67F2629C"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Choudhary, M., Kumar, A., Pandey, V., Choudhary, V., &amp; Patidar, N. (2022). Burnout syndrome assessment scale for nurses working in intensive care units: development and validation. International Journal of Applied and Basic Medical Research, 12(2), 82-86. </w:t>
      </w:r>
      <w:hyperlink r:id="rId17" w:history="1">
        <w:r w:rsidRPr="008C0129">
          <w:rPr>
            <w:rStyle w:val="Hyperlink"/>
            <w:rFonts w:ascii="Arial" w:hAnsi="Arial" w:cs="Arial"/>
            <w:sz w:val="20"/>
            <w:szCs w:val="20"/>
          </w:rPr>
          <w:t>https://doi.org/10.4103/ijabmr.ijabmr_547_21</w:t>
        </w:r>
      </w:hyperlink>
    </w:p>
    <w:p w14:paraId="35EECFF9" w14:textId="19C79908"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Day, A., &amp; Cooper, C.L. (Eds.). (2023). The Routledge Companion to Mental Health at Work. Routledge. </w:t>
      </w:r>
      <w:hyperlink r:id="rId18" w:history="1">
        <w:r w:rsidRPr="008C0129">
          <w:rPr>
            <w:rStyle w:val="Hyperlink"/>
            <w:rFonts w:ascii="Arial" w:hAnsi="Arial" w:cs="Arial"/>
            <w:sz w:val="20"/>
            <w:szCs w:val="20"/>
          </w:rPr>
          <w:t>https://doi.org/10.4324/9781003255574</w:t>
        </w:r>
      </w:hyperlink>
    </w:p>
    <w:p w14:paraId="737BC323" w14:textId="79C92D84"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Deakin, M. (2022). NHS workforce shortages and staff burnout are taking a toll. BMJ, 377. </w:t>
      </w:r>
      <w:hyperlink r:id="rId19" w:history="1">
        <w:r w:rsidRPr="008C0129">
          <w:rPr>
            <w:rStyle w:val="Hyperlink"/>
            <w:rFonts w:ascii="Arial" w:hAnsi="Arial" w:cs="Arial"/>
            <w:sz w:val="20"/>
            <w:szCs w:val="20"/>
          </w:rPr>
          <w:t>https://doi.org/10.1136/bmj.o945</w:t>
        </w:r>
      </w:hyperlink>
    </w:p>
    <w:p w14:paraId="4D614EE1" w14:textId="77777777" w:rsidR="00D2655F" w:rsidRPr="00D2655F" w:rsidRDefault="00D2655F" w:rsidP="00060D54">
      <w:pPr>
        <w:pStyle w:val="ListParagraph"/>
        <w:numPr>
          <w:ilvl w:val="0"/>
          <w:numId w:val="4"/>
        </w:numPr>
        <w:rPr>
          <w:lang w:val="en-GB"/>
        </w:rPr>
      </w:pPr>
      <w:r w:rsidRPr="00D2655F">
        <w:rPr>
          <w:lang w:val="en-GB"/>
        </w:rPr>
        <w:t>Elbarazi, I., Loney, T., Yousef, S., &amp; Elias, A. (2017). Prevalence of and factors associated with burnout among health care professionals in Arab countries: a systematic review. BMC health services research, 17(1), 491.</w:t>
      </w:r>
    </w:p>
    <w:p w14:paraId="291BFA76" w14:textId="14B7194D" w:rsidR="00D2655F" w:rsidRPr="00D2655F" w:rsidRDefault="007B4107" w:rsidP="007B4107">
      <w:pPr>
        <w:pStyle w:val="ListParagraph"/>
        <w:ind w:left="720" w:firstLine="0"/>
        <w:rPr>
          <w:sz w:val="20"/>
          <w:szCs w:val="20"/>
          <w:lang w:val="en-GB"/>
        </w:rPr>
      </w:pPr>
      <w:hyperlink r:id="rId20" w:history="1">
        <w:r w:rsidRPr="002379BF">
          <w:rPr>
            <w:rStyle w:val="Hyperlink"/>
            <w:lang w:val="en-GB"/>
          </w:rPr>
          <w:t>https://link.springer.com/article/10.1186/s12913-017-2319-8</w:t>
        </w:r>
      </w:hyperlink>
    </w:p>
    <w:p w14:paraId="6D3BCA07" w14:textId="6E4614A7"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lang w:val="pt-BR"/>
        </w:rPr>
        <w:t xml:space="preserve">Fentie, E. T., Daba Wami, S., &amp; Guyasa Kabito, G. (2021). </w:t>
      </w:r>
      <w:r w:rsidRPr="0079608E">
        <w:rPr>
          <w:rFonts w:ascii="Arial" w:hAnsi="Arial" w:cs="Arial"/>
          <w:sz w:val="20"/>
          <w:szCs w:val="20"/>
        </w:rPr>
        <w:t xml:space="preserve">Prevalence of burnout syndrome and associated factors among health care workers at public hospitals in Addis Ababa, Ethiopia: Results from a cross-sectional study. International Journal of Mental Health, 50(4), 368-380. </w:t>
      </w:r>
      <w:hyperlink r:id="rId21" w:history="1">
        <w:r w:rsidRPr="008C0129">
          <w:rPr>
            <w:rStyle w:val="Hyperlink"/>
            <w:rFonts w:ascii="Arial" w:hAnsi="Arial" w:cs="Arial"/>
            <w:sz w:val="20"/>
            <w:szCs w:val="20"/>
          </w:rPr>
          <w:t>https://doi.org/10.1080/00207411.2021.1946904</w:t>
        </w:r>
      </w:hyperlink>
    </w:p>
    <w:p w14:paraId="671D5D04" w14:textId="70AB0DC2" w:rsidR="000C58A7" w:rsidRPr="00002BE2" w:rsidRDefault="000C58A7" w:rsidP="00060D54">
      <w:pPr>
        <w:pStyle w:val="ListParagraph"/>
        <w:numPr>
          <w:ilvl w:val="0"/>
          <w:numId w:val="4"/>
        </w:numPr>
        <w:tabs>
          <w:tab w:val="left" w:pos="484"/>
        </w:tabs>
        <w:spacing w:before="61"/>
        <w:ind w:right="194"/>
        <w:rPr>
          <w:rFonts w:ascii="Arial" w:hAnsi="Arial" w:cs="Arial"/>
          <w:sz w:val="20"/>
          <w:szCs w:val="20"/>
        </w:rPr>
      </w:pPr>
      <w:r w:rsidRPr="00002BE2">
        <w:rPr>
          <w:rFonts w:ascii="Arial" w:hAnsi="Arial" w:cs="Arial"/>
          <w:sz w:val="20"/>
          <w:szCs w:val="20"/>
        </w:rPr>
        <w:t>France, I. (2024). Prevalence And Associated Factors of Burnout syndrome Among Healthcare Providers in The Akuapem North Municipality (Masters’ Dissertation, Catholic University College, Ghana)</w:t>
      </w:r>
    </w:p>
    <w:p w14:paraId="738D2F0F" w14:textId="3A665045"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Hayes, G. M., LaLonde</w:t>
      </w:r>
      <w:r w:rsidRPr="0079608E">
        <w:rPr>
          <w:rFonts w:ascii="Cambria Math" w:hAnsi="Cambria Math" w:cs="Cambria Math"/>
          <w:sz w:val="20"/>
          <w:szCs w:val="20"/>
        </w:rPr>
        <w:t>‐</w:t>
      </w:r>
      <w:r w:rsidRPr="0079608E">
        <w:rPr>
          <w:rFonts w:ascii="Arial" w:hAnsi="Arial" w:cs="Arial"/>
          <w:sz w:val="20"/>
          <w:szCs w:val="20"/>
        </w:rPr>
        <w:t>Paul, D. F., Perret, J. L., Steele, A., McConkey, M., Lane, W. G., Kopp, R. J., Stone, H. K., Miller, M., &amp; Jones</w:t>
      </w:r>
      <w:r w:rsidRPr="0079608E">
        <w:rPr>
          <w:rFonts w:ascii="Cambria Math" w:hAnsi="Cambria Math" w:cs="Cambria Math"/>
          <w:sz w:val="20"/>
          <w:szCs w:val="20"/>
        </w:rPr>
        <w:t>‐</w:t>
      </w:r>
      <w:r w:rsidRPr="0079608E">
        <w:rPr>
          <w:rFonts w:ascii="Arial" w:hAnsi="Arial" w:cs="Arial"/>
          <w:sz w:val="20"/>
          <w:szCs w:val="20"/>
        </w:rPr>
        <w:t>Bitton, A. (2020). Investigation of burnout syndrome and job</w:t>
      </w:r>
      <w:r w:rsidRPr="0079608E">
        <w:rPr>
          <w:rFonts w:ascii="Cambria Math" w:hAnsi="Cambria Math" w:cs="Cambria Math"/>
          <w:sz w:val="20"/>
          <w:szCs w:val="20"/>
        </w:rPr>
        <w:t>‐</w:t>
      </w:r>
      <w:r w:rsidRPr="0079608E">
        <w:rPr>
          <w:rFonts w:ascii="Arial" w:hAnsi="Arial" w:cs="Arial"/>
          <w:sz w:val="20"/>
          <w:szCs w:val="20"/>
        </w:rPr>
        <w:t>related risk factors in veterinary technicians in specialty teaching hospitals: a multicenter cross</w:t>
      </w:r>
      <w:r w:rsidRPr="0079608E">
        <w:rPr>
          <w:rFonts w:ascii="Cambria Math" w:hAnsi="Cambria Math" w:cs="Cambria Math"/>
          <w:sz w:val="20"/>
          <w:szCs w:val="20"/>
        </w:rPr>
        <w:t>‐</w:t>
      </w:r>
      <w:r w:rsidRPr="0079608E">
        <w:rPr>
          <w:rFonts w:ascii="Arial" w:hAnsi="Arial" w:cs="Arial"/>
          <w:sz w:val="20"/>
          <w:szCs w:val="20"/>
        </w:rPr>
        <w:t xml:space="preserve">sectional study. Journal of Veterinary Emergency and Critical Care, 30(1), 18-27. </w:t>
      </w:r>
      <w:hyperlink r:id="rId22" w:history="1">
        <w:r w:rsidRPr="008C0129">
          <w:rPr>
            <w:rStyle w:val="Hyperlink"/>
            <w:rFonts w:ascii="Arial" w:hAnsi="Arial" w:cs="Arial"/>
            <w:sz w:val="20"/>
            <w:szCs w:val="20"/>
          </w:rPr>
          <w:t>https://doi.org/10.1111/vec.12916</w:t>
        </w:r>
      </w:hyperlink>
    </w:p>
    <w:p w14:paraId="3CF0ECF6" w14:textId="38CC9B0E"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Konlan, K. D., Asampong, E., Dako-Gyeke, P., &amp; Glozah, F. N. (2022). Burnout and allostatic load among health workers engaged in human resourced-constrained hospitals in Accra, Ghana. BMC Health Services Research, 22(1), 1163. </w:t>
      </w:r>
      <w:hyperlink r:id="rId23" w:history="1">
        <w:r w:rsidRPr="008C0129">
          <w:rPr>
            <w:rStyle w:val="Hyperlink"/>
            <w:rFonts w:ascii="Arial" w:hAnsi="Arial" w:cs="Arial"/>
            <w:sz w:val="20"/>
            <w:szCs w:val="20"/>
          </w:rPr>
          <w:t>https://doi.org/10.1186/s12913-022-08539-5</w:t>
        </w:r>
      </w:hyperlink>
    </w:p>
    <w:p w14:paraId="655461CE" w14:textId="17ED71B0"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Liu, Z., Xie, Y., Sun, Z., Liu, D., Yin, H., &amp; Shi, L. (2023). Factors associated with academic burnout and its prevalence among university students: a cross-sectional study. BMC Medical Education, 23(1), 317. </w:t>
      </w:r>
      <w:hyperlink r:id="rId24" w:history="1">
        <w:r w:rsidRPr="008C0129">
          <w:rPr>
            <w:rStyle w:val="Hyperlink"/>
            <w:rFonts w:ascii="Arial" w:hAnsi="Arial" w:cs="Arial"/>
            <w:sz w:val="20"/>
            <w:szCs w:val="20"/>
          </w:rPr>
          <w:t>https://doi.org/10.1186/s12909-023-04316-y</w:t>
        </w:r>
      </w:hyperlink>
    </w:p>
    <w:p w14:paraId="54A05579" w14:textId="43EE2E68"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Mendez, R. M. Y., Sanchez-Broncano, J., Ramirez, G. D. M., &amp; Villarreal-Zegarra, D. (2024). Prevalence and factors associated with burnout syndrome in Peruvian health professionals before the COVID-19 pandemic: A systematic review. Heliyon, 10(9). </w:t>
      </w:r>
      <w:hyperlink r:id="rId25" w:history="1">
        <w:r w:rsidRPr="008C0129">
          <w:rPr>
            <w:rStyle w:val="Hyperlink"/>
            <w:rFonts w:ascii="Arial" w:hAnsi="Arial" w:cs="Arial"/>
            <w:sz w:val="20"/>
            <w:szCs w:val="20"/>
          </w:rPr>
          <w:t>https://doi.org/10.1016/j.heliyon.2024.e30125</w:t>
        </w:r>
      </w:hyperlink>
    </w:p>
    <w:p w14:paraId="0D547E4F" w14:textId="7736C77D"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Nagarajan, R., Ramachandran, P., Dilipkumar, R., &amp; Kaur, P. (2024). Global estimate of burnout among the public health workforce: a systematic review and meta-analysis. Human Resources for Health, 22(1), 30. </w:t>
      </w:r>
      <w:hyperlink r:id="rId26" w:history="1">
        <w:r w:rsidRPr="008C0129">
          <w:rPr>
            <w:rStyle w:val="Hyperlink"/>
            <w:rFonts w:ascii="Arial" w:hAnsi="Arial" w:cs="Arial"/>
            <w:sz w:val="20"/>
            <w:szCs w:val="20"/>
          </w:rPr>
          <w:t>https://doi.org/10.1186/s12960-024-00917-w</w:t>
        </w:r>
      </w:hyperlink>
    </w:p>
    <w:p w14:paraId="407A82EF" w14:textId="1B167F27"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Niewiadomska, E., Łabuz-Roszak, B., Pawłowski, P., &amp; Wypych-Ślusarska, A. (2022). The physical and mental well-being of medical doctors in the Silesian Voivodeship. </w:t>
      </w:r>
      <w:r w:rsidRPr="0079608E">
        <w:rPr>
          <w:rFonts w:ascii="Arial" w:hAnsi="Arial" w:cs="Arial"/>
          <w:sz w:val="20"/>
          <w:szCs w:val="20"/>
        </w:rPr>
        <w:lastRenderedPageBreak/>
        <w:t xml:space="preserve">International Journal of Environmental Research and Public Health, 19(20), 13410. </w:t>
      </w:r>
      <w:hyperlink r:id="rId27" w:history="1">
        <w:r w:rsidRPr="008C0129">
          <w:rPr>
            <w:rStyle w:val="Hyperlink"/>
            <w:rFonts w:ascii="Arial" w:hAnsi="Arial" w:cs="Arial"/>
            <w:sz w:val="20"/>
            <w:szCs w:val="20"/>
          </w:rPr>
          <w:t>https://doi.org/10.3390/ijerph192013410</w:t>
        </w:r>
      </w:hyperlink>
    </w:p>
    <w:p w14:paraId="492A02F1" w14:textId="24E2ECB5"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Qedair, J. T., Balubaid, R., Almadani, R., Ezzi, S., Qumosani, T., Zahid, R., &amp; Alfayea, T. (2022). Prevalence and factors associated with burnout among nurses in Jeddah: a single-institution cross-sectional study. BMC Nursing, 21(1), 287. </w:t>
      </w:r>
      <w:hyperlink r:id="rId28" w:history="1">
        <w:r w:rsidRPr="008C0129">
          <w:rPr>
            <w:rStyle w:val="Hyperlink"/>
            <w:rFonts w:ascii="Arial" w:hAnsi="Arial" w:cs="Arial"/>
            <w:sz w:val="20"/>
            <w:szCs w:val="20"/>
          </w:rPr>
          <w:t>https://doi.org/10.1186/s12912-022-01070-2</w:t>
        </w:r>
      </w:hyperlink>
    </w:p>
    <w:p w14:paraId="166C2618" w14:textId="526D2F92"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Qin, Z., He, Z., Yang, Q., Meng, Z., Lei, Q., Wen, J., Shi, X., Liu, J., &amp; Wang, Z. (2023). Prevalence and correlators of burnout among health professionals during different stages of the COVID-19 pandemic in China. Frontiers in Psychiatry, 14, 1156313. </w:t>
      </w:r>
      <w:hyperlink r:id="rId29" w:history="1">
        <w:r w:rsidRPr="008C0129">
          <w:rPr>
            <w:rStyle w:val="Hyperlink"/>
            <w:rFonts w:ascii="Arial" w:hAnsi="Arial" w:cs="Arial"/>
            <w:sz w:val="20"/>
            <w:szCs w:val="20"/>
          </w:rPr>
          <w:t>https://doi.org/10.3389/fpsyt.2023.1156313</w:t>
        </w:r>
      </w:hyperlink>
    </w:p>
    <w:p w14:paraId="4520CAC2" w14:textId="21047055"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She, R., Wang, X., Zhang, Z., Li, J., Xu, J., You, H., Li, Y., Liang, Y., Li, S., Ma, L., Wang, X., Chen, X., Zhou, P., Lau, J., Hao, Y., Zhou, H., &amp; Gu, J. (2021). Mental health help-seeking and associated factors among public health workers during the COVID-19 outbreak in China. Frontiers in Public Health, 9, 622677. </w:t>
      </w:r>
      <w:hyperlink r:id="rId30" w:history="1">
        <w:r w:rsidRPr="008C0129">
          <w:rPr>
            <w:rStyle w:val="Hyperlink"/>
            <w:rFonts w:ascii="Arial" w:hAnsi="Arial" w:cs="Arial"/>
            <w:sz w:val="20"/>
            <w:szCs w:val="20"/>
          </w:rPr>
          <w:t>https://doi.org/10.3389/fpubh.2021.622677</w:t>
        </w:r>
      </w:hyperlink>
    </w:p>
    <w:p w14:paraId="79B3F64C" w14:textId="2D06C7C8"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Wismar, M., &amp; Goffin, T. (2023). Tackling the health workforce crisis: Towards a European Health Workforce Strategy. Eurohealth, 29(3), 22–26. </w:t>
      </w:r>
      <w:hyperlink r:id="rId31" w:history="1">
        <w:r w:rsidRPr="008C0129">
          <w:rPr>
            <w:rStyle w:val="Hyperlink"/>
            <w:rFonts w:ascii="Arial" w:hAnsi="Arial" w:cs="Arial"/>
            <w:sz w:val="20"/>
            <w:szCs w:val="20"/>
          </w:rPr>
          <w:t>https://iris.who.int/bitstream/handle/10665/375425/Eurohealth-29-3-22-26.pdf?sequence=1</w:t>
        </w:r>
      </w:hyperlink>
    </w:p>
    <w:p w14:paraId="283B2A3F" w14:textId="1F24CBAC" w:rsidR="00790ADA" w:rsidRDefault="0079608E" w:rsidP="00060D54">
      <w:pPr>
        <w:pStyle w:val="AbstHead"/>
        <w:numPr>
          <w:ilvl w:val="0"/>
          <w:numId w:val="5"/>
        </w:numPr>
        <w:spacing w:after="0"/>
        <w:jc w:val="both"/>
        <w:rPr>
          <w:rFonts w:ascii="Arial" w:hAnsi="Arial" w:cs="Arial"/>
          <w:b w:val="0"/>
          <w:caps w:val="0"/>
          <w:sz w:val="20"/>
        </w:rPr>
      </w:pPr>
      <w:r w:rsidRPr="0079608E">
        <w:rPr>
          <w:rFonts w:ascii="Arial" w:hAnsi="Arial" w:cs="Arial"/>
          <w:b w:val="0"/>
          <w:caps w:val="0"/>
          <w:sz w:val="20"/>
        </w:rPr>
        <w:t xml:space="preserve">Zhang, X. J., Song, Y., Jiang, T., Ding, N., &amp; Shi, T. Y. (2020). Interventions to reduce burnout of physicians and nurses: An overview of systematic reviews and meta-analyses. Medicine, 99(26), e20992. </w:t>
      </w:r>
      <w:hyperlink r:id="rId32" w:history="1">
        <w:r w:rsidRPr="008C0129">
          <w:rPr>
            <w:rStyle w:val="Hyperlink"/>
            <w:rFonts w:ascii="Arial" w:hAnsi="Arial" w:cs="Arial"/>
            <w:b w:val="0"/>
            <w:caps w:val="0"/>
            <w:sz w:val="20"/>
          </w:rPr>
          <w:t>https://doi.org/10.1097/MD.0000000000020992</w:t>
        </w:r>
      </w:hyperlink>
    </w:p>
    <w:p w14:paraId="1FF94AD6" w14:textId="77777777" w:rsidR="0079608E" w:rsidRPr="000C58A7" w:rsidRDefault="0079608E" w:rsidP="00441B6F">
      <w:pPr>
        <w:pStyle w:val="AbstHead"/>
        <w:spacing w:after="0"/>
        <w:jc w:val="both"/>
        <w:rPr>
          <w:rFonts w:ascii="Arial" w:hAnsi="Arial" w:cs="Arial"/>
          <w:sz w:val="20"/>
        </w:rPr>
      </w:pPr>
    </w:p>
    <w:sectPr w:rsidR="0079608E" w:rsidRPr="000C58A7" w:rsidSect="006B16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4A62" w14:textId="77777777" w:rsidR="00AE5774" w:rsidRDefault="00AE5774" w:rsidP="00C37E61">
      <w:r>
        <w:separator/>
      </w:r>
    </w:p>
  </w:endnote>
  <w:endnote w:type="continuationSeparator" w:id="0">
    <w:p w14:paraId="0F16F6B0" w14:textId="77777777" w:rsidR="00AE5774" w:rsidRDefault="00AE57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0870" w14:textId="77777777" w:rsidR="008C54DA" w:rsidRDefault="008C54DA">
    <w:pPr>
      <w:pStyle w:val="Footer"/>
      <w:rPr>
        <w:rFonts w:ascii="Arial" w:hAnsi="Arial" w:cs="Arial"/>
        <w:sz w:val="16"/>
      </w:rPr>
    </w:pPr>
  </w:p>
  <w:p w14:paraId="632D8009" w14:textId="77777777" w:rsidR="008C54DA" w:rsidRDefault="008C54D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395C0D2" w14:textId="77777777" w:rsidR="008C54DA" w:rsidRDefault="008C54DA">
    <w:pPr>
      <w:pStyle w:val="Footer"/>
      <w:rPr>
        <w:rFonts w:ascii="Arial" w:hAnsi="Arial" w:cs="Arial"/>
        <w:sz w:val="16"/>
      </w:rPr>
    </w:pPr>
  </w:p>
  <w:p w14:paraId="0313132E" w14:textId="77777777" w:rsidR="008C54DA" w:rsidRPr="009E048A" w:rsidRDefault="008C54D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FD70" w14:textId="77777777" w:rsidR="00AE5774" w:rsidRDefault="00AE5774" w:rsidP="00C37E61">
      <w:r>
        <w:separator/>
      </w:r>
    </w:p>
  </w:footnote>
  <w:footnote w:type="continuationSeparator" w:id="0">
    <w:p w14:paraId="186137BF" w14:textId="77777777" w:rsidR="00AE5774" w:rsidRDefault="00AE57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757E" w14:textId="3887A440" w:rsidR="008C54DA" w:rsidRDefault="00000000">
    <w:pPr>
      <w:pStyle w:val="Header"/>
    </w:pPr>
    <w:r>
      <w:rPr>
        <w:noProof/>
      </w:rPr>
      <w:pict w14:anchorId="2CE0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532" o:spid="_x0000_s1027"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FF58" w14:textId="7562D5AE" w:rsidR="008C54DA" w:rsidRDefault="00000000">
    <w:pPr>
      <w:pStyle w:val="Header"/>
    </w:pPr>
    <w:r>
      <w:rPr>
        <w:noProof/>
      </w:rPr>
      <w:pict w14:anchorId="070C1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533" o:spid="_x0000_s1026"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E4E2" w14:textId="5912D862" w:rsidR="008C54DA" w:rsidRPr="00296529" w:rsidRDefault="00000000" w:rsidP="00296529">
    <w:pPr>
      <w:ind w:left="2160"/>
      <w:jc w:val="center"/>
      <w:rPr>
        <w:rFonts w:ascii="Times New Roman" w:eastAsia="Calibri" w:hAnsi="Times New Roman"/>
        <w:i/>
        <w:sz w:val="18"/>
        <w:szCs w:val="22"/>
      </w:rPr>
    </w:pPr>
    <w:r>
      <w:rPr>
        <w:noProof/>
      </w:rPr>
      <w:pict w14:anchorId="7B67D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531" o:spid="_x0000_s1025"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ABD63A1" w14:textId="77777777" w:rsidR="008C54DA" w:rsidRPr="00296529" w:rsidRDefault="008C54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A3F3CD" w14:textId="77777777" w:rsidR="008C54DA" w:rsidRPr="00296529" w:rsidRDefault="008C54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CCD0EC" w14:textId="77777777" w:rsidR="008C54DA" w:rsidRPr="00296529" w:rsidRDefault="008C54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77B237" w14:textId="77777777" w:rsidR="008C54DA" w:rsidRDefault="008C54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CE8EE" w14:textId="77777777" w:rsidR="008C54DA" w:rsidRDefault="008C54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80E387" w14:textId="77777777" w:rsidR="008C54DA" w:rsidRDefault="008C54D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7612B"/>
    <w:multiLevelType w:val="hybridMultilevel"/>
    <w:tmpl w:val="E9C6D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E1355"/>
    <w:multiLevelType w:val="hybridMultilevel"/>
    <w:tmpl w:val="A16A0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E690F"/>
    <w:multiLevelType w:val="hybridMultilevel"/>
    <w:tmpl w:val="530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BC66D8"/>
    <w:multiLevelType w:val="hybridMultilevel"/>
    <w:tmpl w:val="7BFA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15:restartNumberingAfterBreak="0">
    <w:nsid w:val="78DF462B"/>
    <w:multiLevelType w:val="hybridMultilevel"/>
    <w:tmpl w:val="59A0E746"/>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45207679">
    <w:abstractNumId w:val="5"/>
  </w:num>
  <w:num w:numId="2" w16cid:durableId="1530222488">
    <w:abstractNumId w:val="4"/>
  </w:num>
  <w:num w:numId="3" w16cid:durableId="1515680312">
    <w:abstractNumId w:val="2"/>
  </w:num>
  <w:num w:numId="4" w16cid:durableId="310717625">
    <w:abstractNumId w:val="3"/>
  </w:num>
  <w:num w:numId="5" w16cid:durableId="1677728131">
    <w:abstractNumId w:val="6"/>
  </w:num>
  <w:num w:numId="6" w16cid:durableId="1592083705">
    <w:abstractNumId w:val="1"/>
  </w:num>
  <w:num w:numId="7" w16cid:durableId="12015068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E2"/>
    <w:rsid w:val="00030174"/>
    <w:rsid w:val="0003586D"/>
    <w:rsid w:val="0004579C"/>
    <w:rsid w:val="00060D54"/>
    <w:rsid w:val="000A47FA"/>
    <w:rsid w:val="000A65D3"/>
    <w:rsid w:val="000B1E33"/>
    <w:rsid w:val="000C58A7"/>
    <w:rsid w:val="000D689F"/>
    <w:rsid w:val="000E7B7B"/>
    <w:rsid w:val="000E7D62"/>
    <w:rsid w:val="00103357"/>
    <w:rsid w:val="001237FE"/>
    <w:rsid w:val="00123C9F"/>
    <w:rsid w:val="00126190"/>
    <w:rsid w:val="00130F17"/>
    <w:rsid w:val="001320BF"/>
    <w:rsid w:val="00163BC4"/>
    <w:rsid w:val="00191062"/>
    <w:rsid w:val="00192B72"/>
    <w:rsid w:val="001A29D8"/>
    <w:rsid w:val="001A5CAA"/>
    <w:rsid w:val="001B0427"/>
    <w:rsid w:val="001B3DC5"/>
    <w:rsid w:val="001B4C23"/>
    <w:rsid w:val="001C5971"/>
    <w:rsid w:val="001D3A51"/>
    <w:rsid w:val="001E10D2"/>
    <w:rsid w:val="001E25B4"/>
    <w:rsid w:val="001E44FE"/>
    <w:rsid w:val="00200595"/>
    <w:rsid w:val="00204835"/>
    <w:rsid w:val="00215BF7"/>
    <w:rsid w:val="00231920"/>
    <w:rsid w:val="0023195C"/>
    <w:rsid w:val="00233B02"/>
    <w:rsid w:val="0024282C"/>
    <w:rsid w:val="002460DC"/>
    <w:rsid w:val="00250985"/>
    <w:rsid w:val="002556F6"/>
    <w:rsid w:val="00277C9B"/>
    <w:rsid w:val="00283105"/>
    <w:rsid w:val="00284C4C"/>
    <w:rsid w:val="00287E68"/>
    <w:rsid w:val="0029316A"/>
    <w:rsid w:val="00296529"/>
    <w:rsid w:val="002B27FB"/>
    <w:rsid w:val="002B685A"/>
    <w:rsid w:val="002C30BD"/>
    <w:rsid w:val="002C57D2"/>
    <w:rsid w:val="002E0D56"/>
    <w:rsid w:val="00315186"/>
    <w:rsid w:val="0033343E"/>
    <w:rsid w:val="003512C2"/>
    <w:rsid w:val="00371FB6"/>
    <w:rsid w:val="003763C1"/>
    <w:rsid w:val="00376BBE"/>
    <w:rsid w:val="0039224F"/>
    <w:rsid w:val="003A43A4"/>
    <w:rsid w:val="003A7E18"/>
    <w:rsid w:val="003B1D77"/>
    <w:rsid w:val="003B388E"/>
    <w:rsid w:val="003B7C74"/>
    <w:rsid w:val="003C4C86"/>
    <w:rsid w:val="003C6258"/>
    <w:rsid w:val="003E2904"/>
    <w:rsid w:val="003F062E"/>
    <w:rsid w:val="00401927"/>
    <w:rsid w:val="0041027F"/>
    <w:rsid w:val="00412475"/>
    <w:rsid w:val="00423789"/>
    <w:rsid w:val="00440F43"/>
    <w:rsid w:val="00441B6F"/>
    <w:rsid w:val="00446221"/>
    <w:rsid w:val="00450E62"/>
    <w:rsid w:val="004539DB"/>
    <w:rsid w:val="0046328A"/>
    <w:rsid w:val="00471A80"/>
    <w:rsid w:val="00484F1C"/>
    <w:rsid w:val="004A308B"/>
    <w:rsid w:val="004D305E"/>
    <w:rsid w:val="004D4277"/>
    <w:rsid w:val="00502516"/>
    <w:rsid w:val="00505F06"/>
    <w:rsid w:val="00506828"/>
    <w:rsid w:val="005257B7"/>
    <w:rsid w:val="0053056E"/>
    <w:rsid w:val="0054084E"/>
    <w:rsid w:val="00552B76"/>
    <w:rsid w:val="00553DFE"/>
    <w:rsid w:val="00554FDA"/>
    <w:rsid w:val="005C784C"/>
    <w:rsid w:val="005D17F6"/>
    <w:rsid w:val="005E5539"/>
    <w:rsid w:val="00602BF5"/>
    <w:rsid w:val="00606E6F"/>
    <w:rsid w:val="00617FDD"/>
    <w:rsid w:val="00621BFA"/>
    <w:rsid w:val="00633614"/>
    <w:rsid w:val="00633F68"/>
    <w:rsid w:val="00636EB2"/>
    <w:rsid w:val="006375B8"/>
    <w:rsid w:val="006420EA"/>
    <w:rsid w:val="006521FD"/>
    <w:rsid w:val="0066115F"/>
    <w:rsid w:val="0066510A"/>
    <w:rsid w:val="00673F9F"/>
    <w:rsid w:val="00686953"/>
    <w:rsid w:val="00687DEA"/>
    <w:rsid w:val="00687E67"/>
    <w:rsid w:val="006967F7"/>
    <w:rsid w:val="006A11E7"/>
    <w:rsid w:val="006A250C"/>
    <w:rsid w:val="006B16CE"/>
    <w:rsid w:val="006B21D3"/>
    <w:rsid w:val="006B57D0"/>
    <w:rsid w:val="006D30FF"/>
    <w:rsid w:val="006D6940"/>
    <w:rsid w:val="006F11EC"/>
    <w:rsid w:val="0070082C"/>
    <w:rsid w:val="007146C9"/>
    <w:rsid w:val="00715279"/>
    <w:rsid w:val="007369E6"/>
    <w:rsid w:val="00746E59"/>
    <w:rsid w:val="00754C9A"/>
    <w:rsid w:val="0075599A"/>
    <w:rsid w:val="00761D52"/>
    <w:rsid w:val="0077749E"/>
    <w:rsid w:val="0078154D"/>
    <w:rsid w:val="00781C69"/>
    <w:rsid w:val="007867B2"/>
    <w:rsid w:val="00790ADA"/>
    <w:rsid w:val="0079608E"/>
    <w:rsid w:val="007B4107"/>
    <w:rsid w:val="007D090D"/>
    <w:rsid w:val="007D2288"/>
    <w:rsid w:val="007E088F"/>
    <w:rsid w:val="007F7B32"/>
    <w:rsid w:val="00804BC2"/>
    <w:rsid w:val="0081431A"/>
    <w:rsid w:val="0083216F"/>
    <w:rsid w:val="00837EC1"/>
    <w:rsid w:val="00860000"/>
    <w:rsid w:val="00863BD3"/>
    <w:rsid w:val="008641ED"/>
    <w:rsid w:val="00866D66"/>
    <w:rsid w:val="008671C6"/>
    <w:rsid w:val="00875803"/>
    <w:rsid w:val="00892AB9"/>
    <w:rsid w:val="008B459E"/>
    <w:rsid w:val="008C54DA"/>
    <w:rsid w:val="008E13AE"/>
    <w:rsid w:val="008E1506"/>
    <w:rsid w:val="008E61B1"/>
    <w:rsid w:val="008E710C"/>
    <w:rsid w:val="008F69D6"/>
    <w:rsid w:val="00902823"/>
    <w:rsid w:val="00915CA6"/>
    <w:rsid w:val="009163BE"/>
    <w:rsid w:val="00927834"/>
    <w:rsid w:val="009500A6"/>
    <w:rsid w:val="00957C18"/>
    <w:rsid w:val="009634CE"/>
    <w:rsid w:val="009659BA"/>
    <w:rsid w:val="00983040"/>
    <w:rsid w:val="009A5BD0"/>
    <w:rsid w:val="009B3FB9"/>
    <w:rsid w:val="009C2465"/>
    <w:rsid w:val="009D35A0"/>
    <w:rsid w:val="009D7EB7"/>
    <w:rsid w:val="009E048A"/>
    <w:rsid w:val="009E08E9"/>
    <w:rsid w:val="009E3DB9"/>
    <w:rsid w:val="009E6E35"/>
    <w:rsid w:val="009F0EDA"/>
    <w:rsid w:val="00A03B96"/>
    <w:rsid w:val="00A05B19"/>
    <w:rsid w:val="00A072D0"/>
    <w:rsid w:val="00A1134E"/>
    <w:rsid w:val="00A24E7E"/>
    <w:rsid w:val="00A258C3"/>
    <w:rsid w:val="00A347C0"/>
    <w:rsid w:val="00A51431"/>
    <w:rsid w:val="00A539AD"/>
    <w:rsid w:val="00A56773"/>
    <w:rsid w:val="00A94063"/>
    <w:rsid w:val="00AA6219"/>
    <w:rsid w:val="00AA74E0"/>
    <w:rsid w:val="00AB703F"/>
    <w:rsid w:val="00AC6BB8"/>
    <w:rsid w:val="00AE008F"/>
    <w:rsid w:val="00AE5774"/>
    <w:rsid w:val="00B01FCD"/>
    <w:rsid w:val="00B1776C"/>
    <w:rsid w:val="00B52583"/>
    <w:rsid w:val="00B52896"/>
    <w:rsid w:val="00B95236"/>
    <w:rsid w:val="00B96BD9"/>
    <w:rsid w:val="00BA1B01"/>
    <w:rsid w:val="00BA2641"/>
    <w:rsid w:val="00BB37AA"/>
    <w:rsid w:val="00BC53A0"/>
    <w:rsid w:val="00BE62AD"/>
    <w:rsid w:val="00BF121F"/>
    <w:rsid w:val="00BF1F80"/>
    <w:rsid w:val="00C12290"/>
    <w:rsid w:val="00C166EF"/>
    <w:rsid w:val="00C17EB0"/>
    <w:rsid w:val="00C27F5F"/>
    <w:rsid w:val="00C30A0F"/>
    <w:rsid w:val="00C37E61"/>
    <w:rsid w:val="00C45BBB"/>
    <w:rsid w:val="00C70F1B"/>
    <w:rsid w:val="00C71A47"/>
    <w:rsid w:val="00C7464C"/>
    <w:rsid w:val="00C823F4"/>
    <w:rsid w:val="00C85588"/>
    <w:rsid w:val="00C914C4"/>
    <w:rsid w:val="00C93934"/>
    <w:rsid w:val="00CD6755"/>
    <w:rsid w:val="00CD6856"/>
    <w:rsid w:val="00CE0089"/>
    <w:rsid w:val="00CE793C"/>
    <w:rsid w:val="00CF12A9"/>
    <w:rsid w:val="00CF193C"/>
    <w:rsid w:val="00D1524A"/>
    <w:rsid w:val="00D173F1"/>
    <w:rsid w:val="00D2655F"/>
    <w:rsid w:val="00D448F8"/>
    <w:rsid w:val="00D64A93"/>
    <w:rsid w:val="00D74CB0"/>
    <w:rsid w:val="00D8295D"/>
    <w:rsid w:val="00DA125D"/>
    <w:rsid w:val="00DB07FA"/>
    <w:rsid w:val="00DC2A65"/>
    <w:rsid w:val="00DD0612"/>
    <w:rsid w:val="00DE15F0"/>
    <w:rsid w:val="00DE5663"/>
    <w:rsid w:val="00DE78AA"/>
    <w:rsid w:val="00E053D0"/>
    <w:rsid w:val="00E15994"/>
    <w:rsid w:val="00E3114E"/>
    <w:rsid w:val="00E31A70"/>
    <w:rsid w:val="00E35B02"/>
    <w:rsid w:val="00E66496"/>
    <w:rsid w:val="00E66B35"/>
    <w:rsid w:val="00E66E10"/>
    <w:rsid w:val="00E769F6"/>
    <w:rsid w:val="00E76F36"/>
    <w:rsid w:val="00E8407C"/>
    <w:rsid w:val="00E84F3C"/>
    <w:rsid w:val="00EA012C"/>
    <w:rsid w:val="00EC1C66"/>
    <w:rsid w:val="00EC6A55"/>
    <w:rsid w:val="00ED0288"/>
    <w:rsid w:val="00EE52CB"/>
    <w:rsid w:val="00EF581D"/>
    <w:rsid w:val="00EF7FD8"/>
    <w:rsid w:val="00F0376F"/>
    <w:rsid w:val="00F06F59"/>
    <w:rsid w:val="00F17988"/>
    <w:rsid w:val="00F23B58"/>
    <w:rsid w:val="00F469F0"/>
    <w:rsid w:val="00F53273"/>
    <w:rsid w:val="00F7364C"/>
    <w:rsid w:val="00F755E4"/>
    <w:rsid w:val="00F77D02"/>
    <w:rsid w:val="00F77DB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64D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C58A7"/>
    <w:pPr>
      <w:keepNext/>
      <w:keepLines/>
      <w:spacing w:before="360" w:after="200" w:line="276" w:lineRule="auto"/>
      <w:outlineLvl w:val="1"/>
    </w:pPr>
    <w:rPr>
      <w:rFonts w:ascii="Times New Roman" w:hAnsi="Times New Roman"/>
      <w:b/>
      <w:sz w:val="24"/>
      <w:szCs w:val="24"/>
      <w:lang w:val="en-ZW" w:eastAsia="en-GB"/>
    </w:rPr>
  </w:style>
  <w:style w:type="paragraph" w:styleId="Heading3">
    <w:name w:val="heading 3"/>
    <w:basedOn w:val="Normal"/>
    <w:next w:val="Normal"/>
    <w:link w:val="Heading3Char"/>
    <w:semiHidden/>
    <w:unhideWhenUsed/>
    <w:qFormat/>
    <w:rsid w:val="007867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CF12A9"/>
    <w:pPr>
      <w:spacing w:after="120"/>
    </w:pPr>
  </w:style>
  <w:style w:type="character" w:customStyle="1" w:styleId="BodyTextChar">
    <w:name w:val="Body Text Char"/>
    <w:basedOn w:val="DefaultParagraphFont"/>
    <w:link w:val="BodyText"/>
    <w:uiPriority w:val="1"/>
    <w:rsid w:val="00CF12A9"/>
    <w:rPr>
      <w:rFonts w:ascii="Helvetica" w:hAnsi="Helvetica"/>
    </w:rPr>
  </w:style>
  <w:style w:type="character" w:customStyle="1" w:styleId="Heading2Char">
    <w:name w:val="Heading 2 Char"/>
    <w:basedOn w:val="DefaultParagraphFont"/>
    <w:link w:val="Heading2"/>
    <w:uiPriority w:val="9"/>
    <w:rsid w:val="000C58A7"/>
    <w:rPr>
      <w:b/>
      <w:sz w:val="24"/>
      <w:szCs w:val="24"/>
      <w:lang w:val="en-ZW" w:eastAsia="en-GB"/>
    </w:rPr>
  </w:style>
  <w:style w:type="character" w:customStyle="1" w:styleId="Heading1Char">
    <w:name w:val="Heading 1 Char"/>
    <w:basedOn w:val="DefaultParagraphFont"/>
    <w:link w:val="Heading1"/>
    <w:uiPriority w:val="9"/>
    <w:rsid w:val="000C58A7"/>
    <w:rPr>
      <w:rFonts w:ascii="Arial" w:hAnsi="Arial"/>
      <w:b/>
      <w:kern w:val="28"/>
      <w:sz w:val="28"/>
    </w:rPr>
  </w:style>
  <w:style w:type="character" w:customStyle="1" w:styleId="TitleChar">
    <w:name w:val="Title Char"/>
    <w:basedOn w:val="DefaultParagraphFont"/>
    <w:link w:val="Title"/>
    <w:uiPriority w:val="10"/>
    <w:rsid w:val="000C58A7"/>
    <w:rPr>
      <w:rFonts w:ascii="Helvetica" w:hAnsi="Helvetica"/>
      <w:b/>
      <w:kern w:val="28"/>
      <w:sz w:val="36"/>
    </w:rPr>
  </w:style>
  <w:style w:type="paragraph" w:styleId="ListParagraph">
    <w:name w:val="List Paragraph"/>
    <w:basedOn w:val="Normal"/>
    <w:uiPriority w:val="34"/>
    <w:qFormat/>
    <w:rsid w:val="000C58A7"/>
    <w:pPr>
      <w:widowControl w:val="0"/>
      <w:autoSpaceDE w:val="0"/>
      <w:autoSpaceDN w:val="0"/>
      <w:ind w:left="555" w:hanging="215"/>
      <w:jc w:val="both"/>
    </w:pPr>
    <w:rPr>
      <w:rFonts w:ascii="Times New Roman" w:hAnsi="Times New Roman"/>
      <w:sz w:val="22"/>
      <w:szCs w:val="22"/>
    </w:rPr>
  </w:style>
  <w:style w:type="paragraph" w:customStyle="1" w:styleId="TableParagraph">
    <w:name w:val="Table Paragraph"/>
    <w:basedOn w:val="Normal"/>
    <w:uiPriority w:val="1"/>
    <w:qFormat/>
    <w:rsid w:val="000C58A7"/>
    <w:pPr>
      <w:widowControl w:val="0"/>
      <w:autoSpaceDE w:val="0"/>
      <w:autoSpaceDN w:val="0"/>
    </w:pPr>
    <w:rPr>
      <w:rFonts w:ascii="Times New Roman" w:hAnsi="Times New Roman"/>
      <w:sz w:val="22"/>
      <w:szCs w:val="22"/>
    </w:rPr>
  </w:style>
  <w:style w:type="paragraph" w:styleId="Caption">
    <w:name w:val="caption"/>
    <w:basedOn w:val="Normal"/>
    <w:next w:val="Normal"/>
    <w:uiPriority w:val="35"/>
    <w:qFormat/>
    <w:rsid w:val="000C58A7"/>
    <w:pPr>
      <w:keepLines/>
      <w:widowControl w:val="0"/>
      <w:spacing w:before="200" w:after="240" w:line="200" w:lineRule="exact"/>
    </w:pPr>
    <w:rPr>
      <w:rFonts w:ascii="Times New Roman" w:eastAsia="SimSun" w:hAnsi="Times New Roman"/>
      <w:sz w:val="16"/>
      <w:lang w:val="en-GB"/>
    </w:rPr>
  </w:style>
  <w:style w:type="paragraph" w:customStyle="1" w:styleId="Els-body-text">
    <w:name w:val="Els-body-text"/>
    <w:rsid w:val="000C58A7"/>
    <w:pPr>
      <w:spacing w:line="240" w:lineRule="exact"/>
      <w:ind w:firstLine="238"/>
      <w:jc w:val="both"/>
    </w:pPr>
    <w:rPr>
      <w:rFonts w:eastAsia="SimSun"/>
    </w:rPr>
  </w:style>
  <w:style w:type="paragraph" w:customStyle="1" w:styleId="Els-1storder-head">
    <w:name w:val="Els-1storder-head"/>
    <w:next w:val="Els-body-text"/>
    <w:rsid w:val="000C58A7"/>
    <w:pPr>
      <w:keepNext/>
      <w:numPr>
        <w:numId w:val="2"/>
      </w:numPr>
      <w:suppressAutoHyphens/>
      <w:spacing w:before="240" w:after="240" w:line="240" w:lineRule="exact"/>
    </w:pPr>
    <w:rPr>
      <w:rFonts w:eastAsia="SimSun"/>
      <w:b/>
    </w:rPr>
  </w:style>
  <w:style w:type="paragraph" w:customStyle="1" w:styleId="Els-2ndorder-head">
    <w:name w:val="Els-2ndorder-head"/>
    <w:next w:val="Els-body-text"/>
    <w:rsid w:val="000C58A7"/>
    <w:pPr>
      <w:keepNext/>
      <w:numPr>
        <w:ilvl w:val="1"/>
        <w:numId w:val="2"/>
      </w:numPr>
      <w:suppressAutoHyphens/>
      <w:spacing w:before="240" w:after="240" w:line="240" w:lineRule="exact"/>
    </w:pPr>
    <w:rPr>
      <w:rFonts w:eastAsia="SimSun"/>
      <w:i/>
    </w:rPr>
  </w:style>
  <w:style w:type="paragraph" w:customStyle="1" w:styleId="Els-3rdorder-head">
    <w:name w:val="Els-3rdorder-head"/>
    <w:next w:val="Els-body-text"/>
    <w:rsid w:val="000C58A7"/>
    <w:pPr>
      <w:keepNext/>
      <w:numPr>
        <w:ilvl w:val="2"/>
        <w:numId w:val="2"/>
      </w:numPr>
      <w:suppressAutoHyphens/>
      <w:spacing w:before="240" w:line="240" w:lineRule="exact"/>
    </w:pPr>
    <w:rPr>
      <w:rFonts w:eastAsia="SimSun"/>
      <w:i/>
    </w:rPr>
  </w:style>
  <w:style w:type="paragraph" w:customStyle="1" w:styleId="Els-4thorder-head">
    <w:name w:val="Els-4thorder-head"/>
    <w:next w:val="Els-body-text"/>
    <w:rsid w:val="000C58A7"/>
    <w:pPr>
      <w:keepNext/>
      <w:numPr>
        <w:ilvl w:val="3"/>
        <w:numId w:val="2"/>
      </w:numPr>
      <w:suppressAutoHyphens/>
      <w:spacing w:before="240" w:line="240" w:lineRule="exact"/>
    </w:pPr>
    <w:rPr>
      <w:rFonts w:eastAsia="SimSun"/>
      <w:i/>
    </w:rPr>
  </w:style>
  <w:style w:type="table" w:styleId="GridTable4-Accent2">
    <w:name w:val="Grid Table 4 Accent 2"/>
    <w:basedOn w:val="TableNormal"/>
    <w:uiPriority w:val="49"/>
    <w:rsid w:val="000C58A7"/>
    <w:rPr>
      <w:rFonts w:ascii="Arial" w:eastAsia="Arial" w:hAnsi="Arial" w:cs="Arial"/>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0C58A7"/>
    <w:rPr>
      <w:rFonts w:ascii="Arial" w:eastAsia="Arial" w:hAnsi="Arial" w:cs="Arial"/>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qFormat/>
    <w:rsid w:val="00C914C4"/>
    <w:rPr>
      <w:b/>
      <w:bCs/>
    </w:rPr>
  </w:style>
  <w:style w:type="character" w:customStyle="1" w:styleId="Heading3Char">
    <w:name w:val="Heading 3 Char"/>
    <w:basedOn w:val="DefaultParagraphFont"/>
    <w:link w:val="Heading3"/>
    <w:semiHidden/>
    <w:rsid w:val="007867B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867B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0858177">
      <w:bodyDiv w:val="1"/>
      <w:marLeft w:val="0"/>
      <w:marRight w:val="0"/>
      <w:marTop w:val="0"/>
      <w:marBottom w:val="0"/>
      <w:divBdr>
        <w:top w:val="none" w:sz="0" w:space="0" w:color="auto"/>
        <w:left w:val="none" w:sz="0" w:space="0" w:color="auto"/>
        <w:bottom w:val="none" w:sz="0" w:space="0" w:color="auto"/>
        <w:right w:val="none" w:sz="0" w:space="0" w:color="auto"/>
      </w:divBdr>
    </w:div>
    <w:div w:id="13611913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4762063">
      <w:bodyDiv w:val="1"/>
      <w:marLeft w:val="0"/>
      <w:marRight w:val="0"/>
      <w:marTop w:val="0"/>
      <w:marBottom w:val="0"/>
      <w:divBdr>
        <w:top w:val="none" w:sz="0" w:space="0" w:color="auto"/>
        <w:left w:val="none" w:sz="0" w:space="0" w:color="auto"/>
        <w:bottom w:val="none" w:sz="0" w:space="0" w:color="auto"/>
        <w:right w:val="none" w:sz="0" w:space="0" w:color="auto"/>
      </w:divBdr>
    </w:div>
    <w:div w:id="8172586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23371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3732630">
      <w:bodyDiv w:val="1"/>
      <w:marLeft w:val="0"/>
      <w:marRight w:val="0"/>
      <w:marTop w:val="0"/>
      <w:marBottom w:val="0"/>
      <w:divBdr>
        <w:top w:val="none" w:sz="0" w:space="0" w:color="auto"/>
        <w:left w:val="none" w:sz="0" w:space="0" w:color="auto"/>
        <w:bottom w:val="none" w:sz="0" w:space="0" w:color="auto"/>
        <w:right w:val="none" w:sz="0" w:space="0" w:color="auto"/>
      </w:divBdr>
    </w:div>
    <w:div w:id="2065908006">
      <w:bodyDiv w:val="1"/>
      <w:marLeft w:val="0"/>
      <w:marRight w:val="0"/>
      <w:marTop w:val="0"/>
      <w:marBottom w:val="0"/>
      <w:divBdr>
        <w:top w:val="none" w:sz="0" w:space="0" w:color="auto"/>
        <w:left w:val="none" w:sz="0" w:space="0" w:color="auto"/>
        <w:bottom w:val="none" w:sz="0" w:space="0" w:color="auto"/>
        <w:right w:val="none" w:sz="0" w:space="0" w:color="auto"/>
      </w:divBdr>
    </w:div>
    <w:div w:id="2100715560">
      <w:bodyDiv w:val="1"/>
      <w:marLeft w:val="0"/>
      <w:marRight w:val="0"/>
      <w:marTop w:val="0"/>
      <w:marBottom w:val="0"/>
      <w:divBdr>
        <w:top w:val="none" w:sz="0" w:space="0" w:color="auto"/>
        <w:left w:val="none" w:sz="0" w:space="0" w:color="auto"/>
        <w:bottom w:val="none" w:sz="0" w:space="0" w:color="auto"/>
        <w:right w:val="none" w:sz="0" w:space="0" w:color="auto"/>
      </w:divBdr>
    </w:div>
    <w:div w:id="210665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4103/jfmpc.jfmpc_743_19" TargetMode="External"/><Relationship Id="rId18" Type="http://schemas.openxmlformats.org/officeDocument/2006/relationships/hyperlink" Target="https://doi.org/10.4324/9781003255574" TargetMode="External"/><Relationship Id="rId26" Type="http://schemas.openxmlformats.org/officeDocument/2006/relationships/hyperlink" Target="https://doi.org/10.1186/s12960-024-00917-w" TargetMode="External"/><Relationship Id="rId3" Type="http://schemas.openxmlformats.org/officeDocument/2006/relationships/styles" Target="styles.xml"/><Relationship Id="rId21" Type="http://schemas.openxmlformats.org/officeDocument/2006/relationships/hyperlink" Target="https://doi.org/10.1080/00207411.2021.194690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36/bmjgh-2021-008317" TargetMode="External"/><Relationship Id="rId17" Type="http://schemas.openxmlformats.org/officeDocument/2006/relationships/hyperlink" Target="https://doi.org/10.4103/ijabmr.ijabmr_547_21" TargetMode="External"/><Relationship Id="rId25" Type="http://schemas.openxmlformats.org/officeDocument/2006/relationships/hyperlink" Target="https://doi.org/10.1016/j.heliyon.2024.e3012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2144-020-00620-8" TargetMode="External"/><Relationship Id="rId20" Type="http://schemas.openxmlformats.org/officeDocument/2006/relationships/hyperlink" Target="https://link.springer.com/article/10.1186/s12913-017-2319-8" TargetMode="External"/><Relationship Id="rId29" Type="http://schemas.openxmlformats.org/officeDocument/2006/relationships/hyperlink" Target="https://doi.org/10.3389/fpsyt.2023.11563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86/s12909-023-04316-y" TargetMode="External"/><Relationship Id="rId32" Type="http://schemas.openxmlformats.org/officeDocument/2006/relationships/hyperlink" Target="https://doi.org/10.1097/MD.0000000000020992" TargetMode="External"/><Relationship Id="rId5" Type="http://schemas.openxmlformats.org/officeDocument/2006/relationships/webSettings" Target="webSettings.xml"/><Relationship Id="rId15" Type="http://schemas.openxmlformats.org/officeDocument/2006/relationships/hyperlink" Target="https://doi.org/10.5271/sjweh.3935" TargetMode="External"/><Relationship Id="rId23" Type="http://schemas.openxmlformats.org/officeDocument/2006/relationships/hyperlink" Target="https://doi.org/10.1186/s12913-022-08539-5" TargetMode="External"/><Relationship Id="rId28" Type="http://schemas.openxmlformats.org/officeDocument/2006/relationships/hyperlink" Target="https://doi.org/10.1186/s12912-022-01070-2" TargetMode="External"/><Relationship Id="rId10" Type="http://schemas.openxmlformats.org/officeDocument/2006/relationships/header" Target="header3.xml"/><Relationship Id="rId19" Type="http://schemas.openxmlformats.org/officeDocument/2006/relationships/hyperlink" Target="https://doi.org/10.1136/bmj.o945" TargetMode="External"/><Relationship Id="rId31" Type="http://schemas.openxmlformats.org/officeDocument/2006/relationships/hyperlink" Target="https://iris.who.int/bitstream/handle/10665/375425/Eurohealth-29-3-22-26.pdf?sequence=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s44184-024-00061-2" TargetMode="External"/><Relationship Id="rId22" Type="http://schemas.openxmlformats.org/officeDocument/2006/relationships/hyperlink" Target="https://doi.org/10.1111/vec.12916" TargetMode="External"/><Relationship Id="rId27" Type="http://schemas.openxmlformats.org/officeDocument/2006/relationships/hyperlink" Target="https://doi.org/10.3390/ijerph192013410" TargetMode="External"/><Relationship Id="rId30" Type="http://schemas.openxmlformats.org/officeDocument/2006/relationships/hyperlink" Target="https://doi.org/10.3389/fpubh.2021.6226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30CD-B4F7-4533-AAB8-F75265D3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18</Pages>
  <Words>9001</Words>
  <Characters>51307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60188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8</cp:revision>
  <cp:lastPrinted>1999-07-06T11:00:00Z</cp:lastPrinted>
  <dcterms:created xsi:type="dcterms:W3CDTF">2026-04-14T20:29:00Z</dcterms:created>
  <dcterms:modified xsi:type="dcterms:W3CDTF">2026-04-23T08:05:00Z</dcterms:modified>
</cp:coreProperties>
</file>