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Health System Strengthening and Uptake of IPTp-SP during Antenatal Care: A Quasi-Experimental Study in Osun State, Nigeria</w:t>
        <w:br w:type="textWrapping"/>
      </w:r>
    </w:p>
    <w:p w:rsidR="00000000" w:rsidDel="00000000" w:rsidP="00000000" w:rsidRDefault="00000000" w:rsidRPr="00000000" w14:paraId="00000002">
      <w:pPr>
        <w:spacing w:line="48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3">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w:t>
        <w:br w:type="textWrapping"/>
        <w:t xml:space="preserve">Background: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Malaria in pregnancy remains a major public health problem in Nigeria, contributing significantly to maternal and neonatal morbidity and mortality. Despite the effectiveness of IPTp-SP, its uptake remains low due to weak ANC systems and inadequate health education. This study assessed the effect of health system strengthening on IPTp-SP uptake in Osun State, Nigeria.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Methods: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non-equivalent control-group quasi-experimental design was employed, with baseline and endline facility-based surveys conducted in three secondary health facilities across Osun State. The intervention was implemented at State Specialist Hospital, Asubiaro, while State Hospital Ede and State Hospital Ilesa served as control sites. A total of 250 pregnant women aged 18–49 years who had received at least one dose of IPTp-SP were recruited using systematic sampling. The intervention, conducted over eight weeks, included structured health education, provider training, improved data documentation using NHMIS registers, WhatsApp-based reminders, and logistical support for SP administration. Data were collected using interviewer-administered questionnaires via KoboCollect and analyzed using SPSS version 23. Descriptive and comparative analyses were performed, with statistical significance set at p &lt; 0.05.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baseline, both groups showed poor knowledge of malaria and IPTp-SP. Following the intervention, the intervention group demonstrated a marked improvement in knowledge of malaria causation, risk during pregnancy, and IPTp-SP use, reaching 100% correct responses in key domains, while the control group showed minimal change.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Health system strengthening through structured ANC education improves knowledge of malaria and IPTp-SP. Integrating such education into routine ANC is essential for improving IPTp-SP uptake and reducing malaria in pregnancy.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Malaria in pregnancy, IPTp-SP, antenatal care, health system strengthening, quasi-experimental study, Nigeria.</w:t>
      </w:r>
    </w:p>
    <w:p w:rsidR="00000000" w:rsidDel="00000000" w:rsidP="00000000" w:rsidRDefault="00000000" w:rsidRPr="00000000" w14:paraId="00000009">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spacing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0">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1">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2">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3">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4">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5">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6">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7">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8">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9">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A">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B">
      <w:pPr>
        <w:spacing w:line="48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C">
      <w:pP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Introduction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Malaria remains one of the most significant global public health challenges, with a disproportionate burden in sub-Saharan Africa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Recent estimates indicate that there were approximately 249 million malaria cases and 608,000 deaths globally, with about 94–95% of these occurring in Africa </w:t>
      </w: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Nigeria alone accounts for nearly 27% of global malaria cases and about 31% of malaria-related deaths, making it the highest contributor to the global malaria burden [4,5]. Within this context, pregnant women are particularly vulnerable, with an estimated 25 million pregnancies exposed to malaria annually in endemic regions [6], resulting in over 10,000 maternal deaths and approximately 200,000 neonatal deaths each year [7]. Malaria in pregnancy is also responsible for more than 800,000 cases of low birth weight annually, further contributing to neonatal morbidity and mortality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outcomes are largely driven by pregnancy-associated immunological changes and the pathological process of placental malaria, where sequestration of infected erythrocytes in the placenta leads to maternal anaemia [8], intrauterine growth restriction [9], preterm delivery [10], and stillbirth [11]. In high-transmission settings such as Nigeria, studies suggest that up to 60–80% of pregnant women may experience malaria infection during pregnancy, reflecting the persistent intensity of transmission [12].</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Despite ongoing control efforts, malaria remains endemic in Nigeria due to a combination of environmental, socio-economic, and health system factors [13]. Favorable climatic conditions, including high rainfall and temperature, support year-round mosquito breeding, while poor sanitation, inadequate vector control, and rapid urbanization sustain transmission [14]. Although antenatal care (ANC) coverage is relatively high, the effective delivery of malaria prevention interventions remains suboptimal [15]. National data show that while over 80% of pregnant women attend at least one ANC visit, only about 63% receive at least one dose of intermittent preventive treatment in pregnancy with Sulphadoxine-Pyrimethamine (IPTp-SP) [</w:t>
      </w: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just 32% receive the recommended three or more doses (IPTp3+) (NMIS, 2021) [16]. This indicates a clear gap between service utilization and optimal preventive coverage.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address this burden, the World Health Organization recommends IPTp-SP as a key intervention in moderate to high transmission settings [17]. The guideline advocates monthly administration of SP from the second trimester until delivery under directly observed therapy during ANC visits [17]. Evidence shows that receiving at least three doses of IPTp-SP can reduce the risk of low birth weight by 20–30% and significantly decrease neonatal mortality</w:t>
      </w:r>
      <w:r w:rsidDel="00000000" w:rsidR="00000000" w:rsidRPr="00000000">
        <w:rPr>
          <w:rFonts w:ascii="Times New Roman" w:cs="Times New Roman" w:eastAsia="Times New Roman" w:hAnsi="Times New Roman"/>
          <w:sz w:val="24"/>
          <w:szCs w:val="24"/>
          <w:rtl w:val="0"/>
        </w:rPr>
        <w:t xml:space="preserve"> [18]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However, despite its effectiveness, uptake remains low in many settings due to health system and demand-side challenges.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subnational level, similar challenges persist. In Osun State, malaria transmission remains high due to favorable climatic conditions, including prolonged rainy seasons that support mosquito breeding [19]. Although ANC attendance is relatively good, IPTp-SP uptake remains poor. Evidence from Osogbo shows that only about 10.1% of pregnant women receive the recommended three or more doses of IPTp-SP, despite relatively high awareness of malaria prevention [2</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gap highlights systemic barriers such as drug stock-outs, inconsistent implementation of directly observed therapy, inadequate counselling, and persistent misconceptions about SP safety [2</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These issues are further compounded by socio-economic constraints, including transportation costs and informal payments, which disproportionately affect women in lower-income groups and widen health inequities [2</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Beyond availability of services, evidence suggests that weaknesses in health system communication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particularly during antenatal care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play a major role in poor IPTp-SP uptake [23]. Inadequate counselling, limited consultation time, and inconsistent health education contribute to poor understanding of malaria prevention and the correct use of IPTp-SP [24]. Consequently, even when services are available, women may not fully understand the importance, timing, and dosing schedule required for optimal protection </w:t>
      </w: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Given the high burden of malaria in pregnancy, persistently low IPTp-SP uptake, and continued gaps in service delivery, there is a need for context-specific interventions that strengthen ANC service delivery. Therefore, this study examines the effect of health system strengthening on the uptake of IPTp-SP during antenatal care using a quasi-experimental design in Osun State, Nigeria. By focusing on structured health education within ANC, the study seeks to generate evidence on improving knowledge, closing implementation gaps, and ultimately enhancing maternal and neonatal health outcomes.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Methodology</w:t>
      </w:r>
      <w:r w:rsidDel="00000000" w:rsidR="00000000" w:rsidRPr="00000000">
        <w:rPr>
          <w:rtl w:val="0"/>
        </w:rPr>
      </w:r>
    </w:p>
    <w:p w:rsidR="00000000" w:rsidDel="00000000" w:rsidP="00000000" w:rsidRDefault="00000000" w:rsidRPr="00000000" w14:paraId="00000028">
      <w:pPr>
        <w:pStyle w:val="Heading4"/>
        <w:keepNext w:val="0"/>
        <w:keepLines w:val="0"/>
        <w:spacing w:line="480" w:lineRule="auto"/>
        <w:jc w:val="both"/>
        <w:rPr>
          <w:rFonts w:ascii="Times New Roman" w:cs="Times New Roman" w:eastAsia="Times New Roman" w:hAnsi="Times New Roman"/>
          <w:b w:val="1"/>
          <w:bCs w:val="1"/>
          <w:i w:val="0"/>
          <w:iCs w:val="0"/>
          <w:color w:val="000000"/>
          <w:sz w:val="24"/>
          <w:szCs w:val="24"/>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Study Design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employed a  non-equivalent control-group quasi-experimental design to assess the effect of health system strengthening on the uptake of intermittent preventive treatment in pregnancy with Sulphadoxine-Pyrimethamine (IPTp-SP) during antenatal care (ANC). A facility-based cross-sectional survey was conducted at baseline and endline to evaluate changes in knowledge, attitudes, and practices. The study was carried out in Osun State, southwestern Nigeria, across three secondary-level health facilities representing the three senatorial districts: State Specialist Hospital, Asubiaro (Osun Central), State Hospital, Ede (Osun West), and State Hospital, Ilesa (Osun East). The intervention was implemented at State Specialist Hospital, Asubiaro, while the other two facilities served as control sites.</w:t>
      </w:r>
    </w:p>
    <w:p w:rsidR="00000000" w:rsidDel="00000000" w:rsidP="00000000" w:rsidRDefault="00000000" w:rsidRPr="00000000" w14:paraId="0000002A">
      <w:pPr>
        <w:pStyle w:val="Heading4"/>
        <w:keepNext w:val="0"/>
        <w:keepLines w:val="0"/>
        <w:spacing w:line="480" w:lineRule="auto"/>
        <w:jc w:val="both"/>
        <w:rPr>
          <w:rFonts w:ascii="Times New Roman" w:cs="Times New Roman" w:eastAsia="Times New Roman" w:hAnsi="Times New Roman"/>
          <w:b w:val="1"/>
          <w:bCs w:val="1"/>
          <w:i w:val="0"/>
          <w:iCs w:val="0"/>
          <w:color w:val="000000"/>
          <w:sz w:val="24"/>
          <w:szCs w:val="24"/>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Study Population and Eligibility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study population comprised pregnant women aged 18–49 years attending ANC services at the selected facilities. Eligible participants were those who had received at least one dose of Sulphadoxine-Pyrimethamine (SP) during their current pregnancy and provided informed consent. Women who were below 18 years of age, critically ill, attending their first ANC visit without receiving SP, or unwilling to participate were excluded.</w:t>
      </w:r>
    </w:p>
    <w:p w:rsidR="00000000" w:rsidDel="00000000" w:rsidP="00000000" w:rsidRDefault="00000000" w:rsidRPr="00000000" w14:paraId="0000002C">
      <w:pPr>
        <w:pStyle w:val="Heading4"/>
        <w:keepNext w:val="0"/>
        <w:keepLines w:val="0"/>
        <w:spacing w:line="480" w:lineRule="auto"/>
        <w:jc w:val="both"/>
        <w:rPr>
          <w:rFonts w:ascii="Times New Roman" w:cs="Times New Roman" w:eastAsia="Times New Roman" w:hAnsi="Times New Roman"/>
          <w:b w:val="1"/>
          <w:bCs w:val="1"/>
          <w:i w:val="0"/>
          <w:iCs w:val="0"/>
          <w:color w:val="000000"/>
          <w:sz w:val="24"/>
          <w:szCs w:val="24"/>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Sample Size and Sampling Technique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minimum sample size of 250 participants was determined using the Fisher formula, with adjustment for non-response. Participants were selected using systematic sampling from ANC clinic registers. Recruitment was conducted in private consultation areas within the facilities to ensure confidentiality and minimize response bias.</w:t>
      </w:r>
    </w:p>
    <w:p w:rsidR="00000000" w:rsidDel="00000000" w:rsidP="00000000" w:rsidRDefault="00000000" w:rsidRPr="00000000" w14:paraId="0000002E">
      <w:pPr>
        <w:pStyle w:val="Heading4"/>
        <w:keepNext w:val="0"/>
        <w:keepLines w:val="0"/>
        <w:spacing w:line="480" w:lineRule="auto"/>
        <w:jc w:val="both"/>
        <w:rPr>
          <w:rFonts w:ascii="Times New Roman" w:cs="Times New Roman" w:eastAsia="Times New Roman" w:hAnsi="Times New Roman"/>
          <w:b w:val="1"/>
          <w:bCs w:val="1"/>
          <w:i w:val="0"/>
          <w:iCs w:val="0"/>
          <w:color w:val="000000"/>
          <w:sz w:val="24"/>
          <w:szCs w:val="24"/>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Intervention Phase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intervention was implemented over a period of eight weeks at the intervention facility and was tailored based on barriers identified during the baseline assessment. The intervention comprised the following components:</w:t>
      </w:r>
    </w:p>
    <w:p w:rsidR="00000000" w:rsidDel="00000000" w:rsidP="00000000" w:rsidRDefault="00000000" w:rsidRPr="00000000" w14:paraId="00000030">
      <w:pPr>
        <w:numPr>
          <w:ilvl w:val="0"/>
          <w:numId w:val="1"/>
        </w:numPr>
        <w:spacing w:after="0" w:before="280" w:line="48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Targeted Health Education:</w:t>
      </w:r>
      <w:r w:rsidDel="00000000" w:rsidR="00000000" w:rsidRPr="00000000">
        <w:rPr>
          <w:rFonts w:ascii="Times New Roman" w:cs="Times New Roman" w:eastAsia="Times New Roman" w:hAnsi="Times New Roman"/>
          <w:color w:val="000000"/>
          <w:sz w:val="24"/>
          <w:szCs w:val="24"/>
          <w:rtl w:val="0"/>
        </w:rPr>
        <w:br w:type="textWrapping"/>
        <w:t xml:space="preserve">Structured health education sessions were delivered using materials adapted from the Federal Ministry of Health, National Malaria Elimination Programme, and Osun State Malaria Elimination Programme. These included visual aids, leaflets, and audio-visual content disseminated via WhatsApp to improve knowledge on malaria prevention, benefits, safety, and correct use of IPTp-SP. A one-time engagement session was conducted with household heads (husbands) to enhance support for directly observed therapy (DOT). </w:t>
      </w:r>
    </w:p>
    <w:p w:rsidR="00000000" w:rsidDel="00000000" w:rsidP="00000000" w:rsidRDefault="00000000" w:rsidRPr="00000000" w14:paraId="00000031">
      <w:pPr>
        <w:numPr>
          <w:ilvl w:val="0"/>
          <w:numId w:val="1"/>
        </w:numPr>
        <w:spacing w:after="0" w:before="0" w:line="48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Provider Training and Mentorship:</w:t>
      </w:r>
      <w:r w:rsidDel="00000000" w:rsidR="00000000" w:rsidRPr="00000000">
        <w:rPr>
          <w:rFonts w:ascii="Times New Roman" w:cs="Times New Roman" w:eastAsia="Times New Roman" w:hAnsi="Times New Roman"/>
          <w:color w:val="000000"/>
          <w:sz w:val="24"/>
          <w:szCs w:val="24"/>
          <w:rtl w:val="0"/>
        </w:rPr>
        <w:br w:type="textWrapping"/>
        <w:t xml:space="preserve">Healthcare workers received two training sessions focused on effective communication, adherence to national malaria guidelines, appropriate SP prescription, and implementation of DOT. Ongoing mentorship was provided throughout the intervention period. </w:t>
      </w:r>
    </w:p>
    <w:p w:rsidR="00000000" w:rsidDel="00000000" w:rsidP="00000000" w:rsidRDefault="00000000" w:rsidRPr="00000000" w14:paraId="00000032">
      <w:pPr>
        <w:numPr>
          <w:ilvl w:val="0"/>
          <w:numId w:val="1"/>
        </w:numPr>
        <w:spacing w:after="0" w:before="0" w:line="48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Improved Data Documentation:</w:t>
      </w:r>
      <w:r w:rsidDel="00000000" w:rsidR="00000000" w:rsidRPr="00000000">
        <w:rPr>
          <w:rFonts w:ascii="Times New Roman" w:cs="Times New Roman" w:eastAsia="Times New Roman" w:hAnsi="Times New Roman"/>
          <w:color w:val="000000"/>
          <w:sz w:val="24"/>
          <w:szCs w:val="24"/>
          <w:rtl w:val="0"/>
        </w:rPr>
        <w:br w:type="textWrapping"/>
        <w:t xml:space="preserve">Standardized National Health Management Information System (NHMIS) ANC registers were introduced to improve documentation and tracking of IPTp-SP doses. Healthcare workers were trained on accurate data recording and monitoring of IPTp uptake. </w:t>
      </w:r>
    </w:p>
    <w:p w:rsidR="00000000" w:rsidDel="00000000" w:rsidP="00000000" w:rsidRDefault="00000000" w:rsidRPr="00000000" w14:paraId="00000033">
      <w:pPr>
        <w:numPr>
          <w:ilvl w:val="0"/>
          <w:numId w:val="1"/>
        </w:numPr>
        <w:spacing w:after="0" w:before="0" w:line="48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Use of Digital Technology (WhatsApp):</w:t>
      </w:r>
      <w:r w:rsidDel="00000000" w:rsidR="00000000" w:rsidRPr="00000000">
        <w:rPr>
          <w:rFonts w:ascii="Times New Roman" w:cs="Times New Roman" w:eastAsia="Times New Roman" w:hAnsi="Times New Roman"/>
          <w:color w:val="000000"/>
          <w:sz w:val="24"/>
          <w:szCs w:val="24"/>
          <w:rtl w:val="0"/>
        </w:rPr>
        <w:br w:type="textWrapping"/>
        <w:t xml:space="preserve">WhatsApp platforms were used to reinforce health education, share information materials, and provide reminders to pregnant women prior to ANC visits to improve adherence to IPTp-SP under DOT. </w:t>
      </w:r>
    </w:p>
    <w:p w:rsidR="00000000" w:rsidDel="00000000" w:rsidP="00000000" w:rsidRDefault="00000000" w:rsidRPr="00000000" w14:paraId="00000034">
      <w:pPr>
        <w:numPr>
          <w:ilvl w:val="0"/>
          <w:numId w:val="1"/>
        </w:numPr>
        <w:spacing w:after="280" w:before="0" w:line="48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Logistics Strengthening:</w:t>
      </w:r>
      <w:r w:rsidDel="00000000" w:rsidR="00000000" w:rsidRPr="00000000">
        <w:rPr>
          <w:rFonts w:ascii="Times New Roman" w:cs="Times New Roman" w:eastAsia="Times New Roman" w:hAnsi="Times New Roman"/>
          <w:color w:val="000000"/>
          <w:sz w:val="24"/>
          <w:szCs w:val="24"/>
          <w:rtl w:val="0"/>
        </w:rPr>
        <w:br w:type="textWrapping"/>
        <w:t xml:space="preserve">The study supported the provision of SP, clean water, and cups at ANC clinics to facilitate proper administration of DOT and ensure accurate documentation of IPTp uptake.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control facilities continued to provide routine standard ANC services without exposure to the intervention.</w:t>
      </w:r>
    </w:p>
    <w:p w:rsidR="00000000" w:rsidDel="00000000" w:rsidP="00000000" w:rsidRDefault="00000000" w:rsidRPr="00000000" w14:paraId="00000036">
      <w:pPr>
        <w:pStyle w:val="Heading4"/>
        <w:keepNext w:val="0"/>
        <w:keepLines w:val="0"/>
        <w:spacing w:line="480" w:lineRule="auto"/>
        <w:jc w:val="both"/>
        <w:rPr>
          <w:rFonts w:ascii="Times New Roman" w:cs="Times New Roman" w:eastAsia="Times New Roman" w:hAnsi="Times New Roman"/>
          <w:b w:val="1"/>
          <w:bCs w:val="1"/>
          <w:i w:val="0"/>
          <w:iCs w:val="0"/>
          <w:color w:val="000000"/>
          <w:sz w:val="24"/>
          <w:szCs w:val="24"/>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Data Collection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were collected using interviewer-administered structured questionnaires adapted from validated tools. Trained female research assistants conducted the interviews in private areas within the ANC clinics to ensure confidentiality. Data were captured electronically using KoboCollect on password-protected Android devices and securely stored in cloud-based servers. Additional information on service delivery and IPTp uptake was obtained from ANC cards and facility registers.</w:t>
      </w:r>
    </w:p>
    <w:p w:rsidR="00000000" w:rsidDel="00000000" w:rsidP="00000000" w:rsidRDefault="00000000" w:rsidRPr="00000000" w14:paraId="00000038">
      <w:pPr>
        <w:pStyle w:val="Heading4"/>
        <w:keepNext w:val="0"/>
        <w:keepLines w:val="0"/>
        <w:spacing w:line="480" w:lineRule="auto"/>
        <w:jc w:val="both"/>
        <w:rPr>
          <w:rFonts w:ascii="Times New Roman" w:cs="Times New Roman" w:eastAsia="Times New Roman" w:hAnsi="Times New Roman"/>
          <w:b w:val="1"/>
          <w:bCs w:val="1"/>
          <w:i w:val="0"/>
          <w:iCs w:val="0"/>
          <w:color w:val="000000"/>
          <w:sz w:val="24"/>
          <w:szCs w:val="24"/>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Data Analysis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were analyzed using Statistical Package for Social Sciences (SPSS) version 23. Descriptive statistics, including frequencies and percentages, were used to summarize variables related to knowledge, attitudes, and practices. Likert-scale responses were categorized into positive (Agree/Strongly Agree), neutral, and negative (Disagree/Strongly Disagree) responses to identify trends and gaps. Comparative analysis between baseline and endline, as well as between intervention and control groups, was conducted. Statistical significance was set at p &lt; 0.05.</w:t>
      </w:r>
    </w:p>
    <w:p w:rsidR="00000000" w:rsidDel="00000000" w:rsidP="00000000" w:rsidRDefault="00000000" w:rsidRPr="00000000" w14:paraId="0000003A">
      <w:pPr>
        <w:pStyle w:val="Heading4"/>
        <w:keepNext w:val="0"/>
        <w:keepLines w:val="0"/>
        <w:spacing w:line="480" w:lineRule="auto"/>
        <w:jc w:val="both"/>
        <w:rPr>
          <w:rFonts w:ascii="Times New Roman" w:cs="Times New Roman" w:eastAsia="Times New Roman" w:hAnsi="Times New Roman"/>
          <w:b w:val="1"/>
          <w:bCs w:val="1"/>
          <w:i w:val="0"/>
          <w:iCs w:val="0"/>
          <w:color w:val="000000"/>
          <w:sz w:val="24"/>
          <w:szCs w:val="24"/>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Ethical Considerations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120" w:right="0" w:hanging="1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Ethical approval was obtained from the Adeleke University Ethics Review Committee (Reference number: AUERC/2026/33PH/011) and the Osun State Ministry of Health (Protocol number: OSHREC/PRS/2026/842/01/043). Informed consent was obtained verbally to accommodate varying literacy levels among participants. No personally identifiable information was collected, and all data were securely stored with restricted access to ensure confidentiality.</w:t>
      </w:r>
      <w:r w:rsidDel="00000000" w:rsidR="00000000" w:rsidRPr="00000000">
        <w:rPr>
          <w:rtl w:val="0"/>
        </w:rPr>
      </w:r>
    </w:p>
    <w:p w:rsidR="00000000" w:rsidDel="00000000" w:rsidP="00000000" w:rsidRDefault="00000000" w:rsidRPr="00000000" w14:paraId="0000003C">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Results</w:t>
      </w:r>
    </w:p>
    <w:p w:rsidR="00000000" w:rsidDel="00000000" w:rsidP="00000000" w:rsidRDefault="00000000" w:rsidRPr="00000000" w14:paraId="0000003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shows the sociodemographic characteristics of respondents. The highest proportion of respondents were from State Specialist Hospital, Asubiaro, accounting for 137 (54.8%), while the lowest proportion were from State Hospital Ede, accounting for 46 (18.4%).</w:t>
      </w:r>
    </w:p>
    <w:p w:rsidR="00000000" w:rsidDel="00000000" w:rsidP="00000000" w:rsidRDefault="00000000" w:rsidRPr="00000000" w14:paraId="0000003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mean age of respondents was 29.7 ± 5.1 years. The highest proportion of respondents were aged 28–37 years, accounting for 135 (54.0%), while the lowest proportion were aged 38–49 years, accounting for 24 (9.6%).</w:t>
      </w:r>
    </w:p>
    <w:p w:rsidR="00000000" w:rsidDel="00000000" w:rsidP="00000000" w:rsidRDefault="00000000" w:rsidRPr="00000000" w14:paraId="0000003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respect to marital status, the highest proportion of respondents were married, accounting for 245 (98.0%), while the lowest proportion were single, accounting for 2 (0.8%).</w:t>
      </w:r>
    </w:p>
    <w:p w:rsidR="00000000" w:rsidDel="00000000" w:rsidP="00000000" w:rsidRDefault="00000000" w:rsidRPr="00000000" w14:paraId="0000004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educational level, the highest proportion had tertiary education, accounting for 117 (46.8%), while the lowest proportion had primary school education, accounting for 18 (7.2%).</w:t>
      </w:r>
    </w:p>
    <w:p w:rsidR="00000000" w:rsidDel="00000000" w:rsidP="00000000" w:rsidRDefault="00000000" w:rsidRPr="00000000" w14:paraId="000000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average monthly income, the highest proportion earned less than N70,000, accounting for 134 (53.6%), while the lowest proportion earned above N150,000, accounting for 17 (6.8%).</w:t>
      </w:r>
    </w:p>
    <w:p w:rsidR="00000000" w:rsidDel="00000000" w:rsidP="00000000" w:rsidRDefault="00000000" w:rsidRPr="00000000" w14:paraId="00000042">
      <w:pPr>
        <w:spacing w:line="480" w:lineRule="auto"/>
        <w:jc w:val="both"/>
        <w:rPr>
          <w:rFonts w:ascii="Times New Roman" w:cs="Times New Roman" w:eastAsia="Times New Roman" w:hAnsi="Times New Roman"/>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800" w:right="1800" w:header="720" w:footer="720"/>
          <w:pgNumType w:start="1"/>
        </w:sectPr>
      </w:pPr>
      <w:r w:rsidDel="00000000" w:rsidR="00000000" w:rsidRPr="00000000">
        <w:rPr>
          <w:rFonts w:ascii="Times New Roman" w:cs="Times New Roman" w:eastAsia="Times New Roman" w:hAnsi="Times New Roman"/>
          <w:sz w:val="24"/>
          <w:szCs w:val="24"/>
          <w:rtl w:val="0"/>
        </w:rPr>
        <w:t xml:space="preserve">In terms of parity, the highest proportion of respondents had 1–4 children, accounting for 183 (73.2%), while the lowest proportion had 5 or more children, accounting for 5 (2.0%).</w:t>
      </w:r>
    </w:p>
    <w:p w:rsidR="00000000" w:rsidDel="00000000" w:rsidP="00000000" w:rsidRDefault="00000000" w:rsidRPr="00000000" w14:paraId="00000043">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 Sociodemographics characteristics of respondents </w:t>
        <w:tab/>
        <w:tab/>
        <w:t xml:space="preserve">(N=250)</w:t>
      </w:r>
    </w:p>
    <w:tbl>
      <w:tblPr>
        <w:tblStyle w:val="Table1"/>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2"/>
        <w:gridCol w:w="2146"/>
        <w:gridCol w:w="2014"/>
        <w:tblGridChange w:id="0">
          <w:tblGrid>
            <w:gridCol w:w="4362"/>
            <w:gridCol w:w="2146"/>
            <w:gridCol w:w="2014"/>
          </w:tblGrid>
        </w:tblGridChange>
      </w:tblGrid>
      <w:tr>
        <w:trPr>
          <w:cantSplit w:val="0"/>
          <w:tblHeader w:val="0"/>
        </w:trPr>
        <w:tc>
          <w:tcPr/>
          <w:p w:rsidR="00000000" w:rsidDel="00000000" w:rsidP="00000000" w:rsidRDefault="00000000" w:rsidRPr="00000000" w14:paraId="00000044">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Sociodemographics variables</w:t>
            </w:r>
          </w:p>
        </w:tc>
        <w:tc>
          <w:tcPr/>
          <w:p w:rsidR="00000000" w:rsidDel="00000000" w:rsidP="00000000" w:rsidRDefault="00000000" w:rsidRPr="00000000" w14:paraId="00000045">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Frequency (n)</w:t>
            </w:r>
          </w:p>
        </w:tc>
        <w:tc>
          <w:tcPr/>
          <w:p w:rsidR="00000000" w:rsidDel="00000000" w:rsidP="00000000" w:rsidRDefault="00000000" w:rsidRPr="00000000" w14:paraId="00000046">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Percentages (%)</w:t>
            </w:r>
          </w:p>
        </w:tc>
      </w:tr>
      <w:tr>
        <w:trPr>
          <w:cantSplit w:val="0"/>
          <w:tblHeader w:val="0"/>
        </w:trPr>
        <w:tc>
          <w:tcPr>
            <w:gridSpan w:val="2"/>
          </w:tcPr>
          <w:p w:rsidR="00000000" w:rsidDel="00000000" w:rsidP="00000000" w:rsidRDefault="00000000" w:rsidRPr="00000000" w14:paraId="00000047">
            <w:pPr>
              <w:spacing w:line="48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Age of Respondents (years) (Mean±SD=29.7±5.1)</w:t>
            </w:r>
          </w:p>
        </w:tc>
        <w:tc>
          <w:tcPr/>
          <w:p w:rsidR="00000000" w:rsidDel="00000000" w:rsidP="00000000" w:rsidRDefault="00000000" w:rsidRPr="00000000" w14:paraId="00000049">
            <w:pPr>
              <w:spacing w:line="48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line="48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18–27 </w:t>
            </w:r>
            <w:r w:rsidDel="00000000" w:rsidR="00000000" w:rsidRPr="00000000">
              <w:rPr>
                <w:rtl w:val="0"/>
              </w:rPr>
            </w:r>
          </w:p>
        </w:tc>
        <w:tc>
          <w:tcPr/>
          <w:p w:rsidR="00000000" w:rsidDel="00000000" w:rsidP="00000000" w:rsidRDefault="00000000" w:rsidRPr="00000000" w14:paraId="0000004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p w:rsidR="00000000" w:rsidDel="00000000" w:rsidP="00000000" w:rsidRDefault="00000000" w:rsidRPr="00000000" w14:paraId="0000004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w:t>
            </w:r>
          </w:p>
        </w:tc>
      </w:tr>
      <w:tr>
        <w:trPr>
          <w:cantSplit w:val="0"/>
          <w:tblHeader w:val="0"/>
        </w:trPr>
        <w:tc>
          <w:tcPr/>
          <w:p w:rsidR="00000000" w:rsidDel="00000000" w:rsidP="00000000" w:rsidRDefault="00000000" w:rsidRPr="00000000" w14:paraId="0000004D">
            <w:pPr>
              <w:spacing w:line="48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28–37</w:t>
            </w:r>
            <w:r w:rsidDel="00000000" w:rsidR="00000000" w:rsidRPr="00000000">
              <w:rPr>
                <w:rtl w:val="0"/>
              </w:rPr>
            </w:r>
          </w:p>
        </w:tc>
        <w:tc>
          <w:tcPr/>
          <w:p w:rsidR="00000000" w:rsidDel="00000000" w:rsidP="00000000" w:rsidRDefault="00000000" w:rsidRPr="00000000" w14:paraId="0000004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p w:rsidR="00000000" w:rsidDel="00000000" w:rsidP="00000000" w:rsidRDefault="00000000" w:rsidRPr="00000000" w14:paraId="0000004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0"/>
          <w:tblHeader w:val="0"/>
        </w:trPr>
        <w:tc>
          <w:tcPr/>
          <w:p w:rsidR="00000000" w:rsidDel="00000000" w:rsidP="00000000" w:rsidRDefault="00000000" w:rsidRPr="00000000" w14:paraId="0000005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38–49</w:t>
            </w:r>
          </w:p>
        </w:tc>
        <w:tc>
          <w:tcPr/>
          <w:p w:rsidR="00000000" w:rsidDel="00000000" w:rsidP="00000000" w:rsidRDefault="00000000" w:rsidRPr="00000000" w14:paraId="0000005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05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r>
      <w:tr>
        <w:trPr>
          <w:cantSplit w:val="0"/>
          <w:tblHeader w:val="0"/>
        </w:trPr>
        <w:tc>
          <w:tcPr/>
          <w:p w:rsidR="00000000" w:rsidDel="00000000" w:rsidP="00000000" w:rsidRDefault="00000000" w:rsidRPr="00000000" w14:paraId="0000005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Marital Status</w:t>
            </w:r>
            <w:r w:rsidDel="00000000" w:rsidR="00000000" w:rsidRPr="00000000">
              <w:rPr>
                <w:rtl w:val="0"/>
              </w:rPr>
            </w:r>
          </w:p>
        </w:tc>
        <w:tc>
          <w:tcPr/>
          <w:p w:rsidR="00000000" w:rsidDel="00000000" w:rsidP="00000000" w:rsidRDefault="00000000" w:rsidRPr="00000000" w14:paraId="00000054">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Co-habiting</w:t>
            </w:r>
          </w:p>
        </w:tc>
        <w:tc>
          <w:tcPr/>
          <w:p w:rsidR="00000000" w:rsidDel="00000000" w:rsidP="00000000" w:rsidRDefault="00000000" w:rsidRPr="00000000" w14:paraId="0000005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5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90" w:hRule="atLeast"/>
          <w:tblHeader w:val="0"/>
        </w:trPr>
        <w:tc>
          <w:tcPr/>
          <w:p w:rsidR="00000000" w:rsidDel="00000000" w:rsidP="00000000" w:rsidRDefault="00000000" w:rsidRPr="00000000" w14:paraId="0000005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p w:rsidR="00000000" w:rsidDel="00000000" w:rsidP="00000000" w:rsidRDefault="00000000" w:rsidRPr="00000000" w14:paraId="0000005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05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98.0</w:t>
            </w:r>
          </w:p>
        </w:tc>
      </w:tr>
      <w:tr>
        <w:trPr>
          <w:cantSplit w:val="0"/>
          <w:tblHeader w:val="0"/>
        </w:trPr>
        <w:tc>
          <w:tcPr/>
          <w:p w:rsidR="00000000" w:rsidDel="00000000" w:rsidP="00000000" w:rsidRDefault="00000000" w:rsidRPr="00000000" w14:paraId="0000005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p w:rsidR="00000000" w:rsidDel="00000000" w:rsidP="00000000" w:rsidRDefault="00000000" w:rsidRPr="00000000" w14:paraId="0000005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5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blHeader w:val="0"/>
        </w:trPr>
        <w:tc>
          <w:tcPr/>
          <w:p w:rsidR="00000000" w:rsidDel="00000000" w:rsidP="00000000" w:rsidRDefault="00000000" w:rsidRPr="00000000" w14:paraId="0000005F">
            <w:pPr>
              <w:spacing w:line="48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Highest level of education</w:t>
            </w:r>
          </w:p>
        </w:tc>
        <w:tc>
          <w:tcPr/>
          <w:p w:rsidR="00000000" w:rsidDel="00000000" w:rsidP="00000000" w:rsidRDefault="00000000" w:rsidRPr="00000000" w14:paraId="00000060">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School</w:t>
            </w:r>
          </w:p>
        </w:tc>
        <w:tc>
          <w:tcPr/>
          <w:p w:rsidR="00000000" w:rsidDel="00000000" w:rsidP="00000000" w:rsidRDefault="00000000" w:rsidRPr="00000000" w14:paraId="0000006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6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p w:rsidR="00000000" w:rsidDel="00000000" w:rsidP="00000000" w:rsidRDefault="00000000" w:rsidRPr="00000000" w14:paraId="0000006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School</w:t>
            </w:r>
          </w:p>
        </w:tc>
        <w:tc>
          <w:tcPr/>
          <w:p w:rsidR="00000000" w:rsidDel="00000000" w:rsidP="00000000" w:rsidRDefault="00000000" w:rsidRPr="00000000" w14:paraId="0000006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06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46.0</w:t>
            </w:r>
          </w:p>
        </w:tc>
      </w:tr>
      <w:tr>
        <w:trPr>
          <w:cantSplit w:val="0"/>
          <w:tblHeader w:val="0"/>
        </w:trPr>
        <w:tc>
          <w:tcPr/>
          <w:p w:rsidR="00000000" w:rsidDel="00000000" w:rsidP="00000000" w:rsidRDefault="00000000" w:rsidRPr="00000000" w14:paraId="0000006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w:t>
            </w:r>
          </w:p>
        </w:tc>
        <w:tc>
          <w:tcPr/>
          <w:p w:rsidR="00000000" w:rsidDel="00000000" w:rsidP="00000000" w:rsidRDefault="00000000" w:rsidRPr="00000000" w14:paraId="0000006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c>
          <w:tcPr/>
          <w:p w:rsidR="00000000" w:rsidDel="00000000" w:rsidP="00000000" w:rsidRDefault="00000000" w:rsidRPr="00000000" w14:paraId="0000006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blHeader w:val="0"/>
        </w:trPr>
        <w:tc>
          <w:tcPr/>
          <w:p w:rsidR="00000000" w:rsidDel="00000000" w:rsidP="00000000" w:rsidRDefault="00000000" w:rsidRPr="00000000" w14:paraId="0000006B">
            <w:pPr>
              <w:spacing w:line="48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Average monthly Income</w:t>
            </w:r>
          </w:p>
        </w:tc>
        <w:tc>
          <w:tcPr/>
          <w:p w:rsidR="00000000" w:rsidDel="00000000" w:rsidP="00000000" w:rsidRDefault="00000000" w:rsidRPr="00000000" w14:paraId="0000006C">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line="48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Less than N70,000</w:t>
            </w:r>
            <w:r w:rsidDel="00000000" w:rsidR="00000000" w:rsidRPr="00000000">
              <w:rPr>
                <w:rtl w:val="0"/>
              </w:rPr>
            </w:r>
          </w:p>
        </w:tc>
        <w:tc>
          <w:tcPr/>
          <w:p w:rsidR="00000000" w:rsidDel="00000000" w:rsidP="00000000" w:rsidRDefault="00000000" w:rsidRPr="00000000" w14:paraId="0000006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p w:rsidR="00000000" w:rsidDel="00000000" w:rsidP="00000000" w:rsidRDefault="00000000" w:rsidRPr="00000000" w14:paraId="0000007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53.6</w:t>
            </w:r>
          </w:p>
        </w:tc>
      </w:tr>
      <w:tr>
        <w:trPr>
          <w:cantSplit w:val="0"/>
          <w:tblHeader w:val="0"/>
        </w:trPr>
        <w:tc>
          <w:tcPr/>
          <w:p w:rsidR="00000000" w:rsidDel="00000000" w:rsidP="00000000" w:rsidRDefault="00000000" w:rsidRPr="00000000" w14:paraId="0000007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70,000-150,000</w:t>
            </w:r>
          </w:p>
        </w:tc>
        <w:tc>
          <w:tcPr/>
          <w:p w:rsidR="00000000" w:rsidDel="00000000" w:rsidP="00000000" w:rsidRDefault="00000000" w:rsidRPr="00000000" w14:paraId="0000007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p w:rsidR="00000000" w:rsidDel="00000000" w:rsidP="00000000" w:rsidRDefault="00000000" w:rsidRPr="00000000" w14:paraId="0000007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r>
      <w:tr>
        <w:trPr>
          <w:cantSplit w:val="0"/>
          <w:tblHeader w:val="0"/>
        </w:trPr>
        <w:tc>
          <w:tcPr/>
          <w:p w:rsidR="00000000" w:rsidDel="00000000" w:rsidP="00000000" w:rsidRDefault="00000000" w:rsidRPr="00000000" w14:paraId="0000007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150,000</w:t>
            </w:r>
          </w:p>
        </w:tc>
        <w:tc>
          <w:tcPr/>
          <w:p w:rsidR="00000000" w:rsidDel="00000000" w:rsidP="00000000" w:rsidRDefault="00000000" w:rsidRPr="00000000" w14:paraId="0000007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7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r>
      <w:tr>
        <w:trPr>
          <w:cantSplit w:val="0"/>
          <w:tblHeader w:val="0"/>
        </w:trPr>
        <w:tc>
          <w:tcPr/>
          <w:p w:rsidR="00000000" w:rsidDel="00000000" w:rsidP="00000000" w:rsidRDefault="00000000" w:rsidRPr="00000000" w14:paraId="0000007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Parity</w:t>
            </w:r>
            <w:r w:rsidDel="00000000" w:rsidR="00000000" w:rsidRPr="00000000">
              <w:rPr>
                <w:rtl w:val="0"/>
              </w:rPr>
            </w:r>
          </w:p>
        </w:tc>
        <w:tc>
          <w:tcPr/>
          <w:p w:rsidR="00000000" w:rsidDel="00000000" w:rsidP="00000000" w:rsidRDefault="00000000" w:rsidRPr="00000000" w14:paraId="00000078">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7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07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w:t>
            </w:r>
          </w:p>
        </w:tc>
      </w:tr>
      <w:tr>
        <w:trPr>
          <w:cantSplit w:val="0"/>
          <w:tblHeader w:val="0"/>
        </w:trPr>
        <w:tc>
          <w:tcPr/>
          <w:p w:rsidR="00000000" w:rsidDel="00000000" w:rsidP="00000000" w:rsidRDefault="00000000" w:rsidRPr="00000000" w14:paraId="0000007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1 - 4</w:t>
            </w:r>
          </w:p>
        </w:tc>
        <w:tc>
          <w:tcPr/>
          <w:p w:rsidR="00000000" w:rsidDel="00000000" w:rsidP="00000000" w:rsidRDefault="00000000" w:rsidRPr="00000000" w14:paraId="0000007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tc>
        <w:tc>
          <w:tcPr/>
          <w:p w:rsidR="00000000" w:rsidDel="00000000" w:rsidP="00000000" w:rsidRDefault="00000000" w:rsidRPr="00000000" w14:paraId="0000007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73.2</w:t>
            </w:r>
          </w:p>
        </w:tc>
      </w:tr>
      <w:tr>
        <w:trPr>
          <w:cantSplit w:val="0"/>
          <w:tblHeader w:val="0"/>
        </w:trPr>
        <w:tc>
          <w:tcPr/>
          <w:p w:rsidR="00000000" w:rsidDel="00000000" w:rsidP="00000000" w:rsidRDefault="00000000" w:rsidRPr="00000000" w14:paraId="0000008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 more</w:t>
            </w:r>
          </w:p>
        </w:tc>
        <w:tc>
          <w:tcPr/>
          <w:p w:rsidR="00000000" w:rsidDel="00000000" w:rsidP="00000000" w:rsidRDefault="00000000" w:rsidRPr="00000000" w14:paraId="0000008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8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083">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5">
      <w:pPr>
        <w:spacing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Table 2 presents respondents’ knowledge of malaria and malaria in pregnancy in both groups at baseline and endline. At baseline, 48.9% of the intervention group correctly identified mosquito bites as the cause of malaria, while most of the control group (79.6%) incorrectly identified overworking/stress. At endline, all respondents in the intervention group (100.0%) correctly identified mosquito bites, whereas the control group largely retained the misconception (90.3%).</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Knowledge that pregnant women are at higher risk of malaria improved to 100.0% in the intervention group at endline, while the control group remained unchanged (62.8%). Awareness of malaria-related adverse outcomes (low birth weight, abortion, stillbirth, preterm delivery, and anemia) was generally high at baseline in both groups and reached 100.0% in the intervention group at endline, with little or no change in the control group. Most respondents in both groups correctly identified that malaria does not cause big babies at birth or typhoid fever</w:t>
      </w:r>
      <w:r w:rsidDel="00000000" w:rsidR="00000000" w:rsidRPr="00000000">
        <w:rPr>
          <w:rtl w:val="0"/>
        </w:rPr>
      </w:r>
    </w:p>
    <w:p w:rsidR="00000000" w:rsidDel="00000000" w:rsidP="00000000" w:rsidRDefault="00000000" w:rsidRPr="00000000" w14:paraId="00000088">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2: Knowledge of malaria and malaria during pregnancy  (N=250)</w:t>
      </w:r>
    </w:p>
    <w:tbl>
      <w:tblPr>
        <w:tblStyle w:val="Table2"/>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6"/>
        <w:gridCol w:w="1549"/>
        <w:gridCol w:w="1353"/>
        <w:gridCol w:w="1588"/>
        <w:gridCol w:w="1426"/>
        <w:tblGridChange w:id="0">
          <w:tblGrid>
            <w:gridCol w:w="2606"/>
            <w:gridCol w:w="1549"/>
            <w:gridCol w:w="1353"/>
            <w:gridCol w:w="1588"/>
            <w:gridCol w:w="1426"/>
          </w:tblGrid>
        </w:tblGridChange>
      </w:tblGrid>
      <w:tr>
        <w:trPr>
          <w:cantSplit w:val="0"/>
          <w:tblHeader w:val="0"/>
        </w:trPr>
        <w:tc>
          <w:tcPr>
            <w:vMerge w:val="restart"/>
          </w:tcPr>
          <w:p w:rsidR="00000000" w:rsidDel="00000000" w:rsidP="00000000" w:rsidRDefault="00000000" w:rsidRPr="00000000" w14:paraId="0000008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Knowledge variables</w:t>
            </w:r>
            <w:r w:rsidDel="00000000" w:rsidR="00000000" w:rsidRPr="00000000">
              <w:rPr>
                <w:rtl w:val="0"/>
              </w:rPr>
            </w:r>
          </w:p>
        </w:tc>
        <w:tc>
          <w:tcPr>
            <w:gridSpan w:val="2"/>
          </w:tcPr>
          <w:p w:rsidR="00000000" w:rsidDel="00000000" w:rsidP="00000000" w:rsidRDefault="00000000" w:rsidRPr="00000000" w14:paraId="0000008A">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Baseline</w:t>
            </w:r>
          </w:p>
        </w:tc>
        <w:tc>
          <w:tcPr>
            <w:gridSpan w:val="2"/>
          </w:tcPr>
          <w:p w:rsidR="00000000" w:rsidDel="00000000" w:rsidP="00000000" w:rsidRDefault="00000000" w:rsidRPr="00000000" w14:paraId="0000008C">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Endline</w:t>
            </w:r>
          </w:p>
        </w:tc>
      </w:tr>
      <w:tr>
        <w:trPr>
          <w:cantSplit w:val="0"/>
          <w:tblHeader w:val="0"/>
        </w:trPr>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8F">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Intervention</w:t>
            </w:r>
          </w:p>
          <w:p w:rsidR="00000000" w:rsidDel="00000000" w:rsidP="00000000" w:rsidRDefault="00000000" w:rsidRPr="00000000" w14:paraId="00000090">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n (%)</w:t>
            </w:r>
          </w:p>
        </w:tc>
        <w:tc>
          <w:tcPr/>
          <w:p w:rsidR="00000000" w:rsidDel="00000000" w:rsidP="00000000" w:rsidRDefault="00000000" w:rsidRPr="00000000" w14:paraId="00000091">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Control</w:t>
            </w:r>
          </w:p>
          <w:p w:rsidR="00000000" w:rsidDel="00000000" w:rsidP="00000000" w:rsidRDefault="00000000" w:rsidRPr="00000000" w14:paraId="00000092">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n (%)</w:t>
            </w:r>
          </w:p>
        </w:tc>
        <w:tc>
          <w:tcPr/>
          <w:p w:rsidR="00000000" w:rsidDel="00000000" w:rsidP="00000000" w:rsidRDefault="00000000" w:rsidRPr="00000000" w14:paraId="00000093">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Intervention</w:t>
            </w:r>
          </w:p>
          <w:p w:rsidR="00000000" w:rsidDel="00000000" w:rsidP="00000000" w:rsidRDefault="00000000" w:rsidRPr="00000000" w14:paraId="00000094">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w:t>
            </w:r>
          </w:p>
        </w:tc>
        <w:tc>
          <w:tcPr/>
          <w:p w:rsidR="00000000" w:rsidDel="00000000" w:rsidP="00000000" w:rsidRDefault="00000000" w:rsidRPr="00000000" w14:paraId="00000095">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Control</w:t>
            </w:r>
          </w:p>
          <w:p w:rsidR="00000000" w:rsidDel="00000000" w:rsidP="00000000" w:rsidRDefault="00000000" w:rsidRPr="00000000" w14:paraId="00000096">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w:t>
            </w:r>
          </w:p>
        </w:tc>
      </w:tr>
      <w:tr>
        <w:trPr>
          <w:cantSplit w:val="0"/>
          <w:tblHeader w:val="0"/>
        </w:trPr>
        <w:tc>
          <w:tcPr/>
          <w:p w:rsidR="00000000" w:rsidDel="00000000" w:rsidP="00000000" w:rsidRDefault="00000000" w:rsidRPr="00000000" w14:paraId="00000097">
            <w:pPr>
              <w:spacing w:line="48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causes malaria?</w:t>
            </w:r>
          </w:p>
        </w:tc>
        <w:tc>
          <w:tcPr/>
          <w:p w:rsidR="00000000" w:rsidDel="00000000" w:rsidP="00000000" w:rsidRDefault="00000000" w:rsidRPr="00000000" w14:paraId="00000098">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C">
            <w:pPr>
              <w:spacing w:line="48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Bite from a mosquito</w:t>
            </w:r>
            <w:r w:rsidDel="00000000" w:rsidR="00000000" w:rsidRPr="00000000">
              <w:rPr>
                <w:rtl w:val="0"/>
              </w:rPr>
            </w:r>
          </w:p>
        </w:tc>
        <w:tc>
          <w:tcPr/>
          <w:p w:rsidR="00000000" w:rsidDel="00000000" w:rsidP="00000000" w:rsidRDefault="00000000" w:rsidRPr="00000000" w14:paraId="0000009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(48.9)</w:t>
            </w:r>
          </w:p>
        </w:tc>
        <w:tc>
          <w:tcPr/>
          <w:p w:rsidR="00000000" w:rsidDel="00000000" w:rsidP="00000000" w:rsidRDefault="00000000" w:rsidRPr="00000000" w14:paraId="0000009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(15.9)</w:t>
            </w:r>
          </w:p>
        </w:tc>
        <w:tc>
          <w:tcPr/>
          <w:p w:rsidR="00000000" w:rsidDel="00000000" w:rsidP="00000000" w:rsidRDefault="00000000" w:rsidRPr="00000000" w14:paraId="0000009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0A0">
            <w:pPr>
              <w:spacing w:line="48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6 (5.3)</w:t>
            </w:r>
          </w:p>
        </w:tc>
      </w:tr>
      <w:tr>
        <w:trPr>
          <w:cantSplit w:val="0"/>
          <w:tblHeader w:val="0"/>
        </w:trPr>
        <w:tc>
          <w:tcPr/>
          <w:p w:rsidR="00000000" w:rsidDel="00000000" w:rsidP="00000000" w:rsidRDefault="00000000" w:rsidRPr="00000000" w14:paraId="000000A1">
            <w:pPr>
              <w:spacing w:line="48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Over working/ stress</w:t>
            </w:r>
            <w:r w:rsidDel="00000000" w:rsidR="00000000" w:rsidRPr="00000000">
              <w:rPr>
                <w:rtl w:val="0"/>
              </w:rPr>
            </w:r>
          </w:p>
        </w:tc>
        <w:tc>
          <w:tcPr/>
          <w:p w:rsidR="00000000" w:rsidDel="00000000" w:rsidP="00000000" w:rsidRDefault="00000000" w:rsidRPr="00000000" w14:paraId="000000A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(46.0)</w:t>
            </w:r>
          </w:p>
        </w:tc>
        <w:tc>
          <w:tcPr/>
          <w:p w:rsidR="00000000" w:rsidDel="00000000" w:rsidP="00000000" w:rsidRDefault="00000000" w:rsidRPr="00000000" w14:paraId="000000A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(79.6)</w:t>
            </w:r>
          </w:p>
        </w:tc>
        <w:tc>
          <w:tcPr/>
          <w:p w:rsidR="00000000" w:rsidDel="00000000" w:rsidP="00000000" w:rsidRDefault="00000000" w:rsidRPr="00000000" w14:paraId="000000A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0A5">
            <w:pPr>
              <w:spacing w:line="48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102 (90.3)</w:t>
            </w:r>
          </w:p>
        </w:tc>
      </w:tr>
      <w:tr>
        <w:trPr>
          <w:cantSplit w:val="0"/>
          <w:tblHeader w:val="0"/>
        </w:trPr>
        <w:tc>
          <w:tcPr/>
          <w:p w:rsidR="00000000" w:rsidDel="00000000" w:rsidP="00000000" w:rsidRDefault="00000000" w:rsidRPr="00000000" w14:paraId="000000A6">
            <w:pPr>
              <w:spacing w:line="48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Others*</w:t>
            </w:r>
            <w:r w:rsidDel="00000000" w:rsidR="00000000" w:rsidRPr="00000000">
              <w:rPr>
                <w:rtl w:val="0"/>
              </w:rPr>
            </w:r>
          </w:p>
        </w:tc>
        <w:tc>
          <w:tcPr/>
          <w:p w:rsidR="00000000" w:rsidDel="00000000" w:rsidP="00000000" w:rsidRDefault="00000000" w:rsidRPr="00000000" w14:paraId="000000A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(5.1)</w:t>
            </w:r>
          </w:p>
        </w:tc>
        <w:tc>
          <w:tcPr/>
          <w:p w:rsidR="00000000" w:rsidDel="00000000" w:rsidP="00000000" w:rsidRDefault="00000000" w:rsidRPr="00000000" w14:paraId="000000A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(4.4)</w:t>
            </w:r>
          </w:p>
        </w:tc>
        <w:tc>
          <w:tcPr/>
          <w:p w:rsidR="00000000" w:rsidDel="00000000" w:rsidP="00000000" w:rsidRDefault="00000000" w:rsidRPr="00000000" w14:paraId="000000A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0AA">
            <w:pPr>
              <w:spacing w:line="48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5 (4.4)</w:t>
            </w:r>
          </w:p>
        </w:tc>
      </w:tr>
      <w:tr>
        <w:trPr>
          <w:cantSplit w:val="0"/>
          <w:tblHeader w:val="0"/>
        </w:trPr>
        <w:tc>
          <w:tcPr>
            <w:gridSpan w:val="4"/>
          </w:tcPr>
          <w:p w:rsidR="00000000" w:rsidDel="00000000" w:rsidP="00000000" w:rsidRDefault="00000000" w:rsidRPr="00000000" w14:paraId="000000A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 pregnant women have more risk of having malaria</w:t>
            </w:r>
            <w:r w:rsidDel="00000000" w:rsidR="00000000" w:rsidRPr="00000000">
              <w:rPr>
                <w:rtl w:val="0"/>
              </w:rPr>
            </w:r>
          </w:p>
        </w:tc>
        <w:tc>
          <w:tcPr/>
          <w:p w:rsidR="00000000" w:rsidDel="00000000" w:rsidP="00000000" w:rsidRDefault="00000000" w:rsidRPr="00000000" w14:paraId="000000AF">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0B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(52.6)</w:t>
            </w:r>
          </w:p>
        </w:tc>
        <w:tc>
          <w:tcPr/>
          <w:p w:rsidR="00000000" w:rsidDel="00000000" w:rsidP="00000000" w:rsidRDefault="00000000" w:rsidRPr="00000000" w14:paraId="000000B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(62.8)</w:t>
            </w:r>
          </w:p>
        </w:tc>
        <w:tc>
          <w:tcPr/>
          <w:p w:rsidR="00000000" w:rsidDel="00000000" w:rsidP="00000000" w:rsidRDefault="00000000" w:rsidRPr="00000000" w14:paraId="000000B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0B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(62.8)</w:t>
            </w:r>
          </w:p>
        </w:tc>
      </w:tr>
      <w:tr>
        <w:trPr>
          <w:cantSplit w:val="0"/>
          <w:tblHeader w:val="0"/>
        </w:trPr>
        <w:tc>
          <w:tcPr/>
          <w:p w:rsidR="00000000" w:rsidDel="00000000" w:rsidP="00000000" w:rsidRDefault="00000000" w:rsidRPr="00000000" w14:paraId="000000B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B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(47.4)</w:t>
            </w:r>
          </w:p>
        </w:tc>
        <w:tc>
          <w:tcPr/>
          <w:p w:rsidR="00000000" w:rsidDel="00000000" w:rsidP="00000000" w:rsidRDefault="00000000" w:rsidRPr="00000000" w14:paraId="000000B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(37.2)</w:t>
            </w:r>
          </w:p>
        </w:tc>
        <w:tc>
          <w:tcPr/>
          <w:p w:rsidR="00000000" w:rsidDel="00000000" w:rsidP="00000000" w:rsidRDefault="00000000" w:rsidRPr="00000000" w14:paraId="000000B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0B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(37.2)</w:t>
            </w:r>
          </w:p>
        </w:tc>
      </w:tr>
      <w:tr>
        <w:trPr>
          <w:cantSplit w:val="0"/>
          <w:tblHeader w:val="0"/>
        </w:trPr>
        <w:tc>
          <w:tcPr>
            <w:gridSpan w:val="3"/>
          </w:tcPr>
          <w:p w:rsidR="00000000" w:rsidDel="00000000" w:rsidP="00000000" w:rsidRDefault="00000000" w:rsidRPr="00000000" w14:paraId="000000B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Can malaria in pregnancy cause the following?</w:t>
            </w:r>
            <w:r w:rsidDel="00000000" w:rsidR="00000000" w:rsidRPr="00000000">
              <w:rPr>
                <w:rtl w:val="0"/>
              </w:rPr>
            </w:r>
          </w:p>
        </w:tc>
        <w:tc>
          <w:tcPr/>
          <w:p w:rsidR="00000000" w:rsidDel="00000000" w:rsidP="00000000" w:rsidRDefault="00000000" w:rsidRPr="00000000" w14:paraId="000000BD">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E">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B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Low birth weight (Weight &lt;2.5kg)</w:t>
            </w:r>
            <w:r w:rsidDel="00000000" w:rsidR="00000000" w:rsidRPr="00000000">
              <w:rPr>
                <w:rtl w:val="0"/>
              </w:rPr>
            </w:r>
          </w:p>
        </w:tc>
        <w:tc>
          <w:tcPr/>
          <w:p w:rsidR="00000000" w:rsidDel="00000000" w:rsidP="00000000" w:rsidRDefault="00000000" w:rsidRPr="00000000" w14:paraId="000000C1">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2">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3">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C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0C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(85.4)</w:t>
            </w:r>
          </w:p>
        </w:tc>
        <w:tc>
          <w:tcPr/>
          <w:p w:rsidR="00000000" w:rsidDel="00000000" w:rsidP="00000000" w:rsidRDefault="00000000" w:rsidRPr="00000000" w14:paraId="000000C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 (97.3)</w:t>
            </w:r>
          </w:p>
        </w:tc>
        <w:tc>
          <w:tcPr/>
          <w:p w:rsidR="00000000" w:rsidDel="00000000" w:rsidP="00000000" w:rsidRDefault="00000000" w:rsidRPr="00000000" w14:paraId="000000C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0C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 (97.3)</w:t>
            </w:r>
          </w:p>
        </w:tc>
      </w:tr>
      <w:tr>
        <w:trPr>
          <w:cantSplit w:val="0"/>
          <w:tblHeader w:val="0"/>
        </w:trPr>
        <w:tc>
          <w:tcPr/>
          <w:p w:rsidR="00000000" w:rsidDel="00000000" w:rsidP="00000000" w:rsidRDefault="00000000" w:rsidRPr="00000000" w14:paraId="000000C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C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(14.6)</w:t>
            </w:r>
          </w:p>
        </w:tc>
        <w:tc>
          <w:tcPr/>
          <w:p w:rsidR="00000000" w:rsidDel="00000000" w:rsidP="00000000" w:rsidRDefault="00000000" w:rsidRPr="00000000" w14:paraId="000000C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(2.7)</w:t>
            </w:r>
          </w:p>
        </w:tc>
        <w:tc>
          <w:tcPr/>
          <w:p w:rsidR="00000000" w:rsidDel="00000000" w:rsidP="00000000" w:rsidRDefault="00000000" w:rsidRPr="00000000" w14:paraId="000000C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0C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(2.7)</w:t>
            </w:r>
          </w:p>
        </w:tc>
      </w:tr>
      <w:tr>
        <w:trPr>
          <w:cantSplit w:val="0"/>
          <w:tblHeader w:val="0"/>
        </w:trPr>
        <w:tc>
          <w:tcPr/>
          <w:p w:rsidR="00000000" w:rsidDel="00000000" w:rsidP="00000000" w:rsidRDefault="00000000" w:rsidRPr="00000000" w14:paraId="000000C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Big babies at birth </w:t>
            </w:r>
            <w:r w:rsidDel="00000000" w:rsidR="00000000" w:rsidRPr="00000000">
              <w:rPr>
                <w:rtl w:val="0"/>
              </w:rPr>
            </w:r>
          </w:p>
        </w:tc>
        <w:tc>
          <w:tcPr/>
          <w:p w:rsidR="00000000" w:rsidDel="00000000" w:rsidP="00000000" w:rsidRDefault="00000000" w:rsidRPr="00000000" w14:paraId="000000CF">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0">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1">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2">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0D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(2.9)</w:t>
            </w:r>
          </w:p>
        </w:tc>
        <w:tc>
          <w:tcPr/>
          <w:p w:rsidR="00000000" w:rsidDel="00000000" w:rsidP="00000000" w:rsidRDefault="00000000" w:rsidRPr="00000000" w14:paraId="000000D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(8.0)</w:t>
            </w:r>
          </w:p>
        </w:tc>
        <w:tc>
          <w:tcPr/>
          <w:p w:rsidR="00000000" w:rsidDel="00000000" w:rsidP="00000000" w:rsidRDefault="00000000" w:rsidRPr="00000000" w14:paraId="000000D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0D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(8.0)</w:t>
            </w:r>
          </w:p>
        </w:tc>
      </w:tr>
      <w:tr>
        <w:trPr>
          <w:cantSplit w:val="0"/>
          <w:tblHeader w:val="0"/>
        </w:trPr>
        <w:tc>
          <w:tcPr/>
          <w:p w:rsidR="00000000" w:rsidDel="00000000" w:rsidP="00000000" w:rsidRDefault="00000000" w:rsidRPr="00000000" w14:paraId="000000D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D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(97.1)</w:t>
            </w:r>
          </w:p>
        </w:tc>
        <w:tc>
          <w:tcPr/>
          <w:p w:rsidR="00000000" w:rsidDel="00000000" w:rsidP="00000000" w:rsidRDefault="00000000" w:rsidRPr="00000000" w14:paraId="000000D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(92.0)</w:t>
            </w:r>
          </w:p>
        </w:tc>
        <w:tc>
          <w:tcPr/>
          <w:p w:rsidR="00000000" w:rsidDel="00000000" w:rsidP="00000000" w:rsidRDefault="00000000" w:rsidRPr="00000000" w14:paraId="000000D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0D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(92.0)</w:t>
            </w:r>
          </w:p>
        </w:tc>
      </w:tr>
      <w:tr>
        <w:trPr>
          <w:cantSplit w:val="0"/>
          <w:tblHeader w:val="0"/>
        </w:trPr>
        <w:tc>
          <w:tcPr/>
          <w:p w:rsidR="00000000" w:rsidDel="00000000" w:rsidP="00000000" w:rsidRDefault="00000000" w:rsidRPr="00000000" w14:paraId="000000D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Abortion</w:t>
            </w:r>
            <w:r w:rsidDel="00000000" w:rsidR="00000000" w:rsidRPr="00000000">
              <w:rPr>
                <w:rtl w:val="0"/>
              </w:rPr>
            </w:r>
          </w:p>
        </w:tc>
        <w:tc>
          <w:tcPr/>
          <w:p w:rsidR="00000000" w:rsidDel="00000000" w:rsidP="00000000" w:rsidRDefault="00000000" w:rsidRPr="00000000" w14:paraId="000000DE">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F">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0">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1">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0E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(74.5)</w:t>
            </w:r>
          </w:p>
        </w:tc>
        <w:tc>
          <w:tcPr/>
          <w:p w:rsidR="00000000" w:rsidDel="00000000" w:rsidP="00000000" w:rsidRDefault="00000000" w:rsidRPr="00000000" w14:paraId="000000E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(92.0)</w:t>
            </w:r>
          </w:p>
        </w:tc>
        <w:tc>
          <w:tcPr/>
          <w:p w:rsidR="00000000" w:rsidDel="00000000" w:rsidP="00000000" w:rsidRDefault="00000000" w:rsidRPr="00000000" w14:paraId="000000E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0E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(92.0)</w:t>
            </w:r>
          </w:p>
        </w:tc>
      </w:tr>
      <w:tr>
        <w:trPr>
          <w:cantSplit w:val="0"/>
          <w:tblHeader w:val="0"/>
        </w:trPr>
        <w:tc>
          <w:tcPr/>
          <w:p w:rsidR="00000000" w:rsidDel="00000000" w:rsidP="00000000" w:rsidRDefault="00000000" w:rsidRPr="00000000" w14:paraId="000000E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E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(25.5)</w:t>
            </w:r>
          </w:p>
        </w:tc>
        <w:tc>
          <w:tcPr/>
          <w:p w:rsidR="00000000" w:rsidDel="00000000" w:rsidP="00000000" w:rsidRDefault="00000000" w:rsidRPr="00000000" w14:paraId="000000E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(8.0)</w:t>
            </w:r>
          </w:p>
        </w:tc>
        <w:tc>
          <w:tcPr/>
          <w:p w:rsidR="00000000" w:rsidDel="00000000" w:rsidP="00000000" w:rsidRDefault="00000000" w:rsidRPr="00000000" w14:paraId="000000E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0E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(8.0)</w:t>
            </w:r>
          </w:p>
        </w:tc>
      </w:tr>
      <w:tr>
        <w:trPr>
          <w:cantSplit w:val="0"/>
          <w:tblHeader w:val="0"/>
        </w:trPr>
        <w:tc>
          <w:tcPr/>
          <w:p w:rsidR="00000000" w:rsidDel="00000000" w:rsidP="00000000" w:rsidRDefault="00000000" w:rsidRPr="00000000" w14:paraId="000000E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Still birth </w:t>
            </w:r>
            <w:r w:rsidDel="00000000" w:rsidR="00000000" w:rsidRPr="00000000">
              <w:rPr>
                <w:rtl w:val="0"/>
              </w:rPr>
            </w:r>
          </w:p>
        </w:tc>
        <w:tc>
          <w:tcPr/>
          <w:p w:rsidR="00000000" w:rsidDel="00000000" w:rsidP="00000000" w:rsidRDefault="00000000" w:rsidRPr="00000000" w14:paraId="000000ED">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E">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F">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0">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0F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(83.2)</w:t>
            </w:r>
          </w:p>
        </w:tc>
        <w:tc>
          <w:tcPr/>
          <w:p w:rsidR="00000000" w:rsidDel="00000000" w:rsidP="00000000" w:rsidRDefault="00000000" w:rsidRPr="00000000" w14:paraId="000000F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(90.3)</w:t>
            </w:r>
          </w:p>
        </w:tc>
        <w:tc>
          <w:tcPr/>
          <w:p w:rsidR="00000000" w:rsidDel="00000000" w:rsidP="00000000" w:rsidRDefault="00000000" w:rsidRPr="00000000" w14:paraId="000000F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0F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(90.3)</w:t>
            </w:r>
          </w:p>
        </w:tc>
      </w:tr>
      <w:tr>
        <w:trPr>
          <w:cantSplit w:val="0"/>
          <w:tblHeader w:val="0"/>
        </w:trPr>
        <w:tc>
          <w:tcPr/>
          <w:p w:rsidR="00000000" w:rsidDel="00000000" w:rsidP="00000000" w:rsidRDefault="00000000" w:rsidRPr="00000000" w14:paraId="000000F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F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(16.8)</w:t>
            </w:r>
          </w:p>
        </w:tc>
        <w:tc>
          <w:tcPr/>
          <w:p w:rsidR="00000000" w:rsidDel="00000000" w:rsidP="00000000" w:rsidRDefault="00000000" w:rsidRPr="00000000" w14:paraId="000000F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(9.7)</w:t>
            </w:r>
          </w:p>
        </w:tc>
        <w:tc>
          <w:tcPr/>
          <w:p w:rsidR="00000000" w:rsidDel="00000000" w:rsidP="00000000" w:rsidRDefault="00000000" w:rsidRPr="00000000" w14:paraId="000000F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0F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(9.7)</w:t>
            </w:r>
          </w:p>
        </w:tc>
      </w:tr>
      <w:tr>
        <w:trPr>
          <w:cantSplit w:val="0"/>
          <w:tblHeader w:val="0"/>
        </w:trPr>
        <w:tc>
          <w:tcPr/>
          <w:p w:rsidR="00000000" w:rsidDel="00000000" w:rsidP="00000000" w:rsidRDefault="00000000" w:rsidRPr="00000000" w14:paraId="000000F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Preterm delivery</w:t>
            </w:r>
            <w:r w:rsidDel="00000000" w:rsidR="00000000" w:rsidRPr="00000000">
              <w:rPr>
                <w:rtl w:val="0"/>
              </w:rPr>
            </w:r>
          </w:p>
        </w:tc>
        <w:tc>
          <w:tcPr/>
          <w:p w:rsidR="00000000" w:rsidDel="00000000" w:rsidP="00000000" w:rsidRDefault="00000000" w:rsidRPr="00000000" w14:paraId="000000FC">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D">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E">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F">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(85.4)</w:t>
            </w:r>
          </w:p>
        </w:tc>
        <w:tc>
          <w:tcPr/>
          <w:p w:rsidR="00000000" w:rsidDel="00000000" w:rsidP="00000000" w:rsidRDefault="00000000" w:rsidRPr="00000000" w14:paraId="000001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(96.5)</w:t>
            </w:r>
          </w:p>
        </w:tc>
        <w:tc>
          <w:tcPr/>
          <w:p w:rsidR="00000000" w:rsidDel="00000000" w:rsidP="00000000" w:rsidRDefault="00000000" w:rsidRPr="00000000" w14:paraId="000001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1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(96.5)</w:t>
            </w:r>
          </w:p>
        </w:tc>
      </w:tr>
      <w:tr>
        <w:trPr>
          <w:cantSplit w:val="0"/>
          <w:tblHeader w:val="0"/>
        </w:trPr>
        <w:tc>
          <w:tcPr/>
          <w:p w:rsidR="00000000" w:rsidDel="00000000" w:rsidP="00000000" w:rsidRDefault="00000000" w:rsidRPr="00000000" w14:paraId="0000010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(14.6)</w:t>
            </w:r>
          </w:p>
        </w:tc>
        <w:tc>
          <w:tcPr/>
          <w:p w:rsidR="00000000" w:rsidDel="00000000" w:rsidP="00000000" w:rsidRDefault="00000000" w:rsidRPr="00000000" w14:paraId="000001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(3.5)</w:t>
            </w:r>
          </w:p>
        </w:tc>
        <w:tc>
          <w:tcPr/>
          <w:p w:rsidR="00000000" w:rsidDel="00000000" w:rsidP="00000000" w:rsidRDefault="00000000" w:rsidRPr="00000000" w14:paraId="000001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(3.5)</w:t>
            </w:r>
          </w:p>
        </w:tc>
      </w:tr>
      <w:tr>
        <w:trPr>
          <w:cantSplit w:val="0"/>
          <w:tblHeader w:val="0"/>
        </w:trPr>
        <w:tc>
          <w:tcPr/>
          <w:p w:rsidR="00000000" w:rsidDel="00000000" w:rsidP="00000000" w:rsidRDefault="00000000" w:rsidRPr="00000000" w14:paraId="0000010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Anemia </w:t>
            </w:r>
            <w:r w:rsidDel="00000000" w:rsidR="00000000" w:rsidRPr="00000000">
              <w:rPr>
                <w:rtl w:val="0"/>
              </w:rPr>
            </w:r>
          </w:p>
        </w:tc>
        <w:tc>
          <w:tcPr/>
          <w:p w:rsidR="00000000" w:rsidDel="00000000" w:rsidP="00000000" w:rsidRDefault="00000000" w:rsidRPr="00000000" w14:paraId="0000010B">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C">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D">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E">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(86.1)</w:t>
            </w:r>
          </w:p>
        </w:tc>
        <w:tc>
          <w:tcPr/>
          <w:p w:rsidR="00000000" w:rsidDel="00000000" w:rsidP="00000000" w:rsidRDefault="00000000" w:rsidRPr="00000000" w14:paraId="000001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(94.7)</w:t>
            </w:r>
          </w:p>
        </w:tc>
        <w:tc>
          <w:tcPr/>
          <w:p w:rsidR="00000000" w:rsidDel="00000000" w:rsidP="00000000" w:rsidRDefault="00000000" w:rsidRPr="00000000" w14:paraId="000001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11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(94.7)</w:t>
            </w:r>
          </w:p>
        </w:tc>
      </w:tr>
      <w:tr>
        <w:trPr>
          <w:cantSplit w:val="0"/>
          <w:tblHeader w:val="0"/>
        </w:trPr>
        <w:tc>
          <w:tcPr/>
          <w:p w:rsidR="00000000" w:rsidDel="00000000" w:rsidP="00000000" w:rsidRDefault="00000000" w:rsidRPr="00000000" w14:paraId="0000011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1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(13.9)</w:t>
            </w:r>
          </w:p>
        </w:tc>
        <w:tc>
          <w:tcPr/>
          <w:p w:rsidR="00000000" w:rsidDel="00000000" w:rsidP="00000000" w:rsidRDefault="00000000" w:rsidRPr="00000000" w14:paraId="000001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(5.3)</w:t>
            </w:r>
          </w:p>
        </w:tc>
        <w:tc>
          <w:tcPr/>
          <w:p w:rsidR="00000000" w:rsidDel="00000000" w:rsidP="00000000" w:rsidRDefault="00000000" w:rsidRPr="00000000" w14:paraId="0000011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1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(5.3)</w:t>
            </w:r>
          </w:p>
        </w:tc>
      </w:tr>
      <w:tr>
        <w:trPr>
          <w:cantSplit w:val="0"/>
          <w:tblHeader w:val="0"/>
        </w:trPr>
        <w:tc>
          <w:tcPr/>
          <w:p w:rsidR="00000000" w:rsidDel="00000000" w:rsidP="00000000" w:rsidRDefault="00000000" w:rsidRPr="00000000" w14:paraId="0000011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Typhoid fever </w:t>
            </w:r>
            <w:r w:rsidDel="00000000" w:rsidR="00000000" w:rsidRPr="00000000">
              <w:rPr>
                <w:rtl w:val="0"/>
              </w:rPr>
            </w:r>
          </w:p>
        </w:tc>
        <w:tc>
          <w:tcPr/>
          <w:p w:rsidR="00000000" w:rsidDel="00000000" w:rsidP="00000000" w:rsidRDefault="00000000" w:rsidRPr="00000000" w14:paraId="0000011A">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B">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C">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D">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1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(28.5)</w:t>
            </w:r>
          </w:p>
        </w:tc>
        <w:tc>
          <w:tcPr/>
          <w:p w:rsidR="00000000" w:rsidDel="00000000" w:rsidP="00000000" w:rsidRDefault="00000000" w:rsidRPr="00000000" w14:paraId="0000012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(36.3)</w:t>
            </w:r>
          </w:p>
        </w:tc>
        <w:tc>
          <w:tcPr/>
          <w:p w:rsidR="00000000" w:rsidDel="00000000" w:rsidP="00000000" w:rsidRDefault="00000000" w:rsidRPr="00000000" w14:paraId="0000012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2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(36.3)</w:t>
            </w:r>
          </w:p>
        </w:tc>
      </w:tr>
      <w:tr>
        <w:trPr>
          <w:cantSplit w:val="0"/>
          <w:tblHeader w:val="0"/>
        </w:trPr>
        <w:tc>
          <w:tcPr/>
          <w:p w:rsidR="00000000" w:rsidDel="00000000" w:rsidP="00000000" w:rsidRDefault="00000000" w:rsidRPr="00000000" w14:paraId="0000012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2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 (71.5)</w:t>
            </w:r>
          </w:p>
        </w:tc>
        <w:tc>
          <w:tcPr/>
          <w:p w:rsidR="00000000" w:rsidDel="00000000" w:rsidP="00000000" w:rsidRDefault="00000000" w:rsidRPr="00000000" w14:paraId="0000012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(63.7)</w:t>
            </w:r>
          </w:p>
        </w:tc>
        <w:tc>
          <w:tcPr/>
          <w:p w:rsidR="00000000" w:rsidDel="00000000" w:rsidP="00000000" w:rsidRDefault="00000000" w:rsidRPr="00000000" w14:paraId="0000012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12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(63.7)</w:t>
            </w:r>
          </w:p>
        </w:tc>
      </w:tr>
    </w:tbl>
    <w:p w:rsidR="00000000" w:rsidDel="00000000" w:rsidP="00000000" w:rsidRDefault="00000000" w:rsidRPr="00000000" w14:paraId="00000128">
      <w:pPr>
        <w:spacing w:line="480" w:lineRule="auto"/>
        <w:rPr>
          <w:rFonts w:ascii="Times New Roman" w:cs="Times New Roman" w:eastAsia="Times New Roman" w:hAnsi="Times New Roman"/>
          <w:b w:val="1"/>
          <w:bCs w:val="1"/>
          <w:sz w:val="24"/>
          <w:szCs w:val="24"/>
        </w:rPr>
        <w:sectPr>
          <w:type w:val="nextPage"/>
          <w:pgSz w:h="16838" w:w="11906" w:orient="portrait"/>
          <w:pgMar w:bottom="1440" w:top="1440" w:left="1800" w:right="1800" w:header="720" w:footer="720"/>
        </w:sect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others: dirty environment, heavy rainfall, stagnant water etc</w:t>
      </w:r>
      <w:r w:rsidDel="00000000" w:rsidR="00000000" w:rsidRPr="00000000">
        <w:br w:type="page"/>
      </w:r>
      <w:r w:rsidDel="00000000" w:rsidR="00000000" w:rsidRPr="00000000">
        <w:rPr>
          <w:rtl w:val="0"/>
        </w:rPr>
      </w:r>
    </w:p>
    <w:p w:rsidR="00000000" w:rsidDel="00000000" w:rsidP="00000000" w:rsidRDefault="00000000" w:rsidRPr="00000000" w14:paraId="0000012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shows the baseline and endline level of knowledge of pregnant women regarding malaria and its prevention during pregnancy in the intervention and control groups. At baseline, the highest proportion of respondents in both groups had poor knowledge, accounting for 82 (59.9%) in the intervention group and 64 (56.6%) in the control group, while good knowledge was recorded among 55 (40.1%) in the intervention group and 49 (43.4%) in the control group. The difference at baseline was not statistically significant (p = 0.608).</w:t>
      </w:r>
    </w:p>
    <w:p w:rsidR="00000000" w:rsidDel="00000000" w:rsidP="00000000" w:rsidRDefault="00000000" w:rsidRPr="00000000" w14:paraId="0000012A">
      <w:pPr>
        <w:spacing w:line="480" w:lineRule="auto"/>
        <w:jc w:val="both"/>
        <w:rPr>
          <w:rFonts w:ascii="Times New Roman" w:cs="Times New Roman" w:eastAsia="Times New Roman" w:hAnsi="Times New Roman"/>
          <w:sz w:val="24"/>
          <w:szCs w:val="24"/>
        </w:rPr>
        <w:sectPr>
          <w:type w:val="nextPage"/>
          <w:pgSz w:h="16838" w:w="11906" w:orient="portrait"/>
          <w:pgMar w:bottom="1440" w:top="1440" w:left="1800" w:right="1800" w:header="720" w:footer="720"/>
        </w:sectPr>
      </w:pPr>
      <w:r w:rsidDel="00000000" w:rsidR="00000000" w:rsidRPr="00000000">
        <w:rPr>
          <w:rFonts w:ascii="Times New Roman" w:cs="Times New Roman" w:eastAsia="Times New Roman" w:hAnsi="Times New Roman"/>
          <w:sz w:val="24"/>
          <w:szCs w:val="24"/>
          <w:rtl w:val="0"/>
        </w:rPr>
        <w:t xml:space="preserve">At endline, all respondents in the intervention group had good knowledge, accounting for 137 (100.0%), while none had poor knowledge, 0 (0.0%). In the control group, the highest proportion remained those with poor knowledge, accounting for 64 (56.6%), while 49 (43.4%) had good knowledge. The difference at endline was statistically significant (p &lt; 0.001).</w:t>
      </w:r>
    </w:p>
    <w:p w:rsidR="00000000" w:rsidDel="00000000" w:rsidP="00000000" w:rsidRDefault="00000000" w:rsidRPr="00000000" w14:paraId="0000012B">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3: Baseline and End-line level of knowledge of pregnant women regarding malaria and it’s prevention during pregnancy in Osun State, Nigeria.</w:t>
      </w:r>
    </w:p>
    <w:tbl>
      <w:tblPr>
        <w:tblStyle w:val="Table3"/>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7"/>
        <w:gridCol w:w="1496"/>
        <w:gridCol w:w="1388"/>
        <w:gridCol w:w="1496"/>
        <w:gridCol w:w="1375"/>
        <w:tblGridChange w:id="0">
          <w:tblGrid>
            <w:gridCol w:w="2767"/>
            <w:gridCol w:w="1496"/>
            <w:gridCol w:w="1388"/>
            <w:gridCol w:w="1496"/>
            <w:gridCol w:w="1375"/>
          </w:tblGrid>
        </w:tblGridChange>
      </w:tblGrid>
      <w:tr>
        <w:trPr>
          <w:cantSplit w:val="0"/>
          <w:tblHeader w:val="0"/>
        </w:trPr>
        <w:tc>
          <w:tcPr>
            <w:vMerge w:val="restart"/>
          </w:tcPr>
          <w:p w:rsidR="00000000" w:rsidDel="00000000" w:rsidP="00000000" w:rsidRDefault="00000000" w:rsidRPr="00000000" w14:paraId="0000012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Level of Knowledge (N=250)</w:t>
            </w:r>
            <w:r w:rsidDel="00000000" w:rsidR="00000000" w:rsidRPr="00000000">
              <w:rPr>
                <w:rtl w:val="0"/>
              </w:rPr>
            </w:r>
          </w:p>
        </w:tc>
        <w:tc>
          <w:tcPr>
            <w:gridSpan w:val="2"/>
          </w:tcPr>
          <w:p w:rsidR="00000000" w:rsidDel="00000000" w:rsidP="00000000" w:rsidRDefault="00000000" w:rsidRPr="00000000" w14:paraId="0000012D">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Baseline</w:t>
            </w:r>
          </w:p>
        </w:tc>
        <w:tc>
          <w:tcPr>
            <w:gridSpan w:val="2"/>
          </w:tcPr>
          <w:p w:rsidR="00000000" w:rsidDel="00000000" w:rsidP="00000000" w:rsidRDefault="00000000" w:rsidRPr="00000000" w14:paraId="0000012F">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Endline</w:t>
            </w:r>
          </w:p>
        </w:tc>
      </w:tr>
      <w:tr>
        <w:trPr>
          <w:cantSplit w:val="0"/>
          <w:tblHeader w:val="0"/>
        </w:trPr>
        <w:tc>
          <w:tcPr>
            <w:vMerge w:val="continue"/>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32">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Intervention</w:t>
            </w:r>
          </w:p>
          <w:p w:rsidR="00000000" w:rsidDel="00000000" w:rsidP="00000000" w:rsidRDefault="00000000" w:rsidRPr="00000000" w14:paraId="00000133">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n (%)</w:t>
            </w:r>
          </w:p>
        </w:tc>
        <w:tc>
          <w:tcPr/>
          <w:p w:rsidR="00000000" w:rsidDel="00000000" w:rsidP="00000000" w:rsidRDefault="00000000" w:rsidRPr="00000000" w14:paraId="00000134">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Control</w:t>
            </w:r>
          </w:p>
          <w:p w:rsidR="00000000" w:rsidDel="00000000" w:rsidP="00000000" w:rsidRDefault="00000000" w:rsidRPr="00000000" w14:paraId="00000135">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n (%)</w:t>
            </w:r>
          </w:p>
        </w:tc>
        <w:tc>
          <w:tcPr/>
          <w:p w:rsidR="00000000" w:rsidDel="00000000" w:rsidP="00000000" w:rsidRDefault="00000000" w:rsidRPr="00000000" w14:paraId="00000136">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Intervention</w:t>
            </w:r>
          </w:p>
          <w:p w:rsidR="00000000" w:rsidDel="00000000" w:rsidP="00000000" w:rsidRDefault="00000000" w:rsidRPr="00000000" w14:paraId="00000137">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w:t>
            </w:r>
          </w:p>
        </w:tc>
        <w:tc>
          <w:tcPr/>
          <w:p w:rsidR="00000000" w:rsidDel="00000000" w:rsidP="00000000" w:rsidRDefault="00000000" w:rsidRPr="00000000" w14:paraId="00000138">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Control</w:t>
            </w:r>
          </w:p>
          <w:p w:rsidR="00000000" w:rsidDel="00000000" w:rsidP="00000000" w:rsidRDefault="00000000" w:rsidRPr="00000000" w14:paraId="00000139">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w:t>
            </w:r>
          </w:p>
        </w:tc>
      </w:tr>
      <w:tr>
        <w:trPr>
          <w:cantSplit w:val="0"/>
          <w:tblHeader w:val="0"/>
        </w:trPr>
        <w:tc>
          <w:tcPr/>
          <w:p w:rsidR="00000000" w:rsidDel="00000000" w:rsidP="00000000" w:rsidRDefault="00000000" w:rsidRPr="00000000" w14:paraId="0000013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Knowledge</w:t>
            </w:r>
          </w:p>
        </w:tc>
        <w:tc>
          <w:tcPr/>
          <w:p w:rsidR="00000000" w:rsidDel="00000000" w:rsidP="00000000" w:rsidRDefault="00000000" w:rsidRPr="00000000" w14:paraId="0000013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(59.9)</w:t>
            </w:r>
          </w:p>
        </w:tc>
        <w:tc>
          <w:tcPr/>
          <w:p w:rsidR="00000000" w:rsidDel="00000000" w:rsidP="00000000" w:rsidRDefault="00000000" w:rsidRPr="00000000" w14:paraId="0000013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(56.6)</w:t>
            </w:r>
          </w:p>
        </w:tc>
        <w:tc>
          <w:tcPr/>
          <w:p w:rsidR="00000000" w:rsidDel="00000000" w:rsidP="00000000" w:rsidRDefault="00000000" w:rsidRPr="00000000" w14:paraId="0000013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3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(56.6)</w:t>
            </w:r>
          </w:p>
        </w:tc>
      </w:tr>
      <w:tr>
        <w:trPr>
          <w:cantSplit w:val="0"/>
          <w:tblHeader w:val="0"/>
        </w:trPr>
        <w:tc>
          <w:tcPr/>
          <w:p w:rsidR="00000000" w:rsidDel="00000000" w:rsidP="00000000" w:rsidRDefault="00000000" w:rsidRPr="00000000" w14:paraId="0000013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Knowledge</w:t>
            </w:r>
          </w:p>
        </w:tc>
        <w:tc>
          <w:tcPr/>
          <w:p w:rsidR="00000000" w:rsidDel="00000000" w:rsidP="00000000" w:rsidRDefault="00000000" w:rsidRPr="00000000" w14:paraId="0000014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(40.1)</w:t>
            </w:r>
          </w:p>
        </w:tc>
        <w:tc>
          <w:tcPr/>
          <w:p w:rsidR="00000000" w:rsidDel="00000000" w:rsidP="00000000" w:rsidRDefault="00000000" w:rsidRPr="00000000" w14:paraId="0000014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(43.4)</w:t>
            </w:r>
          </w:p>
        </w:tc>
        <w:tc>
          <w:tcPr/>
          <w:p w:rsidR="00000000" w:rsidDel="00000000" w:rsidP="00000000" w:rsidRDefault="00000000" w:rsidRPr="00000000" w14:paraId="0000014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14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(43.4)</w:t>
            </w:r>
          </w:p>
        </w:tc>
      </w:tr>
      <w:tr>
        <w:trPr>
          <w:cantSplit w:val="0"/>
          <w:tblHeader w:val="0"/>
        </w:trPr>
        <w:tc>
          <w:tcPr/>
          <w:p w:rsidR="00000000" w:rsidDel="00000000" w:rsidP="00000000" w:rsidRDefault="00000000" w:rsidRPr="00000000" w14:paraId="0000014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P-value</w:t>
            </w:r>
          </w:p>
        </w:tc>
        <w:tc>
          <w:tcPr>
            <w:gridSpan w:val="2"/>
          </w:tcPr>
          <w:p w:rsidR="00000000" w:rsidDel="00000000" w:rsidP="00000000" w:rsidRDefault="00000000" w:rsidRPr="00000000" w14:paraId="0000014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0.608</w:t>
            </w:r>
          </w:p>
        </w:tc>
        <w:tc>
          <w:tcPr>
            <w:gridSpan w:val="2"/>
          </w:tcPr>
          <w:p w:rsidR="00000000" w:rsidDel="00000000" w:rsidP="00000000" w:rsidRDefault="00000000" w:rsidRPr="00000000" w14:paraId="0000014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&lt;0.001**</w:t>
            </w:r>
            <w:r w:rsidDel="00000000" w:rsidR="00000000" w:rsidRPr="00000000">
              <w:rPr>
                <w:rtl w:val="0"/>
              </w:rPr>
            </w:r>
          </w:p>
        </w:tc>
      </w:tr>
    </w:tbl>
    <w:p w:rsidR="00000000" w:rsidDel="00000000" w:rsidP="00000000" w:rsidRDefault="00000000" w:rsidRPr="00000000" w14:paraId="00000149">
      <w:pPr>
        <w:spacing w:line="480" w:lineRule="auto"/>
        <w:jc w:val="both"/>
        <w:rPr>
          <w:rFonts w:ascii="Times New Roman" w:cs="Times New Roman" w:eastAsia="Times New Roman" w:hAnsi="Times New Roman"/>
          <w:b w:val="1"/>
          <w:bCs w:val="1"/>
          <w:sz w:val="24"/>
          <w:szCs w:val="24"/>
        </w:rPr>
      </w:pPr>
      <w:sdt>
        <w:sdtPr>
          <w:id w:val="2041888126"/>
          <w:tag w:val="goog_rdk_0"/>
        </w:sdtPr>
        <w:sdtContent>
          <w:r w:rsidDel="00000000" w:rsidR="00000000" w:rsidRPr="00000000">
            <w:rPr>
              <w:rFonts w:ascii="Gungsuh" w:cs="Gungsuh" w:eastAsia="Gungsuh" w:hAnsi="Gungsuh"/>
              <w:i w:val="1"/>
              <w:iCs w:val="1"/>
              <w:sz w:val="24"/>
              <w:szCs w:val="24"/>
              <w:rtl w:val="0"/>
            </w:rPr>
            <w:t xml:space="preserve">*Bloom's Cutoff Categories &lt;80% = poor, ≥80 = good</w:t>
            <w:br w:type="textWrapping"/>
            <w:t xml:space="preserve">** indicates statistical significance</w:t>
          </w:r>
        </w:sdtContent>
      </w:sdt>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Table 4 presents respondents’ knowledge of Sulphadoxine-Pyrimethamine (SP) in both groups at baseline and endline. Awareness of SP was already high at baseline in both groups and reached 100.0% in the intervention group at endline, with no notable change in the control group.</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Knowledge of SP use improved in the intervention group, with more respondents correctly identifying it as a preventive drug for malaria in pregnancy (56.2% to 86.1%), while the control group showed no improvement. Correct knowledge of the timing of initiation improved markedly in the intervention group, with all respondents selecting 13 weeks at endline, whereas the control group largely remained at 16 weeks.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38" w:w="11906" w:orient="portrait"/>
          <w:pgMar w:bottom="1440" w:top="1440" w:left="1800" w:right="1800"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Similarly, correct knowledge of dosing intervals (4 weeks) reached 100.0% in the intervention group at endline but remained unchanged in the control group. Knowledge of the minimum required doses improved in the intervention group, with most respondents identifying 3 doses at endline, while the control group showed minimal change.</w:t>
      </w:r>
    </w:p>
    <w:p w:rsidR="00000000" w:rsidDel="00000000" w:rsidP="00000000" w:rsidRDefault="00000000" w:rsidRPr="00000000" w14:paraId="0000014D">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4: Pregnant women’s Knowledge of</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Sulphadoxine-Pyrimethamine (SP)</w:t>
      </w:r>
    </w:p>
    <w:tbl>
      <w:tblPr>
        <w:tblStyle w:val="Table4"/>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1"/>
        <w:gridCol w:w="1620"/>
        <w:gridCol w:w="1520"/>
        <w:gridCol w:w="1580"/>
        <w:gridCol w:w="1491"/>
        <w:tblGridChange w:id="0">
          <w:tblGrid>
            <w:gridCol w:w="2311"/>
            <w:gridCol w:w="1620"/>
            <w:gridCol w:w="1520"/>
            <w:gridCol w:w="1580"/>
            <w:gridCol w:w="1491"/>
          </w:tblGrid>
        </w:tblGridChange>
      </w:tblGrid>
      <w:tr>
        <w:trPr>
          <w:cantSplit w:val="0"/>
          <w:tblHeader w:val="0"/>
        </w:trPr>
        <w:tc>
          <w:tcPr>
            <w:vMerge w:val="restart"/>
          </w:tcPr>
          <w:p w:rsidR="00000000" w:rsidDel="00000000" w:rsidP="00000000" w:rsidRDefault="00000000" w:rsidRPr="00000000" w14:paraId="0000014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Knowledge variables (N=250)</w:t>
            </w:r>
            <w:r w:rsidDel="00000000" w:rsidR="00000000" w:rsidRPr="00000000">
              <w:rPr>
                <w:rtl w:val="0"/>
              </w:rPr>
            </w:r>
          </w:p>
        </w:tc>
        <w:tc>
          <w:tcPr>
            <w:gridSpan w:val="2"/>
          </w:tcPr>
          <w:p w:rsidR="00000000" w:rsidDel="00000000" w:rsidP="00000000" w:rsidRDefault="00000000" w:rsidRPr="00000000" w14:paraId="0000014F">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Baseline</w:t>
            </w:r>
          </w:p>
        </w:tc>
        <w:tc>
          <w:tcPr>
            <w:gridSpan w:val="2"/>
          </w:tcPr>
          <w:p w:rsidR="00000000" w:rsidDel="00000000" w:rsidP="00000000" w:rsidRDefault="00000000" w:rsidRPr="00000000" w14:paraId="00000151">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Endline</w:t>
            </w:r>
          </w:p>
        </w:tc>
      </w:tr>
      <w:tr>
        <w:trPr>
          <w:cantSplit w:val="0"/>
          <w:tblHeader w:val="0"/>
        </w:trPr>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54">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Intervention</w:t>
            </w:r>
          </w:p>
          <w:p w:rsidR="00000000" w:rsidDel="00000000" w:rsidP="00000000" w:rsidRDefault="00000000" w:rsidRPr="00000000" w14:paraId="00000155">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n (%)</w:t>
            </w:r>
          </w:p>
        </w:tc>
        <w:tc>
          <w:tcPr/>
          <w:p w:rsidR="00000000" w:rsidDel="00000000" w:rsidP="00000000" w:rsidRDefault="00000000" w:rsidRPr="00000000" w14:paraId="00000156">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Control</w:t>
            </w:r>
          </w:p>
          <w:p w:rsidR="00000000" w:rsidDel="00000000" w:rsidP="00000000" w:rsidRDefault="00000000" w:rsidRPr="00000000" w14:paraId="00000157">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n (%)</w:t>
            </w:r>
          </w:p>
        </w:tc>
        <w:tc>
          <w:tcPr/>
          <w:p w:rsidR="00000000" w:rsidDel="00000000" w:rsidP="00000000" w:rsidRDefault="00000000" w:rsidRPr="00000000" w14:paraId="00000158">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Intervention</w:t>
            </w:r>
          </w:p>
          <w:p w:rsidR="00000000" w:rsidDel="00000000" w:rsidP="00000000" w:rsidRDefault="00000000" w:rsidRPr="00000000" w14:paraId="00000159">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w:t>
            </w:r>
          </w:p>
        </w:tc>
        <w:tc>
          <w:tcPr/>
          <w:p w:rsidR="00000000" w:rsidDel="00000000" w:rsidP="00000000" w:rsidRDefault="00000000" w:rsidRPr="00000000" w14:paraId="0000015A">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Control</w:t>
            </w:r>
          </w:p>
          <w:p w:rsidR="00000000" w:rsidDel="00000000" w:rsidP="00000000" w:rsidRDefault="00000000" w:rsidRPr="00000000" w14:paraId="0000015B">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 (%)</w:t>
            </w:r>
          </w:p>
        </w:tc>
      </w:tr>
      <w:tr>
        <w:trPr>
          <w:cantSplit w:val="0"/>
          <w:tblHeader w:val="0"/>
        </w:trPr>
        <w:tc>
          <w:tcPr>
            <w:gridSpan w:val="5"/>
          </w:tcPr>
          <w:p w:rsidR="00000000" w:rsidDel="00000000" w:rsidP="00000000" w:rsidRDefault="00000000" w:rsidRPr="00000000" w14:paraId="0000015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 you know the medicine called Sulphadoxine Pyremethamine (SP)/Fansidar?</w:t>
            </w:r>
            <w:r w:rsidDel="00000000" w:rsidR="00000000" w:rsidRPr="00000000">
              <w:rPr>
                <w:rtl w:val="0"/>
              </w:rPr>
            </w:r>
          </w:p>
        </w:tc>
      </w:tr>
      <w:tr>
        <w:trPr>
          <w:cantSplit w:val="0"/>
          <w:tblHeader w:val="0"/>
        </w:trPr>
        <w:tc>
          <w:tcPr/>
          <w:p w:rsidR="00000000" w:rsidDel="00000000" w:rsidP="00000000" w:rsidRDefault="00000000" w:rsidRPr="00000000" w14:paraId="0000016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16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 (99.3%)</w:t>
            </w:r>
          </w:p>
        </w:tc>
        <w:tc>
          <w:tcPr/>
          <w:p w:rsidR="00000000" w:rsidDel="00000000" w:rsidP="00000000" w:rsidRDefault="00000000" w:rsidRPr="00000000" w14:paraId="0000016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 (97.3%)</w:t>
            </w:r>
          </w:p>
        </w:tc>
        <w:tc>
          <w:tcPr/>
          <w:p w:rsidR="00000000" w:rsidDel="00000000" w:rsidP="00000000" w:rsidRDefault="00000000" w:rsidRPr="00000000" w14:paraId="0000016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16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 (97.3%)</w:t>
            </w:r>
          </w:p>
        </w:tc>
      </w:tr>
      <w:tr>
        <w:trPr>
          <w:cantSplit w:val="0"/>
          <w:tblHeader w:val="0"/>
        </w:trPr>
        <w:tc>
          <w:tcPr/>
          <w:p w:rsidR="00000000" w:rsidDel="00000000" w:rsidP="00000000" w:rsidRDefault="00000000" w:rsidRPr="00000000" w14:paraId="0000016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6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(0.7%)</w:t>
            </w:r>
          </w:p>
        </w:tc>
        <w:tc>
          <w:tcPr/>
          <w:p w:rsidR="00000000" w:rsidDel="00000000" w:rsidP="00000000" w:rsidRDefault="00000000" w:rsidRPr="00000000" w14:paraId="0000016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(2.7%)</w:t>
            </w:r>
          </w:p>
        </w:tc>
        <w:tc>
          <w:tcPr/>
          <w:p w:rsidR="00000000" w:rsidDel="00000000" w:rsidP="00000000" w:rsidRDefault="00000000" w:rsidRPr="00000000" w14:paraId="0000016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6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(2.7%)</w:t>
            </w:r>
          </w:p>
        </w:tc>
      </w:tr>
      <w:tr>
        <w:trPr>
          <w:cantSplit w:val="0"/>
          <w:tblHeader w:val="0"/>
        </w:trPr>
        <w:tc>
          <w:tcPr>
            <w:gridSpan w:val="3"/>
          </w:tcPr>
          <w:p w:rsidR="00000000" w:rsidDel="00000000" w:rsidP="00000000" w:rsidRDefault="00000000" w:rsidRPr="00000000" w14:paraId="0000016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If yes to 14 above what is the drug used for?</w:t>
            </w:r>
            <w:r w:rsidDel="00000000" w:rsidR="00000000" w:rsidRPr="00000000">
              <w:rPr>
                <w:rtl w:val="0"/>
              </w:rPr>
            </w:r>
          </w:p>
        </w:tc>
        <w:tc>
          <w:tcPr/>
          <w:p w:rsidR="00000000" w:rsidDel="00000000" w:rsidP="00000000" w:rsidRDefault="00000000" w:rsidRPr="00000000" w14:paraId="0000016E">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F">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treat malaria in pregnancy</w:t>
            </w:r>
          </w:p>
        </w:tc>
        <w:tc>
          <w:tcPr/>
          <w:p w:rsidR="00000000" w:rsidDel="00000000" w:rsidP="00000000" w:rsidRDefault="00000000" w:rsidRPr="00000000" w14:paraId="0000017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(39.7)</w:t>
            </w:r>
          </w:p>
        </w:tc>
        <w:tc>
          <w:tcPr/>
          <w:p w:rsidR="00000000" w:rsidDel="00000000" w:rsidP="00000000" w:rsidRDefault="00000000" w:rsidRPr="00000000" w14:paraId="0000017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(48.2)</w:t>
            </w:r>
          </w:p>
        </w:tc>
        <w:tc>
          <w:tcPr/>
          <w:p w:rsidR="00000000" w:rsidDel="00000000" w:rsidP="00000000" w:rsidRDefault="00000000" w:rsidRPr="00000000" w14:paraId="0000017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(10.3)</w:t>
            </w:r>
          </w:p>
        </w:tc>
        <w:tc>
          <w:tcPr/>
          <w:p w:rsidR="00000000" w:rsidDel="00000000" w:rsidP="00000000" w:rsidRDefault="00000000" w:rsidRPr="00000000" w14:paraId="0000017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(48.2)</w:t>
            </w:r>
          </w:p>
        </w:tc>
      </w:tr>
      <w:tr>
        <w:trPr>
          <w:cantSplit w:val="0"/>
          <w:tblHeader w:val="0"/>
        </w:trPr>
        <w:tc>
          <w:tcPr/>
          <w:p w:rsidR="00000000" w:rsidDel="00000000" w:rsidP="00000000" w:rsidRDefault="00000000" w:rsidRPr="00000000" w14:paraId="0000017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increase blood level of pregnant women</w:t>
            </w:r>
          </w:p>
        </w:tc>
        <w:tc>
          <w:tcPr/>
          <w:p w:rsidR="00000000" w:rsidDel="00000000" w:rsidP="00000000" w:rsidRDefault="00000000" w:rsidRPr="00000000" w14:paraId="0000017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7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(0.9)</w:t>
            </w:r>
          </w:p>
        </w:tc>
        <w:tc>
          <w:tcPr/>
          <w:p w:rsidR="00000000" w:rsidDel="00000000" w:rsidP="00000000" w:rsidRDefault="00000000" w:rsidRPr="00000000" w14:paraId="0000017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7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(0.9)</w:t>
            </w:r>
          </w:p>
        </w:tc>
      </w:tr>
      <w:tr>
        <w:trPr>
          <w:cantSplit w:val="0"/>
          <w:tblHeader w:val="0"/>
        </w:trPr>
        <w:tc>
          <w:tcPr/>
          <w:p w:rsidR="00000000" w:rsidDel="00000000" w:rsidP="00000000" w:rsidRDefault="00000000" w:rsidRPr="00000000" w14:paraId="0000017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prevent malaria in pregnancy</w:t>
            </w:r>
          </w:p>
        </w:tc>
        <w:tc>
          <w:tcPr/>
          <w:p w:rsidR="00000000" w:rsidDel="00000000" w:rsidP="00000000" w:rsidRDefault="00000000" w:rsidRPr="00000000" w14:paraId="0000017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(56.6)</w:t>
            </w:r>
          </w:p>
        </w:tc>
        <w:tc>
          <w:tcPr/>
          <w:p w:rsidR="00000000" w:rsidDel="00000000" w:rsidP="00000000" w:rsidRDefault="00000000" w:rsidRPr="00000000" w14:paraId="0000017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(49.1)</w:t>
            </w:r>
          </w:p>
        </w:tc>
        <w:tc>
          <w:tcPr/>
          <w:p w:rsidR="00000000" w:rsidDel="00000000" w:rsidP="00000000" w:rsidRDefault="00000000" w:rsidRPr="00000000" w14:paraId="0000017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(86.8)</w:t>
            </w:r>
          </w:p>
        </w:tc>
        <w:tc>
          <w:tcPr/>
          <w:p w:rsidR="00000000" w:rsidDel="00000000" w:rsidP="00000000" w:rsidRDefault="00000000" w:rsidRPr="00000000" w14:paraId="0000017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(49.1)</w:t>
            </w:r>
          </w:p>
        </w:tc>
      </w:tr>
      <w:tr>
        <w:trPr>
          <w:cantSplit w:val="0"/>
          <w:tblHeader w:val="0"/>
        </w:trPr>
        <w:tc>
          <w:tcPr/>
          <w:p w:rsidR="00000000" w:rsidDel="00000000" w:rsidP="00000000" w:rsidRDefault="00000000" w:rsidRPr="00000000" w14:paraId="0000017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not know</w:t>
            </w:r>
          </w:p>
        </w:tc>
        <w:tc>
          <w:tcPr/>
          <w:p w:rsidR="00000000" w:rsidDel="00000000" w:rsidP="00000000" w:rsidRDefault="00000000" w:rsidRPr="00000000" w14:paraId="0000018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(3.7)</w:t>
            </w:r>
          </w:p>
        </w:tc>
        <w:tc>
          <w:tcPr/>
          <w:p w:rsidR="00000000" w:rsidDel="00000000" w:rsidP="00000000" w:rsidRDefault="00000000" w:rsidRPr="00000000" w14:paraId="0000018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(1.8)</w:t>
            </w:r>
          </w:p>
        </w:tc>
        <w:tc>
          <w:tcPr/>
          <w:p w:rsidR="00000000" w:rsidDel="00000000" w:rsidP="00000000" w:rsidRDefault="00000000" w:rsidRPr="00000000" w14:paraId="0000018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(2.9)</w:t>
            </w:r>
          </w:p>
        </w:tc>
        <w:tc>
          <w:tcPr/>
          <w:p w:rsidR="00000000" w:rsidDel="00000000" w:rsidP="00000000" w:rsidRDefault="00000000" w:rsidRPr="00000000" w14:paraId="0000018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(1.8)</w:t>
            </w:r>
          </w:p>
        </w:tc>
      </w:tr>
      <w:tr>
        <w:trPr>
          <w:cantSplit w:val="0"/>
          <w:tblHeader w:val="0"/>
        </w:trPr>
        <w:tc>
          <w:tcPr>
            <w:gridSpan w:val="4"/>
          </w:tcPr>
          <w:p w:rsidR="00000000" w:rsidDel="00000000" w:rsidP="00000000" w:rsidRDefault="00000000" w:rsidRPr="00000000" w14:paraId="0000018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From what age in pregnancy should you commence SP?</w:t>
            </w:r>
            <w:r w:rsidDel="00000000" w:rsidR="00000000" w:rsidRPr="00000000">
              <w:rPr>
                <w:rtl w:val="0"/>
              </w:rPr>
            </w:r>
          </w:p>
        </w:tc>
        <w:tc>
          <w:tcPr/>
          <w:p w:rsidR="00000000" w:rsidDel="00000000" w:rsidP="00000000" w:rsidRDefault="00000000" w:rsidRPr="00000000" w14:paraId="00000188">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weeks</w:t>
            </w:r>
          </w:p>
        </w:tc>
        <w:tc>
          <w:tcPr/>
          <w:p w:rsidR="00000000" w:rsidDel="00000000" w:rsidP="00000000" w:rsidRDefault="00000000" w:rsidRPr="00000000" w14:paraId="0000018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(0.7)</w:t>
            </w:r>
          </w:p>
        </w:tc>
        <w:tc>
          <w:tcPr/>
          <w:p w:rsidR="00000000" w:rsidDel="00000000" w:rsidP="00000000" w:rsidRDefault="00000000" w:rsidRPr="00000000" w14:paraId="0000018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(2.7)</w:t>
            </w:r>
          </w:p>
        </w:tc>
        <w:tc>
          <w:tcPr/>
          <w:p w:rsidR="00000000" w:rsidDel="00000000" w:rsidP="00000000" w:rsidRDefault="00000000" w:rsidRPr="00000000" w14:paraId="0000018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8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(2.7)</w:t>
            </w:r>
          </w:p>
        </w:tc>
      </w:tr>
      <w:tr>
        <w:trPr>
          <w:cantSplit w:val="0"/>
          <w:tblHeader w:val="0"/>
        </w:trPr>
        <w:tc>
          <w:tcPr/>
          <w:p w:rsidR="00000000" w:rsidDel="00000000" w:rsidP="00000000" w:rsidRDefault="00000000" w:rsidRPr="00000000" w14:paraId="0000018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weeks</w:t>
            </w:r>
          </w:p>
        </w:tc>
        <w:tc>
          <w:tcPr/>
          <w:p w:rsidR="00000000" w:rsidDel="00000000" w:rsidP="00000000" w:rsidRDefault="00000000" w:rsidRPr="00000000" w14:paraId="0000018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(8.1)</w:t>
            </w:r>
          </w:p>
        </w:tc>
        <w:tc>
          <w:tcPr/>
          <w:p w:rsidR="00000000" w:rsidDel="00000000" w:rsidP="00000000" w:rsidRDefault="00000000" w:rsidRPr="00000000" w14:paraId="0000019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(8.2)</w:t>
            </w:r>
          </w:p>
        </w:tc>
        <w:tc>
          <w:tcPr/>
          <w:p w:rsidR="00000000" w:rsidDel="00000000" w:rsidP="00000000" w:rsidRDefault="00000000" w:rsidRPr="00000000" w14:paraId="0000019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19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(7.9)</w:t>
            </w:r>
          </w:p>
        </w:tc>
      </w:tr>
      <w:tr>
        <w:trPr>
          <w:cantSplit w:val="0"/>
          <w:tblHeader w:val="0"/>
        </w:trPr>
        <w:tc>
          <w:tcPr/>
          <w:p w:rsidR="00000000" w:rsidDel="00000000" w:rsidP="00000000" w:rsidRDefault="00000000" w:rsidRPr="00000000" w14:paraId="0000019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weeks</w:t>
            </w:r>
          </w:p>
        </w:tc>
        <w:tc>
          <w:tcPr/>
          <w:p w:rsidR="00000000" w:rsidDel="00000000" w:rsidP="00000000" w:rsidRDefault="00000000" w:rsidRPr="00000000" w14:paraId="0000019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(54.4)</w:t>
            </w:r>
          </w:p>
        </w:tc>
        <w:tc>
          <w:tcPr/>
          <w:p w:rsidR="00000000" w:rsidDel="00000000" w:rsidP="00000000" w:rsidRDefault="00000000" w:rsidRPr="00000000" w14:paraId="0000019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(52.7)</w:t>
            </w:r>
          </w:p>
        </w:tc>
        <w:tc>
          <w:tcPr/>
          <w:p w:rsidR="00000000" w:rsidDel="00000000" w:rsidP="00000000" w:rsidRDefault="00000000" w:rsidRPr="00000000" w14:paraId="0000019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9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(51.3)</w:t>
            </w:r>
          </w:p>
        </w:tc>
      </w:tr>
      <w:tr>
        <w:trPr>
          <w:cantSplit w:val="0"/>
          <w:tblHeader w:val="0"/>
        </w:trPr>
        <w:tc>
          <w:tcPr/>
          <w:p w:rsidR="00000000" w:rsidDel="00000000" w:rsidP="00000000" w:rsidRDefault="00000000" w:rsidRPr="00000000" w14:paraId="0000019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late in pregnancy</w:t>
            </w:r>
          </w:p>
        </w:tc>
        <w:tc>
          <w:tcPr/>
          <w:p w:rsidR="00000000" w:rsidDel="00000000" w:rsidP="00000000" w:rsidRDefault="00000000" w:rsidRPr="00000000" w14:paraId="0000019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(18.4)</w:t>
            </w:r>
          </w:p>
        </w:tc>
        <w:tc>
          <w:tcPr/>
          <w:p w:rsidR="00000000" w:rsidDel="00000000" w:rsidP="00000000" w:rsidRDefault="00000000" w:rsidRPr="00000000" w14:paraId="0000019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(1.8)</w:t>
            </w:r>
          </w:p>
        </w:tc>
        <w:tc>
          <w:tcPr/>
          <w:p w:rsidR="00000000" w:rsidDel="00000000" w:rsidP="00000000" w:rsidRDefault="00000000" w:rsidRPr="00000000" w14:paraId="0000019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9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(1.8)</w:t>
            </w:r>
          </w:p>
        </w:tc>
      </w:tr>
      <w:tr>
        <w:trPr>
          <w:cantSplit w:val="0"/>
          <w:trHeight w:val="90" w:hRule="atLeast"/>
          <w:tblHeader w:val="0"/>
        </w:trPr>
        <w:tc>
          <w:tcPr/>
          <w:p w:rsidR="00000000" w:rsidDel="00000000" w:rsidP="00000000" w:rsidRDefault="00000000" w:rsidRPr="00000000" w14:paraId="0000019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w:t>
            </w:r>
          </w:p>
        </w:tc>
        <w:tc>
          <w:tcPr/>
          <w:p w:rsidR="00000000" w:rsidDel="00000000" w:rsidP="00000000" w:rsidRDefault="00000000" w:rsidRPr="00000000" w14:paraId="0000019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(11.0)</w:t>
            </w:r>
          </w:p>
        </w:tc>
        <w:tc>
          <w:tcPr/>
          <w:p w:rsidR="00000000" w:rsidDel="00000000" w:rsidP="00000000" w:rsidRDefault="00000000" w:rsidRPr="00000000" w14:paraId="0000019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(15.5)</w:t>
            </w:r>
          </w:p>
        </w:tc>
        <w:tc>
          <w:tcPr/>
          <w:p w:rsidR="00000000" w:rsidDel="00000000" w:rsidP="00000000" w:rsidRDefault="00000000" w:rsidRPr="00000000" w14:paraId="000001A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A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(17.7)</w:t>
            </w:r>
          </w:p>
        </w:tc>
      </w:tr>
      <w:tr>
        <w:trPr>
          <w:cantSplit w:val="0"/>
          <w:tblHeader w:val="0"/>
        </w:trPr>
        <w:tc>
          <w:tcPr/>
          <w:p w:rsidR="00000000" w:rsidDel="00000000" w:rsidP="00000000" w:rsidRDefault="00000000" w:rsidRPr="00000000" w14:paraId="000001A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p w:rsidR="00000000" w:rsidDel="00000000" w:rsidP="00000000" w:rsidRDefault="00000000" w:rsidRPr="00000000" w14:paraId="000001A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(7.4)</w:t>
            </w:r>
          </w:p>
        </w:tc>
        <w:tc>
          <w:tcPr/>
          <w:p w:rsidR="00000000" w:rsidDel="00000000" w:rsidP="00000000" w:rsidRDefault="00000000" w:rsidRPr="00000000" w14:paraId="000001A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(19.1)</w:t>
            </w:r>
          </w:p>
        </w:tc>
        <w:tc>
          <w:tcPr/>
          <w:p w:rsidR="00000000" w:rsidDel="00000000" w:rsidP="00000000" w:rsidRDefault="00000000" w:rsidRPr="00000000" w14:paraId="000001A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A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(18.6)</w:t>
            </w:r>
          </w:p>
        </w:tc>
      </w:tr>
      <w:tr>
        <w:trPr>
          <w:cantSplit w:val="0"/>
          <w:tblHeader w:val="0"/>
        </w:trPr>
        <w:tc>
          <w:tcPr>
            <w:gridSpan w:val="3"/>
          </w:tcPr>
          <w:p w:rsidR="00000000" w:rsidDel="00000000" w:rsidP="00000000" w:rsidRDefault="00000000" w:rsidRPr="00000000" w14:paraId="000001A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How many weeks apart can you take SP?</w:t>
            </w:r>
            <w:r w:rsidDel="00000000" w:rsidR="00000000" w:rsidRPr="00000000">
              <w:rPr>
                <w:rtl w:val="0"/>
              </w:rPr>
            </w:r>
          </w:p>
        </w:tc>
        <w:tc>
          <w:tcPr/>
          <w:p w:rsidR="00000000" w:rsidDel="00000000" w:rsidP="00000000" w:rsidRDefault="00000000" w:rsidRPr="00000000" w14:paraId="000001AA">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B">
            <w:pPr>
              <w:spacing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week</w:t>
            </w:r>
          </w:p>
        </w:tc>
        <w:tc>
          <w:tcPr/>
          <w:p w:rsidR="00000000" w:rsidDel="00000000" w:rsidP="00000000" w:rsidRDefault="00000000" w:rsidRPr="00000000" w14:paraId="000001A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(2.2)</w:t>
            </w:r>
          </w:p>
        </w:tc>
        <w:tc>
          <w:tcPr/>
          <w:p w:rsidR="00000000" w:rsidDel="00000000" w:rsidP="00000000" w:rsidRDefault="00000000" w:rsidRPr="00000000" w14:paraId="000001A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A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B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r>
      <w:tr>
        <w:trPr>
          <w:cantSplit w:val="0"/>
          <w:tblHeader w:val="0"/>
        </w:trPr>
        <w:tc>
          <w:tcPr/>
          <w:p w:rsidR="00000000" w:rsidDel="00000000" w:rsidP="00000000" w:rsidRDefault="00000000" w:rsidRPr="00000000" w14:paraId="000001B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weeks</w:t>
            </w:r>
          </w:p>
        </w:tc>
        <w:tc>
          <w:tcPr/>
          <w:p w:rsidR="00000000" w:rsidDel="00000000" w:rsidP="00000000" w:rsidRDefault="00000000" w:rsidRPr="00000000" w14:paraId="000001B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(0.7)</w:t>
            </w:r>
          </w:p>
        </w:tc>
        <w:tc>
          <w:tcPr/>
          <w:p w:rsidR="00000000" w:rsidDel="00000000" w:rsidP="00000000" w:rsidRDefault="00000000" w:rsidRPr="00000000" w14:paraId="000001B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(0.9)</w:t>
            </w:r>
          </w:p>
        </w:tc>
        <w:tc>
          <w:tcPr/>
          <w:p w:rsidR="00000000" w:rsidDel="00000000" w:rsidP="00000000" w:rsidRDefault="00000000" w:rsidRPr="00000000" w14:paraId="000001B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B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(0.9)</w:t>
            </w:r>
          </w:p>
        </w:tc>
      </w:tr>
      <w:tr>
        <w:trPr>
          <w:cantSplit w:val="0"/>
          <w:tblHeader w:val="0"/>
        </w:trPr>
        <w:tc>
          <w:tcPr/>
          <w:p w:rsidR="00000000" w:rsidDel="00000000" w:rsidP="00000000" w:rsidRDefault="00000000" w:rsidRPr="00000000" w14:paraId="000001B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weeks</w:t>
            </w:r>
          </w:p>
        </w:tc>
        <w:tc>
          <w:tcPr/>
          <w:p w:rsidR="00000000" w:rsidDel="00000000" w:rsidP="00000000" w:rsidRDefault="00000000" w:rsidRPr="00000000" w14:paraId="000001B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(4.4)</w:t>
            </w:r>
          </w:p>
        </w:tc>
        <w:tc>
          <w:tcPr/>
          <w:p w:rsidR="00000000" w:rsidDel="00000000" w:rsidP="00000000" w:rsidRDefault="00000000" w:rsidRPr="00000000" w14:paraId="000001B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(2.7)</w:t>
            </w:r>
          </w:p>
        </w:tc>
        <w:tc>
          <w:tcPr/>
          <w:p w:rsidR="00000000" w:rsidDel="00000000" w:rsidP="00000000" w:rsidRDefault="00000000" w:rsidRPr="00000000" w14:paraId="000001B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B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(2.7)</w:t>
            </w:r>
          </w:p>
        </w:tc>
      </w:tr>
      <w:tr>
        <w:trPr>
          <w:cantSplit w:val="0"/>
          <w:tblHeader w:val="0"/>
        </w:trPr>
        <w:tc>
          <w:tcPr/>
          <w:p w:rsidR="00000000" w:rsidDel="00000000" w:rsidP="00000000" w:rsidRDefault="00000000" w:rsidRPr="00000000" w14:paraId="000001B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weeks</w:t>
            </w:r>
          </w:p>
        </w:tc>
        <w:tc>
          <w:tcPr/>
          <w:p w:rsidR="00000000" w:rsidDel="00000000" w:rsidP="00000000" w:rsidRDefault="00000000" w:rsidRPr="00000000" w14:paraId="000001B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(79.5)</w:t>
            </w:r>
          </w:p>
        </w:tc>
        <w:tc>
          <w:tcPr/>
          <w:p w:rsidR="00000000" w:rsidDel="00000000" w:rsidP="00000000" w:rsidRDefault="00000000" w:rsidRPr="00000000" w14:paraId="000001B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(72.7)</w:t>
            </w:r>
          </w:p>
        </w:tc>
        <w:tc>
          <w:tcPr/>
          <w:p w:rsidR="00000000" w:rsidDel="00000000" w:rsidP="00000000" w:rsidRDefault="00000000" w:rsidRPr="00000000" w14:paraId="000001B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 (100.0)</w:t>
            </w:r>
          </w:p>
        </w:tc>
        <w:tc>
          <w:tcPr/>
          <w:p w:rsidR="00000000" w:rsidDel="00000000" w:rsidP="00000000" w:rsidRDefault="00000000" w:rsidRPr="00000000" w14:paraId="000001B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(72.7)</w:t>
            </w:r>
          </w:p>
        </w:tc>
      </w:tr>
      <w:tr>
        <w:trPr>
          <w:cantSplit w:val="0"/>
          <w:tblHeader w:val="0"/>
        </w:trPr>
        <w:tc>
          <w:tcPr/>
          <w:p w:rsidR="00000000" w:rsidDel="00000000" w:rsidP="00000000" w:rsidRDefault="00000000" w:rsidRPr="00000000" w14:paraId="000001C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w:t>
            </w:r>
          </w:p>
        </w:tc>
        <w:tc>
          <w:tcPr/>
          <w:p w:rsidR="00000000" w:rsidDel="00000000" w:rsidP="00000000" w:rsidRDefault="00000000" w:rsidRPr="00000000" w14:paraId="000001C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(11.0)</w:t>
            </w:r>
          </w:p>
        </w:tc>
        <w:tc>
          <w:tcPr/>
          <w:p w:rsidR="00000000" w:rsidDel="00000000" w:rsidP="00000000" w:rsidRDefault="00000000" w:rsidRPr="00000000" w14:paraId="000001C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(17.3)</w:t>
            </w:r>
          </w:p>
        </w:tc>
        <w:tc>
          <w:tcPr/>
          <w:p w:rsidR="00000000" w:rsidDel="00000000" w:rsidP="00000000" w:rsidRDefault="00000000" w:rsidRPr="00000000" w14:paraId="000001C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C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(17.3)</w:t>
            </w:r>
          </w:p>
        </w:tc>
      </w:tr>
      <w:tr>
        <w:trPr>
          <w:cantSplit w:val="0"/>
          <w:tblHeader w:val="0"/>
        </w:trPr>
        <w:tc>
          <w:tcPr/>
          <w:p w:rsidR="00000000" w:rsidDel="00000000" w:rsidP="00000000" w:rsidRDefault="00000000" w:rsidRPr="00000000" w14:paraId="000001C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p w:rsidR="00000000" w:rsidDel="00000000" w:rsidP="00000000" w:rsidRDefault="00000000" w:rsidRPr="00000000" w14:paraId="000001C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(2.2)</w:t>
            </w:r>
          </w:p>
        </w:tc>
        <w:tc>
          <w:tcPr/>
          <w:p w:rsidR="00000000" w:rsidDel="00000000" w:rsidP="00000000" w:rsidRDefault="00000000" w:rsidRPr="00000000" w14:paraId="000001C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(6.4)</w:t>
            </w:r>
          </w:p>
        </w:tc>
        <w:tc>
          <w:tcPr/>
          <w:p w:rsidR="00000000" w:rsidDel="00000000" w:rsidP="00000000" w:rsidRDefault="00000000" w:rsidRPr="00000000" w14:paraId="000001C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C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(6.4)</w:t>
            </w:r>
          </w:p>
        </w:tc>
      </w:tr>
      <w:tr>
        <w:trPr>
          <w:cantSplit w:val="0"/>
          <w:tblHeader w:val="0"/>
        </w:trPr>
        <w:tc>
          <w:tcPr>
            <w:gridSpan w:val="5"/>
          </w:tcPr>
          <w:p w:rsidR="00000000" w:rsidDel="00000000" w:rsidP="00000000" w:rsidRDefault="00000000" w:rsidRPr="00000000" w14:paraId="000001C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is the minimum dose of IPTp-SP a pregnant woman should receive before delivery?</w:t>
            </w:r>
            <w:r w:rsidDel="00000000" w:rsidR="00000000" w:rsidRPr="00000000">
              <w:rPr>
                <w:rtl w:val="0"/>
              </w:rPr>
            </w:r>
          </w:p>
        </w:tc>
      </w:tr>
      <w:tr>
        <w:trPr>
          <w:cantSplit w:val="0"/>
          <w:tblHeader w:val="0"/>
        </w:trPr>
        <w:tc>
          <w:tcPr/>
          <w:p w:rsidR="00000000" w:rsidDel="00000000" w:rsidP="00000000" w:rsidRDefault="00000000" w:rsidRPr="00000000" w14:paraId="000001C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dose</w:t>
            </w:r>
          </w:p>
        </w:tc>
        <w:tc>
          <w:tcPr/>
          <w:p w:rsidR="00000000" w:rsidDel="00000000" w:rsidP="00000000" w:rsidRDefault="00000000" w:rsidRPr="00000000" w14:paraId="000001D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(1.5)</w:t>
            </w:r>
          </w:p>
        </w:tc>
        <w:tc>
          <w:tcPr/>
          <w:p w:rsidR="00000000" w:rsidDel="00000000" w:rsidP="00000000" w:rsidRDefault="00000000" w:rsidRPr="00000000" w14:paraId="000001D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D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D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r>
      <w:tr>
        <w:trPr>
          <w:cantSplit w:val="0"/>
          <w:tblHeader w:val="0"/>
        </w:trPr>
        <w:tc>
          <w:tcPr/>
          <w:p w:rsidR="00000000" w:rsidDel="00000000" w:rsidP="00000000" w:rsidRDefault="00000000" w:rsidRPr="00000000" w14:paraId="000001D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doses</w:t>
            </w:r>
          </w:p>
        </w:tc>
        <w:tc>
          <w:tcPr/>
          <w:p w:rsidR="00000000" w:rsidDel="00000000" w:rsidP="00000000" w:rsidRDefault="00000000" w:rsidRPr="00000000" w14:paraId="000001D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(6.6)</w:t>
            </w:r>
          </w:p>
        </w:tc>
        <w:tc>
          <w:tcPr/>
          <w:p w:rsidR="00000000" w:rsidDel="00000000" w:rsidP="00000000" w:rsidRDefault="00000000" w:rsidRPr="00000000" w14:paraId="000001D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(0.9)</w:t>
            </w:r>
          </w:p>
        </w:tc>
        <w:tc>
          <w:tcPr/>
          <w:p w:rsidR="00000000" w:rsidDel="00000000" w:rsidP="00000000" w:rsidRDefault="00000000" w:rsidRPr="00000000" w14:paraId="000001D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D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(0.9)</w:t>
            </w:r>
          </w:p>
        </w:tc>
      </w:tr>
      <w:tr>
        <w:trPr>
          <w:cantSplit w:val="0"/>
          <w:tblHeader w:val="0"/>
        </w:trPr>
        <w:tc>
          <w:tcPr/>
          <w:p w:rsidR="00000000" w:rsidDel="00000000" w:rsidP="00000000" w:rsidRDefault="00000000" w:rsidRPr="00000000" w14:paraId="000001D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doses</w:t>
            </w:r>
          </w:p>
        </w:tc>
        <w:tc>
          <w:tcPr/>
          <w:p w:rsidR="00000000" w:rsidDel="00000000" w:rsidP="00000000" w:rsidRDefault="00000000" w:rsidRPr="00000000" w14:paraId="000001D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(27.2)</w:t>
            </w:r>
          </w:p>
        </w:tc>
        <w:tc>
          <w:tcPr/>
          <w:p w:rsidR="00000000" w:rsidDel="00000000" w:rsidP="00000000" w:rsidRDefault="00000000" w:rsidRPr="00000000" w14:paraId="000001D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(48.2)</w:t>
            </w:r>
          </w:p>
        </w:tc>
        <w:tc>
          <w:tcPr/>
          <w:p w:rsidR="00000000" w:rsidDel="00000000" w:rsidP="00000000" w:rsidRDefault="00000000" w:rsidRPr="00000000" w14:paraId="000001D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(73.5)</w:t>
            </w:r>
          </w:p>
        </w:tc>
        <w:tc>
          <w:tcPr/>
          <w:p w:rsidR="00000000" w:rsidDel="00000000" w:rsidP="00000000" w:rsidRDefault="00000000" w:rsidRPr="00000000" w14:paraId="000001D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(48.2)</w:t>
            </w:r>
          </w:p>
        </w:tc>
      </w:tr>
      <w:tr>
        <w:trPr>
          <w:cantSplit w:val="0"/>
          <w:trHeight w:val="90" w:hRule="atLeast"/>
          <w:tblHeader w:val="0"/>
        </w:trPr>
        <w:tc>
          <w:tcPr/>
          <w:p w:rsidR="00000000" w:rsidDel="00000000" w:rsidP="00000000" w:rsidRDefault="00000000" w:rsidRPr="00000000" w14:paraId="000001D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doses</w:t>
            </w:r>
          </w:p>
        </w:tc>
        <w:tc>
          <w:tcPr/>
          <w:p w:rsidR="00000000" w:rsidDel="00000000" w:rsidP="00000000" w:rsidRDefault="00000000" w:rsidRPr="00000000" w14:paraId="000001D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(55.2)</w:t>
            </w:r>
          </w:p>
        </w:tc>
        <w:tc>
          <w:tcPr/>
          <w:p w:rsidR="00000000" w:rsidDel="00000000" w:rsidP="00000000" w:rsidRDefault="00000000" w:rsidRPr="00000000" w14:paraId="000001E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(44.6)</w:t>
            </w:r>
          </w:p>
        </w:tc>
        <w:tc>
          <w:tcPr/>
          <w:p w:rsidR="00000000" w:rsidDel="00000000" w:rsidP="00000000" w:rsidRDefault="00000000" w:rsidRPr="00000000" w14:paraId="000001E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(26.5)</w:t>
            </w:r>
          </w:p>
        </w:tc>
        <w:tc>
          <w:tcPr/>
          <w:p w:rsidR="00000000" w:rsidDel="00000000" w:rsidP="00000000" w:rsidRDefault="00000000" w:rsidRPr="00000000" w14:paraId="000001E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(44.6)</w:t>
            </w:r>
          </w:p>
        </w:tc>
      </w:tr>
      <w:tr>
        <w:trPr>
          <w:cantSplit w:val="0"/>
          <w:tblHeader w:val="0"/>
        </w:trPr>
        <w:tc>
          <w:tcPr/>
          <w:p w:rsidR="00000000" w:rsidDel="00000000" w:rsidP="00000000" w:rsidRDefault="00000000" w:rsidRPr="00000000" w14:paraId="000001E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doses</w:t>
            </w:r>
          </w:p>
        </w:tc>
        <w:tc>
          <w:tcPr/>
          <w:p w:rsidR="00000000" w:rsidDel="00000000" w:rsidP="00000000" w:rsidRDefault="00000000" w:rsidRPr="00000000" w14:paraId="000001E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E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(0.9)</w:t>
            </w:r>
          </w:p>
        </w:tc>
        <w:tc>
          <w:tcPr/>
          <w:p w:rsidR="00000000" w:rsidDel="00000000" w:rsidP="00000000" w:rsidRDefault="00000000" w:rsidRPr="00000000" w14:paraId="000001E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E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(0.9)</w:t>
            </w:r>
          </w:p>
        </w:tc>
      </w:tr>
      <w:tr>
        <w:trPr>
          <w:cantSplit w:val="0"/>
          <w:tblHeader w:val="0"/>
        </w:trPr>
        <w:tc>
          <w:tcPr/>
          <w:p w:rsidR="00000000" w:rsidDel="00000000" w:rsidP="00000000" w:rsidRDefault="00000000" w:rsidRPr="00000000" w14:paraId="000001E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 more doses</w:t>
            </w:r>
          </w:p>
        </w:tc>
        <w:tc>
          <w:tcPr/>
          <w:p w:rsidR="00000000" w:rsidDel="00000000" w:rsidP="00000000" w:rsidRDefault="00000000" w:rsidRPr="00000000" w14:paraId="000001E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(3.6)</w:t>
            </w:r>
          </w:p>
        </w:tc>
        <w:tc>
          <w:tcPr/>
          <w:p w:rsidR="00000000" w:rsidDel="00000000" w:rsidP="00000000" w:rsidRDefault="00000000" w:rsidRPr="00000000" w14:paraId="000001E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E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E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r>
      <w:tr>
        <w:trPr>
          <w:cantSplit w:val="0"/>
          <w:tblHeader w:val="0"/>
        </w:trPr>
        <w:tc>
          <w:tcPr/>
          <w:p w:rsidR="00000000" w:rsidDel="00000000" w:rsidP="00000000" w:rsidRDefault="00000000" w:rsidRPr="00000000" w14:paraId="000001E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w:t>
            </w:r>
          </w:p>
        </w:tc>
        <w:tc>
          <w:tcPr/>
          <w:p w:rsidR="00000000" w:rsidDel="00000000" w:rsidP="00000000" w:rsidRDefault="00000000" w:rsidRPr="00000000" w14:paraId="000001E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(5.9)</w:t>
            </w:r>
          </w:p>
        </w:tc>
        <w:tc>
          <w:tcPr/>
          <w:p w:rsidR="00000000" w:rsidDel="00000000" w:rsidP="00000000" w:rsidRDefault="00000000" w:rsidRPr="00000000" w14:paraId="000001E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(5.4)</w:t>
            </w:r>
          </w:p>
        </w:tc>
        <w:tc>
          <w:tcPr/>
          <w:p w:rsidR="00000000" w:rsidDel="00000000" w:rsidP="00000000" w:rsidRDefault="00000000" w:rsidRPr="00000000" w14:paraId="000001F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1F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(5.4)</w:t>
            </w:r>
          </w:p>
        </w:tc>
      </w:tr>
    </w:tbl>
    <w:p w:rsidR="00000000" w:rsidDel="00000000" w:rsidP="00000000" w:rsidRDefault="00000000" w:rsidRPr="00000000" w14:paraId="000001F2">
      <w:pPr>
        <w:spacing w:line="4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others: 20weeks, 24 weeks, 6 months,  etc</w:t>
        <w:br w:type="textWrapping"/>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others: 8weeks 12weeks, 24 weeks, 34weeks, i have forgotten  etc</w:t>
      </w:r>
    </w:p>
    <w:p w:rsidR="00000000" w:rsidDel="00000000" w:rsidP="00000000" w:rsidRDefault="00000000" w:rsidRPr="00000000" w14:paraId="000001F3">
      <w:pPr>
        <w:spacing w:line="48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4">
      <w:pPr>
        <w:spacing w:line="48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5">
      <w:pPr>
        <w:spacing w:line="48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6">
      <w:pPr>
        <w:spacing w:line="48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7">
      <w:pPr>
        <w:spacing w:line="48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8">
      <w:pPr>
        <w:spacing w:line="48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9">
      <w:pPr>
        <w:spacing w:line="48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A">
      <w:pPr>
        <w:spacing w:line="48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FB">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demonstrates that strengthening antenatal care (ANC) systems through structured health education substantially improves pregnant women’s knowledge of malaria, its consequences in pregnancy, and the correct use of intermittent preventive treatment with Sulphadoxine-Pyrimethamine (IPTp-SP). Overall, the findings align with existing evidence and show a clear progression in which improvements in basic malaria knowledge translate into better understanding and application of preventive strategies.</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baseline, both groups were comparable and generally had poor knowledge, particularly regarding malaria causation. A considerable proportion, especially in the control group, wrongly attributed malaria to stress or overwork. </w:t>
      </w:r>
      <w:r w:rsidDel="00000000" w:rsidR="00000000" w:rsidRPr="00000000">
        <w:rPr>
          <w:rFonts w:ascii="Times New Roman" w:cs="Times New Roman" w:eastAsia="Times New Roman" w:hAnsi="Times New Roman"/>
          <w:b w:val="0"/>
          <w:bCs w:val="0"/>
          <w:i w:val="0"/>
          <w:iCs w:val="0"/>
          <w:smallCaps w:val="0"/>
          <w:strike w:val="0"/>
          <w:sz w:val="24"/>
          <w:szCs w:val="24"/>
          <w:highlight w:val="yellow"/>
          <w:u w:val="none"/>
          <w:vertAlign w:val="baseline"/>
          <w:rtl w:val="0"/>
        </w:rPr>
        <w:t xml:space="preserve">The observed difference in baseline knowledge of malaria causation between the intervention and control groups may reflect variations in prior exposure to health education, facility-level counselling practices, or socio-cultural beliefs [26]. Such differences are not uncommon in non-randomized quasi-experimental studies. However, the overall knowledge levels at baseline were comparable between groups, supporting the validity of subsequent comparisons.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mirrors findings from several studies in Nigeria and other malaria-endemic settings, which report that misconceptions about malaria transmission persist despite high awareness levels in antenatal populations. Studies such as</w:t>
      </w:r>
      <w:r w:rsidDel="00000000" w:rsidR="00000000" w:rsidRPr="00000000">
        <w:rPr>
          <w:rFonts w:ascii="Times New Roman" w:cs="Times New Roman" w:eastAsia="Times New Roman" w:hAnsi="Times New Roman"/>
          <w:sz w:val="24"/>
          <w:szCs w:val="24"/>
          <w:rtl w:val="0"/>
        </w:rPr>
        <w:t xml:space="preserve"> Sunday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sz w:val="24"/>
          <w:szCs w:val="24"/>
          <w:rtl w:val="0"/>
        </w:rPr>
        <w:t xml:space="preserve">Ali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et al. </w:t>
      </w: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similarly documented that incorrect beliefs about malaria causation remain common due to inadequate or inconsistent health education during ANC visits. The current study reinforces this evidence, showing that such misconceptions remain a major barrier to effective malaria prevention. However, after the intervention, all participants in the intervention group correctly identified mosquito bites as the cause of malaria. This is consistent with intervention studies, including </w:t>
      </w:r>
      <w:r w:rsidDel="00000000" w:rsidR="00000000" w:rsidRPr="00000000">
        <w:rPr>
          <w:rFonts w:ascii="Times New Roman" w:cs="Times New Roman" w:eastAsia="Times New Roman" w:hAnsi="Times New Roman"/>
          <w:sz w:val="24"/>
          <w:szCs w:val="24"/>
          <w:rtl w:val="0"/>
        </w:rPr>
        <w:t xml:space="preserve">Su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et al.</w:t>
      </w:r>
      <w:r w:rsidDel="00000000" w:rsidR="00000000" w:rsidRPr="00000000">
        <w:rPr>
          <w:rFonts w:ascii="Times New Roman" w:cs="Times New Roman" w:eastAsia="Times New Roman" w:hAnsi="Times New Roman"/>
          <w:sz w:val="24"/>
          <w:szCs w:val="24"/>
          <w:rtl w:val="0"/>
        </w:rPr>
        <w:t xml:space="preserve"> [29]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demonstrated that structured health education can effectively correct entrenched misconceptions and improve biomedical understanding among pregnant women.</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correction in basic knowledge was followed by a marked improvement in perceived susceptibility to malaria during pregnancy, which reached 100% in the intervention group. This pattern is consistent with previous studies showing that risk perception among pregnant women is often suboptimal in routine ANC settings, limiting engagement in preventive practices [30]. However, intervention-based studies have shown that targeted education significantly improves perceived susceptibility, which is a key predictor of preventive behaviors, including IPTp-SP uptake. In the same way, knowledge of malaria-related complications such as low birth weight, anemia, preterm delivery, stillbirth, and abortion was relatively high at baseline in both groups. This aligns with previous literature indicating that while ANC services often provide general information on complications, understanding is frequently superficial and inconsistent [31]. In the present study, the intervention strengthened and standardized this knowledge, achieving full awareness in the intervention group, consistent with findings that structured health education improves both retention and depth of understanding of maternal health risks.</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improvement in general malaria knowledge directly influenced understanding of IPTp-SP. Although awareness of Sulphadoxine-Pyrimethamine was already high at baseline, consistent with previous Nigerian studies reporting near-universal recognition of SP [32]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detailed knowledge of its correct use was limited. Prior studies, including reports from the National Malaria Elimination Programme [33], have shown that many pregnant women mistakenly view SP as a curative drug rather than a preventive intervention and often lack accurate knowledge of dosing schedules. The present study reflects this baseline gap but demonstrates a clear divergence following the intervention.</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the intervention, the intervention group showed substantial improvement across all domains of IPTp-SP knowledge, including its preventive purpose, correct initiation in the second trimester, four-week dosing intervals, and minimum required doses [34]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is in line with recent quasi-experimental studies in Nigeria and other sub-Saharan African countries, which report that structured ANC-based education significantly improves both knowledge and uptake of IPTp-SP [35,36]. In contrast, the control group showed little or no improvement, consistent with evidence that routine ANC services often fail to adequately deliver detailed, guideline-specific information due to time constraints, workload pressures, and inconsistent counseling practices [37]. The improvement in knowledge of the minimum required doses is particularly important, as previous studies have identified poor awareness of the recommended three or more doses as a key driver of suboptimal IPTp-SP uptake, alongside late ANC attendance and systemic health service challenges [38,39]..</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findings support an interconnected pathway well documented in the literature: strengthening ANC health education improves foundational knowledge of malaria, which enhances risk perception and understanding of complications, ultimately leading to improved knowledge and correct use of IPTp-SP. This study reinforces existing evidence that gaps in IPTp-SP uptake are not solely due to service availability, but also reflect weaknesses in health system communication and the need for more structured, consistent, and effective health education during antenatal care.</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 of the study</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bCs w:val="1"/>
          <w:i w:val="0"/>
          <w:iCs w:val="0"/>
          <w:smallCaps w:val="0"/>
          <w:strike w:val="0"/>
          <w:color w:val="434343"/>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quasi-experimental design without randomization may introduce selection bias, although baseline comparability between groups helps to minimize this concern. Second, the study relied on self-reported responses, which may be subject to recall and social desirability bias, potentially overestimating actual knowledge levels. Third, the assessment focused mainly on knowledge outcomes rather than directly measuring actual IPTp-SP uptake and adherence, which limits the ability to fully link improved knowledge to behavioral change. Additionally, the study was conducted in selected health facilities in Osun State, which may limit the generalizability of the findings to other regions with different socio-cultural and health system contexts. Finally, the relatively short follow-up period may not fully capture long-term retention of knowledge or sustained behavioral impact.</w:t>
        <w:br w:type="textWrapping"/>
      </w:r>
      <w:r w:rsidDel="00000000" w:rsidR="00000000" w:rsidRPr="00000000">
        <w:rPr>
          <w:rFonts w:ascii="Times New Roman" w:cs="Times New Roman" w:eastAsia="Times New Roman" w:hAnsi="Times New Roman"/>
          <w:b w:val="0"/>
          <w:bCs w:val="0"/>
          <w:i w:val="0"/>
          <w:iCs w:val="0"/>
          <w:smallCaps w:val="0"/>
          <w:strike w:val="0"/>
          <w:color w:val="434343"/>
          <w:sz w:val="24"/>
          <w:szCs w:val="24"/>
          <w:highlight w:val="yellow"/>
          <w:u w:val="none"/>
          <w:vertAlign w:val="baseline"/>
          <w:rtl w:val="0"/>
        </w:rPr>
        <w:t xml:space="preserve">Finally, </w:t>
      </w:r>
      <w:r w:rsidDel="00000000" w:rsidR="00000000" w:rsidRPr="00000000">
        <w:rPr>
          <w:rFonts w:ascii="Times New Roman" w:cs="Times New Roman" w:eastAsia="Times New Roman" w:hAnsi="Times New Roman"/>
          <w:color w:val="434343"/>
          <w:sz w:val="24"/>
          <w:szCs w:val="24"/>
          <w:highlight w:val="yellow"/>
          <w:rtl w:val="0"/>
        </w:rPr>
        <w:t xml:space="preserve">although</w:t>
      </w:r>
      <w:r w:rsidDel="00000000" w:rsidR="00000000" w:rsidRPr="00000000">
        <w:rPr>
          <w:rFonts w:ascii="Times New Roman" w:cs="Times New Roman" w:eastAsia="Times New Roman" w:hAnsi="Times New Roman"/>
          <w:b w:val="0"/>
          <w:bCs w:val="0"/>
          <w:i w:val="0"/>
          <w:iCs w:val="0"/>
          <w:smallCaps w:val="0"/>
          <w:strike w:val="0"/>
          <w:color w:val="434343"/>
          <w:sz w:val="24"/>
          <w:szCs w:val="24"/>
          <w:highlight w:val="yellow"/>
          <w:u w:val="none"/>
          <w:vertAlign w:val="baseline"/>
          <w:rtl w:val="0"/>
        </w:rPr>
        <w:t xml:space="preserve"> the study assessed knowledge of IPTp-SP, detailed analysis of actual uptake and completion of the recommended doses was not included. Therefore, the extent to which improved knowledge translated into practice could not be fully determined.</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demonstrates that strengthening antenatal care through structured health education significantly improves pregnant women’s knowledge of malaria, its consequences in pregnancy, and the correct use of IPTp-SP. The intervention effectively corrected misconceptions, improved risk perception, and enhanced understanding of IPTp-SP dosing and timing compared to routine ANC services. Overall, the findings highlight that beyond service availability, effective and structured health education within ANC is essential for improving IPTp-SP uptake and ultimately reducing the burden of malaria in pregnancy in endemic settings such as Nigeria.</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bookmarkStart w:colFirst="0" w:colLast="0" w:name="_heading=h.u3nph7c7qe6h" w:id="0"/>
      <w:bookmarkEnd w:id="0"/>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Disclaimer (Artificial intelligence)</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by1866uyew42"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20B">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1. Oladipo HJ, Tajudeen YA, Oladunjoye IO, Yusuff SI, Yusuf RO, Oluwaseyi EM, AbdulBasit MO, Adebisi YA, El-Sherbini MS. Increasing challenges of malaria control in sub-Saharan Africa: Priorities for public health research and policymakers. Annals of Medicine and Surgery. 2022 Sep 1;81:104366.</w:t>
      </w:r>
    </w:p>
    <w:p w:rsidR="00000000" w:rsidDel="00000000" w:rsidP="00000000" w:rsidRDefault="00000000" w:rsidRPr="00000000" w14:paraId="0000020C">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2. Patel P, Bagada A, Vadia N. Epidemiology and current trends in malaria. Rising Contagious Diseases: Basics, Management, and Treatments. 2024 Mar 11:261-82.</w:t>
      </w:r>
    </w:p>
    <w:p w:rsidR="00000000" w:rsidDel="00000000" w:rsidP="00000000" w:rsidRDefault="00000000" w:rsidRPr="00000000" w14:paraId="0000020D">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3. Liu Q, Jing W, Kang L, Liu J, Liu M. Trends of the global, regional and national incidence of malaria in 204 countries from 1990 to 2019 and implications for malaria prevention. Journal of Travel Medicine. 2021 Jul;28(5):taab046.</w:t>
      </w:r>
    </w:p>
    <w:p w:rsidR="00000000" w:rsidDel="00000000" w:rsidP="00000000" w:rsidRDefault="00000000" w:rsidRPr="00000000" w14:paraId="0000020E">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4. Shekarau E, Uzoanya M, Ogbulafor N. Severe malaria intervention status in Nigeria: workshop meeting report. Malaria Journal. 2024 Jun 5;23(1):177.</w:t>
      </w:r>
    </w:p>
    <w:p w:rsidR="00000000" w:rsidDel="00000000" w:rsidP="00000000" w:rsidRDefault="00000000" w:rsidRPr="00000000" w14:paraId="0000020F">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5. Omojuyigbe JO, Owolade AJ, Sokunbi TO, Bakenne HA, Ogungbe BA, Oladipo HJ, Agughalam PI. Malaria eradication in Nigeria: state of the nation and priorities for action. Journal of Medicine, Surgery, and Public Health. 2023 Jan 1;1:100024.</w:t>
      </w:r>
    </w:p>
    <w:p w:rsidR="00000000" w:rsidDel="00000000" w:rsidP="00000000" w:rsidRDefault="00000000" w:rsidRPr="00000000" w14:paraId="00000210">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6. Reddy V, Weiss DJ, Rozier J, Ter Kuile FO, Dellicour S. Global estimates of the number of pregnancies at risk of malaria from 2007 to 2020: a demographic study. The Lancet Global Health. 2023 Jan 1;11(1):e40-7.</w:t>
      </w:r>
    </w:p>
    <w:p w:rsidR="00000000" w:rsidDel="00000000" w:rsidP="00000000" w:rsidRDefault="00000000" w:rsidRPr="00000000" w14:paraId="00000211">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7. Siagian FE. Malaria epidemiology: specific vulnerable group in the population. International Journal of Research and Reports in Hematology. 2020;3(2):41-52.</w:t>
      </w:r>
    </w:p>
    <w:p w:rsidR="00000000" w:rsidDel="00000000" w:rsidP="00000000" w:rsidRDefault="00000000" w:rsidRPr="00000000" w14:paraId="00000212">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8. Chua CL, Khoo SK, Ong JL, Ramireddi GK, Yeo TW, Teo A. Malaria in pregnancy: from placental infection to its abnormal development and damage. Frontiers in microbiology. 2021 Nov 11;12:777343.</w:t>
      </w:r>
    </w:p>
    <w:p w:rsidR="00000000" w:rsidDel="00000000" w:rsidP="00000000" w:rsidRDefault="00000000" w:rsidRPr="00000000" w14:paraId="00000213">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9. ObeaguEI OG. Malaria during pregnancy: efects on maternal morbidity and mortality. Elite J Nurs Health Sci. 2024;2(6):50-68.</w:t>
      </w:r>
    </w:p>
    <w:p w:rsidR="00000000" w:rsidDel="00000000" w:rsidP="00000000" w:rsidRDefault="00000000" w:rsidRPr="00000000" w14:paraId="00000214">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10. Cobo T, Kacerovsky M, Jacobsson B. Risk factors for spontaneous preterm delivery. International Journal of Gynecology &amp; Obstetrics. 2020 Jul;150(1):17-23.</w:t>
      </w:r>
    </w:p>
    <w:p w:rsidR="00000000" w:rsidDel="00000000" w:rsidP="00000000" w:rsidRDefault="00000000" w:rsidRPr="00000000" w14:paraId="00000215">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11. McClure EM, Silver RM, Kim J, Ahmed I, Kallapur M, Ghanchi N, Nagmoti MB, Dhaded S, Aceituno A, Tikmani SS, Saleem S. Maternal infection and stillbirth: a review. The Journal of Maternal-Fetal &amp; Neonatal Medicine. 2022 Dec 2;35(23):4442-50.</w:t>
      </w:r>
    </w:p>
    <w:p w:rsidR="00000000" w:rsidDel="00000000" w:rsidP="00000000" w:rsidRDefault="00000000" w:rsidRPr="00000000" w14:paraId="00000216">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12. van Eijk AM, Stepniewska K, Hill J, Taylor SM, Rogerson SJ, Cottrell G, Chico RM, Gutman JR, Tinto H, Unger HW, Yanow SK. Prevalence of and risk factors for microscopic and submicroscopic malaria infections in pregnancy: a systematic review and meta-analysis. The Lancet Global Health. 2023 Jul 1;11(7):e1061-74.</w:t>
      </w:r>
    </w:p>
    <w:p w:rsidR="00000000" w:rsidDel="00000000" w:rsidP="00000000" w:rsidRDefault="00000000" w:rsidRPr="00000000" w14:paraId="00000217">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13. Chiziba C, Mercer LD, Diallo O, Bertozzi-Villa A, Weiss DJ, Gerardin J, Ozodiegwu ID. Socioeconomic, demographic, and environmental factors may inform malaria intervention prioritization in urban Nigeria. International journal of environmental research and public health. 2024 Jan 10;21(1):78.</w:t>
      </w:r>
    </w:p>
    <w:p w:rsidR="00000000" w:rsidDel="00000000" w:rsidP="00000000" w:rsidRDefault="00000000" w:rsidRPr="00000000" w14:paraId="00000218">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14. Yadav N, Upadhyay RK. Global effect of climate change on seasonal cycles, vector population and rising challenges of communicable diseases: a review. Journal of Atmospheric Science Research. 2023 Jan;6(1).</w:t>
      </w:r>
    </w:p>
    <w:p w:rsidR="00000000" w:rsidDel="00000000" w:rsidP="00000000" w:rsidRDefault="00000000" w:rsidRPr="00000000" w14:paraId="00000219">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15. Doe MT, Bajinka O, Barrow A. Antenatal care positive responses to pregnant women in preventing and controlling malaria in pregnancy: the sub-Saharan African perspective. World Journal of Pediatrics. 2022 Jul;18(7):453-62.</w:t>
      </w:r>
    </w:p>
    <w:p w:rsidR="00000000" w:rsidDel="00000000" w:rsidP="00000000" w:rsidRDefault="00000000" w:rsidRPr="00000000" w14:paraId="0000021A">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16. Agyeman, Y. N., Newton, S. K., Annor, R. B., &amp; Owusu-Dabo, E. (2020). The Effectiveness of the Revised Intermittent Preventive Treatment with Sulphadoxine Pyrimethamine (IPTp‐SP) in the Prevention of Malaria among Pregnant Women in Northern Ghana. Journal of Tropical Medicine, 2020(1), 2325304.</w:t>
      </w:r>
    </w:p>
    <w:p w:rsidR="00000000" w:rsidDel="00000000" w:rsidP="00000000" w:rsidRDefault="00000000" w:rsidRPr="00000000" w14:paraId="0000021B">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17. World Health Organization. WHO policy brief for the implementation of intermittent preventive treatment of malaria in pregnancy using sulfadoxine-pyrimethamine (IPTp-SP). World Health Organization; 2014.</w:t>
      </w:r>
    </w:p>
    <w:p w:rsidR="00000000" w:rsidDel="00000000" w:rsidP="00000000" w:rsidRDefault="00000000" w:rsidRPr="00000000" w14:paraId="0000021C">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18. Menéndez C, Bardají A, Sigauque B, Sanz S, Aponte JJ, Mabunda S, Alonso PL. Malaria prevention with IPTp during pregnancy reduces neonatal mortality. PloS one. 2010 Feb 26;5(2):e9438.</w:t>
      </w:r>
    </w:p>
    <w:p w:rsidR="00000000" w:rsidDel="00000000" w:rsidP="00000000" w:rsidRDefault="00000000" w:rsidRPr="00000000" w14:paraId="0000021D">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19. Ifedayo IO. Evaluation of the Correlation Between Climate Change and Emerging and Re-Emerging Diseases in Selected South-Western States (Ekiti, Osun and Ondo), Nigeria (Master's thesis, Kwara State University (Nigeria)).</w:t>
      </w:r>
    </w:p>
    <w:p w:rsidR="00000000" w:rsidDel="00000000" w:rsidP="00000000" w:rsidRDefault="00000000" w:rsidRPr="00000000" w14:paraId="0000021E">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20. Ansong D, Otoo DM, Mensah V. Knowledge, uptake and therapeutic effectiveness of sulfadoxine-pyrimethamine (IPTp-SP) among pregnant women attending the antenatal clinic at Ayeduase Health Centre in Oforikrom Municipality in the Ashanti-region, Ghana. BMC Pregnancy and Childbirth. 2025 Mar 8;25(1):265.</w:t>
      </w:r>
    </w:p>
    <w:p w:rsidR="00000000" w:rsidDel="00000000" w:rsidP="00000000" w:rsidRDefault="00000000" w:rsidRPr="00000000" w14:paraId="0000021F">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21. Zuma SM. Assessment of medicine stock-outs challenges in public health services. Africa’s Public Service Delivery and Performance Review. 2022 Jan 31;10(1):578.</w:t>
      </w:r>
    </w:p>
    <w:p w:rsidR="00000000" w:rsidDel="00000000" w:rsidP="00000000" w:rsidRDefault="00000000" w:rsidRPr="00000000" w14:paraId="00000220">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22. Shyanti RK, Alagan R, Aladuwaka S, Malik S, Mishra MK. Socio-economic Status Driven Social, Behavioral, and Financial Burden on Patients: A Critical Assessment of Health Equity. InPublic Health Issues: Theory and Practices 2025 Aug 15 (pp. 111-126). Singapore: Springer Nature Singapore.</w:t>
      </w:r>
    </w:p>
    <w:p w:rsidR="00000000" w:rsidDel="00000000" w:rsidP="00000000" w:rsidRDefault="00000000" w:rsidRPr="00000000" w14:paraId="00000221">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23. De-Gaulle VF, Magnussen P, Kamgno J, Mbacham W, Orish VN, Tagbor H. Assessing health system factors affecting access and delivery of IPTp-SP and ITN to pregnant women attending ANC clinics in Ghana. BMC Health Services Research. 2021 Oct 6;21(1):1056.</w:t>
      </w:r>
    </w:p>
    <w:p w:rsidR="00000000" w:rsidDel="00000000" w:rsidP="00000000" w:rsidRDefault="00000000" w:rsidRPr="00000000" w14:paraId="00000222">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24. Nyaaba GN, Olaleye AO, Obiyan MO, Walker O, Anumba DO. A socio-ecological approach to understanding the factors influencing the uptake of intermittent preventive treatment of malaria in pregnancy (IPTp) in South-Western Nigeria. PLoS One. 2021 Mar 15;16(3):e0248412.</w:t>
      </w:r>
    </w:p>
    <w:p w:rsidR="00000000" w:rsidDel="00000000" w:rsidP="00000000" w:rsidRDefault="00000000" w:rsidRPr="00000000" w14:paraId="00000223">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25. World Health Organization. Clinical management of rape and intimate partner violence survivors: developing protocols for use in humanitarian settings. World Health Organization; 2020.</w:t>
      </w:r>
    </w:p>
    <w:p w:rsidR="00000000" w:rsidDel="00000000" w:rsidP="00000000" w:rsidRDefault="00000000" w:rsidRPr="00000000" w14:paraId="00000224">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26. Jegede KB. Evaluation of the impact of a school based health education program on caregivers' knowledge, attitude and practices of malaria, diarrhea and pneumonia in Ibadan North Local Government Area of Oyo state, Nigeria. Unpublished Thesis, University of Tampere School of Health Sciences. 2018 Jan.</w:t>
      </w:r>
    </w:p>
    <w:p w:rsidR="00000000" w:rsidDel="00000000" w:rsidP="00000000" w:rsidRDefault="00000000" w:rsidRPr="00000000" w14:paraId="00000225">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27. Sunday SE. Uptake of Intermittent Preventive Treatment of Malaria in Pregnancy Among Antenatal Care Attendees in General Hospital, Oju. Benue State.</w:t>
      </w:r>
    </w:p>
    <w:p w:rsidR="00000000" w:rsidDel="00000000" w:rsidP="00000000" w:rsidRDefault="00000000" w:rsidRPr="00000000" w14:paraId="00000226">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28. Ali VE, Uketeh SN, Hamza A, Obiajulu I, Okeke SU, Asika MO, Obong AE, Aminu HY, Ominyi J, Eze U. Antibiotic use among university students in malaria therapy and its implications for antimicrobial resistance in Nigeria: a quantitative cross-sectional study. Discover Public Health. 2025 Dec;22(1):1-6.</w:t>
      </w:r>
    </w:p>
    <w:p w:rsidR="00000000" w:rsidDel="00000000" w:rsidP="00000000" w:rsidRDefault="00000000" w:rsidRPr="00000000" w14:paraId="00000227">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29. Su X, Zhang Y, Chen M, Xu X, Liu G. Understanding health education needs of pregnant women in China during public health emergencies: a qualitative study amidst the COVID-19 pandemic. Frontiers in Public Health. 2024 May 2;12:1271327.</w:t>
      </w:r>
    </w:p>
    <w:p w:rsidR="00000000" w:rsidDel="00000000" w:rsidP="00000000" w:rsidRDefault="00000000" w:rsidRPr="00000000" w14:paraId="00000228">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30. Hackett K, Lenters L, Vandermorris A, LaFleur C, Newton S, Ndeki S, Zlotkin S. How can engagement of adolescents in antenatal care be enhanced? Learning from the perspectives of young mothers in Ghana and Tanzania. BMC Pregnancy and Childbirth. 2019 May 23;19(1):184.</w:t>
      </w:r>
    </w:p>
    <w:p w:rsidR="00000000" w:rsidDel="00000000" w:rsidP="00000000" w:rsidRDefault="00000000" w:rsidRPr="00000000" w14:paraId="00000229">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31. Jinga N, Mongwenyana C, Moolla A, Malete G, Onoya D. Reasons for late presentation for antenatal care, healthcare providers’ perspective. BMC health services research. 2019 Dec 30;19(1):1016.</w:t>
      </w:r>
    </w:p>
    <w:p w:rsidR="00000000" w:rsidDel="00000000" w:rsidP="00000000" w:rsidRDefault="00000000" w:rsidRPr="00000000" w14:paraId="0000022A">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32. Brunner NC, Karim A, Athieno P, Kimera J, Tumukunde G, Angiro I, Signorell A, Delvento G, Lee TT, Lambiris M, Ogwal A. Starting at the community: Treatment-seeking pathways of children with suspected severe malaria in Uganda. PLOS Global Public Health. 2023 Jul 5;3(7):e0001949.</w:t>
      </w:r>
    </w:p>
    <w:p w:rsidR="00000000" w:rsidDel="00000000" w:rsidP="00000000" w:rsidRDefault="00000000" w:rsidRPr="00000000" w14:paraId="0000022B">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33. Maikore IK. Building Evidence on National Malaria Data Repository as a decision support tool of Use of Data for decision making in Malaria Programme, Nigeria (Doctoral dissertation, London School of Hygiene &amp; Tropical Medicine).</w:t>
      </w:r>
    </w:p>
    <w:p w:rsidR="00000000" w:rsidDel="00000000" w:rsidP="00000000" w:rsidRDefault="00000000" w:rsidRPr="00000000" w14:paraId="0000022C">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34. Lee EH. From Prevention to Treatment: The Role of Quality and Readiness in Malaria Service Delivery for Vulnerable Populations in Sub-Saharan Africa.</w:t>
      </w:r>
    </w:p>
    <w:p w:rsidR="00000000" w:rsidDel="00000000" w:rsidP="00000000" w:rsidRDefault="00000000" w:rsidRPr="00000000" w14:paraId="0000022D">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35. Doe MT, Bajinka O, Barrow A. Antenatal care positive responses to pregnant women in preventing and controlling malaria in pregnancy: the sub-Saharan African perspective. World Journal of Pediatrics. 2022 Jul;18(7):453-62.</w:t>
      </w:r>
    </w:p>
    <w:p w:rsidR="00000000" w:rsidDel="00000000" w:rsidP="00000000" w:rsidRDefault="00000000" w:rsidRPr="00000000" w14:paraId="0000022E">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36. Dun-Dery F, Meissner P, Beiersmann C, Kuunibe N, Winkler V, Albrecht J, Müller O. Uptake challenges of intermittent preventive malaria therapy among pregnant women and their health care providers in the Upper West Region of Ghana: a mixed-methods study. Parasite epidemiology and control. 2021 Nov 1;15:e00222.</w:t>
      </w:r>
    </w:p>
    <w:p w:rsidR="00000000" w:rsidDel="00000000" w:rsidP="00000000" w:rsidRDefault="00000000" w:rsidRPr="00000000" w14:paraId="0000022F">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37. Onoya D, Mokhele I, Cele R, Musakwa N, Jinga N, Nattey C, Kgowedi S, Miot J. IDEAL CLINIC REALISATION &amp; MAINTENANCE (ICRM) RAPID REVIEW-GAUTENG.</w:t>
      </w:r>
    </w:p>
    <w:p w:rsidR="00000000" w:rsidDel="00000000" w:rsidP="00000000" w:rsidRDefault="00000000" w:rsidRPr="00000000" w14:paraId="00000230">
      <w:pPr>
        <w:spacing w:after="280" w:before="280" w:line="480" w:lineRule="auto"/>
        <w:jc w:val="both"/>
        <w:rPr>
          <w:rFonts w:ascii="Times New Roman" w:cs="Times New Roman" w:eastAsia="Times New Roman" w:hAnsi="Times New Roman"/>
          <w:color w:val="434343"/>
          <w:sz w:val="24"/>
          <w:szCs w:val="24"/>
          <w:highlight w:val="yellow"/>
        </w:rPr>
      </w:pPr>
      <w:r w:rsidDel="00000000" w:rsidR="00000000" w:rsidRPr="00000000">
        <w:rPr>
          <w:rFonts w:ascii="Times New Roman" w:cs="Times New Roman" w:eastAsia="Times New Roman" w:hAnsi="Times New Roman"/>
          <w:color w:val="434343"/>
          <w:sz w:val="24"/>
          <w:szCs w:val="24"/>
          <w:highlight w:val="yellow"/>
          <w:rtl w:val="0"/>
        </w:rPr>
        <w:t xml:space="preserve">38. Aporo AJ, Namagembe I, Musaba M, Wandabwa J, Kiondo P. Factors associated with uptake of optimal dose of IPTP-SP among pregnant women attending antenatal clinics of Soroti district, Uganda. Scientific Reports. 2026 Jan 22;16(1):3065.</w:t>
      </w:r>
    </w:p>
    <w:p w:rsidR="00000000" w:rsidDel="00000000" w:rsidP="00000000" w:rsidRDefault="00000000" w:rsidRPr="00000000" w14:paraId="00000231">
      <w:pPr>
        <w:spacing w:after="280" w:before="280" w:line="480" w:lineRule="auto"/>
        <w:jc w:val="both"/>
        <w:rPr>
          <w:rFonts w:ascii="Times New Roman" w:cs="Times New Roman" w:eastAsia="Times New Roman" w:hAnsi="Times New Roman"/>
          <w:b w:val="1"/>
          <w:bCs w:val="1"/>
          <w:i w:val="0"/>
          <w:iCs w:val="0"/>
          <w:smallCaps w:val="0"/>
          <w:strike w:val="0"/>
          <w:color w:val="434343"/>
          <w:sz w:val="24"/>
          <w:szCs w:val="24"/>
          <w:highlight w:val="yellow"/>
          <w:u w:val="none"/>
          <w:vertAlign w:val="baseline"/>
        </w:rPr>
      </w:pPr>
      <w:r w:rsidDel="00000000" w:rsidR="00000000" w:rsidRPr="00000000">
        <w:rPr>
          <w:rFonts w:ascii="Times New Roman" w:cs="Times New Roman" w:eastAsia="Times New Roman" w:hAnsi="Times New Roman"/>
          <w:color w:val="434343"/>
          <w:sz w:val="24"/>
          <w:szCs w:val="24"/>
          <w:highlight w:val="yellow"/>
          <w:rtl w:val="0"/>
        </w:rPr>
        <w:t xml:space="preserve">39.Olaleye AO, Walker O. Impact of health systems on the implementation of intermittent preventive treatment for malaria in pregnancy in sub-Saharan Africa: a narrative synthesis. Tropical Medicine and Infectious Disease. 2020 Aug 22;5(3):134.</w:t>
      </w:r>
      <w:r w:rsidDel="00000000" w:rsidR="00000000" w:rsidRPr="00000000">
        <w:rPr>
          <w:rtl w:val="0"/>
        </w:rPr>
      </w:r>
    </w:p>
    <w:sectPr>
      <w:type w:val="nextPage"/>
      <w:pgSz w:h="16838" w:w="11906"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pict>
        <v:shape id="PowerPlusWaterMarkObject3" style="position:absolute;width:493.05pt;height:92.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pict>
        <v:shape id="PowerPlusWaterMarkObject1" style="position:absolute;width:493.05pt;height:92.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pict>
        <v:shape id="PowerPlusWaterMarkObject2" style="position:absolute;width:493.05pt;height:92.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decimal"/>
      <w:lvlText w:val="%3."/>
      <w:lvlJc w:val="left"/>
      <w:pPr>
        <w:ind w:left="2160" w:hanging="360"/>
      </w:pPr>
      <w:rPr>
        <w:sz w:val="24"/>
        <w:szCs w:val="24"/>
      </w:rPr>
    </w:lvl>
    <w:lvl w:ilvl="3">
      <w:start w:val="1"/>
      <w:numFmt w:val="decimal"/>
      <w:lvlText w:val="%4."/>
      <w:lvlJc w:val="left"/>
      <w:pPr>
        <w:ind w:left="2880" w:hanging="360"/>
      </w:pPr>
      <w:rPr>
        <w:sz w:val="24"/>
        <w:szCs w:val="24"/>
      </w:rPr>
    </w:lvl>
    <w:lvl w:ilvl="4">
      <w:start w:val="1"/>
      <w:numFmt w:val="decimal"/>
      <w:lvlText w:val="%5."/>
      <w:lvlJc w:val="left"/>
      <w:pPr>
        <w:ind w:left="3600" w:hanging="360"/>
      </w:pPr>
      <w:rPr>
        <w:sz w:val="24"/>
        <w:szCs w:val="24"/>
      </w:rPr>
    </w:lvl>
    <w:lvl w:ilvl="5">
      <w:start w:val="1"/>
      <w:numFmt w:val="decimal"/>
      <w:lvlText w:val="%6."/>
      <w:lvlJc w:val="left"/>
      <w:pPr>
        <w:ind w:left="4320" w:hanging="360"/>
      </w:pPr>
      <w:rPr>
        <w:sz w:val="24"/>
        <w:szCs w:val="24"/>
      </w:rPr>
    </w:lvl>
    <w:lvl w:ilvl="6">
      <w:start w:val="1"/>
      <w:numFmt w:val="decimal"/>
      <w:lvlText w:val="%7."/>
      <w:lvlJc w:val="left"/>
      <w:pPr>
        <w:ind w:left="5040" w:hanging="360"/>
      </w:pPr>
      <w:rPr>
        <w:sz w:val="24"/>
        <w:szCs w:val="24"/>
      </w:rPr>
    </w:lvl>
    <w:lvl w:ilvl="7">
      <w:start w:val="1"/>
      <w:numFmt w:val="decimal"/>
      <w:lvlText w:val="%8."/>
      <w:lvlJc w:val="left"/>
      <w:pPr>
        <w:ind w:left="5760" w:hanging="360"/>
      </w:pPr>
      <w:rPr>
        <w:sz w:val="24"/>
        <w:szCs w:val="24"/>
      </w:rPr>
    </w:lvl>
    <w:lvl w:ilvl="8">
      <w:start w:val="1"/>
      <w:numFmt w:val="decimal"/>
      <w:lvlText w:val="%9."/>
      <w:lvlJc w:val="left"/>
      <w:pPr>
        <w:ind w:left="6480" w:hanging="360"/>
      </w:pPr>
      <w:rPr>
        <w:sz w:val="24"/>
        <w:szCs w:val="24"/>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after="40" w:before="80" w:line="259" w:lineRule="auto"/>
    </w:pPr>
    <w:rPr>
      <w:i w:val="1"/>
      <w:iCs w:val="1"/>
      <w:color w:val="2d54a0"/>
      <w:sz w:val="22"/>
      <w:szCs w:val="22"/>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2">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3">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4">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0QBEAZ4EXoeUJKgAkPRM2jtw==">CgMxLjAaJQoBMBIgCh4IB0IaCg9UaW1lcyBOZXcgUm9tYW4SB0d1bmdzdWgyDmgudTNucGg3YzdxZTZoMg5oLmJ5MTg2NnV5ZXc0MjgAciExSk1TSWp0SDBfR2x2Yl9zOUVmdmxJb0UtSmVVdjYyaXI=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EF372371BC174D19AF50764106AD588D_11</vt:lpwstr>
  </property>
  <property fmtid="{D5CDD505-2E9C-101B-9397-08002B2CF9AE}" pid="4" name="KSOTemplateDocerSaveRecord">
    <vt:lpwstr>eyJoZGlkIjoiZmQzM2E3M2FhOWNjMjkyN2E1NDlmZTdmZjA4NzNjNmMiLCJ1c2VySWQiOiIyNzY2NjE3NjI3NjEyIn0=</vt:lpwstr>
  </property>
</Properties>
</file>