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544B" w:rsidRDefault="00022753">
      <w:pPr>
        <w:pStyle w:val="Title"/>
        <w:spacing w:after="0"/>
        <w:jc w:val="both"/>
        <w:rPr>
          <w:rFonts w:ascii="Arial" w:hAnsi="Arial" w:cs="Arial"/>
          <w:u w:val="single"/>
        </w:rPr>
      </w:pPr>
      <w:r>
        <w:rPr>
          <w:rFonts w:ascii="Arial" w:hAnsi="Arial" w:cs="Arial"/>
          <w:u w:val="single"/>
        </w:rPr>
        <w:t>Original Research Article</w:t>
      </w:r>
    </w:p>
    <w:p w:rsidR="00BC544B" w:rsidRDefault="00BC544B">
      <w:pPr>
        <w:pStyle w:val="Title"/>
        <w:spacing w:after="0"/>
        <w:jc w:val="both"/>
        <w:rPr>
          <w:rFonts w:ascii="Arial" w:hAnsi="Arial" w:cs="Arial"/>
          <w:u w:val="single"/>
        </w:rPr>
      </w:pPr>
    </w:p>
    <w:p w:rsidR="00BC544B" w:rsidRDefault="00022753">
      <w:pPr>
        <w:jc w:val="right"/>
        <w:rPr>
          <w:rFonts w:ascii="Arial" w:hAnsi="Arial" w:cs="Arial"/>
          <w:b/>
          <w:sz w:val="36"/>
          <w:szCs w:val="36"/>
        </w:rPr>
      </w:pPr>
      <w:r>
        <w:rPr>
          <w:rFonts w:ascii="Arial" w:hAnsi="Arial" w:cs="Arial"/>
          <w:b/>
          <w:sz w:val="36"/>
          <w:szCs w:val="36"/>
        </w:rPr>
        <w:t>Lymphatic Filariasis in Southwest, Nigeria: A Cross-sectional Study on Prevalence, Morbidities and Socio-economic Impact in four endemic areas of Ondo State</w:t>
      </w:r>
    </w:p>
    <w:p w:rsidR="00BC544B" w:rsidRDefault="00BC544B">
      <w:pPr>
        <w:pStyle w:val="Author"/>
        <w:spacing w:line="240" w:lineRule="auto"/>
        <w:jc w:val="both"/>
        <w:rPr>
          <w:rFonts w:ascii="Arial" w:hAnsi="Arial" w:cs="Arial"/>
          <w:sz w:val="36"/>
        </w:rPr>
      </w:pPr>
    </w:p>
    <w:p w:rsidR="00BC544B" w:rsidRDefault="00022753">
      <w:pPr>
        <w:pStyle w:val="Copyright"/>
        <w:spacing w:after="0" w:line="240" w:lineRule="auto"/>
        <w:jc w:val="right"/>
        <w:rPr>
          <w:rFonts w:ascii="Arial" w:hAnsi="Arial" w:cs="Arial"/>
        </w:rPr>
        <w:sectPr w:rsidR="00BC544B">
          <w:headerReference w:type="even" r:id="rId8"/>
          <w:headerReference w:type="default" r:id="rId9"/>
          <w:footerReference w:type="even" r:id="rId10"/>
          <w:footerReference w:type="default" r:id="rId11"/>
          <w:headerReference w:type="first" r:id="rId12"/>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extent cx="5303520" cy="635"/>
                <wp:effectExtent l="13334" t="9525" r="17145" b="9525"/>
                <wp:docPr id="10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03520" cy="635"/>
                        </a:xfrm>
                        <a:prstGeom prst="straightConnector1">
                          <a:avLst/>
                        </a:prstGeom>
                        <a:ln w="19050" cap="flat" cmpd="sng">
                          <a:solidFill>
                            <a:srgbClr val="000000"/>
                          </a:solidFill>
                          <a:prstDash val="solid"/>
                          <a:round/>
                          <a:headEnd type="none" w="med" len="med"/>
                          <a:tailEnd type="none" w="med" len="med"/>
                        </a:ln>
                      </wps:spPr>
                      <wps:bodyPr/>
                    </wps:wsp>
                  </a:graphicData>
                </a:graphic>
              </wp:inline>
            </w:drawing>
          </mc:Choice>
          <mc:Fallback xmlns:wpsCustomData="http://www.wps.cn/officeDocument/2013/wpsCustomData">
            <w:pict>
              <v:shapetype id="_x0000_t32" coordsize="21600,21600" o:spt="32" o:oned="t" path="m,l21600,21600e">
                <v:path arrowok="t" fillok="f" o:connecttype="none"/>
                <o:lock v:ext="edit" shapetype="t"/>
              </v:shapetype>
              <v:shape id="1026" type="#_x0000_t32" filled="f" style="margin-left:0.0pt;margin-top:0.0pt;width:417.6pt;height:0.05pt;mso-wrap-distance-left:0.0pt;mso-wrap-distance-right:0.0pt;visibility:visible;">
                <w10:anchorlock/>
                <v:stroke weight="1.5pt"/>
                <v:fill rotate="true"/>
              </v:shape>
            </w:pict>
          </mc:Fallback>
        </mc:AlternateContent>
      </w:r>
      <w:r>
        <w:rPr>
          <w:rFonts w:ascii="Arial" w:hAnsi="Arial" w:cs="Arial"/>
        </w:rPr>
        <w:t>.</w:t>
      </w:r>
    </w:p>
    <w:p w:rsidR="00BC544B" w:rsidRDefault="00022753">
      <w:pPr>
        <w:pStyle w:val="AbstHead"/>
        <w:spacing w:after="0"/>
        <w:jc w:val="both"/>
        <w:rPr>
          <w:rFonts w:ascii="Arial" w:hAnsi="Arial" w:cs="Arial"/>
        </w:rPr>
      </w:pPr>
      <w:r>
        <w:rPr>
          <w:rFonts w:ascii="Arial" w:hAnsi="Arial" w:cs="Arial"/>
        </w:rPr>
        <w:t>ABSTRACT</w:t>
      </w:r>
    </w:p>
    <w:p w:rsidR="00BC544B" w:rsidRDefault="00BC544B">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684"/>
      </w:tblGrid>
      <w:tr w:rsidR="00BC544B">
        <w:tc>
          <w:tcPr>
            <w:tcW w:w="9576" w:type="dxa"/>
            <w:shd w:val="clear" w:color="auto" w:fill="F2F2F2"/>
          </w:tcPr>
          <w:p w:rsidR="00BC544B" w:rsidRDefault="00022753">
            <w:pPr>
              <w:pStyle w:val="Body"/>
              <w:spacing w:after="0"/>
              <w:rPr>
                <w:rFonts w:ascii="Arial" w:eastAsia="Calibri" w:hAnsi="Arial" w:cs="Arial"/>
                <w:b/>
              </w:rPr>
            </w:pPr>
            <w:r>
              <w:rPr>
                <w:rFonts w:ascii="Arial" w:eastAsia="Calibri" w:hAnsi="Arial" w:cs="Arial"/>
                <w:b/>
              </w:rPr>
              <w:t xml:space="preserve">Background: </w:t>
            </w:r>
            <w:r>
              <w:rPr>
                <w:rFonts w:ascii="Arial" w:hAnsi="Arial" w:cs="Arial"/>
              </w:rPr>
              <w:t>Lymphatic Filariasis (LF), commonly called Elephantiasis, is a painful and infectious disease with extreme disabilities, social and economic burden, majorly</w:t>
            </w:r>
            <w:r>
              <w:rPr>
                <w:rFonts w:ascii="Arial" w:hAnsi="Arial" w:cs="Arial"/>
              </w:rPr>
              <w:t xml:space="preserve"> caused by the parasite-</w:t>
            </w:r>
            <w:r>
              <w:rPr>
                <w:rFonts w:ascii="Arial" w:hAnsi="Arial" w:cs="Arial"/>
                <w:i/>
                <w:iCs/>
              </w:rPr>
              <w:t>Wuchereria bancrofti,</w:t>
            </w:r>
            <w:r>
              <w:rPr>
                <w:rFonts w:ascii="Arial" w:hAnsi="Arial" w:cs="Arial"/>
              </w:rPr>
              <w:t xml:space="preserve"> responsible for 90% cases worldwide and transmitted by blood-sucking</w:t>
            </w:r>
            <w:r>
              <w:rPr>
                <w:rFonts w:ascii="Arial" w:hAnsi="Arial" w:cs="Arial"/>
                <w:i/>
                <w:iCs/>
              </w:rPr>
              <w:t xml:space="preserve"> Culex, Aedes and Anopheles</w:t>
            </w:r>
            <w:r>
              <w:rPr>
                <w:rFonts w:ascii="Arial" w:hAnsi="Arial" w:cs="Arial"/>
              </w:rPr>
              <w:t xml:space="preserve"> mosquitoes in rural and semi-urban areas. In Akoko and Ondo State, Nigeria, there are no data on the endemicity of</w:t>
            </w:r>
            <w:r>
              <w:rPr>
                <w:rFonts w:ascii="Arial" w:hAnsi="Arial" w:cs="Arial"/>
              </w:rPr>
              <w:t xml:space="preserve"> Lymphatic filariasis. Therefore, this study assessed the prevalence, associated morbidities and socio-economic impact of Lymphatic filariasis</w:t>
            </w:r>
            <w:r>
              <w:rPr>
                <w:rFonts w:ascii="Arial" w:eastAsia="Calibri" w:hAnsi="Arial" w:cs="Arial"/>
              </w:rPr>
              <w:t>.</w:t>
            </w:r>
          </w:p>
          <w:p w:rsidR="00BC544B" w:rsidRDefault="00022753">
            <w:pPr>
              <w:jc w:val="both"/>
              <w:rPr>
                <w:rFonts w:ascii="Arial" w:hAnsi="Arial" w:cs="Arial"/>
                <w:b/>
                <w:bCs/>
              </w:rPr>
            </w:pPr>
            <w:r>
              <w:rPr>
                <w:rFonts w:ascii="Arial" w:eastAsia="Calibri" w:hAnsi="Arial" w:cs="Arial"/>
                <w:b/>
                <w:bCs/>
              </w:rPr>
              <w:t>Methodology:</w:t>
            </w:r>
            <w:r>
              <w:rPr>
                <w:rFonts w:ascii="Arial" w:eastAsia="Calibri" w:hAnsi="Arial" w:cs="Arial"/>
              </w:rPr>
              <w:t xml:space="preserve"> A cross-sectional study design in four endemic areas of Akoko south-west Local Government Areas of </w:t>
            </w:r>
            <w:r>
              <w:rPr>
                <w:rFonts w:ascii="Arial" w:eastAsia="Calibri" w:hAnsi="Arial" w:cs="Arial"/>
              </w:rPr>
              <w:t>Ondo state, Nigeria.</w:t>
            </w:r>
            <w:r>
              <w:rPr>
                <w:rFonts w:ascii="Arial" w:hAnsi="Arial" w:cs="Arial"/>
              </w:rPr>
              <w:t xml:space="preserve"> Questionnaire data was used to evaluate specifics of LF impact on quality of life, financial burden, access to education, psychological and social involvement (LFSQQ). Nocturnal intravenous blood was collected from subjects across vill</w:t>
            </w:r>
            <w:r>
              <w:rPr>
                <w:rFonts w:ascii="Arial" w:hAnsi="Arial" w:cs="Arial"/>
              </w:rPr>
              <w:t xml:space="preserve">ages and settlements including children, between 11pm and 1am due to parasite's circadian clock and analyzed for parasite’s microfilariae by microscopy of thick blood films. Physical morbidities on limbs, breast and scrotum were examined and documented as </w:t>
            </w:r>
            <w:r>
              <w:rPr>
                <w:rFonts w:ascii="Arial" w:hAnsi="Arial" w:cs="Arial"/>
              </w:rPr>
              <w:t>lymphoedema, limb elephantiasis and hydrocoele.</w:t>
            </w:r>
          </w:p>
          <w:p w:rsidR="00BC544B" w:rsidRDefault="00022753">
            <w:pPr>
              <w:jc w:val="both"/>
              <w:rPr>
                <w:rFonts w:ascii="Arial" w:hAnsi="Arial" w:cs="Arial"/>
                <w:iCs/>
              </w:rPr>
            </w:pPr>
            <w:r>
              <w:rPr>
                <w:rFonts w:ascii="Arial" w:eastAsia="Calibri" w:hAnsi="Arial" w:cs="Arial"/>
                <w:b/>
                <w:bCs/>
              </w:rPr>
              <w:t>Results:</w:t>
            </w:r>
            <w:r>
              <w:rPr>
                <w:rFonts w:ascii="Arial" w:eastAsia="Calibri" w:hAnsi="Arial" w:cs="Arial"/>
              </w:rPr>
              <w:t xml:space="preserve"> </w:t>
            </w:r>
            <w:r>
              <w:rPr>
                <w:rFonts w:ascii="Arial" w:hAnsi="Arial" w:cs="Arial"/>
              </w:rPr>
              <w:t xml:space="preserve">Overall prevalence of Lymphatic filariasis was 22.1%, with associated morbidities of </w:t>
            </w:r>
            <w:r>
              <w:rPr>
                <w:rFonts w:ascii="Arial" w:hAnsi="Arial" w:cs="Arial"/>
                <w:iCs/>
              </w:rPr>
              <w:t>42.4%. Hydrocoele</w:t>
            </w:r>
            <w:r>
              <w:rPr>
                <w:rFonts w:ascii="Arial" w:hAnsi="Arial" w:cs="Arial"/>
              </w:rPr>
              <w:t xml:space="preserve"> of scrotum (66.7%), lymphoedema and limb </w:t>
            </w:r>
            <w:r>
              <w:rPr>
                <w:rFonts w:ascii="Arial" w:hAnsi="Arial" w:cs="Arial"/>
                <w:iCs/>
              </w:rPr>
              <w:t>elephantiasis were endemic in the study area.</w:t>
            </w:r>
            <w:r>
              <w:rPr>
                <w:rFonts w:ascii="Arial" w:hAnsi="Arial" w:cs="Arial"/>
              </w:rPr>
              <w:t xml:space="preserve"> LF affect</w:t>
            </w:r>
            <w:r>
              <w:rPr>
                <w:rFonts w:ascii="Arial" w:hAnsi="Arial" w:cs="Arial"/>
              </w:rPr>
              <w:t xml:space="preserve">ed population with economic burden </w:t>
            </w:r>
            <w:r>
              <w:rPr>
                <w:rFonts w:ascii="Arial" w:hAnsi="Arial" w:cs="Arial"/>
                <w:iCs/>
              </w:rPr>
              <w:t>(</w:t>
            </w:r>
            <w:r>
              <w:rPr>
                <w:rFonts w:ascii="Arial" w:hAnsi="Arial" w:cs="Arial"/>
                <w:i/>
                <w:iCs/>
              </w:rPr>
              <w:t>P</w:t>
            </w:r>
            <w:r>
              <w:rPr>
                <w:rFonts w:ascii="Arial" w:hAnsi="Arial" w:cs="Arial"/>
                <w:iCs/>
              </w:rPr>
              <w:t xml:space="preserve">=0.01; </w:t>
            </w:r>
            <w:r>
              <w:rPr>
                <w:rFonts w:ascii="Arial" w:hAnsi="Arial" w:cs="Arial"/>
                <w:i/>
                <w:iCs/>
              </w:rPr>
              <w:t>P</w:t>
            </w:r>
            <w:r>
              <w:rPr>
                <w:rFonts w:ascii="Arial" w:hAnsi="Arial" w:cs="Arial"/>
                <w:iCs/>
              </w:rPr>
              <w:t xml:space="preserve">&lt;0.05) </w:t>
            </w:r>
            <w:r>
              <w:rPr>
                <w:rFonts w:ascii="Arial" w:hAnsi="Arial" w:cs="Arial"/>
              </w:rPr>
              <w:t xml:space="preserve">was 84.8%; involving school-aged children, youth, men and women. The socioeconomic impact of LF was expressed as 16.1% as measured using LFSQQ. Hydrocoele impacted higher burden </w:t>
            </w:r>
            <w:r>
              <w:rPr>
                <w:rFonts w:ascii="Arial" w:hAnsi="Arial" w:cs="Arial"/>
                <w:iCs/>
              </w:rPr>
              <w:t>(</w:t>
            </w:r>
            <w:r>
              <w:rPr>
                <w:rFonts w:ascii="Arial" w:hAnsi="Arial" w:cs="Arial"/>
                <w:i/>
                <w:iCs/>
              </w:rPr>
              <w:t>P</w:t>
            </w:r>
            <w:r>
              <w:rPr>
                <w:rFonts w:ascii="Arial" w:hAnsi="Arial" w:cs="Arial"/>
                <w:iCs/>
              </w:rPr>
              <w:t xml:space="preserve">=0.001 </w:t>
            </w:r>
            <w:r>
              <w:rPr>
                <w:rFonts w:ascii="Arial" w:hAnsi="Arial" w:cs="Arial"/>
                <w:i/>
                <w:iCs/>
              </w:rPr>
              <w:t>P</w:t>
            </w:r>
            <w:r>
              <w:rPr>
                <w:rFonts w:ascii="Arial" w:hAnsi="Arial" w:cs="Arial"/>
                <w:iCs/>
              </w:rPr>
              <w:t>&lt;0.05) on the af</w:t>
            </w:r>
            <w:r>
              <w:rPr>
                <w:rFonts w:ascii="Arial" w:hAnsi="Arial" w:cs="Arial"/>
                <w:iCs/>
              </w:rPr>
              <w:t xml:space="preserve">fected, including children of ages 3-14years. Significant statistical relationship existed between infection and study communities </w:t>
            </w:r>
            <w:r>
              <w:rPr>
                <w:rFonts w:ascii="Arial" w:hAnsi="Arial" w:cs="Arial"/>
              </w:rPr>
              <w:t>(</w:t>
            </w:r>
            <w:r>
              <w:rPr>
                <w:rFonts w:ascii="Arial" w:hAnsi="Arial" w:cs="Arial"/>
                <w:i/>
              </w:rPr>
              <w:t>P</w:t>
            </w:r>
            <w:r>
              <w:rPr>
                <w:rFonts w:ascii="Arial" w:hAnsi="Arial" w:cs="Arial"/>
                <w:iCs/>
              </w:rPr>
              <w:t>=0.007</w:t>
            </w:r>
            <w:r>
              <w:rPr>
                <w:rFonts w:ascii="Arial" w:hAnsi="Arial" w:cs="Arial"/>
                <w:i/>
              </w:rPr>
              <w:t>, P</w:t>
            </w:r>
            <w:r>
              <w:rPr>
                <w:rFonts w:ascii="Arial" w:hAnsi="Arial" w:cs="Arial"/>
                <w:iCs/>
              </w:rPr>
              <w:t xml:space="preserve">&lt;0.05), as </w:t>
            </w:r>
            <w:r>
              <w:rPr>
                <w:rFonts w:ascii="Arial" w:hAnsi="Arial" w:cs="Arial"/>
              </w:rPr>
              <w:t>Ugbegun and Supare were highly infected. Moreover, i</w:t>
            </w:r>
            <w:r>
              <w:rPr>
                <w:rFonts w:ascii="Arial" w:hAnsi="Arial" w:cs="Arial"/>
                <w:iCs/>
              </w:rPr>
              <w:t>nfection was predominant across all age-groups, alt</w:t>
            </w:r>
            <w:r>
              <w:rPr>
                <w:rFonts w:ascii="Arial" w:hAnsi="Arial" w:cs="Arial"/>
                <w:iCs/>
              </w:rPr>
              <w:t xml:space="preserve">hough higher among males and elderly of ages 55 and above. </w:t>
            </w:r>
          </w:p>
          <w:p w:rsidR="00BC544B" w:rsidRDefault="00022753">
            <w:pPr>
              <w:pStyle w:val="Body"/>
              <w:spacing w:after="0"/>
              <w:rPr>
                <w:rFonts w:ascii="Arial" w:eastAsia="Calibri" w:hAnsi="Arial" w:cs="Arial"/>
                <w:szCs w:val="22"/>
              </w:rPr>
            </w:pPr>
            <w:r>
              <w:rPr>
                <w:rFonts w:ascii="Arial" w:eastAsia="Calibri" w:hAnsi="Arial" w:cs="Arial"/>
                <w:b/>
                <w:bCs/>
              </w:rPr>
              <w:t>Conclusion:</w:t>
            </w:r>
            <w:r>
              <w:rPr>
                <w:rFonts w:ascii="Arial" w:eastAsia="Calibri" w:hAnsi="Arial" w:cs="Arial"/>
              </w:rPr>
              <w:t xml:space="preserve"> </w:t>
            </w:r>
            <w:r>
              <w:rPr>
                <w:rFonts w:ascii="Arial" w:hAnsi="Arial" w:cs="Arial"/>
              </w:rPr>
              <w:t>The social, economic and public health impact of Lymphatic filariasis is enormous, preventing smooth education of school-aged children,</w:t>
            </w:r>
            <w:r>
              <w:rPr>
                <w:rFonts w:ascii="Arial" w:hAnsi="Arial" w:cs="Arial"/>
              </w:rPr>
              <w:t xml:space="preserve"> deprive victims of livelihood, relationships and comfort. Hence, prompt diagnosis and immediate management of associated morbidities and disabilities through health intervention initiatives such as hydrocelectomy is advocated, with </w:t>
            </w:r>
            <w:r>
              <w:rPr>
                <w:rFonts w:ascii="Arial" w:hAnsi="Arial" w:cs="Arial"/>
                <w:iCs/>
              </w:rPr>
              <w:t xml:space="preserve">properly monitored and </w:t>
            </w:r>
            <w:r>
              <w:rPr>
                <w:rFonts w:ascii="Arial" w:hAnsi="Arial" w:cs="Arial"/>
                <w:iCs/>
              </w:rPr>
              <w:t>timely administration of preventive chemotherapy (MAM) especially in rural and endemic communities</w:t>
            </w:r>
            <w:r>
              <w:rPr>
                <w:rFonts w:ascii="Times New Roman" w:hAnsi="Times New Roman"/>
                <w:iCs/>
                <w:sz w:val="24"/>
                <w:szCs w:val="24"/>
              </w:rPr>
              <w:t>.</w:t>
            </w:r>
            <w:r>
              <w:rPr>
                <w:rFonts w:ascii="Arial" w:hAnsi="Arial" w:cs="Arial"/>
              </w:rPr>
              <w:t xml:space="preserve"> </w:t>
            </w:r>
          </w:p>
        </w:tc>
      </w:tr>
    </w:tbl>
    <w:p w:rsidR="00BC544B" w:rsidRDefault="00BC544B">
      <w:pPr>
        <w:pStyle w:val="Body"/>
        <w:spacing w:after="0"/>
        <w:rPr>
          <w:rFonts w:ascii="Arial" w:hAnsi="Arial" w:cs="Arial"/>
          <w:i/>
        </w:rPr>
      </w:pPr>
    </w:p>
    <w:p w:rsidR="00BC544B" w:rsidRDefault="00022753">
      <w:pPr>
        <w:jc w:val="both"/>
        <w:rPr>
          <w:rFonts w:ascii="Arial" w:hAnsi="Arial" w:cs="Arial"/>
          <w:b/>
          <w:i/>
        </w:rPr>
      </w:pPr>
      <w:r>
        <w:rPr>
          <w:rFonts w:ascii="Arial" w:hAnsi="Arial" w:cs="Arial"/>
          <w:i/>
        </w:rPr>
        <w:t xml:space="preserve">Keywords: </w:t>
      </w:r>
      <w:r>
        <w:rPr>
          <w:rFonts w:ascii="Arial" w:hAnsi="Arial" w:cs="Arial"/>
          <w:i/>
        </w:rPr>
        <w:t xml:space="preserve">Elephantiasis; Impact; NTDs; Wuchereria </w:t>
      </w:r>
      <w:proofErr w:type="spellStart"/>
      <w:r>
        <w:rPr>
          <w:rFonts w:ascii="Arial" w:hAnsi="Arial" w:cs="Arial"/>
          <w:i/>
        </w:rPr>
        <w:t>bancrofti</w:t>
      </w:r>
      <w:proofErr w:type="spellEnd"/>
      <w:r>
        <w:rPr>
          <w:rFonts w:ascii="Arial" w:hAnsi="Arial" w:cs="Arial"/>
          <w:i/>
        </w:rPr>
        <w:t xml:space="preserve">; Endemicity; Parasitic-infection; </w:t>
      </w:r>
      <w:proofErr w:type="spellStart"/>
      <w:r>
        <w:rPr>
          <w:rFonts w:ascii="Arial" w:hAnsi="Arial" w:cs="Arial"/>
          <w:i/>
        </w:rPr>
        <w:t>Akoko</w:t>
      </w:r>
      <w:proofErr w:type="spellEnd"/>
      <w:r>
        <w:rPr>
          <w:rFonts w:ascii="Arial" w:hAnsi="Arial" w:cs="Arial"/>
          <w:i/>
        </w:rPr>
        <w:t>-S/W-Ondo-State</w:t>
      </w:r>
    </w:p>
    <w:p w:rsidR="00BC544B" w:rsidRDefault="00BC544B">
      <w:pPr>
        <w:pStyle w:val="Body"/>
        <w:spacing w:after="0"/>
        <w:rPr>
          <w:rFonts w:ascii="Arial" w:hAnsi="Arial" w:cs="Arial"/>
          <w:i/>
          <w:sz w:val="18"/>
        </w:rPr>
      </w:pPr>
    </w:p>
    <w:p w:rsidR="00BC544B" w:rsidRDefault="00BC544B">
      <w:pPr>
        <w:pStyle w:val="Body"/>
        <w:spacing w:after="0"/>
        <w:rPr>
          <w:rFonts w:ascii="Arial" w:hAnsi="Arial" w:cs="Arial"/>
          <w:i/>
          <w:sz w:val="18"/>
        </w:rPr>
      </w:pPr>
    </w:p>
    <w:p w:rsidR="00BC544B" w:rsidRDefault="00BC544B">
      <w:pPr>
        <w:pStyle w:val="Body"/>
        <w:spacing w:after="0"/>
        <w:rPr>
          <w:rFonts w:ascii="Arial" w:hAnsi="Arial" w:cs="Arial"/>
          <w:i/>
          <w:sz w:val="18"/>
        </w:rPr>
      </w:pPr>
    </w:p>
    <w:p w:rsidR="00BC544B" w:rsidRDefault="00BC544B">
      <w:pPr>
        <w:pStyle w:val="Body"/>
        <w:spacing w:after="0"/>
        <w:rPr>
          <w:rFonts w:ascii="Arial" w:hAnsi="Arial" w:cs="Arial"/>
          <w:i/>
        </w:rPr>
      </w:pPr>
    </w:p>
    <w:p w:rsidR="00BC544B" w:rsidRDefault="00022753">
      <w:pPr>
        <w:pStyle w:val="AbstHead"/>
        <w:spacing w:after="0"/>
        <w:jc w:val="both"/>
        <w:rPr>
          <w:rFonts w:ascii="Arial" w:hAnsi="Arial" w:cs="Arial"/>
        </w:rPr>
      </w:pPr>
      <w:r>
        <w:rPr>
          <w:rFonts w:ascii="Arial" w:hAnsi="Arial" w:cs="Arial"/>
        </w:rPr>
        <w:lastRenderedPageBreak/>
        <w:t xml:space="preserve">1. INTRODUCTION </w:t>
      </w:r>
    </w:p>
    <w:p w:rsidR="00BC544B" w:rsidRDefault="00022753">
      <w:pPr>
        <w:jc w:val="both"/>
        <w:rPr>
          <w:rFonts w:ascii="Arial" w:hAnsi="Arial" w:cs="Arial"/>
          <w:b/>
          <w:bCs/>
          <w:color w:val="00B050"/>
        </w:rPr>
      </w:pPr>
      <w:r>
        <w:rPr>
          <w:rFonts w:ascii="Arial" w:hAnsi="Arial" w:cs="Arial"/>
        </w:rPr>
        <w:t xml:space="preserve">Lymphatic </w:t>
      </w:r>
      <w:r>
        <w:rPr>
          <w:rFonts w:ascii="Arial" w:hAnsi="Arial" w:cs="Arial"/>
        </w:rPr>
        <w:t>Filariasis (LF), is a disorder that manly affects human. It is caused by microscopic threadlike worms of the phylum Nematoda</w:t>
      </w:r>
      <w:r>
        <w:rPr>
          <w:rFonts w:ascii="Arial" w:hAnsi="Arial" w:cs="Arial"/>
          <w:i/>
        </w:rPr>
        <w:t xml:space="preserve"> </w:t>
      </w:r>
      <w:r>
        <w:rPr>
          <w:rFonts w:ascii="Arial" w:hAnsi="Arial" w:cs="Arial"/>
        </w:rPr>
        <w:t xml:space="preserve">and transmitted by mosquito vector of the family </w:t>
      </w:r>
      <w:r>
        <w:rPr>
          <w:rFonts w:ascii="Arial" w:hAnsi="Arial" w:cs="Arial"/>
          <w:i/>
        </w:rPr>
        <w:t>Culicidae</w:t>
      </w:r>
      <w:r>
        <w:rPr>
          <w:rFonts w:ascii="Arial" w:hAnsi="Arial" w:cs="Arial"/>
        </w:rPr>
        <w:t xml:space="preserve"> (CDC, 2023). This infection specifically causes damage to the lymphatic </w:t>
      </w:r>
      <w:r>
        <w:rPr>
          <w:rFonts w:ascii="Arial" w:hAnsi="Arial" w:cs="Arial"/>
        </w:rPr>
        <w:t xml:space="preserve">system when the adult parasite occupies the lymphatic tubes and disrupts their function to getting rid of waste and toxins; this congestion of fluid leads to irregular bulging. The parasitic worms, </w:t>
      </w:r>
      <w:r>
        <w:rPr>
          <w:rFonts w:ascii="Arial" w:hAnsi="Arial" w:cs="Arial"/>
          <w:i/>
          <w:iCs/>
        </w:rPr>
        <w:t>Wuchereria bancrofti</w:t>
      </w:r>
      <w:r>
        <w:rPr>
          <w:rFonts w:ascii="Arial" w:hAnsi="Arial" w:cs="Arial"/>
        </w:rPr>
        <w:t xml:space="preserve">, </w:t>
      </w:r>
      <w:r>
        <w:rPr>
          <w:rFonts w:ascii="Arial" w:hAnsi="Arial" w:cs="Arial"/>
          <w:i/>
          <w:iCs/>
        </w:rPr>
        <w:t>Brugia malayi</w:t>
      </w:r>
      <w:r>
        <w:rPr>
          <w:rFonts w:ascii="Arial" w:hAnsi="Arial" w:cs="Arial"/>
        </w:rPr>
        <w:t xml:space="preserve"> and </w:t>
      </w:r>
      <w:r>
        <w:rPr>
          <w:rFonts w:ascii="Arial" w:hAnsi="Arial" w:cs="Arial"/>
          <w:i/>
          <w:iCs/>
        </w:rPr>
        <w:t>Brugia timori</w:t>
      </w:r>
      <w:r>
        <w:rPr>
          <w:rFonts w:ascii="Arial" w:hAnsi="Arial" w:cs="Arial"/>
        </w:rPr>
        <w:t xml:space="preserve"> that</w:t>
      </w:r>
      <w:r>
        <w:rPr>
          <w:rFonts w:ascii="Arial" w:hAnsi="Arial" w:cs="Arial"/>
        </w:rPr>
        <w:t xml:space="preserve"> causes </w:t>
      </w:r>
      <w:r>
        <w:rPr>
          <w:rFonts w:ascii="Arial" w:hAnsi="Arial" w:cs="Arial"/>
          <w:i/>
        </w:rPr>
        <w:t>Lymphatic filariasis</w:t>
      </w:r>
      <w:r>
        <w:rPr>
          <w:rFonts w:ascii="Arial" w:hAnsi="Arial" w:cs="Arial"/>
        </w:rPr>
        <w:t xml:space="preserve"> are transmitted through bites from different blood-sucking mosquito species; </w:t>
      </w:r>
      <w:r>
        <w:rPr>
          <w:rFonts w:ascii="Arial" w:hAnsi="Arial" w:cs="Arial"/>
          <w:i/>
        </w:rPr>
        <w:t>Culex</w:t>
      </w:r>
      <w:r>
        <w:rPr>
          <w:rFonts w:ascii="Arial" w:hAnsi="Arial" w:cs="Arial"/>
        </w:rPr>
        <w:t xml:space="preserve">, </w:t>
      </w:r>
      <w:r>
        <w:rPr>
          <w:rFonts w:ascii="Arial" w:hAnsi="Arial" w:cs="Arial"/>
          <w:i/>
        </w:rPr>
        <w:t xml:space="preserve">Aedes </w:t>
      </w:r>
      <w:r>
        <w:rPr>
          <w:rFonts w:ascii="Arial" w:hAnsi="Arial" w:cs="Arial"/>
        </w:rPr>
        <w:t xml:space="preserve">and </w:t>
      </w:r>
      <w:r>
        <w:rPr>
          <w:rFonts w:ascii="Arial" w:hAnsi="Arial" w:cs="Arial"/>
          <w:i/>
        </w:rPr>
        <w:t xml:space="preserve">Anopheles </w:t>
      </w:r>
      <w:r>
        <w:rPr>
          <w:rFonts w:ascii="Arial" w:hAnsi="Arial" w:cs="Arial"/>
        </w:rPr>
        <w:t xml:space="preserve">(WHO, 2024) with </w:t>
      </w:r>
      <w:r>
        <w:rPr>
          <w:rFonts w:ascii="Arial" w:hAnsi="Arial" w:cs="Arial"/>
          <w:i/>
        </w:rPr>
        <w:t xml:space="preserve">Culex </w:t>
      </w:r>
      <w:r>
        <w:rPr>
          <w:rFonts w:ascii="Arial" w:hAnsi="Arial" w:cs="Arial"/>
        </w:rPr>
        <w:t xml:space="preserve">and </w:t>
      </w:r>
      <w:r>
        <w:rPr>
          <w:rFonts w:ascii="Arial" w:hAnsi="Arial" w:cs="Arial"/>
          <w:i/>
        </w:rPr>
        <w:t>Anopheles</w:t>
      </w:r>
      <w:r>
        <w:rPr>
          <w:rFonts w:ascii="Arial" w:hAnsi="Arial" w:cs="Arial"/>
        </w:rPr>
        <w:t xml:space="preserve"> being most widely spread in rural and semi-urban areas in Sub- Saharan Africa (Mzilaho</w:t>
      </w:r>
      <w:r>
        <w:rPr>
          <w:rFonts w:ascii="Arial" w:hAnsi="Arial" w:cs="Arial"/>
        </w:rPr>
        <w:t xml:space="preserve">wa </w:t>
      </w:r>
      <w:r>
        <w:rPr>
          <w:rFonts w:ascii="Arial" w:hAnsi="Arial" w:cs="Arial"/>
          <w:i/>
        </w:rPr>
        <w:t>et al</w:t>
      </w:r>
      <w:r>
        <w:rPr>
          <w:rFonts w:ascii="Arial" w:hAnsi="Arial" w:cs="Arial"/>
        </w:rPr>
        <w:t>., 2016)</w:t>
      </w:r>
    </w:p>
    <w:p w:rsidR="00BC544B" w:rsidRDefault="00022753">
      <w:pPr>
        <w:jc w:val="both"/>
        <w:rPr>
          <w:rFonts w:ascii="Arial" w:hAnsi="Arial" w:cs="Arial"/>
        </w:rPr>
      </w:pPr>
      <w:r>
        <w:rPr>
          <w:rFonts w:ascii="Arial" w:hAnsi="Arial" w:cs="Arial"/>
        </w:rPr>
        <w:t xml:space="preserve">When infected mosquito bites human, the already developed infective larvae (L3) penetrate the skin into the body, to the lymphatic tubes and mature to adult worms in 8 to 14 months (Farrar </w:t>
      </w:r>
      <w:r>
        <w:rPr>
          <w:rFonts w:ascii="Arial" w:hAnsi="Arial" w:cs="Arial"/>
          <w:i/>
          <w:iCs/>
        </w:rPr>
        <w:t>et al.,</w:t>
      </w:r>
      <w:r>
        <w:rPr>
          <w:rFonts w:ascii="Arial" w:hAnsi="Arial" w:cs="Arial"/>
        </w:rPr>
        <w:t xml:space="preserve"> 2013). The adult worm can exist for as lon</w:t>
      </w:r>
      <w:r>
        <w:rPr>
          <w:rFonts w:ascii="Arial" w:hAnsi="Arial" w:cs="Arial"/>
        </w:rPr>
        <w:t>g as 5years, though some have been found to live up to 8/10years, which mate several times to produce millions of microfilariae that circulate human blood (WHO, 2024). When disease advances to a chronic form, it causes elephantiasis (irregular skin thicken</w:t>
      </w:r>
      <w:r>
        <w:rPr>
          <w:rFonts w:ascii="Arial" w:hAnsi="Arial" w:cs="Arial"/>
        </w:rPr>
        <w:t>ing) that drastically reduce the quality of individual life (Melrose, 2002); swelling of the scrotum mostly in males, and of the tissues which occurs at the acute stage of the infection involving the lymph glands.  A number of the various kinds of manifest</w:t>
      </w:r>
      <w:r>
        <w:rPr>
          <w:rFonts w:ascii="Arial" w:hAnsi="Arial" w:cs="Arial"/>
        </w:rPr>
        <w:t xml:space="preserve">ation come as a consequence of the sensitive responsiveness of the human immune system in defiance to the parasite which in turn brings about a weakened lymphatic drainage and a buildup of interstitial fluid in the tissue called oedema (Nurlaila </w:t>
      </w:r>
      <w:r>
        <w:rPr>
          <w:rFonts w:ascii="Arial" w:hAnsi="Arial" w:cs="Arial"/>
          <w:i/>
          <w:iCs/>
        </w:rPr>
        <w:t>et al</w:t>
      </w:r>
      <w:r>
        <w:rPr>
          <w:rFonts w:ascii="Arial" w:hAnsi="Arial" w:cs="Arial"/>
        </w:rPr>
        <w:t>., 20</w:t>
      </w:r>
      <w:r>
        <w:rPr>
          <w:rFonts w:ascii="Arial" w:hAnsi="Arial" w:cs="Arial"/>
        </w:rPr>
        <w:t xml:space="preserve">22). Lymphoedema disfigures the skin with signs of swelling, roughness and tissue thickening in affected regions (Komoreng </w:t>
      </w:r>
      <w:r>
        <w:rPr>
          <w:rFonts w:ascii="Arial" w:hAnsi="Arial" w:cs="Arial"/>
          <w:i/>
          <w:iCs/>
        </w:rPr>
        <w:t>et al.,</w:t>
      </w:r>
      <w:r>
        <w:rPr>
          <w:rFonts w:ascii="Arial" w:hAnsi="Arial" w:cs="Arial"/>
        </w:rPr>
        <w:t xml:space="preserve"> 2017). Blood analysis with the aid of a microscope to look for the microfilariae is a typical way to diagnose the illness. At</w:t>
      </w:r>
      <w:r>
        <w:rPr>
          <w:rFonts w:ascii="Arial" w:hAnsi="Arial" w:cs="Arial"/>
        </w:rPr>
        <w:t xml:space="preserve"> night, microfilariae are mostly active in the blood stream therefore; blood sample should be collected from the individual at midnight to accord with the presence of the active microfilariae.</w:t>
      </w:r>
    </w:p>
    <w:p w:rsidR="00BC544B" w:rsidRDefault="00022753">
      <w:pPr>
        <w:jc w:val="both"/>
        <w:rPr>
          <w:rFonts w:ascii="Arial" w:hAnsi="Arial" w:cs="Arial"/>
        </w:rPr>
      </w:pPr>
      <w:r>
        <w:rPr>
          <w:rFonts w:ascii="Arial" w:hAnsi="Arial" w:cs="Arial"/>
        </w:rPr>
        <w:t>According to World Health Organization, elimination of Lf</w:t>
      </w:r>
      <w:r>
        <w:rPr>
          <w:rFonts w:ascii="Arial" w:hAnsi="Arial" w:cs="Arial"/>
        </w:rPr>
        <w:t xml:space="preserve"> is by preventive chemotherapy (PC) and morbidity management (Gyapong </w:t>
      </w:r>
      <w:r>
        <w:rPr>
          <w:rFonts w:ascii="Arial" w:hAnsi="Arial" w:cs="Arial"/>
          <w:i/>
        </w:rPr>
        <w:t>et al</w:t>
      </w:r>
      <w:r>
        <w:rPr>
          <w:rFonts w:ascii="Arial" w:hAnsi="Arial" w:cs="Arial"/>
        </w:rPr>
        <w:t>., 2018). PC involves the meddling of different dosages of anti-helminthic drugs; ivermectin, albendazole and diethylcarbamazine (DEC) to disease-prone individuals. From year 2000 t</w:t>
      </w:r>
      <w:r>
        <w:rPr>
          <w:rFonts w:ascii="Arial" w:hAnsi="Arial" w:cs="Arial"/>
        </w:rPr>
        <w:t>o 2023, 9.7 billion cumulative treatments were delivered to more than 943 million people in at least 71 countries considerably reducing transmission in any places (WHO, 2024). These drugs are very effective in countering the microfilariae activities in the</w:t>
      </w:r>
      <w:r>
        <w:rPr>
          <w:rFonts w:ascii="Arial" w:hAnsi="Arial" w:cs="Arial"/>
        </w:rPr>
        <w:t xml:space="preserve"> blood but has minor influence on the mature worm (Melrose, 2002; katiyar and Singh, 2011; Ballesteros </w:t>
      </w:r>
      <w:r>
        <w:rPr>
          <w:rFonts w:ascii="Arial" w:hAnsi="Arial" w:cs="Arial"/>
          <w:i/>
          <w:iCs/>
        </w:rPr>
        <w:t>et al.,</w:t>
      </w:r>
      <w:r>
        <w:rPr>
          <w:rFonts w:ascii="Arial" w:hAnsi="Arial" w:cs="Arial"/>
        </w:rPr>
        <w:t xml:space="preserve"> 2016; WHO, 2024). This strategy was successful in reducing a high rate of the global infection from 120million individuals in 1997 to 56million i</w:t>
      </w:r>
      <w:r>
        <w:rPr>
          <w:rFonts w:ascii="Arial" w:hAnsi="Arial" w:cs="Arial"/>
        </w:rPr>
        <w:t xml:space="preserve">ndividuals in 2017 (WHO, 2020). </w:t>
      </w:r>
    </w:p>
    <w:p w:rsidR="00BC544B" w:rsidRDefault="00022753">
      <w:pPr>
        <w:jc w:val="both"/>
        <w:rPr>
          <w:rFonts w:ascii="Arial" w:hAnsi="Arial" w:cs="Arial"/>
        </w:rPr>
      </w:pPr>
      <w:r>
        <w:rPr>
          <w:rFonts w:ascii="Arial" w:hAnsi="Arial" w:cs="Arial"/>
        </w:rPr>
        <w:t xml:space="preserve">Nigeria is the most </w:t>
      </w:r>
      <w:r>
        <w:rPr>
          <w:rFonts w:ascii="Arial" w:hAnsi="Arial" w:cs="Arial"/>
          <w:iCs/>
        </w:rPr>
        <w:t xml:space="preserve">Lymphatic filariasis </w:t>
      </w:r>
      <w:r>
        <w:rPr>
          <w:rFonts w:ascii="Arial" w:hAnsi="Arial" w:cs="Arial"/>
        </w:rPr>
        <w:t xml:space="preserve">– endemic African country with estimated 134 million individuals at risk (Hotez </w:t>
      </w:r>
      <w:r>
        <w:rPr>
          <w:rFonts w:ascii="Arial" w:hAnsi="Arial" w:cs="Arial"/>
          <w:i/>
          <w:iCs/>
        </w:rPr>
        <w:t>et al</w:t>
      </w:r>
      <w:r>
        <w:rPr>
          <w:rFonts w:ascii="Arial" w:hAnsi="Arial" w:cs="Arial"/>
        </w:rPr>
        <w:t xml:space="preserve">., 2012; Amanyi-Enegela </w:t>
      </w:r>
      <w:r>
        <w:rPr>
          <w:rFonts w:ascii="Arial" w:hAnsi="Arial" w:cs="Arial"/>
          <w:i/>
        </w:rPr>
        <w:t>et al</w:t>
      </w:r>
      <w:r>
        <w:rPr>
          <w:rFonts w:ascii="Arial" w:hAnsi="Arial" w:cs="Arial"/>
        </w:rPr>
        <w:t xml:space="preserve">., 2022). In Nigeria, bites from </w:t>
      </w:r>
      <w:r>
        <w:rPr>
          <w:rFonts w:ascii="Arial" w:hAnsi="Arial" w:cs="Arial"/>
          <w:i/>
        </w:rPr>
        <w:t>Culex</w:t>
      </w:r>
      <w:r>
        <w:rPr>
          <w:rFonts w:ascii="Arial" w:hAnsi="Arial" w:cs="Arial"/>
        </w:rPr>
        <w:t xml:space="preserve"> and </w:t>
      </w:r>
      <w:r>
        <w:rPr>
          <w:rFonts w:ascii="Arial" w:hAnsi="Arial" w:cs="Arial"/>
          <w:i/>
        </w:rPr>
        <w:t>Anopheles</w:t>
      </w:r>
      <w:r>
        <w:rPr>
          <w:rFonts w:ascii="Arial" w:hAnsi="Arial" w:cs="Arial"/>
        </w:rPr>
        <w:t xml:space="preserve"> mosquito are th</w:t>
      </w:r>
      <w:r>
        <w:rPr>
          <w:rFonts w:ascii="Arial" w:hAnsi="Arial" w:cs="Arial"/>
        </w:rPr>
        <w:t xml:space="preserve">e channel of transmission (Manyi </w:t>
      </w:r>
      <w:r>
        <w:rPr>
          <w:rFonts w:ascii="Arial" w:hAnsi="Arial" w:cs="Arial"/>
          <w:i/>
          <w:iCs/>
        </w:rPr>
        <w:t>et al</w:t>
      </w:r>
      <w:r>
        <w:rPr>
          <w:rFonts w:ascii="Arial" w:hAnsi="Arial" w:cs="Arial"/>
        </w:rPr>
        <w:t>., 2014). In some localities, 5% of women can have swollen limbs and about 50% of men have hydrocoele (FMOH, 2013). Lymphatic filariasis remains a worrying plague in societies as it imposes social strain and distress o</w:t>
      </w:r>
      <w:r>
        <w:rPr>
          <w:rFonts w:ascii="Arial" w:hAnsi="Arial" w:cs="Arial"/>
        </w:rPr>
        <w:t xml:space="preserve">n its victims. It is most predominant in rural villages where poverty rate is to a high percentage (Upadhyayula </w:t>
      </w:r>
      <w:r>
        <w:rPr>
          <w:rFonts w:ascii="Arial" w:hAnsi="Arial" w:cs="Arial"/>
          <w:i/>
          <w:iCs/>
        </w:rPr>
        <w:t>et al.,</w:t>
      </w:r>
      <w:r>
        <w:rPr>
          <w:rFonts w:ascii="Arial" w:hAnsi="Arial" w:cs="Arial"/>
        </w:rPr>
        <w:t>2012).</w:t>
      </w:r>
    </w:p>
    <w:p w:rsidR="00BC544B" w:rsidRDefault="00022753">
      <w:pPr>
        <w:pStyle w:val="Body"/>
        <w:spacing w:after="0"/>
        <w:rPr>
          <w:rFonts w:ascii="Arial" w:hAnsi="Arial" w:cs="Arial"/>
          <w:noProof/>
        </w:rPr>
      </w:pPr>
      <w:r>
        <w:rPr>
          <w:rFonts w:ascii="Arial" w:hAnsi="Arial" w:cs="Arial"/>
          <w:noProof/>
        </w:rPr>
        <w:t>With the few findings from different populations across Nigeria, there are endemic communities in southwestern Nigeria, and curren</w:t>
      </w:r>
      <w:r>
        <w:rPr>
          <w:rFonts w:ascii="Arial" w:hAnsi="Arial" w:cs="Arial"/>
          <w:noProof/>
        </w:rPr>
        <w:t xml:space="preserve">tly, no data on the endemicity and economic burden of Lymphatic filariasis in Akoko, Ondo State. Disease monitoring in endemic areas is key to effective management and control, to provide updates and information on disease prevalence, social, economic and </w:t>
      </w:r>
      <w:r>
        <w:rPr>
          <w:rFonts w:ascii="Arial" w:hAnsi="Arial" w:cs="Arial"/>
          <w:noProof/>
        </w:rPr>
        <w:t>public health impacts. This research therefore assessed the prevalence, associated morbidities and socio-economic impact of Lymphatic filariasis in Akoko-southwest local government area of Ondo state</w:t>
      </w:r>
    </w:p>
    <w:p w:rsidR="00BC544B" w:rsidRDefault="00BC544B">
      <w:pPr>
        <w:pStyle w:val="Body"/>
        <w:spacing w:after="0"/>
        <w:rPr>
          <w:rFonts w:ascii="Arial" w:hAnsi="Arial" w:cs="Arial"/>
          <w:noProof/>
        </w:rPr>
      </w:pPr>
    </w:p>
    <w:p w:rsidR="00BC544B" w:rsidRDefault="00BC544B">
      <w:pPr>
        <w:pStyle w:val="Body"/>
        <w:spacing w:after="0"/>
        <w:rPr>
          <w:rFonts w:ascii="Arial" w:hAnsi="Arial" w:cs="Arial"/>
        </w:rPr>
      </w:pPr>
    </w:p>
    <w:p w:rsidR="00BC544B" w:rsidRDefault="00022753">
      <w:pPr>
        <w:pStyle w:val="AbstHead"/>
        <w:spacing w:after="0"/>
        <w:jc w:val="both"/>
        <w:rPr>
          <w:rFonts w:ascii="Arial" w:hAnsi="Arial" w:cs="Arial"/>
        </w:rPr>
      </w:pPr>
      <w:r>
        <w:rPr>
          <w:rFonts w:ascii="Arial" w:hAnsi="Arial" w:cs="Arial"/>
        </w:rPr>
        <w:t>2. methoDOLOGY</w:t>
      </w:r>
    </w:p>
    <w:p w:rsidR="00BC544B" w:rsidRDefault="00022753">
      <w:pPr>
        <w:spacing w:line="276" w:lineRule="auto"/>
        <w:jc w:val="both"/>
        <w:rPr>
          <w:rFonts w:ascii="Arial" w:hAnsi="Arial" w:cs="Arial"/>
          <w:b/>
          <w:sz w:val="22"/>
          <w:szCs w:val="22"/>
        </w:rPr>
      </w:pPr>
      <w:r>
        <w:rPr>
          <w:rFonts w:ascii="Arial" w:hAnsi="Arial" w:cs="Arial"/>
          <w:b/>
          <w:bCs/>
          <w:sz w:val="22"/>
          <w:szCs w:val="22"/>
        </w:rPr>
        <w:t>2.1</w:t>
      </w:r>
      <w:r>
        <w:rPr>
          <w:rFonts w:ascii="Arial" w:hAnsi="Arial" w:cs="Arial"/>
          <w:sz w:val="22"/>
          <w:szCs w:val="22"/>
        </w:rPr>
        <w:t xml:space="preserve">. </w:t>
      </w:r>
      <w:r>
        <w:rPr>
          <w:rFonts w:ascii="Arial" w:hAnsi="Arial" w:cs="Arial"/>
          <w:b/>
          <w:sz w:val="22"/>
          <w:szCs w:val="22"/>
        </w:rPr>
        <w:t>Study Area</w:t>
      </w:r>
    </w:p>
    <w:p w:rsidR="00BC544B" w:rsidRDefault="00022753">
      <w:pPr>
        <w:spacing w:line="276" w:lineRule="auto"/>
        <w:jc w:val="both"/>
        <w:rPr>
          <w:rFonts w:ascii="Times New Roman" w:hAnsi="Times New Roman"/>
          <w:sz w:val="24"/>
          <w:szCs w:val="24"/>
        </w:rPr>
      </w:pPr>
      <w:r>
        <w:rPr>
          <w:rFonts w:ascii="Arial" w:hAnsi="Arial" w:cs="Arial"/>
        </w:rPr>
        <w:t>The study was conducted</w:t>
      </w:r>
      <w:r>
        <w:rPr>
          <w:rFonts w:ascii="Arial" w:hAnsi="Arial" w:cs="Arial"/>
        </w:rPr>
        <w:t xml:space="preserve"> in four areas: Ugbegun (7°26’34.7" N 5°35’43.8" E), Supare (7°26’55.1" N 5°41’9.9"E), Oba (7°22’16.7" N 5°43’25.4"E) and Agba Oke-Oka (7°28’14.1" N 5°48’14"E) of Akoko South West Local Government Area (LGA), Ondo state, Nigeria (Fig.1). Akoko Southwest is</w:t>
      </w:r>
      <w:r>
        <w:rPr>
          <w:rFonts w:ascii="Arial" w:hAnsi="Arial" w:cs="Arial"/>
        </w:rPr>
        <w:t xml:space="preserve"> a tropical rain forest biome whose coordinates lies between Latitude 7°22’50.38" N and Longitude 5°40’ 0.59" E with elevation ranging between 322m and 570m. The major occupation of inhabitants includes farming, artisanship and trading</w:t>
      </w:r>
      <w:r>
        <w:rPr>
          <w:rFonts w:ascii="Times New Roman" w:hAnsi="Times New Roman"/>
          <w:sz w:val="24"/>
          <w:szCs w:val="24"/>
        </w:rPr>
        <w:t xml:space="preserve">. </w:t>
      </w:r>
    </w:p>
    <w:p w:rsidR="00BC544B" w:rsidRDefault="00BC544B">
      <w:pPr>
        <w:pStyle w:val="AbstHead"/>
        <w:spacing w:after="0"/>
        <w:jc w:val="both"/>
        <w:rPr>
          <w:rFonts w:ascii="Arial" w:hAnsi="Arial" w:cs="Arial"/>
        </w:rPr>
      </w:pPr>
    </w:p>
    <w:p w:rsidR="00BC544B" w:rsidRDefault="00022753">
      <w:pPr>
        <w:pStyle w:val="AbstHead"/>
        <w:spacing w:after="0"/>
        <w:jc w:val="both"/>
        <w:rPr>
          <w:rFonts w:ascii="Arial" w:hAnsi="Arial" w:cs="Arial"/>
        </w:rPr>
      </w:pPr>
      <w:r>
        <w:rPr>
          <w:noProof/>
        </w:rPr>
        <w:drawing>
          <wp:inline distT="0" distB="0" distL="0" distR="0">
            <wp:extent cx="4127500" cy="2292350"/>
            <wp:effectExtent l="0" t="0" r="6350" b="0"/>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cstate="print"/>
                    <a:srcRect/>
                    <a:stretch/>
                  </pic:blipFill>
                  <pic:spPr>
                    <a:xfrm>
                      <a:off x="0" y="0"/>
                      <a:ext cx="4127500" cy="2292350"/>
                    </a:xfrm>
                    <a:prstGeom prst="rect">
                      <a:avLst/>
                    </a:prstGeom>
                  </pic:spPr>
                </pic:pic>
              </a:graphicData>
            </a:graphic>
          </wp:inline>
        </w:drawing>
      </w:r>
      <w:r>
        <w:rPr>
          <w:noProof/>
        </w:rPr>
        <w:drawing>
          <wp:inline distT="0" distB="0" distL="0" distR="0">
            <wp:extent cx="901700" cy="717550"/>
            <wp:effectExtent l="0" t="0" r="0" b="635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srcRect/>
                    <a:stretch/>
                  </pic:blipFill>
                  <pic:spPr>
                    <a:xfrm>
                      <a:off x="0" y="0"/>
                      <a:ext cx="901700" cy="717550"/>
                    </a:xfrm>
                    <a:prstGeom prst="rect">
                      <a:avLst/>
                    </a:prstGeom>
                  </pic:spPr>
                </pic:pic>
              </a:graphicData>
            </a:graphic>
          </wp:inline>
        </w:drawing>
      </w:r>
    </w:p>
    <w:p w:rsidR="00BC544B" w:rsidRDefault="00BC544B">
      <w:pPr>
        <w:pStyle w:val="Body"/>
        <w:spacing w:after="0"/>
        <w:rPr>
          <w:rFonts w:ascii="Arial" w:hAnsi="Arial" w:cs="Arial"/>
        </w:rPr>
      </w:pPr>
    </w:p>
    <w:p w:rsidR="00BC544B" w:rsidRDefault="00022753">
      <w:pPr>
        <w:pStyle w:val="Body"/>
        <w:spacing w:after="0"/>
        <w:rPr>
          <w:rFonts w:ascii="Arial" w:hAnsi="Arial" w:cs="Arial"/>
        </w:rPr>
      </w:pPr>
      <w:r>
        <w:rPr>
          <w:rFonts w:ascii="Arial" w:hAnsi="Arial" w:cs="Arial"/>
        </w:rPr>
        <w:t>Fig.1: Map of</w:t>
      </w:r>
      <w:r>
        <w:rPr>
          <w:rFonts w:ascii="Arial" w:hAnsi="Arial" w:cs="Arial"/>
        </w:rPr>
        <w:t xml:space="preserve"> study area in Akoko Southwest LGA of Ondo State Nigeria. The map was created using primary data collected by authors during sampling with GPS GARMI ETREX 10 and developed with ARC GISv10</w:t>
      </w:r>
    </w:p>
    <w:p w:rsidR="00BC544B" w:rsidRDefault="00BC544B">
      <w:pPr>
        <w:pStyle w:val="Body"/>
        <w:spacing w:after="0"/>
        <w:rPr>
          <w:rFonts w:ascii="Arial" w:hAnsi="Arial" w:cs="Arial"/>
        </w:rPr>
      </w:pPr>
    </w:p>
    <w:p w:rsidR="00BC544B" w:rsidRDefault="00022753">
      <w:pPr>
        <w:spacing w:line="276" w:lineRule="auto"/>
        <w:jc w:val="both"/>
        <w:rPr>
          <w:rFonts w:ascii="Arial" w:hAnsi="Arial" w:cs="Arial"/>
          <w:b/>
        </w:rPr>
      </w:pPr>
      <w:r>
        <w:rPr>
          <w:rFonts w:ascii="Arial" w:hAnsi="Arial" w:cs="Arial"/>
          <w:b/>
        </w:rPr>
        <w:t xml:space="preserve">2.2. Study Design and Sampling </w:t>
      </w:r>
    </w:p>
    <w:p w:rsidR="00BC544B" w:rsidRDefault="00022753">
      <w:pPr>
        <w:spacing w:line="276" w:lineRule="auto"/>
        <w:jc w:val="both"/>
        <w:rPr>
          <w:rFonts w:ascii="Arial" w:hAnsi="Arial" w:cs="Arial"/>
        </w:rPr>
      </w:pPr>
      <w:r>
        <w:rPr>
          <w:rFonts w:ascii="Arial" w:hAnsi="Arial" w:cs="Arial"/>
        </w:rPr>
        <w:t xml:space="preserve">This study was a cross-sectional </w:t>
      </w:r>
      <w:r>
        <w:rPr>
          <w:rFonts w:ascii="Arial" w:hAnsi="Arial" w:cs="Arial"/>
        </w:rPr>
        <w:t>survey. Random sampling was employed in recruiting participants in the study area. Participants were recruited in each community with the assistance of each community leader and the primary health care development agency. The former called community meetin</w:t>
      </w:r>
      <w:r>
        <w:rPr>
          <w:rFonts w:ascii="Arial" w:hAnsi="Arial" w:cs="Arial"/>
        </w:rPr>
        <w:t>gs and the latter moderated the sampling. Structured questionnaire was administered to obtain participants demographic information using local dialect for proper understanding by the respondents; and specific interview to evaluate impact of LF on quality o</w:t>
      </w:r>
      <w:r>
        <w:rPr>
          <w:rFonts w:ascii="Arial" w:hAnsi="Arial" w:cs="Arial"/>
        </w:rPr>
        <w:t>f life (LFSQQ) which covers financial burden, mobility, self-care, dependent on others, access to education, pain/discomfort, psychological and social involvement. Children less than 3 years of age and persons who were not resident and had not spent at lea</w:t>
      </w:r>
      <w:r>
        <w:rPr>
          <w:rFonts w:ascii="Arial" w:hAnsi="Arial" w:cs="Arial"/>
        </w:rPr>
        <w:t>st 3 years in the communities were excluded from the study. After sensitization, a total of One hundred and forty-nine (males = 71; females = 78) participants consented formally to participate and were recruited for the study.</w:t>
      </w:r>
    </w:p>
    <w:p w:rsidR="00BC544B" w:rsidRDefault="00BC544B">
      <w:pPr>
        <w:spacing w:line="276" w:lineRule="auto"/>
        <w:jc w:val="both"/>
        <w:rPr>
          <w:rFonts w:ascii="Arial" w:hAnsi="Arial" w:cs="Arial"/>
        </w:rPr>
      </w:pPr>
    </w:p>
    <w:p w:rsidR="00BC544B" w:rsidRDefault="00BC544B">
      <w:pPr>
        <w:spacing w:line="276" w:lineRule="auto"/>
        <w:jc w:val="both"/>
        <w:rPr>
          <w:rFonts w:ascii="Arial" w:hAnsi="Arial" w:cs="Arial"/>
        </w:rPr>
      </w:pPr>
      <w:bookmarkStart w:id="0" w:name="_GoBack"/>
      <w:bookmarkEnd w:id="0"/>
    </w:p>
    <w:p w:rsidR="00BC544B" w:rsidRDefault="00022753">
      <w:pPr>
        <w:spacing w:line="276" w:lineRule="auto"/>
        <w:jc w:val="both"/>
        <w:rPr>
          <w:rFonts w:ascii="Arial" w:hAnsi="Arial" w:cs="Arial"/>
          <w:b/>
        </w:rPr>
      </w:pPr>
      <w:r>
        <w:rPr>
          <w:rFonts w:ascii="Arial" w:hAnsi="Arial" w:cs="Arial"/>
          <w:b/>
        </w:rPr>
        <w:t>2.</w:t>
      </w:r>
      <w:r w:rsidR="003D160D">
        <w:rPr>
          <w:rFonts w:ascii="Arial" w:hAnsi="Arial" w:cs="Arial"/>
          <w:b/>
        </w:rPr>
        <w:t>3</w:t>
      </w:r>
      <w:r>
        <w:rPr>
          <w:rFonts w:ascii="Arial" w:hAnsi="Arial" w:cs="Arial"/>
          <w:b/>
        </w:rPr>
        <w:t>. Collection of Blood Samples and Analysis</w:t>
      </w:r>
    </w:p>
    <w:p w:rsidR="00BC544B" w:rsidRDefault="00022753">
      <w:pPr>
        <w:spacing w:line="276" w:lineRule="auto"/>
        <w:jc w:val="both"/>
        <w:rPr>
          <w:rFonts w:ascii="Arial" w:hAnsi="Arial" w:cs="Arial"/>
        </w:rPr>
      </w:pPr>
      <w:r>
        <w:rPr>
          <w:rFonts w:ascii="Arial" w:hAnsi="Arial" w:cs="Arial"/>
        </w:rPr>
        <w:t>Blood samples were collected for parasitological examination of microfilariae. About 2ml of blood was collected by venipuncture into an EDTA bottle. A sterile pipette was used to place a drop of the blood on a sterile microscope slide using thick-smear tec</w:t>
      </w:r>
      <w:r>
        <w:rPr>
          <w:rFonts w:ascii="Arial" w:hAnsi="Arial" w:cs="Arial"/>
        </w:rPr>
        <w:t>hnique. The blood sample was collected from each participant at night between 11p.m and 2 a.m. This was allowed to air-dry and then fixed with Ethanol. The smear was flooded with 10% Giemsa for 45minutes and washed under running tap water. The slide was al</w:t>
      </w:r>
      <w:r>
        <w:rPr>
          <w:rFonts w:ascii="Arial" w:hAnsi="Arial" w:cs="Arial"/>
        </w:rPr>
        <w:t xml:space="preserve">lowed to drain and air-dry afterwards. Slides were viewed under ×100 oil immersion objective lens of microscope to observe and detect the presence of microfilariae (CDC, 2020). </w:t>
      </w:r>
    </w:p>
    <w:p w:rsidR="00BC544B" w:rsidRDefault="00BC544B">
      <w:pPr>
        <w:spacing w:line="276" w:lineRule="auto"/>
        <w:jc w:val="both"/>
        <w:rPr>
          <w:rFonts w:ascii="Arial" w:hAnsi="Arial" w:cs="Arial"/>
        </w:rPr>
      </w:pPr>
    </w:p>
    <w:p w:rsidR="00BC544B" w:rsidRDefault="00022753">
      <w:pPr>
        <w:spacing w:line="276" w:lineRule="auto"/>
        <w:jc w:val="both"/>
        <w:rPr>
          <w:rFonts w:ascii="Arial" w:hAnsi="Arial" w:cs="Arial"/>
          <w:b/>
        </w:rPr>
      </w:pPr>
      <w:r>
        <w:rPr>
          <w:rFonts w:ascii="Arial" w:hAnsi="Arial" w:cs="Arial"/>
          <w:b/>
        </w:rPr>
        <w:t>2.</w:t>
      </w:r>
      <w:r w:rsidR="003D160D">
        <w:rPr>
          <w:rFonts w:ascii="Arial" w:hAnsi="Arial" w:cs="Arial"/>
          <w:b/>
        </w:rPr>
        <w:t>4</w:t>
      </w:r>
      <w:r>
        <w:rPr>
          <w:rFonts w:ascii="Arial" w:hAnsi="Arial" w:cs="Arial"/>
          <w:b/>
        </w:rPr>
        <w:t>. ABO Blood grouping</w:t>
      </w:r>
    </w:p>
    <w:p w:rsidR="00BC544B" w:rsidRDefault="00022753">
      <w:pPr>
        <w:spacing w:line="276" w:lineRule="auto"/>
        <w:jc w:val="both"/>
        <w:rPr>
          <w:rFonts w:ascii="Arial" w:hAnsi="Arial" w:cs="Arial"/>
        </w:rPr>
      </w:pPr>
      <w:r>
        <w:rPr>
          <w:rFonts w:ascii="Arial" w:hAnsi="Arial" w:cs="Arial"/>
        </w:rPr>
        <w:t>The ABO blood group of each participant was determine</w:t>
      </w:r>
      <w:r>
        <w:rPr>
          <w:rFonts w:ascii="Arial" w:hAnsi="Arial" w:cs="Arial"/>
        </w:rPr>
        <w:t>d using cell grouping Antisera (A, B, and D). Three (3) drops of each participant blood sample is placed on separate points on a sterile white tile divided into four (4) cells. A drop of antisera A, B and D were placed beside the blood and thoroughly mixed</w:t>
      </w:r>
      <w:r>
        <w:rPr>
          <w:rFonts w:ascii="Arial" w:hAnsi="Arial" w:cs="Arial"/>
        </w:rPr>
        <w:t xml:space="preserve"> to obtain a homogenous mixture with the aid of a sterile rod and the tile was rocked gently to ensure uniform mixing. The mixtures were carefully observed to determine blood group by the presence of agglutination or not. Antiserum D was used to determine </w:t>
      </w:r>
      <w:r>
        <w:rPr>
          <w:rFonts w:ascii="Arial" w:hAnsi="Arial" w:cs="Arial"/>
        </w:rPr>
        <w:t xml:space="preserve">the Rhesus factor. Finally, the blood samples of respondents were grouped based on these observation and </w:t>
      </w:r>
      <w:r>
        <w:rPr>
          <w:rFonts w:ascii="Arial" w:hAnsi="Arial" w:cs="Arial"/>
        </w:rPr>
        <w:lastRenderedPageBreak/>
        <w:t xml:space="preserve">confirmation into blood group A+, A-, B+, B-, AB+, AB-, O+ and O- (Itansanmi-Ogundayomi and Elemu A, 2023). </w:t>
      </w:r>
    </w:p>
    <w:p w:rsidR="00BC544B" w:rsidRDefault="00BC544B">
      <w:pPr>
        <w:spacing w:line="276" w:lineRule="auto"/>
        <w:jc w:val="both"/>
        <w:rPr>
          <w:rFonts w:ascii="Arial" w:hAnsi="Arial" w:cs="Arial"/>
        </w:rPr>
      </w:pPr>
    </w:p>
    <w:p w:rsidR="00BC544B" w:rsidRDefault="00022753">
      <w:pPr>
        <w:spacing w:line="276" w:lineRule="auto"/>
        <w:jc w:val="both"/>
        <w:rPr>
          <w:rFonts w:ascii="Arial" w:hAnsi="Arial" w:cs="Arial"/>
          <w:b/>
          <w:bCs/>
        </w:rPr>
      </w:pPr>
      <w:r>
        <w:rPr>
          <w:rFonts w:ascii="Arial" w:hAnsi="Arial" w:cs="Arial"/>
          <w:b/>
          <w:bCs/>
        </w:rPr>
        <w:t>2.</w:t>
      </w:r>
      <w:r w:rsidR="003D160D">
        <w:rPr>
          <w:rFonts w:ascii="Arial" w:hAnsi="Arial" w:cs="Arial"/>
          <w:b/>
          <w:bCs/>
        </w:rPr>
        <w:t>5</w:t>
      </w:r>
      <w:r>
        <w:rPr>
          <w:rFonts w:ascii="Arial" w:hAnsi="Arial" w:cs="Arial"/>
          <w:b/>
          <w:bCs/>
        </w:rPr>
        <w:t>. Data Analysis</w:t>
      </w:r>
    </w:p>
    <w:p w:rsidR="00BC544B" w:rsidRDefault="00022753">
      <w:pPr>
        <w:jc w:val="both"/>
        <w:rPr>
          <w:rFonts w:ascii="Arial" w:hAnsi="Arial" w:cs="Arial"/>
        </w:rPr>
      </w:pPr>
      <w:r>
        <w:rPr>
          <w:rFonts w:ascii="Arial" w:hAnsi="Arial" w:cs="Arial"/>
        </w:rPr>
        <w:t>Data obtained were ana</w:t>
      </w:r>
      <w:r>
        <w:rPr>
          <w:rFonts w:ascii="Arial" w:hAnsi="Arial" w:cs="Arial"/>
        </w:rPr>
        <w:t>lyzed using the Statistical Package for Social Sciences (SPSS) version 22. Prevalence was calculated and descriptive statistics including frequencies and percentages was used. Associations between variables such as age-group, blood group and gender were as</w:t>
      </w:r>
      <w:r>
        <w:rPr>
          <w:rFonts w:ascii="Arial" w:hAnsi="Arial" w:cs="Arial"/>
        </w:rPr>
        <w:t>certained using Pearson chi-square with confidence interval set at p ≤ 0.05.</w:t>
      </w:r>
    </w:p>
    <w:p w:rsidR="00BC544B" w:rsidRDefault="00BC544B">
      <w:pPr>
        <w:pStyle w:val="Body"/>
        <w:spacing w:after="0"/>
        <w:rPr>
          <w:rFonts w:ascii="Arial" w:hAnsi="Arial" w:cs="Arial"/>
          <w:sz w:val="16"/>
          <w:szCs w:val="16"/>
        </w:rPr>
      </w:pPr>
    </w:p>
    <w:p w:rsidR="00BC544B" w:rsidRDefault="00BC544B">
      <w:pPr>
        <w:pStyle w:val="Body"/>
        <w:spacing w:after="0"/>
        <w:rPr>
          <w:rFonts w:ascii="Arial" w:hAnsi="Arial" w:cs="Arial"/>
          <w:sz w:val="16"/>
          <w:szCs w:val="16"/>
        </w:rPr>
      </w:pPr>
    </w:p>
    <w:p w:rsidR="00BC544B" w:rsidRDefault="00022753">
      <w:pPr>
        <w:pStyle w:val="Head1"/>
        <w:spacing w:after="0"/>
        <w:jc w:val="both"/>
        <w:rPr>
          <w:rFonts w:ascii="Arial" w:hAnsi="Arial" w:cs="Arial"/>
          <w:szCs w:val="22"/>
        </w:rPr>
      </w:pPr>
      <w:r>
        <w:rPr>
          <w:rFonts w:ascii="Arial" w:hAnsi="Arial" w:cs="Arial"/>
          <w:szCs w:val="22"/>
        </w:rPr>
        <w:t>3. Results &amp; Discussion</w:t>
      </w:r>
    </w:p>
    <w:p w:rsidR="00BC544B" w:rsidRDefault="00022753">
      <w:pPr>
        <w:jc w:val="both"/>
        <w:rPr>
          <w:rFonts w:ascii="Arial" w:hAnsi="Arial" w:cs="Arial"/>
        </w:rPr>
      </w:pPr>
      <w:r>
        <w:rPr>
          <w:rFonts w:ascii="Arial" w:hAnsi="Arial" w:cs="Arial"/>
        </w:rPr>
        <w:t xml:space="preserve">By demographics, 71 (47.6%) of the participants were males and 78 (52.3%) were females. An overall prevalence of 22.1% was recorded for </w:t>
      </w:r>
      <w:r>
        <w:rPr>
          <w:rFonts w:ascii="Arial" w:hAnsi="Arial" w:cs="Arial"/>
          <w:i/>
        </w:rPr>
        <w:t>Lymphatic filaria</w:t>
      </w:r>
      <w:r>
        <w:rPr>
          <w:rFonts w:ascii="Arial" w:hAnsi="Arial" w:cs="Arial"/>
          <w:i/>
        </w:rPr>
        <w:t>sis</w:t>
      </w:r>
      <w:r>
        <w:rPr>
          <w:rFonts w:ascii="Arial" w:hAnsi="Arial" w:cs="Arial"/>
        </w:rPr>
        <w:t xml:space="preserve"> in the studied communities. Prevalence by age groups (Fig.4) shows the distribution of Lymphatic filariasis among age-groups in the study population. Prevalence was higher among</w:t>
      </w:r>
      <w:r>
        <w:rPr>
          <w:rFonts w:ascii="Arial" w:hAnsi="Arial" w:cs="Arial"/>
          <w:iCs/>
        </w:rPr>
        <w:t xml:space="preserve"> age-group 55 years and above (42%), while infection was equally distribute</w:t>
      </w:r>
      <w:r>
        <w:rPr>
          <w:rFonts w:ascii="Arial" w:hAnsi="Arial" w:cs="Arial"/>
          <w:iCs/>
        </w:rPr>
        <w:t xml:space="preserve">d across age-group 3-14 and 15-24 years respectively (15%). </w:t>
      </w:r>
      <w:r>
        <w:rPr>
          <w:rFonts w:ascii="Arial" w:hAnsi="Arial" w:cs="Arial"/>
        </w:rPr>
        <w:t xml:space="preserve">By blood group association with disease epidemiology, prevalence of Lymphatic filariasis was high in Blood Group O </w:t>
      </w:r>
      <w:r>
        <w:rPr>
          <w:rFonts w:ascii="Arial" w:hAnsi="Arial" w:cs="Arial"/>
          <w:iCs/>
        </w:rPr>
        <w:t xml:space="preserve">(20.5%) </w:t>
      </w:r>
      <w:r>
        <w:rPr>
          <w:rFonts w:ascii="Arial" w:hAnsi="Arial" w:cs="Arial"/>
        </w:rPr>
        <w:t xml:space="preserve">and Rhesus positive (Rh+) individuals (Fig.5) but Rh- individuals </w:t>
      </w:r>
      <w:r>
        <w:rPr>
          <w:rFonts w:ascii="Arial" w:hAnsi="Arial" w:cs="Arial"/>
          <w:iCs/>
        </w:rPr>
        <w:t>were le</w:t>
      </w:r>
      <w:r>
        <w:rPr>
          <w:rFonts w:ascii="Arial" w:hAnsi="Arial" w:cs="Arial"/>
          <w:iCs/>
        </w:rPr>
        <w:t>ss susceptible (9.1%)</w:t>
      </w:r>
      <w:r>
        <w:rPr>
          <w:rFonts w:ascii="Arial" w:hAnsi="Arial" w:cs="Arial"/>
        </w:rPr>
        <w:t xml:space="preserve">. Although no significant relationship exists between infection and blood group </w:t>
      </w:r>
      <w:r>
        <w:rPr>
          <w:rFonts w:ascii="Arial" w:hAnsi="Arial" w:cs="Arial"/>
          <w:iCs/>
        </w:rPr>
        <w:t>(p&gt;0.05). B</w:t>
      </w:r>
      <w:r>
        <w:rPr>
          <w:rFonts w:ascii="Arial" w:hAnsi="Arial" w:cs="Arial"/>
        </w:rPr>
        <w:t>y settlement (Fig.8),</w:t>
      </w:r>
      <w:r>
        <w:rPr>
          <w:rFonts w:ascii="Arial" w:hAnsi="Arial" w:cs="Arial"/>
          <w:iCs/>
        </w:rPr>
        <w:t xml:space="preserve"> significant statistical relationship exists between infection and study communities </w:t>
      </w:r>
      <w:r>
        <w:rPr>
          <w:rFonts w:ascii="Arial" w:hAnsi="Arial" w:cs="Arial"/>
        </w:rPr>
        <w:t>(</w:t>
      </w:r>
      <w:r>
        <w:rPr>
          <w:rFonts w:ascii="Arial" w:hAnsi="Arial" w:cs="Arial"/>
          <w:iCs/>
        </w:rPr>
        <w:t xml:space="preserve">p&lt;0.05), as </w:t>
      </w:r>
      <w:r>
        <w:rPr>
          <w:rFonts w:ascii="Arial" w:hAnsi="Arial" w:cs="Arial"/>
        </w:rPr>
        <w:t>Ugbegun and Supare</w:t>
      </w:r>
      <w:r>
        <w:rPr>
          <w:rFonts w:ascii="Arial" w:hAnsi="Arial" w:cs="Arial"/>
        </w:rPr>
        <w:t xml:space="preserve"> communities had higher prevalence among the sampled populations. </w:t>
      </w:r>
    </w:p>
    <w:p w:rsidR="00BC544B" w:rsidRDefault="00BC544B">
      <w:pPr>
        <w:jc w:val="both"/>
        <w:rPr>
          <w:rFonts w:ascii="Arial" w:hAnsi="Arial" w:cs="Arial"/>
        </w:rPr>
      </w:pPr>
    </w:p>
    <w:p w:rsidR="00BC544B" w:rsidRDefault="00022753">
      <w:pPr>
        <w:jc w:val="both"/>
        <w:rPr>
          <w:rFonts w:ascii="Arial" w:hAnsi="Arial" w:cs="Arial"/>
        </w:rPr>
      </w:pPr>
      <w:r>
        <w:rPr>
          <w:noProof/>
        </w:rPr>
        <mc:AlternateContent>
          <mc:Choice Requires="wps">
            <w:drawing>
              <wp:anchor distT="0" distB="0" distL="0" distR="0" simplePos="0" relativeHeight="9" behindDoc="0" locked="0" layoutInCell="1" allowOverlap="1">
                <wp:simplePos x="0" y="0"/>
                <wp:positionH relativeFrom="margin">
                  <wp:align>left</wp:align>
                </wp:positionH>
                <wp:positionV relativeFrom="paragraph">
                  <wp:posOffset>2184400</wp:posOffset>
                </wp:positionV>
                <wp:extent cx="5384800" cy="247650"/>
                <wp:effectExtent l="0" t="0" r="0" b="0"/>
                <wp:wrapNone/>
                <wp:docPr id="10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4800" cy="247650"/>
                        </a:xfrm>
                        <a:prstGeom prst="rect">
                          <a:avLst/>
                        </a:prstGeom>
                      </wps:spPr>
                      <wps:txbx>
                        <w:txbxContent>
                          <w:p w:rsidR="00BC544B" w:rsidRDefault="00022753">
                            <w:pPr>
                              <w:pStyle w:val="NormalWeb"/>
                              <w:spacing w:before="0" w:beforeAutospacing="0" w:after="0" w:afterAutospacing="0"/>
                              <w:jc w:val="both"/>
                              <w:textAlignment w:val="baseline"/>
                              <w:rPr>
                                <w:rFonts w:ascii="Arial" w:hAnsi="Arial" w:cs="Arial"/>
                                <w:sz w:val="20"/>
                                <w:szCs w:val="20"/>
                              </w:rPr>
                            </w:pPr>
                            <w:r>
                              <w:rPr>
                                <w:rFonts w:ascii="Arial" w:eastAsia="Verdana" w:hAnsi="Arial" w:cs="Arial"/>
                                <w:color w:val="000000"/>
                                <w:kern w:val="24"/>
                                <w:sz w:val="20"/>
                                <w:szCs w:val="20"/>
                              </w:rPr>
                              <w:t xml:space="preserve">Fig. 2: Prevalence of </w:t>
                            </w:r>
                            <w:r>
                              <w:rPr>
                                <w:rFonts w:ascii="Arial" w:eastAsia="Verdana" w:hAnsi="Arial" w:cs="Arial"/>
                                <w:i/>
                                <w:color w:val="000000"/>
                                <w:kern w:val="24"/>
                                <w:sz w:val="20"/>
                                <w:szCs w:val="20"/>
                              </w:rPr>
                              <w:t>Lymphatic filariasis</w:t>
                            </w:r>
                            <w:r>
                              <w:rPr>
                                <w:rFonts w:ascii="Arial" w:eastAsia="Verdana" w:hAnsi="Arial" w:cs="Arial"/>
                                <w:color w:val="000000"/>
                                <w:kern w:val="24"/>
                                <w:sz w:val="20"/>
                                <w:szCs w:val="20"/>
                              </w:rPr>
                              <w:t xml:space="preserve"> in study areas (P&lt;0.05) ꭕ2 =46.235, P= 0.001</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rect id="1030" filled="f" stroked="f" style="position:absolute;margin-left:0.0pt;margin-top:172.0pt;width:424.0pt;height:19.5pt;z-index:9;mso-position-horizontal:left;mso-position-horizontal-relative:margin;mso-position-vertical-relative:text;mso-width-percent:0;mso-height-percent:0;mso-width-relative:margin;mso-height-relative:margin;mso-wrap-distance-left:0.0pt;mso-wrap-distance-right:0.0pt;visibility:visible;">
                <v:fill/>
                <v:textbox>
                  <w:txbxContent>
                    <w:p>
                      <w:pPr>
                        <w:pStyle w:val="style94"/>
                        <w:spacing w:before="0" w:beforeAutospacing="false" w:after="0" w:afterAutospacing="false"/>
                        <w:jc w:val="both"/>
                        <w:textAlignment w:val="baseline"/>
                        <w:rPr>
                          <w:rFonts w:ascii="Arial" w:cs="Arial" w:hAnsi="Arial"/>
                          <w:sz w:val="20"/>
                          <w:szCs w:val="20"/>
                        </w:rPr>
                      </w:pPr>
                      <w:r>
                        <w:rPr>
                          <w:rFonts w:ascii="Arial" w:cs="Arial" w:eastAsia="Verdana" w:hAnsi="Arial"/>
                          <w:color w:val="000000"/>
                          <w:kern w:val="24"/>
                          <w:sz w:val="20"/>
                          <w:szCs w:val="20"/>
                        </w:rPr>
                        <w:t xml:space="preserve">Fig. </w:t>
                      </w:r>
                      <w:r>
                        <w:rPr>
                          <w:rFonts w:ascii="Arial" w:cs="Arial" w:eastAsia="Verdana" w:hAnsi="Arial"/>
                          <w:color w:val="000000"/>
                          <w:kern w:val="24"/>
                          <w:sz w:val="20"/>
                          <w:szCs w:val="20"/>
                        </w:rPr>
                        <w:t>2</w:t>
                      </w:r>
                      <w:r>
                        <w:rPr>
                          <w:rFonts w:ascii="Arial" w:cs="Arial" w:eastAsia="Verdana" w:hAnsi="Arial"/>
                          <w:color w:val="000000"/>
                          <w:kern w:val="24"/>
                          <w:sz w:val="20"/>
                          <w:szCs w:val="20"/>
                        </w:rPr>
                        <w:t xml:space="preserve">: Prevalence of </w:t>
                      </w:r>
                      <w:r>
                        <w:rPr>
                          <w:rFonts w:ascii="Arial" w:cs="Arial" w:eastAsia="Verdana" w:hAnsi="Arial"/>
                          <w:i/>
                          <w:color w:val="000000"/>
                          <w:kern w:val="24"/>
                          <w:sz w:val="20"/>
                          <w:szCs w:val="20"/>
                        </w:rPr>
                        <w:t>Lymphatic filariasis</w:t>
                      </w:r>
                      <w:r>
                        <w:rPr>
                          <w:rFonts w:ascii="Arial" w:cs="Arial" w:eastAsia="Verdana" w:hAnsi="Arial"/>
                          <w:color w:val="000000"/>
                          <w:kern w:val="24"/>
                          <w:sz w:val="20"/>
                          <w:szCs w:val="20"/>
                        </w:rPr>
                        <w:t xml:space="preserve"> in study area</w:t>
                      </w:r>
                      <w:r>
                        <w:rPr>
                          <w:rFonts w:ascii="Arial" w:cs="Arial" w:eastAsia="Verdana" w:hAnsi="Arial"/>
                          <w:color w:val="000000"/>
                          <w:kern w:val="24"/>
                          <w:sz w:val="20"/>
                          <w:szCs w:val="20"/>
                        </w:rPr>
                        <w:t>s</w:t>
                      </w:r>
                      <w:r>
                        <w:rPr>
                          <w:rFonts w:ascii="Arial" w:cs="Arial" w:eastAsia="Verdana" w:hAnsi="Arial"/>
                          <w:color w:val="000000"/>
                          <w:kern w:val="24"/>
                          <w:sz w:val="20"/>
                          <w:szCs w:val="20"/>
                        </w:rPr>
                        <w:t xml:space="preserve"> (P</w:t>
                      </w:r>
                      <w:r>
                        <w:rPr>
                          <w:rFonts w:ascii="Arial" w:cs="Arial" w:eastAsia="Verdana" w:hAnsi="Arial"/>
                          <w:color w:val="000000"/>
                          <w:kern w:val="24"/>
                          <w:sz w:val="20"/>
                          <w:szCs w:val="20"/>
                        </w:rPr>
                        <w:t>&lt;</w:t>
                      </w:r>
                      <w:r>
                        <w:rPr>
                          <w:rFonts w:ascii="Arial" w:cs="Arial" w:eastAsia="Verdana" w:hAnsi="Arial"/>
                          <w:color w:val="000000"/>
                          <w:kern w:val="24"/>
                          <w:sz w:val="20"/>
                          <w:szCs w:val="20"/>
                        </w:rPr>
                        <w:t>0.05) ꭕ2 =</w:t>
                      </w:r>
                      <w:r>
                        <w:rPr>
                          <w:rFonts w:ascii="Arial" w:cs="Arial" w:eastAsia="Verdana" w:hAnsi="Arial"/>
                          <w:color w:val="000000"/>
                          <w:kern w:val="24"/>
                          <w:sz w:val="20"/>
                          <w:szCs w:val="20"/>
                        </w:rPr>
                        <w:t>46.235</w:t>
                      </w:r>
                      <w:r>
                        <w:rPr>
                          <w:rFonts w:ascii="Arial" w:cs="Arial" w:eastAsia="Verdana" w:hAnsi="Arial"/>
                          <w:color w:val="000000"/>
                          <w:kern w:val="24"/>
                          <w:sz w:val="20"/>
                          <w:szCs w:val="20"/>
                        </w:rPr>
                        <w:t>, P= 0.</w:t>
                      </w:r>
                      <w:r>
                        <w:rPr>
                          <w:rFonts w:ascii="Arial" w:cs="Arial" w:eastAsia="Verdana" w:hAnsi="Arial"/>
                          <w:color w:val="000000"/>
                          <w:kern w:val="24"/>
                          <w:sz w:val="20"/>
                          <w:szCs w:val="20"/>
                        </w:rPr>
                        <w:t>001</w:t>
                      </w:r>
                    </w:p>
                  </w:txbxContent>
                </v:textbox>
              </v:rect>
            </w:pict>
          </mc:Fallback>
        </mc:AlternateContent>
      </w:r>
      <w:r>
        <w:rPr>
          <w:noProof/>
        </w:rPr>
        <w:drawing>
          <wp:inline distT="0" distB="0" distL="114300" distR="114300">
            <wp:extent cx="4870450" cy="2146300"/>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C544B" w:rsidRDefault="00022753">
      <w:pPr>
        <w:spacing w:line="276" w:lineRule="auto"/>
        <w:jc w:val="both"/>
        <w:rPr>
          <w:rFonts w:ascii="Times New Roman" w:hAnsi="Times New Roman"/>
          <w:b/>
          <w:bCs/>
          <w:sz w:val="24"/>
          <w:szCs w:val="24"/>
        </w:rPr>
      </w:pPr>
      <w:r>
        <w:rPr>
          <w:noProof/>
        </w:rPr>
        <w:pict>
          <v:rect id="1033" o:spid="_x0000_s1026" style="position:absolute;left:0;text-align:left;margin-left:0;margin-top:188.45pt;width:202pt;height:40.5pt;z-index:5;visibility:visible;mso-width-percent:0;mso-height-percent:0;mso-wrap-distance-left:0;mso-wrap-distance-right:0;mso-position-horizontal:left;mso-position-horizontal-relative:margin;mso-position-vertical-relative:text;mso-width-percent:0;mso-height-percent:0;mso-width-relative:margin;mso-height-relative:margin" filled="f" stroked="f">
            <v:textbox>
              <w:txbxContent>
                <w:p w:rsidR="00BC544B" w:rsidRDefault="00022753">
                  <w:pPr>
                    <w:pStyle w:val="NormalWeb"/>
                    <w:spacing w:before="0" w:beforeAutospacing="0" w:after="0" w:afterAutospacing="0"/>
                    <w:jc w:val="both"/>
                    <w:textAlignment w:val="baseline"/>
                    <w:rPr>
                      <w:rFonts w:ascii="Arial" w:hAnsi="Arial" w:cs="Arial"/>
                      <w:sz w:val="20"/>
                      <w:szCs w:val="20"/>
                    </w:rPr>
                  </w:pPr>
                  <w:r>
                    <w:rPr>
                      <w:rFonts w:ascii="Arial" w:eastAsia="Verdana" w:hAnsi="Arial" w:cs="Arial"/>
                      <w:color w:val="000000"/>
                      <w:kern w:val="24"/>
                      <w:sz w:val="20"/>
                      <w:szCs w:val="20"/>
                    </w:rPr>
                    <w:t xml:space="preserve">Fig. 3: Prevalence of </w:t>
                  </w:r>
                  <w:r>
                    <w:rPr>
                      <w:rFonts w:ascii="Arial" w:eastAsia="Verdana" w:hAnsi="Arial" w:cs="Arial"/>
                      <w:i/>
                      <w:color w:val="000000"/>
                      <w:kern w:val="24"/>
                      <w:sz w:val="20"/>
                      <w:szCs w:val="20"/>
                    </w:rPr>
                    <w:t>Lymphatic filariasis</w:t>
                  </w:r>
                  <w:r>
                    <w:rPr>
                      <w:rFonts w:ascii="Arial" w:eastAsia="Verdana" w:hAnsi="Arial" w:cs="Arial"/>
                      <w:color w:val="000000"/>
                      <w:kern w:val="24"/>
                      <w:sz w:val="20"/>
                      <w:szCs w:val="20"/>
                    </w:rPr>
                    <w:t xml:space="preserve"> among gender in study area (P&gt;0.05) ꭕ2 =0.254, P</w:t>
                  </w:r>
                  <w:r>
                    <w:rPr>
                      <w:rFonts w:ascii="Arial" w:eastAsia="Verdana" w:hAnsi="Arial" w:cs="Arial"/>
                      <w:color w:val="000000"/>
                      <w:kern w:val="24"/>
                      <w:sz w:val="20"/>
                      <w:szCs w:val="20"/>
                    </w:rPr>
                    <w:t>= 0.379</w:t>
                  </w:r>
                </w:p>
              </w:txbxContent>
            </v:textbox>
            <w10:wrap anchorx="margin"/>
          </v:rect>
        </w:pict>
      </w:r>
      <w:r>
        <w:rPr>
          <w:noProof/>
        </w:rPr>
        <w:drawing>
          <wp:inline distT="0" distB="0" distL="0" distR="0">
            <wp:extent cx="2743200" cy="2406650"/>
            <wp:effectExtent l="0" t="0" r="0" b="6350"/>
            <wp:docPr id="103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6" cstate="print"/>
                    <a:srcRect/>
                    <a:stretch/>
                  </pic:blipFill>
                  <pic:spPr>
                    <a:xfrm>
                      <a:off x="0" y="0"/>
                      <a:ext cx="2743200" cy="2406650"/>
                    </a:xfrm>
                    <a:prstGeom prst="rect">
                      <a:avLst/>
                    </a:prstGeom>
                  </pic:spPr>
                </pic:pic>
              </a:graphicData>
            </a:graphic>
          </wp:inline>
        </w:drawing>
      </w:r>
      <w:r>
        <w:rPr>
          <w:noProof/>
        </w:rPr>
        <w:t xml:space="preserve"> </w:t>
      </w:r>
      <w:r>
        <w:rPr>
          <w:noProof/>
        </w:rPr>
        <w:drawing>
          <wp:inline distT="0" distB="0" distL="0" distR="0">
            <wp:extent cx="2749550" cy="2374900"/>
            <wp:effectExtent l="0" t="0" r="0" b="6350"/>
            <wp:docPr id="103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
                    <pic:cNvPicPr/>
                  </pic:nvPicPr>
                  <pic:blipFill>
                    <a:blip r:embed="rId17" cstate="print"/>
                    <a:srcRect/>
                    <a:stretch/>
                  </pic:blipFill>
                  <pic:spPr>
                    <a:xfrm>
                      <a:off x="0" y="0"/>
                      <a:ext cx="2749550" cy="2374900"/>
                    </a:xfrm>
                    <a:prstGeom prst="rect">
                      <a:avLst/>
                    </a:prstGeom>
                  </pic:spPr>
                </pic:pic>
              </a:graphicData>
            </a:graphic>
          </wp:inline>
        </w:drawing>
      </w:r>
    </w:p>
    <w:p w:rsidR="00BC544B" w:rsidRDefault="00022753">
      <w:pPr>
        <w:jc w:val="both"/>
        <w:rPr>
          <w:rFonts w:ascii="Times New Roman" w:hAnsi="Times New Roman"/>
          <w:sz w:val="24"/>
          <w:szCs w:val="24"/>
        </w:rPr>
      </w:pPr>
      <w:r>
        <w:rPr>
          <w:noProof/>
        </w:rPr>
        <mc:AlternateContent>
          <mc:Choice Requires="wps">
            <w:drawing>
              <wp:anchor distT="0" distB="0" distL="0" distR="0" simplePos="0" relativeHeight="6" behindDoc="0" locked="0" layoutInCell="1" allowOverlap="1">
                <wp:simplePos x="0" y="0"/>
                <wp:positionH relativeFrom="column">
                  <wp:posOffset>2774950</wp:posOffset>
                </wp:positionH>
                <wp:positionV relativeFrom="paragraph">
                  <wp:posOffset>3810</wp:posOffset>
                </wp:positionV>
                <wp:extent cx="2565400" cy="514350"/>
                <wp:effectExtent l="0" t="0" r="0" b="0"/>
                <wp:wrapNone/>
                <wp:docPr id="103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0" cy="514350"/>
                        </a:xfrm>
                        <a:prstGeom prst="rect">
                          <a:avLst/>
                        </a:prstGeom>
                      </wps:spPr>
                      <wps:txbx>
                        <w:txbxContent>
                          <w:p w:rsidR="00BC544B" w:rsidRDefault="00022753">
                            <w:pPr>
                              <w:pStyle w:val="NormalWeb"/>
                              <w:spacing w:before="0" w:beforeAutospacing="0" w:after="0" w:afterAutospacing="0"/>
                              <w:jc w:val="both"/>
                              <w:textAlignment w:val="baseline"/>
                              <w:rPr>
                                <w:rFonts w:ascii="Arial" w:eastAsia="Verdana" w:hAnsi="Arial" w:cs="Arial"/>
                                <w:color w:val="000000"/>
                                <w:kern w:val="24"/>
                                <w:sz w:val="20"/>
                                <w:szCs w:val="20"/>
                              </w:rPr>
                            </w:pPr>
                            <w:r>
                              <w:rPr>
                                <w:rFonts w:ascii="Arial" w:eastAsia="Verdana" w:hAnsi="Arial" w:cs="Arial"/>
                                <w:color w:val="000000"/>
                                <w:kern w:val="24"/>
                                <w:sz w:val="20"/>
                                <w:szCs w:val="20"/>
                              </w:rPr>
                              <w:t xml:space="preserve">Fig. 4: Prevalence of </w:t>
                            </w:r>
                            <w:r>
                              <w:rPr>
                                <w:rFonts w:ascii="Arial" w:eastAsia="Verdana" w:hAnsi="Arial" w:cs="Arial"/>
                                <w:i/>
                                <w:color w:val="000000"/>
                                <w:kern w:val="24"/>
                                <w:sz w:val="20"/>
                                <w:szCs w:val="20"/>
                              </w:rPr>
                              <w:t>Lymphatic filariasis</w:t>
                            </w:r>
                            <w:r>
                              <w:rPr>
                                <w:rFonts w:ascii="Arial" w:eastAsia="Verdana" w:hAnsi="Arial" w:cs="Arial"/>
                                <w:color w:val="000000"/>
                                <w:kern w:val="24"/>
                                <w:sz w:val="20"/>
                                <w:szCs w:val="20"/>
                              </w:rPr>
                              <w:t xml:space="preserve"> by age-group in study area (P&gt;0.05) ꭕ2=2.686, P= 0.748</w:t>
                            </w:r>
                          </w:p>
                          <w:p w:rsidR="00BC544B" w:rsidRDefault="00BC544B">
                            <w:pPr>
                              <w:pStyle w:val="NormalWeb"/>
                              <w:spacing w:before="0" w:beforeAutospacing="0" w:after="0" w:afterAutospacing="0"/>
                              <w:jc w:val="both"/>
                              <w:textAlignment w:val="baseline"/>
                              <w:rPr>
                                <w:sz w:val="20"/>
                                <w:szCs w:val="20"/>
                              </w:rPr>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rect id="1036" filled="f" stroked="f" style="position:absolute;margin-left:218.5pt;margin-top:0.3pt;width:202.0pt;height:40.5pt;z-index:6;mso-position-horizontal-relative:text;mso-position-vertical-relative:text;mso-width-percent:0;mso-height-percent:0;mso-width-relative:margin;mso-height-relative:margin;mso-wrap-distance-left:0.0pt;mso-wrap-distance-right:0.0pt;visibility:visible;">
                <v:fill/>
                <v:textbox>
                  <w:txbxContent>
                    <w:p>
                      <w:pPr>
                        <w:pStyle w:val="style94"/>
                        <w:spacing w:before="0" w:beforeAutospacing="false" w:after="0" w:afterAutospacing="false"/>
                        <w:jc w:val="both"/>
                        <w:textAlignment w:val="baseline"/>
                        <w:rPr>
                          <w:rFonts w:ascii="Arial" w:cs="Arial" w:eastAsia="Verdana" w:hAnsi="Arial"/>
                          <w:color w:val="000000"/>
                          <w:kern w:val="24"/>
                          <w:sz w:val="20"/>
                          <w:szCs w:val="20"/>
                        </w:rPr>
                      </w:pPr>
                      <w:r>
                        <w:rPr>
                          <w:rFonts w:ascii="Arial" w:cs="Arial" w:eastAsia="Verdana" w:hAnsi="Arial"/>
                          <w:color w:val="000000"/>
                          <w:kern w:val="24"/>
                          <w:sz w:val="20"/>
                          <w:szCs w:val="20"/>
                        </w:rPr>
                        <w:t xml:space="preserve">Fig. </w:t>
                      </w:r>
                      <w:r>
                        <w:rPr>
                          <w:rFonts w:ascii="Arial" w:cs="Arial" w:eastAsia="Verdana" w:hAnsi="Arial"/>
                          <w:color w:val="000000"/>
                          <w:kern w:val="24"/>
                          <w:sz w:val="20"/>
                          <w:szCs w:val="20"/>
                        </w:rPr>
                        <w:t>4</w:t>
                      </w:r>
                      <w:r>
                        <w:rPr>
                          <w:rFonts w:ascii="Arial" w:cs="Arial" w:eastAsia="Verdana" w:hAnsi="Arial"/>
                          <w:color w:val="000000"/>
                          <w:kern w:val="24"/>
                          <w:sz w:val="20"/>
                          <w:szCs w:val="20"/>
                        </w:rPr>
                        <w:t xml:space="preserve">: Prevalence of </w:t>
                      </w:r>
                      <w:r>
                        <w:rPr>
                          <w:rFonts w:ascii="Arial" w:cs="Arial" w:eastAsia="Verdana" w:hAnsi="Arial"/>
                          <w:i/>
                          <w:color w:val="000000"/>
                          <w:kern w:val="24"/>
                          <w:sz w:val="20"/>
                          <w:szCs w:val="20"/>
                        </w:rPr>
                        <w:t>Lymphatic filariasis</w:t>
                      </w:r>
                      <w:r>
                        <w:rPr>
                          <w:rFonts w:ascii="Arial" w:cs="Arial" w:eastAsia="Verdana" w:hAnsi="Arial"/>
                          <w:color w:val="000000"/>
                          <w:kern w:val="24"/>
                          <w:sz w:val="20"/>
                          <w:szCs w:val="20"/>
                        </w:rPr>
                        <w:t xml:space="preserve"> by age-group in study area (P&gt;0.05) ꭕ2=2.686, P= 0.748</w:t>
                      </w:r>
                    </w:p>
                    <w:p>
                      <w:pPr>
                        <w:pStyle w:val="style94"/>
                        <w:spacing w:before="0" w:beforeAutospacing="false" w:after="0" w:afterAutospacing="false"/>
                        <w:jc w:val="both"/>
                        <w:textAlignment w:val="baseline"/>
                        <w:rPr>
                          <w:sz w:val="20"/>
                          <w:szCs w:val="20"/>
                        </w:rPr>
                      </w:pPr>
                    </w:p>
                  </w:txbxContent>
                </v:textbox>
              </v:rect>
            </w:pict>
          </mc:Fallback>
        </mc:AlternateContent>
      </w:r>
    </w:p>
    <w:p w:rsidR="00BC544B" w:rsidRDefault="00022753">
      <w:pPr>
        <w:ind w:left="3600"/>
        <w:rPr>
          <w:rFonts w:ascii="Times New Roman" w:hAnsi="Times New Roman"/>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rPr>
        <w:t xml:space="preserve">            </w:t>
      </w:r>
    </w:p>
    <w:p w:rsidR="00BC544B" w:rsidRDefault="00022753">
      <w:pPr>
        <w:ind w:left="3600"/>
        <w:rPr>
          <w:rFonts w:ascii="Times New Roman" w:hAnsi="Times New Roman"/>
        </w:rPr>
      </w:pPr>
      <w:r>
        <w:rPr>
          <w:rFonts w:ascii="Times New Roman" w:hAnsi="Times New Roman"/>
        </w:rPr>
        <w:t xml:space="preserve">    </w:t>
      </w:r>
    </w:p>
    <w:p w:rsidR="00BC544B" w:rsidRDefault="00BC544B">
      <w:pPr>
        <w:rPr>
          <w:rFonts w:ascii="Times New Roman" w:hAnsi="Times New Roman"/>
          <w:sz w:val="24"/>
          <w:szCs w:val="24"/>
        </w:rPr>
      </w:pPr>
    </w:p>
    <w:p w:rsidR="00BC544B" w:rsidRDefault="00022753">
      <w:pPr>
        <w:rPr>
          <w:rFonts w:ascii="Times New Roman" w:hAnsi="Times New Roman"/>
          <w:sz w:val="24"/>
          <w:szCs w:val="24"/>
        </w:rPr>
      </w:pPr>
      <w:r>
        <w:rPr>
          <w:noProof/>
        </w:rPr>
        <w:drawing>
          <wp:inline distT="0" distB="0" distL="0" distR="0">
            <wp:extent cx="3670300" cy="1727200"/>
            <wp:effectExtent l="0" t="0" r="6350" b="6350"/>
            <wp:docPr id="103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5"/>
                    <pic:cNvPicPr/>
                  </pic:nvPicPr>
                  <pic:blipFill>
                    <a:blip r:embed="rId18" cstate="print"/>
                    <a:srcRect/>
                    <a:stretch/>
                  </pic:blipFill>
                  <pic:spPr>
                    <a:xfrm>
                      <a:off x="0" y="0"/>
                      <a:ext cx="3670300" cy="1727200"/>
                    </a:xfrm>
                    <a:prstGeom prst="rect">
                      <a:avLst/>
                    </a:prstGeom>
                  </pic:spPr>
                </pic:pic>
              </a:graphicData>
            </a:graphic>
          </wp:inline>
        </w:drawing>
      </w:r>
    </w:p>
    <w:p w:rsidR="00BC544B" w:rsidRDefault="00022753">
      <w:pPr>
        <w:jc w:val="both"/>
        <w:rPr>
          <w:rFonts w:ascii="Times New Roman" w:hAnsi="Times New Roman"/>
          <w:sz w:val="24"/>
          <w:szCs w:val="24"/>
        </w:rPr>
      </w:pPr>
      <w:r>
        <w:rPr>
          <w:noProof/>
        </w:rPr>
        <mc:AlternateContent>
          <mc:Choice Requires="wps">
            <w:drawing>
              <wp:anchor distT="0" distB="0" distL="0" distR="0" simplePos="0" relativeHeight="2" behindDoc="0" locked="0" layoutInCell="1" allowOverlap="1">
                <wp:simplePos x="0" y="0"/>
                <wp:positionH relativeFrom="margin">
                  <wp:align>left</wp:align>
                </wp:positionH>
                <wp:positionV relativeFrom="paragraph">
                  <wp:posOffset>10160</wp:posOffset>
                </wp:positionV>
                <wp:extent cx="6013450" cy="546100"/>
                <wp:effectExtent l="0" t="0" r="0" b="0"/>
                <wp:wrapNone/>
                <wp:docPr id="103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546100"/>
                        </a:xfrm>
                        <a:prstGeom prst="rect">
                          <a:avLst/>
                        </a:prstGeom>
                      </wps:spPr>
                      <wps:txbx>
                        <w:txbxContent>
                          <w:p w:rsidR="00BC544B" w:rsidRDefault="00022753">
                            <w:pPr>
                              <w:pStyle w:val="NormalWeb"/>
                              <w:spacing w:before="0" w:beforeAutospacing="0" w:after="0" w:afterAutospacing="0"/>
                              <w:jc w:val="both"/>
                              <w:textAlignment w:val="baseline"/>
                              <w:rPr>
                                <w:rFonts w:ascii="Arial" w:eastAsia="Verdana" w:hAnsi="Arial" w:cs="Arial"/>
                                <w:color w:val="000000"/>
                                <w:kern w:val="24"/>
                                <w:sz w:val="20"/>
                                <w:szCs w:val="20"/>
                              </w:rPr>
                            </w:pPr>
                            <w:r>
                              <w:rPr>
                                <w:rFonts w:ascii="Arial" w:eastAsia="Verdana" w:hAnsi="Arial" w:cs="Arial"/>
                                <w:color w:val="000000"/>
                                <w:kern w:val="24"/>
                                <w:sz w:val="20"/>
                                <w:szCs w:val="20"/>
                              </w:rPr>
                              <w:t xml:space="preserve">Fig. 5: ABO Blood group and Rhesus factor distribution in relation to </w:t>
                            </w:r>
                            <w:r>
                              <w:rPr>
                                <w:rFonts w:ascii="Arial" w:eastAsia="Verdana" w:hAnsi="Arial" w:cs="Arial"/>
                                <w:i/>
                                <w:color w:val="000000"/>
                                <w:kern w:val="24"/>
                                <w:sz w:val="20"/>
                                <w:szCs w:val="20"/>
                              </w:rPr>
                              <w:t>Lymphatic filariasis</w:t>
                            </w:r>
                            <w:r>
                              <w:rPr>
                                <w:rFonts w:ascii="Arial" w:eastAsia="Verdana" w:hAnsi="Arial" w:cs="Arial"/>
                                <w:color w:val="000000"/>
                                <w:kern w:val="24"/>
                                <w:sz w:val="20"/>
                                <w:szCs w:val="20"/>
                              </w:rPr>
                              <w:t xml:space="preserve"> infection among study participants (P&gt;0.05), ꭕ2 =1.788, P= 0.618</w:t>
                            </w:r>
                          </w:p>
                          <w:p w:rsidR="00BC544B" w:rsidRDefault="00022753">
                            <w:pPr>
                              <w:pStyle w:val="NormalWeb"/>
                              <w:spacing w:before="0" w:beforeAutospacing="0" w:after="0" w:afterAutospacing="0"/>
                              <w:jc w:val="both"/>
                              <w:textAlignment w:val="baseline"/>
                              <w:rPr>
                                <w:rFonts w:eastAsia="Verdana"/>
                                <w:color w:val="000000"/>
                                <w:kern w:val="24"/>
                                <w:sz w:val="20"/>
                                <w:szCs w:val="20"/>
                              </w:rPr>
                            </w:pPr>
                            <w:r>
                              <w:rPr>
                                <w:rFonts w:ascii="Arial" w:eastAsia="Verdana" w:hAnsi="Arial" w:cs="Arial"/>
                                <w:color w:val="000000"/>
                                <w:kern w:val="24"/>
                                <w:sz w:val="20"/>
                                <w:szCs w:val="20"/>
                              </w:rPr>
                              <w:t xml:space="preserve"> (P&gt;0.05) ꭕ2 =1.788, P= 0.618</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rect id="1038" filled="f" stroked="f" style="position:absolute;margin-left:0.0pt;margin-top:0.8pt;width:473.5pt;height:43.0pt;z-index:2;mso-position-horizontal:left;mso-position-horizontal-relative:margin;mso-position-vertical-relative:text;mso-width-percent:0;mso-height-percent:0;mso-width-relative:margin;mso-height-relative:margin;mso-wrap-distance-left:0.0pt;mso-wrap-distance-right:0.0pt;visibility:visible;">
                <v:fill/>
                <v:textbox>
                  <w:txbxContent>
                    <w:p>
                      <w:pPr>
                        <w:pStyle w:val="style94"/>
                        <w:spacing w:before="0" w:beforeAutospacing="false" w:after="0" w:afterAutospacing="false"/>
                        <w:jc w:val="both"/>
                        <w:textAlignment w:val="baseline"/>
                        <w:rPr>
                          <w:rFonts w:ascii="Arial" w:cs="Arial" w:eastAsia="Verdana" w:hAnsi="Arial"/>
                          <w:color w:val="000000"/>
                          <w:kern w:val="24"/>
                          <w:sz w:val="20"/>
                          <w:szCs w:val="20"/>
                        </w:rPr>
                      </w:pPr>
                      <w:r>
                        <w:rPr>
                          <w:rFonts w:ascii="Arial" w:cs="Arial" w:eastAsia="Verdana" w:hAnsi="Arial"/>
                          <w:color w:val="000000"/>
                          <w:kern w:val="24"/>
                          <w:sz w:val="20"/>
                          <w:szCs w:val="20"/>
                        </w:rPr>
                        <w:t xml:space="preserve">Fig. </w:t>
                      </w:r>
                      <w:r>
                        <w:rPr>
                          <w:rFonts w:ascii="Arial" w:cs="Arial" w:eastAsia="Verdana" w:hAnsi="Arial"/>
                          <w:color w:val="000000"/>
                          <w:kern w:val="24"/>
                          <w:sz w:val="20"/>
                          <w:szCs w:val="20"/>
                        </w:rPr>
                        <w:t>5</w:t>
                      </w:r>
                      <w:r>
                        <w:rPr>
                          <w:rFonts w:ascii="Arial" w:cs="Arial" w:eastAsia="Verdana" w:hAnsi="Arial"/>
                          <w:color w:val="000000"/>
                          <w:kern w:val="24"/>
                          <w:sz w:val="20"/>
                          <w:szCs w:val="20"/>
                        </w:rPr>
                        <w:t xml:space="preserve">: ABO Blood group and Rhesus factor distribution in relation to </w:t>
                      </w:r>
                      <w:r>
                        <w:rPr>
                          <w:rFonts w:ascii="Arial" w:cs="Arial" w:eastAsia="Verdana" w:hAnsi="Arial"/>
                          <w:i/>
                          <w:color w:val="000000"/>
                          <w:kern w:val="24"/>
                          <w:sz w:val="20"/>
                          <w:szCs w:val="20"/>
                        </w:rPr>
                        <w:t>Lymphatic filariasis</w:t>
                      </w:r>
                      <w:r>
                        <w:rPr>
                          <w:rFonts w:ascii="Arial" w:cs="Arial" w:eastAsia="Verdana" w:hAnsi="Arial"/>
                          <w:color w:val="000000"/>
                          <w:kern w:val="24"/>
                          <w:sz w:val="20"/>
                          <w:szCs w:val="20"/>
                        </w:rPr>
                        <w:t xml:space="preserve"> infection among study participants (P&gt;0.05), ꭕ2 =1.788, P= 0.618</w:t>
                      </w:r>
                    </w:p>
                    <w:p>
                      <w:pPr>
                        <w:pStyle w:val="style94"/>
                        <w:spacing w:before="0" w:beforeAutospacing="false" w:after="0" w:afterAutospacing="false"/>
                        <w:jc w:val="both"/>
                        <w:textAlignment w:val="baseline"/>
                        <w:rPr>
                          <w:rFonts w:eastAsia="Verdana"/>
                          <w:color w:val="000000"/>
                          <w:kern w:val="24"/>
                          <w:sz w:val="20"/>
                          <w:szCs w:val="20"/>
                        </w:rPr>
                      </w:pPr>
                      <w:r>
                        <w:rPr>
                          <w:rFonts w:ascii="Arial" w:cs="Arial" w:eastAsia="Verdana" w:hAnsi="Arial"/>
                          <w:color w:val="000000"/>
                          <w:kern w:val="24"/>
                          <w:sz w:val="20"/>
                          <w:szCs w:val="20"/>
                        </w:rPr>
                        <w:t xml:space="preserve"> (P&gt;0.05) ꭕ2 =1.788, P= 0.618</w:t>
                      </w:r>
                    </w:p>
                  </w:txbxContent>
                </v:textbox>
              </v:rect>
            </w:pict>
          </mc:Fallback>
        </mc:AlternateContent>
      </w:r>
    </w:p>
    <w:p w:rsidR="00BC544B" w:rsidRDefault="00BC544B">
      <w:pPr>
        <w:spacing w:line="276" w:lineRule="auto"/>
        <w:jc w:val="both"/>
        <w:rPr>
          <w:rFonts w:ascii="Times New Roman" w:hAnsi="Times New Roman"/>
          <w:b/>
          <w:bCs/>
          <w:sz w:val="24"/>
          <w:szCs w:val="24"/>
        </w:rPr>
      </w:pPr>
    </w:p>
    <w:p w:rsidR="00BC544B" w:rsidRDefault="00BC544B">
      <w:pPr>
        <w:spacing w:line="276" w:lineRule="auto"/>
        <w:jc w:val="both"/>
        <w:rPr>
          <w:rFonts w:ascii="Times New Roman" w:hAnsi="Times New Roman"/>
          <w:b/>
          <w:bCs/>
          <w:sz w:val="24"/>
          <w:szCs w:val="24"/>
        </w:rPr>
      </w:pPr>
    </w:p>
    <w:p w:rsidR="00BC544B" w:rsidRDefault="00022753">
      <w:pPr>
        <w:spacing w:line="276" w:lineRule="auto"/>
        <w:jc w:val="both"/>
        <w:rPr>
          <w:rFonts w:ascii="Arial" w:hAnsi="Arial" w:cs="Arial"/>
          <w:b/>
          <w:bCs/>
          <w:sz w:val="22"/>
          <w:szCs w:val="22"/>
        </w:rPr>
      </w:pPr>
      <w:r>
        <w:rPr>
          <w:rFonts w:ascii="Arial" w:hAnsi="Arial" w:cs="Arial"/>
          <w:b/>
          <w:bCs/>
          <w:sz w:val="22"/>
          <w:szCs w:val="22"/>
        </w:rPr>
        <w:t>3.1. Physical Examination for Morbidity</w:t>
      </w:r>
    </w:p>
    <w:p w:rsidR="00BC544B" w:rsidRDefault="00022753">
      <w:pPr>
        <w:spacing w:line="276" w:lineRule="auto"/>
        <w:jc w:val="both"/>
        <w:rPr>
          <w:rFonts w:ascii="Arial" w:hAnsi="Arial" w:cs="Arial"/>
        </w:rPr>
      </w:pPr>
      <w:r>
        <w:rPr>
          <w:rFonts w:ascii="Arial" w:hAnsi="Arial" w:cs="Arial"/>
        </w:rPr>
        <w:t>Each participant was examined for signs of Elephantiasis of the limbs, arms, breast and hydrocoele of scrotum (Fig.6)</w:t>
      </w:r>
    </w:p>
    <w:p w:rsidR="00BC544B" w:rsidRDefault="00022753">
      <w:pPr>
        <w:jc w:val="both"/>
        <w:rPr>
          <w:rFonts w:ascii="Times New Roman" w:hAnsi="Times New Roman"/>
          <w:sz w:val="24"/>
          <w:szCs w:val="24"/>
        </w:rPr>
      </w:pPr>
      <w:r>
        <w:rPr>
          <w:noProof/>
        </w:rPr>
        <mc:AlternateContent>
          <mc:Choice Requires="wps">
            <w:drawing>
              <wp:anchor distT="0" distB="0" distL="0" distR="0" simplePos="0" relativeHeight="10" behindDoc="0" locked="0" layoutInCell="1" allowOverlap="1">
                <wp:simplePos x="0" y="0"/>
                <wp:positionH relativeFrom="margin">
                  <wp:align>left</wp:align>
                </wp:positionH>
                <wp:positionV relativeFrom="paragraph">
                  <wp:posOffset>2541270</wp:posOffset>
                </wp:positionV>
                <wp:extent cx="6013450" cy="546100"/>
                <wp:effectExtent l="0" t="0" r="0" b="0"/>
                <wp:wrapNone/>
                <wp:docPr id="103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546100"/>
                        </a:xfrm>
                        <a:prstGeom prst="rect">
                          <a:avLst/>
                        </a:prstGeom>
                      </wps:spPr>
                      <wps:txbx>
                        <w:txbxContent>
                          <w:p w:rsidR="00BC544B" w:rsidRDefault="00022753">
                            <w:pPr>
                              <w:spacing w:line="276" w:lineRule="auto"/>
                              <w:jc w:val="both"/>
                              <w:rPr>
                                <w:rFonts w:ascii="Times New Roman" w:hAnsi="Times New Roman"/>
                                <w:bCs/>
                                <w:sz w:val="24"/>
                                <w:szCs w:val="24"/>
                              </w:rPr>
                            </w:pPr>
                            <w:r>
                              <w:rPr>
                                <w:rFonts w:ascii="Times New Roman" w:hAnsi="Times New Roman"/>
                                <w:b/>
                                <w:bCs/>
                                <w:sz w:val="24"/>
                                <w:szCs w:val="24"/>
                              </w:rPr>
                              <w:t>Fig.6: Morbidities seen in examined participants</w:t>
                            </w:r>
                          </w:p>
                          <w:p w:rsidR="00BC544B" w:rsidRDefault="00022753">
                            <w:pPr>
                              <w:pStyle w:val="ListParagraph"/>
                              <w:numPr>
                                <w:ilvl w:val="0"/>
                                <w:numId w:val="2"/>
                              </w:num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Elephantiasis of limbs   b. Hydrocoele (affected scrotum)</w:t>
                            </w:r>
                          </w:p>
                          <w:p w:rsidR="00BC544B" w:rsidRDefault="00BC544B">
                            <w:pPr>
                              <w:pStyle w:val="NormalWeb"/>
                              <w:spacing w:before="0" w:beforeAutospacing="0" w:after="0" w:afterAutospacing="0"/>
                              <w:jc w:val="both"/>
                              <w:textAlignment w:val="baseline"/>
                              <w:rPr>
                                <w:rFonts w:eastAsia="Verdana"/>
                                <w:color w:val="000000"/>
                                <w:kern w:val="24"/>
                                <w:sz w:val="20"/>
                                <w:szCs w:val="20"/>
                              </w:rPr>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rect id="1039" filled="f" stroked="f" style="position:absolute;margin-left:0.0pt;margin-top:200.1pt;width:473.5pt;height:43.0pt;z-index:10;mso-position-horizontal:left;mso-position-horizontal-relative:margin;mso-position-vertical-relative:text;mso-width-percent:0;mso-height-percent:0;mso-width-relative:margin;mso-height-relative:margin;mso-wrap-distance-left:0.0pt;mso-wrap-distance-right:0.0pt;visibility:visible;">
                <v:fill/>
                <v:textbox>
                  <w:txbxContent>
                    <w:p>
                      <w:pPr>
                        <w:pStyle w:val="style0"/>
                        <w:spacing w:lineRule="auto" w:line="276"/>
                        <w:jc w:val="both"/>
                        <w:rPr>
                          <w:rFonts w:ascii="Times New Roman" w:hAnsi="Times New Roman"/>
                          <w:bCs/>
                          <w:sz w:val="24"/>
                          <w:szCs w:val="24"/>
                        </w:rPr>
                      </w:pPr>
                      <w:r>
                        <w:rPr>
                          <w:rFonts w:ascii="Times New Roman" w:hAnsi="Times New Roman"/>
                          <w:b/>
                          <w:bCs/>
                          <w:sz w:val="24"/>
                          <w:szCs w:val="24"/>
                        </w:rPr>
                        <w:t>Fig.</w:t>
                      </w:r>
                      <w:r>
                        <w:rPr>
                          <w:rFonts w:ascii="Times New Roman" w:hAnsi="Times New Roman"/>
                          <w:b/>
                          <w:bCs/>
                          <w:sz w:val="24"/>
                          <w:szCs w:val="24"/>
                        </w:rPr>
                        <w:t>6</w:t>
                      </w:r>
                      <w:r>
                        <w:rPr>
                          <w:rFonts w:ascii="Times New Roman" w:hAnsi="Times New Roman"/>
                          <w:b/>
                          <w:bCs/>
                          <w:sz w:val="24"/>
                          <w:szCs w:val="24"/>
                        </w:rPr>
                        <w:t>: Morbidities seen in examined participants</w:t>
                      </w:r>
                    </w:p>
                    <w:p>
                      <w:pPr>
                        <w:pStyle w:val="style179"/>
                        <w:numPr>
                          <w:ilvl w:val="0"/>
                          <w:numId w:val="2"/>
                        </w:numPr>
                        <w:spacing w:after="0" w:lineRule="auto" w:line="276"/>
                        <w:jc w:val="both"/>
                        <w:rPr>
                          <w:rFonts w:ascii="Times New Roman" w:cs="Times New Roman" w:hAnsi="Times New Roman"/>
                          <w:b/>
                          <w:bCs/>
                          <w:sz w:val="24"/>
                          <w:szCs w:val="24"/>
                        </w:rPr>
                      </w:pPr>
                      <w:r>
                        <w:rPr>
                          <w:rFonts w:ascii="Times New Roman" w:cs="Times New Roman" w:hAnsi="Times New Roman"/>
                          <w:b/>
                          <w:bCs/>
                          <w:sz w:val="24"/>
                          <w:szCs w:val="24"/>
                        </w:rPr>
                        <w:t>Elephantiasis of l</w:t>
                      </w:r>
                      <w:r>
                        <w:rPr>
                          <w:rFonts w:ascii="Times New Roman" w:cs="Times New Roman" w:hAnsi="Times New Roman"/>
                          <w:b/>
                          <w:bCs/>
                          <w:sz w:val="24"/>
                          <w:szCs w:val="24"/>
                        </w:rPr>
                        <w:t>imbs</w:t>
                      </w:r>
                      <w:r>
                        <w:rPr>
                          <w:rFonts w:ascii="Times New Roman" w:cs="Times New Roman" w:hAnsi="Times New Roman"/>
                          <w:b/>
                          <w:bCs/>
                          <w:sz w:val="24"/>
                          <w:szCs w:val="24"/>
                        </w:rPr>
                        <w:t xml:space="preserve">   b. Hydrocoele</w:t>
                      </w:r>
                      <w:r>
                        <w:rPr>
                          <w:rFonts w:ascii="Times New Roman" w:cs="Times New Roman" w:hAnsi="Times New Roman"/>
                          <w:b/>
                          <w:bCs/>
                          <w:sz w:val="24"/>
                          <w:szCs w:val="24"/>
                        </w:rPr>
                        <w:t xml:space="preserve"> (affected scrotum)</w:t>
                      </w:r>
                    </w:p>
                    <w:p>
                      <w:pPr>
                        <w:pStyle w:val="style94"/>
                        <w:spacing w:before="0" w:beforeAutospacing="false" w:after="0" w:afterAutospacing="false"/>
                        <w:jc w:val="both"/>
                        <w:textAlignment w:val="baseline"/>
                        <w:rPr>
                          <w:rFonts w:eastAsia="Verdana"/>
                          <w:color w:val="000000"/>
                          <w:kern w:val="24"/>
                          <w:sz w:val="20"/>
                          <w:szCs w:val="20"/>
                        </w:rPr>
                      </w:pPr>
                    </w:p>
                  </w:txbxContent>
                </v:textbox>
              </v:rect>
            </w:pict>
          </mc:Fallback>
        </mc:AlternateContent>
      </w:r>
      <w:r>
        <w:rPr>
          <w:rFonts w:ascii="Times New Roman" w:hAnsi="Times New Roman"/>
          <w:noProof/>
          <w:sz w:val="24"/>
          <w:szCs w:val="24"/>
        </w:rPr>
        <w:drawing>
          <wp:inline distT="0" distB="0" distL="0" distR="0">
            <wp:extent cx="5549900" cy="2540000"/>
            <wp:effectExtent l="0" t="0" r="0" b="0"/>
            <wp:docPr id="10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19" cstate="print"/>
                    <a:srcRect/>
                    <a:stretch/>
                  </pic:blipFill>
                  <pic:spPr>
                    <a:xfrm>
                      <a:off x="0" y="0"/>
                      <a:ext cx="5549900" cy="2540000"/>
                    </a:xfrm>
                    <a:prstGeom prst="rect">
                      <a:avLst/>
                    </a:prstGeom>
                  </pic:spPr>
                </pic:pic>
              </a:graphicData>
            </a:graphic>
          </wp:inline>
        </w:drawing>
      </w:r>
    </w:p>
    <w:p w:rsidR="00BC544B" w:rsidRDefault="00022753">
      <w:pPr>
        <w:spacing w:line="276" w:lineRule="auto"/>
        <w:jc w:val="both"/>
        <w:rPr>
          <w:rFonts w:ascii="Times New Roman" w:hAnsi="Times New Roman"/>
          <w:b/>
          <w:bCs/>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BC544B" w:rsidRDefault="00022753">
      <w:pPr>
        <w:jc w:val="both"/>
        <w:rPr>
          <w:rFonts w:ascii="Times New Roman" w:hAnsi="Times New Roman"/>
          <w:sz w:val="24"/>
          <w:szCs w:val="24"/>
        </w:rPr>
      </w:pPr>
      <w:r>
        <w:rPr>
          <w:noProof/>
        </w:rPr>
        <w:drawing>
          <wp:inline distT="0" distB="0" distL="0" distR="0">
            <wp:extent cx="2876550" cy="2635250"/>
            <wp:effectExtent l="0" t="0" r="0" b="0"/>
            <wp:docPr id="104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20" cstate="print"/>
                    <a:srcRect/>
                    <a:stretch/>
                  </pic:blipFill>
                  <pic:spPr>
                    <a:xfrm>
                      <a:off x="0" y="0"/>
                      <a:ext cx="2876550" cy="2635250"/>
                    </a:xfrm>
                    <a:prstGeom prst="rect">
                      <a:avLst/>
                    </a:prstGeom>
                  </pic:spPr>
                </pic:pic>
              </a:graphicData>
            </a:graphic>
          </wp:inline>
        </w:drawing>
      </w:r>
      <w:r>
        <w:rPr>
          <w:noProof/>
        </w:rPr>
        <w:t xml:space="preserve"> </w:t>
      </w:r>
      <w:r>
        <w:rPr>
          <w:noProof/>
        </w:rPr>
        <w:drawing>
          <wp:inline distT="0" distB="0" distL="0" distR="0">
            <wp:extent cx="2616200" cy="2571750"/>
            <wp:effectExtent l="0" t="0" r="0" b="0"/>
            <wp:docPr id="104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6"/>
                    <pic:cNvPicPr/>
                  </pic:nvPicPr>
                  <pic:blipFill>
                    <a:blip r:embed="rId21" cstate="print"/>
                    <a:srcRect/>
                    <a:stretch/>
                  </pic:blipFill>
                  <pic:spPr>
                    <a:xfrm>
                      <a:off x="0" y="0"/>
                      <a:ext cx="2616200" cy="2571750"/>
                    </a:xfrm>
                    <a:prstGeom prst="rect">
                      <a:avLst/>
                    </a:prstGeom>
                  </pic:spPr>
                </pic:pic>
              </a:graphicData>
            </a:graphic>
          </wp:inline>
        </w:drawing>
      </w:r>
    </w:p>
    <w:p w:rsidR="00BC544B" w:rsidRDefault="00022753">
      <w:pPr>
        <w:jc w:val="both"/>
        <w:rPr>
          <w:rFonts w:ascii="Times New Roman" w:hAnsi="Times New Roman"/>
          <w:sz w:val="24"/>
          <w:szCs w:val="24"/>
        </w:rPr>
      </w:pPr>
      <w:r>
        <w:rPr>
          <w:noProof/>
        </w:rPr>
        <mc:AlternateContent>
          <mc:Choice Requires="wps">
            <w:drawing>
              <wp:anchor distT="0" distB="0" distL="0" distR="0" simplePos="0" relativeHeight="3" behindDoc="0" locked="0" layoutInCell="1" allowOverlap="1">
                <wp:simplePos x="0" y="0"/>
                <wp:positionH relativeFrom="margin">
                  <wp:align>right</wp:align>
                </wp:positionH>
                <wp:positionV relativeFrom="paragraph">
                  <wp:posOffset>5080</wp:posOffset>
                </wp:positionV>
                <wp:extent cx="2241550" cy="260349"/>
                <wp:effectExtent l="0" t="0" r="0" b="0"/>
                <wp:wrapNone/>
                <wp:docPr id="10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0" cy="260349"/>
                        </a:xfrm>
                        <a:prstGeom prst="rect">
                          <a:avLst/>
                        </a:prstGeom>
                      </wps:spPr>
                      <wps:txbx>
                        <w:txbxContent>
                          <w:p w:rsidR="00BC544B" w:rsidRDefault="00022753">
                            <w:pPr>
                              <w:pStyle w:val="NormalWeb"/>
                              <w:spacing w:before="0" w:beforeAutospacing="0" w:after="0" w:afterAutospacing="0"/>
                              <w:jc w:val="both"/>
                              <w:textAlignment w:val="baseline"/>
                              <w:rPr>
                                <w:rFonts w:ascii="Arial" w:eastAsia="Verdana" w:hAnsi="Arial" w:cs="Arial"/>
                                <w:color w:val="000000"/>
                                <w:kern w:val="24"/>
                                <w:sz w:val="20"/>
                                <w:szCs w:val="20"/>
                              </w:rPr>
                            </w:pPr>
                            <w:r>
                              <w:rPr>
                                <w:rFonts w:ascii="Arial" w:eastAsia="Verdana" w:hAnsi="Arial" w:cs="Arial"/>
                                <w:color w:val="000000"/>
                                <w:kern w:val="24"/>
                                <w:sz w:val="20"/>
                                <w:szCs w:val="20"/>
                              </w:rPr>
                              <w:t>Fig. 8 Prevalence by study location</w:t>
                            </w:r>
                          </w:p>
                          <w:p w:rsidR="00BC544B" w:rsidRDefault="00BC544B">
                            <w:pPr>
                              <w:pStyle w:val="NormalWeb"/>
                              <w:spacing w:before="0" w:beforeAutospacing="0" w:after="0" w:afterAutospacing="0"/>
                              <w:jc w:val="both"/>
                              <w:textAlignment w:val="baseline"/>
                              <w:rPr>
                                <w:rFonts w:ascii="Arial" w:eastAsia="Verdana" w:hAnsi="Arial" w:cs="Arial"/>
                                <w:color w:val="000000"/>
                                <w:kern w:val="24"/>
                                <w:sz w:val="20"/>
                                <w:szCs w:val="20"/>
                              </w:rPr>
                            </w:pPr>
                          </w:p>
                          <w:p w:rsidR="00BC544B" w:rsidRDefault="00BC544B">
                            <w:pPr>
                              <w:pStyle w:val="NormalWeb"/>
                              <w:spacing w:before="0" w:beforeAutospacing="0" w:after="0" w:afterAutospacing="0"/>
                              <w:jc w:val="both"/>
                              <w:textAlignment w:val="baseline"/>
                              <w:rPr>
                                <w:sz w:val="20"/>
                                <w:szCs w:val="20"/>
                              </w:rPr>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rect id="1043" filled="f" stroked="f" style="position:absolute;margin-left:0.0pt;margin-top:0.4pt;width:176.5pt;height:20.5pt;z-index:3;mso-position-horizontal:right;mso-position-horizontal-relative:margin;mso-position-vertical-relative:text;mso-width-percent:0;mso-height-percent:0;mso-width-relative:margin;mso-height-relative:margin;mso-wrap-distance-left:0.0pt;mso-wrap-distance-right:0.0pt;visibility:visible;">
                <v:fill/>
                <v:textbox>
                  <w:txbxContent>
                    <w:p>
                      <w:pPr>
                        <w:pStyle w:val="style94"/>
                        <w:spacing w:before="0" w:beforeAutospacing="false" w:after="0" w:afterAutospacing="false"/>
                        <w:jc w:val="both"/>
                        <w:textAlignment w:val="baseline"/>
                        <w:rPr>
                          <w:rFonts w:ascii="Arial" w:cs="Arial" w:eastAsia="Verdana" w:hAnsi="Arial"/>
                          <w:color w:val="000000"/>
                          <w:kern w:val="24"/>
                          <w:sz w:val="20"/>
                          <w:szCs w:val="20"/>
                        </w:rPr>
                      </w:pPr>
                      <w:r>
                        <w:rPr>
                          <w:rFonts w:ascii="Arial" w:cs="Arial" w:eastAsia="Verdana" w:hAnsi="Arial"/>
                          <w:color w:val="000000"/>
                          <w:kern w:val="24"/>
                          <w:sz w:val="20"/>
                          <w:szCs w:val="20"/>
                        </w:rPr>
                        <w:t xml:space="preserve">Fig. </w:t>
                      </w:r>
                      <w:r>
                        <w:rPr>
                          <w:rFonts w:ascii="Arial" w:cs="Arial" w:eastAsia="Verdana" w:hAnsi="Arial"/>
                          <w:color w:val="000000"/>
                          <w:kern w:val="24"/>
                          <w:sz w:val="20"/>
                          <w:szCs w:val="20"/>
                        </w:rPr>
                        <w:t>8</w:t>
                      </w:r>
                      <w:r>
                        <w:rPr>
                          <w:rFonts w:ascii="Arial" w:cs="Arial" w:eastAsia="Verdana" w:hAnsi="Arial"/>
                          <w:color w:val="000000"/>
                          <w:kern w:val="24"/>
                          <w:sz w:val="20"/>
                          <w:szCs w:val="20"/>
                        </w:rPr>
                        <w:t xml:space="preserve"> </w:t>
                      </w:r>
                      <w:r>
                        <w:rPr>
                          <w:rFonts w:ascii="Arial" w:cs="Arial" w:eastAsia="Verdana" w:hAnsi="Arial"/>
                          <w:color w:val="000000"/>
                          <w:kern w:val="24"/>
                          <w:sz w:val="20"/>
                          <w:szCs w:val="20"/>
                        </w:rPr>
                        <w:t>Prevalence by study location</w:t>
                      </w:r>
                    </w:p>
                    <w:p>
                      <w:pPr>
                        <w:pStyle w:val="style94"/>
                        <w:spacing w:before="0" w:beforeAutospacing="false" w:after="0" w:afterAutospacing="false"/>
                        <w:jc w:val="both"/>
                        <w:textAlignment w:val="baseline"/>
                        <w:rPr>
                          <w:rFonts w:ascii="Arial" w:cs="Arial" w:eastAsia="Verdana" w:hAnsi="Arial"/>
                          <w:color w:val="000000"/>
                          <w:kern w:val="24"/>
                          <w:sz w:val="20"/>
                          <w:szCs w:val="20"/>
                        </w:rPr>
                      </w:pPr>
                    </w:p>
                    <w:p>
                      <w:pPr>
                        <w:pStyle w:val="style94"/>
                        <w:spacing w:before="0" w:beforeAutospacing="false" w:after="0" w:afterAutospacing="false"/>
                        <w:jc w:val="both"/>
                        <w:textAlignment w:val="baseline"/>
                        <w:rPr>
                          <w:sz w:val="20"/>
                          <w:szCs w:val="20"/>
                        </w:rPr>
                      </w:pPr>
                    </w:p>
                  </w:txbxContent>
                </v:textbox>
              </v:rect>
            </w:pict>
          </mc:Fallback>
        </mc:AlternateContent>
      </w:r>
      <w:r>
        <w:rPr>
          <w:noProof/>
        </w:rPr>
        <mc:AlternateContent>
          <mc:Choice Requires="wps">
            <w:drawing>
              <wp:anchor distT="0" distB="0" distL="0" distR="0" simplePos="0" relativeHeight="7" behindDoc="0" locked="0" layoutInCell="1" allowOverlap="1">
                <wp:simplePos x="0" y="0"/>
                <wp:positionH relativeFrom="margin">
                  <wp:posOffset>12700</wp:posOffset>
                </wp:positionH>
                <wp:positionV relativeFrom="paragraph">
                  <wp:posOffset>56515</wp:posOffset>
                </wp:positionV>
                <wp:extent cx="2846705" cy="260348"/>
                <wp:effectExtent l="0" t="0" r="0" b="0"/>
                <wp:wrapNone/>
                <wp:docPr id="104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6705" cy="260348"/>
                        </a:xfrm>
                        <a:prstGeom prst="rect">
                          <a:avLst/>
                        </a:prstGeom>
                      </wps:spPr>
                      <wps:txbx>
                        <w:txbxContent>
                          <w:p w:rsidR="00BC544B" w:rsidRDefault="00022753">
                            <w:pPr>
                              <w:pStyle w:val="NormalWeb"/>
                              <w:spacing w:before="0" w:beforeAutospacing="0" w:after="0" w:afterAutospacing="0"/>
                              <w:jc w:val="both"/>
                              <w:textAlignment w:val="baseline"/>
                              <w:rPr>
                                <w:rFonts w:ascii="Arial" w:eastAsia="Verdana" w:hAnsi="Arial" w:cs="Arial"/>
                                <w:color w:val="000000"/>
                                <w:kern w:val="24"/>
                                <w:sz w:val="20"/>
                                <w:szCs w:val="20"/>
                              </w:rPr>
                            </w:pPr>
                            <w:r>
                              <w:rPr>
                                <w:rFonts w:ascii="Arial" w:eastAsia="Verdana" w:hAnsi="Arial" w:cs="Arial"/>
                                <w:color w:val="000000"/>
                                <w:kern w:val="24"/>
                                <w:sz w:val="20"/>
                                <w:szCs w:val="20"/>
                              </w:rPr>
                              <w:t>Fig. 7: Morbidity distribution in study areas</w:t>
                            </w:r>
                          </w:p>
                          <w:p w:rsidR="00BC544B" w:rsidRDefault="00BC544B">
                            <w:pPr>
                              <w:pStyle w:val="NormalWeb"/>
                              <w:spacing w:before="0" w:beforeAutospacing="0" w:after="0" w:afterAutospacing="0"/>
                              <w:jc w:val="both"/>
                              <w:textAlignment w:val="baseline"/>
                              <w:rPr>
                                <w:sz w:val="20"/>
                                <w:szCs w:val="20"/>
                              </w:rPr>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rect id="1044" filled="f" stroked="f" style="position:absolute;margin-left:1.0pt;margin-top:4.45pt;width:224.15pt;height:20.5pt;z-index:7;mso-position-horizontal-relative:margin;mso-position-vertical-relative:text;mso-width-percent:0;mso-height-percent:0;mso-width-relative:margin;mso-height-relative:margin;mso-wrap-distance-left:0.0pt;mso-wrap-distance-right:0.0pt;visibility:visible;">
                <v:fill/>
                <v:textbox>
                  <w:txbxContent>
                    <w:p>
                      <w:pPr>
                        <w:pStyle w:val="style94"/>
                        <w:spacing w:before="0" w:beforeAutospacing="false" w:after="0" w:afterAutospacing="false"/>
                        <w:jc w:val="both"/>
                        <w:textAlignment w:val="baseline"/>
                        <w:rPr>
                          <w:rFonts w:ascii="Arial" w:cs="Arial" w:eastAsia="Verdana" w:hAnsi="Arial"/>
                          <w:color w:val="000000"/>
                          <w:kern w:val="24"/>
                          <w:sz w:val="20"/>
                          <w:szCs w:val="20"/>
                        </w:rPr>
                      </w:pPr>
                      <w:r>
                        <w:rPr>
                          <w:rFonts w:ascii="Arial" w:cs="Arial" w:eastAsia="Verdana" w:hAnsi="Arial"/>
                          <w:color w:val="000000"/>
                          <w:kern w:val="24"/>
                          <w:sz w:val="20"/>
                          <w:szCs w:val="20"/>
                        </w:rPr>
                        <w:t xml:space="preserve">Fig. </w:t>
                      </w:r>
                      <w:r>
                        <w:rPr>
                          <w:rFonts w:ascii="Arial" w:cs="Arial" w:eastAsia="Verdana" w:hAnsi="Arial"/>
                          <w:color w:val="000000"/>
                          <w:kern w:val="24"/>
                          <w:sz w:val="20"/>
                          <w:szCs w:val="20"/>
                        </w:rPr>
                        <w:t>7</w:t>
                      </w:r>
                      <w:r>
                        <w:rPr>
                          <w:rFonts w:ascii="Arial" w:cs="Arial" w:eastAsia="Verdana" w:hAnsi="Arial"/>
                          <w:color w:val="000000"/>
                          <w:kern w:val="24"/>
                          <w:sz w:val="20"/>
                          <w:szCs w:val="20"/>
                        </w:rPr>
                        <w:t xml:space="preserve">: Morbidity </w:t>
                      </w:r>
                      <w:r>
                        <w:rPr>
                          <w:rFonts w:ascii="Arial" w:cs="Arial" w:eastAsia="Verdana" w:hAnsi="Arial"/>
                          <w:color w:val="000000"/>
                          <w:kern w:val="24"/>
                          <w:sz w:val="20"/>
                          <w:szCs w:val="20"/>
                        </w:rPr>
                        <w:t>distribution</w:t>
                      </w:r>
                      <w:r>
                        <w:rPr>
                          <w:rFonts w:ascii="Arial" w:cs="Arial" w:eastAsia="Verdana" w:hAnsi="Arial"/>
                          <w:color w:val="000000"/>
                          <w:kern w:val="24"/>
                          <w:sz w:val="20"/>
                          <w:szCs w:val="20"/>
                        </w:rPr>
                        <w:t xml:space="preserve"> </w:t>
                      </w:r>
                      <w:r>
                        <w:rPr>
                          <w:rFonts w:ascii="Arial" w:cs="Arial" w:eastAsia="Verdana" w:hAnsi="Arial"/>
                          <w:color w:val="000000"/>
                          <w:kern w:val="24"/>
                          <w:sz w:val="20"/>
                          <w:szCs w:val="20"/>
                        </w:rPr>
                        <w:t xml:space="preserve">in </w:t>
                      </w:r>
                      <w:r>
                        <w:rPr>
                          <w:rFonts w:ascii="Arial" w:cs="Arial" w:eastAsia="Verdana" w:hAnsi="Arial"/>
                          <w:color w:val="000000"/>
                          <w:kern w:val="24"/>
                          <w:sz w:val="20"/>
                          <w:szCs w:val="20"/>
                        </w:rPr>
                        <w:t xml:space="preserve">study </w:t>
                      </w:r>
                      <w:r>
                        <w:rPr>
                          <w:rFonts w:ascii="Arial" w:cs="Arial" w:eastAsia="Verdana" w:hAnsi="Arial"/>
                          <w:color w:val="000000"/>
                          <w:kern w:val="24"/>
                          <w:sz w:val="20"/>
                          <w:szCs w:val="20"/>
                        </w:rPr>
                        <w:t>areas</w:t>
                      </w:r>
                    </w:p>
                    <w:p>
                      <w:pPr>
                        <w:pStyle w:val="style94"/>
                        <w:spacing w:before="0" w:beforeAutospacing="false" w:after="0" w:afterAutospacing="false"/>
                        <w:jc w:val="both"/>
                        <w:textAlignment w:val="baseline"/>
                        <w:rPr>
                          <w:sz w:val="20"/>
                          <w:szCs w:val="20"/>
                        </w:rPr>
                      </w:pPr>
                    </w:p>
                  </w:txbxContent>
                </v:textbox>
              </v:rect>
            </w:pict>
          </mc:Fallback>
        </mc:AlternateContent>
      </w:r>
      <w:r>
        <w:rPr>
          <w:rFonts w:ascii="Times New Roman" w:hAnsi="Times New Roman"/>
          <w:sz w:val="24"/>
          <w:szCs w:val="24"/>
        </w:rPr>
        <w:t xml:space="preserve"> </w:t>
      </w:r>
    </w:p>
    <w:p w:rsidR="00BC544B" w:rsidRDefault="00BC544B">
      <w:pPr>
        <w:jc w:val="both"/>
        <w:rPr>
          <w:rFonts w:ascii="Times New Roman" w:hAnsi="Times New Roman"/>
          <w:sz w:val="24"/>
          <w:szCs w:val="24"/>
        </w:rPr>
      </w:pPr>
    </w:p>
    <w:p w:rsidR="00BC544B" w:rsidRDefault="00022753">
      <w:pPr>
        <w:jc w:val="both"/>
        <w:rPr>
          <w:rFonts w:ascii="Times New Roman" w:hAnsi="Times New Roman"/>
          <w:b/>
          <w:bCs/>
          <w:sz w:val="24"/>
          <w:szCs w:val="24"/>
        </w:rPr>
      </w:pPr>
      <w:r>
        <w:rPr>
          <w:b/>
          <w:bCs/>
          <w:noProof/>
        </w:rPr>
        <mc:AlternateContent>
          <mc:Choice Requires="wps">
            <w:drawing>
              <wp:anchor distT="0" distB="0" distL="0" distR="0" simplePos="0" relativeHeight="11" behindDoc="0" locked="0" layoutInCell="1" allowOverlap="1">
                <wp:simplePos x="0" y="0"/>
                <wp:positionH relativeFrom="column">
                  <wp:posOffset>-31750</wp:posOffset>
                </wp:positionH>
                <wp:positionV relativeFrom="paragraph">
                  <wp:posOffset>178435</wp:posOffset>
                </wp:positionV>
                <wp:extent cx="457200" cy="336550"/>
                <wp:effectExtent l="0" t="0" r="0" b="6350"/>
                <wp:wrapNone/>
                <wp:docPr id="10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36550"/>
                        </a:xfrm>
                        <a:prstGeom prst="rect">
                          <a:avLst/>
                        </a:prstGeom>
                        <a:solidFill>
                          <a:srgbClr val="FFFFFF"/>
                        </a:solidFill>
                        <a:ln>
                          <a:noFill/>
                        </a:ln>
                      </wps:spPr>
                      <wps:txbx>
                        <w:txbxContent>
                          <w:p w:rsidR="00BC544B" w:rsidRDefault="00022753">
                            <w:pPr>
                              <w:rPr>
                                <w:rFonts w:ascii="Arial" w:hAnsi="Arial" w:cs="Arial"/>
                                <w:b/>
                                <w:bCs/>
                                <w:sz w:val="22"/>
                                <w:szCs w:val="22"/>
                              </w:rPr>
                            </w:pPr>
                            <w:r>
                              <w:rPr>
                                <w:rFonts w:ascii="Arial" w:hAnsi="Arial" w:cs="Arial"/>
                                <w:b/>
                                <w:bCs/>
                                <w:sz w:val="22"/>
                                <w:szCs w:val="22"/>
                              </w:rPr>
                              <w:t>3.2.</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xmlns:wpsCustomData="http://www.wps.cn/officeDocument/2013/wpsCustomData">
            <w:pict>
              <v:rect id="1045" fillcolor="white" stroked="f" style="position:absolute;margin-left:-2.5pt;margin-top:14.05pt;width:36.0pt;height:26.5pt;z-index:11;mso-position-horizontal-relative:text;mso-position-vertical-relative:text;mso-width-percent:0;mso-width-relative:margin;mso-height-relative:page;mso-wrap-distance-left:0.0pt;mso-wrap-distance-right:0.0pt;visibility:visible;">
                <v:stroke on="f"/>
                <v:fill/>
                <v:textbox inset="7.2pt,3.6pt,7.2pt,3.6pt">
                  <w:txbxContent>
                    <w:p>
                      <w:pPr>
                        <w:pStyle w:val="style0"/>
                        <w:rPr>
                          <w:rFonts w:ascii="Arial" w:cs="Arial" w:hAnsi="Arial"/>
                          <w:b/>
                          <w:bCs/>
                          <w:sz w:val="22"/>
                          <w:szCs w:val="22"/>
                        </w:rPr>
                      </w:pPr>
                      <w:r>
                        <w:rPr>
                          <w:rFonts w:ascii="Arial" w:cs="Arial" w:hAnsi="Arial"/>
                          <w:b/>
                          <w:bCs/>
                          <w:sz w:val="22"/>
                          <w:szCs w:val="22"/>
                        </w:rPr>
                        <w:t>3.2</w:t>
                      </w:r>
                      <w:r>
                        <w:rPr>
                          <w:rFonts w:ascii="Arial" w:cs="Arial" w:hAnsi="Arial"/>
                          <w:b/>
                          <w:bCs/>
                          <w:sz w:val="22"/>
                          <w:szCs w:val="22"/>
                        </w:rPr>
                        <w:t>.</w:t>
                      </w:r>
                    </w:p>
                  </w:txbxContent>
                </v:textbox>
              </v:rect>
            </w:pict>
          </mc:Fallback>
        </mc:AlternateContent>
      </w:r>
      <w:r>
        <w:rPr>
          <w:b/>
          <w:bCs/>
          <w:noProof/>
        </w:rPr>
        <w:drawing>
          <wp:inline distT="0" distB="0" distL="0" distR="0">
            <wp:extent cx="4743450" cy="3816350"/>
            <wp:effectExtent l="0" t="0" r="0" b="0"/>
            <wp:docPr id="104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srcRect/>
                    <a:stretch/>
                  </pic:blipFill>
                  <pic:spPr>
                    <a:xfrm>
                      <a:off x="0" y="0"/>
                      <a:ext cx="4743450" cy="3816350"/>
                    </a:xfrm>
                    <a:prstGeom prst="rect">
                      <a:avLst/>
                    </a:prstGeom>
                  </pic:spPr>
                </pic:pic>
              </a:graphicData>
            </a:graphic>
          </wp:inline>
        </w:drawing>
      </w:r>
    </w:p>
    <w:p w:rsidR="00BC544B" w:rsidRDefault="00022753">
      <w:pPr>
        <w:jc w:val="both"/>
        <w:rPr>
          <w:rFonts w:ascii="Times New Roman" w:hAnsi="Times New Roman"/>
          <w:sz w:val="24"/>
          <w:szCs w:val="24"/>
        </w:rPr>
      </w:pPr>
      <w:r>
        <w:rPr>
          <w:noProof/>
        </w:rPr>
        <mc:AlternateContent>
          <mc:Choice Requires="wps">
            <w:drawing>
              <wp:anchor distT="0" distB="0" distL="0" distR="0" simplePos="0" relativeHeight="4" behindDoc="0" locked="0" layoutInCell="1" allowOverlap="1">
                <wp:simplePos x="0" y="0"/>
                <wp:positionH relativeFrom="margin">
                  <wp:posOffset>76200</wp:posOffset>
                </wp:positionH>
                <wp:positionV relativeFrom="paragraph">
                  <wp:posOffset>32385</wp:posOffset>
                </wp:positionV>
                <wp:extent cx="6267450" cy="292100"/>
                <wp:effectExtent l="0" t="0" r="0" b="0"/>
                <wp:wrapNone/>
                <wp:docPr id="10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0" cy="292100"/>
                        </a:xfrm>
                        <a:prstGeom prst="rect">
                          <a:avLst/>
                        </a:prstGeom>
                      </wps:spPr>
                      <wps:txbx>
                        <w:txbxContent>
                          <w:p w:rsidR="00BC544B" w:rsidRDefault="00022753">
                            <w:pPr>
                              <w:jc w:val="both"/>
                              <w:textAlignment w:val="baseline"/>
                              <w:rPr>
                                <w:rFonts w:ascii="Arial" w:eastAsia="Verdana" w:hAnsi="Arial" w:cs="Arial"/>
                                <w:iCs/>
                                <w:color w:val="000000"/>
                                <w:kern w:val="24"/>
                              </w:rPr>
                            </w:pPr>
                            <w:r>
                              <w:rPr>
                                <w:rFonts w:ascii="Arial" w:eastAsia="Verdana" w:hAnsi="Arial" w:cs="Arial"/>
                                <w:color w:val="000000"/>
                                <w:kern w:val="24"/>
                              </w:rPr>
                              <w:t xml:space="preserve">Fig. 9: </w:t>
                            </w:r>
                            <w:r>
                              <w:rPr>
                                <w:rFonts w:ascii="Arial" w:eastAsia="Verdana" w:hAnsi="Arial" w:cs="Arial"/>
                                <w:iCs/>
                                <w:color w:val="000000"/>
                                <w:kern w:val="24"/>
                              </w:rPr>
                              <w:t xml:space="preserve">Photomicrograph of </w:t>
                            </w:r>
                            <w:r>
                              <w:rPr>
                                <w:rFonts w:ascii="Arial" w:eastAsia="Verdana" w:hAnsi="Arial" w:cs="Arial"/>
                                <w:i/>
                                <w:iCs/>
                                <w:color w:val="000000"/>
                                <w:kern w:val="24"/>
                              </w:rPr>
                              <w:t>Wuchereria bancrofti</w:t>
                            </w:r>
                            <w:r>
                              <w:rPr>
                                <w:rFonts w:ascii="Arial" w:eastAsia="Verdana" w:hAnsi="Arial" w:cs="Arial"/>
                                <w:iCs/>
                                <w:color w:val="000000"/>
                                <w:kern w:val="24"/>
                              </w:rPr>
                              <w:t xml:space="preserve"> microfilariae ×1000 </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rect id="1047" filled="f" stroked="f" style="position:absolute;margin-left:6.0pt;margin-top:2.55pt;width:493.5pt;height:23.0pt;z-index:4;mso-position-horizontal-relative:margin;mso-position-vertical-relative:text;mso-width-percent:0;mso-height-percent:0;mso-width-relative:margin;mso-height-relative:margin;mso-wrap-distance-left:0.0pt;mso-wrap-distance-right:0.0pt;visibility:visible;">
                <v:fill/>
                <v:textbox>
                  <w:txbxContent>
                    <w:p>
                      <w:pPr>
                        <w:pStyle w:val="style0"/>
                        <w:jc w:val="both"/>
                        <w:textAlignment w:val="baseline"/>
                        <w:rPr>
                          <w:rFonts w:ascii="Arial" w:cs="Arial" w:eastAsia="Verdana" w:hAnsi="Arial"/>
                          <w:iCs/>
                          <w:color w:val="000000"/>
                          <w:kern w:val="24"/>
                        </w:rPr>
                      </w:pPr>
                      <w:r>
                        <w:rPr>
                          <w:rFonts w:ascii="Arial" w:cs="Arial" w:eastAsia="Verdana" w:hAnsi="Arial"/>
                          <w:color w:val="000000"/>
                          <w:kern w:val="24"/>
                        </w:rPr>
                        <w:t xml:space="preserve">Fig. </w:t>
                      </w:r>
                      <w:r>
                        <w:rPr>
                          <w:rFonts w:ascii="Arial" w:cs="Arial" w:eastAsia="Verdana" w:hAnsi="Arial"/>
                          <w:color w:val="000000"/>
                          <w:kern w:val="24"/>
                        </w:rPr>
                        <w:t>9</w:t>
                      </w:r>
                      <w:r>
                        <w:rPr>
                          <w:rFonts w:ascii="Arial" w:cs="Arial" w:eastAsia="Verdana" w:hAnsi="Arial"/>
                          <w:color w:val="000000"/>
                          <w:kern w:val="24"/>
                        </w:rPr>
                        <w:t xml:space="preserve">: </w:t>
                      </w:r>
                      <w:r>
                        <w:rPr>
                          <w:rFonts w:ascii="Arial" w:cs="Arial" w:eastAsia="Verdana" w:hAnsi="Arial"/>
                          <w:iCs/>
                          <w:color w:val="000000"/>
                          <w:kern w:val="24"/>
                        </w:rPr>
                        <w:t xml:space="preserve">Photomicrograph of </w:t>
                      </w:r>
                      <w:r>
                        <w:rPr>
                          <w:rFonts w:ascii="Arial" w:cs="Arial" w:eastAsia="Verdana" w:hAnsi="Arial"/>
                          <w:i/>
                          <w:iCs/>
                          <w:color w:val="000000"/>
                          <w:kern w:val="24"/>
                        </w:rPr>
                        <w:t>Wuchereria</w:t>
                      </w:r>
                      <w:r>
                        <w:rPr>
                          <w:rFonts w:ascii="Arial" w:cs="Arial" w:eastAsia="Verdana" w:hAnsi="Arial"/>
                          <w:i/>
                          <w:iCs/>
                          <w:color w:val="000000"/>
                          <w:kern w:val="24"/>
                        </w:rPr>
                        <w:t xml:space="preserve"> </w:t>
                      </w:r>
                      <w:r>
                        <w:rPr>
                          <w:rFonts w:ascii="Arial" w:cs="Arial" w:eastAsia="Verdana" w:hAnsi="Arial"/>
                          <w:i/>
                          <w:iCs/>
                          <w:color w:val="000000"/>
                          <w:kern w:val="24"/>
                        </w:rPr>
                        <w:t>bancrofti</w:t>
                      </w:r>
                      <w:r>
                        <w:rPr>
                          <w:rFonts w:ascii="Arial" w:cs="Arial" w:eastAsia="Verdana" w:hAnsi="Arial"/>
                          <w:iCs/>
                          <w:color w:val="000000"/>
                          <w:kern w:val="24"/>
                        </w:rPr>
                        <w:t xml:space="preserve"> microfilariae ×100</w:t>
                      </w:r>
                      <w:r>
                        <w:rPr>
                          <w:rFonts w:ascii="Arial" w:cs="Arial" w:eastAsia="Verdana" w:hAnsi="Arial"/>
                          <w:iCs/>
                          <w:color w:val="000000"/>
                          <w:kern w:val="24"/>
                        </w:rPr>
                        <w:t>0</w:t>
                      </w:r>
                      <w:r>
                        <w:rPr>
                          <w:rFonts w:ascii="Arial" w:cs="Arial" w:eastAsia="Verdana" w:hAnsi="Arial"/>
                          <w:iCs/>
                          <w:color w:val="000000"/>
                          <w:kern w:val="24"/>
                        </w:rPr>
                        <w:t xml:space="preserve"> </w:t>
                      </w:r>
                    </w:p>
                  </w:txbxContent>
                </v:textbox>
              </v:rect>
            </w:pict>
          </mc:Fallback>
        </mc:AlternateContent>
      </w:r>
    </w:p>
    <w:p w:rsidR="00BC544B" w:rsidRDefault="00BC544B">
      <w:pPr>
        <w:jc w:val="both"/>
        <w:rPr>
          <w:rFonts w:ascii="Times New Roman" w:hAnsi="Times New Roman"/>
          <w:sz w:val="24"/>
          <w:szCs w:val="24"/>
        </w:rPr>
      </w:pPr>
    </w:p>
    <w:p w:rsidR="00BC544B" w:rsidRDefault="00BC544B">
      <w:pPr>
        <w:jc w:val="both"/>
        <w:rPr>
          <w:rFonts w:ascii="Arial" w:hAnsi="Arial" w:cs="Arial"/>
        </w:rPr>
      </w:pPr>
    </w:p>
    <w:p w:rsidR="00BC544B" w:rsidRDefault="00022753">
      <w:pPr>
        <w:jc w:val="both"/>
        <w:rPr>
          <w:rFonts w:ascii="Arial" w:hAnsi="Arial" w:cs="Arial"/>
        </w:rPr>
      </w:pPr>
      <w:r>
        <w:rPr>
          <w:rFonts w:ascii="Arial" w:hAnsi="Arial" w:cs="Arial"/>
        </w:rPr>
        <w:t xml:space="preserve">More males (60%) were infected in Ugbegun and Oba- Akoko communities than females (40%). However, In Agba and Supare community a reverse prevalence was recorded with 55.6% females infected in </w:t>
      </w:r>
      <w:r>
        <w:rPr>
          <w:rFonts w:ascii="Arial" w:hAnsi="Arial" w:cs="Arial"/>
        </w:rPr>
        <w:t xml:space="preserve">both communities. Although, no significant relationship exists between infection and gender (P&gt;0.05). </w:t>
      </w:r>
    </w:p>
    <w:p w:rsidR="00BC544B" w:rsidRDefault="00BC544B">
      <w:pPr>
        <w:jc w:val="both"/>
        <w:rPr>
          <w:rFonts w:ascii="Arial" w:hAnsi="Arial" w:cs="Arial"/>
          <w:b/>
          <w:bCs/>
          <w:sz w:val="24"/>
          <w:szCs w:val="24"/>
        </w:rPr>
      </w:pPr>
    </w:p>
    <w:p w:rsidR="00BC544B" w:rsidRDefault="00BC544B">
      <w:pPr>
        <w:jc w:val="both"/>
        <w:rPr>
          <w:rFonts w:ascii="Arial" w:hAnsi="Arial" w:cs="Arial"/>
          <w:b/>
          <w:bCs/>
          <w:sz w:val="22"/>
          <w:szCs w:val="22"/>
        </w:rPr>
      </w:pPr>
    </w:p>
    <w:p w:rsidR="00BC544B" w:rsidRDefault="00BC544B">
      <w:pPr>
        <w:jc w:val="both"/>
        <w:rPr>
          <w:rFonts w:ascii="Arial" w:hAnsi="Arial" w:cs="Arial"/>
          <w:b/>
          <w:bCs/>
          <w:sz w:val="22"/>
          <w:szCs w:val="22"/>
        </w:rPr>
      </w:pPr>
    </w:p>
    <w:p w:rsidR="00BC544B" w:rsidRDefault="00022753">
      <w:pPr>
        <w:jc w:val="both"/>
        <w:rPr>
          <w:rFonts w:ascii="Arial" w:eastAsia="Verdana" w:hAnsi="Arial" w:cs="Arial"/>
          <w:b/>
          <w:bCs/>
          <w:color w:val="000000"/>
          <w:kern w:val="24"/>
          <w:sz w:val="44"/>
          <w:szCs w:val="44"/>
        </w:rPr>
      </w:pPr>
      <w:r>
        <w:rPr>
          <w:rFonts w:ascii="Arial" w:hAnsi="Arial" w:cs="Arial"/>
          <w:b/>
          <w:bCs/>
          <w:noProof/>
          <w:sz w:val="22"/>
          <w:szCs w:val="22"/>
        </w:rPr>
        <mc:AlternateContent>
          <mc:Choice Requires="wps">
            <w:drawing>
              <wp:anchor distT="0" distB="0" distL="0" distR="0" simplePos="0" relativeHeight="8" behindDoc="0" locked="0" layoutInCell="1" allowOverlap="1">
                <wp:simplePos x="0" y="0"/>
                <wp:positionH relativeFrom="margin">
                  <wp:posOffset>-88900</wp:posOffset>
                </wp:positionH>
                <wp:positionV relativeFrom="paragraph">
                  <wp:posOffset>207645</wp:posOffset>
                </wp:positionV>
                <wp:extent cx="6311900" cy="304799"/>
                <wp:effectExtent l="0" t="0" r="0" b="0"/>
                <wp:wrapNone/>
                <wp:docPr id="1048" name="TextBox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0" cy="304799"/>
                        </a:xfrm>
                        <a:prstGeom prst="rect">
                          <a:avLst/>
                        </a:prstGeom>
                      </wps:spPr>
                      <wps:txbx>
                        <w:txbxContent>
                          <w:p w:rsidR="00BC544B" w:rsidRDefault="00022753">
                            <w:pPr>
                              <w:jc w:val="both"/>
                              <w:rPr>
                                <w:rFonts w:ascii="Times New Roman" w:eastAsia="Verdana" w:hAnsi="Times New Roman"/>
                                <w:color w:val="000000"/>
                                <w:kern w:val="24"/>
                                <w:sz w:val="22"/>
                                <w:szCs w:val="22"/>
                              </w:rPr>
                            </w:pPr>
                            <w:r>
                              <w:rPr>
                                <w:rFonts w:ascii="Times New Roman" w:eastAsia="Verdana" w:hAnsi="Times New Roman"/>
                                <w:color w:val="000000"/>
                                <w:kern w:val="24"/>
                                <w:sz w:val="22"/>
                                <w:szCs w:val="22"/>
                              </w:rPr>
                              <w:t>Overall Socio-economic impact of LF infection in study population and effect on livelihood</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rect id="1048" filled="f" stroked="f" style="position:absolute;margin-left:-7.0pt;margin-top:16.35pt;width:497.0pt;height:24.0pt;z-index:8;mso-position-horizontal-relative:margin;mso-position-vertical-relative:text;mso-width-percent:0;mso-height-percent:0;mso-width-relative:margin;mso-height-relative:margin;mso-wrap-distance-left:0.0pt;mso-wrap-distance-right:0.0pt;visibility:visible;">
                <v:fill/>
                <v:textbox>
                  <w:txbxContent>
                    <w:p>
                      <w:pPr>
                        <w:pStyle w:val="style0"/>
                        <w:jc w:val="both"/>
                        <w:rPr>
                          <w:rFonts w:ascii="Times New Roman" w:eastAsia="Verdana" w:hAnsi="Times New Roman"/>
                          <w:color w:val="000000"/>
                          <w:kern w:val="24"/>
                          <w:sz w:val="22"/>
                          <w:szCs w:val="22"/>
                        </w:rPr>
                      </w:pPr>
                      <w:r>
                        <w:rPr>
                          <w:rFonts w:ascii="Times New Roman" w:eastAsia="Verdana" w:hAnsi="Times New Roman"/>
                          <w:color w:val="000000"/>
                          <w:kern w:val="24"/>
                          <w:sz w:val="22"/>
                          <w:szCs w:val="22"/>
                        </w:rPr>
                        <w:t>Overall Socio-economic impact of LF infection in study population and effect on livelihood</w:t>
                      </w:r>
                    </w:p>
                  </w:txbxContent>
                </v:textbox>
              </v:rect>
            </w:pict>
          </mc:Fallback>
        </mc:AlternateContent>
      </w:r>
      <w:r>
        <w:rPr>
          <w:rFonts w:ascii="Arial" w:hAnsi="Arial" w:cs="Arial"/>
          <w:b/>
          <w:bCs/>
          <w:sz w:val="22"/>
          <w:szCs w:val="22"/>
        </w:rPr>
        <w:t>3.3. Socio-economic impact on study population</w:t>
      </w:r>
      <w:r>
        <w:rPr>
          <w:rFonts w:ascii="Arial" w:eastAsia="Verdana" w:hAnsi="Arial" w:cs="Arial"/>
          <w:b/>
          <w:bCs/>
          <w:color w:val="000000"/>
          <w:kern w:val="24"/>
          <w:sz w:val="44"/>
          <w:szCs w:val="44"/>
        </w:rPr>
        <w:t xml:space="preserve"> </w:t>
      </w:r>
    </w:p>
    <w:p w:rsidR="00BC544B" w:rsidRDefault="00BC544B">
      <w:pPr>
        <w:jc w:val="both"/>
        <w:rPr>
          <w:rFonts w:ascii="Arial" w:eastAsia="Verdana" w:hAnsi="Arial" w:cs="Arial"/>
          <w:b/>
          <w:bCs/>
          <w:color w:val="000000"/>
          <w:kern w:val="24"/>
          <w:sz w:val="48"/>
          <w:szCs w:val="48"/>
        </w:rPr>
      </w:pPr>
    </w:p>
    <w:p w:rsidR="00BC544B" w:rsidRDefault="00BC544B">
      <w:pPr>
        <w:pStyle w:val="Body"/>
        <w:spacing w:after="0"/>
        <w:rPr>
          <w:rFonts w:ascii="Arial" w:hAnsi="Arial" w:cs="Arial"/>
        </w:rPr>
      </w:pPr>
    </w:p>
    <w:p w:rsidR="00BC544B" w:rsidRDefault="00022753">
      <w:pPr>
        <w:pStyle w:val="Body"/>
        <w:spacing w:after="0"/>
        <w:rPr>
          <w:rFonts w:ascii="Arial" w:hAnsi="Arial" w:cs="Arial"/>
        </w:rPr>
      </w:pPr>
      <w:r>
        <w:rPr>
          <w:rFonts w:ascii="Arial" w:hAnsi="Arial" w:cs="Arial"/>
          <w:noProof/>
        </w:rPr>
        <w:lastRenderedPageBreak/>
        <w:drawing>
          <wp:inline distT="0" distB="0" distL="0" distR="0">
            <wp:extent cx="2806700" cy="2686050"/>
            <wp:effectExtent l="0" t="0" r="0" b="0"/>
            <wp:docPr id="10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a:blip r:embed="rId23" cstate="print"/>
                    <a:srcRect/>
                    <a:stretch/>
                  </pic:blipFill>
                  <pic:spPr>
                    <a:xfrm>
                      <a:off x="0" y="0"/>
                      <a:ext cx="2806700" cy="2686050"/>
                    </a:xfrm>
                    <a:prstGeom prst="rect">
                      <a:avLst/>
                    </a:prstGeom>
                  </pic:spPr>
                </pic:pic>
              </a:graphicData>
            </a:graphic>
          </wp:inline>
        </w:drawing>
      </w:r>
      <w:r>
        <w:rPr>
          <w:rFonts w:ascii="Arial" w:hAnsi="Arial" w:cs="Arial"/>
          <w:noProof/>
        </w:rPr>
        <w:drawing>
          <wp:inline distT="0" distB="0" distL="0" distR="0">
            <wp:extent cx="2667000" cy="2679700"/>
            <wp:effectExtent l="0" t="0" r="0" b="6350"/>
            <wp:docPr id="105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3"/>
                    <pic:cNvPicPr/>
                  </pic:nvPicPr>
                  <pic:blipFill>
                    <a:blip r:embed="rId24" cstate="print"/>
                    <a:srcRect/>
                    <a:stretch/>
                  </pic:blipFill>
                  <pic:spPr>
                    <a:xfrm>
                      <a:off x="0" y="0"/>
                      <a:ext cx="2667000" cy="2679700"/>
                    </a:xfrm>
                    <a:prstGeom prst="rect">
                      <a:avLst/>
                    </a:prstGeom>
                  </pic:spPr>
                </pic:pic>
              </a:graphicData>
            </a:graphic>
          </wp:inline>
        </w:drawing>
      </w:r>
    </w:p>
    <w:p w:rsidR="00BC544B" w:rsidRDefault="00022753">
      <w:pPr>
        <w:pStyle w:val="Body"/>
        <w:spacing w:after="0"/>
        <w:rPr>
          <w:rFonts w:ascii="Arial" w:hAnsi="Arial" w:cs="Arial"/>
        </w:rPr>
      </w:pPr>
      <w:r>
        <w:rPr>
          <w:noProof/>
        </w:rPr>
        <mc:AlternateContent>
          <mc:Choice Requires="wps">
            <w:drawing>
              <wp:anchor distT="0" distB="0" distL="0" distR="0" simplePos="0" relativeHeight="12" behindDoc="0" locked="0" layoutInCell="1" allowOverlap="1">
                <wp:simplePos x="0" y="0"/>
                <wp:positionH relativeFrom="margin">
                  <wp:posOffset>-171450</wp:posOffset>
                </wp:positionH>
                <wp:positionV relativeFrom="paragraph">
                  <wp:posOffset>142875</wp:posOffset>
                </wp:positionV>
                <wp:extent cx="3162300" cy="381000"/>
                <wp:effectExtent l="0" t="0" r="0" b="0"/>
                <wp:wrapNone/>
                <wp:docPr id="10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381000"/>
                        </a:xfrm>
                        <a:prstGeom prst="rect">
                          <a:avLst/>
                        </a:prstGeom>
                      </wps:spPr>
                      <wps:txbx>
                        <w:txbxContent>
                          <w:p w:rsidR="00BC544B" w:rsidRDefault="00022753">
                            <w:pPr>
                              <w:pStyle w:val="NormalWeb"/>
                              <w:spacing w:before="0" w:beforeAutospacing="0" w:after="0" w:afterAutospacing="0"/>
                              <w:jc w:val="both"/>
                              <w:textAlignment w:val="baseline"/>
                              <w:rPr>
                                <w:rFonts w:ascii="Arial" w:eastAsia="Verdana" w:hAnsi="Arial" w:cs="Arial"/>
                                <w:color w:val="000000"/>
                                <w:kern w:val="24"/>
                                <w:sz w:val="20"/>
                                <w:szCs w:val="20"/>
                              </w:rPr>
                            </w:pPr>
                            <w:r>
                              <w:rPr>
                                <w:rFonts w:ascii="Arial" w:eastAsia="Verdana" w:hAnsi="Arial" w:cs="Arial"/>
                                <w:color w:val="000000"/>
                                <w:kern w:val="24"/>
                                <w:sz w:val="20"/>
                                <w:szCs w:val="20"/>
                              </w:rPr>
                              <w:t>Fig. 10: LF affected population with Socio-economic burden</w:t>
                            </w:r>
                            <w:r>
                              <w:rPr>
                                <w:rFonts w:ascii="Arial" w:eastAsia="Verdana" w:hAnsi="Arial" w:cs="Arial"/>
                                <w:i/>
                                <w:iCs/>
                                <w:color w:val="000000"/>
                                <w:kern w:val="24"/>
                                <w:sz w:val="20"/>
                                <w:szCs w:val="20"/>
                              </w:rPr>
                              <w:t xml:space="preserve"> ꭕ2=141.262, P=0.01 (P&lt;0.05)</w:t>
                            </w:r>
                          </w:p>
                          <w:p w:rsidR="00BC544B" w:rsidRDefault="00BC544B">
                            <w:pPr>
                              <w:pStyle w:val="NormalWeb"/>
                              <w:spacing w:before="0" w:beforeAutospacing="0" w:after="0" w:afterAutospacing="0"/>
                              <w:jc w:val="both"/>
                              <w:textAlignment w:val="baseline"/>
                              <w:rPr>
                                <w:sz w:val="20"/>
                                <w:szCs w:val="20"/>
                              </w:rPr>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rect id="1051" filled="f" stroked="f" style="position:absolute;margin-left:-13.5pt;margin-top:11.25pt;width:249.0pt;height:30.0pt;z-index:12;mso-position-horizontal-relative:margin;mso-position-vertical-relative:text;mso-width-percent:0;mso-height-percent:0;mso-width-relative:margin;mso-height-relative:margin;mso-wrap-distance-left:0.0pt;mso-wrap-distance-right:0.0pt;visibility:visible;">
                <v:fill/>
                <v:textbox>
                  <w:txbxContent>
                    <w:p>
                      <w:pPr>
                        <w:pStyle w:val="style94"/>
                        <w:spacing w:before="0" w:beforeAutospacing="false" w:after="0" w:afterAutospacing="false"/>
                        <w:jc w:val="both"/>
                        <w:textAlignment w:val="baseline"/>
                        <w:rPr>
                          <w:rFonts w:ascii="Arial" w:cs="Arial" w:eastAsia="Verdana" w:hAnsi="Arial"/>
                          <w:color w:val="000000"/>
                          <w:kern w:val="24"/>
                          <w:sz w:val="20"/>
                          <w:szCs w:val="20"/>
                        </w:rPr>
                      </w:pPr>
                      <w:r>
                        <w:rPr>
                          <w:rFonts w:ascii="Arial" w:cs="Arial" w:eastAsia="Verdana" w:hAnsi="Arial"/>
                          <w:color w:val="000000"/>
                          <w:kern w:val="24"/>
                          <w:sz w:val="20"/>
                          <w:szCs w:val="20"/>
                        </w:rPr>
                        <w:t>Fig. 1</w:t>
                      </w:r>
                      <w:r>
                        <w:rPr>
                          <w:rFonts w:ascii="Arial" w:cs="Arial" w:eastAsia="Verdana" w:hAnsi="Arial"/>
                          <w:color w:val="000000"/>
                          <w:kern w:val="24"/>
                          <w:sz w:val="20"/>
                          <w:szCs w:val="20"/>
                        </w:rPr>
                        <w:t>0</w:t>
                      </w:r>
                      <w:r>
                        <w:rPr>
                          <w:rFonts w:ascii="Arial" w:cs="Arial" w:eastAsia="Verdana" w:hAnsi="Arial"/>
                          <w:color w:val="000000"/>
                          <w:kern w:val="24"/>
                          <w:sz w:val="20"/>
                          <w:szCs w:val="20"/>
                        </w:rPr>
                        <w:t xml:space="preserve">: </w:t>
                      </w:r>
                      <w:r>
                        <w:rPr>
                          <w:rFonts w:ascii="Arial" w:cs="Arial" w:eastAsia="Verdana" w:hAnsi="Arial"/>
                          <w:color w:val="000000"/>
                          <w:kern w:val="24"/>
                          <w:sz w:val="20"/>
                          <w:szCs w:val="20"/>
                        </w:rPr>
                        <w:t xml:space="preserve">LF affected population with </w:t>
                      </w:r>
                      <w:r>
                        <w:rPr>
                          <w:rFonts w:ascii="Arial" w:cs="Arial" w:eastAsia="Verdana" w:hAnsi="Arial"/>
                          <w:color w:val="000000"/>
                          <w:kern w:val="24"/>
                          <w:sz w:val="20"/>
                          <w:szCs w:val="20"/>
                        </w:rPr>
                        <w:t>Socio-economic burden</w:t>
                      </w:r>
                      <w:r>
                        <w:rPr>
                          <w:rFonts w:ascii="Arial" w:cs="Arial" w:eastAsia="Verdana" w:hAnsi="Arial"/>
                          <w:i/>
                          <w:iCs/>
                          <w:color w:val="000000"/>
                          <w:kern w:val="24"/>
                          <w:sz w:val="20"/>
                          <w:szCs w:val="20"/>
                        </w:rPr>
                        <w:t xml:space="preserve"> ꭕ2=141.262, P=0.0</w:t>
                      </w:r>
                      <w:r>
                        <w:rPr>
                          <w:rFonts w:ascii="Arial" w:cs="Arial" w:eastAsia="Verdana" w:hAnsi="Arial"/>
                          <w:i/>
                          <w:iCs/>
                          <w:color w:val="000000"/>
                          <w:kern w:val="24"/>
                          <w:sz w:val="20"/>
                          <w:szCs w:val="20"/>
                        </w:rPr>
                        <w:t>1</w:t>
                      </w:r>
                      <w:r>
                        <w:rPr>
                          <w:rFonts w:ascii="Arial" w:cs="Arial" w:eastAsia="Verdana" w:hAnsi="Arial"/>
                          <w:i/>
                          <w:iCs/>
                          <w:color w:val="000000"/>
                          <w:kern w:val="24"/>
                          <w:sz w:val="20"/>
                          <w:szCs w:val="20"/>
                        </w:rPr>
                        <w:t xml:space="preserve"> (P&lt;0.05)</w:t>
                      </w:r>
                    </w:p>
                    <w:p>
                      <w:pPr>
                        <w:pStyle w:val="style94"/>
                        <w:spacing w:before="0" w:beforeAutospacing="false" w:after="0" w:afterAutospacing="false"/>
                        <w:jc w:val="both"/>
                        <w:textAlignment w:val="baseline"/>
                        <w:rPr>
                          <w:sz w:val="20"/>
                          <w:szCs w:val="20"/>
                        </w:rPr>
                      </w:pPr>
                    </w:p>
                  </w:txbxContent>
                </v:textbox>
              </v:rect>
            </w:pict>
          </mc:Fallback>
        </mc:AlternateContent>
      </w:r>
    </w:p>
    <w:p w:rsidR="00BC544B" w:rsidRDefault="00022753">
      <w:pPr>
        <w:pStyle w:val="Body"/>
        <w:spacing w:after="0"/>
        <w:rPr>
          <w:rFonts w:ascii="Arial" w:hAnsi="Arial" w:cs="Arial"/>
        </w:rPr>
      </w:pPr>
      <w:r>
        <w:rPr>
          <w:noProof/>
        </w:rPr>
        <mc:AlternateContent>
          <mc:Choice Requires="wps">
            <w:drawing>
              <wp:anchor distT="0" distB="0" distL="0" distR="0" simplePos="0" relativeHeight="13" behindDoc="0" locked="0" layoutInCell="1" allowOverlap="1">
                <wp:simplePos x="0" y="0"/>
                <wp:positionH relativeFrom="margin">
                  <wp:posOffset>3009900</wp:posOffset>
                </wp:positionH>
                <wp:positionV relativeFrom="paragraph">
                  <wp:posOffset>5715</wp:posOffset>
                </wp:positionV>
                <wp:extent cx="3683000" cy="381000"/>
                <wp:effectExtent l="0" t="0" r="0" b="0"/>
                <wp:wrapNone/>
                <wp:docPr id="10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0" cy="381000"/>
                        </a:xfrm>
                        <a:prstGeom prst="rect">
                          <a:avLst/>
                        </a:prstGeom>
                      </wps:spPr>
                      <wps:txbx>
                        <w:txbxContent>
                          <w:p w:rsidR="00BC544B" w:rsidRDefault="00022753">
                            <w:pPr>
                              <w:pStyle w:val="NormalWeb"/>
                              <w:spacing w:before="0" w:beforeAutospacing="0" w:after="0" w:afterAutospacing="0"/>
                              <w:jc w:val="both"/>
                              <w:textAlignment w:val="baseline"/>
                              <w:rPr>
                                <w:rFonts w:ascii="Arial" w:eastAsia="Verdana" w:hAnsi="Arial" w:cs="Arial"/>
                                <w:i/>
                                <w:iCs/>
                                <w:color w:val="000000"/>
                                <w:kern w:val="24"/>
                                <w:sz w:val="20"/>
                                <w:szCs w:val="20"/>
                              </w:rPr>
                            </w:pPr>
                            <w:r>
                              <w:rPr>
                                <w:rFonts w:ascii="Arial" w:eastAsia="Verdana" w:hAnsi="Arial" w:cs="Arial"/>
                                <w:color w:val="000000"/>
                                <w:kern w:val="24"/>
                                <w:sz w:val="20"/>
                                <w:szCs w:val="20"/>
                              </w:rPr>
                              <w:t>Fig. 11: Morbidity burden</w:t>
                            </w:r>
                            <w:r>
                              <w:rPr>
                                <w:rFonts w:ascii="Arial" w:eastAsia="Verdana" w:hAnsi="Arial" w:cs="Arial"/>
                                <w:i/>
                                <w:iCs/>
                                <w:color w:val="000000"/>
                                <w:kern w:val="24"/>
                                <w:sz w:val="20"/>
                                <w:szCs w:val="20"/>
                              </w:rPr>
                              <w:t xml:space="preserve"> </w:t>
                            </w:r>
                            <w:r>
                              <w:rPr>
                                <w:rFonts w:ascii="Arial" w:eastAsia="Verdana" w:hAnsi="Arial" w:cs="Arial"/>
                                <w:color w:val="000000"/>
                                <w:kern w:val="24"/>
                                <w:sz w:val="20"/>
                                <w:szCs w:val="20"/>
                              </w:rPr>
                              <w:t xml:space="preserve">of LF on affected population </w:t>
                            </w:r>
                            <w:r>
                              <w:rPr>
                                <w:rFonts w:ascii="Arial" w:eastAsia="Verdana" w:hAnsi="Arial" w:cs="Arial"/>
                                <w:i/>
                                <w:iCs/>
                                <w:color w:val="000000"/>
                                <w:kern w:val="24"/>
                                <w:sz w:val="20"/>
                                <w:szCs w:val="20"/>
                              </w:rPr>
                              <w:t>ꭕ</w:t>
                            </w:r>
                            <w:r>
                              <w:rPr>
                                <w:rFonts w:ascii="Arial" w:eastAsia="Verdana" w:hAnsi="Arial" w:cs="Arial"/>
                                <w:i/>
                                <w:iCs/>
                                <w:color w:val="000000"/>
                                <w:kern w:val="24"/>
                                <w:sz w:val="20"/>
                                <w:szCs w:val="20"/>
                              </w:rPr>
                              <w:t>2=73.556, P=0.001 (P&lt;0.05)</w:t>
                            </w:r>
                          </w:p>
                          <w:p w:rsidR="00BC544B" w:rsidRDefault="00BC544B">
                            <w:pPr>
                              <w:pStyle w:val="NormalWeb"/>
                              <w:spacing w:before="0" w:beforeAutospacing="0" w:after="0" w:afterAutospacing="0"/>
                              <w:jc w:val="both"/>
                              <w:textAlignment w:val="baseline"/>
                              <w:rPr>
                                <w:rFonts w:ascii="Arial" w:eastAsia="Verdana" w:hAnsi="Arial" w:cs="Arial"/>
                                <w:i/>
                                <w:iCs/>
                                <w:color w:val="000000"/>
                                <w:kern w:val="24"/>
                                <w:sz w:val="20"/>
                                <w:szCs w:val="20"/>
                              </w:rPr>
                            </w:pPr>
                          </w:p>
                          <w:p w:rsidR="00BC544B" w:rsidRDefault="00BC544B">
                            <w:pPr>
                              <w:pStyle w:val="NormalWeb"/>
                              <w:spacing w:before="0" w:beforeAutospacing="0" w:after="0" w:afterAutospacing="0"/>
                              <w:jc w:val="both"/>
                              <w:textAlignment w:val="baseline"/>
                              <w:rPr>
                                <w:rFonts w:ascii="Arial" w:eastAsia="Verdana" w:hAnsi="Arial" w:cs="Arial"/>
                                <w:color w:val="000000"/>
                                <w:kern w:val="24"/>
                                <w:sz w:val="20"/>
                                <w:szCs w:val="20"/>
                              </w:rPr>
                            </w:pPr>
                          </w:p>
                          <w:p w:rsidR="00BC544B" w:rsidRDefault="00BC544B">
                            <w:pPr>
                              <w:pStyle w:val="NormalWeb"/>
                              <w:spacing w:before="0" w:beforeAutospacing="0" w:after="0" w:afterAutospacing="0"/>
                              <w:jc w:val="both"/>
                              <w:textAlignment w:val="baseline"/>
                              <w:rPr>
                                <w:sz w:val="20"/>
                                <w:szCs w:val="20"/>
                              </w:rPr>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rect id="1052" filled="f" stroked="f" style="position:absolute;margin-left:237.0pt;margin-top:0.45pt;width:290.0pt;height:30.0pt;z-index:13;mso-position-horizontal-relative:margin;mso-position-vertical-relative:text;mso-width-percent:0;mso-height-percent:0;mso-width-relative:margin;mso-height-relative:margin;mso-wrap-distance-left:0.0pt;mso-wrap-distance-right:0.0pt;visibility:visible;">
                <v:fill/>
                <v:textbox>
                  <w:txbxContent>
                    <w:p>
                      <w:pPr>
                        <w:pStyle w:val="style94"/>
                        <w:spacing w:before="0" w:beforeAutospacing="false" w:after="0" w:afterAutospacing="false"/>
                        <w:jc w:val="both"/>
                        <w:textAlignment w:val="baseline"/>
                        <w:rPr>
                          <w:rFonts w:ascii="Arial" w:cs="Arial" w:eastAsia="Verdana" w:hAnsi="Arial"/>
                          <w:i/>
                          <w:iCs/>
                          <w:color w:val="000000"/>
                          <w:kern w:val="24"/>
                          <w:sz w:val="20"/>
                          <w:szCs w:val="20"/>
                        </w:rPr>
                      </w:pPr>
                      <w:r>
                        <w:rPr>
                          <w:rFonts w:ascii="Arial" w:cs="Arial" w:eastAsia="Verdana" w:hAnsi="Arial"/>
                          <w:color w:val="000000"/>
                          <w:kern w:val="24"/>
                          <w:sz w:val="20"/>
                          <w:szCs w:val="20"/>
                        </w:rPr>
                        <w:t>Fig. 1</w:t>
                      </w:r>
                      <w:r>
                        <w:rPr>
                          <w:rFonts w:ascii="Arial" w:cs="Arial" w:eastAsia="Verdana" w:hAnsi="Arial"/>
                          <w:color w:val="000000"/>
                          <w:kern w:val="24"/>
                          <w:sz w:val="20"/>
                          <w:szCs w:val="20"/>
                        </w:rPr>
                        <w:t>1</w:t>
                      </w:r>
                      <w:r>
                        <w:rPr>
                          <w:rFonts w:ascii="Arial" w:cs="Arial" w:eastAsia="Verdana" w:hAnsi="Arial"/>
                          <w:color w:val="000000"/>
                          <w:kern w:val="24"/>
                          <w:sz w:val="20"/>
                          <w:szCs w:val="20"/>
                        </w:rPr>
                        <w:t xml:space="preserve">: </w:t>
                      </w:r>
                      <w:r>
                        <w:rPr>
                          <w:rFonts w:ascii="Arial" w:cs="Arial" w:eastAsia="Verdana" w:hAnsi="Arial"/>
                          <w:color w:val="000000"/>
                          <w:kern w:val="24"/>
                          <w:sz w:val="20"/>
                          <w:szCs w:val="20"/>
                        </w:rPr>
                        <w:t>Morbidity</w:t>
                      </w:r>
                      <w:r>
                        <w:rPr>
                          <w:rFonts w:ascii="Arial" w:cs="Arial" w:eastAsia="Verdana" w:hAnsi="Arial"/>
                          <w:color w:val="000000"/>
                          <w:kern w:val="24"/>
                          <w:sz w:val="20"/>
                          <w:szCs w:val="20"/>
                        </w:rPr>
                        <w:t xml:space="preserve"> burden</w:t>
                      </w:r>
                      <w:r>
                        <w:rPr>
                          <w:rFonts w:ascii="Arial" w:cs="Arial" w:eastAsia="Verdana" w:hAnsi="Arial"/>
                          <w:i/>
                          <w:iCs/>
                          <w:color w:val="000000"/>
                          <w:kern w:val="24"/>
                          <w:sz w:val="20"/>
                          <w:szCs w:val="20"/>
                        </w:rPr>
                        <w:t xml:space="preserve"> </w:t>
                      </w:r>
                      <w:r>
                        <w:rPr>
                          <w:rFonts w:ascii="Arial" w:cs="Arial" w:eastAsia="Verdana" w:hAnsi="Arial"/>
                          <w:color w:val="000000"/>
                          <w:kern w:val="24"/>
                          <w:sz w:val="20"/>
                          <w:szCs w:val="20"/>
                        </w:rPr>
                        <w:t xml:space="preserve">of LF on affected population </w:t>
                      </w:r>
                      <w:r>
                        <w:rPr>
                          <w:rFonts w:ascii="Arial" w:cs="Arial" w:eastAsia="Verdana" w:hAnsi="Arial"/>
                          <w:i/>
                          <w:iCs/>
                          <w:color w:val="000000"/>
                          <w:kern w:val="24"/>
                          <w:sz w:val="20"/>
                          <w:szCs w:val="20"/>
                        </w:rPr>
                        <w:t>ꭕ2=</w:t>
                      </w:r>
                      <w:r>
                        <w:rPr>
                          <w:rFonts w:ascii="Arial" w:cs="Arial" w:eastAsia="Verdana" w:hAnsi="Arial"/>
                          <w:i/>
                          <w:iCs/>
                          <w:color w:val="000000"/>
                          <w:kern w:val="24"/>
                          <w:sz w:val="20"/>
                          <w:szCs w:val="20"/>
                        </w:rPr>
                        <w:t>73.556</w:t>
                      </w:r>
                      <w:r>
                        <w:rPr>
                          <w:rFonts w:ascii="Arial" w:cs="Arial" w:eastAsia="Verdana" w:hAnsi="Arial"/>
                          <w:i/>
                          <w:iCs/>
                          <w:color w:val="000000"/>
                          <w:kern w:val="24"/>
                          <w:sz w:val="20"/>
                          <w:szCs w:val="20"/>
                        </w:rPr>
                        <w:t>, P=0.00</w:t>
                      </w:r>
                      <w:r>
                        <w:rPr>
                          <w:rFonts w:ascii="Arial" w:cs="Arial" w:eastAsia="Verdana" w:hAnsi="Arial"/>
                          <w:i/>
                          <w:iCs/>
                          <w:color w:val="000000"/>
                          <w:kern w:val="24"/>
                          <w:sz w:val="20"/>
                          <w:szCs w:val="20"/>
                        </w:rPr>
                        <w:t>1</w:t>
                      </w:r>
                      <w:r>
                        <w:rPr>
                          <w:rFonts w:ascii="Arial" w:cs="Arial" w:eastAsia="Verdana" w:hAnsi="Arial"/>
                          <w:i/>
                          <w:iCs/>
                          <w:color w:val="000000"/>
                          <w:kern w:val="24"/>
                          <w:sz w:val="20"/>
                          <w:szCs w:val="20"/>
                        </w:rPr>
                        <w:t xml:space="preserve"> (P&lt;0.05)</w:t>
                      </w:r>
                    </w:p>
                    <w:p>
                      <w:pPr>
                        <w:pStyle w:val="style94"/>
                        <w:spacing w:before="0" w:beforeAutospacing="false" w:after="0" w:afterAutospacing="false"/>
                        <w:jc w:val="both"/>
                        <w:textAlignment w:val="baseline"/>
                        <w:rPr>
                          <w:rFonts w:ascii="Arial" w:cs="Arial" w:eastAsia="Verdana" w:hAnsi="Arial"/>
                          <w:i/>
                          <w:iCs/>
                          <w:color w:val="000000"/>
                          <w:kern w:val="24"/>
                          <w:sz w:val="20"/>
                          <w:szCs w:val="20"/>
                        </w:rPr>
                      </w:pPr>
                    </w:p>
                    <w:p>
                      <w:pPr>
                        <w:pStyle w:val="style94"/>
                        <w:spacing w:before="0" w:beforeAutospacing="false" w:after="0" w:afterAutospacing="false"/>
                        <w:jc w:val="both"/>
                        <w:textAlignment w:val="baseline"/>
                        <w:rPr>
                          <w:rFonts w:ascii="Arial" w:cs="Arial" w:eastAsia="Verdana" w:hAnsi="Arial"/>
                          <w:color w:val="000000"/>
                          <w:kern w:val="24"/>
                          <w:sz w:val="20"/>
                          <w:szCs w:val="20"/>
                        </w:rPr>
                      </w:pPr>
                    </w:p>
                    <w:p>
                      <w:pPr>
                        <w:pStyle w:val="style94"/>
                        <w:spacing w:before="0" w:beforeAutospacing="false" w:after="0" w:afterAutospacing="false"/>
                        <w:jc w:val="both"/>
                        <w:textAlignment w:val="baseline"/>
                        <w:rPr>
                          <w:sz w:val="20"/>
                          <w:szCs w:val="20"/>
                        </w:rPr>
                      </w:pPr>
                    </w:p>
                  </w:txbxContent>
                </v:textbox>
              </v:rect>
            </w:pict>
          </mc:Fallback>
        </mc:AlternateContent>
      </w:r>
    </w:p>
    <w:p w:rsidR="00BC544B" w:rsidRDefault="00BC544B">
      <w:pPr>
        <w:pStyle w:val="Body"/>
        <w:spacing w:after="0"/>
        <w:rPr>
          <w:rFonts w:ascii="Arial" w:hAnsi="Arial" w:cs="Arial"/>
        </w:rPr>
      </w:pPr>
    </w:p>
    <w:p w:rsidR="00BC544B" w:rsidRDefault="00BC544B">
      <w:pPr>
        <w:pStyle w:val="Body"/>
        <w:spacing w:after="0"/>
        <w:rPr>
          <w:rFonts w:ascii="Arial" w:hAnsi="Arial" w:cs="Arial"/>
        </w:rPr>
      </w:pPr>
    </w:p>
    <w:p w:rsidR="00BC544B" w:rsidRDefault="00BC544B">
      <w:pPr>
        <w:pStyle w:val="Body"/>
        <w:spacing w:after="0"/>
        <w:rPr>
          <w:rFonts w:ascii="Arial" w:hAnsi="Arial" w:cs="Arial"/>
        </w:rPr>
      </w:pPr>
    </w:p>
    <w:p w:rsidR="00BC544B" w:rsidRDefault="00BC544B">
      <w:pPr>
        <w:pStyle w:val="Body"/>
        <w:spacing w:after="0"/>
        <w:rPr>
          <w:rFonts w:ascii="Arial" w:hAnsi="Arial" w:cs="Arial"/>
        </w:rPr>
      </w:pPr>
    </w:p>
    <w:p w:rsidR="00BC544B" w:rsidRDefault="00022753">
      <w:pPr>
        <w:pStyle w:val="Body"/>
        <w:spacing w:after="0"/>
        <w:rPr>
          <w:rFonts w:ascii="Arial" w:hAnsi="Arial" w:cs="Arial"/>
        </w:rPr>
      </w:pPr>
      <w:r>
        <w:rPr>
          <w:noProof/>
        </w:rPr>
        <mc:AlternateContent>
          <mc:Choice Requires="wps">
            <w:drawing>
              <wp:anchor distT="0" distB="0" distL="0" distR="0" simplePos="0" relativeHeight="14" behindDoc="0" locked="0" layoutInCell="1" allowOverlap="1">
                <wp:simplePos x="0" y="0"/>
                <wp:positionH relativeFrom="margin">
                  <wp:posOffset>-69850</wp:posOffset>
                </wp:positionH>
                <wp:positionV relativeFrom="paragraph">
                  <wp:posOffset>3273425</wp:posOffset>
                </wp:positionV>
                <wp:extent cx="3136900" cy="381000"/>
                <wp:effectExtent l="0" t="0" r="0" b="0"/>
                <wp:wrapNone/>
                <wp:docPr id="105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0" cy="381000"/>
                        </a:xfrm>
                        <a:prstGeom prst="rect">
                          <a:avLst/>
                        </a:prstGeom>
                      </wps:spPr>
                      <wps:txbx>
                        <w:txbxContent>
                          <w:p w:rsidR="00BC544B" w:rsidRDefault="00022753">
                            <w:pPr>
                              <w:pStyle w:val="NormalWeb"/>
                              <w:spacing w:before="0" w:beforeAutospacing="0" w:after="0" w:afterAutospacing="0"/>
                              <w:jc w:val="both"/>
                              <w:textAlignment w:val="baseline"/>
                              <w:rPr>
                                <w:rFonts w:ascii="Arial" w:eastAsia="Verdana" w:hAnsi="Arial" w:cs="Arial"/>
                                <w:color w:val="000000"/>
                                <w:kern w:val="24"/>
                                <w:sz w:val="20"/>
                                <w:szCs w:val="20"/>
                              </w:rPr>
                            </w:pPr>
                            <w:r>
                              <w:rPr>
                                <w:rFonts w:ascii="Arial" w:eastAsia="Verdana" w:hAnsi="Arial" w:cs="Arial"/>
                                <w:color w:val="000000"/>
                                <w:kern w:val="24"/>
                                <w:sz w:val="20"/>
                                <w:szCs w:val="20"/>
                              </w:rPr>
                              <w:t xml:space="preserve">Fig. 12: Burden of Lymphatic filariasis on Gender </w:t>
                            </w:r>
                            <w:r>
                              <w:rPr>
                                <w:rFonts w:ascii="Arial" w:eastAsia="Verdana" w:hAnsi="Arial" w:cs="Arial"/>
                                <w:i/>
                                <w:iCs/>
                                <w:color w:val="000000"/>
                                <w:kern w:val="24"/>
                                <w:sz w:val="20"/>
                                <w:szCs w:val="20"/>
                              </w:rPr>
                              <w:t>ꭕ</w:t>
                            </w:r>
                            <w:r>
                              <w:rPr>
                                <w:rFonts w:ascii="Arial" w:eastAsia="Verdana" w:hAnsi="Arial" w:cs="Arial"/>
                                <w:i/>
                                <w:iCs/>
                                <w:color w:val="000000"/>
                                <w:kern w:val="24"/>
                                <w:sz w:val="20"/>
                                <w:szCs w:val="20"/>
                              </w:rPr>
                              <w:t>2=2.343, P=0.149 (P</w:t>
                            </w:r>
                            <w:r>
                              <w:rPr>
                                <w:rFonts w:ascii="Arial" w:eastAsia="Verdana" w:hAnsi="Arial" w:cs="Arial"/>
                                <w:i/>
                                <w:iCs/>
                                <w:color w:val="000000"/>
                                <w:kern w:val="24"/>
                                <w:sz w:val="20"/>
                                <w:szCs w:val="20"/>
                              </w:rPr>
                              <w:t>&gt;0.05)</w:t>
                            </w:r>
                          </w:p>
                          <w:p w:rsidR="00BC544B" w:rsidRDefault="00BC544B">
                            <w:pPr>
                              <w:pStyle w:val="NormalWeb"/>
                              <w:spacing w:before="0" w:beforeAutospacing="0" w:after="0" w:afterAutospacing="0"/>
                              <w:jc w:val="both"/>
                              <w:textAlignment w:val="baseline"/>
                              <w:rPr>
                                <w:sz w:val="20"/>
                                <w:szCs w:val="20"/>
                              </w:rPr>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rect id="1053" filled="f" stroked="f" style="position:absolute;margin-left:-5.5pt;margin-top:257.75pt;width:247.0pt;height:30.0pt;z-index:14;mso-position-horizontal-relative:margin;mso-position-vertical-relative:text;mso-width-percent:0;mso-height-percent:0;mso-width-relative:margin;mso-height-relative:margin;mso-wrap-distance-left:0.0pt;mso-wrap-distance-right:0.0pt;visibility:visible;">
                <v:fill/>
                <v:textbox>
                  <w:txbxContent>
                    <w:p>
                      <w:pPr>
                        <w:pStyle w:val="style94"/>
                        <w:spacing w:before="0" w:beforeAutospacing="false" w:after="0" w:afterAutospacing="false"/>
                        <w:jc w:val="both"/>
                        <w:textAlignment w:val="baseline"/>
                        <w:rPr>
                          <w:rFonts w:ascii="Arial" w:cs="Arial" w:eastAsia="Verdana" w:hAnsi="Arial"/>
                          <w:color w:val="000000"/>
                          <w:kern w:val="24"/>
                          <w:sz w:val="20"/>
                          <w:szCs w:val="20"/>
                        </w:rPr>
                      </w:pPr>
                      <w:r>
                        <w:rPr>
                          <w:rFonts w:ascii="Arial" w:cs="Arial" w:eastAsia="Verdana" w:hAnsi="Arial"/>
                          <w:color w:val="000000"/>
                          <w:kern w:val="24"/>
                          <w:sz w:val="20"/>
                          <w:szCs w:val="20"/>
                        </w:rPr>
                        <w:t>Fig. 1</w:t>
                      </w:r>
                      <w:r>
                        <w:rPr>
                          <w:rFonts w:ascii="Arial" w:cs="Arial" w:eastAsia="Verdana" w:hAnsi="Arial"/>
                          <w:color w:val="000000"/>
                          <w:kern w:val="24"/>
                          <w:sz w:val="20"/>
                          <w:szCs w:val="20"/>
                        </w:rPr>
                        <w:t>2</w:t>
                      </w:r>
                      <w:r>
                        <w:rPr>
                          <w:rFonts w:ascii="Arial" w:cs="Arial" w:eastAsia="Verdana" w:hAnsi="Arial"/>
                          <w:color w:val="000000"/>
                          <w:kern w:val="24"/>
                          <w:sz w:val="20"/>
                          <w:szCs w:val="20"/>
                        </w:rPr>
                        <w:t xml:space="preserve">: </w:t>
                      </w:r>
                      <w:r>
                        <w:rPr>
                          <w:rFonts w:ascii="Arial" w:cs="Arial" w:eastAsia="Verdana" w:hAnsi="Arial"/>
                          <w:color w:val="000000"/>
                          <w:kern w:val="24"/>
                          <w:sz w:val="20"/>
                          <w:szCs w:val="20"/>
                        </w:rPr>
                        <w:t xml:space="preserve">Burden of </w:t>
                      </w:r>
                      <w:r>
                        <w:rPr>
                          <w:rFonts w:ascii="Arial" w:cs="Arial" w:eastAsia="Verdana" w:hAnsi="Arial"/>
                          <w:color w:val="000000"/>
                          <w:kern w:val="24"/>
                          <w:sz w:val="20"/>
                          <w:szCs w:val="20"/>
                        </w:rPr>
                        <w:t xml:space="preserve">Lymphatic filariasis on Gender </w:t>
                      </w:r>
                      <w:r>
                        <w:rPr>
                          <w:rFonts w:ascii="Arial" w:cs="Arial" w:eastAsia="Verdana" w:hAnsi="Arial"/>
                          <w:i/>
                          <w:iCs/>
                          <w:color w:val="000000"/>
                          <w:kern w:val="24"/>
                          <w:sz w:val="20"/>
                          <w:szCs w:val="20"/>
                        </w:rPr>
                        <w:t>ꭕ2=</w:t>
                      </w:r>
                      <w:r>
                        <w:rPr>
                          <w:rFonts w:ascii="Arial" w:cs="Arial" w:eastAsia="Verdana" w:hAnsi="Arial"/>
                          <w:i/>
                          <w:iCs/>
                          <w:color w:val="000000"/>
                          <w:kern w:val="24"/>
                          <w:sz w:val="20"/>
                          <w:szCs w:val="20"/>
                        </w:rPr>
                        <w:t>2.343</w:t>
                      </w:r>
                      <w:r>
                        <w:rPr>
                          <w:rFonts w:ascii="Arial" w:cs="Arial" w:eastAsia="Verdana" w:hAnsi="Arial"/>
                          <w:i/>
                          <w:iCs/>
                          <w:color w:val="000000"/>
                          <w:kern w:val="24"/>
                          <w:sz w:val="20"/>
                          <w:szCs w:val="20"/>
                        </w:rPr>
                        <w:t>, P=0.</w:t>
                      </w:r>
                      <w:r>
                        <w:rPr>
                          <w:rFonts w:ascii="Arial" w:cs="Arial" w:eastAsia="Verdana" w:hAnsi="Arial"/>
                          <w:i/>
                          <w:iCs/>
                          <w:color w:val="000000"/>
                          <w:kern w:val="24"/>
                          <w:sz w:val="20"/>
                          <w:szCs w:val="20"/>
                        </w:rPr>
                        <w:t>149</w:t>
                      </w:r>
                      <w:r>
                        <w:rPr>
                          <w:rFonts w:ascii="Arial" w:cs="Arial" w:eastAsia="Verdana" w:hAnsi="Arial"/>
                          <w:i/>
                          <w:iCs/>
                          <w:color w:val="000000"/>
                          <w:kern w:val="24"/>
                          <w:sz w:val="20"/>
                          <w:szCs w:val="20"/>
                        </w:rPr>
                        <w:t xml:space="preserve"> (P</w:t>
                      </w:r>
                      <w:r>
                        <w:rPr>
                          <w:rFonts w:ascii="Arial" w:cs="Arial" w:eastAsia="Verdana" w:hAnsi="Arial"/>
                          <w:i/>
                          <w:iCs/>
                          <w:color w:val="000000"/>
                          <w:kern w:val="24"/>
                          <w:sz w:val="20"/>
                          <w:szCs w:val="20"/>
                        </w:rPr>
                        <w:t>&gt;</w:t>
                      </w:r>
                      <w:r>
                        <w:rPr>
                          <w:rFonts w:ascii="Arial" w:cs="Arial" w:eastAsia="Verdana" w:hAnsi="Arial"/>
                          <w:i/>
                          <w:iCs/>
                          <w:color w:val="000000"/>
                          <w:kern w:val="24"/>
                          <w:sz w:val="20"/>
                          <w:szCs w:val="20"/>
                        </w:rPr>
                        <w:t>0.05)</w:t>
                      </w:r>
                    </w:p>
                    <w:p>
                      <w:pPr>
                        <w:pStyle w:val="style94"/>
                        <w:spacing w:before="0" w:beforeAutospacing="false" w:after="0" w:afterAutospacing="false"/>
                        <w:jc w:val="both"/>
                        <w:textAlignment w:val="baseline"/>
                        <w:rPr>
                          <w:sz w:val="20"/>
                          <w:szCs w:val="20"/>
                        </w:rPr>
                      </w:pPr>
                    </w:p>
                  </w:txbxContent>
                </v:textbox>
              </v:rect>
            </w:pict>
          </mc:Fallback>
        </mc:AlternateContent>
      </w:r>
      <w:r>
        <w:rPr>
          <w:rFonts w:ascii="Arial" w:hAnsi="Arial" w:cs="Arial"/>
          <w:noProof/>
        </w:rPr>
        <w:drawing>
          <wp:inline distT="0" distB="0" distL="0" distR="0">
            <wp:extent cx="2724150" cy="3263900"/>
            <wp:effectExtent l="0" t="0" r="0" b="0"/>
            <wp:docPr id="105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25" cstate="print"/>
                    <a:srcRect/>
                    <a:stretch/>
                  </pic:blipFill>
                  <pic:spPr>
                    <a:xfrm>
                      <a:off x="0" y="0"/>
                      <a:ext cx="2724150" cy="3263900"/>
                    </a:xfrm>
                    <a:prstGeom prst="rect">
                      <a:avLst/>
                    </a:prstGeom>
                  </pic:spPr>
                </pic:pic>
              </a:graphicData>
            </a:graphic>
          </wp:inline>
        </w:drawing>
      </w:r>
      <w:r>
        <w:rPr>
          <w:rFonts w:ascii="Arial" w:hAnsi="Arial" w:cs="Arial"/>
          <w:noProof/>
        </w:rPr>
        <w:drawing>
          <wp:inline distT="0" distB="0" distL="0" distR="0">
            <wp:extent cx="2781300" cy="3181350"/>
            <wp:effectExtent l="0" t="0" r="0" b="0"/>
            <wp:docPr id="105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3"/>
                    <pic:cNvPicPr/>
                  </pic:nvPicPr>
                  <pic:blipFill>
                    <a:blip r:embed="rId26" cstate="print"/>
                    <a:srcRect/>
                    <a:stretch/>
                  </pic:blipFill>
                  <pic:spPr>
                    <a:xfrm>
                      <a:off x="0" y="0"/>
                      <a:ext cx="2781300" cy="3181350"/>
                    </a:xfrm>
                    <a:prstGeom prst="rect">
                      <a:avLst/>
                    </a:prstGeom>
                  </pic:spPr>
                </pic:pic>
              </a:graphicData>
            </a:graphic>
          </wp:inline>
        </w:drawing>
      </w:r>
    </w:p>
    <w:p w:rsidR="00BC544B" w:rsidRDefault="00BC544B">
      <w:pPr>
        <w:pStyle w:val="Body"/>
        <w:spacing w:after="0"/>
        <w:rPr>
          <w:rFonts w:ascii="Arial" w:hAnsi="Arial" w:cs="Arial"/>
        </w:rPr>
      </w:pPr>
    </w:p>
    <w:p w:rsidR="00BC544B" w:rsidRDefault="00022753">
      <w:pPr>
        <w:pStyle w:val="Body"/>
        <w:spacing w:after="0"/>
        <w:rPr>
          <w:rFonts w:ascii="Arial" w:hAnsi="Arial" w:cs="Arial"/>
        </w:rPr>
      </w:pPr>
      <w:r>
        <w:rPr>
          <w:noProof/>
        </w:rPr>
        <mc:AlternateContent>
          <mc:Choice Requires="wps">
            <w:drawing>
              <wp:anchor distT="0" distB="0" distL="0" distR="0" simplePos="0" relativeHeight="15" behindDoc="0" locked="0" layoutInCell="1" allowOverlap="1">
                <wp:simplePos x="0" y="0"/>
                <wp:positionH relativeFrom="margin">
                  <wp:posOffset>3276600</wp:posOffset>
                </wp:positionH>
                <wp:positionV relativeFrom="paragraph">
                  <wp:posOffset>5715</wp:posOffset>
                </wp:positionV>
                <wp:extent cx="3136900" cy="381000"/>
                <wp:effectExtent l="0" t="0" r="0" b="0"/>
                <wp:wrapNone/>
                <wp:docPr id="10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0" cy="381000"/>
                        </a:xfrm>
                        <a:prstGeom prst="rect">
                          <a:avLst/>
                        </a:prstGeom>
                      </wps:spPr>
                      <wps:txbx>
                        <w:txbxContent>
                          <w:p w:rsidR="00BC544B" w:rsidRDefault="00022753">
                            <w:pPr>
                              <w:pStyle w:val="NormalWeb"/>
                              <w:spacing w:before="0" w:beforeAutospacing="0" w:after="0" w:afterAutospacing="0"/>
                              <w:jc w:val="both"/>
                              <w:textAlignment w:val="baseline"/>
                              <w:rPr>
                                <w:rFonts w:ascii="Arial" w:eastAsia="Verdana" w:hAnsi="Arial" w:cs="Arial"/>
                                <w:color w:val="000000"/>
                                <w:kern w:val="24"/>
                                <w:sz w:val="20"/>
                                <w:szCs w:val="20"/>
                              </w:rPr>
                            </w:pPr>
                            <w:r>
                              <w:rPr>
                                <w:rFonts w:ascii="Arial" w:eastAsia="Verdana" w:hAnsi="Arial" w:cs="Arial"/>
                                <w:color w:val="000000"/>
                                <w:kern w:val="24"/>
                                <w:sz w:val="20"/>
                                <w:szCs w:val="20"/>
                              </w:rPr>
                              <w:t xml:space="preserve">Fig. 13: Burden of Lymphatic filariasis on Age-groups </w:t>
                            </w:r>
                            <w:r>
                              <w:rPr>
                                <w:rFonts w:ascii="Arial" w:eastAsia="Verdana" w:hAnsi="Arial" w:cs="Arial"/>
                                <w:i/>
                                <w:iCs/>
                                <w:color w:val="000000"/>
                                <w:kern w:val="24"/>
                                <w:sz w:val="20"/>
                                <w:szCs w:val="20"/>
                              </w:rPr>
                              <w:t>ꭕ</w:t>
                            </w:r>
                            <w:r>
                              <w:rPr>
                                <w:rFonts w:ascii="Arial" w:eastAsia="Verdana" w:hAnsi="Arial" w:cs="Arial"/>
                                <w:i/>
                                <w:iCs/>
                                <w:color w:val="000000"/>
                                <w:kern w:val="24"/>
                                <w:sz w:val="20"/>
                                <w:szCs w:val="20"/>
                              </w:rPr>
                              <w:t>2=2.015, P=0.497 (P&gt;0.05)</w:t>
                            </w:r>
                          </w:p>
                          <w:p w:rsidR="00BC544B" w:rsidRDefault="00BC544B">
                            <w:pPr>
                              <w:pStyle w:val="NormalWeb"/>
                              <w:spacing w:before="0" w:beforeAutospacing="0" w:after="0" w:afterAutospacing="0"/>
                              <w:jc w:val="both"/>
                              <w:textAlignment w:val="baseline"/>
                              <w:rPr>
                                <w:sz w:val="20"/>
                                <w:szCs w:val="20"/>
                              </w:rPr>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rect id="1056" filled="f" stroked="f" style="position:absolute;margin-left:258.0pt;margin-top:0.45pt;width:247.0pt;height:30.0pt;z-index:15;mso-position-horizontal-relative:margin;mso-position-vertical-relative:text;mso-width-percent:0;mso-height-percent:0;mso-width-relative:margin;mso-height-relative:margin;mso-wrap-distance-left:0.0pt;mso-wrap-distance-right:0.0pt;visibility:visible;">
                <v:fill/>
                <v:textbox>
                  <w:txbxContent>
                    <w:p>
                      <w:pPr>
                        <w:pStyle w:val="style94"/>
                        <w:spacing w:before="0" w:beforeAutospacing="false" w:after="0" w:afterAutospacing="false"/>
                        <w:jc w:val="both"/>
                        <w:textAlignment w:val="baseline"/>
                        <w:rPr>
                          <w:rFonts w:ascii="Arial" w:cs="Arial" w:eastAsia="Verdana" w:hAnsi="Arial"/>
                          <w:color w:val="000000"/>
                          <w:kern w:val="24"/>
                          <w:sz w:val="20"/>
                          <w:szCs w:val="20"/>
                        </w:rPr>
                      </w:pPr>
                      <w:r>
                        <w:rPr>
                          <w:rFonts w:ascii="Arial" w:cs="Arial" w:eastAsia="Verdana" w:hAnsi="Arial"/>
                          <w:color w:val="000000"/>
                          <w:kern w:val="24"/>
                          <w:sz w:val="20"/>
                          <w:szCs w:val="20"/>
                        </w:rPr>
                        <w:t>Fig. 1</w:t>
                      </w:r>
                      <w:r>
                        <w:rPr>
                          <w:rFonts w:ascii="Arial" w:cs="Arial" w:eastAsia="Verdana" w:hAnsi="Arial"/>
                          <w:color w:val="000000"/>
                          <w:kern w:val="24"/>
                          <w:sz w:val="20"/>
                          <w:szCs w:val="20"/>
                        </w:rPr>
                        <w:t>3</w:t>
                      </w:r>
                      <w:r>
                        <w:rPr>
                          <w:rFonts w:ascii="Arial" w:cs="Arial" w:eastAsia="Verdana" w:hAnsi="Arial"/>
                          <w:color w:val="000000"/>
                          <w:kern w:val="24"/>
                          <w:sz w:val="20"/>
                          <w:szCs w:val="20"/>
                        </w:rPr>
                        <w:t xml:space="preserve">: </w:t>
                      </w:r>
                      <w:r>
                        <w:rPr>
                          <w:rFonts w:ascii="Arial" w:cs="Arial" w:eastAsia="Verdana" w:hAnsi="Arial"/>
                          <w:color w:val="000000"/>
                          <w:kern w:val="24"/>
                          <w:sz w:val="20"/>
                          <w:szCs w:val="20"/>
                        </w:rPr>
                        <w:t xml:space="preserve">Burden of Lymphatic filariasis on Age-groups </w:t>
                      </w:r>
                      <w:r>
                        <w:rPr>
                          <w:rFonts w:ascii="Arial" w:cs="Arial" w:eastAsia="Verdana" w:hAnsi="Arial"/>
                          <w:i/>
                          <w:iCs/>
                          <w:color w:val="000000"/>
                          <w:kern w:val="24"/>
                          <w:sz w:val="20"/>
                          <w:szCs w:val="20"/>
                        </w:rPr>
                        <w:t>ꭕ2=</w:t>
                      </w:r>
                      <w:r>
                        <w:rPr>
                          <w:rFonts w:ascii="Arial" w:cs="Arial" w:eastAsia="Verdana" w:hAnsi="Arial"/>
                          <w:i/>
                          <w:iCs/>
                          <w:color w:val="000000"/>
                          <w:kern w:val="24"/>
                          <w:sz w:val="20"/>
                          <w:szCs w:val="20"/>
                        </w:rPr>
                        <w:t>2.015</w:t>
                      </w:r>
                      <w:r>
                        <w:rPr>
                          <w:rFonts w:ascii="Arial" w:cs="Arial" w:eastAsia="Verdana" w:hAnsi="Arial"/>
                          <w:i/>
                          <w:iCs/>
                          <w:color w:val="000000"/>
                          <w:kern w:val="24"/>
                          <w:sz w:val="20"/>
                          <w:szCs w:val="20"/>
                        </w:rPr>
                        <w:t>, P=0.</w:t>
                      </w:r>
                      <w:r>
                        <w:rPr>
                          <w:rFonts w:ascii="Arial" w:cs="Arial" w:eastAsia="Verdana" w:hAnsi="Arial"/>
                          <w:i/>
                          <w:iCs/>
                          <w:color w:val="000000"/>
                          <w:kern w:val="24"/>
                          <w:sz w:val="20"/>
                          <w:szCs w:val="20"/>
                        </w:rPr>
                        <w:t>497</w:t>
                      </w:r>
                      <w:r>
                        <w:rPr>
                          <w:rFonts w:ascii="Arial" w:cs="Arial" w:eastAsia="Verdana" w:hAnsi="Arial"/>
                          <w:i/>
                          <w:iCs/>
                          <w:color w:val="000000"/>
                          <w:kern w:val="24"/>
                          <w:sz w:val="20"/>
                          <w:szCs w:val="20"/>
                        </w:rPr>
                        <w:t xml:space="preserve"> (P</w:t>
                      </w:r>
                      <w:r>
                        <w:rPr>
                          <w:rFonts w:ascii="Arial" w:cs="Arial" w:eastAsia="Verdana" w:hAnsi="Arial"/>
                          <w:i/>
                          <w:iCs/>
                          <w:color w:val="000000"/>
                          <w:kern w:val="24"/>
                          <w:sz w:val="20"/>
                          <w:szCs w:val="20"/>
                        </w:rPr>
                        <w:t>&gt;</w:t>
                      </w:r>
                      <w:r>
                        <w:rPr>
                          <w:rFonts w:ascii="Arial" w:cs="Arial" w:eastAsia="Verdana" w:hAnsi="Arial"/>
                          <w:i/>
                          <w:iCs/>
                          <w:color w:val="000000"/>
                          <w:kern w:val="24"/>
                          <w:sz w:val="20"/>
                          <w:szCs w:val="20"/>
                        </w:rPr>
                        <w:t>0.05)</w:t>
                      </w:r>
                    </w:p>
                    <w:p>
                      <w:pPr>
                        <w:pStyle w:val="style94"/>
                        <w:spacing w:before="0" w:beforeAutospacing="false" w:after="0" w:afterAutospacing="false"/>
                        <w:jc w:val="both"/>
                        <w:textAlignment w:val="baseline"/>
                        <w:rPr>
                          <w:sz w:val="20"/>
                          <w:szCs w:val="20"/>
                        </w:rPr>
                      </w:pPr>
                    </w:p>
                  </w:txbxContent>
                </v:textbox>
              </v:rect>
            </w:pict>
          </mc:Fallback>
        </mc:AlternateContent>
      </w:r>
    </w:p>
    <w:p w:rsidR="00BC544B" w:rsidRDefault="00BC544B">
      <w:pPr>
        <w:pStyle w:val="ConcHead"/>
        <w:spacing w:after="0"/>
        <w:jc w:val="both"/>
        <w:rPr>
          <w:rFonts w:ascii="Arial" w:hAnsi="Arial" w:cs="Arial"/>
        </w:rPr>
      </w:pPr>
    </w:p>
    <w:p w:rsidR="00BC544B" w:rsidRDefault="00BC544B">
      <w:pPr>
        <w:tabs>
          <w:tab w:val="left" w:pos="1005"/>
        </w:tabs>
        <w:jc w:val="both"/>
        <w:rPr>
          <w:rFonts w:ascii="Arial" w:hAnsi="Arial" w:cs="Arial"/>
          <w:b/>
          <w:sz w:val="22"/>
          <w:szCs w:val="22"/>
        </w:rPr>
      </w:pPr>
    </w:p>
    <w:p w:rsidR="00BC544B" w:rsidRDefault="00022753">
      <w:pPr>
        <w:jc w:val="both"/>
        <w:rPr>
          <w:rFonts w:ascii="Arial" w:hAnsi="Arial" w:cs="Arial"/>
        </w:rPr>
      </w:pPr>
      <w:r>
        <w:rPr>
          <w:rFonts w:ascii="Arial" w:hAnsi="Arial" w:cs="Arial"/>
        </w:rPr>
        <w:t xml:space="preserve">The current study reported a 22.1% </w:t>
      </w:r>
      <w:r>
        <w:rPr>
          <w:rFonts w:ascii="Arial" w:hAnsi="Arial" w:cs="Arial"/>
          <w:iCs/>
        </w:rPr>
        <w:t>Lymphatic filariasis</w:t>
      </w:r>
      <w:r>
        <w:rPr>
          <w:rFonts w:ascii="Arial" w:hAnsi="Arial" w:cs="Arial"/>
        </w:rPr>
        <w:t xml:space="preserve"> prevalence in Akoko SW LGA of Ondo State, Nigeria. Prevalence recorded in this survey is a public health concern and requires urgent intervention especially by public enlightenment, proper disease management and vector control (Waje </w:t>
      </w:r>
      <w:r>
        <w:rPr>
          <w:rFonts w:ascii="Arial" w:hAnsi="Arial" w:cs="Arial"/>
          <w:i/>
        </w:rPr>
        <w:t>et al</w:t>
      </w:r>
      <w:r>
        <w:rPr>
          <w:rFonts w:ascii="Arial" w:hAnsi="Arial" w:cs="Arial"/>
        </w:rPr>
        <w:t xml:space="preserve">., 2024). The 22.1% prevalence reported is due to impoverished living conditions of the inhabitants, as some of them still lived in mud houses and cracked walls which can be a breeding site for the vectors. Several vector breeding sites could arise due to </w:t>
      </w:r>
      <w:r>
        <w:rPr>
          <w:rFonts w:ascii="Arial" w:hAnsi="Arial" w:cs="Arial"/>
        </w:rPr>
        <w:t xml:space="preserve">poor environmental sanitation; </w:t>
      </w:r>
      <w:r>
        <w:rPr>
          <w:rFonts w:ascii="Arial" w:hAnsi="Arial" w:cs="Arial"/>
        </w:rPr>
        <w:lastRenderedPageBreak/>
        <w:t xml:space="preserve">contributing to the recorded prevalence. This is in accordance to the report of (Christiana </w:t>
      </w:r>
      <w:r>
        <w:rPr>
          <w:rFonts w:ascii="Arial" w:hAnsi="Arial" w:cs="Arial"/>
          <w:i/>
          <w:iCs/>
        </w:rPr>
        <w:t>et al</w:t>
      </w:r>
      <w:r>
        <w:rPr>
          <w:rFonts w:ascii="Arial" w:hAnsi="Arial" w:cs="Arial"/>
        </w:rPr>
        <w:t xml:space="preserve">. (2013); Badaki </w:t>
      </w:r>
      <w:r>
        <w:rPr>
          <w:rFonts w:ascii="Arial" w:hAnsi="Arial" w:cs="Arial"/>
          <w:i/>
          <w:iCs/>
        </w:rPr>
        <w:t>et al</w:t>
      </w:r>
      <w:r>
        <w:rPr>
          <w:rFonts w:ascii="Arial" w:hAnsi="Arial" w:cs="Arial"/>
        </w:rPr>
        <w:t xml:space="preserve">. (2013) and Obadiah </w:t>
      </w:r>
      <w:r>
        <w:rPr>
          <w:rFonts w:ascii="Arial" w:hAnsi="Arial" w:cs="Arial"/>
          <w:i/>
          <w:iCs/>
        </w:rPr>
        <w:t>et al</w:t>
      </w:r>
      <w:r>
        <w:rPr>
          <w:rFonts w:ascii="Arial" w:hAnsi="Arial" w:cs="Arial"/>
        </w:rPr>
        <w:t xml:space="preserve">. (2018). </w:t>
      </w:r>
    </w:p>
    <w:p w:rsidR="00BC544B" w:rsidRDefault="00022753">
      <w:pPr>
        <w:jc w:val="both"/>
        <w:rPr>
          <w:rFonts w:ascii="Arial" w:hAnsi="Arial" w:cs="Arial"/>
        </w:rPr>
      </w:pPr>
      <w:r>
        <w:rPr>
          <w:rFonts w:ascii="Arial" w:hAnsi="Arial" w:cs="Arial"/>
        </w:rPr>
        <w:t>Lymphatic filariasis infection progresses across all age groups, Chil</w:t>
      </w:r>
      <w:r>
        <w:rPr>
          <w:rFonts w:ascii="Arial" w:hAnsi="Arial" w:cs="Arial"/>
        </w:rPr>
        <w:t>dren between 3 to14years and 15-24 years are susceptible due to poor awareness in the community. From this study, the dangers of teenagers and adults being infected has a great effect which can negatively impact the economic development of Ondo State and N</w:t>
      </w:r>
      <w:r>
        <w:rPr>
          <w:rFonts w:ascii="Arial" w:hAnsi="Arial" w:cs="Arial"/>
        </w:rPr>
        <w:t xml:space="preserve">igeria as a whole; especially in the Agricultural sector (Ogba, 2014). The potential consequences </w:t>
      </w:r>
      <w:r>
        <w:rPr>
          <w:rFonts w:ascii="Arial" w:hAnsi="Arial" w:cs="Arial"/>
          <w:i/>
        </w:rPr>
        <w:t>Lymphatic filariasis</w:t>
      </w:r>
      <w:r>
        <w:rPr>
          <w:rFonts w:ascii="Arial" w:hAnsi="Arial" w:cs="Arial"/>
        </w:rPr>
        <w:t xml:space="preserve"> could inflict on the youth and economy is very worrisome. Dogara </w:t>
      </w:r>
      <w:r>
        <w:rPr>
          <w:rFonts w:ascii="Arial" w:hAnsi="Arial" w:cs="Arial"/>
          <w:i/>
        </w:rPr>
        <w:t>et al</w:t>
      </w:r>
      <w:r>
        <w:rPr>
          <w:rFonts w:ascii="Arial" w:hAnsi="Arial" w:cs="Arial"/>
        </w:rPr>
        <w:t xml:space="preserve"> (2012) also reported increase in prevalence as age advanced. These</w:t>
      </w:r>
      <w:r>
        <w:rPr>
          <w:rFonts w:ascii="Arial" w:hAnsi="Arial" w:cs="Arial"/>
        </w:rPr>
        <w:t xml:space="preserve"> would have been due to changes in behavioural patterns of community members, exposure due to outdoor activities and length of stay in such endemic communities. </w:t>
      </w:r>
    </w:p>
    <w:p w:rsidR="00BC544B" w:rsidRDefault="00022753">
      <w:pPr>
        <w:jc w:val="both"/>
        <w:rPr>
          <w:rFonts w:ascii="Arial" w:hAnsi="Arial" w:cs="Arial"/>
        </w:rPr>
      </w:pPr>
      <w:r>
        <w:rPr>
          <w:rFonts w:ascii="Arial" w:hAnsi="Arial" w:cs="Arial"/>
        </w:rPr>
        <w:t xml:space="preserve">Moreover, majority of these individuals are farmers, artisans and traders; they enjoy staying </w:t>
      </w:r>
      <w:r>
        <w:rPr>
          <w:rFonts w:ascii="Arial" w:hAnsi="Arial" w:cs="Arial"/>
        </w:rPr>
        <w:t>outdoor overnight without applying proper vector control measures. In addition, high prevalence could be accredited to a number of factors among the teenagers and adults, as people in this age groups (3-14years and 15-24years) are majorly in the productive</w:t>
      </w:r>
      <w:r>
        <w:rPr>
          <w:rFonts w:ascii="Arial" w:hAnsi="Arial" w:cs="Arial"/>
        </w:rPr>
        <w:t xml:space="preserve"> stage likely to work or play for longer periods on the farm or outdoors with exposed body parts as corroborated by Awiya </w:t>
      </w:r>
      <w:r>
        <w:rPr>
          <w:rFonts w:ascii="Arial" w:hAnsi="Arial" w:cs="Arial"/>
          <w:i/>
          <w:iCs/>
        </w:rPr>
        <w:t>et al</w:t>
      </w:r>
      <w:r>
        <w:rPr>
          <w:rFonts w:ascii="Arial" w:hAnsi="Arial" w:cs="Arial"/>
        </w:rPr>
        <w:t xml:space="preserve"> (2020). </w:t>
      </w:r>
    </w:p>
    <w:p w:rsidR="00BC544B" w:rsidRDefault="00022753">
      <w:pPr>
        <w:jc w:val="both"/>
        <w:rPr>
          <w:rFonts w:ascii="Arial" w:hAnsi="Arial" w:cs="Arial"/>
        </w:rPr>
      </w:pPr>
      <w:r>
        <w:rPr>
          <w:rFonts w:ascii="Arial" w:hAnsi="Arial" w:cs="Arial"/>
        </w:rPr>
        <w:t xml:space="preserve">Furthermore, the study observed </w:t>
      </w:r>
      <w:r>
        <w:rPr>
          <w:rFonts w:ascii="Arial" w:hAnsi="Arial" w:cs="Arial"/>
          <w:iCs/>
        </w:rPr>
        <w:t xml:space="preserve">a prevalence of 42.4% associated morbidities </w:t>
      </w:r>
      <w:r>
        <w:rPr>
          <w:rFonts w:ascii="Arial" w:hAnsi="Arial" w:cs="Arial"/>
        </w:rPr>
        <w:t>with hydrocoele of the scrotum, limb Lymph</w:t>
      </w:r>
      <w:r>
        <w:rPr>
          <w:rFonts w:ascii="Arial" w:hAnsi="Arial" w:cs="Arial"/>
        </w:rPr>
        <w:t xml:space="preserve">oedema and Elephantiasis in both gender; predominantly in the elderly people. This is higher than the report of Eyo </w:t>
      </w:r>
      <w:r>
        <w:rPr>
          <w:rFonts w:ascii="Arial" w:hAnsi="Arial" w:cs="Arial"/>
          <w:i/>
        </w:rPr>
        <w:t>et al</w:t>
      </w:r>
      <w:r>
        <w:rPr>
          <w:rFonts w:ascii="Arial" w:hAnsi="Arial" w:cs="Arial"/>
        </w:rPr>
        <w:t>. (2015) who recorded a 22.39% prevalence of circulating filarial antigen (CFA) among six (6) communities in Southwestern Ebonyi State.</w:t>
      </w:r>
      <w:r>
        <w:rPr>
          <w:rFonts w:ascii="Arial" w:hAnsi="Arial" w:cs="Arial"/>
        </w:rPr>
        <w:t xml:space="preserve"> Meanwhile, </w:t>
      </w:r>
      <w:r>
        <w:rPr>
          <w:rFonts w:ascii="Arial" w:hAnsi="Arial" w:cs="Arial"/>
          <w:iCs/>
        </w:rPr>
        <w:t xml:space="preserve">Adekunle and Asimea (2018) also reported a 29% prevalence in three rural communities of Ondo State. </w:t>
      </w:r>
      <w:r>
        <w:rPr>
          <w:rFonts w:ascii="Arial" w:hAnsi="Arial" w:cs="Arial"/>
        </w:rPr>
        <w:t xml:space="preserve">This implies that </w:t>
      </w:r>
      <w:r>
        <w:rPr>
          <w:rFonts w:ascii="Arial" w:hAnsi="Arial" w:cs="Arial"/>
          <w:iCs/>
        </w:rPr>
        <w:t xml:space="preserve">Lymphatic filariasis infection progresses in infected individual without proper diagnosis and treatment, resulting in various </w:t>
      </w:r>
      <w:r>
        <w:rPr>
          <w:rFonts w:ascii="Arial" w:hAnsi="Arial" w:cs="Arial"/>
          <w:iCs/>
        </w:rPr>
        <w:t xml:space="preserve">disabilities as people age due to neglect. There </w:t>
      </w:r>
      <w:r>
        <w:rPr>
          <w:rFonts w:ascii="Arial" w:hAnsi="Arial" w:cs="Arial"/>
        </w:rPr>
        <w:t>is a serious call for concern which requires immediate health intervention, as these resulting morbidities and disabilities will negatively impact the quality of life and productivity of its hosts. Therefore</w:t>
      </w:r>
      <w:r>
        <w:rPr>
          <w:rFonts w:ascii="Arial" w:hAnsi="Arial" w:cs="Arial"/>
        </w:rPr>
        <w:t xml:space="preserve">, </w:t>
      </w:r>
      <w:r>
        <w:rPr>
          <w:rFonts w:ascii="Arial" w:hAnsi="Arial" w:cs="Arial"/>
          <w:iCs/>
        </w:rPr>
        <w:t xml:space="preserve">proper disease awareness and management will birth </w:t>
      </w:r>
      <w:r>
        <w:rPr>
          <w:rFonts w:ascii="Arial" w:hAnsi="Arial" w:cs="Arial"/>
        </w:rPr>
        <w:t>decreased exposures to infection and decline in filarial worm load.</w:t>
      </w:r>
    </w:p>
    <w:p w:rsidR="00BC544B" w:rsidRDefault="00022753">
      <w:pPr>
        <w:jc w:val="both"/>
        <w:rPr>
          <w:rFonts w:ascii="Arial" w:hAnsi="Arial" w:cs="Arial"/>
        </w:rPr>
      </w:pPr>
      <w:r>
        <w:rPr>
          <w:rFonts w:ascii="Arial" w:hAnsi="Arial" w:cs="Arial"/>
        </w:rPr>
        <w:t>The high prevalence in male participants compared to the females could be due to their lifestyle; moving in opened places with bare bod</w:t>
      </w:r>
      <w:r>
        <w:rPr>
          <w:rFonts w:ascii="Arial" w:hAnsi="Arial" w:cs="Arial"/>
        </w:rPr>
        <w:t xml:space="preserve">y to take local alcohol, sleeping patterns and more engagement in outdoor activities in the community as reported by Ebenezer </w:t>
      </w:r>
      <w:r>
        <w:rPr>
          <w:rFonts w:ascii="Arial" w:hAnsi="Arial" w:cs="Arial"/>
          <w:i/>
          <w:iCs/>
        </w:rPr>
        <w:t>et al</w:t>
      </w:r>
      <w:r>
        <w:rPr>
          <w:rFonts w:ascii="Arial" w:hAnsi="Arial" w:cs="Arial"/>
        </w:rPr>
        <w:t xml:space="preserve">. (2011), Brandao </w:t>
      </w:r>
      <w:r>
        <w:rPr>
          <w:rFonts w:ascii="Arial" w:hAnsi="Arial" w:cs="Arial"/>
          <w:i/>
          <w:iCs/>
        </w:rPr>
        <w:t>et al.</w:t>
      </w:r>
      <w:r>
        <w:rPr>
          <w:rFonts w:ascii="Arial" w:hAnsi="Arial" w:cs="Arial"/>
        </w:rPr>
        <w:t xml:space="preserve"> (2015) and Muawiyya </w:t>
      </w:r>
      <w:r>
        <w:rPr>
          <w:rFonts w:ascii="Arial" w:hAnsi="Arial" w:cs="Arial"/>
          <w:i/>
          <w:iCs/>
        </w:rPr>
        <w:t>et al</w:t>
      </w:r>
      <w:r>
        <w:rPr>
          <w:rFonts w:ascii="Arial" w:hAnsi="Arial" w:cs="Arial"/>
        </w:rPr>
        <w:t>. (2019).</w:t>
      </w:r>
    </w:p>
    <w:p w:rsidR="00BC544B" w:rsidRDefault="00022753">
      <w:pPr>
        <w:jc w:val="both"/>
        <w:rPr>
          <w:rFonts w:ascii="Arial" w:hAnsi="Arial" w:cs="Arial"/>
          <w:iCs/>
        </w:rPr>
      </w:pPr>
      <w:r>
        <w:rPr>
          <w:rFonts w:ascii="Arial" w:hAnsi="Arial" w:cs="Arial"/>
        </w:rPr>
        <w:t>Prevalence rate varied across sampled communities; thus occupatio</w:t>
      </w:r>
      <w:r>
        <w:rPr>
          <w:rFonts w:ascii="Arial" w:hAnsi="Arial" w:cs="Arial"/>
        </w:rPr>
        <w:t xml:space="preserve">n, environment and lifestyle of individual are determining factor to exposure and vulnerability to </w:t>
      </w:r>
      <w:r>
        <w:rPr>
          <w:rFonts w:ascii="Arial" w:hAnsi="Arial" w:cs="Arial"/>
          <w:iCs/>
        </w:rPr>
        <w:t>Lymphatic filariasis</w:t>
      </w:r>
      <w:r>
        <w:rPr>
          <w:rFonts w:ascii="Arial" w:hAnsi="Arial" w:cs="Arial"/>
          <w:i/>
          <w:iCs/>
        </w:rPr>
        <w:t xml:space="preserve"> </w:t>
      </w:r>
      <w:r>
        <w:rPr>
          <w:rFonts w:ascii="Arial" w:hAnsi="Arial" w:cs="Arial"/>
          <w:iCs/>
        </w:rPr>
        <w:t>infection. This could be attributed to factors like presence of containers holding water, littering of refuse in the environment and ove</w:t>
      </w:r>
      <w:r>
        <w:rPr>
          <w:rFonts w:ascii="Arial" w:hAnsi="Arial" w:cs="Arial"/>
          <w:iCs/>
        </w:rPr>
        <w:t xml:space="preserve">rall human attitude and practices; which can support breeding of the parasite (Bal </w:t>
      </w:r>
      <w:r>
        <w:rPr>
          <w:rFonts w:ascii="Arial" w:hAnsi="Arial" w:cs="Arial"/>
          <w:i/>
          <w:iCs/>
        </w:rPr>
        <w:t>et al</w:t>
      </w:r>
      <w:r>
        <w:rPr>
          <w:rFonts w:ascii="Arial" w:hAnsi="Arial" w:cs="Arial"/>
          <w:iCs/>
        </w:rPr>
        <w:t>., 2009). Another predisposing factor could be the ABO blood group and rhesus factor of individuals. It was observed that rhesus negative individuals were less suscepti</w:t>
      </w:r>
      <w:r>
        <w:rPr>
          <w:rFonts w:ascii="Arial" w:hAnsi="Arial" w:cs="Arial"/>
          <w:iCs/>
        </w:rPr>
        <w:t xml:space="preserve">ble to the infection and O+ individuals were more predominant. However, this calls for further research as statistical relationship was not significant. </w:t>
      </w:r>
    </w:p>
    <w:p w:rsidR="00BC544B" w:rsidRDefault="00022753">
      <w:pPr>
        <w:jc w:val="both"/>
        <w:rPr>
          <w:rFonts w:ascii="Arial" w:hAnsi="Arial" w:cs="Arial"/>
          <w:iCs/>
        </w:rPr>
      </w:pPr>
      <w:r>
        <w:rPr>
          <w:rFonts w:ascii="Arial" w:hAnsi="Arial" w:cs="Arial"/>
          <w:iCs/>
        </w:rPr>
        <w:t>The percentage population living with social and economic burden of Lymphatic filariasis was 84.8%, en</w:t>
      </w:r>
      <w:r>
        <w:rPr>
          <w:rFonts w:ascii="Arial" w:hAnsi="Arial" w:cs="Arial"/>
          <w:iCs/>
        </w:rPr>
        <w:t xml:space="preserve">compassing school-aged children, youth, men and women. This affects income, source of livelihood, access to education, psychological and social involvement. Out of all associated morbidities due to </w:t>
      </w:r>
      <w:r>
        <w:rPr>
          <w:rFonts w:ascii="Arial" w:hAnsi="Arial" w:cs="Arial"/>
        </w:rPr>
        <w:t>Lymphatic filariasis,</w:t>
      </w:r>
      <w:r>
        <w:rPr>
          <w:rFonts w:ascii="Arial" w:hAnsi="Arial" w:cs="Arial"/>
          <w:iCs/>
        </w:rPr>
        <w:t xml:space="preserve"> hydrocoele (32.1%) significantly con</w:t>
      </w:r>
      <w:r>
        <w:rPr>
          <w:rFonts w:ascii="Arial" w:hAnsi="Arial" w:cs="Arial"/>
          <w:iCs/>
        </w:rPr>
        <w:t>tributed to socio-economic burden by morbidity on the affected including children of ages 3-14years old. The social, economic and public health impact of the disease is enormous, preventing school aged children from proper access to education, causing abse</w:t>
      </w:r>
      <w:r>
        <w:rPr>
          <w:rFonts w:ascii="Arial" w:hAnsi="Arial" w:cs="Arial"/>
          <w:iCs/>
        </w:rPr>
        <w:t>nteeism from school with poor academic performance; deprive victims of livelihood, relationships and comfort. Majority of affected population belong to economically productive age which are forced to quit or reduce working hours (Agrawal, 2021). The cost o</w:t>
      </w:r>
      <w:r>
        <w:rPr>
          <w:rFonts w:ascii="Arial" w:hAnsi="Arial" w:cs="Arial"/>
          <w:iCs/>
        </w:rPr>
        <w:t>f treating acute attacks and lost work time contributes to low economic status (Tyrell, 2013; Rani and Shameem, 2024).</w:t>
      </w:r>
    </w:p>
    <w:p w:rsidR="00BC544B" w:rsidRDefault="00022753">
      <w:pPr>
        <w:spacing w:before="240"/>
        <w:jc w:val="both"/>
        <w:rPr>
          <w:rFonts w:ascii="Arial" w:hAnsi="Arial" w:cs="Arial"/>
        </w:rPr>
      </w:pPr>
      <w:r>
        <w:rPr>
          <w:rFonts w:ascii="Arial" w:hAnsi="Arial" w:cs="Arial"/>
        </w:rPr>
        <w:t>Increasing prevalence among young people in the community may lead to incapacitation and inability to work which results in declining dev</w:t>
      </w:r>
      <w:r>
        <w:rPr>
          <w:rFonts w:ascii="Arial" w:hAnsi="Arial" w:cs="Arial"/>
        </w:rPr>
        <w:t>elopment of the economy. Reduction in productivity in a community that are predominantly farmers can give rise to economic stress with impacts on food production, income sustainability and financial balance. Moreover, chronic disabilities caused by Lymphat</w:t>
      </w:r>
      <w:r>
        <w:rPr>
          <w:rFonts w:ascii="Arial" w:hAnsi="Arial" w:cs="Arial"/>
        </w:rPr>
        <w:t>ic filariasis could likely occur across generations because the majority of deformity caused by the infection may be almost irreversible (WHO, 2013).</w:t>
      </w:r>
    </w:p>
    <w:p w:rsidR="00BC544B" w:rsidRDefault="00BC544B">
      <w:pPr>
        <w:pStyle w:val="ConcHead"/>
        <w:spacing w:after="0"/>
        <w:jc w:val="both"/>
        <w:rPr>
          <w:rFonts w:ascii="Arial" w:hAnsi="Arial" w:cs="Arial"/>
          <w:sz w:val="18"/>
          <w:szCs w:val="16"/>
        </w:rPr>
      </w:pPr>
    </w:p>
    <w:p w:rsidR="00BC544B" w:rsidRDefault="00022753">
      <w:pPr>
        <w:jc w:val="both"/>
        <w:rPr>
          <w:rFonts w:ascii="Arial" w:hAnsi="Arial" w:cs="Arial"/>
          <w:sz w:val="22"/>
          <w:szCs w:val="22"/>
        </w:rPr>
      </w:pPr>
      <w:r>
        <w:rPr>
          <w:rFonts w:ascii="Arial" w:hAnsi="Arial" w:cs="Arial"/>
          <w:b/>
          <w:bCs/>
          <w:sz w:val="22"/>
          <w:szCs w:val="22"/>
        </w:rPr>
        <w:t>5.0. Conclusion</w:t>
      </w:r>
    </w:p>
    <w:p w:rsidR="00BC544B" w:rsidRDefault="00022753">
      <w:pPr>
        <w:pStyle w:val="Body"/>
        <w:spacing w:after="0"/>
        <w:rPr>
          <w:rFonts w:ascii="Arial" w:hAnsi="Arial" w:cs="Arial"/>
        </w:rPr>
      </w:pPr>
      <w:r>
        <w:rPr>
          <w:rFonts w:ascii="Arial" w:hAnsi="Arial" w:cs="Arial"/>
        </w:rPr>
        <w:lastRenderedPageBreak/>
        <w:t>Lymphatic filariasis generally affects the mental, physical, social and economic wellbein</w:t>
      </w:r>
      <w:r>
        <w:rPr>
          <w:rFonts w:ascii="Arial" w:hAnsi="Arial" w:cs="Arial"/>
        </w:rPr>
        <w:t>g. The epidemiology of Lymphatic filariasis and disease prevalence is largely due to lifestyle and continuous exposure to vector bites without proper vector control measures.  Public health sensitization, advocacy, effective monitoring and administration o</w:t>
      </w:r>
      <w:r>
        <w:rPr>
          <w:rFonts w:ascii="Arial" w:hAnsi="Arial" w:cs="Arial"/>
        </w:rPr>
        <w:t>f preventive chemotherapy (MAM), will improve disease management and control. The vectors of transmission-mosquitoes, are endemic in the study area and widely spread across Nigeria, this makes Lymphatic filariasis of serious public health concern. Urgent a</w:t>
      </w:r>
      <w:r>
        <w:rPr>
          <w:rFonts w:ascii="Arial" w:hAnsi="Arial" w:cs="Arial"/>
        </w:rPr>
        <w:t>ttention should be directed to curb transmission and related burdens of neglected tropical diseases (NTDs). Associated morbidities and disabilities should be managed with health intervention initiatives such as hydrocelectomy, early diagnosis and mass admi</w:t>
      </w:r>
      <w:r>
        <w:rPr>
          <w:rFonts w:ascii="Arial" w:hAnsi="Arial" w:cs="Arial"/>
        </w:rPr>
        <w:t xml:space="preserve">nistration of medicines especially in rural areas of the state and Nigeria as a whole. Conscious effort should also be directed towards uninterrupted control programmes, annual evaluation and monitoring of </w:t>
      </w:r>
      <w:r>
        <w:rPr>
          <w:rFonts w:ascii="Arial" w:hAnsi="Arial" w:cs="Arial"/>
          <w:iCs/>
        </w:rPr>
        <w:t>Lymphatic filariasis</w:t>
      </w:r>
      <w:r>
        <w:rPr>
          <w:rFonts w:ascii="Arial" w:hAnsi="Arial" w:cs="Arial"/>
        </w:rPr>
        <w:t xml:space="preserve"> prevalence in endemic and non</w:t>
      </w:r>
      <w:r>
        <w:rPr>
          <w:rFonts w:ascii="Arial" w:hAnsi="Arial" w:cs="Arial"/>
        </w:rPr>
        <w:t>-endemic communities; and provide information on vector diversity in various communities.</w:t>
      </w:r>
    </w:p>
    <w:p w:rsidR="00C921E6" w:rsidRDefault="00C921E6">
      <w:pPr>
        <w:pStyle w:val="Body"/>
        <w:spacing w:after="0"/>
        <w:rPr>
          <w:rFonts w:ascii="Arial" w:hAnsi="Arial" w:cs="Arial"/>
        </w:rPr>
      </w:pPr>
    </w:p>
    <w:p w:rsidR="00C921E6" w:rsidRPr="00C921E6" w:rsidRDefault="00C921E6" w:rsidP="00C921E6">
      <w:pPr>
        <w:pStyle w:val="Body"/>
        <w:rPr>
          <w:rFonts w:ascii="Arial" w:hAnsi="Arial" w:cs="Arial"/>
        </w:rPr>
      </w:pPr>
      <w:r w:rsidRPr="00C921E6">
        <w:rPr>
          <w:rFonts w:ascii="Arial" w:hAnsi="Arial" w:cs="Arial"/>
        </w:rPr>
        <w:t>LIMITATION OF THE STUDY</w:t>
      </w:r>
    </w:p>
    <w:p w:rsidR="00C921E6" w:rsidRDefault="00C921E6" w:rsidP="00C921E6">
      <w:pPr>
        <w:pStyle w:val="Body"/>
        <w:spacing w:after="0"/>
        <w:rPr>
          <w:rFonts w:ascii="Arial" w:hAnsi="Arial" w:cs="Arial"/>
        </w:rPr>
      </w:pPr>
      <w:r w:rsidRPr="00C921E6">
        <w:rPr>
          <w:rFonts w:ascii="Arial" w:hAnsi="Arial" w:cs="Arial"/>
        </w:rPr>
        <w:t xml:space="preserve">Due to the </w:t>
      </w:r>
      <w:proofErr w:type="spellStart"/>
      <w:r w:rsidRPr="00C921E6">
        <w:rPr>
          <w:rFonts w:ascii="Arial" w:hAnsi="Arial" w:cs="Arial"/>
        </w:rPr>
        <w:t>perculiarity</w:t>
      </w:r>
      <w:proofErr w:type="spellEnd"/>
      <w:r w:rsidRPr="00C921E6">
        <w:rPr>
          <w:rFonts w:ascii="Arial" w:hAnsi="Arial" w:cs="Arial"/>
        </w:rPr>
        <w:t xml:space="preserve"> of sample collection for Lymphatic Filariasis- a neglected tropical diseases (NTDs), some of the residents in the study areas were unavailable for blood sample collection at midnight between 11pm and 1am. Some individuals with physical morbidities also chose to remain indoor to avoid stigmatization. This influenced participants’ population, despite intense advocacy and sensitization awareness about research aim and objectives.</w:t>
      </w:r>
    </w:p>
    <w:p w:rsidR="00BC544B" w:rsidRDefault="00BC544B">
      <w:pPr>
        <w:pStyle w:val="Body"/>
        <w:spacing w:after="0"/>
        <w:rPr>
          <w:rFonts w:ascii="Arial" w:hAnsi="Arial" w:cs="Arial"/>
        </w:rPr>
      </w:pPr>
    </w:p>
    <w:p w:rsidR="00BC544B" w:rsidRDefault="00022753">
      <w:pPr>
        <w:pStyle w:val="Body"/>
        <w:spacing w:after="0"/>
        <w:rPr>
          <w:rFonts w:ascii="Arial" w:hAnsi="Arial" w:cs="Arial"/>
        </w:rPr>
      </w:pPr>
      <w:r>
        <w:rPr>
          <w:rFonts w:ascii="Arial" w:hAnsi="Arial" w:cs="Arial"/>
        </w:rPr>
        <w:t>ACKNOWLEDGEMENTS</w:t>
      </w:r>
    </w:p>
    <w:p w:rsidR="00BC544B" w:rsidRDefault="00022753">
      <w:pPr>
        <w:pStyle w:val="Body"/>
        <w:spacing w:after="0"/>
        <w:rPr>
          <w:rFonts w:ascii="Arial" w:hAnsi="Arial" w:cs="Arial"/>
        </w:rPr>
      </w:pPr>
      <w:r>
        <w:rPr>
          <w:rFonts w:ascii="Arial" w:hAnsi="Arial" w:cs="Arial"/>
        </w:rPr>
        <w:t xml:space="preserve">All participants and the field team are acknowledged for their valuable time. The community leaders, Dr. Francis Akanbiemu; Permanent Secretary, </w:t>
      </w:r>
      <w:r>
        <w:rPr>
          <w:rFonts w:ascii="Arial" w:hAnsi="Arial" w:cs="Arial"/>
        </w:rPr>
        <w:t>Ondo State primary health care development agency (OSPHCDA); Dr. Omo-ode, Director Medical services (OSPHCDA); Dr. Olusote PHC Coordinator Akoko-Southwest LGA, and Mr Abeleje, Frontline Health worker Akoko South west LGA are deeply appreciated for facilita</w:t>
      </w:r>
      <w:r>
        <w:rPr>
          <w:rFonts w:ascii="Arial" w:hAnsi="Arial" w:cs="Arial"/>
        </w:rPr>
        <w:t>ting a smooth survey.</w:t>
      </w:r>
    </w:p>
    <w:p w:rsidR="00BC544B" w:rsidRDefault="00BC544B">
      <w:pPr>
        <w:pStyle w:val="Body"/>
        <w:spacing w:after="0"/>
        <w:rPr>
          <w:rFonts w:ascii="Arial" w:hAnsi="Arial" w:cs="Arial"/>
        </w:rPr>
      </w:pPr>
    </w:p>
    <w:p w:rsidR="00BC544B" w:rsidRDefault="00022753">
      <w:pPr>
        <w:pStyle w:val="Body"/>
        <w:spacing w:after="0"/>
        <w:rPr>
          <w:rFonts w:ascii="Arial" w:hAnsi="Arial" w:cs="Arial"/>
        </w:rPr>
      </w:pPr>
      <w:r>
        <w:rPr>
          <w:rFonts w:ascii="Arial" w:hAnsi="Arial" w:cs="Arial"/>
        </w:rPr>
        <w:t>FUNDING</w:t>
      </w:r>
    </w:p>
    <w:p w:rsidR="00BC544B" w:rsidRDefault="00022753">
      <w:pPr>
        <w:pStyle w:val="Body"/>
        <w:spacing w:after="0"/>
        <w:rPr>
          <w:rFonts w:ascii="Arial" w:hAnsi="Arial" w:cs="Arial"/>
        </w:rPr>
      </w:pPr>
      <w:r>
        <w:rPr>
          <w:rFonts w:ascii="Arial" w:hAnsi="Arial" w:cs="Arial"/>
        </w:rPr>
        <w:t>The study was funded by:</w:t>
      </w:r>
    </w:p>
    <w:p w:rsidR="00BC544B" w:rsidRDefault="00022753">
      <w:pPr>
        <w:pStyle w:val="Body"/>
        <w:spacing w:after="0"/>
        <w:rPr>
          <w:rFonts w:ascii="Arial" w:hAnsi="Arial" w:cs="Arial"/>
        </w:rPr>
      </w:pPr>
      <w:r>
        <w:rPr>
          <w:rFonts w:ascii="Arial" w:hAnsi="Arial" w:cs="Arial"/>
        </w:rPr>
        <w:t>The Royal Society of Tropical Medicine and Hygiene (RSTMH), in partnership with Children investment fund foundation (CIFF)-2024/2025</w:t>
      </w:r>
    </w:p>
    <w:p w:rsidR="00BC544B" w:rsidRDefault="00BC544B">
      <w:pPr>
        <w:pStyle w:val="Body"/>
        <w:spacing w:after="0"/>
        <w:rPr>
          <w:rFonts w:ascii="Arial" w:hAnsi="Arial" w:cs="Arial"/>
        </w:rPr>
      </w:pPr>
    </w:p>
    <w:p w:rsidR="00BC544B" w:rsidRDefault="00022753">
      <w:pPr>
        <w:pStyle w:val="Body"/>
        <w:spacing w:after="0"/>
        <w:rPr>
          <w:rFonts w:ascii="Arial" w:hAnsi="Arial" w:cs="Arial"/>
        </w:rPr>
      </w:pPr>
      <w:r>
        <w:rPr>
          <w:rFonts w:ascii="Arial" w:hAnsi="Arial" w:cs="Arial"/>
        </w:rPr>
        <w:t xml:space="preserve">Secondly, I acknowledge the invaluable contribution from Mawazo </w:t>
      </w:r>
      <w:r>
        <w:rPr>
          <w:rFonts w:ascii="Arial" w:hAnsi="Arial" w:cs="Arial"/>
        </w:rPr>
        <w:t>Institute and its partners in supporting my research, which has been instrumental in enabling me to achieve this.</w:t>
      </w:r>
    </w:p>
    <w:p w:rsidR="00BC544B" w:rsidRDefault="00BC544B">
      <w:pPr>
        <w:pStyle w:val="Body"/>
        <w:spacing w:after="0"/>
        <w:rPr>
          <w:rFonts w:ascii="Arial" w:hAnsi="Arial" w:cs="Arial"/>
        </w:rPr>
      </w:pPr>
    </w:p>
    <w:p w:rsidR="00BC544B" w:rsidRDefault="00022753">
      <w:pPr>
        <w:pStyle w:val="Body"/>
        <w:spacing w:after="0"/>
        <w:rPr>
          <w:rFonts w:ascii="Arial" w:hAnsi="Arial" w:cs="Arial"/>
        </w:rPr>
      </w:pPr>
      <w:r>
        <w:rPr>
          <w:rFonts w:ascii="Arial" w:hAnsi="Arial" w:cs="Arial"/>
        </w:rPr>
        <w:t>AUTHORS’ CONTRIBUTION</w:t>
      </w:r>
    </w:p>
    <w:p w:rsidR="00BC544B" w:rsidRDefault="00022753">
      <w:pPr>
        <w:pStyle w:val="Body"/>
        <w:spacing w:after="0"/>
        <w:rPr>
          <w:rFonts w:ascii="Arial" w:hAnsi="Arial" w:cs="Arial"/>
        </w:rPr>
      </w:pPr>
      <w:r>
        <w:rPr>
          <w:rFonts w:ascii="Arial" w:hAnsi="Arial" w:cs="Arial"/>
        </w:rPr>
        <w:t>This research was designed by MOO and AIO and dully supervised by MOO and OJA. Sample collection was jointly done, whil</w:t>
      </w:r>
      <w:r>
        <w:rPr>
          <w:rFonts w:ascii="Arial" w:hAnsi="Arial" w:cs="Arial"/>
        </w:rPr>
        <w:t>e data gathering and draft manuscript was written by AIO. All authors read, corrected and approved final manuscript.</w:t>
      </w:r>
    </w:p>
    <w:p w:rsidR="00BC544B" w:rsidRDefault="00BC544B">
      <w:pPr>
        <w:pStyle w:val="Body"/>
        <w:spacing w:after="0"/>
        <w:rPr>
          <w:rFonts w:ascii="Arial" w:hAnsi="Arial" w:cs="Arial"/>
          <w:sz w:val="16"/>
          <w:szCs w:val="16"/>
        </w:rPr>
      </w:pPr>
    </w:p>
    <w:p w:rsidR="00BC544B" w:rsidRDefault="00BC544B">
      <w:pPr>
        <w:pStyle w:val="ReferHead"/>
        <w:spacing w:after="0"/>
        <w:jc w:val="both"/>
        <w:rPr>
          <w:rFonts w:ascii="Arial" w:hAnsi="Arial" w:cs="Arial"/>
          <w:b w:val="0"/>
          <w:caps w:val="0"/>
          <w:sz w:val="20"/>
        </w:rPr>
      </w:pPr>
    </w:p>
    <w:p w:rsidR="00B147AF" w:rsidRDefault="00022753">
      <w:pPr>
        <w:spacing w:line="276" w:lineRule="auto"/>
        <w:jc w:val="both"/>
        <w:rPr>
          <w:rFonts w:ascii="Arial" w:hAnsi="Arial" w:cs="Arial"/>
          <w:b/>
          <w:bCs/>
          <w:sz w:val="24"/>
          <w:szCs w:val="24"/>
        </w:rPr>
      </w:pPr>
      <w:r>
        <w:rPr>
          <w:rFonts w:ascii="Arial" w:hAnsi="Arial" w:cs="Arial"/>
          <w:b/>
          <w:sz w:val="24"/>
          <w:szCs w:val="24"/>
        </w:rPr>
        <w:t xml:space="preserve">ETHICS APPROVAL </w:t>
      </w:r>
      <w:r>
        <w:rPr>
          <w:rFonts w:ascii="Arial" w:hAnsi="Arial" w:cs="Arial"/>
          <w:b/>
          <w:bCs/>
          <w:sz w:val="24"/>
          <w:szCs w:val="24"/>
        </w:rPr>
        <w:t xml:space="preserve">AND CONSENT </w:t>
      </w:r>
    </w:p>
    <w:p w:rsidR="00BC544B" w:rsidRDefault="00022753">
      <w:pPr>
        <w:spacing w:line="276" w:lineRule="auto"/>
        <w:jc w:val="both"/>
        <w:rPr>
          <w:rFonts w:ascii="Arial" w:hAnsi="Arial" w:cs="Arial"/>
        </w:rPr>
      </w:pPr>
      <w:r>
        <w:rPr>
          <w:rFonts w:ascii="Arial" w:hAnsi="Arial" w:cs="Arial"/>
        </w:rPr>
        <w:t>Prior to the survey, ethical approval with reference number FUTA/CRD/EC/23/103 was sought from</w:t>
      </w:r>
      <w:r>
        <w:rPr>
          <w:rFonts w:ascii="Arial" w:hAnsi="Arial" w:cs="Arial"/>
        </w:rPr>
        <w:t xml:space="preserve"> the Research Ethics review board of the Federal University of Technology, Akure; Ministry of Health and Ondo state Primary Health Care Development Agency (OSPHCDA). Verbal consent was also obtained from Community leaders before commencement of the researc</w:t>
      </w:r>
      <w:r>
        <w:rPr>
          <w:rFonts w:ascii="Arial" w:hAnsi="Arial" w:cs="Arial"/>
        </w:rPr>
        <w:t>h. Formal Consent Forms (FCFs) were administered to and completed by study participants who agreed to participate after detailed sensitization, focal group discussion in their local language, during which the participants were made aware of the nature, sco</w:t>
      </w:r>
      <w:r>
        <w:rPr>
          <w:rFonts w:ascii="Arial" w:hAnsi="Arial" w:cs="Arial"/>
        </w:rPr>
        <w:t>pe and purpose of the research; using the aid of Information, Education and Communication (IEC) materials. Participants were also assured of confidentiality and their right to withdraw from participation at any time.</w:t>
      </w:r>
      <w:r w:rsidR="00B12320">
        <w:rPr>
          <w:rFonts w:ascii="Arial" w:hAnsi="Arial" w:cs="Arial"/>
        </w:rPr>
        <w:t xml:space="preserve"> </w:t>
      </w:r>
      <w:r>
        <w:rPr>
          <w:rFonts w:ascii="Arial" w:hAnsi="Arial" w:cs="Arial"/>
        </w:rPr>
        <w:t>All authors hereby declare that all ex</w:t>
      </w:r>
      <w:r>
        <w:rPr>
          <w:rFonts w:ascii="Arial" w:hAnsi="Arial" w:cs="Arial"/>
        </w:rPr>
        <w:t>periments have been examined and approved by the appropriate ethics committee and have therefore been performed in accordance with the ethical standards laid down in the 1964 Declaration of Helsinki</w:t>
      </w:r>
    </w:p>
    <w:p w:rsidR="00BC544B" w:rsidRDefault="00BC544B">
      <w:pPr>
        <w:spacing w:line="276" w:lineRule="auto"/>
        <w:jc w:val="both"/>
        <w:rPr>
          <w:rFonts w:ascii="Arial" w:hAnsi="Arial" w:cs="Arial"/>
        </w:rPr>
      </w:pPr>
    </w:p>
    <w:p w:rsidR="00BC544B" w:rsidRDefault="00022753">
      <w:pPr>
        <w:spacing w:line="276" w:lineRule="auto"/>
        <w:jc w:val="both"/>
        <w:rPr>
          <w:rFonts w:ascii="Arial" w:hAnsi="Arial" w:cs="Arial"/>
        </w:rPr>
      </w:pPr>
      <w:r>
        <w:rPr>
          <w:rFonts w:ascii="Arial" w:hAnsi="Arial" w:cs="Arial"/>
        </w:rPr>
        <w:lastRenderedPageBreak/>
        <w:t>COMPETING INTERESTS DISCLAIMER:</w:t>
      </w:r>
    </w:p>
    <w:p w:rsidR="00BC544B" w:rsidRDefault="00022753">
      <w:pPr>
        <w:spacing w:line="276" w:lineRule="auto"/>
        <w:jc w:val="both"/>
        <w:rPr>
          <w:rFonts w:ascii="Arial" w:hAnsi="Arial" w:cs="Arial"/>
        </w:rPr>
      </w:pPr>
      <w:r>
        <w:rPr>
          <w:rFonts w:ascii="Arial" w:hAnsi="Arial" w:cs="Arial"/>
        </w:rPr>
        <w:t>Authors have declared th</w:t>
      </w:r>
      <w:r>
        <w:rPr>
          <w:rFonts w:ascii="Arial" w:hAnsi="Arial" w:cs="Arial"/>
        </w:rPr>
        <w:t>at they have no known competing financial interests OR non-financial interests OR personal relationships that could have appeared to influence the work reported in this paper.</w:t>
      </w:r>
    </w:p>
    <w:p w:rsidR="00BC544B" w:rsidRDefault="00BC544B">
      <w:pPr>
        <w:spacing w:line="276" w:lineRule="auto"/>
        <w:jc w:val="both"/>
        <w:rPr>
          <w:rFonts w:ascii="Arial" w:hAnsi="Arial" w:cs="Arial"/>
        </w:rPr>
      </w:pPr>
    </w:p>
    <w:p w:rsidR="00BC544B" w:rsidRPr="00A90A5B" w:rsidRDefault="00022753">
      <w:pPr>
        <w:pStyle w:val="NoSpacing"/>
        <w:rPr>
          <w:rFonts w:ascii="Arial" w:hAnsi="Arial" w:cs="Arial"/>
          <w:b/>
          <w:highlight w:val="yellow"/>
        </w:rPr>
      </w:pPr>
      <w:bookmarkStart w:id="1" w:name="_Hlk219284361"/>
      <w:bookmarkStart w:id="2" w:name="_Hlk198031404"/>
      <w:bookmarkStart w:id="3" w:name="_Hlk219128673"/>
      <w:r w:rsidRPr="00A90A5B">
        <w:rPr>
          <w:rFonts w:ascii="Arial" w:hAnsi="Arial" w:cs="Arial"/>
          <w:b/>
          <w:highlight w:val="yellow"/>
        </w:rPr>
        <w:t>Disclaimer (Artificial intelligence)</w:t>
      </w:r>
    </w:p>
    <w:p w:rsidR="00BC544B" w:rsidRDefault="00BC544B">
      <w:pPr>
        <w:pStyle w:val="NoSpacing"/>
        <w:rPr>
          <w:rFonts w:ascii="Arial" w:hAnsi="Arial" w:cs="Arial"/>
          <w:highlight w:val="yellow"/>
        </w:rPr>
      </w:pPr>
    </w:p>
    <w:p w:rsidR="00BC544B" w:rsidRDefault="00022753">
      <w:pPr>
        <w:pStyle w:val="NoSpacing"/>
        <w:rPr>
          <w:rFonts w:ascii="Arial" w:hAnsi="Arial" w:cs="Arial"/>
          <w:highlight w:val="yellow"/>
        </w:rPr>
      </w:pPr>
      <w:r>
        <w:rPr>
          <w:rFonts w:ascii="Arial" w:hAnsi="Arial" w:cs="Arial"/>
          <w:highlight w:val="yellow"/>
        </w:rPr>
        <w:t>Author(s) hereby declare that NO generative AI technologies such as Larg</w:t>
      </w:r>
      <w:r>
        <w:rPr>
          <w:rFonts w:ascii="Arial" w:hAnsi="Arial" w:cs="Arial"/>
          <w:highlight w:val="yellow"/>
        </w:rPr>
        <w:t>e Language Models (ChatGPT, COPILOT, etc.) and text-to-image generators have been used during the writing or editing of this manuscript</w:t>
      </w:r>
      <w:bookmarkEnd w:id="1"/>
      <w:r>
        <w:rPr>
          <w:rFonts w:ascii="Arial" w:hAnsi="Arial" w:cs="Arial"/>
          <w:highlight w:val="yellow"/>
        </w:rPr>
        <w:t xml:space="preserve">. </w:t>
      </w:r>
    </w:p>
    <w:bookmarkEnd w:id="2"/>
    <w:p w:rsidR="00BC544B" w:rsidRDefault="00BC544B">
      <w:pPr>
        <w:pStyle w:val="NoSpacing"/>
        <w:rPr>
          <w:rFonts w:ascii="Arial" w:hAnsi="Arial" w:cs="Arial"/>
        </w:rPr>
      </w:pPr>
    </w:p>
    <w:bookmarkEnd w:id="3"/>
    <w:p w:rsidR="00BC544B" w:rsidRDefault="00BC544B">
      <w:pPr>
        <w:spacing w:line="276" w:lineRule="auto"/>
        <w:jc w:val="both"/>
        <w:rPr>
          <w:rFonts w:ascii="Arial" w:hAnsi="Arial" w:cs="Arial"/>
        </w:rPr>
      </w:pPr>
    </w:p>
    <w:p w:rsidR="00BC544B" w:rsidRDefault="00BC544B">
      <w:pPr>
        <w:pStyle w:val="ReferHead"/>
        <w:spacing w:after="0"/>
        <w:jc w:val="both"/>
        <w:rPr>
          <w:rFonts w:ascii="Arial" w:hAnsi="Arial" w:cs="Arial"/>
        </w:rPr>
      </w:pPr>
    </w:p>
    <w:p w:rsidR="00BC544B" w:rsidRDefault="00022753">
      <w:pPr>
        <w:pStyle w:val="ReferHead"/>
        <w:spacing w:after="0"/>
        <w:jc w:val="both"/>
        <w:rPr>
          <w:rFonts w:ascii="Arial" w:hAnsi="Arial" w:cs="Arial"/>
        </w:rPr>
      </w:pPr>
      <w:r>
        <w:rPr>
          <w:rFonts w:ascii="Arial" w:hAnsi="Arial" w:cs="Arial"/>
        </w:rPr>
        <w:t>References</w:t>
      </w:r>
    </w:p>
    <w:p w:rsidR="00BC544B" w:rsidRDefault="00BC544B">
      <w:pPr>
        <w:pStyle w:val="ReferHead"/>
        <w:spacing w:after="0"/>
        <w:jc w:val="both"/>
        <w:rPr>
          <w:rFonts w:ascii="Arial" w:hAnsi="Arial" w:cs="Arial"/>
        </w:rPr>
      </w:pPr>
    </w:p>
    <w:p w:rsidR="00BC544B" w:rsidRDefault="00022753">
      <w:pPr>
        <w:tabs>
          <w:tab w:val="left" w:pos="360"/>
        </w:tabs>
        <w:ind w:left="270" w:hanging="270"/>
        <w:jc w:val="both"/>
        <w:rPr>
          <w:rFonts w:ascii="Arial" w:hAnsi="Arial" w:cs="Arial"/>
          <w:i/>
        </w:rPr>
      </w:pPr>
      <w:r>
        <w:rPr>
          <w:rFonts w:ascii="Arial" w:hAnsi="Arial" w:cs="Arial"/>
        </w:rPr>
        <w:t>Adekunle, N.O and Asimea</w:t>
      </w:r>
      <w:r>
        <w:rPr>
          <w:rFonts w:ascii="Arial" w:hAnsi="Arial" w:cs="Arial"/>
        </w:rPr>
        <w:t xml:space="preserve">, A.O. (2018) Prevalence of Lymphatic Filariasis and associated clinical morbidities among adolescents in three rural commnunities in Ondo Sate Southwest Nigeria. </w:t>
      </w:r>
      <w:r>
        <w:rPr>
          <w:rFonts w:ascii="Arial" w:hAnsi="Arial" w:cs="Arial"/>
          <w:i/>
        </w:rPr>
        <w:t>J Trop Med Health JTMH-120. DOI: 10.29011/JTMH-120.000120</w:t>
      </w:r>
    </w:p>
    <w:p w:rsidR="00BC544B" w:rsidRDefault="00BC544B">
      <w:pPr>
        <w:jc w:val="both"/>
        <w:rPr>
          <w:rFonts w:ascii="Arial" w:hAnsi="Arial" w:cs="Arial"/>
          <w:i/>
        </w:rPr>
      </w:pPr>
    </w:p>
    <w:p w:rsidR="00BC544B" w:rsidRDefault="00022753">
      <w:pPr>
        <w:ind w:left="270" w:hanging="270"/>
        <w:jc w:val="both"/>
        <w:rPr>
          <w:rFonts w:ascii="Arial" w:hAnsi="Arial" w:cs="Arial"/>
          <w:i/>
        </w:rPr>
      </w:pPr>
      <w:r>
        <w:rPr>
          <w:rFonts w:ascii="Arial" w:hAnsi="Arial" w:cs="Arial"/>
          <w:iCs/>
        </w:rPr>
        <w:t xml:space="preserve">Agrawal, S.K. (2021) Socio-economic impact of Lymphatic filariasis in semi-urban community of Ratanpur, Chhattisgarh State, India. </w:t>
      </w:r>
      <w:r>
        <w:rPr>
          <w:rFonts w:ascii="Arial" w:hAnsi="Arial" w:cs="Arial"/>
          <w:i/>
        </w:rPr>
        <w:t>Uttar Pradesh journal of zoology; 42(24):1089-1094, ISSN:0256-971X(P)</w:t>
      </w:r>
    </w:p>
    <w:p w:rsidR="00BC544B" w:rsidRDefault="00BC544B">
      <w:pPr>
        <w:jc w:val="both"/>
        <w:rPr>
          <w:rFonts w:ascii="Arial" w:hAnsi="Arial" w:cs="Arial"/>
        </w:rPr>
      </w:pPr>
    </w:p>
    <w:p w:rsidR="00BC544B" w:rsidRDefault="00022753">
      <w:pPr>
        <w:ind w:left="270" w:hanging="270"/>
        <w:jc w:val="both"/>
        <w:rPr>
          <w:rFonts w:ascii="Arial" w:hAnsi="Arial" w:cs="Arial"/>
          <w:i/>
        </w:rPr>
      </w:pPr>
      <w:r>
        <w:rPr>
          <w:rFonts w:ascii="Arial" w:hAnsi="Arial" w:cs="Arial"/>
        </w:rPr>
        <w:t>Amanyi-Enegela J.A., Kumbur, J., Burn N., Sankar G, Qu</w:t>
      </w:r>
      <w:r>
        <w:rPr>
          <w:rFonts w:ascii="Arial" w:hAnsi="Arial" w:cs="Arial"/>
        </w:rPr>
        <w:t xml:space="preserve">reshi B., and </w:t>
      </w:r>
      <w:r>
        <w:rPr>
          <w:rFonts w:ascii="Arial" w:hAnsi="Arial" w:cs="Arial"/>
          <w:i/>
        </w:rPr>
        <w:t>et al.</w:t>
      </w:r>
      <w:r>
        <w:rPr>
          <w:rFonts w:ascii="Arial" w:hAnsi="Arial" w:cs="Arial"/>
        </w:rPr>
        <w:t xml:space="preserve"> (2022) Assessment of progress towards elimination of Lymphatic filariasis in the Federal Capital territory-Abuja, Nigeria. </w:t>
      </w:r>
      <w:r>
        <w:rPr>
          <w:rFonts w:ascii="Arial" w:hAnsi="Arial" w:cs="Arial"/>
          <w:i/>
        </w:rPr>
        <w:t>Front Trop. Dis. Neglected tropiocal diseases volume 3(22) doi:10.3389/fitd.2022.1033802</w:t>
      </w:r>
    </w:p>
    <w:p w:rsidR="00BC544B" w:rsidRDefault="00BC544B">
      <w:pPr>
        <w:jc w:val="both"/>
        <w:rPr>
          <w:rFonts w:ascii="Arial" w:hAnsi="Arial" w:cs="Arial"/>
          <w:i/>
        </w:rPr>
      </w:pPr>
    </w:p>
    <w:p w:rsidR="00BC544B" w:rsidRDefault="00022753">
      <w:pPr>
        <w:ind w:left="270" w:hanging="270"/>
        <w:jc w:val="both"/>
        <w:rPr>
          <w:rFonts w:ascii="Arial" w:hAnsi="Arial" w:cs="Arial"/>
        </w:rPr>
      </w:pPr>
      <w:r>
        <w:rPr>
          <w:rFonts w:ascii="Arial" w:hAnsi="Arial" w:cs="Arial"/>
        </w:rPr>
        <w:t>Awiya BH., Amawulu E.,</w:t>
      </w:r>
      <w:r>
        <w:rPr>
          <w:rFonts w:ascii="Arial" w:hAnsi="Arial" w:cs="Arial"/>
        </w:rPr>
        <w:t xml:space="preserve"> Nduka F., Chinwe E. (2020) Prevalence, Knowledge and Perception of Lymphatic Filariasis in Yenagoa Local Government Area, Bayelsa State, </w:t>
      </w:r>
      <w:r>
        <w:rPr>
          <w:rFonts w:ascii="Arial" w:hAnsi="Arial" w:cs="Arial"/>
          <w:i/>
          <w:iCs/>
        </w:rPr>
        <w:t>Nigeria Journal of Tropical Disease</w:t>
      </w:r>
      <w:r>
        <w:rPr>
          <w:rFonts w:ascii="Arial" w:hAnsi="Arial" w:cs="Arial"/>
        </w:rPr>
        <w:t>. Vol. 11 Issn 03 No: 1000387</w:t>
      </w:r>
    </w:p>
    <w:p w:rsidR="00BC544B" w:rsidRDefault="00BC544B">
      <w:pPr>
        <w:jc w:val="both"/>
        <w:rPr>
          <w:rFonts w:ascii="Arial" w:hAnsi="Arial" w:cs="Arial"/>
        </w:rPr>
      </w:pPr>
    </w:p>
    <w:p w:rsidR="00BC544B" w:rsidRDefault="00022753">
      <w:pPr>
        <w:ind w:left="270" w:hanging="270"/>
        <w:jc w:val="both"/>
        <w:rPr>
          <w:rFonts w:ascii="Arial" w:hAnsi="Arial" w:cs="Arial"/>
        </w:rPr>
      </w:pPr>
      <w:r>
        <w:rPr>
          <w:rFonts w:ascii="Arial" w:hAnsi="Arial" w:cs="Arial"/>
        </w:rPr>
        <w:t>Badaki, J.A., Akogun, O.B., Molta N.B., and Imandeh,</w:t>
      </w:r>
      <w:r>
        <w:rPr>
          <w:rFonts w:ascii="Arial" w:hAnsi="Arial" w:cs="Arial"/>
        </w:rPr>
        <w:t xml:space="preserve"> G. (2013) Bancroftiasis among the mumuye of Northeastern Nigeria: </w:t>
      </w:r>
      <w:r>
        <w:rPr>
          <w:rFonts w:ascii="Arial" w:hAnsi="Arial" w:cs="Arial"/>
          <w:i/>
          <w:iCs/>
        </w:rPr>
        <w:t>Parasitological and clinical studies in Northern Taraba state</w:t>
      </w:r>
      <w:r>
        <w:rPr>
          <w:rFonts w:ascii="Arial" w:hAnsi="Arial" w:cs="Arial"/>
        </w:rPr>
        <w:t xml:space="preserve"> </w:t>
      </w:r>
      <w:r>
        <w:rPr>
          <w:rFonts w:ascii="Arial" w:hAnsi="Arial" w:cs="Arial"/>
          <w:i/>
          <w:iCs/>
        </w:rPr>
        <w:t>Health</w:t>
      </w:r>
      <w:r>
        <w:rPr>
          <w:rFonts w:ascii="Arial" w:hAnsi="Arial" w:cs="Arial"/>
        </w:rPr>
        <w:t>, 5: 138-142</w:t>
      </w:r>
    </w:p>
    <w:p w:rsidR="00BC544B" w:rsidRDefault="00022753">
      <w:pPr>
        <w:jc w:val="both"/>
        <w:rPr>
          <w:rFonts w:ascii="Arial" w:hAnsi="Arial" w:cs="Arial"/>
        </w:rPr>
      </w:pPr>
      <w:r>
        <w:rPr>
          <w:rFonts w:ascii="Arial" w:hAnsi="Arial" w:cs="Arial"/>
        </w:rPr>
        <w:t xml:space="preserve"> </w:t>
      </w:r>
    </w:p>
    <w:p w:rsidR="00BC544B" w:rsidRDefault="00022753">
      <w:pPr>
        <w:ind w:left="270" w:hanging="270"/>
        <w:jc w:val="both"/>
        <w:rPr>
          <w:rFonts w:ascii="Arial" w:hAnsi="Arial" w:cs="Arial"/>
          <w:i/>
          <w:iCs/>
        </w:rPr>
      </w:pPr>
      <w:r>
        <w:rPr>
          <w:rFonts w:ascii="Arial" w:hAnsi="Arial" w:cs="Arial"/>
        </w:rPr>
        <w:t xml:space="preserve">Bal M.S., Beuria, M.K., Mandal, N.N., Das, M.K. (2009) Antigenemia in young children living in Wuchereria </w:t>
      </w:r>
      <w:r>
        <w:rPr>
          <w:rFonts w:ascii="Arial" w:hAnsi="Arial" w:cs="Arial"/>
        </w:rPr>
        <w:t xml:space="preserve">bancrofti-endemic areas of Orissa, India. </w:t>
      </w:r>
      <w:r>
        <w:rPr>
          <w:rFonts w:ascii="Arial" w:hAnsi="Arial" w:cs="Arial"/>
          <w:i/>
          <w:iCs/>
        </w:rPr>
        <w:t>Transactions of the Royal Society of Tropical Medicine and Hygiene 103: 262-265.</w:t>
      </w:r>
    </w:p>
    <w:p w:rsidR="00BC544B" w:rsidRDefault="00BC544B">
      <w:pPr>
        <w:jc w:val="both"/>
        <w:rPr>
          <w:rFonts w:ascii="Arial" w:hAnsi="Arial" w:cs="Arial"/>
        </w:rPr>
      </w:pPr>
    </w:p>
    <w:p w:rsidR="00BC544B" w:rsidRDefault="00022753">
      <w:pPr>
        <w:ind w:left="270" w:hanging="270"/>
        <w:jc w:val="both"/>
        <w:rPr>
          <w:rFonts w:ascii="Arial" w:hAnsi="Arial" w:cs="Arial"/>
          <w:i/>
        </w:rPr>
      </w:pPr>
      <w:r>
        <w:rPr>
          <w:rFonts w:ascii="Arial" w:hAnsi="Arial" w:cs="Arial"/>
        </w:rPr>
        <w:t>Ballesteros, C., Tritten, L., O'Neill, M., Burkman, E., Zaky, W.I, Xia, J., Moorhead, A., Williams, S.A., and Geary, T.G. (2016) The</w:t>
      </w:r>
      <w:r>
        <w:rPr>
          <w:rFonts w:ascii="Arial" w:hAnsi="Arial" w:cs="Arial"/>
        </w:rPr>
        <w:t xml:space="preserve"> effects of ivermectin on Brugia malayi females in vitro: a transcriptomic approach. </w:t>
      </w:r>
      <w:r>
        <w:rPr>
          <w:rFonts w:ascii="Arial" w:hAnsi="Arial" w:cs="Arial"/>
          <w:i/>
        </w:rPr>
        <w:t>PLoS Neglected Tropical Diseases 10, 1–19.</w:t>
      </w:r>
    </w:p>
    <w:p w:rsidR="00BC544B" w:rsidRDefault="00022753">
      <w:pPr>
        <w:ind w:left="270" w:hanging="270"/>
        <w:jc w:val="both"/>
        <w:rPr>
          <w:rFonts w:ascii="Arial" w:hAnsi="Arial" w:cs="Arial"/>
          <w:i/>
          <w:iCs/>
        </w:rPr>
      </w:pPr>
      <w:r>
        <w:rPr>
          <w:rFonts w:ascii="Arial" w:hAnsi="Arial" w:cs="Arial"/>
        </w:rPr>
        <w:t>Batsa, L.D., Mohammed, A., Osei-Mensah, J., Mubarik, Y., Agbenyega, O., Ayisi-Boateng, N.K. (2020) Morbidity management and surv</w:t>
      </w:r>
      <w:r>
        <w:rPr>
          <w:rFonts w:ascii="Arial" w:hAnsi="Arial" w:cs="Arial"/>
        </w:rPr>
        <w:t xml:space="preserve">eillance of lymphatic filariasis disease and acute dermatolymphangioadenitis attacks using a mobile phone-based tool by community health volunteers in Ghana. </w:t>
      </w:r>
      <w:r>
        <w:rPr>
          <w:rFonts w:ascii="Arial" w:hAnsi="Arial" w:cs="Arial"/>
          <w:i/>
          <w:iCs/>
        </w:rPr>
        <w:t>PLOS Neglected Tropical Disease 14(11):e0008839. doi: 10.1371/journal.pntd.0008839</w:t>
      </w:r>
    </w:p>
    <w:p w:rsidR="00BC544B" w:rsidRDefault="00BC544B">
      <w:pPr>
        <w:jc w:val="both"/>
        <w:rPr>
          <w:rFonts w:ascii="Arial" w:hAnsi="Arial" w:cs="Arial"/>
          <w:i/>
          <w:iCs/>
        </w:rPr>
      </w:pPr>
    </w:p>
    <w:p w:rsidR="00BC544B" w:rsidRDefault="00022753">
      <w:pPr>
        <w:ind w:left="270" w:hanging="270"/>
        <w:jc w:val="both"/>
        <w:rPr>
          <w:rFonts w:ascii="Arial" w:hAnsi="Arial" w:cs="Arial"/>
          <w:i/>
          <w:iCs/>
        </w:rPr>
      </w:pPr>
      <w:r>
        <w:rPr>
          <w:rFonts w:ascii="Arial" w:hAnsi="Arial" w:cs="Arial"/>
        </w:rPr>
        <w:t>Brandão, E., B</w:t>
      </w:r>
      <w:r>
        <w:rPr>
          <w:rFonts w:ascii="Arial" w:hAnsi="Arial" w:cs="Arial"/>
        </w:rPr>
        <w:t xml:space="preserve">onfim, C., Alves, A., Oliveira, C., Montenegro, C.E. (2015) Lymphatic filariasis among children and adolescents: spatial identification via socio-environmental indicators to define priority areas for elimination. </w:t>
      </w:r>
      <w:r>
        <w:rPr>
          <w:rFonts w:ascii="Arial" w:hAnsi="Arial" w:cs="Arial"/>
          <w:i/>
          <w:iCs/>
        </w:rPr>
        <w:t>International Health. 7: 324-331</w:t>
      </w:r>
    </w:p>
    <w:p w:rsidR="00BC544B" w:rsidRDefault="00BC544B">
      <w:pPr>
        <w:jc w:val="both"/>
        <w:rPr>
          <w:rFonts w:ascii="Arial" w:hAnsi="Arial" w:cs="Arial"/>
          <w:i/>
          <w:iCs/>
          <w:noProof/>
        </w:rPr>
      </w:pPr>
    </w:p>
    <w:p w:rsidR="00BC544B" w:rsidRDefault="00022753">
      <w:pPr>
        <w:ind w:left="270" w:hanging="270"/>
        <w:jc w:val="both"/>
        <w:rPr>
          <w:rStyle w:val="Hyperlink"/>
          <w:rFonts w:ascii="Arial" w:hAnsi="Arial" w:cs="Arial"/>
          <w:i/>
          <w:iCs/>
        </w:rPr>
      </w:pPr>
      <w:r>
        <w:rPr>
          <w:rFonts w:ascii="Arial" w:hAnsi="Arial" w:cs="Arial"/>
          <w:noProof/>
        </w:rPr>
        <w:t>CDC. (202</w:t>
      </w:r>
      <w:r>
        <w:rPr>
          <w:rFonts w:ascii="Arial" w:hAnsi="Arial" w:cs="Arial"/>
          <w:noProof/>
        </w:rPr>
        <w:t xml:space="preserve">0). </w:t>
      </w:r>
      <w:r>
        <w:rPr>
          <w:rFonts w:ascii="Arial" w:hAnsi="Arial" w:cs="Arial"/>
          <w:i/>
          <w:iCs/>
          <w:noProof/>
        </w:rPr>
        <w:t>Parasites - Lymphatic filariasis</w:t>
      </w:r>
      <w:r>
        <w:rPr>
          <w:rFonts w:ascii="Arial" w:hAnsi="Arial" w:cs="Arial"/>
          <w:noProof/>
        </w:rPr>
        <w:t xml:space="preserve">. Retrieved 12 11, 2023, </w:t>
      </w:r>
      <w:r>
        <w:rPr>
          <w:rFonts w:ascii="Arial" w:hAnsi="Arial" w:cs="Arial"/>
        </w:rPr>
        <w:t xml:space="preserve">from </w:t>
      </w:r>
      <w:hyperlink r:id="rId27" w:history="1">
        <w:r>
          <w:rPr>
            <w:rStyle w:val="Hyperlink"/>
            <w:rFonts w:ascii="Arial" w:hAnsi="Arial" w:cs="Arial"/>
            <w:i/>
            <w:iCs/>
          </w:rPr>
          <w:t>https://www.cdc.gov/parasites/lymphaticfilariasis/health_professionals/dxtx.html#</w:t>
        </w:r>
      </w:hyperlink>
    </w:p>
    <w:p w:rsidR="00BC544B" w:rsidRDefault="00BC544B">
      <w:pPr>
        <w:jc w:val="both"/>
        <w:rPr>
          <w:rFonts w:ascii="Arial" w:hAnsi="Arial" w:cs="Arial"/>
        </w:rPr>
      </w:pPr>
    </w:p>
    <w:p w:rsidR="00BC544B" w:rsidRDefault="00022753">
      <w:pPr>
        <w:ind w:left="270" w:hanging="270"/>
        <w:jc w:val="both"/>
        <w:rPr>
          <w:rFonts w:ascii="Arial" w:hAnsi="Arial" w:cs="Arial"/>
          <w:i/>
          <w:iCs/>
        </w:rPr>
      </w:pPr>
      <w:r>
        <w:rPr>
          <w:rFonts w:ascii="Arial" w:hAnsi="Arial" w:cs="Arial"/>
        </w:rPr>
        <w:lastRenderedPageBreak/>
        <w:t xml:space="preserve">CDC. 2023 Laboratory identification of parasites of Public Health Concern. Lymphatic Filariasis. Retrieved from </w:t>
      </w:r>
      <w:hyperlink r:id="rId28" w:history="1">
        <w:r>
          <w:rPr>
            <w:rStyle w:val="Hyperlink"/>
            <w:rFonts w:ascii="Arial" w:hAnsi="Arial" w:cs="Arial"/>
            <w:i/>
            <w:iCs/>
          </w:rPr>
          <w:t>https://www.cdc.gov/parasites/lymphaticfilariasis/h</w:t>
        </w:r>
        <w:r>
          <w:rPr>
            <w:rStyle w:val="Hyperlink"/>
            <w:rFonts w:ascii="Arial" w:hAnsi="Arial" w:cs="Arial"/>
            <w:i/>
            <w:iCs/>
          </w:rPr>
          <w:t>ealthprofessionals/dxtx.html#</w:t>
        </w:r>
      </w:hyperlink>
    </w:p>
    <w:p w:rsidR="00BC544B" w:rsidRDefault="00BC544B">
      <w:pPr>
        <w:jc w:val="both"/>
        <w:rPr>
          <w:rFonts w:ascii="Arial" w:hAnsi="Arial" w:cs="Arial"/>
          <w:i/>
          <w:iCs/>
        </w:rPr>
      </w:pPr>
    </w:p>
    <w:p w:rsidR="00BC544B" w:rsidRDefault="00022753">
      <w:pPr>
        <w:ind w:left="270" w:hanging="270"/>
        <w:jc w:val="both"/>
        <w:rPr>
          <w:rFonts w:ascii="Arial" w:hAnsi="Arial" w:cs="Arial"/>
          <w:i/>
          <w:iCs/>
        </w:rPr>
      </w:pPr>
      <w:r>
        <w:rPr>
          <w:rFonts w:ascii="Arial" w:hAnsi="Arial" w:cs="Arial"/>
        </w:rPr>
        <w:t xml:space="preserve">Christiana, O., Olajumoke, M., and Oyetunde, S. (2013) Lymphatic filariasis and associate morbidities in rural communities of Ogun State, south-western Nigeria. </w:t>
      </w:r>
      <w:r>
        <w:rPr>
          <w:rFonts w:ascii="Arial" w:hAnsi="Arial" w:cs="Arial"/>
          <w:i/>
          <w:iCs/>
        </w:rPr>
        <w:t>Travel Medicine and Infectious Diseases, 13: 17-30</w:t>
      </w:r>
    </w:p>
    <w:p w:rsidR="00BC544B" w:rsidRDefault="00022753">
      <w:pPr>
        <w:jc w:val="both"/>
        <w:rPr>
          <w:rFonts w:ascii="Arial" w:hAnsi="Arial" w:cs="Arial"/>
        </w:rPr>
      </w:pPr>
      <w:r>
        <w:rPr>
          <w:rFonts w:ascii="Arial" w:hAnsi="Arial" w:cs="Arial"/>
        </w:rPr>
        <w:t xml:space="preserve"> </w:t>
      </w:r>
    </w:p>
    <w:p w:rsidR="00BC544B" w:rsidRDefault="00022753">
      <w:pPr>
        <w:ind w:left="270" w:hanging="270"/>
        <w:jc w:val="both"/>
        <w:rPr>
          <w:rFonts w:ascii="Arial" w:hAnsi="Arial" w:cs="Arial"/>
          <w:i/>
          <w:iCs/>
        </w:rPr>
      </w:pPr>
      <w:r>
        <w:rPr>
          <w:rFonts w:ascii="Arial" w:hAnsi="Arial" w:cs="Arial"/>
        </w:rPr>
        <w:t>Dogara</w:t>
      </w:r>
      <w:r>
        <w:rPr>
          <w:rFonts w:ascii="Arial" w:hAnsi="Arial" w:cs="Arial"/>
        </w:rPr>
        <w:t xml:space="preserve">, M.M., Nock, H.I., Agbede, R.I.S., Ndams, S.I., Joseph, K.K. (2012) Prevalence of Lymphatic Filariasis in Three Villages in Kano State, Nigeria. </w:t>
      </w:r>
      <w:r>
        <w:rPr>
          <w:rFonts w:ascii="Arial" w:hAnsi="Arial" w:cs="Arial"/>
          <w:i/>
          <w:iCs/>
        </w:rPr>
        <w:t>The Inter Journal of Tropical Medicine 8: 1 - 11.</w:t>
      </w:r>
    </w:p>
    <w:p w:rsidR="00BC544B" w:rsidRDefault="00BC544B">
      <w:pPr>
        <w:jc w:val="both"/>
        <w:rPr>
          <w:rFonts w:ascii="Arial" w:hAnsi="Arial" w:cs="Arial"/>
          <w:i/>
          <w:iCs/>
        </w:rPr>
      </w:pPr>
    </w:p>
    <w:p w:rsidR="00BC544B" w:rsidRDefault="00022753">
      <w:pPr>
        <w:ind w:left="270" w:hanging="270"/>
        <w:jc w:val="both"/>
        <w:rPr>
          <w:rFonts w:ascii="Arial" w:hAnsi="Arial" w:cs="Arial"/>
          <w:i/>
          <w:iCs/>
        </w:rPr>
      </w:pPr>
      <w:r>
        <w:rPr>
          <w:rFonts w:ascii="Arial" w:hAnsi="Arial" w:cs="Arial"/>
        </w:rPr>
        <w:t xml:space="preserve">Ebenezer, A., Amadi, E.C., Agi, P.I. (2011) Studies of the </w:t>
      </w:r>
      <w:r>
        <w:rPr>
          <w:rFonts w:ascii="Arial" w:hAnsi="Arial" w:cs="Arial"/>
        </w:rPr>
        <w:t xml:space="preserve">microfilaria, antigeneamia and clinical signs of bancroftian filariasis in Epie creek communities, Niger Delta, Nigeria. </w:t>
      </w:r>
      <w:r>
        <w:rPr>
          <w:rFonts w:ascii="Arial" w:hAnsi="Arial" w:cs="Arial"/>
          <w:i/>
          <w:iCs/>
        </w:rPr>
        <w:t>Int Res Journal of Microbiol. 2(9):370-374</w:t>
      </w:r>
    </w:p>
    <w:p w:rsidR="00BC544B" w:rsidRDefault="00BC544B">
      <w:pPr>
        <w:jc w:val="both"/>
        <w:rPr>
          <w:rFonts w:ascii="Arial" w:hAnsi="Arial" w:cs="Arial"/>
          <w:i/>
          <w:iCs/>
        </w:rPr>
      </w:pPr>
    </w:p>
    <w:p w:rsidR="00BC544B" w:rsidRDefault="00022753">
      <w:pPr>
        <w:ind w:left="270" w:hanging="270"/>
        <w:jc w:val="both"/>
        <w:rPr>
          <w:rFonts w:ascii="Arial" w:hAnsi="Arial" w:cs="Arial"/>
        </w:rPr>
      </w:pPr>
      <w:r>
        <w:rPr>
          <w:rFonts w:ascii="Arial" w:hAnsi="Arial" w:cs="Arial"/>
        </w:rPr>
        <w:t xml:space="preserve">Eyo, J.E., Ezeabikwa, B.O., Ivoke, O.N., Ekeh, F.N., Ezenwayi, N.E., and et al. (2015) </w:t>
      </w:r>
      <w:r>
        <w:rPr>
          <w:rFonts w:ascii="Arial" w:hAnsi="Arial" w:cs="Arial"/>
          <w:i/>
          <w:iCs/>
        </w:rPr>
        <w:t>Wuch</w:t>
      </w:r>
      <w:r>
        <w:rPr>
          <w:rFonts w:ascii="Arial" w:hAnsi="Arial" w:cs="Arial"/>
          <w:i/>
          <w:iCs/>
        </w:rPr>
        <w:t>ereria bancrofti</w:t>
      </w:r>
      <w:r>
        <w:rPr>
          <w:rFonts w:ascii="Arial" w:hAnsi="Arial" w:cs="Arial"/>
        </w:rPr>
        <w:t xml:space="preserve"> infection in rural tropical guinea-savannah communities: Rapid Epidemiological Assessment using Immunochromatographic Card Test and Prevalence of Hydrocoele. </w:t>
      </w:r>
      <w:r>
        <w:rPr>
          <w:rFonts w:ascii="Arial" w:hAnsi="Arial" w:cs="Arial"/>
          <w:i/>
          <w:iCs/>
        </w:rPr>
        <w:t>Tropical Biomedicine 32: 365 - 375.</w:t>
      </w:r>
    </w:p>
    <w:p w:rsidR="00BC544B" w:rsidRDefault="00BC544B">
      <w:pPr>
        <w:jc w:val="both"/>
        <w:rPr>
          <w:rFonts w:ascii="Arial" w:hAnsi="Arial" w:cs="Arial"/>
        </w:rPr>
      </w:pPr>
    </w:p>
    <w:p w:rsidR="00BC544B" w:rsidRDefault="00022753">
      <w:pPr>
        <w:ind w:left="270" w:hanging="270"/>
        <w:jc w:val="both"/>
        <w:rPr>
          <w:rFonts w:ascii="Arial" w:hAnsi="Arial" w:cs="Arial"/>
          <w:i/>
          <w:iCs/>
        </w:rPr>
      </w:pPr>
      <w:r>
        <w:rPr>
          <w:rFonts w:ascii="Arial" w:hAnsi="Arial" w:cs="Arial"/>
        </w:rPr>
        <w:t>Farrar, J., Hotez, P.J., Junghanss, T., Kang</w:t>
      </w:r>
      <w:r>
        <w:rPr>
          <w:rFonts w:ascii="Arial" w:hAnsi="Arial" w:cs="Arial"/>
        </w:rPr>
        <w:t xml:space="preserve">, G., Lalloo, D., and White, N.J. (2013) </w:t>
      </w:r>
      <w:r>
        <w:rPr>
          <w:rFonts w:ascii="Arial" w:hAnsi="Arial" w:cs="Arial"/>
          <w:i/>
          <w:iCs/>
        </w:rPr>
        <w:t>Manson’s tropical diseases. Elsevier 2013.</w:t>
      </w:r>
    </w:p>
    <w:p w:rsidR="00BC544B" w:rsidRDefault="00BC544B">
      <w:pPr>
        <w:jc w:val="both"/>
        <w:rPr>
          <w:rFonts w:ascii="Arial" w:hAnsi="Arial" w:cs="Arial"/>
        </w:rPr>
      </w:pPr>
    </w:p>
    <w:p w:rsidR="00BC544B" w:rsidRDefault="00022753">
      <w:pPr>
        <w:ind w:left="270" w:hanging="270"/>
        <w:jc w:val="both"/>
        <w:rPr>
          <w:rFonts w:ascii="Arial" w:hAnsi="Arial" w:cs="Arial"/>
        </w:rPr>
      </w:pPr>
      <w:r>
        <w:rPr>
          <w:rFonts w:ascii="Arial" w:hAnsi="Arial" w:cs="Arial"/>
        </w:rPr>
        <w:t>Federal Ministry of Health (2013) Guidelines for Malaria and Lymphatic Filariasis Co-implementation in Nigeria, p. 1.</w:t>
      </w:r>
    </w:p>
    <w:p w:rsidR="00BC544B" w:rsidRDefault="00BC544B">
      <w:pPr>
        <w:ind w:left="270" w:hanging="270"/>
        <w:jc w:val="both"/>
        <w:rPr>
          <w:rFonts w:ascii="Arial" w:hAnsi="Arial" w:cs="Arial"/>
        </w:rPr>
      </w:pPr>
    </w:p>
    <w:p w:rsidR="00BC544B" w:rsidRDefault="00022753">
      <w:pPr>
        <w:ind w:left="270" w:hanging="270"/>
        <w:jc w:val="both"/>
        <w:rPr>
          <w:rFonts w:ascii="Arial" w:hAnsi="Arial" w:cs="Arial"/>
          <w:i/>
        </w:rPr>
      </w:pPr>
      <w:r>
        <w:rPr>
          <w:rFonts w:ascii="Arial" w:hAnsi="Arial" w:cs="Arial"/>
        </w:rPr>
        <w:t>Gyapong J.O., Owusu, I.O., Dascosta-Vroom, F.B., Men</w:t>
      </w:r>
      <w:r>
        <w:rPr>
          <w:rFonts w:ascii="Arial" w:hAnsi="Arial" w:cs="Arial"/>
        </w:rPr>
        <w:t xml:space="preserve">sah, E.O., and Gyapong, M. (2018) Elimination of Lymphatic filariasis: current perspectives on mass drug administration. </w:t>
      </w:r>
      <w:r>
        <w:rPr>
          <w:rFonts w:ascii="Arial" w:hAnsi="Arial" w:cs="Arial"/>
          <w:i/>
        </w:rPr>
        <w:t>Research and report in Tropiocal Medicine 6(9:25-33) doi:10.2147/RRTM.SI25204</w:t>
      </w:r>
    </w:p>
    <w:p w:rsidR="00BC544B" w:rsidRDefault="00BC544B">
      <w:pPr>
        <w:ind w:left="270" w:hanging="270"/>
        <w:jc w:val="both"/>
        <w:rPr>
          <w:rFonts w:ascii="Arial" w:hAnsi="Arial" w:cs="Arial"/>
          <w:i/>
        </w:rPr>
      </w:pPr>
    </w:p>
    <w:p w:rsidR="00BC544B" w:rsidRDefault="00022753">
      <w:pPr>
        <w:ind w:left="270" w:hanging="270"/>
        <w:jc w:val="both"/>
        <w:rPr>
          <w:rFonts w:ascii="Arial" w:hAnsi="Arial" w:cs="Arial"/>
        </w:rPr>
      </w:pPr>
      <w:r>
        <w:rPr>
          <w:rFonts w:ascii="Arial" w:hAnsi="Arial" w:cs="Arial"/>
        </w:rPr>
        <w:t>Hotez, P.J., Asojo, O. A., and Adesina, A.A. (2012) Nige</w:t>
      </w:r>
      <w:r>
        <w:rPr>
          <w:rFonts w:ascii="Arial" w:hAnsi="Arial" w:cs="Arial"/>
        </w:rPr>
        <w:t xml:space="preserve">ria: “Ground Zero” for the High Prevalence Neglected Tropical Diseases. </w:t>
      </w:r>
      <w:r>
        <w:rPr>
          <w:rFonts w:ascii="Arial" w:hAnsi="Arial" w:cs="Arial"/>
          <w:i/>
          <w:iCs/>
        </w:rPr>
        <w:t>PLoS Neglected Tropical Diseases 6:  e1600.doi:10.1371/journal.pntd.0001600</w:t>
      </w:r>
    </w:p>
    <w:p w:rsidR="00BC544B" w:rsidRDefault="00BC544B">
      <w:pPr>
        <w:jc w:val="both"/>
        <w:rPr>
          <w:rFonts w:ascii="Arial" w:hAnsi="Arial" w:cs="Arial"/>
        </w:rPr>
      </w:pPr>
    </w:p>
    <w:p w:rsidR="00BC544B" w:rsidRDefault="00022753">
      <w:pPr>
        <w:ind w:left="270" w:hanging="270"/>
        <w:jc w:val="both"/>
        <w:rPr>
          <w:rFonts w:ascii="Arial" w:hAnsi="Arial" w:cs="Arial"/>
          <w:i/>
        </w:rPr>
      </w:pPr>
      <w:r>
        <w:rPr>
          <w:rFonts w:ascii="Arial" w:hAnsi="Arial" w:cs="Arial"/>
        </w:rPr>
        <w:t>Itansanmi-Ogundayomi A.I., and Elemu, A. (2023) Distribution and Co-infection of Malaria and Syphilis in re</w:t>
      </w:r>
      <w:r>
        <w:rPr>
          <w:rFonts w:ascii="Arial" w:hAnsi="Arial" w:cs="Arial"/>
        </w:rPr>
        <w:t xml:space="preserve">lation with ABO and rhesus among students of Federal University of Technology, Akure Ondo State, Nigeria. </w:t>
      </w:r>
      <w:r>
        <w:rPr>
          <w:rFonts w:ascii="Arial" w:hAnsi="Arial" w:cs="Arial"/>
          <w:i/>
        </w:rPr>
        <w:t>World News of Natural Sciences 49 (2023) 111-121</w:t>
      </w:r>
    </w:p>
    <w:p w:rsidR="00BC544B" w:rsidRDefault="00BC544B">
      <w:pPr>
        <w:jc w:val="both"/>
        <w:rPr>
          <w:rFonts w:ascii="Arial" w:hAnsi="Arial" w:cs="Arial"/>
        </w:rPr>
      </w:pPr>
    </w:p>
    <w:p w:rsidR="00BC544B" w:rsidRDefault="00022753">
      <w:pPr>
        <w:ind w:left="270" w:hanging="270"/>
        <w:jc w:val="both"/>
        <w:rPr>
          <w:rFonts w:ascii="Arial" w:hAnsi="Arial" w:cs="Arial"/>
        </w:rPr>
      </w:pPr>
      <w:r>
        <w:rPr>
          <w:rFonts w:ascii="Arial" w:hAnsi="Arial" w:cs="Arial"/>
        </w:rPr>
        <w:t>Katiyar, D., and Singh, L.K. (2011) Filariasis: current status, treatment and recent advances in dru</w:t>
      </w:r>
      <w:r>
        <w:rPr>
          <w:rFonts w:ascii="Arial" w:hAnsi="Arial" w:cs="Arial"/>
        </w:rPr>
        <w:t xml:space="preserve">g development. </w:t>
      </w:r>
      <w:r>
        <w:rPr>
          <w:rFonts w:ascii="Arial" w:hAnsi="Arial" w:cs="Arial"/>
          <w:i/>
          <w:iCs/>
        </w:rPr>
        <w:t>Current Medicinal Chemistry</w:t>
      </w:r>
      <w:r>
        <w:rPr>
          <w:rFonts w:ascii="Arial" w:hAnsi="Arial" w:cs="Arial"/>
        </w:rPr>
        <w:t xml:space="preserve"> 18, 2174–2185</w:t>
      </w:r>
    </w:p>
    <w:p w:rsidR="00BC544B" w:rsidRDefault="00BC544B">
      <w:pPr>
        <w:jc w:val="both"/>
        <w:rPr>
          <w:rFonts w:ascii="Arial" w:hAnsi="Arial" w:cs="Arial"/>
        </w:rPr>
      </w:pPr>
    </w:p>
    <w:p w:rsidR="00BC544B" w:rsidRDefault="00022753">
      <w:pPr>
        <w:ind w:left="270" w:hanging="270"/>
        <w:jc w:val="both"/>
        <w:rPr>
          <w:rFonts w:ascii="Arial" w:hAnsi="Arial" w:cs="Arial"/>
          <w:i/>
        </w:rPr>
      </w:pPr>
      <w:r>
        <w:rPr>
          <w:rFonts w:ascii="Arial" w:hAnsi="Arial" w:cs="Arial"/>
        </w:rPr>
        <w:t xml:space="preserve">Komoreng L., Thekisoe, O., Lehasa, S., Tiwani, T., Mzizi, N., Mokoena, N. (2017) An ethnobotanical survey of traditional medicinal plants used against lymphatic filariasis in south Africa. </w:t>
      </w:r>
      <w:r>
        <w:rPr>
          <w:rFonts w:ascii="Arial" w:hAnsi="Arial" w:cs="Arial"/>
          <w:i/>
          <w:iCs/>
        </w:rPr>
        <w:t>South Afr</w:t>
      </w:r>
      <w:r>
        <w:rPr>
          <w:rFonts w:ascii="Arial" w:hAnsi="Arial" w:cs="Arial"/>
          <w:i/>
          <w:iCs/>
        </w:rPr>
        <w:t>ican J Bot</w:t>
      </w:r>
      <w:r>
        <w:rPr>
          <w:rFonts w:ascii="Arial" w:hAnsi="Arial" w:cs="Arial"/>
          <w:i/>
        </w:rPr>
        <w:t xml:space="preserve">  111:12–6. doi: 10.1016/j.sajb.2017.03.005</w:t>
      </w:r>
    </w:p>
    <w:p w:rsidR="00BC544B" w:rsidRDefault="00BC544B">
      <w:pPr>
        <w:jc w:val="both"/>
        <w:rPr>
          <w:rFonts w:ascii="Arial" w:hAnsi="Arial" w:cs="Arial"/>
        </w:rPr>
      </w:pPr>
    </w:p>
    <w:p w:rsidR="00BC544B" w:rsidRDefault="00022753">
      <w:pPr>
        <w:ind w:left="270" w:hanging="270"/>
        <w:jc w:val="both"/>
        <w:rPr>
          <w:rFonts w:ascii="Arial" w:hAnsi="Arial" w:cs="Arial"/>
        </w:rPr>
      </w:pPr>
      <w:r>
        <w:rPr>
          <w:rFonts w:ascii="Arial" w:hAnsi="Arial" w:cs="Arial"/>
        </w:rPr>
        <w:t>Manyi, M.M., Imandeh, G.N., and Azua, E.T.  (2014) Vectorial potential of Anopheles and Culex species in the transmission of bancroftian filariasis in the localities of Makurdi, north- central Nigeria.</w:t>
      </w:r>
      <w:r>
        <w:rPr>
          <w:rFonts w:ascii="Arial" w:hAnsi="Arial" w:cs="Arial"/>
        </w:rPr>
        <w:t xml:space="preserve"> </w:t>
      </w:r>
      <w:r>
        <w:rPr>
          <w:rFonts w:ascii="Arial" w:hAnsi="Arial" w:cs="Arial"/>
          <w:i/>
          <w:iCs/>
        </w:rPr>
        <w:t>Journal of Entomology and Zoology Studies</w:t>
      </w:r>
      <w:r>
        <w:rPr>
          <w:rFonts w:ascii="Arial" w:hAnsi="Arial" w:cs="Arial"/>
        </w:rPr>
        <w:t>, 2 (5): 171-177.</w:t>
      </w:r>
    </w:p>
    <w:p w:rsidR="00BC544B" w:rsidRDefault="00BC544B">
      <w:pPr>
        <w:ind w:left="270" w:hanging="270"/>
        <w:jc w:val="both"/>
        <w:rPr>
          <w:rFonts w:ascii="Arial" w:hAnsi="Arial" w:cs="Arial"/>
        </w:rPr>
      </w:pPr>
    </w:p>
    <w:p w:rsidR="00BC544B" w:rsidRDefault="00022753">
      <w:pPr>
        <w:ind w:left="270" w:hanging="270"/>
        <w:jc w:val="both"/>
        <w:rPr>
          <w:rFonts w:ascii="Arial" w:hAnsi="Arial" w:cs="Arial"/>
        </w:rPr>
      </w:pPr>
      <w:r>
        <w:rPr>
          <w:rFonts w:ascii="Arial" w:hAnsi="Arial" w:cs="Arial"/>
        </w:rPr>
        <w:t>Melrose, W.D. (2002) Lymphatic filariasis: new insights into an old disease</w:t>
      </w:r>
      <w:r>
        <w:rPr>
          <w:rFonts w:ascii="Arial" w:hAnsi="Arial" w:cs="Arial"/>
          <w:i/>
          <w:iCs/>
        </w:rPr>
        <w:t>. International Journal for Parasitology</w:t>
      </w:r>
      <w:r>
        <w:rPr>
          <w:rFonts w:ascii="Arial" w:hAnsi="Arial" w:cs="Arial"/>
        </w:rPr>
        <w:t xml:space="preserve"> 32, 947–960.</w:t>
      </w:r>
    </w:p>
    <w:p w:rsidR="00BC544B" w:rsidRDefault="00BC544B">
      <w:pPr>
        <w:ind w:left="270" w:hanging="270"/>
        <w:jc w:val="both"/>
        <w:rPr>
          <w:rFonts w:ascii="Arial" w:hAnsi="Arial" w:cs="Arial"/>
        </w:rPr>
      </w:pPr>
    </w:p>
    <w:p w:rsidR="00BC544B" w:rsidRDefault="00022753">
      <w:pPr>
        <w:ind w:left="270" w:hanging="270"/>
        <w:jc w:val="both"/>
        <w:rPr>
          <w:rFonts w:ascii="Arial" w:hAnsi="Arial" w:cs="Arial"/>
        </w:rPr>
      </w:pPr>
      <w:r>
        <w:rPr>
          <w:rFonts w:ascii="Arial" w:hAnsi="Arial" w:cs="Arial"/>
        </w:rPr>
        <w:t>Muawiyya, U.L., Tukur, A., Aminu, Y.B., Muhtari, J.L. (2019) Sero</w:t>
      </w:r>
      <w:r>
        <w:rPr>
          <w:rFonts w:ascii="Arial" w:hAnsi="Arial" w:cs="Arial"/>
        </w:rPr>
        <w:t xml:space="preserve">-Prevalence of lymphatic Filariasis in six Communities of Talata mafara Local Government Area, Zamfara State, Nigeria. </w:t>
      </w:r>
      <w:r>
        <w:rPr>
          <w:rFonts w:ascii="Arial" w:hAnsi="Arial" w:cs="Arial"/>
          <w:i/>
          <w:iCs/>
        </w:rPr>
        <w:t>J Parasitol Res</w:t>
      </w:r>
      <w:r>
        <w:rPr>
          <w:rFonts w:ascii="Arial" w:hAnsi="Arial" w:cs="Arial"/>
        </w:rPr>
        <w:t xml:space="preserve">. </w:t>
      </w:r>
    </w:p>
    <w:p w:rsidR="00BC544B" w:rsidRDefault="00BC544B">
      <w:pPr>
        <w:ind w:left="270" w:hanging="270"/>
        <w:jc w:val="both"/>
        <w:rPr>
          <w:rFonts w:ascii="Arial" w:hAnsi="Arial" w:cs="Arial"/>
        </w:rPr>
      </w:pPr>
    </w:p>
    <w:p w:rsidR="00BC544B" w:rsidRDefault="00022753">
      <w:pPr>
        <w:ind w:left="270" w:hanging="270"/>
        <w:jc w:val="both"/>
        <w:rPr>
          <w:rFonts w:ascii="Arial" w:hAnsi="Arial" w:cs="Arial"/>
          <w:i/>
        </w:rPr>
      </w:pPr>
      <w:r>
        <w:rPr>
          <w:rFonts w:ascii="Arial" w:hAnsi="Arial" w:cs="Arial"/>
        </w:rPr>
        <w:lastRenderedPageBreak/>
        <w:t xml:space="preserve">Mzilahowa, T., Madalitso, L., Veronica, U., Don, P.M., Carl, H.C., Mavuto, M., and John, E.G. (2016) Risk factors for </w:t>
      </w:r>
      <w:r>
        <w:rPr>
          <w:rFonts w:ascii="Arial" w:hAnsi="Arial" w:cs="Arial"/>
        </w:rPr>
        <w:t xml:space="preserve">Anopheles mosquitoes in rural and urban areas of Blantyre district, southern Malawi. </w:t>
      </w:r>
      <w:r>
        <w:rPr>
          <w:rFonts w:ascii="Arial" w:hAnsi="Arial" w:cs="Arial"/>
          <w:i/>
        </w:rPr>
        <w:t>Malawi medical journal 28(4): 154-158 doi:10.4314/mmj.v2814.2</w:t>
      </w:r>
    </w:p>
    <w:p w:rsidR="00BC544B" w:rsidRDefault="00BC544B">
      <w:pPr>
        <w:jc w:val="both"/>
        <w:rPr>
          <w:rFonts w:ascii="Arial" w:hAnsi="Arial" w:cs="Arial"/>
          <w:i/>
        </w:rPr>
      </w:pPr>
    </w:p>
    <w:p w:rsidR="00BC544B" w:rsidRDefault="00022753">
      <w:pPr>
        <w:ind w:left="360" w:hanging="360"/>
        <w:jc w:val="both"/>
        <w:rPr>
          <w:rFonts w:ascii="Arial" w:hAnsi="Arial" w:cs="Arial"/>
        </w:rPr>
      </w:pPr>
      <w:r>
        <w:rPr>
          <w:rFonts w:ascii="Arial" w:hAnsi="Arial" w:cs="Arial"/>
        </w:rPr>
        <w:t>Nurlaila</w:t>
      </w:r>
      <w:r>
        <w:rPr>
          <w:rFonts w:ascii="Arial" w:hAnsi="Arial" w:cs="Arial"/>
        </w:rPr>
        <w:t xml:space="preserve">, I., Roh, K., Yeom, C. (2022) Acquired lymphedema: molecular contributors and future directions for developing intervention strategies. </w:t>
      </w:r>
      <w:r>
        <w:rPr>
          <w:rFonts w:ascii="Arial" w:hAnsi="Arial" w:cs="Arial"/>
          <w:i/>
          <w:iCs/>
        </w:rPr>
        <w:t>Front Pharmacol</w:t>
      </w:r>
      <w:r>
        <w:rPr>
          <w:rFonts w:ascii="Arial" w:hAnsi="Arial" w:cs="Arial"/>
        </w:rPr>
        <w:t xml:space="preserve"> 13. doi: 10.3389/fphar.2022.873650.</w:t>
      </w:r>
    </w:p>
    <w:p w:rsidR="00BC544B" w:rsidRDefault="00BC544B">
      <w:pPr>
        <w:jc w:val="both"/>
        <w:rPr>
          <w:rFonts w:ascii="Arial" w:hAnsi="Arial" w:cs="Arial"/>
        </w:rPr>
      </w:pPr>
    </w:p>
    <w:p w:rsidR="00BC544B" w:rsidRDefault="00022753">
      <w:pPr>
        <w:ind w:left="270" w:hanging="270"/>
        <w:jc w:val="both"/>
        <w:rPr>
          <w:rFonts w:ascii="Arial" w:hAnsi="Arial" w:cs="Arial"/>
        </w:rPr>
      </w:pPr>
      <w:r>
        <w:rPr>
          <w:rFonts w:ascii="Arial" w:hAnsi="Arial" w:cs="Arial"/>
        </w:rPr>
        <w:t>Obadiah, E.S., Sambo, E.D., Alhaji, M.A., A.D. Elisha, K., Santaya</w:t>
      </w:r>
      <w:r>
        <w:rPr>
          <w:rFonts w:ascii="Arial" w:hAnsi="Arial" w:cs="Arial"/>
        </w:rPr>
        <w:t xml:space="preserve">, A., Greg., and Adamu, S. (2018) Rapid epidemiological assessment of lymphatic filariasis in Northern Taraba Focus, Nigeria. </w:t>
      </w:r>
      <w:r>
        <w:rPr>
          <w:rFonts w:ascii="Arial" w:hAnsi="Arial" w:cs="Arial"/>
          <w:i/>
          <w:iCs/>
        </w:rPr>
        <w:t>Int. Journal of Infectious Disease</w:t>
      </w:r>
      <w:r>
        <w:rPr>
          <w:rFonts w:ascii="Arial" w:hAnsi="Arial" w:cs="Arial"/>
        </w:rPr>
        <w:t xml:space="preserve"> 3: 6-12.</w:t>
      </w:r>
    </w:p>
    <w:p w:rsidR="00BC544B" w:rsidRDefault="00BC544B">
      <w:pPr>
        <w:ind w:left="270" w:hanging="270"/>
        <w:jc w:val="both"/>
        <w:rPr>
          <w:rFonts w:ascii="Arial" w:hAnsi="Arial" w:cs="Arial"/>
        </w:rPr>
      </w:pPr>
    </w:p>
    <w:p w:rsidR="00BC544B" w:rsidRDefault="00022753">
      <w:pPr>
        <w:ind w:left="270" w:hanging="270"/>
        <w:jc w:val="both"/>
        <w:rPr>
          <w:rFonts w:ascii="Arial" w:hAnsi="Arial" w:cs="Arial"/>
        </w:rPr>
      </w:pPr>
      <w:r>
        <w:rPr>
          <w:rFonts w:ascii="Arial" w:hAnsi="Arial" w:cs="Arial"/>
        </w:rPr>
        <w:t xml:space="preserve">Ogba, E.I. (2014) Challenges and Prospect of Technical Vocational education and training for youth empowerment in vocational Agricultural Education. </w:t>
      </w:r>
      <w:r>
        <w:rPr>
          <w:rFonts w:ascii="Arial" w:hAnsi="Arial" w:cs="Arial"/>
          <w:i/>
          <w:iCs/>
        </w:rPr>
        <w:t>International Journal of Engineering and management sciences</w:t>
      </w:r>
      <w:r>
        <w:rPr>
          <w:rFonts w:ascii="Arial" w:hAnsi="Arial" w:cs="Arial"/>
        </w:rPr>
        <w:t xml:space="preserve"> 5: 169 – 172</w:t>
      </w:r>
    </w:p>
    <w:p w:rsidR="00BC544B" w:rsidRDefault="00BC544B">
      <w:pPr>
        <w:jc w:val="both"/>
        <w:rPr>
          <w:rFonts w:ascii="Arial" w:hAnsi="Arial" w:cs="Arial"/>
        </w:rPr>
      </w:pPr>
    </w:p>
    <w:p w:rsidR="00BC544B" w:rsidRDefault="00022753">
      <w:pPr>
        <w:ind w:left="270" w:hanging="270"/>
        <w:jc w:val="both"/>
        <w:rPr>
          <w:rFonts w:ascii="Arial" w:hAnsi="Arial" w:cs="Arial"/>
        </w:rPr>
      </w:pPr>
      <w:r>
        <w:rPr>
          <w:rFonts w:ascii="Arial" w:hAnsi="Arial" w:cs="Arial"/>
        </w:rPr>
        <w:t>Rani, S.T., Shameem, U. (2024) I</w:t>
      </w:r>
      <w:r>
        <w:rPr>
          <w:rFonts w:ascii="Arial" w:hAnsi="Arial" w:cs="Arial"/>
        </w:rPr>
        <w:t xml:space="preserve">mpact of filariasis on health and socio-economic status: A study in Visakhapatnam and East Godavari districts. </w:t>
      </w:r>
      <w:r>
        <w:rPr>
          <w:rFonts w:ascii="Arial" w:hAnsi="Arial" w:cs="Arial"/>
          <w:i/>
          <w:iCs/>
        </w:rPr>
        <w:t>Afr. J. Biomed. Res Vol 27(September, 2024); 1171-1180</w:t>
      </w:r>
      <w:r>
        <w:rPr>
          <w:rFonts w:ascii="Arial" w:hAnsi="Arial" w:cs="Arial"/>
        </w:rPr>
        <w:t xml:space="preserve">. </w:t>
      </w:r>
    </w:p>
    <w:p w:rsidR="00BC544B" w:rsidRDefault="00BC544B">
      <w:pPr>
        <w:jc w:val="both"/>
        <w:rPr>
          <w:rFonts w:ascii="Arial" w:hAnsi="Arial" w:cs="Arial"/>
        </w:rPr>
      </w:pPr>
    </w:p>
    <w:p w:rsidR="00BC544B" w:rsidRDefault="00022753">
      <w:pPr>
        <w:ind w:left="270" w:hanging="270"/>
        <w:jc w:val="both"/>
        <w:rPr>
          <w:rFonts w:ascii="Arial" w:hAnsi="Arial" w:cs="Arial"/>
          <w:i/>
          <w:iCs/>
        </w:rPr>
      </w:pPr>
      <w:r>
        <w:rPr>
          <w:rFonts w:ascii="Arial" w:hAnsi="Arial" w:cs="Arial"/>
        </w:rPr>
        <w:t xml:space="preserve">Tyrell, E. (2013) Socio-economic burden of Lymphatic filariasis in Georgetown Guyana. </w:t>
      </w:r>
      <w:r>
        <w:rPr>
          <w:rFonts w:ascii="Arial" w:hAnsi="Arial" w:cs="Arial"/>
          <w:i/>
          <w:iCs/>
        </w:rPr>
        <w:t>T</w:t>
      </w:r>
      <w:r>
        <w:rPr>
          <w:rFonts w:ascii="Arial" w:hAnsi="Arial" w:cs="Arial"/>
          <w:i/>
          <w:iCs/>
        </w:rPr>
        <w:t>ropical medicine and international health: 2013:18(52-158).</w:t>
      </w:r>
    </w:p>
    <w:p w:rsidR="00BC544B" w:rsidRDefault="00BC544B">
      <w:pPr>
        <w:jc w:val="both"/>
        <w:rPr>
          <w:rFonts w:ascii="Arial" w:hAnsi="Arial" w:cs="Arial"/>
        </w:rPr>
      </w:pPr>
    </w:p>
    <w:p w:rsidR="00BC544B" w:rsidRDefault="00022753">
      <w:pPr>
        <w:ind w:left="270" w:hanging="270"/>
        <w:jc w:val="both"/>
        <w:rPr>
          <w:rFonts w:ascii="Arial" w:hAnsi="Arial" w:cs="Arial"/>
        </w:rPr>
      </w:pPr>
      <w:r>
        <w:rPr>
          <w:rFonts w:ascii="Arial" w:hAnsi="Arial" w:cs="Arial"/>
        </w:rPr>
        <w:t xml:space="preserve">Upadhyayula, M.S., Srinivasa, R.M., Madhusudhan, R.K., Balakrishna, N. (2012) A cohort study of lymphatic filariasis on socio economic conditions in Andhra Pradesh, India.  </w:t>
      </w:r>
      <w:r>
        <w:rPr>
          <w:rFonts w:ascii="Arial" w:hAnsi="Arial" w:cs="Arial"/>
          <w:i/>
          <w:iCs/>
        </w:rPr>
        <w:t>PloS one 7 (3), e33779</w:t>
      </w:r>
      <w:r>
        <w:rPr>
          <w:rFonts w:ascii="Arial" w:hAnsi="Arial" w:cs="Arial"/>
          <w:i/>
          <w:iCs/>
        </w:rPr>
        <w:t>, 2012</w:t>
      </w:r>
      <w:r>
        <w:rPr>
          <w:rFonts w:ascii="Arial" w:hAnsi="Arial" w:cs="Arial"/>
        </w:rPr>
        <w:t>.</w:t>
      </w:r>
    </w:p>
    <w:p w:rsidR="00BC544B" w:rsidRDefault="00BC544B">
      <w:pPr>
        <w:ind w:left="270" w:hanging="270"/>
        <w:jc w:val="both"/>
        <w:rPr>
          <w:rFonts w:ascii="Arial" w:hAnsi="Arial" w:cs="Arial"/>
        </w:rPr>
      </w:pPr>
    </w:p>
    <w:p w:rsidR="00BC544B" w:rsidRDefault="00022753">
      <w:pPr>
        <w:ind w:left="270" w:hanging="270"/>
        <w:jc w:val="both"/>
        <w:rPr>
          <w:rFonts w:ascii="Arial" w:hAnsi="Arial" w:cs="Arial"/>
        </w:rPr>
      </w:pPr>
      <w:r>
        <w:rPr>
          <w:rFonts w:ascii="Arial" w:hAnsi="Arial" w:cs="Arial"/>
        </w:rPr>
        <w:t xml:space="preserve">Waje, T., Iliyasu, C.,Yaki, L,M., and Auta, I.K. (2024) A Review of Epidemiology of Lymphatic Filariasis in Nigeria. </w:t>
      </w:r>
      <w:r>
        <w:rPr>
          <w:rFonts w:ascii="Arial" w:hAnsi="Arial" w:cs="Arial"/>
          <w:i/>
        </w:rPr>
        <w:t>Pan African Mediacal Journal 2024</w:t>
      </w:r>
      <w:r>
        <w:rPr>
          <w:rFonts w:ascii="Arial" w:hAnsi="Arial" w:cs="Arial"/>
        </w:rPr>
        <w:t xml:space="preserve"> (ISSN: 1937-8688)</w:t>
      </w:r>
    </w:p>
    <w:p w:rsidR="00BC544B" w:rsidRDefault="00BC544B">
      <w:pPr>
        <w:jc w:val="both"/>
        <w:rPr>
          <w:rFonts w:ascii="Arial" w:hAnsi="Arial" w:cs="Arial"/>
        </w:rPr>
      </w:pPr>
    </w:p>
    <w:p w:rsidR="00BC544B" w:rsidRDefault="00022753">
      <w:pPr>
        <w:ind w:left="270" w:hanging="270"/>
        <w:jc w:val="both"/>
        <w:rPr>
          <w:rFonts w:ascii="Arial" w:hAnsi="Arial" w:cs="Arial"/>
          <w:i/>
          <w:iCs/>
        </w:rPr>
      </w:pPr>
      <w:r>
        <w:rPr>
          <w:rFonts w:ascii="Arial" w:hAnsi="Arial" w:cs="Arial"/>
        </w:rPr>
        <w:t>World Health Organization (2013) Morbidity management and disability preventi</w:t>
      </w:r>
      <w:r>
        <w:rPr>
          <w:rFonts w:ascii="Arial" w:hAnsi="Arial" w:cs="Arial"/>
        </w:rPr>
        <w:t xml:space="preserve">on in lymphatic filariasis. </w:t>
      </w:r>
      <w:r>
        <w:rPr>
          <w:rFonts w:ascii="Arial" w:hAnsi="Arial" w:cs="Arial"/>
          <w:i/>
          <w:iCs/>
        </w:rPr>
        <w:t>WHO Regional Office for South-East Asia, 2013</w:t>
      </w:r>
    </w:p>
    <w:p w:rsidR="00BC544B" w:rsidRDefault="00BC544B">
      <w:pPr>
        <w:jc w:val="both"/>
        <w:rPr>
          <w:rFonts w:ascii="Arial" w:hAnsi="Arial" w:cs="Arial"/>
          <w:i/>
          <w:iCs/>
        </w:rPr>
      </w:pPr>
    </w:p>
    <w:p w:rsidR="00BC544B" w:rsidRDefault="00022753">
      <w:pPr>
        <w:ind w:left="270" w:hanging="270"/>
        <w:jc w:val="both"/>
        <w:rPr>
          <w:rFonts w:ascii="Arial" w:hAnsi="Arial" w:cs="Arial"/>
          <w:i/>
          <w:iCs/>
        </w:rPr>
      </w:pPr>
      <w:r>
        <w:rPr>
          <w:rFonts w:ascii="Arial" w:hAnsi="Arial" w:cs="Arial"/>
        </w:rPr>
        <w:t>World Health Organization. (2020) Ending the Neglect to Attain the Sustainable Development Goals—</w:t>
      </w:r>
      <w:r>
        <w:rPr>
          <w:rFonts w:ascii="Arial" w:hAnsi="Arial" w:cs="Arial"/>
          <w:i/>
          <w:iCs/>
        </w:rPr>
        <w:t>A road Map for Neglected Tropical Diseases</w:t>
      </w:r>
      <w:r>
        <w:rPr>
          <w:rFonts w:ascii="Arial" w:hAnsi="Arial" w:cs="Arial"/>
        </w:rPr>
        <w:t xml:space="preserve"> 2021–2030. Vol. 202. </w:t>
      </w:r>
      <w:r>
        <w:rPr>
          <w:rFonts w:ascii="Arial" w:hAnsi="Arial" w:cs="Arial"/>
          <w:i/>
          <w:iCs/>
        </w:rPr>
        <w:t>World Health Organiz</w:t>
      </w:r>
      <w:r>
        <w:rPr>
          <w:rFonts w:ascii="Arial" w:hAnsi="Arial" w:cs="Arial"/>
          <w:i/>
          <w:iCs/>
        </w:rPr>
        <w:t>ation; Geneva, Switzerland: p. 55.</w:t>
      </w:r>
    </w:p>
    <w:p w:rsidR="00BC544B" w:rsidRDefault="00BC544B">
      <w:pPr>
        <w:ind w:left="270" w:hanging="270"/>
        <w:jc w:val="both"/>
        <w:rPr>
          <w:rFonts w:ascii="Arial" w:hAnsi="Arial" w:cs="Arial"/>
          <w:i/>
          <w:iCs/>
        </w:rPr>
      </w:pPr>
    </w:p>
    <w:p w:rsidR="00BC544B" w:rsidRDefault="00022753">
      <w:pPr>
        <w:ind w:left="270" w:hanging="270"/>
        <w:jc w:val="both"/>
        <w:rPr>
          <w:rFonts w:ascii="Arial" w:hAnsi="Arial" w:cs="Arial"/>
        </w:rPr>
      </w:pPr>
      <w:r>
        <w:rPr>
          <w:rFonts w:ascii="Arial" w:hAnsi="Arial" w:cs="Arial"/>
        </w:rPr>
        <w:t xml:space="preserve">World Health Organization. (2024) </w:t>
      </w:r>
      <w:r>
        <w:rPr>
          <w:rFonts w:ascii="Arial" w:hAnsi="Arial" w:cs="Arial"/>
          <w:i/>
        </w:rPr>
        <w:t>Lymphatic filariasis</w:t>
      </w:r>
      <w:r>
        <w:rPr>
          <w:rFonts w:ascii="Arial" w:hAnsi="Arial" w:cs="Arial"/>
        </w:rPr>
        <w:t xml:space="preserve">: Mosquito transmitted infection; Causes and Transmission—2021–2030.  </w:t>
      </w:r>
      <w:r>
        <w:rPr>
          <w:rFonts w:ascii="Arial" w:hAnsi="Arial" w:cs="Arial"/>
          <w:i/>
          <w:iCs/>
        </w:rPr>
        <w:t>World Health Organization (WHO); Geneva, Switzerland</w:t>
      </w:r>
    </w:p>
    <w:p w:rsidR="00BC544B" w:rsidRDefault="00BC544B">
      <w:pPr>
        <w:ind w:left="270" w:hanging="270"/>
        <w:jc w:val="both"/>
        <w:rPr>
          <w:rFonts w:ascii="Arial" w:hAnsi="Arial" w:cs="Arial"/>
        </w:rPr>
      </w:pPr>
    </w:p>
    <w:p w:rsidR="00BC544B" w:rsidRDefault="00022753">
      <w:pPr>
        <w:ind w:left="270" w:hanging="270"/>
        <w:jc w:val="both"/>
        <w:rPr>
          <w:rFonts w:ascii="Arial" w:hAnsi="Arial" w:cs="Arial"/>
          <w:i/>
          <w:iCs/>
        </w:rPr>
      </w:pPr>
      <w:r>
        <w:rPr>
          <w:rFonts w:ascii="Arial" w:hAnsi="Arial" w:cs="Arial"/>
        </w:rPr>
        <w:t xml:space="preserve">World Health Organization. (2024) </w:t>
      </w:r>
      <w:r>
        <w:rPr>
          <w:rFonts w:ascii="Arial" w:hAnsi="Arial" w:cs="Arial"/>
          <w:i/>
        </w:rPr>
        <w:t>Lymphati</w:t>
      </w:r>
      <w:r>
        <w:rPr>
          <w:rFonts w:ascii="Arial" w:hAnsi="Arial" w:cs="Arial"/>
          <w:i/>
        </w:rPr>
        <w:t>c filariasis</w:t>
      </w:r>
      <w:r>
        <w:rPr>
          <w:rFonts w:ascii="Arial" w:hAnsi="Arial" w:cs="Arial"/>
        </w:rPr>
        <w:t xml:space="preserve">: Fact sheets—2021–2030.  </w:t>
      </w:r>
      <w:r>
        <w:rPr>
          <w:rFonts w:ascii="Arial" w:hAnsi="Arial" w:cs="Arial"/>
          <w:i/>
          <w:iCs/>
        </w:rPr>
        <w:t>World Health Organization (WHO); Geneva, Switzerland</w:t>
      </w:r>
    </w:p>
    <w:p w:rsidR="00BC544B" w:rsidRDefault="00BC544B">
      <w:pPr>
        <w:pStyle w:val="Appendix"/>
        <w:spacing w:after="0"/>
        <w:jc w:val="both"/>
        <w:rPr>
          <w:rFonts w:ascii="Arial" w:hAnsi="Arial" w:cs="Arial"/>
          <w:b w:val="0"/>
        </w:rPr>
        <w:sectPr w:rsidR="00BC544B">
          <w:headerReference w:type="even" r:id="rId29"/>
          <w:headerReference w:type="default" r:id="rId30"/>
          <w:footerReference w:type="default" r:id="rId31"/>
          <w:headerReference w:type="first" r:id="rId32"/>
          <w:type w:val="continuous"/>
          <w:pgSz w:w="12240" w:h="15840"/>
          <w:pgMar w:top="450" w:right="2016" w:bottom="360" w:left="1530" w:header="720" w:footer="1123" w:gutter="0"/>
          <w:cols w:space="720"/>
          <w:docGrid w:linePitch="272"/>
        </w:sectPr>
      </w:pPr>
    </w:p>
    <w:p w:rsidR="00BC544B" w:rsidRDefault="00BC544B">
      <w:pPr>
        <w:pStyle w:val="Appendix"/>
        <w:spacing w:after="0"/>
        <w:jc w:val="both"/>
        <w:rPr>
          <w:rFonts w:ascii="Arial" w:hAnsi="Arial" w:cs="Arial"/>
          <w:b w:val="0"/>
        </w:rPr>
      </w:pPr>
    </w:p>
    <w:sectPr w:rsidR="00BC544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2753" w:rsidRDefault="00022753">
      <w:r>
        <w:separator/>
      </w:r>
    </w:p>
  </w:endnote>
  <w:endnote w:type="continuationSeparator" w:id="0">
    <w:p w:rsidR="00022753" w:rsidRDefault="00022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44B" w:rsidRDefault="00BC54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44B" w:rsidRDefault="00BC54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44B" w:rsidRDefault="00BC54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2753" w:rsidRDefault="00022753">
      <w:r>
        <w:separator/>
      </w:r>
    </w:p>
  </w:footnote>
  <w:footnote w:type="continuationSeparator" w:id="0">
    <w:p w:rsidR="00022753" w:rsidRDefault="000227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44B" w:rsidRDefault="000227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4" type="#_x0000_t136" style="position:absolute;margin-left:0;margin-top:0;width:550.75pt;height:62.1pt;rotation:-45;z-index:-25166028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44B" w:rsidRDefault="000227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3" type="#_x0000_t136" style="position:absolute;margin-left:0;margin-top:0;width:550.75pt;height:62.1pt;rotation:-45;z-index:-251659264;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44B" w:rsidRDefault="00022753">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52" type="#_x0000_t136" style="position:absolute;left:0;text-align:left;margin-left:0;margin-top:0;width:550.75pt;height:62.1pt;rotation:-45;z-index:-25166131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quot;;font-size:1pt" string="UNDER PEER REVIEW"/>
          <w10:wrap anchorx="margin" anchory="margin"/>
        </v:shape>
      </w:pict>
    </w:r>
  </w:p>
  <w:p w:rsidR="00BC544B" w:rsidRDefault="00022753">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BC544B" w:rsidRDefault="00022753">
    <w:pPr>
      <w:jc w:val="center"/>
      <w:rPr>
        <w:rFonts w:ascii="Times New Roman" w:eastAsia="Calibri" w:hAnsi="Times New Roman"/>
        <w:i/>
        <w:sz w:val="18"/>
        <w:szCs w:val="22"/>
      </w:rPr>
    </w:pPr>
    <w:r>
      <w:rPr>
        <w:rFonts w:ascii="Times New Roman" w:eastAsia="Calibri" w:hAnsi="Times New Roman"/>
        <w:i/>
        <w:sz w:val="18"/>
        <w:szCs w:val="22"/>
      </w:rPr>
      <w:t>.</w:t>
    </w:r>
  </w:p>
  <w:p w:rsidR="00BC544B" w:rsidRDefault="00022753">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BC544B" w:rsidRDefault="00022753">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BC544B" w:rsidRDefault="00022753">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BC544B" w:rsidRDefault="0002275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44B" w:rsidRDefault="000227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1" o:spid="_x0000_s2051" type="#_x0000_t136" style="position:absolute;margin-left:0;margin-top:0;width:550.75pt;height:62.1pt;rotation:-45;z-index:-25165721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44B" w:rsidRDefault="000227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2" o:spid="_x0000_s2050" type="#_x0000_t136" style="position:absolute;margin-left:0;margin-top:0;width:550.75pt;height:62.1pt;rotation:-45;z-index:-25165619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44B" w:rsidRDefault="000227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3" o:spid="_x0000_s2049" type="#_x0000_t136" style="position:absolute;margin-left:0;margin-top:0;width:550.75pt;height:62.1pt;rotation:-45;z-index:-251658240;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singleLevel"/>
    <w:tmpl w:val="FFFFFFFF"/>
    <w:lvl w:ilvl="0">
      <w:start w:val="1"/>
      <w:numFmt w:val="decimal"/>
      <w:lvlText w:val="*"/>
      <w:lvlJc w:val="left"/>
    </w:lvl>
  </w:abstractNum>
  <w:abstractNum w:abstractNumId="1" w15:restartNumberingAfterBreak="0">
    <w:nsid w:val="0000000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 w15:restartNumberingAfterBreak="0">
    <w:nsid w:val="00000002"/>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3" w15:restartNumberingAfterBreak="0">
    <w:nsid w:val="00000003"/>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4" w15:restartNumberingAfterBreak="0">
    <w:nsid w:val="00000004"/>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5"/>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6" w15:restartNumberingAfterBreak="0">
    <w:nsid w:val="00000006"/>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7" w15:restartNumberingAfterBreak="0">
    <w:nsid w:val="00000007"/>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8" w15:restartNumberingAfterBreak="0">
    <w:nsid w:val="00000008"/>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9" w15:restartNumberingAfterBreak="0">
    <w:nsid w:val="00000009"/>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0" w15:restartNumberingAfterBreak="0">
    <w:nsid w:val="0000000A"/>
    <w:multiLevelType w:val="multilevel"/>
    <w:tmpl w:val="2548A9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B"/>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2" w15:restartNumberingAfterBreak="0">
    <w:nsid w:val="0000000C"/>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3" w15:restartNumberingAfterBreak="0">
    <w:nsid w:val="0000000D"/>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4" w15:restartNumberingAfterBreak="0">
    <w:nsid w:val="0000000E"/>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5" w15:restartNumberingAfterBreak="0">
    <w:nsid w:val="0000000F"/>
    <w:multiLevelType w:val="hybridMultilevel"/>
    <w:tmpl w:val="2E56F4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000010"/>
    <w:multiLevelType w:val="singleLevel"/>
    <w:tmpl w:val="A1B04AE0"/>
    <w:lvl w:ilvl="0">
      <w:start w:val="1"/>
      <w:numFmt w:val="decimal"/>
      <w:lvlText w:val="%1."/>
      <w:lvlJc w:val="left"/>
      <w:pPr>
        <w:ind w:left="360" w:hanging="360"/>
      </w:pPr>
    </w:lvl>
  </w:abstractNum>
  <w:abstractNum w:abstractNumId="17" w15:restartNumberingAfterBreak="0">
    <w:nsid w:val="00000011"/>
    <w:multiLevelType w:val="hybridMultilevel"/>
    <w:tmpl w:val="D05A99DE"/>
    <w:lvl w:ilvl="0" w:tplc="7A92AA74">
      <w:start w:val="1"/>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0000012"/>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9" w15:restartNumberingAfterBreak="0">
    <w:nsid w:val="00000013"/>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0" w15:restartNumberingAfterBreak="0">
    <w:nsid w:val="00000014"/>
    <w:multiLevelType w:val="singleLevel"/>
    <w:tmpl w:val="E368B7EE"/>
    <w:lvl w:ilvl="0">
      <w:start w:val="1"/>
      <w:numFmt w:val="decimal"/>
      <w:pStyle w:val="Reference"/>
      <w:lvlText w:val="%1."/>
      <w:lvlJc w:val="left"/>
      <w:pPr>
        <w:tabs>
          <w:tab w:val="left" w:pos="360"/>
        </w:tabs>
        <w:ind w:left="360" w:hanging="360"/>
      </w:pPr>
    </w:lvl>
  </w:abstractNum>
  <w:abstractNum w:abstractNumId="21" w15:restartNumberingAfterBreak="0">
    <w:nsid w:val="00000015"/>
    <w:multiLevelType w:val="hybridMultilevel"/>
    <w:tmpl w:val="256E6680"/>
    <w:lvl w:ilvl="0" w:tplc="04140001">
      <w:start w:val="1"/>
      <w:numFmt w:val="bullet"/>
      <w:lvlText w:val=""/>
      <w:lvlJc w:val="left"/>
      <w:pPr>
        <w:tabs>
          <w:tab w:val="left" w:pos="720"/>
        </w:tabs>
        <w:ind w:left="720" w:hanging="360"/>
      </w:pPr>
      <w:rPr>
        <w:rFonts w:ascii="Symbol" w:hAnsi="Symbol" w:hint="default"/>
      </w:rPr>
    </w:lvl>
    <w:lvl w:ilvl="1" w:tplc="04140003" w:tentative="1">
      <w:start w:val="1"/>
      <w:numFmt w:val="bullet"/>
      <w:lvlText w:val="o"/>
      <w:lvlJc w:val="left"/>
      <w:pPr>
        <w:tabs>
          <w:tab w:val="left" w:pos="1440"/>
        </w:tabs>
        <w:ind w:left="1440" w:hanging="360"/>
      </w:pPr>
      <w:rPr>
        <w:rFonts w:ascii="Courier New" w:hAnsi="Courier New" w:cs="Courier New" w:hint="default"/>
      </w:rPr>
    </w:lvl>
    <w:lvl w:ilvl="2" w:tplc="04140005" w:tentative="1">
      <w:start w:val="1"/>
      <w:numFmt w:val="bullet"/>
      <w:lvlText w:val=""/>
      <w:lvlJc w:val="left"/>
      <w:pPr>
        <w:tabs>
          <w:tab w:val="left" w:pos="2160"/>
        </w:tabs>
        <w:ind w:left="2160" w:hanging="360"/>
      </w:pPr>
      <w:rPr>
        <w:rFonts w:ascii="Wingdings" w:hAnsi="Wingdings" w:hint="default"/>
      </w:rPr>
    </w:lvl>
    <w:lvl w:ilvl="3" w:tplc="04140001" w:tentative="1">
      <w:start w:val="1"/>
      <w:numFmt w:val="bullet"/>
      <w:lvlText w:val=""/>
      <w:lvlJc w:val="left"/>
      <w:pPr>
        <w:tabs>
          <w:tab w:val="left" w:pos="2880"/>
        </w:tabs>
        <w:ind w:left="2880" w:hanging="360"/>
      </w:pPr>
      <w:rPr>
        <w:rFonts w:ascii="Symbol" w:hAnsi="Symbol" w:hint="default"/>
      </w:rPr>
    </w:lvl>
    <w:lvl w:ilvl="4" w:tplc="04140003" w:tentative="1">
      <w:start w:val="1"/>
      <w:numFmt w:val="bullet"/>
      <w:lvlText w:val="o"/>
      <w:lvlJc w:val="left"/>
      <w:pPr>
        <w:tabs>
          <w:tab w:val="left" w:pos="3600"/>
        </w:tabs>
        <w:ind w:left="3600" w:hanging="360"/>
      </w:pPr>
      <w:rPr>
        <w:rFonts w:ascii="Courier New" w:hAnsi="Courier New" w:cs="Courier New" w:hint="default"/>
      </w:rPr>
    </w:lvl>
    <w:lvl w:ilvl="5" w:tplc="04140005" w:tentative="1">
      <w:start w:val="1"/>
      <w:numFmt w:val="bullet"/>
      <w:lvlText w:val=""/>
      <w:lvlJc w:val="left"/>
      <w:pPr>
        <w:tabs>
          <w:tab w:val="left" w:pos="4320"/>
        </w:tabs>
        <w:ind w:left="4320" w:hanging="360"/>
      </w:pPr>
      <w:rPr>
        <w:rFonts w:ascii="Wingdings" w:hAnsi="Wingdings" w:hint="default"/>
      </w:rPr>
    </w:lvl>
    <w:lvl w:ilvl="6" w:tplc="04140001" w:tentative="1">
      <w:start w:val="1"/>
      <w:numFmt w:val="bullet"/>
      <w:lvlText w:val=""/>
      <w:lvlJc w:val="left"/>
      <w:pPr>
        <w:tabs>
          <w:tab w:val="left" w:pos="5040"/>
        </w:tabs>
        <w:ind w:left="5040" w:hanging="360"/>
      </w:pPr>
      <w:rPr>
        <w:rFonts w:ascii="Symbol" w:hAnsi="Symbol" w:hint="default"/>
      </w:rPr>
    </w:lvl>
    <w:lvl w:ilvl="7" w:tplc="04140003" w:tentative="1">
      <w:start w:val="1"/>
      <w:numFmt w:val="bullet"/>
      <w:lvlText w:val="o"/>
      <w:lvlJc w:val="left"/>
      <w:pPr>
        <w:tabs>
          <w:tab w:val="left" w:pos="5760"/>
        </w:tabs>
        <w:ind w:left="5760" w:hanging="360"/>
      </w:pPr>
      <w:rPr>
        <w:rFonts w:ascii="Courier New" w:hAnsi="Courier New" w:cs="Courier New" w:hint="default"/>
      </w:rPr>
    </w:lvl>
    <w:lvl w:ilvl="8" w:tplc="04140005" w:tentative="1">
      <w:start w:val="1"/>
      <w:numFmt w:val="bullet"/>
      <w:lvlText w:val=""/>
      <w:lvlJc w:val="left"/>
      <w:pPr>
        <w:tabs>
          <w:tab w:val="left" w:pos="6480"/>
        </w:tabs>
        <w:ind w:left="6480" w:hanging="360"/>
      </w:pPr>
      <w:rPr>
        <w:rFonts w:ascii="Wingdings" w:hAnsi="Wingdings" w:hint="default"/>
      </w:rPr>
    </w:lvl>
  </w:abstractNum>
  <w:abstractNum w:abstractNumId="22" w15:restartNumberingAfterBreak="0">
    <w:nsid w:val="00000016"/>
    <w:multiLevelType w:val="singleLevel"/>
    <w:tmpl w:val="A1B04AE0"/>
    <w:lvl w:ilvl="0">
      <w:start w:val="1"/>
      <w:numFmt w:val="decimal"/>
      <w:lvlText w:val="%1."/>
      <w:lvlJc w:val="left"/>
      <w:pPr>
        <w:ind w:left="360" w:hanging="360"/>
      </w:pPr>
    </w:lvl>
  </w:abstractNum>
  <w:abstractNum w:abstractNumId="23" w15:restartNumberingAfterBreak="0">
    <w:nsid w:val="00000017"/>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4" w15:restartNumberingAfterBreak="0">
    <w:nsid w:val="00000018"/>
    <w:multiLevelType w:val="singleLevel"/>
    <w:tmpl w:val="199E1F42"/>
    <w:lvl w:ilvl="0">
      <w:start w:val="1"/>
      <w:numFmt w:val="decimal"/>
      <w:lvlText w:val="%1"/>
      <w:lvlJc w:val="left"/>
      <w:pPr>
        <w:ind w:left="360" w:hanging="360"/>
      </w:pPr>
      <w:rPr>
        <w:rFonts w:ascii="Symbol" w:hAnsi="Symbol" w:hint="default"/>
        <w:b w:val="0"/>
        <w:i w:val="0"/>
        <w:sz w:val="20"/>
      </w:rPr>
    </w:lvl>
  </w:abstractNum>
  <w:abstractNum w:abstractNumId="25" w15:restartNumberingAfterBreak="0">
    <w:nsid w:val="00000019"/>
    <w:multiLevelType w:val="multilevel"/>
    <w:tmpl w:val="469AFC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0000001A"/>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7" w15:restartNumberingAfterBreak="0">
    <w:nsid w:val="0000001B"/>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000001C"/>
    <w:multiLevelType w:val="multilevel"/>
    <w:tmpl w:val="7C8A22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0000001D"/>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num w:numId="1">
    <w:abstractNumId w:val="20"/>
  </w:num>
  <w:num w:numId="2">
    <w:abstractNumId w:val="15"/>
  </w:num>
  <w:num w:numId="3">
    <w:abstractNumId w:val="0"/>
    <w:lvlOverride w:ilvl="0">
      <w:lvl w:ilvl="0">
        <w:start w:val="1"/>
        <w:numFmt w:val="bullet"/>
        <w:lvlText w:val=""/>
        <w:lvlJc w:val="left"/>
        <w:pPr>
          <w:ind w:left="360" w:hanging="360"/>
        </w:pPr>
        <w:rPr>
          <w:rFonts w:ascii="Symbol" w:hAnsi="Symbol" w:hint="default"/>
        </w:rPr>
      </w:lvl>
    </w:lvlOverride>
  </w:num>
  <w:num w:numId="4">
    <w:abstractNumId w:val="16"/>
  </w:num>
  <w:num w:numId="5">
    <w:abstractNumId w:val="24"/>
  </w:num>
  <w:num w:numId="6">
    <w:abstractNumId w:val="0"/>
    <w:lvlOverride w:ilvl="0">
      <w:lvl w:ilvl="0">
        <w:start w:val="1"/>
        <w:numFmt w:val="bullet"/>
        <w:lvlText w:val=""/>
        <w:lvlJc w:val="left"/>
        <w:pPr>
          <w:ind w:left="360" w:hanging="360"/>
        </w:pPr>
        <w:rPr>
          <w:rFonts w:ascii="Wingdings" w:hAnsi="Wingdings" w:hint="default"/>
          <w:sz w:val="16"/>
        </w:rPr>
      </w:lvl>
    </w:lvlOverride>
  </w:num>
  <w:num w:numId="7">
    <w:abstractNumId w:val="7"/>
  </w:num>
  <w:num w:numId="8">
    <w:abstractNumId w:val="6"/>
  </w:num>
  <w:num w:numId="9">
    <w:abstractNumId w:val="1"/>
  </w:num>
  <w:num w:numId="10">
    <w:abstractNumId w:val="12"/>
  </w:num>
  <w:num w:numId="11">
    <w:abstractNumId w:val="26"/>
  </w:num>
  <w:num w:numId="12">
    <w:abstractNumId w:val="2"/>
  </w:num>
  <w:num w:numId="13">
    <w:abstractNumId w:val="19"/>
  </w:num>
  <w:num w:numId="14">
    <w:abstractNumId w:val="3"/>
  </w:num>
  <w:num w:numId="15">
    <w:abstractNumId w:val="18"/>
  </w:num>
  <w:num w:numId="16">
    <w:abstractNumId w:val="8"/>
  </w:num>
  <w:num w:numId="17">
    <w:abstractNumId w:val="22"/>
  </w:num>
  <w:num w:numId="18">
    <w:abstractNumId w:val="5"/>
  </w:num>
  <w:num w:numId="19">
    <w:abstractNumId w:val="23"/>
  </w:num>
  <w:num w:numId="20">
    <w:abstractNumId w:val="14"/>
  </w:num>
  <w:num w:numId="21">
    <w:abstractNumId w:val="29"/>
  </w:num>
  <w:num w:numId="22">
    <w:abstractNumId w:val="11"/>
  </w:num>
  <w:num w:numId="23">
    <w:abstractNumId w:val="9"/>
  </w:num>
  <w:num w:numId="24">
    <w:abstractNumId w:val="13"/>
  </w:num>
  <w:num w:numId="25">
    <w:abstractNumId w:val="27"/>
  </w:num>
  <w:num w:numId="26">
    <w:abstractNumId w:val="4"/>
  </w:num>
  <w:num w:numId="27">
    <w:abstractNumId w:val="17"/>
  </w:num>
  <w:num w:numId="28">
    <w:abstractNumId w:val="21"/>
  </w:num>
  <w:num w:numId="29">
    <w:abstractNumId w:val="28"/>
  </w:num>
  <w:num w:numId="30">
    <w:abstractNumId w:val="25"/>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wNzCyNDcxtDA1NzFX0lEKTi0uzszPAykwrAUAV4suWSwAAAA="/>
  </w:docVars>
  <w:rsids>
    <w:rsidRoot w:val="00BC544B"/>
    <w:rsid w:val="00022753"/>
    <w:rsid w:val="00206366"/>
    <w:rsid w:val="002A550E"/>
    <w:rsid w:val="003D160D"/>
    <w:rsid w:val="00733E02"/>
    <w:rsid w:val="009C1562"/>
    <w:rsid w:val="00A90A5B"/>
    <w:rsid w:val="00B12320"/>
    <w:rsid w:val="00B147AF"/>
    <w:rsid w:val="00BC544B"/>
    <w:rsid w:val="00C92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CC5520E"/>
  <w15:docId w15:val="{910FFDB7-9118-4DA7-ABCE-D1AE625B8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w:hAnsi="Helvetica"/>
    </w:rPr>
  </w:style>
  <w:style w:type="paragraph" w:styleId="Heading1">
    <w:name w:val="heading 1"/>
    <w:basedOn w:val="Normal"/>
    <w:next w:val="Normal"/>
    <w:uiPriority w:val="9"/>
    <w:qFormat/>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pPr>
      <w:keepNext/>
      <w:keepLines/>
      <w:spacing w:before="40"/>
      <w:outlineLvl w:val="1"/>
    </w:pPr>
    <w:rPr>
      <w:rFonts w:ascii="Cambria" w:eastAsia="SimSun" w:hAnsi="Cambria" w:cs="SimSun"/>
      <w:color w:val="365F91"/>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SimSun" w:hAnsi="Cambria" w:cs="SimSu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uiPriority w:val="10"/>
    <w:qFormat/>
    <w:pPr>
      <w:spacing w:after="360"/>
      <w:jc w:val="right"/>
    </w:pPr>
    <w:rPr>
      <w:b/>
      <w:kern w:val="28"/>
      <w:sz w:val="3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customStyle="1" w:styleId="UnresolvedMention1">
    <w:name w:val="Unresolved Mention1"/>
    <w:basedOn w:val="DefaultParagraphFont"/>
    <w:uiPriority w:val="99"/>
    <w:rPr>
      <w:color w:val="605E5C"/>
      <w:shd w:val="clear" w:color="auto" w:fill="E1DFDD"/>
    </w:rPr>
  </w:style>
  <w:style w:type="character" w:customStyle="1" w:styleId="Heading3Char">
    <w:name w:val="Heading 3 Char"/>
    <w:basedOn w:val="DefaultParagraphFont"/>
    <w:link w:val="Heading3"/>
    <w:uiPriority w:val="9"/>
    <w:rPr>
      <w:rFonts w:ascii="Cambria" w:eastAsia="SimSun" w:hAnsi="Cambria" w:cs="SimSun"/>
      <w:color w:val="243F60"/>
      <w:sz w:val="24"/>
      <w:szCs w:val="24"/>
    </w:rPr>
  </w:style>
  <w:style w:type="paragraph" w:styleId="ListParagraph">
    <w:name w:val="List Paragraph"/>
    <w:basedOn w:val="Normal"/>
    <w:uiPriority w:val="34"/>
    <w:qFormat/>
    <w:pPr>
      <w:spacing w:after="160" w:line="259" w:lineRule="auto"/>
      <w:ind w:left="720"/>
      <w:contextualSpacing/>
    </w:pPr>
    <w:rPr>
      <w:rFonts w:ascii="Calibri" w:eastAsia="Calibri" w:hAnsi="Calibri" w:cs="SimSun"/>
      <w:sz w:val="22"/>
      <w:szCs w:val="22"/>
      <w14:ligatures w14:val="standardContextual"/>
    </w:rPr>
  </w:style>
  <w:style w:type="paragraph" w:styleId="NormalWeb">
    <w:name w:val="Normal (Web)"/>
    <w:basedOn w:val="Normal"/>
    <w:uiPriority w:val="99"/>
    <w:pPr>
      <w:spacing w:before="100" w:beforeAutospacing="1" w:after="100" w:afterAutospacing="1"/>
    </w:pPr>
    <w:rPr>
      <w:rFonts w:ascii="Times New Roman" w:eastAsia="SimSun" w:hAnsi="Times New Roman"/>
      <w:sz w:val="24"/>
      <w:szCs w:val="24"/>
      <w14:ligatures w14:val="standardContextual"/>
    </w:rPr>
  </w:style>
  <w:style w:type="paragraph" w:styleId="NoSpacing">
    <w:name w:val="No Spacing"/>
    <w:uiPriority w:val="1"/>
    <w:qFormat/>
    <w:rPr>
      <w:rFonts w:ascii="Calibri" w:eastAsia="Calibri" w:hAnsi="Calibri" w:cs="SimSun"/>
      <w:sz w:val="22"/>
      <w:szCs w:val="22"/>
      <w:lang w:val="en-GB"/>
    </w:rPr>
  </w:style>
  <w:style w:type="character" w:customStyle="1" w:styleId="Heading2Char">
    <w:name w:val="Heading 2 Char"/>
    <w:basedOn w:val="DefaultParagraphFont"/>
    <w:link w:val="Heading2"/>
    <w:rPr>
      <w:rFonts w:ascii="Cambria" w:eastAsia="SimSun" w:hAnsi="Cambria" w:cs="SimSun"/>
      <w:color w:val="365F9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hyperlink" Target="https://www.cdc.gov/parasites/lymphaticfilariasis/healthprofessionals/dxtx.html"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www.cdc.gov/parasites/lymphaticfilariasis/health_professionals/dxtx.html" TargetMode="External"/><Relationship Id="rId30" Type="http://schemas.openxmlformats.org/officeDocument/2006/relationships/header" Target="header5.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C:/Users/HomePC/Desktop/Anumi%20doc/NEW%20SPSS%20OUTPUT%20ANALYSIS/OUTPUT.xlsm"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LYMPHATIC FILARIASIS IN THE STUDY AREAS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F2D-4A56-B4FD-8B3CD3548AE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F2D-4A56-B4FD-8B3CD3548AE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F2D-4A56-B4FD-8B3CD3548AE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F2D-4A56-B4FD-8B3CD3548AE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Sheet40!$A$2:$A$5</c:f>
              <c:strCache>
                <c:ptCount val="4"/>
                <c:pt idx="0">
                  <c:v>Ugbegun, Akoko</c:v>
                </c:pt>
                <c:pt idx="1">
                  <c:v>Supare Akoko</c:v>
                </c:pt>
                <c:pt idx="2">
                  <c:v>Oba- Akoko</c:v>
                </c:pt>
                <c:pt idx="3">
                  <c:v>Agba Oke-Oka  Akoko</c:v>
                </c:pt>
              </c:strCache>
            </c:strRef>
          </c:cat>
          <c:val>
            <c:numRef>
              <c:f>Sheet40!$B$2:$B$5</c:f>
              <c:numCache>
                <c:formatCode>General</c:formatCode>
                <c:ptCount val="4"/>
                <c:pt idx="0">
                  <c:v>9</c:v>
                </c:pt>
                <c:pt idx="1">
                  <c:v>13</c:v>
                </c:pt>
                <c:pt idx="2">
                  <c:v>6</c:v>
                </c:pt>
                <c:pt idx="3">
                  <c:v>5</c:v>
                </c:pt>
              </c:numCache>
            </c:numRef>
          </c:val>
          <c:extLst>
            <c:ext xmlns:c16="http://schemas.microsoft.com/office/drawing/2014/chart" uri="{C3380CC4-5D6E-409C-BE32-E72D297353CC}">
              <c16:uniqueId val="{00000008-1F2D-4A56-B4FD-8B3CD3548AE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FABFC-A905-4059-B473-1C3B04D35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Pages>
  <Words>4547</Words>
  <Characters>25923</Characters>
  <Application>Microsoft Office Word</Application>
  <DocSecurity>0</DocSecurity>
  <Lines>216</Lines>
  <Paragraphs>60</Paragraphs>
  <ScaleCrop>false</ScaleCrop>
  <Company>aaaa</Company>
  <LinksUpToDate>false</LinksUpToDate>
  <CharactersWithSpaces>30410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1020</cp:lastModifiedBy>
  <cp:revision>17</cp:revision>
  <cp:lastPrinted>1999-07-06T11:00:00Z</cp:lastPrinted>
  <dcterms:created xsi:type="dcterms:W3CDTF">2026-03-25T21:03:00Z</dcterms:created>
  <dcterms:modified xsi:type="dcterms:W3CDTF">2026-03-27T07:35:00Z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532ae96304df4c66b897f74f70f33118</vt:lpwstr>
  </property>
</Properties>
</file>