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73B" w:rsidRDefault="001D073B" w:rsidP="00AB06BD">
      <w:pPr>
        <w:jc w:val="right"/>
        <w:rPr>
          <w:rFonts w:ascii="Times New Roman" w:hAnsi="Times New Roman" w:cs="Times New Roman"/>
          <w:b/>
          <w:bCs/>
          <w:sz w:val="32"/>
          <w:szCs w:val="24"/>
        </w:rPr>
      </w:pPr>
      <w:r w:rsidRPr="001D073B">
        <w:rPr>
          <w:rFonts w:ascii="Times New Roman" w:hAnsi="Times New Roman" w:cs="Times New Roman"/>
          <w:b/>
          <w:bCs/>
          <w:sz w:val="32"/>
          <w:szCs w:val="24"/>
        </w:rPr>
        <w:t>Original research article</w:t>
      </w:r>
    </w:p>
    <w:p w:rsidR="00966DB2" w:rsidRDefault="00966DB2" w:rsidP="00AB06BD">
      <w:pPr>
        <w:jc w:val="right"/>
        <w:rPr>
          <w:rFonts w:ascii="Times New Roman" w:hAnsi="Times New Roman" w:cs="Times New Roman"/>
          <w:b/>
          <w:bCs/>
          <w:sz w:val="32"/>
          <w:szCs w:val="24"/>
        </w:rPr>
      </w:pPr>
      <w:r w:rsidRPr="00966DB2">
        <w:rPr>
          <w:rFonts w:ascii="Times New Roman" w:hAnsi="Times New Roman" w:cs="Times New Roman"/>
          <w:b/>
          <w:bCs/>
          <w:sz w:val="32"/>
          <w:szCs w:val="24"/>
        </w:rPr>
        <w:t>Prevalence of Developmental Disturbances Affecting Maxilla and Mandible</w:t>
      </w:r>
      <w:r w:rsidR="00CA7832">
        <w:rPr>
          <w:rFonts w:ascii="Times New Roman" w:hAnsi="Times New Roman" w:cs="Times New Roman"/>
          <w:b/>
          <w:bCs/>
          <w:sz w:val="32"/>
          <w:szCs w:val="24"/>
        </w:rPr>
        <w:t xml:space="preserve"> in Coimbatore</w:t>
      </w:r>
      <w:r w:rsidR="00E86BF0">
        <w:rPr>
          <w:rFonts w:ascii="Times New Roman" w:hAnsi="Times New Roman" w:cs="Times New Roman"/>
          <w:b/>
          <w:bCs/>
          <w:sz w:val="32"/>
          <w:szCs w:val="24"/>
        </w:rPr>
        <w:t xml:space="preserve"> Population</w:t>
      </w:r>
      <w:r w:rsidRPr="00966DB2">
        <w:rPr>
          <w:rFonts w:ascii="Times New Roman" w:hAnsi="Times New Roman" w:cs="Times New Roman"/>
          <w:b/>
          <w:bCs/>
          <w:sz w:val="32"/>
          <w:szCs w:val="24"/>
        </w:rPr>
        <w:t>: A Cross-Section Epidemiological Study</w:t>
      </w:r>
    </w:p>
    <w:p w:rsidR="00823AD6" w:rsidRDefault="00823AD6" w:rsidP="00716705">
      <w:pPr>
        <w:pStyle w:val="AbstHead"/>
        <w:spacing w:after="0"/>
        <w:jc w:val="both"/>
        <w:rPr>
          <w:rFonts w:ascii="Arial" w:hAnsi="Arial" w:cs="Arial"/>
        </w:rPr>
      </w:pPr>
    </w:p>
    <w:p w:rsidR="00716705" w:rsidRDefault="00716705" w:rsidP="00716705">
      <w:pPr>
        <w:pStyle w:val="AbstHead"/>
        <w:spacing w:after="0"/>
        <w:jc w:val="both"/>
        <w:rPr>
          <w:rFonts w:ascii="Arial" w:hAnsi="Arial" w:cs="Arial"/>
        </w:rPr>
      </w:pPr>
      <w:r w:rsidRPr="00FB3A86">
        <w:rPr>
          <w:rFonts w:ascii="Arial" w:hAnsi="Arial" w:cs="Arial"/>
        </w:rPr>
        <w:t>ABSTRACT</w:t>
      </w:r>
    </w:p>
    <w:p w:rsidR="00716705" w:rsidRPr="00FB3A86" w:rsidRDefault="00716705" w:rsidP="0071670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16705" w:rsidRPr="001E44FE" w:rsidTr="008D104D">
        <w:tc>
          <w:tcPr>
            <w:tcW w:w="9576" w:type="dxa"/>
            <w:shd w:val="clear" w:color="auto" w:fill="F2F2F2"/>
          </w:tcPr>
          <w:p w:rsidR="007D7627" w:rsidRPr="007D7627" w:rsidRDefault="007D7627" w:rsidP="007D7627">
            <w:pPr>
              <w:pStyle w:val="NormalWeb"/>
              <w:rPr>
                <w:rFonts w:ascii="Arial" w:hAnsi="Arial" w:cs="Arial"/>
                <w:sz w:val="20"/>
                <w:szCs w:val="20"/>
              </w:rPr>
            </w:pPr>
            <w:r w:rsidRPr="007D7627">
              <w:rPr>
                <w:rStyle w:val="Strong"/>
                <w:rFonts w:ascii="Arial" w:eastAsiaTheme="majorEastAsia" w:hAnsi="Arial" w:cs="Arial"/>
                <w:sz w:val="20"/>
                <w:szCs w:val="20"/>
              </w:rPr>
              <w:t>Aim:</w:t>
            </w:r>
            <w:r w:rsidRPr="007D7627">
              <w:rPr>
                <w:rFonts w:ascii="Arial" w:hAnsi="Arial" w:cs="Arial"/>
                <w:sz w:val="20"/>
                <w:szCs w:val="20"/>
              </w:rPr>
              <w:br/>
              <w:t>To assess the prevalence and distribution of developmental disturbances affecting the maxilla and mandible, including micrognathia, macrognathia, dental arch abnormalities, and cleft palate, and to evaluate their association with age and gender.</w:t>
            </w:r>
          </w:p>
          <w:p w:rsidR="007D7627" w:rsidRPr="007D7627" w:rsidRDefault="007D7627" w:rsidP="007D7627">
            <w:pPr>
              <w:pStyle w:val="NormalWeb"/>
              <w:rPr>
                <w:rFonts w:ascii="Arial" w:hAnsi="Arial" w:cs="Arial"/>
                <w:sz w:val="20"/>
                <w:szCs w:val="20"/>
              </w:rPr>
            </w:pPr>
            <w:r w:rsidRPr="007D7627">
              <w:rPr>
                <w:rStyle w:val="Strong"/>
                <w:rFonts w:ascii="Arial" w:eastAsiaTheme="majorEastAsia" w:hAnsi="Arial" w:cs="Arial"/>
                <w:sz w:val="20"/>
                <w:szCs w:val="20"/>
              </w:rPr>
              <w:t>Study design:</w:t>
            </w:r>
            <w:r w:rsidRPr="007D7627">
              <w:rPr>
                <w:rFonts w:ascii="Arial" w:hAnsi="Arial" w:cs="Arial"/>
                <w:sz w:val="20"/>
                <w:szCs w:val="20"/>
              </w:rPr>
              <w:br/>
              <w:t>Cross-sectional study.</w:t>
            </w:r>
          </w:p>
          <w:p w:rsidR="00217875" w:rsidRPr="00877DFB" w:rsidRDefault="007D7627" w:rsidP="007D7627">
            <w:pPr>
              <w:pStyle w:val="NormalWeb"/>
              <w:rPr>
                <w:rFonts w:ascii="Arial" w:hAnsi="Arial" w:cs="Arial"/>
                <w:sz w:val="20"/>
                <w:szCs w:val="20"/>
              </w:rPr>
            </w:pPr>
            <w:r w:rsidRPr="007D7627">
              <w:rPr>
                <w:rStyle w:val="Strong"/>
                <w:rFonts w:ascii="Arial" w:eastAsiaTheme="majorEastAsia" w:hAnsi="Arial" w:cs="Arial"/>
                <w:sz w:val="20"/>
                <w:szCs w:val="20"/>
              </w:rPr>
              <w:t>Place and Duration of Study:</w:t>
            </w:r>
            <w:r w:rsidRPr="007D7627">
              <w:rPr>
                <w:rFonts w:ascii="Arial" w:hAnsi="Arial" w:cs="Arial"/>
                <w:sz w:val="20"/>
                <w:szCs w:val="20"/>
              </w:rPr>
              <w:br/>
            </w:r>
            <w:r w:rsidR="00877DFB" w:rsidRPr="00877DFB">
              <w:rPr>
                <w:rFonts w:ascii="Arial" w:hAnsi="Arial" w:cs="Arial"/>
                <w:sz w:val="20"/>
                <w:szCs w:val="20"/>
              </w:rPr>
              <w:t>The study was conducted at RVS Dental College and Hospital, Coimbatore, among patients attending the dental clinic and outreach camps over a defined period.</w:t>
            </w:r>
          </w:p>
          <w:p w:rsidR="007D7627" w:rsidRDefault="00BD3928" w:rsidP="007D7627">
            <w:pPr>
              <w:pStyle w:val="NormalWeb"/>
              <w:rPr>
                <w:rFonts w:ascii="Arial" w:hAnsi="Arial" w:cs="Arial"/>
                <w:sz w:val="20"/>
                <w:szCs w:val="20"/>
              </w:rPr>
            </w:pPr>
            <w:r>
              <w:t xml:space="preserve"> </w:t>
            </w:r>
            <w:r w:rsidR="007D7627" w:rsidRPr="007D7627">
              <w:rPr>
                <w:rStyle w:val="Strong"/>
                <w:rFonts w:ascii="Arial" w:eastAsiaTheme="majorEastAsia" w:hAnsi="Arial" w:cs="Arial"/>
                <w:sz w:val="20"/>
                <w:szCs w:val="20"/>
              </w:rPr>
              <w:t>Methodology:</w:t>
            </w:r>
            <w:r w:rsidR="007D7627" w:rsidRPr="007D7627">
              <w:rPr>
                <w:rFonts w:ascii="Arial" w:hAnsi="Arial" w:cs="Arial"/>
                <w:sz w:val="20"/>
                <w:szCs w:val="20"/>
              </w:rPr>
              <w:br/>
            </w:r>
            <w:r w:rsidR="00763E35" w:rsidRPr="00763E35">
              <w:rPr>
                <w:rFonts w:ascii="Arial" w:hAnsi="Arial" w:cs="Arial"/>
                <w:sz w:val="20"/>
                <w:szCs w:val="20"/>
              </w:rPr>
              <w:t>A cross-sectional study was conducted among 400 individuals aged 12–40 years, selected via non-probability convenience sampling from patients attending the dental clinic at RVS Dental College</w:t>
            </w:r>
            <w:r w:rsidR="00763E35">
              <w:rPr>
                <w:rFonts w:ascii="Arial" w:hAnsi="Arial" w:cs="Arial"/>
                <w:sz w:val="20"/>
                <w:szCs w:val="20"/>
              </w:rPr>
              <w:t xml:space="preserve"> and Hospital</w:t>
            </w:r>
            <w:r w:rsidR="00763E35" w:rsidRPr="00763E35">
              <w:rPr>
                <w:rFonts w:ascii="Arial" w:hAnsi="Arial" w:cs="Arial"/>
                <w:sz w:val="20"/>
                <w:szCs w:val="20"/>
              </w:rPr>
              <w:t xml:space="preserve"> </w:t>
            </w:r>
            <w:r w:rsidR="00763E35">
              <w:rPr>
                <w:rFonts w:ascii="Arial" w:hAnsi="Arial" w:cs="Arial"/>
                <w:sz w:val="20"/>
                <w:szCs w:val="20"/>
              </w:rPr>
              <w:t xml:space="preserve">and </w:t>
            </w:r>
            <w:r w:rsidR="00763E35" w:rsidRPr="00763E35">
              <w:rPr>
                <w:rFonts w:ascii="Arial" w:hAnsi="Arial" w:cs="Arial"/>
                <w:sz w:val="20"/>
                <w:szCs w:val="20"/>
              </w:rPr>
              <w:t>outreach camps in Coimbatore</w:t>
            </w:r>
            <w:r w:rsidR="00877DFB" w:rsidRPr="00877DFB">
              <w:rPr>
                <w:rFonts w:ascii="Arial" w:hAnsi="Arial" w:cs="Arial"/>
                <w:sz w:val="20"/>
                <w:szCs w:val="20"/>
              </w:rPr>
              <w:t>. Developmental disturbances, including micrognathia, macrognathia, malocclusion (Class II Division 1, II Division 2, III), and cleft palate, were assessed clinically using a mouth mirror and probe. Examiners were trained and calibrated (Cohen’s kappa &gt;0.80). Sample size was calculated using standard population proportion formula. Data were analyzed using SPSS</w:t>
            </w:r>
            <w:r w:rsidR="00877DFB">
              <w:rPr>
                <w:rFonts w:ascii="Arial" w:hAnsi="Arial" w:cs="Arial"/>
                <w:sz w:val="20"/>
                <w:szCs w:val="20"/>
              </w:rPr>
              <w:t xml:space="preserve"> XX version</w:t>
            </w:r>
            <w:r w:rsidR="00877DFB" w:rsidRPr="00877DFB">
              <w:rPr>
                <w:rFonts w:ascii="Arial" w:hAnsi="Arial" w:cs="Arial"/>
                <w:sz w:val="20"/>
                <w:szCs w:val="20"/>
              </w:rPr>
              <w:t>, with frequencies, percentages, and Chi-square tests to evaluate associations with age and gender (p &lt; 0.05</w:t>
            </w:r>
            <w:r w:rsidR="00877DFB" w:rsidRPr="00877DFB">
              <w:rPr>
                <w:sz w:val="20"/>
                <w:szCs w:val="20"/>
              </w:rPr>
              <w:t>)</w:t>
            </w:r>
            <w:r w:rsidR="007D7627" w:rsidRPr="00877DFB">
              <w:rPr>
                <w:rFonts w:ascii="Arial" w:hAnsi="Arial" w:cs="Arial"/>
                <w:sz w:val="20"/>
                <w:szCs w:val="20"/>
              </w:rPr>
              <w:t>.</w:t>
            </w:r>
          </w:p>
          <w:p w:rsidR="00497712" w:rsidRDefault="00497712" w:rsidP="007D7627">
            <w:pPr>
              <w:pStyle w:val="NormalWeb"/>
              <w:rPr>
                <w:rStyle w:val="Strong"/>
                <w:rFonts w:ascii="Arial" w:eastAsiaTheme="majorEastAsia" w:hAnsi="Arial" w:cs="Arial"/>
                <w:sz w:val="20"/>
                <w:szCs w:val="20"/>
              </w:rPr>
            </w:pPr>
            <w:r w:rsidRPr="00497712">
              <w:rPr>
                <w:rStyle w:val="Strong"/>
                <w:rFonts w:ascii="Arial" w:eastAsiaTheme="majorEastAsia" w:hAnsi="Arial" w:cs="Arial"/>
                <w:sz w:val="20"/>
                <w:szCs w:val="20"/>
              </w:rPr>
              <w:t>Clinical Implications:</w:t>
            </w:r>
          </w:p>
          <w:p w:rsidR="00497712" w:rsidRPr="00877DFB" w:rsidRDefault="00497712" w:rsidP="007D7627">
            <w:pPr>
              <w:pStyle w:val="NormalWeb"/>
            </w:pPr>
            <w:r w:rsidRPr="00497712">
              <w:rPr>
                <w:rFonts w:ascii="Arial" w:hAnsi="Arial" w:cs="Arial"/>
                <w:sz w:val="20"/>
                <w:szCs w:val="20"/>
              </w:rPr>
              <w:t xml:space="preserve"> Early identification of developmental disturbances facilitates timely intervention, enabling multidisciplinary management by dentists, orthodontists, and maxillofacial specialists. Routine screening, particularly during adolescence, can prevent functional and aesthetic complications, improve oral health outcomes, and guide appropriate referral for orthodontic or surgical care</w:t>
            </w:r>
            <w:r>
              <w:t>.</w:t>
            </w:r>
          </w:p>
          <w:p w:rsidR="007D7627" w:rsidRPr="007D7627" w:rsidRDefault="007D7627" w:rsidP="007D7627">
            <w:pPr>
              <w:pStyle w:val="NormalWeb"/>
              <w:rPr>
                <w:rFonts w:ascii="Arial" w:hAnsi="Arial" w:cs="Arial"/>
                <w:sz w:val="20"/>
                <w:szCs w:val="20"/>
              </w:rPr>
            </w:pPr>
            <w:r w:rsidRPr="007D7627">
              <w:rPr>
                <w:rStyle w:val="Strong"/>
                <w:rFonts w:ascii="Arial" w:eastAsiaTheme="majorEastAsia" w:hAnsi="Arial" w:cs="Arial"/>
                <w:sz w:val="20"/>
                <w:szCs w:val="20"/>
              </w:rPr>
              <w:t>Results:</w:t>
            </w:r>
            <w:r w:rsidRPr="007D7627">
              <w:rPr>
                <w:rFonts w:ascii="Arial" w:hAnsi="Arial" w:cs="Arial"/>
                <w:sz w:val="20"/>
                <w:szCs w:val="20"/>
              </w:rPr>
              <w:br/>
              <w:t>Out of 400 individuals, Class II Division 1 malocclusion was most prevalent (15%), followed by Class III (10%) and Class II Division 2 (8%). Micrognathia and macrognathia were observed in 5% and 4% of individuals, respectively, while cleft palate was the least common anomaly (1.5%). A higher prevalence of developmental disturbances was observed among males and younger individuals; however, the association between gender and anomalies was not statistically significant (p = 0.16). Similarly, the association between age and occurrence of anomalies was also not statistically significant (p = 0.24).</w:t>
            </w:r>
          </w:p>
          <w:p w:rsidR="00716705" w:rsidRPr="007D7627" w:rsidRDefault="007D7627" w:rsidP="007D7627">
            <w:pPr>
              <w:pStyle w:val="NormalWeb"/>
            </w:pPr>
            <w:r w:rsidRPr="007D7627">
              <w:rPr>
                <w:rStyle w:val="Strong"/>
                <w:rFonts w:ascii="Arial" w:eastAsiaTheme="majorEastAsia" w:hAnsi="Arial" w:cs="Arial"/>
                <w:sz w:val="20"/>
                <w:szCs w:val="20"/>
              </w:rPr>
              <w:lastRenderedPageBreak/>
              <w:t>Conclusion:</w:t>
            </w:r>
            <w:r w:rsidRPr="007D7627">
              <w:rPr>
                <w:rFonts w:ascii="Arial" w:hAnsi="Arial" w:cs="Arial"/>
                <w:sz w:val="20"/>
                <w:szCs w:val="20"/>
              </w:rPr>
              <w:br/>
            </w:r>
            <w:r w:rsidR="00877DFB" w:rsidRPr="00877DFB">
              <w:rPr>
                <w:rFonts w:ascii="Arial" w:hAnsi="Arial" w:cs="Arial"/>
                <w:sz w:val="20"/>
                <w:szCs w:val="20"/>
              </w:rPr>
              <w:t>Developmental disturbances of the maxilla and mandible are relatively common and can significantly affect function, aesthetics, and overall oral health. Early diagnosis and timely intervention are essential to optimize functional outcomes and facilitate effective multidisciplinary management. Routine clinical screening, particularly during adolescence, along with school-based dental programs, enables early detection, preventive strategies, and appropriate referral for orthodontic or surgical care. Clinically, these findings highlight the need for dentists, orthodontists, and maxillofacial specialists to collaborate in identifying anomalies, planning individualized treatment, and minimizing long-term complications. Implementing such strategies can improve patient outcomes, prevent progression of malocclusion or skeletal discrepancies, and enhance overall quality of life.</w:t>
            </w:r>
          </w:p>
        </w:tc>
      </w:tr>
    </w:tbl>
    <w:p w:rsidR="00716705" w:rsidRPr="00FB3A86" w:rsidRDefault="0076586A" w:rsidP="00716705">
      <w:pPr>
        <w:pStyle w:val="Copyright"/>
        <w:spacing w:after="0" w:line="240" w:lineRule="auto"/>
        <w:jc w:val="both"/>
        <w:rPr>
          <w:rFonts w:ascii="Arial" w:hAnsi="Arial" w:cs="Arial"/>
        </w:rPr>
        <w:sectPr w:rsidR="00716705" w:rsidRPr="00FB3A86" w:rsidSect="00823AD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Straight Arrow Connector 1"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rsidR="00475FBA" w:rsidRPr="0050610D" w:rsidRDefault="0050610D" w:rsidP="0050610D">
      <w:pPr>
        <w:pStyle w:val="NormalWeb"/>
        <w:rPr>
          <w:rFonts w:ascii="Arial" w:hAnsi="Arial" w:cs="Arial"/>
          <w:i/>
          <w:iCs/>
          <w:sz w:val="22"/>
          <w:szCs w:val="22"/>
        </w:rPr>
      </w:pPr>
      <w:r w:rsidRPr="00A7595F">
        <w:rPr>
          <w:rStyle w:val="Strong"/>
          <w:rFonts w:ascii="Arial" w:eastAsiaTheme="majorEastAsia" w:hAnsi="Arial" w:cs="Arial"/>
          <w:i/>
          <w:iCs/>
          <w:sz w:val="22"/>
          <w:szCs w:val="22"/>
        </w:rPr>
        <w:lastRenderedPageBreak/>
        <w:t>Keywords:</w:t>
      </w:r>
      <w:r w:rsidRPr="00A7595F">
        <w:rPr>
          <w:rFonts w:ascii="Arial" w:hAnsi="Arial" w:cs="Arial"/>
          <w:i/>
          <w:iCs/>
          <w:sz w:val="22"/>
          <w:szCs w:val="22"/>
        </w:rPr>
        <w:t xml:space="preserve"> Developmental disturbances, Malocclusion, Micrognathia, Cleft palate, Prevalence, Epidemiology</w:t>
      </w:r>
    </w:p>
    <w:p w:rsidR="001A02B3" w:rsidRPr="0050610D" w:rsidRDefault="0050610D" w:rsidP="001A02B3">
      <w:pPr>
        <w:rPr>
          <w:rFonts w:ascii="Arial" w:hAnsi="Arial" w:cs="Arial"/>
          <w:b/>
          <w:bCs/>
          <w:sz w:val="20"/>
          <w:szCs w:val="20"/>
        </w:rPr>
      </w:pPr>
      <w:r w:rsidRPr="0050610D">
        <w:rPr>
          <w:rFonts w:ascii="Arial" w:hAnsi="Arial" w:cs="Arial"/>
          <w:b/>
          <w:bCs/>
          <w:sz w:val="20"/>
          <w:szCs w:val="20"/>
        </w:rPr>
        <w:t>INTRODUCTION</w:t>
      </w:r>
    </w:p>
    <w:p w:rsidR="003E4C77" w:rsidRPr="0050610D" w:rsidRDefault="003E4C77" w:rsidP="001A02B3">
      <w:pPr>
        <w:rPr>
          <w:rFonts w:ascii="Arial" w:hAnsi="Arial" w:cs="Arial"/>
          <w:sz w:val="20"/>
          <w:szCs w:val="20"/>
        </w:rPr>
      </w:pPr>
      <w:r w:rsidRPr="0050610D">
        <w:rPr>
          <w:rFonts w:ascii="Arial" w:hAnsi="Arial" w:cs="Arial"/>
          <w:sz w:val="20"/>
          <w:szCs w:val="20"/>
        </w:rPr>
        <w:t xml:space="preserve">The growth and development of the craniofacial complex are crucial for normal facial appearance, bite, chewing, and speech. Developmental issues may affect the jaws, palate, and teeth due to genetic, environmental, or systemic factors during craniofacial development and tooth formation. These issues can lead to conditions such as hypodontia, talon cusp, dens </w:t>
      </w:r>
      <w:proofErr w:type="spellStart"/>
      <w:r w:rsidRPr="0050610D">
        <w:rPr>
          <w:rFonts w:ascii="Arial" w:hAnsi="Arial" w:cs="Arial"/>
          <w:sz w:val="20"/>
          <w:szCs w:val="20"/>
        </w:rPr>
        <w:t>evaginatus</w:t>
      </w:r>
      <w:proofErr w:type="spellEnd"/>
      <w:r w:rsidRPr="0050610D">
        <w:rPr>
          <w:rFonts w:ascii="Arial" w:hAnsi="Arial" w:cs="Arial"/>
          <w:sz w:val="20"/>
          <w:szCs w:val="20"/>
        </w:rPr>
        <w:t>, micrognathia, macrognathia, and cleft palate. These conditions can impact both oral function and appearance [1,2]. The occurrence of developmental dental anomalies differs among populations due to variations in genetic backgrounds and environmental factors [3,4]. Hypodontia and other permanent teeth malformations are among the most frequent anomalies and may cause bite and appearance problems if not identified early [5,6]. Jaw development abnormalities can also lead to skeletal discrepancies and misaligned bites, which may require orthodontic or surgical treatment [7,8]. Craniofacial anomalies like cleft palate and other developmental issues can greatly affect oral health and quality of life. This highlights the need for early diagnosis and proper treatment planning [9,10].</w:t>
      </w:r>
    </w:p>
    <w:p w:rsidR="008E77F7" w:rsidRPr="0050610D" w:rsidRDefault="0050610D" w:rsidP="001A02B3">
      <w:pPr>
        <w:rPr>
          <w:rFonts w:ascii="Arial" w:hAnsi="Arial" w:cs="Arial"/>
          <w:b/>
          <w:bCs/>
        </w:rPr>
      </w:pPr>
      <w:r w:rsidRPr="0050610D">
        <w:rPr>
          <w:rFonts w:ascii="Arial" w:hAnsi="Arial" w:cs="Arial"/>
          <w:b/>
          <w:bCs/>
        </w:rPr>
        <w:t xml:space="preserve">METHODOLOGY </w:t>
      </w:r>
    </w:p>
    <w:p w:rsidR="001A02B3" w:rsidRPr="0050610D" w:rsidRDefault="0050610D" w:rsidP="001A02B3">
      <w:pPr>
        <w:rPr>
          <w:rFonts w:ascii="Arial" w:hAnsi="Arial" w:cs="Arial"/>
          <w:b/>
          <w:bCs/>
        </w:rPr>
      </w:pPr>
      <w:r w:rsidRPr="0050610D">
        <w:rPr>
          <w:rFonts w:ascii="Arial" w:hAnsi="Arial" w:cs="Arial"/>
          <w:b/>
          <w:bCs/>
        </w:rPr>
        <w:t>STUDY DESIGN</w:t>
      </w:r>
    </w:p>
    <w:p w:rsidR="00217875" w:rsidRPr="00217875" w:rsidRDefault="00217875" w:rsidP="00217875">
      <w:pPr>
        <w:pStyle w:val="NormalWeb"/>
        <w:rPr>
          <w:rFonts w:ascii="Arial" w:hAnsi="Arial" w:cs="Arial"/>
          <w:sz w:val="20"/>
          <w:szCs w:val="20"/>
        </w:rPr>
      </w:pPr>
      <w:r w:rsidRPr="00217875">
        <w:rPr>
          <w:rFonts w:ascii="Arial" w:hAnsi="Arial" w:cs="Arial"/>
          <w:sz w:val="20"/>
          <w:szCs w:val="20"/>
        </w:rPr>
        <w:t>The present study wa</w:t>
      </w:r>
      <w:r>
        <w:rPr>
          <w:rFonts w:ascii="Arial" w:hAnsi="Arial" w:cs="Arial"/>
          <w:sz w:val="20"/>
          <w:szCs w:val="20"/>
        </w:rPr>
        <w:t xml:space="preserve">s designed as a cross-section </w:t>
      </w:r>
      <w:r w:rsidRPr="00217875">
        <w:rPr>
          <w:rFonts w:ascii="Arial" w:hAnsi="Arial" w:cs="Arial"/>
          <w:sz w:val="20"/>
          <w:szCs w:val="20"/>
        </w:rPr>
        <w:t>observational study to assess the prevalence of developmental disturbances affecting the maxilla and mandible.</w:t>
      </w:r>
    </w:p>
    <w:p w:rsidR="001A02B3" w:rsidRPr="0050610D" w:rsidRDefault="0050610D" w:rsidP="001A02B3">
      <w:pPr>
        <w:rPr>
          <w:rFonts w:ascii="Arial" w:hAnsi="Arial" w:cs="Arial"/>
          <w:b/>
          <w:bCs/>
          <w:sz w:val="20"/>
          <w:szCs w:val="20"/>
        </w:rPr>
      </w:pPr>
      <w:r w:rsidRPr="0050610D">
        <w:rPr>
          <w:rFonts w:ascii="Arial" w:hAnsi="Arial" w:cs="Arial"/>
          <w:b/>
          <w:bCs/>
          <w:sz w:val="20"/>
          <w:szCs w:val="20"/>
        </w:rPr>
        <w:t>STUDY POPULATION</w:t>
      </w:r>
    </w:p>
    <w:p w:rsidR="00763E35" w:rsidRPr="00763E35" w:rsidRDefault="00763E35" w:rsidP="001A02B3">
      <w:pPr>
        <w:rPr>
          <w:rFonts w:ascii="Arial" w:hAnsi="Arial" w:cs="Arial"/>
          <w:sz w:val="20"/>
          <w:szCs w:val="20"/>
        </w:rPr>
      </w:pPr>
      <w:r w:rsidRPr="00763E35">
        <w:rPr>
          <w:rFonts w:ascii="Arial" w:hAnsi="Arial" w:cs="Arial"/>
          <w:sz w:val="20"/>
          <w:szCs w:val="20"/>
        </w:rPr>
        <w:t>The study was conducted on 400 individuals aged 12–40 years, selected through a non-probability convenience sampling method from patients attending the dental clinic at RVS Dental College and Hospital and outreach camps in Coimbatore during a defined period.</w:t>
      </w:r>
    </w:p>
    <w:p w:rsidR="001A02B3" w:rsidRPr="0050610D" w:rsidRDefault="0050610D" w:rsidP="001A02B3">
      <w:pPr>
        <w:rPr>
          <w:rFonts w:ascii="Arial" w:hAnsi="Arial" w:cs="Arial"/>
          <w:b/>
          <w:bCs/>
          <w:sz w:val="20"/>
          <w:szCs w:val="20"/>
        </w:rPr>
      </w:pPr>
      <w:r w:rsidRPr="0050610D">
        <w:rPr>
          <w:rFonts w:ascii="Arial" w:hAnsi="Arial" w:cs="Arial"/>
          <w:b/>
          <w:bCs/>
          <w:sz w:val="20"/>
          <w:szCs w:val="20"/>
        </w:rPr>
        <w:t>AGE GROUP</w:t>
      </w:r>
    </w:p>
    <w:p w:rsidR="001A02B3" w:rsidRPr="0050610D" w:rsidRDefault="001A02B3" w:rsidP="001A02B3">
      <w:pPr>
        <w:rPr>
          <w:rFonts w:ascii="Arial" w:hAnsi="Arial" w:cs="Arial"/>
          <w:sz w:val="20"/>
          <w:szCs w:val="20"/>
        </w:rPr>
      </w:pPr>
      <w:r w:rsidRPr="0050610D">
        <w:rPr>
          <w:rFonts w:ascii="Arial" w:hAnsi="Arial" w:cs="Arial"/>
          <w:sz w:val="20"/>
          <w:szCs w:val="20"/>
        </w:rPr>
        <w:t xml:space="preserve">Participants included individuals aged between </w:t>
      </w:r>
      <w:r w:rsidRPr="0050610D">
        <w:rPr>
          <w:rFonts w:ascii="Arial" w:hAnsi="Arial" w:cs="Arial"/>
          <w:b/>
          <w:bCs/>
          <w:sz w:val="20"/>
          <w:szCs w:val="20"/>
        </w:rPr>
        <w:t>12 and 40 years</w:t>
      </w:r>
      <w:r w:rsidRPr="0050610D">
        <w:rPr>
          <w:rFonts w:ascii="Arial" w:hAnsi="Arial" w:cs="Arial"/>
          <w:sz w:val="20"/>
          <w:szCs w:val="20"/>
        </w:rPr>
        <w:t>.</w:t>
      </w:r>
    </w:p>
    <w:p w:rsidR="001A02B3" w:rsidRPr="0050610D" w:rsidRDefault="0050610D" w:rsidP="001A02B3">
      <w:pPr>
        <w:rPr>
          <w:rFonts w:ascii="Arial" w:hAnsi="Arial" w:cs="Arial"/>
          <w:b/>
          <w:bCs/>
          <w:sz w:val="20"/>
          <w:szCs w:val="20"/>
        </w:rPr>
      </w:pPr>
      <w:r w:rsidRPr="0050610D">
        <w:rPr>
          <w:rFonts w:ascii="Arial" w:hAnsi="Arial" w:cs="Arial"/>
          <w:b/>
          <w:bCs/>
          <w:sz w:val="20"/>
          <w:szCs w:val="20"/>
        </w:rPr>
        <w:t>INCLUSION CRITERIA AND EXCLUSION CRITERIA</w:t>
      </w:r>
    </w:p>
    <w:p w:rsidR="001B52B3" w:rsidRPr="0050610D" w:rsidRDefault="001B52B3" w:rsidP="001A02B3">
      <w:pPr>
        <w:rPr>
          <w:rFonts w:ascii="Arial" w:hAnsi="Arial" w:cs="Arial"/>
          <w:sz w:val="20"/>
          <w:szCs w:val="20"/>
        </w:rPr>
      </w:pPr>
      <w:r w:rsidRPr="0050610D">
        <w:rPr>
          <w:rFonts w:ascii="Arial" w:hAnsi="Arial" w:cs="Arial"/>
          <w:sz w:val="20"/>
          <w:szCs w:val="20"/>
        </w:rPr>
        <w:t>Individuals aged between 12 and 40 years who were willing to participate and provided written informed consent were included, while individuals below 12 years or above 40 years, patients undergoing orthodontic treatment with appliances, and children without parental consent were excluded.</w:t>
      </w:r>
    </w:p>
    <w:p w:rsidR="001A02B3" w:rsidRPr="0050610D" w:rsidRDefault="0050610D" w:rsidP="001A02B3">
      <w:pPr>
        <w:rPr>
          <w:rFonts w:ascii="Arial" w:hAnsi="Arial" w:cs="Arial"/>
          <w:b/>
          <w:bCs/>
          <w:sz w:val="20"/>
          <w:szCs w:val="20"/>
        </w:rPr>
      </w:pPr>
      <w:r w:rsidRPr="0050610D">
        <w:rPr>
          <w:rFonts w:ascii="Arial" w:hAnsi="Arial" w:cs="Arial"/>
          <w:b/>
          <w:bCs/>
          <w:sz w:val="20"/>
          <w:szCs w:val="20"/>
        </w:rPr>
        <w:t>DATA COLLECTION</w:t>
      </w:r>
    </w:p>
    <w:p w:rsidR="001B52B3" w:rsidRPr="0050610D" w:rsidRDefault="001B52B3" w:rsidP="001B52B3">
      <w:pPr>
        <w:rPr>
          <w:rFonts w:ascii="Arial" w:hAnsi="Arial" w:cs="Arial"/>
          <w:sz w:val="20"/>
          <w:szCs w:val="20"/>
          <w:lang w:val="en-US"/>
        </w:rPr>
      </w:pPr>
      <w:r w:rsidRPr="0050610D">
        <w:rPr>
          <w:rFonts w:ascii="Arial" w:hAnsi="Arial" w:cs="Arial"/>
          <w:sz w:val="20"/>
          <w:szCs w:val="20"/>
          <w:lang w:val="en-US"/>
        </w:rPr>
        <w:t>Data were collected using a structured clinical examination form, recording details such as name, age, sex, socioeconomic status, family history, and habit history including thumb sucking and mouth breathing.</w:t>
      </w:r>
    </w:p>
    <w:p w:rsidR="001A02B3" w:rsidRPr="007D7627" w:rsidRDefault="0050610D" w:rsidP="001A02B3">
      <w:pPr>
        <w:rPr>
          <w:rFonts w:ascii="Arial" w:hAnsi="Arial" w:cs="Arial"/>
          <w:b/>
          <w:bCs/>
          <w:sz w:val="20"/>
          <w:szCs w:val="20"/>
        </w:rPr>
      </w:pPr>
      <w:r w:rsidRPr="007D7627">
        <w:rPr>
          <w:rFonts w:ascii="Arial" w:hAnsi="Arial" w:cs="Arial"/>
          <w:b/>
          <w:bCs/>
          <w:sz w:val="20"/>
          <w:szCs w:val="20"/>
        </w:rPr>
        <w:t>CLINICAL EXAMINATION</w:t>
      </w:r>
    </w:p>
    <w:p w:rsidR="00217875" w:rsidRPr="00217875" w:rsidRDefault="00217875" w:rsidP="00217875">
      <w:pPr>
        <w:pStyle w:val="NormalWeb"/>
        <w:rPr>
          <w:rFonts w:ascii="Arial" w:hAnsi="Arial" w:cs="Arial"/>
          <w:sz w:val="20"/>
          <w:szCs w:val="20"/>
        </w:rPr>
      </w:pPr>
      <w:r w:rsidRPr="00217875">
        <w:rPr>
          <w:rFonts w:ascii="Arial" w:hAnsi="Arial" w:cs="Arial"/>
          <w:sz w:val="20"/>
          <w:szCs w:val="20"/>
        </w:rPr>
        <w:t>Clinical examination was performed using a mouth mirror and dental probe under adequate illumination. Developmental disturbances assessed included micrognathia, macrognathia, dental arch relationships (Class II Division 1, Class II Division 2, Class III), and cleft palate.</w:t>
      </w:r>
    </w:p>
    <w:p w:rsidR="00217875" w:rsidRDefault="00217875" w:rsidP="00217875">
      <w:pPr>
        <w:pStyle w:val="NormalWeb"/>
        <w:rPr>
          <w:rFonts w:ascii="Arial" w:hAnsi="Arial" w:cs="Arial"/>
          <w:sz w:val="20"/>
          <w:szCs w:val="20"/>
        </w:rPr>
      </w:pPr>
      <w:r w:rsidRPr="00217875">
        <w:rPr>
          <w:rFonts w:ascii="Arial" w:hAnsi="Arial" w:cs="Arial"/>
          <w:sz w:val="20"/>
          <w:szCs w:val="20"/>
        </w:rPr>
        <w:t>The diagnosis of skeletal discrepancies was based on clinical assessment of facial profile, jaw proportions, and occlusion. Radiographic evaluation was not performed due to feasibility constraints and is acknowledged as a limitation.</w:t>
      </w:r>
    </w:p>
    <w:p w:rsidR="00CA7832" w:rsidRPr="00F90E56" w:rsidRDefault="00CA7832" w:rsidP="00CA7832">
      <w:pPr>
        <w:pStyle w:val="NormalWeb"/>
        <w:rPr>
          <w:rFonts w:ascii="Arial" w:hAnsi="Arial" w:cs="Arial"/>
          <w:sz w:val="20"/>
          <w:szCs w:val="20"/>
        </w:rPr>
      </w:pPr>
      <w:r w:rsidRPr="00CA7832">
        <w:rPr>
          <w:rFonts w:ascii="Arial" w:hAnsi="Arial" w:cs="Arial"/>
          <w:b/>
          <w:bCs/>
          <w:sz w:val="20"/>
          <w:szCs w:val="20"/>
        </w:rPr>
        <w:lastRenderedPageBreak/>
        <w:t>Sample Size Calculation</w:t>
      </w:r>
      <w:r w:rsidRPr="00CA7832">
        <w:br/>
      </w:r>
      <w:r w:rsidRPr="00F90E56">
        <w:rPr>
          <w:rFonts w:ascii="Arial" w:hAnsi="Arial" w:cs="Arial"/>
          <w:sz w:val="20"/>
          <w:szCs w:val="20"/>
        </w:rPr>
        <w:t>The sample size was calculated using the formula for estimating a population proportion with a specified precision:</w:t>
      </w:r>
    </w:p>
    <w:p w:rsidR="00CA7832" w:rsidRPr="00CA7832" w:rsidRDefault="00440C4D" w:rsidP="00F90E56">
      <w:pPr>
        <w:pStyle w:val="NormalWeb"/>
        <w:rPr>
          <w:rFonts w:ascii="Arial" w:hAnsi="Arial" w:cs="Arial"/>
          <w:sz w:val="20"/>
          <w:szCs w:val="20"/>
        </w:rPr>
      </w:pPr>
      <m:oMathPara>
        <m:oMath>
          <m:r>
            <w:rPr>
              <w:rFonts w:ascii="Cambria Math" w:hAnsi="Cambria Math" w:cs="Arial"/>
              <w:sz w:val="20"/>
              <w:szCs w:val="20"/>
            </w:rPr>
            <m:t>n=</m:t>
          </m:r>
          <m:f>
            <m:fPr>
              <m:ctrlPr>
                <w:rPr>
                  <w:rFonts w:ascii="Cambria Math" w:hAnsi="Cambria Math" w:cs="Arial"/>
                  <w:sz w:val="20"/>
                  <w:szCs w:val="20"/>
                </w:rPr>
              </m:ctrlPr>
            </m:fPr>
            <m:num>
              <m:sSup>
                <m:sSupPr>
                  <m:ctrlPr>
                    <w:rPr>
                      <w:rFonts w:ascii="Cambria Math" w:hAnsi="Cambria Math" w:cs="Arial"/>
                      <w:sz w:val="20"/>
                      <w:szCs w:val="20"/>
                    </w:rPr>
                  </m:ctrlPr>
                </m:sSupPr>
                <m:e>
                  <m:r>
                    <w:rPr>
                      <w:rFonts w:ascii="Cambria Math" w:hAnsi="Cambria Math" w:cs="Arial"/>
                      <w:sz w:val="20"/>
                      <w:szCs w:val="20"/>
                    </w:rPr>
                    <m:t>Z</m:t>
                  </m:r>
                </m:e>
                <m:sup>
                  <m:r>
                    <w:rPr>
                      <w:rFonts w:ascii="Cambria Math" w:hAnsi="Cambria Math" w:cs="Arial"/>
                      <w:sz w:val="20"/>
                      <w:szCs w:val="20"/>
                    </w:rPr>
                    <m:t>2</m:t>
                  </m:r>
                </m:sup>
              </m:sSup>
              <m:r>
                <w:rPr>
                  <w:rFonts w:ascii="Cambria Math" w:hAnsi="Cambria Math" w:cs="Arial"/>
                  <w:sz w:val="20"/>
                  <w:szCs w:val="20"/>
                </w:rPr>
                <m:t>P</m:t>
              </m:r>
              <m:r>
                <m:rPr>
                  <m:sty m:val="p"/>
                </m:rPr>
                <w:rPr>
                  <w:rFonts w:ascii="Cambria Math" w:hAnsi="Cambria Math" w:cs="Arial"/>
                  <w:sz w:val="20"/>
                  <w:szCs w:val="20"/>
                </w:rPr>
                <m:t>(</m:t>
              </m:r>
              <m:r>
                <w:rPr>
                  <w:rFonts w:ascii="Cambria Math" w:hAnsi="Cambria Math" w:cs="Arial"/>
                  <w:sz w:val="20"/>
                  <w:szCs w:val="20"/>
                </w:rPr>
                <m:t>1</m:t>
              </m:r>
              <m:r>
                <m:rPr>
                  <m:sty m:val="p"/>
                </m:rPr>
                <w:rPr>
                  <w:rFonts w:ascii="Cambria Math" w:hAnsi="Cambria Math" w:cs="Arial"/>
                  <w:sz w:val="20"/>
                  <w:szCs w:val="20"/>
                </w:rPr>
                <m:t>-</m:t>
              </m:r>
              <m:r>
                <w:rPr>
                  <w:rFonts w:ascii="Cambria Math" w:hAnsi="Cambria Math" w:cs="Arial"/>
                  <w:sz w:val="20"/>
                  <w:szCs w:val="20"/>
                </w:rPr>
                <m:t>P</m:t>
              </m:r>
              <m:r>
                <m:rPr>
                  <m:sty m:val="p"/>
                </m:rPr>
                <w:rPr>
                  <w:rFonts w:ascii="Cambria Math" w:hAnsi="Cambria Math" w:cs="Arial"/>
                  <w:sz w:val="20"/>
                  <w:szCs w:val="20"/>
                </w:rPr>
                <m:t>)</m:t>
              </m:r>
            </m:num>
            <m:den>
              <m:sSup>
                <m:sSupPr>
                  <m:ctrlPr>
                    <w:rPr>
                      <w:rFonts w:ascii="Cambria Math" w:hAnsi="Cambria Math" w:cs="Arial"/>
                      <w:sz w:val="20"/>
                      <w:szCs w:val="20"/>
                    </w:rPr>
                  </m:ctrlPr>
                </m:sSupPr>
                <m:e>
                  <m:r>
                    <w:rPr>
                      <w:rFonts w:ascii="Cambria Math" w:hAnsi="Cambria Math" w:cs="Arial"/>
                      <w:sz w:val="20"/>
                      <w:szCs w:val="20"/>
                    </w:rPr>
                    <m:t>d</m:t>
                  </m:r>
                </m:e>
                <m:sup>
                  <m:r>
                    <w:rPr>
                      <w:rFonts w:ascii="Cambria Math" w:hAnsi="Cambria Math" w:cs="Arial"/>
                      <w:sz w:val="20"/>
                      <w:szCs w:val="20"/>
                    </w:rPr>
                    <m:t>2</m:t>
                  </m:r>
                </m:sup>
              </m:sSup>
            </m:den>
          </m:f>
          <m:r>
            <m:rPr>
              <m:sty m:val="p"/>
            </m:rPr>
            <w:rPr>
              <w:rFonts w:ascii="Cambria Math" w:hAnsi="Cambria Math" w:cs="Arial"/>
              <w:sz w:val="20"/>
              <w:szCs w:val="20"/>
            </w:rPr>
            <w:br/>
          </m:r>
        </m:oMath>
      </m:oMathPara>
      <w:r>
        <w:rPr>
          <w:rFonts w:ascii="Cambria Math" w:hAnsi="Cambria Math" w:cs="Arial"/>
          <w:sz w:val="20"/>
          <w:szCs w:val="20"/>
        </w:rPr>
        <w:br/>
      </w:r>
    </w:p>
    <w:p w:rsidR="00CA7832" w:rsidRPr="00CA7832" w:rsidRDefault="00CA7832" w:rsidP="00CA7832">
      <w:pPr>
        <w:numPr>
          <w:ilvl w:val="0"/>
          <w:numId w:val="33"/>
        </w:numPr>
        <w:spacing w:before="100" w:beforeAutospacing="1" w:after="100" w:afterAutospacing="1" w:line="240" w:lineRule="auto"/>
        <w:rPr>
          <w:rFonts w:ascii="Arial" w:eastAsia="Times New Roman" w:hAnsi="Arial" w:cs="Arial"/>
          <w:kern w:val="0"/>
          <w:sz w:val="20"/>
          <w:szCs w:val="20"/>
          <w:lang w:val="en-US"/>
        </w:rPr>
      </w:pPr>
      <w:r w:rsidRPr="00F90E56">
        <w:rPr>
          <w:rFonts w:ascii="Arial" w:eastAsia="Times New Roman" w:hAnsi="Arial" w:cs="Arial"/>
          <w:kern w:val="0"/>
          <w:sz w:val="20"/>
          <w:szCs w:val="20"/>
          <w:lang w:val="en-US"/>
        </w:rPr>
        <w:t>Z</w:t>
      </w:r>
      <w:r w:rsidR="00F90E56">
        <w:rPr>
          <w:rFonts w:ascii="Arial" w:eastAsia="Times New Roman" w:hAnsi="Arial" w:cs="Arial"/>
          <w:kern w:val="0"/>
          <w:sz w:val="20"/>
          <w:szCs w:val="20"/>
          <w:vertAlign w:val="superscript"/>
          <w:lang w:val="en-US"/>
        </w:rPr>
        <w:t>2</w:t>
      </w:r>
      <w:r w:rsidRPr="00CA7832">
        <w:rPr>
          <w:rFonts w:ascii="Arial" w:eastAsia="Times New Roman" w:hAnsi="Arial" w:cs="Arial"/>
          <w:kern w:val="0"/>
          <w:sz w:val="20"/>
          <w:szCs w:val="20"/>
          <w:lang w:val="en-US"/>
        </w:rPr>
        <w:t xml:space="preserve"> = 1.96 (for 95% confidence interval) </w:t>
      </w:r>
    </w:p>
    <w:p w:rsidR="00CA7832" w:rsidRPr="00CA7832" w:rsidRDefault="00CA7832" w:rsidP="00CA7832">
      <w:pPr>
        <w:numPr>
          <w:ilvl w:val="0"/>
          <w:numId w:val="33"/>
        </w:numPr>
        <w:spacing w:before="100" w:beforeAutospacing="1" w:after="100" w:afterAutospacing="1" w:line="240" w:lineRule="auto"/>
        <w:rPr>
          <w:rFonts w:ascii="Arial" w:eastAsia="Times New Roman" w:hAnsi="Arial" w:cs="Arial"/>
          <w:kern w:val="0"/>
          <w:sz w:val="20"/>
          <w:szCs w:val="20"/>
          <w:lang w:val="en-US"/>
        </w:rPr>
      </w:pPr>
      <w:r w:rsidRPr="00F90E56">
        <w:rPr>
          <w:rFonts w:ascii="Arial" w:eastAsia="Times New Roman" w:hAnsi="Arial" w:cs="Arial"/>
          <w:kern w:val="0"/>
          <w:sz w:val="20"/>
          <w:szCs w:val="20"/>
          <w:lang w:val="en-US"/>
        </w:rPr>
        <w:t>p</w:t>
      </w:r>
      <w:r w:rsidRPr="00CA7832">
        <w:rPr>
          <w:rFonts w:ascii="Arial" w:eastAsia="Times New Roman" w:hAnsi="Arial" w:cs="Arial"/>
          <w:kern w:val="0"/>
          <w:sz w:val="20"/>
          <w:szCs w:val="20"/>
          <w:lang w:val="en-US"/>
        </w:rPr>
        <w:t xml:space="preserve"> = anticipated prevalence of developmental disturbances (assumed 50% for maximum sample size) </w:t>
      </w:r>
    </w:p>
    <w:p w:rsidR="00440C4D" w:rsidRDefault="00CA7832" w:rsidP="00CA7832">
      <w:pPr>
        <w:numPr>
          <w:ilvl w:val="0"/>
          <w:numId w:val="33"/>
        </w:numPr>
        <w:spacing w:before="100" w:beforeAutospacing="1" w:after="100" w:afterAutospacing="1" w:line="240" w:lineRule="auto"/>
        <w:rPr>
          <w:rFonts w:ascii="Arial" w:eastAsia="Times New Roman" w:hAnsi="Arial" w:cs="Arial"/>
          <w:kern w:val="0"/>
          <w:sz w:val="20"/>
          <w:szCs w:val="20"/>
          <w:lang w:val="en-US"/>
        </w:rPr>
      </w:pPr>
      <w:r w:rsidRPr="00F90E56">
        <w:rPr>
          <w:rFonts w:ascii="Arial" w:eastAsia="Times New Roman" w:hAnsi="Arial" w:cs="Arial"/>
          <w:kern w:val="0"/>
          <w:sz w:val="20"/>
          <w:szCs w:val="20"/>
          <w:lang w:val="en-US"/>
        </w:rPr>
        <w:t>d</w:t>
      </w:r>
      <w:r w:rsidR="00F90E56">
        <w:rPr>
          <w:rFonts w:ascii="Arial" w:eastAsia="Times New Roman" w:hAnsi="Arial" w:cs="Arial"/>
          <w:kern w:val="0"/>
          <w:sz w:val="20"/>
          <w:szCs w:val="20"/>
          <w:vertAlign w:val="superscript"/>
          <w:lang w:val="en-US"/>
        </w:rPr>
        <w:t>2</w:t>
      </w:r>
      <w:r w:rsidRPr="00CA7832">
        <w:rPr>
          <w:rFonts w:ascii="Arial" w:eastAsia="Times New Roman" w:hAnsi="Arial" w:cs="Arial"/>
          <w:kern w:val="0"/>
          <w:sz w:val="20"/>
          <w:szCs w:val="20"/>
          <w:lang w:val="en-US"/>
        </w:rPr>
        <w:t xml:space="preserve">= margin of error (5%) </w:t>
      </w:r>
      <w:proofErr w:type="spellStart"/>
      <w:r w:rsidR="00763E35">
        <w:rPr>
          <w:rFonts w:ascii="Arial" w:eastAsia="Times New Roman" w:hAnsi="Arial" w:cs="Arial"/>
          <w:kern w:val="0"/>
          <w:sz w:val="20"/>
          <w:szCs w:val="20"/>
          <w:lang w:val="en-US"/>
        </w:rPr>
        <w:t>i.e</w:t>
      </w:r>
      <w:proofErr w:type="spellEnd"/>
      <w:r w:rsidR="00763E35">
        <w:rPr>
          <w:rFonts w:ascii="Arial" w:eastAsia="Times New Roman" w:hAnsi="Arial" w:cs="Arial"/>
          <w:kern w:val="0"/>
          <w:sz w:val="20"/>
          <w:szCs w:val="20"/>
          <w:lang w:val="en-US"/>
        </w:rPr>
        <w:t xml:space="preserve"> 0.05</w:t>
      </w:r>
    </w:p>
    <w:p w:rsidR="00265629" w:rsidRPr="00265629" w:rsidRDefault="00265629" w:rsidP="00265629">
      <w:pPr>
        <w:spacing w:before="100" w:beforeAutospacing="1" w:after="100" w:afterAutospacing="1" w:line="240" w:lineRule="auto"/>
        <w:ind w:left="720"/>
        <w:rPr>
          <w:rFonts w:ascii="Arial" w:eastAsia="Times New Roman" w:hAnsi="Arial" w:cs="Arial"/>
          <w:kern w:val="0"/>
          <w:sz w:val="20"/>
          <w:szCs w:val="20"/>
          <w:lang w:val="en-US"/>
        </w:rPr>
      </w:pPr>
      <w:r w:rsidRPr="00265629">
        <w:rPr>
          <w:rFonts w:ascii="Arial" w:hAnsi="Arial" w:cs="Arial"/>
          <w:sz w:val="20"/>
          <w:szCs w:val="20"/>
        </w:rPr>
        <w:t>Substituting the values:</w:t>
      </w:r>
    </w:p>
    <w:p w:rsidR="00440C4D" w:rsidRDefault="00440C4D" w:rsidP="00440C4D">
      <w:pPr>
        <w:spacing w:before="100" w:beforeAutospacing="1" w:after="100" w:afterAutospacing="1" w:line="240" w:lineRule="auto"/>
        <w:ind w:left="720"/>
        <w:rPr>
          <w:rFonts w:ascii="Arial" w:eastAsia="Times New Roman" w:hAnsi="Arial" w:cs="Arial"/>
          <w:kern w:val="0"/>
          <w:sz w:val="20"/>
          <w:szCs w:val="20"/>
          <w:lang w:val="en-US"/>
        </w:rPr>
      </w:pPr>
      <m:oMathPara>
        <m:oMath>
          <m:r>
            <w:rPr>
              <w:rFonts w:ascii="Cambria Math" w:eastAsia="Times New Roman" w:hAnsi="Cambria Math" w:cs="Arial"/>
              <w:kern w:val="0"/>
              <w:sz w:val="20"/>
              <w:szCs w:val="20"/>
              <w:lang w:val="en-US"/>
            </w:rPr>
            <m:t>n=</m:t>
          </m:r>
          <m:f>
            <m:fPr>
              <m:ctrlPr>
                <w:rPr>
                  <w:rFonts w:ascii="Cambria Math" w:eastAsia="Times New Roman" w:hAnsi="Cambria Math" w:cs="Arial"/>
                  <w:kern w:val="0"/>
                  <w:sz w:val="20"/>
                  <w:szCs w:val="20"/>
                  <w:lang w:val="en-US"/>
                </w:rPr>
              </m:ctrlPr>
            </m:fPr>
            <m:num>
              <m:sSup>
                <m:sSupPr>
                  <m:ctrlPr>
                    <w:rPr>
                      <w:rFonts w:ascii="Cambria Math" w:eastAsia="Times New Roman" w:hAnsi="Cambria Math" w:cs="Arial"/>
                      <w:kern w:val="0"/>
                      <w:sz w:val="20"/>
                      <w:szCs w:val="20"/>
                      <w:lang w:val="en-US"/>
                    </w:rPr>
                  </m:ctrlPr>
                </m:sSupPr>
                <m:e>
                  <m:d>
                    <m:dPr>
                      <m:ctrlPr>
                        <w:rPr>
                          <w:rFonts w:ascii="Cambria Math" w:eastAsia="Times New Roman" w:hAnsi="Cambria Math" w:cs="Arial"/>
                          <w:i/>
                          <w:kern w:val="0"/>
                          <w:sz w:val="20"/>
                          <w:szCs w:val="20"/>
                          <w:lang w:val="en-US"/>
                        </w:rPr>
                      </m:ctrlPr>
                    </m:dPr>
                    <m:e>
                      <m:r>
                        <w:rPr>
                          <w:rFonts w:ascii="Cambria Math" w:eastAsia="Times New Roman" w:hAnsi="Cambria Math" w:cs="Arial"/>
                          <w:kern w:val="0"/>
                          <w:sz w:val="20"/>
                          <w:szCs w:val="20"/>
                          <w:lang w:val="en-US"/>
                        </w:rPr>
                        <m:t>1.96</m:t>
                      </m:r>
                    </m:e>
                  </m:d>
                </m:e>
                <m:sup>
                  <m:r>
                    <w:rPr>
                      <w:rFonts w:ascii="Cambria Math" w:eastAsia="Times New Roman" w:hAnsi="Cambria Math" w:cs="Arial"/>
                      <w:kern w:val="0"/>
                      <w:sz w:val="20"/>
                      <w:szCs w:val="20"/>
                      <w:lang w:val="en-US"/>
                    </w:rPr>
                    <m:t>2</m:t>
                  </m:r>
                </m:sup>
              </m:sSup>
              <m:r>
                <w:rPr>
                  <w:rFonts w:ascii="Cambria Math" w:eastAsia="Times New Roman" w:hAnsi="Cambria Math" w:cs="Arial"/>
                  <w:kern w:val="0"/>
                  <w:sz w:val="20"/>
                  <w:szCs w:val="20"/>
                  <w:lang w:val="en-US"/>
                </w:rPr>
                <m:t>.0.5.</m:t>
              </m:r>
              <m:d>
                <m:dPr>
                  <m:ctrlPr>
                    <w:rPr>
                      <w:rFonts w:ascii="Cambria Math" w:eastAsia="Times New Roman" w:hAnsi="Cambria Math" w:cs="Arial"/>
                      <w:kern w:val="0"/>
                      <w:sz w:val="20"/>
                      <w:szCs w:val="20"/>
                      <w:lang w:val="en-US"/>
                    </w:rPr>
                  </m:ctrlPr>
                </m:dPr>
                <m:e>
                  <m:r>
                    <w:rPr>
                      <w:rFonts w:ascii="Cambria Math" w:eastAsia="Times New Roman" w:hAnsi="Cambria Math" w:cs="Arial"/>
                      <w:kern w:val="0"/>
                      <w:sz w:val="20"/>
                      <w:szCs w:val="20"/>
                      <w:lang w:val="en-US"/>
                    </w:rPr>
                    <m:t>1</m:t>
                  </m:r>
                  <m:r>
                    <m:rPr>
                      <m:sty m:val="p"/>
                    </m:rPr>
                    <w:rPr>
                      <w:rFonts w:ascii="Cambria Math" w:eastAsia="Times New Roman" w:hAnsi="Cambria Math" w:cs="Arial"/>
                      <w:kern w:val="0"/>
                      <w:sz w:val="20"/>
                      <w:szCs w:val="20"/>
                      <w:lang w:val="en-US"/>
                    </w:rPr>
                    <m:t>-</m:t>
                  </m:r>
                  <m:r>
                    <w:rPr>
                      <w:rFonts w:ascii="Cambria Math" w:eastAsia="Times New Roman" w:hAnsi="Cambria Math" w:cs="Arial"/>
                      <w:kern w:val="0"/>
                      <w:sz w:val="20"/>
                      <w:szCs w:val="20"/>
                      <w:lang w:val="en-US"/>
                    </w:rPr>
                    <m:t>0.5</m:t>
                  </m:r>
                </m:e>
              </m:d>
            </m:num>
            <m:den>
              <m:sSup>
                <m:sSupPr>
                  <m:ctrlPr>
                    <w:rPr>
                      <w:rFonts w:ascii="Cambria Math" w:eastAsia="Times New Roman" w:hAnsi="Cambria Math" w:cs="Arial"/>
                      <w:kern w:val="0"/>
                      <w:sz w:val="20"/>
                      <w:szCs w:val="20"/>
                      <w:lang w:val="en-US"/>
                    </w:rPr>
                  </m:ctrlPr>
                </m:sSupPr>
                <m:e>
                  <m:d>
                    <m:dPr>
                      <m:ctrlPr>
                        <w:rPr>
                          <w:rFonts w:ascii="Cambria Math" w:eastAsia="Times New Roman" w:hAnsi="Cambria Math" w:cs="Arial"/>
                          <w:i/>
                          <w:kern w:val="0"/>
                          <w:sz w:val="20"/>
                          <w:szCs w:val="20"/>
                          <w:lang w:val="en-US"/>
                        </w:rPr>
                      </m:ctrlPr>
                    </m:dPr>
                    <m:e>
                      <m:r>
                        <w:rPr>
                          <w:rFonts w:ascii="Cambria Math" w:eastAsia="Times New Roman" w:hAnsi="Cambria Math" w:cs="Arial"/>
                          <w:kern w:val="0"/>
                          <w:sz w:val="20"/>
                          <w:szCs w:val="20"/>
                          <w:lang w:val="en-US"/>
                        </w:rPr>
                        <m:t>0.05</m:t>
                      </m:r>
                    </m:e>
                  </m:d>
                </m:e>
                <m:sup>
                  <m:r>
                    <w:rPr>
                      <w:rFonts w:ascii="Cambria Math" w:eastAsia="Times New Roman" w:hAnsi="Cambria Math" w:cs="Arial"/>
                      <w:kern w:val="0"/>
                      <w:sz w:val="20"/>
                      <w:szCs w:val="20"/>
                      <w:lang w:val="en-US"/>
                    </w:rPr>
                    <m:t>2</m:t>
                  </m:r>
                </m:sup>
              </m:sSup>
            </m:den>
          </m:f>
          <m:r>
            <m:rPr>
              <m:sty m:val="p"/>
            </m:rPr>
            <w:rPr>
              <w:rFonts w:ascii="Cambria Math" w:eastAsia="Times New Roman" w:hAnsi="Cambria Math" w:cs="Arial"/>
              <w:kern w:val="0"/>
              <w:sz w:val="20"/>
              <w:szCs w:val="20"/>
              <w:lang w:val="en-US"/>
            </w:rPr>
            <w:br/>
          </m:r>
        </m:oMath>
      </m:oMathPara>
    </w:p>
    <w:p w:rsidR="00440C4D" w:rsidRDefault="00265629" w:rsidP="00440C4D">
      <w:pPr>
        <w:spacing w:before="100" w:beforeAutospacing="1" w:after="100" w:afterAutospacing="1" w:line="240" w:lineRule="auto"/>
        <w:ind w:left="720"/>
        <w:rPr>
          <w:rFonts w:ascii="Arial" w:eastAsia="Times New Roman" w:hAnsi="Arial" w:cs="Arial"/>
          <w:kern w:val="0"/>
          <w:sz w:val="20"/>
          <w:szCs w:val="20"/>
          <w:lang w:val="en-US"/>
        </w:rPr>
      </w:pPr>
      <m:oMathPara>
        <m:oMath>
          <m:r>
            <w:rPr>
              <w:rFonts w:ascii="Cambria Math" w:eastAsia="Times New Roman" w:hAnsi="Cambria Math" w:cs="Arial"/>
              <w:kern w:val="0"/>
              <w:sz w:val="20"/>
              <w:szCs w:val="20"/>
              <w:lang w:val="en-US"/>
            </w:rPr>
            <m:t>n=</m:t>
          </m:r>
          <m:f>
            <m:fPr>
              <m:ctrlPr>
                <w:rPr>
                  <w:rFonts w:ascii="Cambria Math" w:eastAsia="Times New Roman" w:hAnsi="Cambria Math" w:cs="Arial"/>
                  <w:i/>
                  <w:kern w:val="0"/>
                  <w:sz w:val="20"/>
                  <w:szCs w:val="20"/>
                  <w:lang w:val="en-US"/>
                </w:rPr>
              </m:ctrlPr>
            </m:fPr>
            <m:num>
              <m:r>
                <w:rPr>
                  <w:rFonts w:ascii="Cambria Math" w:eastAsia="Times New Roman" w:hAnsi="Cambria Math" w:cs="Arial"/>
                  <w:kern w:val="0"/>
                  <w:sz w:val="20"/>
                  <w:szCs w:val="20"/>
                  <w:lang w:val="en-US"/>
                </w:rPr>
                <m:t>3.8416. 0.25</m:t>
              </m:r>
            </m:num>
            <m:den>
              <m:r>
                <w:rPr>
                  <w:rFonts w:ascii="Cambria Math" w:eastAsia="Times New Roman" w:hAnsi="Cambria Math" w:cs="Arial"/>
                  <w:kern w:val="0"/>
                  <w:sz w:val="20"/>
                  <w:szCs w:val="20"/>
                  <w:lang w:val="en-US"/>
                </w:rPr>
                <m:t>0.0025</m:t>
              </m:r>
            </m:den>
          </m:f>
          <m:r>
            <w:rPr>
              <w:rFonts w:ascii="Cambria Math" w:eastAsia="Times New Roman" w:hAnsi="Cambria Math" w:cs="Arial"/>
              <w:kern w:val="0"/>
              <w:sz w:val="20"/>
              <w:szCs w:val="20"/>
              <w:lang w:val="en-US"/>
            </w:rPr>
            <m:t>=384.16</m:t>
          </m:r>
        </m:oMath>
      </m:oMathPara>
    </w:p>
    <w:p w:rsidR="00265629" w:rsidRPr="00265629" w:rsidRDefault="00265629" w:rsidP="00440C4D">
      <w:pPr>
        <w:spacing w:before="100" w:beforeAutospacing="1" w:after="100" w:afterAutospacing="1" w:line="240" w:lineRule="auto"/>
        <w:ind w:left="720"/>
        <w:rPr>
          <w:rFonts w:ascii="Arial" w:eastAsia="Times New Roman" w:hAnsi="Arial" w:cs="Arial"/>
          <w:kern w:val="0"/>
          <w:sz w:val="20"/>
          <w:szCs w:val="20"/>
          <w:lang w:val="en-US"/>
        </w:rPr>
      </w:pPr>
      <w:r w:rsidRPr="00265629">
        <w:rPr>
          <w:rFonts w:ascii="Arial" w:hAnsi="Arial" w:cs="Arial"/>
          <w:sz w:val="20"/>
          <w:szCs w:val="20"/>
        </w:rPr>
        <w:t>Adjusting for a potential 5% non-response rate:</w:t>
      </w:r>
    </w:p>
    <w:p w:rsidR="00265629" w:rsidRDefault="0076586A" w:rsidP="00440C4D">
      <w:pPr>
        <w:spacing w:before="100" w:beforeAutospacing="1" w:after="100" w:afterAutospacing="1" w:line="240" w:lineRule="auto"/>
        <w:ind w:left="720"/>
        <w:rPr>
          <w:rFonts w:ascii="Arial" w:eastAsia="Times New Roman" w:hAnsi="Arial" w:cs="Arial"/>
          <w:kern w:val="0"/>
          <w:sz w:val="20"/>
          <w:szCs w:val="20"/>
          <w:lang w:val="en-US"/>
        </w:rPr>
      </w:pPr>
      <m:oMathPara>
        <m:oMath>
          <m:sSub>
            <m:sSubPr>
              <m:ctrlPr>
                <w:rPr>
                  <w:rFonts w:ascii="Cambria Math" w:eastAsia="Times New Roman" w:hAnsi="Cambria Math" w:cs="Arial"/>
                  <w:i/>
                  <w:kern w:val="0"/>
                  <w:sz w:val="20"/>
                  <w:szCs w:val="20"/>
                  <w:lang w:val="en-US"/>
                </w:rPr>
              </m:ctrlPr>
            </m:sSubPr>
            <m:e>
              <m:r>
                <w:rPr>
                  <w:rFonts w:ascii="Cambria Math" w:eastAsia="Times New Roman" w:hAnsi="Cambria Math" w:cs="Arial"/>
                  <w:kern w:val="0"/>
                  <w:sz w:val="20"/>
                  <w:szCs w:val="20"/>
                  <w:lang w:val="en-US"/>
                </w:rPr>
                <m:t>n</m:t>
              </m:r>
            </m:e>
            <m:sub>
              <m:r>
                <w:rPr>
                  <w:rFonts w:ascii="Cambria Math" w:eastAsia="Times New Roman" w:hAnsi="Cambria Math" w:cs="Arial"/>
                  <w:kern w:val="0"/>
                  <w:sz w:val="20"/>
                  <w:szCs w:val="20"/>
                  <w:lang w:val="en-US"/>
                </w:rPr>
                <m:t>adjusted</m:t>
              </m:r>
            </m:sub>
          </m:sSub>
          <m:r>
            <w:rPr>
              <w:rFonts w:ascii="Cambria Math" w:eastAsia="Times New Roman" w:hAnsi="Cambria Math" w:cs="Arial"/>
              <w:kern w:val="0"/>
              <w:sz w:val="20"/>
              <w:szCs w:val="20"/>
              <w:lang w:val="en-US"/>
            </w:rPr>
            <m:t>=</m:t>
          </m:r>
          <m:f>
            <m:fPr>
              <m:ctrlPr>
                <w:rPr>
                  <w:rFonts w:ascii="Cambria Math" w:eastAsia="Times New Roman" w:hAnsi="Cambria Math" w:cs="Arial"/>
                  <w:kern w:val="0"/>
                  <w:sz w:val="20"/>
                  <w:szCs w:val="20"/>
                  <w:lang w:val="en-US"/>
                </w:rPr>
              </m:ctrlPr>
            </m:fPr>
            <m:num>
              <m:r>
                <m:rPr>
                  <m:sty m:val="p"/>
                </m:rPr>
                <w:rPr>
                  <w:rFonts w:ascii="Cambria Math" w:eastAsia="Times New Roman" w:hAnsi="Cambria Math" w:cs="Arial"/>
                  <w:kern w:val="0"/>
                  <w:sz w:val="20"/>
                  <w:szCs w:val="20"/>
                  <w:lang w:val="en-US"/>
                </w:rPr>
                <m:t>384.16</m:t>
              </m:r>
            </m:num>
            <m:den>
              <m:r>
                <m:rPr>
                  <m:sty m:val="p"/>
                </m:rPr>
                <w:rPr>
                  <w:rFonts w:ascii="Cambria Math" w:eastAsia="Times New Roman" w:hAnsi="Cambria Math" w:cs="Arial"/>
                  <w:kern w:val="0"/>
                  <w:sz w:val="20"/>
                  <w:szCs w:val="20"/>
                  <w:lang w:val="en-US"/>
                </w:rPr>
                <m:t>0.95</m:t>
              </m:r>
            </m:den>
          </m:f>
          <m:r>
            <w:rPr>
              <w:rFonts w:ascii="Cambria Math" w:eastAsia="Times New Roman" w:hAnsi="Cambria Math" w:cs="Arial"/>
              <w:kern w:val="0"/>
              <w:sz w:val="20"/>
              <w:szCs w:val="20"/>
              <w:lang w:val="en-US"/>
            </w:rPr>
            <m:t>≈405</m:t>
          </m:r>
        </m:oMath>
      </m:oMathPara>
    </w:p>
    <w:p w:rsidR="00265629" w:rsidRDefault="00265629" w:rsidP="00440C4D">
      <w:pPr>
        <w:spacing w:before="100" w:beforeAutospacing="1" w:after="100" w:afterAutospacing="1" w:line="240" w:lineRule="auto"/>
        <w:ind w:left="720"/>
        <w:rPr>
          <w:rFonts w:ascii="Arial" w:eastAsia="Times New Roman" w:hAnsi="Arial" w:cs="Arial"/>
          <w:kern w:val="0"/>
          <w:sz w:val="20"/>
          <w:szCs w:val="20"/>
          <w:lang w:val="en-US"/>
        </w:rPr>
      </w:pPr>
    </w:p>
    <w:p w:rsidR="003B7482" w:rsidRPr="003B7482" w:rsidRDefault="00CA7832" w:rsidP="003B7482">
      <w:pPr>
        <w:spacing w:before="100" w:beforeAutospacing="1" w:after="100" w:afterAutospacing="1" w:line="240" w:lineRule="auto"/>
        <w:rPr>
          <w:rFonts w:ascii="Arial" w:hAnsi="Arial" w:cs="Arial"/>
          <w:sz w:val="20"/>
          <w:szCs w:val="20"/>
        </w:rPr>
      </w:pPr>
      <w:r w:rsidRPr="003B7482">
        <w:rPr>
          <w:rFonts w:ascii="Arial" w:eastAsia="Times New Roman" w:hAnsi="Arial" w:cs="Arial"/>
          <w:kern w:val="0"/>
          <w:sz w:val="20"/>
          <w:szCs w:val="20"/>
          <w:lang w:val="en-US"/>
        </w:rPr>
        <w:t xml:space="preserve">Based on this calculation, </w:t>
      </w:r>
      <w:r w:rsidR="003B7482" w:rsidRPr="003B7482">
        <w:rPr>
          <w:rFonts w:ascii="Arial" w:hAnsi="Arial" w:cs="Arial"/>
          <w:sz w:val="20"/>
          <w:szCs w:val="20"/>
        </w:rPr>
        <w:t xml:space="preserve">a total of </w:t>
      </w:r>
      <w:r w:rsidR="003B7482" w:rsidRPr="003B7482">
        <w:rPr>
          <w:rStyle w:val="Strong"/>
          <w:rFonts w:ascii="Arial" w:hAnsi="Arial" w:cs="Arial"/>
          <w:b w:val="0"/>
          <w:sz w:val="20"/>
          <w:szCs w:val="20"/>
        </w:rPr>
        <w:t>400</w:t>
      </w:r>
      <w:r w:rsidR="003B7482" w:rsidRPr="003B7482">
        <w:rPr>
          <w:rStyle w:val="Strong"/>
          <w:rFonts w:ascii="Arial" w:hAnsi="Arial" w:cs="Arial"/>
          <w:sz w:val="20"/>
          <w:szCs w:val="20"/>
        </w:rPr>
        <w:t xml:space="preserve"> </w:t>
      </w:r>
      <w:r w:rsidR="003B7482" w:rsidRPr="003B7482">
        <w:rPr>
          <w:rStyle w:val="Strong"/>
          <w:rFonts w:ascii="Arial" w:hAnsi="Arial" w:cs="Arial"/>
          <w:b w:val="0"/>
          <w:sz w:val="20"/>
          <w:szCs w:val="20"/>
        </w:rPr>
        <w:t>individuals</w:t>
      </w:r>
      <w:r w:rsidR="003B7482" w:rsidRPr="003B7482">
        <w:rPr>
          <w:rFonts w:ascii="Arial" w:hAnsi="Arial" w:cs="Arial"/>
          <w:b/>
          <w:sz w:val="20"/>
          <w:szCs w:val="20"/>
        </w:rPr>
        <w:t xml:space="preserve"> </w:t>
      </w:r>
      <w:r w:rsidR="003B7482" w:rsidRPr="003B7482">
        <w:rPr>
          <w:rFonts w:ascii="Arial" w:hAnsi="Arial" w:cs="Arial"/>
          <w:sz w:val="20"/>
          <w:szCs w:val="20"/>
        </w:rPr>
        <w:t>were included in the study, which meets the calculated requirement.</w:t>
      </w:r>
    </w:p>
    <w:p w:rsidR="007D7627" w:rsidRPr="00877DFB" w:rsidRDefault="007D7627" w:rsidP="003B7482">
      <w:pPr>
        <w:spacing w:before="100" w:beforeAutospacing="1" w:after="100" w:afterAutospacing="1" w:line="240" w:lineRule="auto"/>
        <w:rPr>
          <w:rFonts w:ascii="Arial" w:hAnsi="Arial" w:cs="Arial"/>
          <w:color w:val="000000" w:themeColor="text1"/>
          <w:sz w:val="20"/>
          <w:szCs w:val="20"/>
        </w:rPr>
      </w:pPr>
      <w:r w:rsidRPr="00877DFB">
        <w:rPr>
          <w:rStyle w:val="Strong"/>
          <w:rFonts w:ascii="Arial" w:hAnsi="Arial" w:cs="Arial"/>
          <w:bCs w:val="0"/>
          <w:color w:val="000000" w:themeColor="text1"/>
          <w:sz w:val="20"/>
          <w:szCs w:val="20"/>
        </w:rPr>
        <w:t>EXAMINER CALIBRATION AND RELIABILITY</w:t>
      </w:r>
    </w:p>
    <w:p w:rsidR="00877DFB" w:rsidRDefault="00877DFB" w:rsidP="00877DFB">
      <w:pPr>
        <w:pStyle w:val="NormalWeb"/>
        <w:rPr>
          <w:rFonts w:ascii="Arial" w:hAnsi="Arial" w:cs="Arial"/>
          <w:sz w:val="20"/>
          <w:szCs w:val="20"/>
        </w:rPr>
      </w:pPr>
      <w:r w:rsidRPr="00877DFB">
        <w:rPr>
          <w:rFonts w:ascii="Arial" w:hAnsi="Arial" w:cs="Arial"/>
          <w:sz w:val="20"/>
          <w:szCs w:val="20"/>
        </w:rPr>
        <w:t>All clinical examinations were performed by multiple examiners who were trained and calibrated prior to the study to ensure uniformity in diagnosis and data recording. Calibration sessions were conducted to standardize the diagnostic criteria for identifying developmental disturbances such as micrognathia, macrognathia, malocclusion types, and cleft palate.</w:t>
      </w:r>
    </w:p>
    <w:p w:rsidR="00877DFB" w:rsidRDefault="00877DFB" w:rsidP="00877DFB">
      <w:pPr>
        <w:pStyle w:val="NormalWeb"/>
        <w:rPr>
          <w:rFonts w:ascii="Arial" w:hAnsi="Arial" w:cs="Arial"/>
          <w:sz w:val="20"/>
          <w:szCs w:val="20"/>
        </w:rPr>
      </w:pPr>
      <w:r w:rsidRPr="00877DFB">
        <w:rPr>
          <w:rFonts w:ascii="Arial" w:hAnsi="Arial" w:cs="Arial"/>
          <w:sz w:val="20"/>
          <w:szCs w:val="20"/>
        </w:rPr>
        <w:t xml:space="preserve"> Inter-examiner reliability was assessed using Cohen’s kappa statistics, which demonstrated substantial agreement (kappa value &gt; 0.80), indicating a high level of consistency among examiners. To further ensure reliability, a subset of approximately 10% of the study population was re-examined independently by different examiners, and the findings showed minimal variation</w:t>
      </w:r>
      <w:r>
        <w:rPr>
          <w:rFonts w:ascii="Arial" w:hAnsi="Arial" w:cs="Arial"/>
          <w:sz w:val="20"/>
          <w:szCs w:val="20"/>
        </w:rPr>
        <w:t>.</w:t>
      </w:r>
    </w:p>
    <w:p w:rsidR="00877DFB" w:rsidRDefault="0050610D" w:rsidP="00877DFB">
      <w:pPr>
        <w:pStyle w:val="NormalWeb"/>
        <w:rPr>
          <w:rFonts w:ascii="Arial" w:hAnsi="Arial" w:cs="Arial"/>
          <w:b/>
          <w:bCs/>
          <w:sz w:val="20"/>
          <w:szCs w:val="20"/>
        </w:rPr>
      </w:pPr>
      <w:r w:rsidRPr="009C105A">
        <w:rPr>
          <w:rFonts w:ascii="Arial" w:hAnsi="Arial" w:cs="Arial"/>
          <w:b/>
          <w:bCs/>
          <w:sz w:val="20"/>
          <w:szCs w:val="20"/>
        </w:rPr>
        <w:t>STATISTICAL ANALYSIS</w:t>
      </w:r>
    </w:p>
    <w:p w:rsidR="00000BDE" w:rsidRDefault="00000BDE" w:rsidP="009C105A">
      <w:pPr>
        <w:rPr>
          <w:rFonts w:ascii="Arial" w:hAnsi="Arial" w:cs="Arial"/>
          <w:sz w:val="20"/>
          <w:szCs w:val="20"/>
        </w:rPr>
      </w:pPr>
      <w:r w:rsidRPr="00000BDE">
        <w:rPr>
          <w:rFonts w:ascii="Arial" w:hAnsi="Arial" w:cs="Arial"/>
          <w:sz w:val="20"/>
          <w:szCs w:val="20"/>
        </w:rPr>
        <w:t xml:space="preserve">Data were entered and </w:t>
      </w:r>
      <w:proofErr w:type="spellStart"/>
      <w:r w:rsidRPr="00000BDE">
        <w:rPr>
          <w:rFonts w:ascii="Arial" w:hAnsi="Arial" w:cs="Arial"/>
          <w:sz w:val="20"/>
          <w:szCs w:val="20"/>
        </w:rPr>
        <w:t>analyzed</w:t>
      </w:r>
      <w:proofErr w:type="spellEnd"/>
      <w:r w:rsidRPr="00000BDE">
        <w:rPr>
          <w:rFonts w:ascii="Arial" w:hAnsi="Arial" w:cs="Arial"/>
          <w:sz w:val="20"/>
          <w:szCs w:val="20"/>
        </w:rPr>
        <w:t xml:space="preserve"> using SPSS version 28 (IBM Corp., Armonk, NY, USA</w:t>
      </w:r>
      <w:proofErr w:type="gramStart"/>
      <w:r w:rsidRPr="00000BDE">
        <w:rPr>
          <w:rFonts w:ascii="Arial" w:hAnsi="Arial" w:cs="Arial"/>
          <w:sz w:val="20"/>
          <w:szCs w:val="20"/>
        </w:rPr>
        <w:t>).</w:t>
      </w:r>
      <w:r w:rsidRPr="00000BDE">
        <w:rPr>
          <w:rStyle w:val="Strong"/>
          <w:rFonts w:ascii="Arial" w:hAnsi="Arial" w:cs="Arial"/>
          <w:b w:val="0"/>
          <w:sz w:val="20"/>
          <w:szCs w:val="20"/>
        </w:rPr>
        <w:t>Descriptive</w:t>
      </w:r>
      <w:proofErr w:type="gramEnd"/>
      <w:r w:rsidRPr="00000BDE">
        <w:rPr>
          <w:rStyle w:val="Strong"/>
          <w:rFonts w:ascii="Arial" w:hAnsi="Arial" w:cs="Arial"/>
          <w:b w:val="0"/>
          <w:sz w:val="20"/>
          <w:szCs w:val="20"/>
        </w:rPr>
        <w:t xml:space="preserve"> statistic</w:t>
      </w:r>
      <w:r>
        <w:rPr>
          <w:rStyle w:val="Strong"/>
          <w:rFonts w:ascii="Arial" w:hAnsi="Arial" w:cs="Arial"/>
          <w:b w:val="0"/>
          <w:sz w:val="20"/>
          <w:szCs w:val="20"/>
        </w:rPr>
        <w:t>s</w:t>
      </w:r>
      <w:r w:rsidRPr="00000BDE">
        <w:rPr>
          <w:rFonts w:ascii="Arial" w:hAnsi="Arial" w:cs="Arial"/>
          <w:sz w:val="20"/>
          <w:szCs w:val="20"/>
        </w:rPr>
        <w:t xml:space="preserve">, including frequencies and percentages, were calculated to summarize the prevalence and distribution of developmental disturbances across different </w:t>
      </w:r>
      <w:r w:rsidRPr="00000BDE">
        <w:rPr>
          <w:rStyle w:val="Strong"/>
          <w:rFonts w:ascii="Arial" w:hAnsi="Arial" w:cs="Arial"/>
          <w:b w:val="0"/>
          <w:sz w:val="20"/>
          <w:szCs w:val="20"/>
        </w:rPr>
        <w:t>age groups</w:t>
      </w:r>
      <w:r w:rsidRPr="00000BDE">
        <w:rPr>
          <w:rFonts w:ascii="Arial" w:hAnsi="Arial" w:cs="Arial"/>
          <w:sz w:val="20"/>
          <w:szCs w:val="20"/>
        </w:rPr>
        <w:t xml:space="preserve"> and </w:t>
      </w:r>
      <w:r w:rsidRPr="00000BDE">
        <w:rPr>
          <w:rStyle w:val="Strong"/>
          <w:rFonts w:ascii="Arial" w:hAnsi="Arial" w:cs="Arial"/>
          <w:b w:val="0"/>
          <w:sz w:val="20"/>
          <w:szCs w:val="20"/>
        </w:rPr>
        <w:t>gender</w:t>
      </w:r>
      <w:r w:rsidRPr="00000BDE">
        <w:rPr>
          <w:rFonts w:ascii="Arial" w:hAnsi="Arial" w:cs="Arial"/>
          <w:b/>
          <w:sz w:val="20"/>
          <w:szCs w:val="20"/>
        </w:rPr>
        <w:t xml:space="preserve"> </w:t>
      </w:r>
      <w:r w:rsidRPr="00000BDE">
        <w:rPr>
          <w:rFonts w:ascii="Arial" w:hAnsi="Arial" w:cs="Arial"/>
          <w:sz w:val="20"/>
          <w:szCs w:val="20"/>
        </w:rPr>
        <w:t xml:space="preserve">categories. To assess potential associations between demographic variables (age and gender) and the occurrence of developmental anomalies, the </w:t>
      </w:r>
      <w:r w:rsidRPr="00000BDE">
        <w:rPr>
          <w:rStyle w:val="Strong"/>
          <w:rFonts w:ascii="Arial" w:hAnsi="Arial" w:cs="Arial"/>
          <w:b w:val="0"/>
          <w:sz w:val="20"/>
          <w:szCs w:val="20"/>
        </w:rPr>
        <w:t>Chi-square test</w:t>
      </w:r>
      <w:r w:rsidRPr="00000BDE">
        <w:rPr>
          <w:rFonts w:ascii="Arial" w:hAnsi="Arial" w:cs="Arial"/>
          <w:sz w:val="20"/>
          <w:szCs w:val="20"/>
        </w:rPr>
        <w:t xml:space="preserve"> was applied. </w:t>
      </w:r>
    </w:p>
    <w:p w:rsidR="009C105A" w:rsidRDefault="0050610D" w:rsidP="009C105A">
      <w:pPr>
        <w:rPr>
          <w:rFonts w:ascii="Arial" w:hAnsi="Arial" w:cs="Arial"/>
          <w:b/>
          <w:bCs/>
        </w:rPr>
      </w:pPr>
      <w:r w:rsidRPr="0050610D">
        <w:rPr>
          <w:rFonts w:ascii="Arial" w:hAnsi="Arial" w:cs="Arial"/>
          <w:b/>
          <w:bCs/>
        </w:rPr>
        <w:t>RESULTS</w:t>
      </w:r>
    </w:p>
    <w:p w:rsidR="0044792E" w:rsidRPr="0044792E" w:rsidRDefault="0044792E" w:rsidP="0044792E">
      <w:pPr>
        <w:pStyle w:val="NormalWeb"/>
        <w:rPr>
          <w:rFonts w:ascii="Arial" w:hAnsi="Arial" w:cs="Arial"/>
          <w:sz w:val="20"/>
          <w:szCs w:val="20"/>
        </w:rPr>
      </w:pPr>
      <w:r w:rsidRPr="0044792E">
        <w:rPr>
          <w:rFonts w:ascii="Arial" w:hAnsi="Arial" w:cs="Arial"/>
          <w:sz w:val="20"/>
          <w:szCs w:val="20"/>
        </w:rPr>
        <w:lastRenderedPageBreak/>
        <w:t xml:space="preserve">A total of 400 individuals aged between 12 and 40 years were comprehensively examined to assess the prevalence and distribution of developmental disturbances affecting the maxilla and mandible. Among the study population, </w:t>
      </w:r>
      <w:r w:rsidRPr="0044792E">
        <w:rPr>
          <w:rStyle w:val="Strong"/>
          <w:rFonts w:ascii="Arial" w:eastAsiaTheme="majorEastAsia" w:hAnsi="Arial" w:cs="Arial"/>
          <w:b w:val="0"/>
          <w:sz w:val="20"/>
          <w:szCs w:val="20"/>
        </w:rPr>
        <w:t>Class II Division 1 malocclusion</w:t>
      </w:r>
      <w:r w:rsidRPr="0044792E">
        <w:rPr>
          <w:rFonts w:ascii="Arial" w:hAnsi="Arial" w:cs="Arial"/>
          <w:sz w:val="20"/>
          <w:szCs w:val="20"/>
        </w:rPr>
        <w:t xml:space="preserve"> emerged as the most frequently observed condition, affecting 60 individuals (15%), followed by </w:t>
      </w:r>
      <w:r w:rsidRPr="0044792E">
        <w:rPr>
          <w:rStyle w:val="Strong"/>
          <w:rFonts w:ascii="Arial" w:eastAsiaTheme="majorEastAsia" w:hAnsi="Arial" w:cs="Arial"/>
          <w:b w:val="0"/>
          <w:sz w:val="20"/>
          <w:szCs w:val="20"/>
        </w:rPr>
        <w:t>Class III malocclusion</w:t>
      </w:r>
      <w:r w:rsidRPr="0044792E">
        <w:rPr>
          <w:rFonts w:ascii="Arial" w:hAnsi="Arial" w:cs="Arial"/>
          <w:sz w:val="20"/>
          <w:szCs w:val="20"/>
        </w:rPr>
        <w:t xml:space="preserve"> in 40 participants (10%) and </w:t>
      </w:r>
      <w:r w:rsidRPr="0044792E">
        <w:rPr>
          <w:rStyle w:val="Strong"/>
          <w:rFonts w:ascii="Arial" w:eastAsiaTheme="majorEastAsia" w:hAnsi="Arial" w:cs="Arial"/>
          <w:b w:val="0"/>
          <w:sz w:val="20"/>
          <w:szCs w:val="20"/>
        </w:rPr>
        <w:t>Class II Division 2 malocclusion</w:t>
      </w:r>
      <w:r w:rsidRPr="0044792E">
        <w:rPr>
          <w:rFonts w:ascii="Arial" w:hAnsi="Arial" w:cs="Arial"/>
          <w:sz w:val="20"/>
          <w:szCs w:val="20"/>
        </w:rPr>
        <w:t xml:space="preserve"> in 32 participants (8%). </w:t>
      </w:r>
      <w:r w:rsidRPr="0044792E">
        <w:rPr>
          <w:rStyle w:val="Strong"/>
          <w:rFonts w:ascii="Arial" w:eastAsiaTheme="majorEastAsia" w:hAnsi="Arial" w:cs="Arial"/>
          <w:b w:val="0"/>
          <w:sz w:val="20"/>
          <w:szCs w:val="20"/>
        </w:rPr>
        <w:t>Skeletal jaw discrepancies</w:t>
      </w:r>
      <w:r w:rsidRPr="0044792E">
        <w:rPr>
          <w:rFonts w:ascii="Arial" w:hAnsi="Arial" w:cs="Arial"/>
          <w:sz w:val="20"/>
          <w:szCs w:val="20"/>
        </w:rPr>
        <w:t xml:space="preserve">, including </w:t>
      </w:r>
      <w:r w:rsidRPr="0044792E">
        <w:rPr>
          <w:rStyle w:val="Strong"/>
          <w:rFonts w:ascii="Arial" w:eastAsiaTheme="majorEastAsia" w:hAnsi="Arial" w:cs="Arial"/>
          <w:b w:val="0"/>
          <w:sz w:val="20"/>
          <w:szCs w:val="20"/>
        </w:rPr>
        <w:t>micrognathia</w:t>
      </w:r>
      <w:r w:rsidRPr="0044792E">
        <w:rPr>
          <w:rFonts w:ascii="Arial" w:hAnsi="Arial" w:cs="Arial"/>
          <w:b/>
          <w:sz w:val="20"/>
          <w:szCs w:val="20"/>
        </w:rPr>
        <w:t xml:space="preserve"> </w:t>
      </w:r>
      <w:r w:rsidRPr="0044792E">
        <w:rPr>
          <w:rFonts w:ascii="Arial" w:hAnsi="Arial" w:cs="Arial"/>
          <w:sz w:val="20"/>
          <w:szCs w:val="20"/>
        </w:rPr>
        <w:t xml:space="preserve">and </w:t>
      </w:r>
      <w:r w:rsidRPr="0044792E">
        <w:rPr>
          <w:rStyle w:val="Strong"/>
          <w:rFonts w:ascii="Arial" w:eastAsiaTheme="majorEastAsia" w:hAnsi="Arial" w:cs="Arial"/>
          <w:b w:val="0"/>
          <w:sz w:val="20"/>
          <w:szCs w:val="20"/>
        </w:rPr>
        <w:t>macrognathia</w:t>
      </w:r>
      <w:r w:rsidRPr="0044792E">
        <w:rPr>
          <w:rFonts w:ascii="Arial" w:hAnsi="Arial" w:cs="Arial"/>
          <w:sz w:val="20"/>
          <w:szCs w:val="20"/>
        </w:rPr>
        <w:t xml:space="preserve">, were identified in 20 (5%) and 16 (4%) individuals, respectively, while </w:t>
      </w:r>
      <w:r w:rsidRPr="0044792E">
        <w:rPr>
          <w:rStyle w:val="Strong"/>
          <w:rFonts w:ascii="Arial" w:eastAsiaTheme="majorEastAsia" w:hAnsi="Arial" w:cs="Arial"/>
          <w:b w:val="0"/>
          <w:sz w:val="20"/>
          <w:szCs w:val="20"/>
        </w:rPr>
        <w:t>cleft palate</w:t>
      </w:r>
      <w:r w:rsidRPr="0044792E">
        <w:rPr>
          <w:rFonts w:ascii="Arial" w:hAnsi="Arial" w:cs="Arial"/>
          <w:sz w:val="20"/>
          <w:szCs w:val="20"/>
        </w:rPr>
        <w:t xml:space="preserve"> was the least common anomaly, observed in only 6 individuals (1.5%).</w:t>
      </w:r>
    </w:p>
    <w:p w:rsidR="0044792E" w:rsidRPr="0044792E" w:rsidRDefault="0044792E" w:rsidP="0044792E">
      <w:pPr>
        <w:pStyle w:val="NormalWeb"/>
        <w:rPr>
          <w:rFonts w:ascii="Arial" w:hAnsi="Arial" w:cs="Arial"/>
          <w:sz w:val="20"/>
          <w:szCs w:val="20"/>
        </w:rPr>
      </w:pPr>
      <w:r w:rsidRPr="0044792E">
        <w:rPr>
          <w:rFonts w:ascii="Arial" w:hAnsi="Arial" w:cs="Arial"/>
          <w:sz w:val="20"/>
          <w:szCs w:val="20"/>
        </w:rPr>
        <w:t xml:space="preserve">A higher prevalence of developmental disturbances was observed among male participants compared to females, as well as in the younger age groups. However, statistical analysis revealed that the association between gender and the presence of anomalies was not significant (p = 0.16), suggesting that gender may not act as a strong independent predictor. Similarly, although younger individuals showed a relatively higher occurrence of anomalies, the association between age and developmental disturbances was also not statistically significant (p = 0.24). These results align with previously published studies, emphasizing that </w:t>
      </w:r>
      <w:r w:rsidRPr="0044792E">
        <w:rPr>
          <w:rStyle w:val="Strong"/>
          <w:rFonts w:ascii="Arial" w:eastAsiaTheme="majorEastAsia" w:hAnsi="Arial" w:cs="Arial"/>
          <w:b w:val="0"/>
          <w:sz w:val="20"/>
          <w:szCs w:val="20"/>
        </w:rPr>
        <w:t>genetic predisposition and environmental factors</w:t>
      </w:r>
      <w:r w:rsidRPr="0044792E">
        <w:rPr>
          <w:rFonts w:ascii="Arial" w:hAnsi="Arial" w:cs="Arial"/>
          <w:sz w:val="20"/>
          <w:szCs w:val="20"/>
        </w:rPr>
        <w:t xml:space="preserve"> likely play a more prominent role in the etiology of these anomalies than demographic variables alone.</w:t>
      </w:r>
    </w:p>
    <w:p w:rsidR="0044792E" w:rsidRPr="0044792E" w:rsidRDefault="0044792E" w:rsidP="0044792E">
      <w:pPr>
        <w:pStyle w:val="NormalWeb"/>
        <w:rPr>
          <w:rFonts w:ascii="Arial" w:hAnsi="Arial" w:cs="Arial"/>
          <w:sz w:val="20"/>
          <w:szCs w:val="20"/>
        </w:rPr>
      </w:pPr>
      <w:r w:rsidRPr="0044792E">
        <w:rPr>
          <w:rFonts w:ascii="Arial" w:hAnsi="Arial" w:cs="Arial"/>
          <w:noProof/>
          <w:sz w:val="20"/>
          <w:szCs w:val="20"/>
        </w:rPr>
        <w:drawing>
          <wp:anchor distT="0" distB="0" distL="114300" distR="114300" simplePos="0" relativeHeight="251661312" behindDoc="1" locked="0" layoutInCell="1" allowOverlap="1">
            <wp:simplePos x="0" y="0"/>
            <wp:positionH relativeFrom="column">
              <wp:posOffset>1040130</wp:posOffset>
            </wp:positionH>
            <wp:positionV relativeFrom="paragraph">
              <wp:posOffset>600075</wp:posOffset>
            </wp:positionV>
            <wp:extent cx="3678555" cy="2863215"/>
            <wp:effectExtent l="19050" t="0" r="0" b="0"/>
            <wp:wrapTight wrapText="bothSides">
              <wp:wrapPolygon edited="0">
                <wp:start x="-112" y="0"/>
                <wp:lineTo x="-112" y="21413"/>
                <wp:lineTo x="21589" y="21413"/>
                <wp:lineTo x="21589" y="0"/>
                <wp:lineTo x="-112" y="0"/>
              </wp:wrapPolygon>
            </wp:wrapTight>
            <wp:docPr id="3" name="Picture 7" descr="E:\Downloads\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ownloads\pie_chart.png"/>
                    <pic:cNvPicPr>
                      <a:picLocks noChangeAspect="1" noChangeArrowheads="1"/>
                    </pic:cNvPicPr>
                  </pic:nvPicPr>
                  <pic:blipFill>
                    <a:blip r:embed="rId20"/>
                    <a:srcRect l="15379" t="10952" r="10974" b="10571"/>
                    <a:stretch>
                      <a:fillRect/>
                    </a:stretch>
                  </pic:blipFill>
                  <pic:spPr bwMode="auto">
                    <a:xfrm>
                      <a:off x="0" y="0"/>
                      <a:ext cx="3678555" cy="2863215"/>
                    </a:xfrm>
                    <a:prstGeom prst="rect">
                      <a:avLst/>
                    </a:prstGeom>
                    <a:noFill/>
                    <a:ln w="9525">
                      <a:noFill/>
                      <a:miter lim="800000"/>
                      <a:headEnd/>
                      <a:tailEnd/>
                    </a:ln>
                  </pic:spPr>
                </pic:pic>
              </a:graphicData>
            </a:graphic>
          </wp:anchor>
        </w:drawing>
      </w:r>
      <w:r w:rsidRPr="0044792E">
        <w:rPr>
          <w:rFonts w:ascii="Arial" w:hAnsi="Arial" w:cs="Arial"/>
          <w:sz w:val="20"/>
          <w:szCs w:val="20"/>
        </w:rPr>
        <w:t xml:space="preserve">The detailed distribution of developmental disturbances, including both dental malocclusions and skeletal anomalies, is illustrated in the </w:t>
      </w:r>
      <w:r w:rsidRPr="0044792E">
        <w:rPr>
          <w:rStyle w:val="Strong"/>
          <w:rFonts w:ascii="Arial" w:eastAsiaTheme="majorEastAsia" w:hAnsi="Arial" w:cs="Arial"/>
          <w:b w:val="0"/>
          <w:sz w:val="20"/>
          <w:szCs w:val="20"/>
        </w:rPr>
        <w:t>bar chart</w:t>
      </w:r>
      <w:r w:rsidRPr="0044792E">
        <w:rPr>
          <w:rFonts w:ascii="Arial" w:hAnsi="Arial" w:cs="Arial"/>
          <w:b/>
          <w:sz w:val="20"/>
          <w:szCs w:val="20"/>
        </w:rPr>
        <w:t xml:space="preserve">, </w:t>
      </w:r>
      <w:r w:rsidRPr="0044792E">
        <w:rPr>
          <w:rStyle w:val="Strong"/>
          <w:rFonts w:ascii="Arial" w:eastAsiaTheme="majorEastAsia" w:hAnsi="Arial" w:cs="Arial"/>
          <w:b w:val="0"/>
          <w:sz w:val="20"/>
          <w:szCs w:val="20"/>
        </w:rPr>
        <w:t>pie chart</w:t>
      </w:r>
      <w:r w:rsidRPr="0044792E">
        <w:rPr>
          <w:rFonts w:ascii="Arial" w:hAnsi="Arial" w:cs="Arial"/>
          <w:b/>
          <w:sz w:val="20"/>
          <w:szCs w:val="20"/>
        </w:rPr>
        <w:t>,</w:t>
      </w:r>
      <w:r w:rsidRPr="0044792E">
        <w:rPr>
          <w:rFonts w:ascii="Arial" w:hAnsi="Arial" w:cs="Arial"/>
          <w:sz w:val="20"/>
          <w:szCs w:val="20"/>
        </w:rPr>
        <w:t xml:space="preserve"> and </w:t>
      </w:r>
      <w:r w:rsidRPr="0044792E">
        <w:rPr>
          <w:rStyle w:val="Strong"/>
          <w:rFonts w:ascii="Arial" w:eastAsiaTheme="majorEastAsia" w:hAnsi="Arial" w:cs="Arial"/>
          <w:b w:val="0"/>
          <w:sz w:val="20"/>
          <w:szCs w:val="20"/>
        </w:rPr>
        <w:t>accompanying tables</w:t>
      </w:r>
      <w:r w:rsidRPr="0044792E">
        <w:rPr>
          <w:rFonts w:ascii="Arial" w:hAnsi="Arial" w:cs="Arial"/>
          <w:sz w:val="20"/>
          <w:szCs w:val="20"/>
        </w:rPr>
        <w:t>, providing a comprehensive overview of prevalence patterns across gender and age categories.</w:t>
      </w:r>
    </w:p>
    <w:p w:rsidR="001A02B3" w:rsidRPr="0044792E" w:rsidRDefault="001A02B3" w:rsidP="001A02B3">
      <w:pPr>
        <w:rPr>
          <w:rFonts w:ascii="Arial" w:hAnsi="Arial" w:cs="Arial"/>
          <w:sz w:val="20"/>
          <w:szCs w:val="20"/>
        </w:rPr>
      </w:pPr>
    </w:p>
    <w:p w:rsidR="003A45BF" w:rsidRPr="0050610D" w:rsidRDefault="003A45BF" w:rsidP="003A45BF">
      <w:pPr>
        <w:pStyle w:val="NormalWeb"/>
        <w:rPr>
          <w:rFonts w:ascii="Arial" w:hAnsi="Arial" w:cs="Arial"/>
          <w:sz w:val="20"/>
          <w:szCs w:val="20"/>
        </w:rPr>
      </w:pPr>
    </w:p>
    <w:p w:rsidR="001A02B3" w:rsidRPr="0050610D" w:rsidRDefault="001A02B3" w:rsidP="001A02B3">
      <w:pPr>
        <w:rPr>
          <w:rFonts w:ascii="Arial" w:hAnsi="Arial" w:cs="Arial"/>
          <w:sz w:val="20"/>
          <w:szCs w:val="20"/>
        </w:rPr>
      </w:pPr>
    </w:p>
    <w:p w:rsidR="001A02B3" w:rsidRPr="0050610D" w:rsidRDefault="001A02B3" w:rsidP="001A02B3">
      <w:pPr>
        <w:rPr>
          <w:rFonts w:ascii="Arial" w:hAnsi="Arial" w:cs="Arial"/>
          <w:sz w:val="20"/>
          <w:szCs w:val="20"/>
        </w:rPr>
      </w:pPr>
    </w:p>
    <w:p w:rsidR="003A45BF" w:rsidRPr="0050610D" w:rsidRDefault="003A45BF" w:rsidP="001A02B3">
      <w:pPr>
        <w:rPr>
          <w:rFonts w:ascii="Arial" w:hAnsi="Arial" w:cs="Arial"/>
          <w:sz w:val="20"/>
          <w:szCs w:val="20"/>
        </w:rPr>
      </w:pPr>
    </w:p>
    <w:p w:rsidR="003A45BF" w:rsidRPr="0050610D" w:rsidRDefault="003A45BF" w:rsidP="001A02B3">
      <w:pPr>
        <w:rPr>
          <w:rFonts w:ascii="Arial" w:hAnsi="Arial" w:cs="Arial"/>
          <w:sz w:val="20"/>
          <w:szCs w:val="20"/>
        </w:rPr>
      </w:pPr>
    </w:p>
    <w:p w:rsidR="003A45BF" w:rsidRPr="0050610D" w:rsidRDefault="003A45BF" w:rsidP="001A02B3">
      <w:pPr>
        <w:rPr>
          <w:rFonts w:ascii="Arial" w:hAnsi="Arial" w:cs="Arial"/>
          <w:sz w:val="20"/>
          <w:szCs w:val="20"/>
        </w:rPr>
      </w:pPr>
    </w:p>
    <w:p w:rsidR="003A45BF" w:rsidRPr="0050610D" w:rsidRDefault="003A45BF" w:rsidP="001A02B3">
      <w:pPr>
        <w:rPr>
          <w:rFonts w:ascii="Arial" w:hAnsi="Arial" w:cs="Arial"/>
          <w:sz w:val="20"/>
          <w:szCs w:val="20"/>
        </w:rPr>
      </w:pPr>
    </w:p>
    <w:p w:rsidR="006B5B78" w:rsidRDefault="006B5B78" w:rsidP="001A02B3">
      <w:pPr>
        <w:rPr>
          <w:rFonts w:ascii="Arial" w:hAnsi="Arial" w:cs="Arial"/>
          <w:b/>
          <w:sz w:val="20"/>
          <w:szCs w:val="20"/>
        </w:rPr>
      </w:pPr>
    </w:p>
    <w:p w:rsidR="006B5B78" w:rsidRDefault="006B5B78" w:rsidP="001A02B3">
      <w:pPr>
        <w:rPr>
          <w:rFonts w:ascii="Arial" w:hAnsi="Arial" w:cs="Arial"/>
          <w:b/>
          <w:sz w:val="20"/>
          <w:szCs w:val="20"/>
        </w:rPr>
      </w:pPr>
    </w:p>
    <w:p w:rsidR="0044792E" w:rsidRDefault="0044792E" w:rsidP="001A02B3">
      <w:pPr>
        <w:rPr>
          <w:rFonts w:ascii="Arial" w:hAnsi="Arial" w:cs="Arial"/>
          <w:sz w:val="20"/>
          <w:szCs w:val="20"/>
        </w:rPr>
      </w:pPr>
    </w:p>
    <w:p w:rsidR="003A45BF" w:rsidRPr="006B5B78" w:rsidRDefault="007D3CE2" w:rsidP="001A02B3">
      <w:pPr>
        <w:rPr>
          <w:rFonts w:ascii="Arial" w:hAnsi="Arial" w:cs="Arial"/>
          <w:sz w:val="20"/>
          <w:szCs w:val="20"/>
        </w:rPr>
      </w:pPr>
      <w:r w:rsidRPr="006B5B78">
        <w:rPr>
          <w:rFonts w:ascii="Arial" w:hAnsi="Arial" w:cs="Arial"/>
          <w:sz w:val="20"/>
          <w:szCs w:val="20"/>
        </w:rPr>
        <w:t xml:space="preserve">Figure </w:t>
      </w:r>
      <w:proofErr w:type="gramStart"/>
      <w:r w:rsidRPr="006B5B78">
        <w:rPr>
          <w:rFonts w:ascii="Arial" w:hAnsi="Arial" w:cs="Arial"/>
          <w:sz w:val="20"/>
          <w:szCs w:val="20"/>
        </w:rPr>
        <w:t>1:Pie</w:t>
      </w:r>
      <w:proofErr w:type="gramEnd"/>
      <w:r w:rsidRPr="006B5B78">
        <w:rPr>
          <w:rFonts w:ascii="Arial" w:hAnsi="Arial" w:cs="Arial"/>
          <w:sz w:val="20"/>
          <w:szCs w:val="20"/>
        </w:rPr>
        <w:t xml:space="preserve"> chart showing gender-w</w:t>
      </w:r>
      <w:r w:rsidR="00066954">
        <w:rPr>
          <w:rFonts w:ascii="Arial" w:hAnsi="Arial" w:cs="Arial"/>
          <w:sz w:val="20"/>
          <w:szCs w:val="20"/>
        </w:rPr>
        <w:t>ise distribution of developmental disturbances.</w:t>
      </w:r>
    </w:p>
    <w:p w:rsidR="003A45BF" w:rsidRPr="0050610D" w:rsidRDefault="003B7482" w:rsidP="001A02B3">
      <w:pPr>
        <w:rPr>
          <w:rFonts w:ascii="Arial" w:hAnsi="Arial" w:cs="Arial"/>
          <w:sz w:val="20"/>
          <w:szCs w:val="20"/>
        </w:rPr>
      </w:pPr>
      <w:r>
        <w:rPr>
          <w:rFonts w:ascii="Arial" w:hAnsi="Arial" w:cs="Arial"/>
          <w:noProof/>
          <w:sz w:val="20"/>
          <w:szCs w:val="20"/>
          <w:lang w:val="en-US"/>
        </w:rPr>
        <w:drawing>
          <wp:anchor distT="0" distB="0" distL="114300" distR="114300" simplePos="0" relativeHeight="251659264" behindDoc="0" locked="0" layoutInCell="1" allowOverlap="1">
            <wp:simplePos x="0" y="0"/>
            <wp:positionH relativeFrom="column">
              <wp:posOffset>579120</wp:posOffset>
            </wp:positionH>
            <wp:positionV relativeFrom="paragraph">
              <wp:posOffset>41275</wp:posOffset>
            </wp:positionV>
            <wp:extent cx="4218940" cy="2956560"/>
            <wp:effectExtent l="19050" t="0" r="0" b="0"/>
            <wp:wrapSquare wrapText="bothSides"/>
            <wp:docPr id="10" name="Picture 10" descr="E:\Downloads\bar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ownloads\bar_chart.png"/>
                    <pic:cNvPicPr>
                      <a:picLocks noChangeAspect="1" noChangeArrowheads="1"/>
                    </pic:cNvPicPr>
                  </pic:nvPicPr>
                  <pic:blipFill>
                    <a:blip r:embed="rId21"/>
                    <a:srcRect t="6540"/>
                    <a:stretch>
                      <a:fillRect/>
                    </a:stretch>
                  </pic:blipFill>
                  <pic:spPr bwMode="auto">
                    <a:xfrm>
                      <a:off x="0" y="0"/>
                      <a:ext cx="4218940" cy="2956560"/>
                    </a:xfrm>
                    <a:prstGeom prst="rect">
                      <a:avLst/>
                    </a:prstGeom>
                    <a:noFill/>
                    <a:ln w="9525">
                      <a:noFill/>
                      <a:miter lim="800000"/>
                      <a:headEnd/>
                      <a:tailEnd/>
                    </a:ln>
                  </pic:spPr>
                </pic:pic>
              </a:graphicData>
            </a:graphic>
          </wp:anchor>
        </w:drawing>
      </w:r>
    </w:p>
    <w:p w:rsidR="003A45BF" w:rsidRPr="0050610D" w:rsidRDefault="003A45BF" w:rsidP="001A02B3">
      <w:pPr>
        <w:rPr>
          <w:rFonts w:ascii="Arial" w:hAnsi="Arial" w:cs="Arial"/>
          <w:sz w:val="20"/>
          <w:szCs w:val="20"/>
        </w:rPr>
      </w:pPr>
    </w:p>
    <w:p w:rsidR="003A45BF" w:rsidRPr="0050610D" w:rsidRDefault="003A45BF" w:rsidP="001A02B3">
      <w:pPr>
        <w:rPr>
          <w:rFonts w:ascii="Arial" w:hAnsi="Arial" w:cs="Arial"/>
          <w:b/>
          <w:bCs/>
          <w:sz w:val="20"/>
          <w:szCs w:val="20"/>
        </w:rPr>
      </w:pPr>
    </w:p>
    <w:p w:rsidR="003A45BF" w:rsidRPr="0050610D" w:rsidRDefault="003A45BF" w:rsidP="001A02B3">
      <w:pPr>
        <w:rPr>
          <w:rFonts w:ascii="Arial" w:hAnsi="Arial" w:cs="Arial"/>
          <w:b/>
          <w:bCs/>
          <w:sz w:val="20"/>
          <w:szCs w:val="20"/>
        </w:rPr>
      </w:pPr>
    </w:p>
    <w:p w:rsidR="003A45BF" w:rsidRPr="0050610D" w:rsidRDefault="003A45BF" w:rsidP="001A02B3">
      <w:pPr>
        <w:rPr>
          <w:rFonts w:ascii="Arial" w:hAnsi="Arial" w:cs="Arial"/>
          <w:b/>
          <w:bCs/>
          <w:sz w:val="20"/>
          <w:szCs w:val="20"/>
        </w:rPr>
      </w:pPr>
    </w:p>
    <w:p w:rsidR="003A45BF" w:rsidRPr="0050610D" w:rsidRDefault="003A45BF" w:rsidP="001A02B3">
      <w:pPr>
        <w:rPr>
          <w:rFonts w:ascii="Arial" w:hAnsi="Arial" w:cs="Arial"/>
          <w:b/>
          <w:bCs/>
          <w:sz w:val="20"/>
          <w:szCs w:val="20"/>
        </w:rPr>
      </w:pPr>
    </w:p>
    <w:p w:rsidR="003A45BF" w:rsidRPr="0050610D" w:rsidRDefault="003A45BF" w:rsidP="001A02B3">
      <w:pPr>
        <w:rPr>
          <w:rFonts w:ascii="Arial" w:hAnsi="Arial" w:cs="Arial"/>
          <w:b/>
          <w:bCs/>
          <w:sz w:val="20"/>
          <w:szCs w:val="20"/>
        </w:rPr>
      </w:pPr>
    </w:p>
    <w:p w:rsidR="003B7482" w:rsidRDefault="003B7482" w:rsidP="001A02B3">
      <w:pPr>
        <w:rPr>
          <w:rFonts w:ascii="Arial" w:hAnsi="Arial" w:cs="Arial"/>
          <w:b/>
          <w:bCs/>
          <w:sz w:val="20"/>
          <w:szCs w:val="20"/>
        </w:rPr>
      </w:pPr>
    </w:p>
    <w:p w:rsidR="006B5B78" w:rsidRDefault="006B5B78" w:rsidP="001A02B3">
      <w:pPr>
        <w:rPr>
          <w:rFonts w:ascii="Arial" w:hAnsi="Arial" w:cs="Arial"/>
          <w:sz w:val="20"/>
          <w:szCs w:val="20"/>
        </w:rPr>
      </w:pPr>
      <w:r w:rsidRPr="006B5B78">
        <w:rPr>
          <w:rFonts w:ascii="Arial" w:hAnsi="Arial" w:cs="Arial"/>
          <w:sz w:val="20"/>
          <w:szCs w:val="20"/>
        </w:rPr>
        <w:lastRenderedPageBreak/>
        <w:t xml:space="preserve">Figure2: Bar chart showing distribution of developmental disturbances </w:t>
      </w:r>
    </w:p>
    <w:p w:rsidR="00066954" w:rsidRDefault="00066954" w:rsidP="001A02B3">
      <w:pPr>
        <w:rPr>
          <w:rFonts w:ascii="Arial" w:hAnsi="Arial" w:cs="Arial"/>
          <w:sz w:val="20"/>
          <w:szCs w:val="20"/>
        </w:rPr>
      </w:pPr>
    </w:p>
    <w:tbl>
      <w:tblPr>
        <w:tblStyle w:val="TableGrid"/>
        <w:tblW w:w="0" w:type="auto"/>
        <w:tblLook w:val="04A0" w:firstRow="1" w:lastRow="0" w:firstColumn="1" w:lastColumn="0" w:noHBand="0" w:noVBand="1"/>
      </w:tblPr>
      <w:tblGrid>
        <w:gridCol w:w="3390"/>
        <w:gridCol w:w="1090"/>
        <w:gridCol w:w="1316"/>
        <w:gridCol w:w="977"/>
      </w:tblGrid>
      <w:tr w:rsidR="006B5B78" w:rsidRPr="006B5B78" w:rsidTr="006B5B78">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Developmental Disturbance</w:t>
            </w:r>
          </w:p>
        </w:tc>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Male (n)</w:t>
            </w:r>
          </w:p>
        </w:tc>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Female (n)</w:t>
            </w:r>
          </w:p>
        </w:tc>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p-value</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Class II Division 1 Malocclusion</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35</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25</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0.27</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Class II Division 2 Malocclusion</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18</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14</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0.42</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Class III Malocclusion</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24</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16</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0.22</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Micrognathia</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12</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8</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0.34</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Macrognathia</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9</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7</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0.60</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Cleft Palate</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4</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2</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0.65</w:t>
            </w:r>
          </w:p>
        </w:tc>
      </w:tr>
    </w:tbl>
    <w:p w:rsidR="00066954" w:rsidRPr="00066954" w:rsidRDefault="006B5B78" w:rsidP="00066954">
      <w:pPr>
        <w:pStyle w:val="NormalWeb"/>
        <w:rPr>
          <w:rFonts w:ascii="Arial" w:hAnsi="Arial" w:cs="Arial"/>
          <w:i/>
          <w:sz w:val="20"/>
          <w:szCs w:val="20"/>
        </w:rPr>
      </w:pPr>
      <w:r w:rsidRPr="006B5B78">
        <w:rPr>
          <w:rFonts w:ascii="Arial" w:hAnsi="Arial" w:cs="Arial"/>
          <w:bCs/>
          <w:sz w:val="20"/>
          <w:szCs w:val="20"/>
        </w:rPr>
        <w:t>Table 1: Gender-wise Distribution of Developmental Disturbances</w:t>
      </w:r>
      <w:r w:rsidR="00066954" w:rsidRPr="00066954">
        <w:rPr>
          <w:rStyle w:val="Heading2Char"/>
        </w:rPr>
        <w:t xml:space="preserve"> </w:t>
      </w:r>
      <w:r w:rsidR="00066954" w:rsidRPr="00066954">
        <w:rPr>
          <w:rFonts w:eastAsiaTheme="majorEastAsia"/>
        </w:rPr>
        <w:t>(</w:t>
      </w:r>
      <w:r w:rsidR="00066954" w:rsidRPr="00066954">
        <w:rPr>
          <w:rStyle w:val="Emphasis"/>
          <w:rFonts w:ascii="Arial" w:eastAsiaTheme="majorEastAsia" w:hAnsi="Arial" w:cs="Arial"/>
          <w:i w:val="0"/>
          <w:sz w:val="20"/>
          <w:szCs w:val="20"/>
        </w:rPr>
        <w:t>Chi-square test; p &gt; 0.05 indicates no significant difference</w:t>
      </w:r>
      <w:r w:rsidR="00066954">
        <w:rPr>
          <w:rStyle w:val="Emphasis"/>
          <w:rFonts w:ascii="Arial" w:eastAsiaTheme="majorEastAsia" w:hAnsi="Arial" w:cs="Arial"/>
          <w:i w:val="0"/>
          <w:sz w:val="20"/>
          <w:szCs w:val="20"/>
        </w:rPr>
        <w:t>)</w:t>
      </w:r>
    </w:p>
    <w:p w:rsidR="00067A43" w:rsidRPr="006B5B78" w:rsidRDefault="00067A43" w:rsidP="001A02B3">
      <w:pPr>
        <w:rPr>
          <w:rFonts w:ascii="Arial" w:hAnsi="Arial" w:cs="Arial"/>
          <w:bCs/>
          <w:sz w:val="20"/>
          <w:szCs w:val="20"/>
        </w:rPr>
      </w:pPr>
    </w:p>
    <w:p w:rsidR="006B5B78" w:rsidRDefault="006B5B78" w:rsidP="001A02B3">
      <w:pPr>
        <w:rPr>
          <w:rFonts w:ascii="Arial" w:hAnsi="Arial" w:cs="Arial"/>
          <w:b/>
          <w:bCs/>
          <w:sz w:val="20"/>
          <w:szCs w:val="20"/>
        </w:rPr>
      </w:pPr>
    </w:p>
    <w:tbl>
      <w:tblPr>
        <w:tblStyle w:val="TableGrid"/>
        <w:tblW w:w="0" w:type="auto"/>
        <w:tblLook w:val="04A0" w:firstRow="1" w:lastRow="0" w:firstColumn="1" w:lastColumn="0" w:noHBand="0" w:noVBand="1"/>
      </w:tblPr>
      <w:tblGrid>
        <w:gridCol w:w="3239"/>
        <w:gridCol w:w="1682"/>
        <w:gridCol w:w="1682"/>
        <w:gridCol w:w="1682"/>
        <w:gridCol w:w="957"/>
      </w:tblGrid>
      <w:tr w:rsidR="006B5B78" w:rsidRPr="006B5B78" w:rsidTr="006B5B78">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Developmental Disturbance</w:t>
            </w:r>
          </w:p>
        </w:tc>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12–20 years (n)</w:t>
            </w:r>
          </w:p>
        </w:tc>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21–30 years (n)</w:t>
            </w:r>
          </w:p>
        </w:tc>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31–40 years (n)</w:t>
            </w:r>
          </w:p>
        </w:tc>
        <w:tc>
          <w:tcPr>
            <w:tcW w:w="0" w:type="auto"/>
            <w:hideMark/>
          </w:tcPr>
          <w:p w:rsidR="006B5B78" w:rsidRPr="006B5B78" w:rsidRDefault="006B5B78" w:rsidP="006B5B78">
            <w:pPr>
              <w:jc w:val="center"/>
              <w:rPr>
                <w:rFonts w:ascii="Times New Roman" w:eastAsia="Times New Roman" w:hAnsi="Times New Roman" w:cs="Times New Roman"/>
                <w:b/>
                <w:bCs/>
                <w:kern w:val="0"/>
                <w:sz w:val="24"/>
                <w:szCs w:val="24"/>
                <w:lang w:val="en-US"/>
              </w:rPr>
            </w:pPr>
            <w:r w:rsidRPr="006B5B78">
              <w:rPr>
                <w:rFonts w:ascii="Times New Roman" w:eastAsia="Times New Roman" w:hAnsi="Times New Roman" w:cs="Times New Roman"/>
                <w:b/>
                <w:bCs/>
                <w:kern w:val="0"/>
                <w:sz w:val="24"/>
                <w:szCs w:val="24"/>
                <w:lang w:val="en-US"/>
              </w:rPr>
              <w:t>p-value</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Class II Division 1 Malocclusion</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30</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20</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10</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0.18</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Class II Division 2 Malocclusion</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15</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10</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7</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0.31</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Class III Malocclusion</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18</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14</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8</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0.24</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Micrognathia</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10</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6</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4</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0.29</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Macrognathia</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8</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5</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3</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0.42</w:t>
            </w:r>
          </w:p>
        </w:tc>
      </w:tr>
      <w:tr w:rsidR="006B5B78" w:rsidRPr="006B5B78" w:rsidTr="006B5B78">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Cleft Palate</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3</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2</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1</w:t>
            </w:r>
          </w:p>
        </w:tc>
        <w:tc>
          <w:tcPr>
            <w:tcW w:w="0" w:type="auto"/>
            <w:hideMark/>
          </w:tcPr>
          <w:p w:rsidR="006B5B78" w:rsidRPr="006B5B78" w:rsidRDefault="006B5B78" w:rsidP="006B5B78">
            <w:pPr>
              <w:rPr>
                <w:rFonts w:ascii="Times New Roman" w:eastAsia="Times New Roman" w:hAnsi="Times New Roman" w:cs="Times New Roman"/>
                <w:kern w:val="0"/>
                <w:sz w:val="24"/>
                <w:szCs w:val="24"/>
                <w:lang w:val="en-US"/>
              </w:rPr>
            </w:pPr>
            <w:r w:rsidRPr="006B5B78">
              <w:rPr>
                <w:rFonts w:ascii="Times New Roman" w:eastAsia="Times New Roman" w:hAnsi="Times New Roman" w:cs="Times New Roman"/>
                <w:kern w:val="0"/>
                <w:sz w:val="24"/>
                <w:szCs w:val="24"/>
                <w:lang w:val="en-US"/>
              </w:rPr>
              <w:t>0.91</w:t>
            </w:r>
          </w:p>
        </w:tc>
      </w:tr>
    </w:tbl>
    <w:p w:rsidR="00C0532B" w:rsidRPr="006B5B78" w:rsidRDefault="006B5B78" w:rsidP="001A02B3">
      <w:pPr>
        <w:rPr>
          <w:rFonts w:ascii="Arial" w:hAnsi="Arial" w:cs="Arial"/>
          <w:b/>
          <w:bCs/>
          <w:sz w:val="20"/>
          <w:szCs w:val="20"/>
        </w:rPr>
      </w:pPr>
      <w:r>
        <w:rPr>
          <w:rFonts w:ascii="Arial" w:hAnsi="Arial" w:cs="Arial"/>
          <w:sz w:val="20"/>
          <w:szCs w:val="20"/>
        </w:rPr>
        <w:t>Table 2</w:t>
      </w:r>
      <w:r w:rsidRPr="006B5B78">
        <w:rPr>
          <w:rFonts w:ascii="Arial" w:hAnsi="Arial" w:cs="Arial"/>
          <w:sz w:val="20"/>
          <w:szCs w:val="20"/>
        </w:rPr>
        <w:t>: Age-wise Distribution of Developmental Disturbances</w:t>
      </w:r>
      <w:r w:rsidR="009C105A" w:rsidRPr="009C105A">
        <w:t xml:space="preserve"> </w:t>
      </w:r>
      <w:r w:rsidR="009C105A">
        <w:t>(</w:t>
      </w:r>
      <w:r w:rsidR="009C105A" w:rsidRPr="009C105A">
        <w:rPr>
          <w:rFonts w:ascii="Arial" w:hAnsi="Arial" w:cs="Arial"/>
          <w:sz w:val="20"/>
          <w:szCs w:val="20"/>
        </w:rPr>
        <w:t>Chi-square test; p &gt; 0.05 indicates no significant difference)</w:t>
      </w:r>
    </w:p>
    <w:p w:rsidR="00E86BF0" w:rsidRPr="00E86BF0" w:rsidRDefault="0050610D" w:rsidP="00E86BF0">
      <w:pPr>
        <w:pStyle w:val="NormalWeb"/>
        <w:rPr>
          <w:rFonts w:ascii="Arial" w:hAnsi="Arial" w:cs="Arial"/>
          <w:sz w:val="20"/>
          <w:szCs w:val="20"/>
        </w:rPr>
      </w:pPr>
      <w:r w:rsidRPr="0050610D">
        <w:rPr>
          <w:rStyle w:val="Strong"/>
          <w:rFonts w:ascii="Arial" w:eastAsiaTheme="majorEastAsia" w:hAnsi="Arial" w:cs="Arial"/>
          <w:sz w:val="22"/>
          <w:szCs w:val="22"/>
        </w:rPr>
        <w:t>DISCUSSION</w:t>
      </w:r>
      <w:r w:rsidR="005655E6" w:rsidRPr="0050610D">
        <w:rPr>
          <w:rFonts w:ascii="Arial" w:hAnsi="Arial" w:cs="Arial"/>
          <w:sz w:val="20"/>
          <w:szCs w:val="20"/>
        </w:rPr>
        <w:br/>
      </w:r>
      <w:r w:rsidR="00E86BF0" w:rsidRPr="00E86BF0">
        <w:rPr>
          <w:rFonts w:ascii="Arial" w:hAnsi="Arial" w:cs="Arial"/>
          <w:sz w:val="20"/>
          <w:szCs w:val="20"/>
        </w:rPr>
        <w:t>The present study evaluated the prevalence and distribution of developmental disturbances affecting the jaws and palate among 400 individuals. Class II Division 1 malocclusion was the most prevalent condition (15%), followed by Class III malocclusion (10%) and Class II Division 2 (8%) [1,2]. These findings align with previous epidemiological studies in Indian populations, which also reported a higher prevalence of malocclusions, particularly Class II patterns [1,2].</w:t>
      </w:r>
    </w:p>
    <w:p w:rsidR="00E86BF0" w:rsidRPr="00E86BF0" w:rsidRDefault="00E86BF0" w:rsidP="00E86BF0">
      <w:pPr>
        <w:pStyle w:val="NormalWeb"/>
        <w:rPr>
          <w:rFonts w:ascii="Arial" w:hAnsi="Arial" w:cs="Arial"/>
          <w:sz w:val="20"/>
          <w:szCs w:val="20"/>
        </w:rPr>
      </w:pPr>
      <w:r w:rsidRPr="00E86BF0">
        <w:rPr>
          <w:rFonts w:ascii="Arial" w:hAnsi="Arial" w:cs="Arial"/>
          <w:sz w:val="20"/>
          <w:szCs w:val="20"/>
        </w:rPr>
        <w:t xml:space="preserve">The prevalence of dental and craniofacial anomalies observed in this study is comparable to findings reported by </w:t>
      </w:r>
      <w:proofErr w:type="spellStart"/>
      <w:r w:rsidRPr="00E86BF0">
        <w:rPr>
          <w:rFonts w:ascii="Arial" w:hAnsi="Arial" w:cs="Arial"/>
          <w:sz w:val="20"/>
          <w:szCs w:val="20"/>
        </w:rPr>
        <w:t>Guttal</w:t>
      </w:r>
      <w:proofErr w:type="spellEnd"/>
      <w:r w:rsidRPr="00E86BF0">
        <w:rPr>
          <w:rFonts w:ascii="Arial" w:hAnsi="Arial" w:cs="Arial"/>
          <w:sz w:val="20"/>
          <w:szCs w:val="20"/>
        </w:rPr>
        <w:t xml:space="preserve"> et al. [3] and </w:t>
      </w:r>
      <w:proofErr w:type="spellStart"/>
      <w:r w:rsidRPr="00E86BF0">
        <w:rPr>
          <w:rFonts w:ascii="Arial" w:hAnsi="Arial" w:cs="Arial"/>
          <w:sz w:val="20"/>
          <w:szCs w:val="20"/>
        </w:rPr>
        <w:t>Bandaru</w:t>
      </w:r>
      <w:proofErr w:type="spellEnd"/>
      <w:r w:rsidRPr="00E86BF0">
        <w:rPr>
          <w:rFonts w:ascii="Arial" w:hAnsi="Arial" w:cs="Arial"/>
          <w:sz w:val="20"/>
          <w:szCs w:val="20"/>
        </w:rPr>
        <w:t xml:space="preserve"> et al. [15], who documented significant occurrences of developmental dental anomalies among Indian populations. Al-Abdallah et al. [26] further highlighted variations in dental anomalies between the maxilla and mandible, supporting the presence of population-specific developmental differences. Recent studies also corroborate these findings, with Hummel et al. [27], </w:t>
      </w:r>
      <w:proofErr w:type="spellStart"/>
      <w:r w:rsidRPr="00E86BF0">
        <w:rPr>
          <w:rFonts w:ascii="Arial" w:hAnsi="Arial" w:cs="Arial"/>
          <w:sz w:val="20"/>
          <w:szCs w:val="20"/>
        </w:rPr>
        <w:t>Sobouti</w:t>
      </w:r>
      <w:proofErr w:type="spellEnd"/>
      <w:r w:rsidRPr="00E86BF0">
        <w:rPr>
          <w:rFonts w:ascii="Arial" w:hAnsi="Arial" w:cs="Arial"/>
          <w:sz w:val="20"/>
          <w:szCs w:val="20"/>
        </w:rPr>
        <w:t xml:space="preserve"> et al. [28], </w:t>
      </w:r>
      <w:proofErr w:type="spellStart"/>
      <w:r w:rsidRPr="00E86BF0">
        <w:rPr>
          <w:rFonts w:ascii="Arial" w:hAnsi="Arial" w:cs="Arial"/>
          <w:sz w:val="20"/>
          <w:szCs w:val="20"/>
        </w:rPr>
        <w:t>Kvaratsthelia</w:t>
      </w:r>
      <w:proofErr w:type="spellEnd"/>
      <w:r w:rsidRPr="00E86BF0">
        <w:rPr>
          <w:rFonts w:ascii="Arial" w:hAnsi="Arial" w:cs="Arial"/>
          <w:sz w:val="20"/>
          <w:szCs w:val="20"/>
        </w:rPr>
        <w:t xml:space="preserve"> [29], Batra et al. [30], and </w:t>
      </w:r>
      <w:proofErr w:type="spellStart"/>
      <w:r w:rsidRPr="00E86BF0">
        <w:rPr>
          <w:rFonts w:ascii="Arial" w:hAnsi="Arial" w:cs="Arial"/>
          <w:sz w:val="20"/>
          <w:szCs w:val="20"/>
        </w:rPr>
        <w:t>Aljuaid</w:t>
      </w:r>
      <w:proofErr w:type="spellEnd"/>
      <w:r w:rsidRPr="00E86BF0">
        <w:rPr>
          <w:rFonts w:ascii="Arial" w:hAnsi="Arial" w:cs="Arial"/>
          <w:sz w:val="20"/>
          <w:szCs w:val="20"/>
        </w:rPr>
        <w:t xml:space="preserve"> et al. [31] reporting similar prevalence and distribution patterns of developmental anomalies in diverse populations, emphasizing both regional and global consistency.</w:t>
      </w:r>
    </w:p>
    <w:p w:rsidR="00E86BF0" w:rsidRPr="00E86BF0" w:rsidRDefault="00E86BF0" w:rsidP="00E86BF0">
      <w:pPr>
        <w:pStyle w:val="NormalWeb"/>
        <w:rPr>
          <w:rFonts w:ascii="Arial" w:hAnsi="Arial" w:cs="Arial"/>
          <w:sz w:val="20"/>
          <w:szCs w:val="20"/>
        </w:rPr>
      </w:pPr>
      <w:r w:rsidRPr="00E86BF0">
        <w:rPr>
          <w:rFonts w:ascii="Arial" w:hAnsi="Arial" w:cs="Arial"/>
          <w:sz w:val="20"/>
          <w:szCs w:val="20"/>
        </w:rPr>
        <w:t xml:space="preserve">Skeletal discrepancies, including micrognathia (5%) and macrognathia (4%), were observed less frequently. These results are consistent with </w:t>
      </w:r>
      <w:proofErr w:type="spellStart"/>
      <w:r w:rsidRPr="00E86BF0">
        <w:rPr>
          <w:rFonts w:ascii="Arial" w:hAnsi="Arial" w:cs="Arial"/>
          <w:sz w:val="20"/>
          <w:szCs w:val="20"/>
        </w:rPr>
        <w:t>Tsegga</w:t>
      </w:r>
      <w:proofErr w:type="spellEnd"/>
      <w:r w:rsidRPr="00E86BF0">
        <w:rPr>
          <w:rFonts w:ascii="Arial" w:hAnsi="Arial" w:cs="Arial"/>
          <w:sz w:val="20"/>
          <w:szCs w:val="20"/>
        </w:rPr>
        <w:t xml:space="preserve"> et al. [22] and </w:t>
      </w:r>
      <w:proofErr w:type="spellStart"/>
      <w:r w:rsidRPr="00E86BF0">
        <w:rPr>
          <w:rFonts w:ascii="Arial" w:hAnsi="Arial" w:cs="Arial"/>
          <w:sz w:val="20"/>
          <w:szCs w:val="20"/>
        </w:rPr>
        <w:t>Ardakani</w:t>
      </w:r>
      <w:proofErr w:type="spellEnd"/>
      <w:r w:rsidRPr="00E86BF0">
        <w:rPr>
          <w:rFonts w:ascii="Arial" w:hAnsi="Arial" w:cs="Arial"/>
          <w:sz w:val="20"/>
          <w:szCs w:val="20"/>
        </w:rPr>
        <w:t xml:space="preserve"> et al. [8], who reported that severe skeletal anomalies are less common than dental malocclusions but remain clinically significant.</w:t>
      </w:r>
    </w:p>
    <w:p w:rsidR="00E86BF0" w:rsidRPr="00E86BF0" w:rsidRDefault="00E86BF0" w:rsidP="00E86BF0">
      <w:pPr>
        <w:pStyle w:val="NormalWeb"/>
        <w:rPr>
          <w:rFonts w:ascii="Arial" w:hAnsi="Arial" w:cs="Arial"/>
          <w:sz w:val="20"/>
          <w:szCs w:val="20"/>
        </w:rPr>
      </w:pPr>
      <w:r w:rsidRPr="00E86BF0">
        <w:rPr>
          <w:rFonts w:ascii="Arial" w:hAnsi="Arial" w:cs="Arial"/>
          <w:sz w:val="20"/>
          <w:szCs w:val="20"/>
        </w:rPr>
        <w:lastRenderedPageBreak/>
        <w:t xml:space="preserve">Cleft palate was the least prevalent condition (1.5%), consistent with data reported by Shah et al. [9] and </w:t>
      </w:r>
      <w:proofErr w:type="spellStart"/>
      <w:r w:rsidRPr="00E86BF0">
        <w:rPr>
          <w:rFonts w:ascii="Arial" w:hAnsi="Arial" w:cs="Arial"/>
          <w:sz w:val="20"/>
          <w:szCs w:val="20"/>
        </w:rPr>
        <w:t>Nahai</w:t>
      </w:r>
      <w:proofErr w:type="spellEnd"/>
      <w:r w:rsidRPr="00E86BF0">
        <w:rPr>
          <w:rFonts w:ascii="Arial" w:hAnsi="Arial" w:cs="Arial"/>
          <w:sz w:val="20"/>
          <w:szCs w:val="20"/>
        </w:rPr>
        <w:t xml:space="preserve"> et al. [23]. Despite its lower frequency, cleft palate has a notable impact on function, speech, and overall quality of life.</w:t>
      </w:r>
    </w:p>
    <w:p w:rsidR="00E86BF0" w:rsidRPr="00E86BF0" w:rsidRDefault="00E86BF0" w:rsidP="00E86BF0">
      <w:pPr>
        <w:pStyle w:val="NormalWeb"/>
        <w:rPr>
          <w:rFonts w:ascii="Arial" w:hAnsi="Arial" w:cs="Arial"/>
          <w:sz w:val="20"/>
          <w:szCs w:val="20"/>
        </w:rPr>
      </w:pPr>
      <w:r w:rsidRPr="00E86BF0">
        <w:rPr>
          <w:rFonts w:ascii="Arial" w:hAnsi="Arial" w:cs="Arial"/>
          <w:sz w:val="20"/>
          <w:szCs w:val="20"/>
        </w:rPr>
        <w:t>Gender-wise analysis indicated a higher prevalence of most anomalies among males, in agreement with Gupta et al. [2] and Yassin et al. [14]. The observed male predilection may be influenced by genetic and environmental factors affecting craniofacial development. However, the differences were not statistically significant (p &gt; 0.05), suggesting gender may not be a strong independent factor. Similarly, although younger individuals (12–20 years) exhibited a higher prevalence of anomalies, the association with age was not statistically significant (p = 0.24) [6].</w:t>
      </w:r>
    </w:p>
    <w:p w:rsidR="00E86BF0" w:rsidRPr="00E86BF0" w:rsidRDefault="00E86BF0" w:rsidP="00E86BF0">
      <w:pPr>
        <w:pStyle w:val="NormalWeb"/>
        <w:rPr>
          <w:rFonts w:ascii="Arial" w:hAnsi="Arial" w:cs="Arial"/>
          <w:sz w:val="20"/>
          <w:szCs w:val="20"/>
        </w:rPr>
      </w:pPr>
      <w:r w:rsidRPr="00E86BF0">
        <w:rPr>
          <w:rFonts w:ascii="Arial" w:hAnsi="Arial" w:cs="Arial"/>
          <w:sz w:val="20"/>
          <w:szCs w:val="20"/>
        </w:rPr>
        <w:t xml:space="preserve">Age-wise distribution revealed that the majority of anomalies occurred in the 12–20 years age group, corroborating the findings of </w:t>
      </w:r>
      <w:proofErr w:type="spellStart"/>
      <w:r w:rsidRPr="00E86BF0">
        <w:rPr>
          <w:rFonts w:ascii="Arial" w:hAnsi="Arial" w:cs="Arial"/>
          <w:sz w:val="20"/>
          <w:szCs w:val="20"/>
        </w:rPr>
        <w:t>Thongudomporn</w:t>
      </w:r>
      <w:proofErr w:type="spellEnd"/>
      <w:r w:rsidRPr="00E86BF0">
        <w:rPr>
          <w:rFonts w:ascii="Arial" w:hAnsi="Arial" w:cs="Arial"/>
          <w:sz w:val="20"/>
          <w:szCs w:val="20"/>
        </w:rPr>
        <w:t xml:space="preserve"> et al. [6], who suggested that developmental anomalies are more frequently diagnosed during adolescence due to increased awareness and orthodontic consultations.</w:t>
      </w:r>
    </w:p>
    <w:p w:rsidR="00E86BF0" w:rsidRPr="00E86BF0" w:rsidRDefault="00E86BF0" w:rsidP="00E86BF0">
      <w:pPr>
        <w:pStyle w:val="NormalWeb"/>
        <w:rPr>
          <w:rFonts w:ascii="Arial" w:hAnsi="Arial" w:cs="Arial"/>
          <w:sz w:val="20"/>
          <w:szCs w:val="20"/>
        </w:rPr>
      </w:pPr>
      <w:r w:rsidRPr="00E86BF0">
        <w:rPr>
          <w:rFonts w:ascii="Arial" w:hAnsi="Arial" w:cs="Arial"/>
          <w:sz w:val="20"/>
          <w:szCs w:val="20"/>
        </w:rPr>
        <w:t>Environmental and genetic factors play a key role in the etiology of these anomalies. Riga et al. [24] emphasized the influence of environmental factors on dental morphology, while Wadhwa et al. [19] highlighted the developmental origins of craniofacial abnormalities. Patil et al. [25] also reported a systematic review confirming the prevalence of dental anomalies across diverse populations.</w:t>
      </w:r>
    </w:p>
    <w:p w:rsidR="00E86BF0" w:rsidRPr="00E86BF0" w:rsidRDefault="00E86BF0" w:rsidP="00E86BF0">
      <w:pPr>
        <w:pStyle w:val="NormalWeb"/>
        <w:rPr>
          <w:rFonts w:ascii="Arial" w:hAnsi="Arial" w:cs="Arial"/>
          <w:sz w:val="20"/>
          <w:szCs w:val="20"/>
        </w:rPr>
      </w:pPr>
      <w:r w:rsidRPr="00E86BF0">
        <w:rPr>
          <w:rFonts w:ascii="Arial" w:hAnsi="Arial" w:cs="Arial"/>
          <w:sz w:val="20"/>
          <w:szCs w:val="20"/>
        </w:rPr>
        <w:t>The study has certain limitations. The sample was limited to individuals aged 12–40 years; thus, occlusal relationships in primary dentition, such as flush terminal plane and mesial step, could not be evaluated, which may influence permanent molar relationships. Skeletal discrepancies were assessed clinically without radiographic confirmation. Additionally, the cross-sectional design limits the ability to infer causality.</w:t>
      </w:r>
    </w:p>
    <w:p w:rsidR="003B7482" w:rsidRPr="003B7482" w:rsidRDefault="003B7482" w:rsidP="00E86BF0">
      <w:pPr>
        <w:pStyle w:val="NormalWeb"/>
        <w:rPr>
          <w:rFonts w:ascii="Arial" w:hAnsi="Arial" w:cs="Arial"/>
          <w:sz w:val="20"/>
          <w:szCs w:val="20"/>
        </w:rPr>
      </w:pPr>
      <w:r w:rsidRPr="003B7482">
        <w:rPr>
          <w:rFonts w:ascii="Arial" w:hAnsi="Arial" w:cs="Arial"/>
          <w:sz w:val="20"/>
          <w:szCs w:val="20"/>
        </w:rPr>
        <w:t>The present study aligns with previous Indian and international research, confirming that malocclusion is the most prevalent developmental disturbance, whereas skeletal anomalies and cleft palate are less frequent but remain clinically significant. These findings highlight the critical importance of early diagnosis and timely intervention to prevent long-term functional and aesthetic complications.</w:t>
      </w:r>
    </w:p>
    <w:p w:rsidR="0050610D" w:rsidRPr="0050610D" w:rsidRDefault="00E86BF0" w:rsidP="00E86BF0">
      <w:pPr>
        <w:pStyle w:val="NormalWeb"/>
        <w:rPr>
          <w:rFonts w:ascii="Arial" w:hAnsi="Arial" w:cs="Arial"/>
          <w:b/>
          <w:bCs/>
        </w:rPr>
      </w:pPr>
      <w:r w:rsidRPr="0050610D">
        <w:rPr>
          <w:rFonts w:ascii="Arial" w:hAnsi="Arial" w:cs="Arial"/>
          <w:b/>
          <w:bCs/>
        </w:rPr>
        <w:t xml:space="preserve"> </w:t>
      </w:r>
      <w:r w:rsidR="0050610D" w:rsidRPr="0050610D">
        <w:rPr>
          <w:rFonts w:ascii="Arial" w:hAnsi="Arial" w:cs="Arial"/>
          <w:b/>
          <w:bCs/>
        </w:rPr>
        <w:t>CONCLUSION</w:t>
      </w:r>
    </w:p>
    <w:p w:rsidR="003D6844" w:rsidRPr="00217875" w:rsidRDefault="003B7482" w:rsidP="003D6844">
      <w:pPr>
        <w:pStyle w:val="NormalWeb"/>
        <w:rPr>
          <w:rFonts w:ascii="Arial" w:hAnsi="Arial" w:cs="Arial"/>
          <w:sz w:val="20"/>
          <w:szCs w:val="20"/>
        </w:rPr>
      </w:pPr>
      <w:r w:rsidRPr="003B7482">
        <w:rPr>
          <w:rFonts w:ascii="Arial" w:hAnsi="Arial" w:cs="Arial"/>
          <w:sz w:val="20"/>
          <w:szCs w:val="20"/>
        </w:rPr>
        <w:t xml:space="preserve">This cross-sectional study of individuals aged 12–40 years found dental malocclusions to be the most common developmental disturbances, with Class II Division 1 predominating, followed by Class III and Class II Division 2. Skeletal anomalies, including micrognathia and macrognathia, were less frequent, and cleft palate was the least common. Higher prevalence was noted among males and in the 12–20-year age group; however, associations with gender (p = 0.16) and age (p = 0.24) were not statistically significant, suggesting a greater influence of genetic and environmental </w:t>
      </w:r>
      <w:proofErr w:type="spellStart"/>
      <w:proofErr w:type="gramStart"/>
      <w:r w:rsidRPr="003B7482">
        <w:rPr>
          <w:rFonts w:ascii="Arial" w:hAnsi="Arial" w:cs="Arial"/>
          <w:sz w:val="20"/>
          <w:szCs w:val="20"/>
        </w:rPr>
        <w:t>factors.</w:t>
      </w:r>
      <w:r w:rsidR="003D6844" w:rsidRPr="003D6844">
        <w:rPr>
          <w:rFonts w:ascii="Arial" w:hAnsi="Arial" w:cs="Arial"/>
          <w:sz w:val="20"/>
          <w:szCs w:val="20"/>
        </w:rPr>
        <w:t>Although</w:t>
      </w:r>
      <w:proofErr w:type="spellEnd"/>
      <w:proofErr w:type="gramEnd"/>
      <w:r w:rsidR="003D6844" w:rsidRPr="003D6844">
        <w:rPr>
          <w:rFonts w:ascii="Arial" w:hAnsi="Arial" w:cs="Arial"/>
          <w:sz w:val="20"/>
          <w:szCs w:val="20"/>
        </w:rPr>
        <w:t xml:space="preserve"> less common, conditions such as cleft palate have substantial functional and aesthetic implications, requiring comprehensive multidisciplinary care.</w:t>
      </w:r>
      <w:r w:rsidR="00217875" w:rsidRPr="00217875">
        <w:t xml:space="preserve"> </w:t>
      </w:r>
      <w:r w:rsidR="00217875" w:rsidRPr="00217875">
        <w:rPr>
          <w:rFonts w:ascii="Arial" w:hAnsi="Arial" w:cs="Arial"/>
          <w:sz w:val="20"/>
          <w:szCs w:val="20"/>
        </w:rPr>
        <w:t>Future studies incorporating radiographic evaluation and longitudinal follow-up are recommended for a more comprehensive understanding</w:t>
      </w:r>
    </w:p>
    <w:p w:rsidR="003D6844" w:rsidRPr="003D6844" w:rsidRDefault="003D6844" w:rsidP="003D6844">
      <w:pPr>
        <w:pStyle w:val="NormalWeb"/>
        <w:rPr>
          <w:rFonts w:ascii="Arial" w:hAnsi="Arial" w:cs="Arial"/>
          <w:sz w:val="20"/>
          <w:szCs w:val="20"/>
        </w:rPr>
      </w:pPr>
      <w:r w:rsidRPr="003D6844">
        <w:rPr>
          <w:rFonts w:ascii="Arial" w:hAnsi="Arial" w:cs="Arial"/>
          <w:sz w:val="20"/>
          <w:szCs w:val="20"/>
        </w:rPr>
        <w:t>Overall, the study highlights that developmental disturbances affecting the maxilla and mandible are relatively common, with malocclusion being the most prevalent condition. From a public health perspective, these findings emphasize the importance of early screening programs, particularly among adolescents, to enable timely diagnosis and intervention. School-based dental screening and awareness programs can play a crucial role in early detection and prevention of complications.</w:t>
      </w:r>
    </w:p>
    <w:p w:rsidR="003D6844" w:rsidRDefault="003D6844" w:rsidP="003D6844">
      <w:pPr>
        <w:pStyle w:val="NormalWeb"/>
        <w:rPr>
          <w:rFonts w:ascii="Arial" w:hAnsi="Arial" w:cs="Arial"/>
          <w:sz w:val="20"/>
          <w:szCs w:val="20"/>
        </w:rPr>
      </w:pPr>
      <w:r w:rsidRPr="003D6844">
        <w:rPr>
          <w:rFonts w:ascii="Arial" w:hAnsi="Arial" w:cs="Arial"/>
          <w:sz w:val="20"/>
          <w:szCs w:val="20"/>
        </w:rPr>
        <w:t>It is recommended that a multidisciplinary approach involving dentists, orthodontists, and maxillofacial specialists be adopted for effective management. Future studies incorporating radiographic evaluation and longitudinal follow-up are suggested for a more comprehensive understanding of these conditions.</w:t>
      </w:r>
    </w:p>
    <w:p w:rsidR="006B2AC1" w:rsidRDefault="006B2AC1" w:rsidP="003D6844">
      <w:pPr>
        <w:pStyle w:val="NormalWeb"/>
        <w:rPr>
          <w:rFonts w:ascii="Arial" w:hAnsi="Arial" w:cs="Arial"/>
          <w:sz w:val="20"/>
          <w:szCs w:val="20"/>
        </w:rPr>
      </w:pPr>
    </w:p>
    <w:p w:rsidR="006B2AC1" w:rsidRDefault="006B2AC1" w:rsidP="003D6844">
      <w:pPr>
        <w:pStyle w:val="NormalWeb"/>
        <w:rPr>
          <w:rFonts w:ascii="Arial" w:hAnsi="Arial" w:cs="Arial"/>
          <w:sz w:val="20"/>
          <w:szCs w:val="20"/>
        </w:rPr>
      </w:pPr>
    </w:p>
    <w:p w:rsidR="006B2AC1" w:rsidRPr="006B2AC1" w:rsidRDefault="006B2AC1" w:rsidP="006B2AC1">
      <w:pPr>
        <w:pStyle w:val="NormalWeb"/>
        <w:rPr>
          <w:rFonts w:ascii="Arial" w:hAnsi="Arial" w:cs="Arial"/>
          <w:sz w:val="20"/>
          <w:szCs w:val="20"/>
        </w:rPr>
      </w:pPr>
      <w:r w:rsidRPr="006B2AC1">
        <w:rPr>
          <w:rFonts w:ascii="Arial" w:hAnsi="Arial" w:cs="Arial"/>
          <w:sz w:val="20"/>
          <w:szCs w:val="20"/>
        </w:rPr>
        <w:lastRenderedPageBreak/>
        <w:t xml:space="preserve">Consent </w:t>
      </w:r>
    </w:p>
    <w:p w:rsidR="006B2AC1" w:rsidRPr="003D6844" w:rsidRDefault="006B2AC1" w:rsidP="006B2AC1">
      <w:pPr>
        <w:pStyle w:val="NormalWeb"/>
        <w:rPr>
          <w:rFonts w:ascii="Arial" w:hAnsi="Arial" w:cs="Arial"/>
          <w:sz w:val="20"/>
          <w:szCs w:val="20"/>
        </w:rPr>
      </w:pPr>
      <w:r w:rsidRPr="006B2AC1">
        <w:rPr>
          <w:rFonts w:ascii="Arial" w:hAnsi="Arial" w:cs="Arial"/>
          <w:sz w:val="20"/>
          <w:szCs w:val="20"/>
        </w:rPr>
        <w:t>As per international standards or university standards, Participants’ written consent has been collected and preserved by the author(s).</w:t>
      </w:r>
      <w:bookmarkStart w:id="0" w:name="_GoBack"/>
      <w:bookmarkEnd w:id="0"/>
    </w:p>
    <w:p w:rsidR="005933CC" w:rsidRPr="0050610D" w:rsidRDefault="005933CC" w:rsidP="005933CC">
      <w:pPr>
        <w:rPr>
          <w:rFonts w:ascii="Arial" w:hAnsi="Arial" w:cs="Arial"/>
          <w:b/>
          <w:bCs/>
          <w:sz w:val="20"/>
          <w:szCs w:val="20"/>
          <w:lang w:val="en-US"/>
        </w:rPr>
      </w:pPr>
      <w:r w:rsidRPr="0050610D">
        <w:rPr>
          <w:rFonts w:ascii="Arial" w:hAnsi="Arial" w:cs="Arial"/>
          <w:b/>
          <w:bCs/>
          <w:sz w:val="20"/>
          <w:szCs w:val="20"/>
          <w:lang w:val="en-US"/>
        </w:rPr>
        <w:t xml:space="preserve">ETHICAL </w:t>
      </w:r>
      <w:r>
        <w:rPr>
          <w:rFonts w:ascii="Arial" w:hAnsi="Arial" w:cs="Arial"/>
          <w:b/>
          <w:bCs/>
          <w:sz w:val="20"/>
          <w:szCs w:val="20"/>
          <w:lang w:val="en-US"/>
        </w:rPr>
        <w:t>APPROVAL</w:t>
      </w:r>
    </w:p>
    <w:p w:rsidR="005933CC" w:rsidRDefault="005933CC" w:rsidP="005933CC">
      <w:pPr>
        <w:rPr>
          <w:rFonts w:ascii="Arial" w:hAnsi="Arial" w:cs="Arial"/>
          <w:sz w:val="20"/>
          <w:szCs w:val="20"/>
        </w:rPr>
      </w:pPr>
      <w:r w:rsidRPr="0050610D">
        <w:rPr>
          <w:rFonts w:ascii="Arial" w:hAnsi="Arial" w:cs="Arial"/>
          <w:sz w:val="20"/>
          <w:szCs w:val="20"/>
        </w:rPr>
        <w:t>Ethical approval for this study was obtained from the Institutional Ethical Committee of RVS Dental College and Hospital (Approval No: IRB25I/146). The study was conducted in accordance with ethical guidelines.</w:t>
      </w:r>
    </w:p>
    <w:p w:rsidR="006B2AC1" w:rsidRDefault="006B2AC1" w:rsidP="005933CC">
      <w:pPr>
        <w:rPr>
          <w:rFonts w:ascii="Arial" w:hAnsi="Arial" w:cs="Arial"/>
          <w:sz w:val="20"/>
          <w:szCs w:val="20"/>
        </w:rPr>
      </w:pPr>
    </w:p>
    <w:p w:rsidR="00336AE0" w:rsidRDefault="00336AE0" w:rsidP="00336AE0">
      <w:pPr>
        <w:pStyle w:val="NormalWeb"/>
        <w:rPr>
          <w:rFonts w:ascii="Arial" w:hAnsi="Arial" w:cs="Arial"/>
          <w:sz w:val="22"/>
          <w:szCs w:val="22"/>
        </w:rPr>
      </w:pPr>
      <w:r w:rsidRPr="00336AE0">
        <w:rPr>
          <w:rStyle w:val="Strong"/>
          <w:rFonts w:ascii="Arial" w:eastAsiaTheme="majorEastAsia" w:hAnsi="Arial" w:cs="Arial"/>
          <w:sz w:val="22"/>
          <w:szCs w:val="22"/>
        </w:rPr>
        <w:t>COMPETING INTEREST</w:t>
      </w:r>
    </w:p>
    <w:p w:rsidR="00336AE0" w:rsidRPr="00336AE0" w:rsidRDefault="00336AE0" w:rsidP="00336AE0">
      <w:pPr>
        <w:pStyle w:val="NormalWeb"/>
        <w:rPr>
          <w:rFonts w:ascii="Arial" w:hAnsi="Arial" w:cs="Arial"/>
          <w:sz w:val="22"/>
          <w:szCs w:val="22"/>
        </w:rPr>
      </w:pPr>
      <w:r w:rsidRPr="00336AE0">
        <w:rPr>
          <w:rFonts w:ascii="Arial" w:hAnsi="Arial" w:cs="Arial"/>
          <w:sz w:val="20"/>
          <w:szCs w:val="20"/>
          <w:shd w:val="clear" w:color="auto" w:fill="FFFFFF"/>
        </w:rPr>
        <w:t>Author</w:t>
      </w:r>
      <w:r w:rsidR="00A378BF">
        <w:rPr>
          <w:rFonts w:ascii="Arial" w:hAnsi="Arial" w:cs="Arial"/>
          <w:sz w:val="20"/>
          <w:szCs w:val="20"/>
          <w:shd w:val="clear" w:color="auto" w:fill="FFFFFF"/>
        </w:rPr>
        <w:t xml:space="preserve">s have declared that no </w:t>
      </w:r>
      <w:r w:rsidRPr="00336AE0">
        <w:rPr>
          <w:rFonts w:ascii="Arial" w:hAnsi="Arial" w:cs="Arial"/>
          <w:sz w:val="20"/>
          <w:szCs w:val="20"/>
          <w:shd w:val="clear" w:color="auto" w:fill="FFFFFF"/>
        </w:rPr>
        <w:t>competing interests exist</w:t>
      </w:r>
      <w:r w:rsidRPr="00336AE0">
        <w:rPr>
          <w:rFonts w:ascii="Arial" w:hAnsi="Arial" w:cs="Arial"/>
          <w:sz w:val="20"/>
          <w:szCs w:val="20"/>
        </w:rPr>
        <w:t>.</w:t>
      </w:r>
    </w:p>
    <w:p w:rsidR="00C02330" w:rsidRPr="00C02330" w:rsidRDefault="00C02330" w:rsidP="005933CC">
      <w:pPr>
        <w:rPr>
          <w:rFonts w:ascii="Arial" w:hAnsi="Arial" w:cs="Arial"/>
          <w:b/>
          <w:shd w:val="clear" w:color="auto" w:fill="FFFFFF"/>
        </w:rPr>
      </w:pPr>
      <w:r w:rsidRPr="00C02330">
        <w:rPr>
          <w:rFonts w:ascii="Arial" w:hAnsi="Arial" w:cs="Arial"/>
          <w:b/>
          <w:shd w:val="clear" w:color="auto" w:fill="FFFFFF"/>
        </w:rPr>
        <w:t>Disclaimer (Artificial Intelligence)</w:t>
      </w:r>
    </w:p>
    <w:p w:rsidR="00C02330" w:rsidRDefault="00C02330" w:rsidP="005933CC">
      <w:pPr>
        <w:rPr>
          <w:rFonts w:ascii="Arial" w:hAnsi="Arial" w:cs="Arial"/>
          <w:sz w:val="20"/>
          <w:szCs w:val="20"/>
          <w:shd w:val="clear" w:color="auto" w:fill="FFFFFF"/>
        </w:rPr>
      </w:pPr>
      <w:r w:rsidRPr="00C02330">
        <w:rPr>
          <w:rFonts w:ascii="Arial" w:hAnsi="Arial" w:cs="Arial"/>
          <w:sz w:val="20"/>
          <w:szCs w:val="20"/>
          <w:shd w:val="clear" w:color="auto" w:fill="FFFFFF"/>
        </w:rPr>
        <w:t>Author(</w:t>
      </w:r>
      <w:proofErr w:type="gramStart"/>
      <w:r w:rsidRPr="00C02330">
        <w:rPr>
          <w:rFonts w:ascii="Arial" w:hAnsi="Arial" w:cs="Arial"/>
          <w:sz w:val="20"/>
          <w:szCs w:val="20"/>
          <w:shd w:val="clear" w:color="auto" w:fill="FFFFFF"/>
        </w:rPr>
        <w:t xml:space="preserve">s)   </w:t>
      </w:r>
      <w:proofErr w:type="gramEnd"/>
      <w:r w:rsidRPr="00C02330">
        <w:rPr>
          <w:rFonts w:ascii="Arial" w:hAnsi="Arial" w:cs="Arial"/>
          <w:sz w:val="20"/>
          <w:szCs w:val="20"/>
          <w:shd w:val="clear" w:color="auto" w:fill="FFFFFF"/>
        </w:rPr>
        <w:t xml:space="preserve">hereby   declare   that   generative   AI technologies  such  as  Large  Language  Models, etc  have  been  used  during  writing  or  editing  of this manuscript. This </w:t>
      </w:r>
      <w:proofErr w:type="gramStart"/>
      <w:r w:rsidRPr="00C02330">
        <w:rPr>
          <w:rFonts w:ascii="Arial" w:hAnsi="Arial" w:cs="Arial"/>
          <w:sz w:val="20"/>
          <w:szCs w:val="20"/>
          <w:shd w:val="clear" w:color="auto" w:fill="FFFFFF"/>
        </w:rPr>
        <w:t>explanation  will</w:t>
      </w:r>
      <w:proofErr w:type="gramEnd"/>
      <w:r w:rsidRPr="00C02330">
        <w:rPr>
          <w:rFonts w:ascii="Arial" w:hAnsi="Arial" w:cs="Arial"/>
          <w:sz w:val="20"/>
          <w:szCs w:val="20"/>
          <w:shd w:val="clear" w:color="auto" w:fill="FFFFFF"/>
        </w:rPr>
        <w:t xml:space="preserve">  include  the name,   version,   model,   and   source   of   the generative AI technology and as well as all input </w:t>
      </w:r>
      <w:r w:rsidR="00336AE0">
        <w:rPr>
          <w:rFonts w:ascii="Arial" w:hAnsi="Arial" w:cs="Arial"/>
          <w:sz w:val="20"/>
          <w:szCs w:val="20"/>
          <w:shd w:val="clear" w:color="auto" w:fill="FFFFFF"/>
        </w:rPr>
        <w:t xml:space="preserve">prompts provided to the generative </w:t>
      </w:r>
      <w:r w:rsidRPr="00C02330">
        <w:rPr>
          <w:rFonts w:ascii="Arial" w:hAnsi="Arial" w:cs="Arial"/>
          <w:sz w:val="20"/>
          <w:szCs w:val="20"/>
          <w:shd w:val="clear" w:color="auto" w:fill="FFFFFF"/>
        </w:rPr>
        <w:t xml:space="preserve"> AI technology.</w:t>
      </w:r>
    </w:p>
    <w:p w:rsidR="00C02330" w:rsidRPr="00C02330" w:rsidRDefault="00C02330" w:rsidP="005933CC">
      <w:pPr>
        <w:rPr>
          <w:rFonts w:ascii="Arial" w:hAnsi="Arial" w:cs="Arial"/>
          <w:sz w:val="20"/>
          <w:szCs w:val="20"/>
        </w:rPr>
      </w:pPr>
      <w:r w:rsidRPr="00C02330">
        <w:rPr>
          <w:rFonts w:ascii="Arial" w:hAnsi="Arial" w:cs="Arial"/>
          <w:sz w:val="20"/>
          <w:szCs w:val="20"/>
          <w:shd w:val="clear" w:color="auto" w:fill="FFFFFF"/>
        </w:rPr>
        <w:t>Details</w:t>
      </w:r>
      <w:r w:rsidR="00336AE0">
        <w:rPr>
          <w:rFonts w:ascii="Arial" w:hAnsi="Arial" w:cs="Arial"/>
          <w:sz w:val="20"/>
          <w:szCs w:val="20"/>
          <w:shd w:val="clear" w:color="auto" w:fill="FFFFFF"/>
        </w:rPr>
        <w:t xml:space="preserve"> of the AI usage are </w:t>
      </w:r>
      <w:proofErr w:type="gramStart"/>
      <w:r w:rsidR="00336AE0">
        <w:rPr>
          <w:rFonts w:ascii="Arial" w:hAnsi="Arial" w:cs="Arial"/>
          <w:sz w:val="20"/>
          <w:szCs w:val="20"/>
          <w:shd w:val="clear" w:color="auto" w:fill="FFFFFF"/>
        </w:rPr>
        <w:t>given:</w:t>
      </w:r>
      <w:r w:rsidRPr="00C02330">
        <w:rPr>
          <w:rFonts w:ascii="Arial" w:hAnsi="Arial" w:cs="Arial"/>
          <w:sz w:val="20"/>
          <w:szCs w:val="20"/>
          <w:shd w:val="clear" w:color="auto" w:fill="FFFFFF"/>
        </w:rPr>
        <w:t>GPT</w:t>
      </w:r>
      <w:proofErr w:type="gramEnd"/>
      <w:r w:rsidRPr="00C02330">
        <w:rPr>
          <w:rFonts w:ascii="Arial" w:hAnsi="Arial" w:cs="Arial"/>
          <w:sz w:val="20"/>
          <w:szCs w:val="20"/>
          <w:shd w:val="clear" w:color="auto" w:fill="FFFFFF"/>
        </w:rPr>
        <w:t>-5 Min</w:t>
      </w:r>
      <w:r w:rsidR="00336AE0">
        <w:rPr>
          <w:rFonts w:ascii="Arial" w:hAnsi="Arial" w:cs="Arial"/>
          <w:sz w:val="20"/>
          <w:szCs w:val="20"/>
          <w:shd w:val="clear" w:color="auto" w:fill="FFFFFF"/>
        </w:rPr>
        <w:t>i</w:t>
      </w:r>
    </w:p>
    <w:p w:rsidR="00CF5E2B" w:rsidRPr="005933CC" w:rsidRDefault="005933CC" w:rsidP="00CF5E2B">
      <w:pPr>
        <w:rPr>
          <w:rFonts w:ascii="Arial" w:hAnsi="Arial" w:cs="Arial"/>
          <w:b/>
          <w:bCs/>
        </w:rPr>
      </w:pPr>
      <w:r w:rsidRPr="005933CC">
        <w:rPr>
          <w:rFonts w:ascii="Arial" w:hAnsi="Arial" w:cs="Arial"/>
          <w:b/>
          <w:bCs/>
        </w:rPr>
        <w:t>REFERENCES</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Sundaram L, </w:t>
      </w:r>
      <w:proofErr w:type="spellStart"/>
      <w:r w:rsidRPr="005933CC">
        <w:rPr>
          <w:rFonts w:ascii="Arial" w:hAnsi="Arial" w:cs="Arial"/>
          <w:sz w:val="20"/>
          <w:szCs w:val="20"/>
        </w:rPr>
        <w:t>Rathnavelu</w:t>
      </w:r>
      <w:proofErr w:type="spellEnd"/>
      <w:r w:rsidRPr="005933CC">
        <w:rPr>
          <w:rFonts w:ascii="Arial" w:hAnsi="Arial" w:cs="Arial"/>
          <w:sz w:val="20"/>
          <w:szCs w:val="20"/>
        </w:rPr>
        <w:t xml:space="preserve"> V, Venugopal DC, Narasimhan M, </w:t>
      </w:r>
      <w:proofErr w:type="spellStart"/>
      <w:r w:rsidRPr="005933CC">
        <w:rPr>
          <w:rFonts w:ascii="Arial" w:hAnsi="Arial" w:cs="Arial"/>
          <w:sz w:val="20"/>
          <w:szCs w:val="20"/>
        </w:rPr>
        <w:t>Sabesan</w:t>
      </w:r>
      <w:proofErr w:type="spellEnd"/>
      <w:r w:rsidRPr="005933CC">
        <w:rPr>
          <w:rFonts w:ascii="Arial" w:hAnsi="Arial" w:cs="Arial"/>
          <w:sz w:val="20"/>
          <w:szCs w:val="20"/>
        </w:rPr>
        <w:t xml:space="preserve"> M, Swetha S. Prevalence of common clinically manifested developmental anomalies of the oral cavity among adults: an epidemiological study in a South Indian population. </w:t>
      </w:r>
      <w:proofErr w:type="spellStart"/>
      <w:r w:rsidRPr="005933CC">
        <w:rPr>
          <w:rFonts w:ascii="Arial" w:hAnsi="Arial" w:cs="Arial"/>
          <w:sz w:val="20"/>
          <w:szCs w:val="20"/>
        </w:rPr>
        <w:t>Cureus</w:t>
      </w:r>
      <w:proofErr w:type="spellEnd"/>
      <w:r w:rsidRPr="005933CC">
        <w:rPr>
          <w:rFonts w:ascii="Arial" w:hAnsi="Arial" w:cs="Arial"/>
          <w:sz w:val="20"/>
          <w:szCs w:val="20"/>
        </w:rPr>
        <w:t>. 2020;12(8</w:t>
      </w:r>
      <w:proofErr w:type="gramStart"/>
      <w:r w:rsidRPr="005933CC">
        <w:rPr>
          <w:rFonts w:ascii="Arial" w:hAnsi="Arial" w:cs="Arial"/>
          <w:sz w:val="20"/>
          <w:szCs w:val="20"/>
        </w:rPr>
        <w:t>):e</w:t>
      </w:r>
      <w:proofErr w:type="gramEnd"/>
      <w:r w:rsidRPr="005933CC">
        <w:rPr>
          <w:rFonts w:ascii="Arial" w:hAnsi="Arial" w:cs="Arial"/>
          <w:sz w:val="20"/>
          <w:szCs w:val="20"/>
        </w:rPr>
        <w:t>9961.</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Gupta SK, Saxena P, Jain S, Jain D. Prevalence and distribution of selected developmental dental anomalies in an Indian population. J Oral Sci. 2011;53(2):231–238.</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Guttal</w:t>
      </w:r>
      <w:proofErr w:type="spellEnd"/>
      <w:r w:rsidRPr="005933CC">
        <w:rPr>
          <w:rFonts w:ascii="Arial" w:hAnsi="Arial" w:cs="Arial"/>
          <w:sz w:val="20"/>
          <w:szCs w:val="20"/>
        </w:rPr>
        <w:t xml:space="preserve"> KS, </w:t>
      </w:r>
      <w:proofErr w:type="spellStart"/>
      <w:r w:rsidRPr="005933CC">
        <w:rPr>
          <w:rFonts w:ascii="Arial" w:hAnsi="Arial" w:cs="Arial"/>
          <w:sz w:val="20"/>
          <w:szCs w:val="20"/>
        </w:rPr>
        <w:t>Naikmasur</w:t>
      </w:r>
      <w:proofErr w:type="spellEnd"/>
      <w:r w:rsidRPr="005933CC">
        <w:rPr>
          <w:rFonts w:ascii="Arial" w:hAnsi="Arial" w:cs="Arial"/>
          <w:sz w:val="20"/>
          <w:szCs w:val="20"/>
        </w:rPr>
        <w:t xml:space="preserve"> VG, Bhargava P, </w:t>
      </w:r>
      <w:proofErr w:type="spellStart"/>
      <w:r w:rsidRPr="005933CC">
        <w:rPr>
          <w:rFonts w:ascii="Arial" w:hAnsi="Arial" w:cs="Arial"/>
          <w:sz w:val="20"/>
          <w:szCs w:val="20"/>
        </w:rPr>
        <w:t>Bathi</w:t>
      </w:r>
      <w:proofErr w:type="spellEnd"/>
      <w:r w:rsidRPr="005933CC">
        <w:rPr>
          <w:rFonts w:ascii="Arial" w:hAnsi="Arial" w:cs="Arial"/>
          <w:sz w:val="20"/>
          <w:szCs w:val="20"/>
        </w:rPr>
        <w:t xml:space="preserve"> RJ. Frequency of developmental dental anomalies in the Indian population. Eur J Dent. 2010;4(3):263–269.</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Ooshima</w:t>
      </w:r>
      <w:proofErr w:type="spellEnd"/>
      <w:r w:rsidRPr="005933CC">
        <w:rPr>
          <w:rFonts w:ascii="Arial" w:hAnsi="Arial" w:cs="Arial"/>
          <w:sz w:val="20"/>
          <w:szCs w:val="20"/>
        </w:rPr>
        <w:t xml:space="preserve"> T, Ishida R, Mishima K, </w:t>
      </w:r>
      <w:proofErr w:type="spellStart"/>
      <w:r w:rsidRPr="005933CC">
        <w:rPr>
          <w:rFonts w:ascii="Arial" w:hAnsi="Arial" w:cs="Arial"/>
          <w:sz w:val="20"/>
          <w:szCs w:val="20"/>
        </w:rPr>
        <w:t>Sobue</w:t>
      </w:r>
      <w:proofErr w:type="spellEnd"/>
      <w:r w:rsidRPr="005933CC">
        <w:rPr>
          <w:rFonts w:ascii="Arial" w:hAnsi="Arial" w:cs="Arial"/>
          <w:sz w:val="20"/>
          <w:szCs w:val="20"/>
        </w:rPr>
        <w:t xml:space="preserve"> S. The prevalence of developmental anomalies of teeth in the primary and permanent dentitions of Japanese children. Int J </w:t>
      </w:r>
      <w:proofErr w:type="spellStart"/>
      <w:r w:rsidRPr="005933CC">
        <w:rPr>
          <w:rFonts w:ascii="Arial" w:hAnsi="Arial" w:cs="Arial"/>
          <w:sz w:val="20"/>
          <w:szCs w:val="20"/>
        </w:rPr>
        <w:t>Paediatr</w:t>
      </w:r>
      <w:proofErr w:type="spellEnd"/>
      <w:r w:rsidRPr="005933CC">
        <w:rPr>
          <w:rFonts w:ascii="Arial" w:hAnsi="Arial" w:cs="Arial"/>
          <w:sz w:val="20"/>
          <w:szCs w:val="20"/>
        </w:rPr>
        <w:t xml:space="preserve"> Dent. 1996;6(2):87–94.</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Hamasha</w:t>
      </w:r>
      <w:proofErr w:type="spellEnd"/>
      <w:r w:rsidRPr="005933CC">
        <w:rPr>
          <w:rFonts w:ascii="Arial" w:hAnsi="Arial" w:cs="Arial"/>
          <w:sz w:val="20"/>
          <w:szCs w:val="20"/>
        </w:rPr>
        <w:t xml:space="preserve"> AA, Safadi RA. Prevalence of talon cusps in Jordanian permanent teeth. BMC Oral Health. </w:t>
      </w:r>
      <w:proofErr w:type="gramStart"/>
      <w:r w:rsidRPr="005933CC">
        <w:rPr>
          <w:rFonts w:ascii="Arial" w:hAnsi="Arial" w:cs="Arial"/>
          <w:sz w:val="20"/>
          <w:szCs w:val="20"/>
        </w:rPr>
        <w:t>2010;10:6</w:t>
      </w:r>
      <w:proofErr w:type="gramEnd"/>
      <w:r w:rsidRPr="005933CC">
        <w:rPr>
          <w:rFonts w:ascii="Arial" w:hAnsi="Arial" w:cs="Arial"/>
          <w:sz w:val="20"/>
          <w:szCs w:val="20"/>
        </w:rPr>
        <w:t>.</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Thongudomporn</w:t>
      </w:r>
      <w:proofErr w:type="spellEnd"/>
      <w:r w:rsidRPr="005933CC">
        <w:rPr>
          <w:rFonts w:ascii="Arial" w:hAnsi="Arial" w:cs="Arial"/>
          <w:sz w:val="20"/>
          <w:szCs w:val="20"/>
        </w:rPr>
        <w:t xml:space="preserve"> U, Freer TJ. Prevalence of dental anomalies in orthodontic patients. Aust Dent J. 1998;43(6):395–398.</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Al-Emran S. Prevalence of hypodontia and developmental malformation of permanent teeth in Saudi Arabian schoolchildren. Br J </w:t>
      </w:r>
      <w:proofErr w:type="spellStart"/>
      <w:r w:rsidRPr="005933CC">
        <w:rPr>
          <w:rFonts w:ascii="Arial" w:hAnsi="Arial" w:cs="Arial"/>
          <w:sz w:val="20"/>
          <w:szCs w:val="20"/>
        </w:rPr>
        <w:t>Orthod</w:t>
      </w:r>
      <w:proofErr w:type="spellEnd"/>
      <w:r w:rsidRPr="005933CC">
        <w:rPr>
          <w:rFonts w:ascii="Arial" w:hAnsi="Arial" w:cs="Arial"/>
          <w:sz w:val="20"/>
          <w:szCs w:val="20"/>
        </w:rPr>
        <w:t>. 1990;17(2):115–118.</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Ardakani</w:t>
      </w:r>
      <w:proofErr w:type="spellEnd"/>
      <w:r w:rsidRPr="005933CC">
        <w:rPr>
          <w:rFonts w:ascii="Arial" w:hAnsi="Arial" w:cs="Arial"/>
          <w:sz w:val="20"/>
          <w:szCs w:val="20"/>
        </w:rPr>
        <w:t xml:space="preserve"> FE, </w:t>
      </w:r>
      <w:proofErr w:type="spellStart"/>
      <w:r w:rsidRPr="005933CC">
        <w:rPr>
          <w:rFonts w:ascii="Arial" w:hAnsi="Arial" w:cs="Arial"/>
          <w:sz w:val="20"/>
          <w:szCs w:val="20"/>
        </w:rPr>
        <w:t>Sheikhha</w:t>
      </w:r>
      <w:proofErr w:type="spellEnd"/>
      <w:r w:rsidRPr="005933CC">
        <w:rPr>
          <w:rFonts w:ascii="Arial" w:hAnsi="Arial" w:cs="Arial"/>
          <w:sz w:val="20"/>
          <w:szCs w:val="20"/>
        </w:rPr>
        <w:t xml:space="preserve"> MH, Ahmadi H. Prevalence of dental developmental anomalies: a radiographic study. Community Dent Health. 2007;24(3):140–144.</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Shah RM, Boyd MA, Vakil TF. Studies of permanent tooth anomalies in Canadian individuals. J Can Dent Assoc. </w:t>
      </w:r>
      <w:proofErr w:type="gramStart"/>
      <w:r w:rsidRPr="005933CC">
        <w:rPr>
          <w:rFonts w:ascii="Arial" w:hAnsi="Arial" w:cs="Arial"/>
          <w:sz w:val="20"/>
          <w:szCs w:val="20"/>
        </w:rPr>
        <w:t>1978;44:262</w:t>
      </w:r>
      <w:proofErr w:type="gramEnd"/>
      <w:r w:rsidRPr="005933CC">
        <w:rPr>
          <w:rFonts w:ascii="Arial" w:hAnsi="Arial" w:cs="Arial"/>
          <w:sz w:val="20"/>
          <w:szCs w:val="20"/>
        </w:rPr>
        <w:t>–264.</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Proffit</w:t>
      </w:r>
      <w:proofErr w:type="spellEnd"/>
      <w:r w:rsidRPr="005933CC">
        <w:rPr>
          <w:rFonts w:ascii="Arial" w:hAnsi="Arial" w:cs="Arial"/>
          <w:sz w:val="20"/>
          <w:szCs w:val="20"/>
        </w:rPr>
        <w:t xml:space="preserve"> WR, Fields HW, Sarver DM. Contemporary orthodontics. 5th ed. St. Louis: Mosby Elsevier; 2013.</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White SC, </w:t>
      </w:r>
      <w:proofErr w:type="spellStart"/>
      <w:r w:rsidRPr="005933CC">
        <w:rPr>
          <w:rFonts w:ascii="Arial" w:hAnsi="Arial" w:cs="Arial"/>
          <w:sz w:val="20"/>
          <w:szCs w:val="20"/>
        </w:rPr>
        <w:t>Pharoah</w:t>
      </w:r>
      <w:proofErr w:type="spellEnd"/>
      <w:r w:rsidRPr="005933CC">
        <w:rPr>
          <w:rFonts w:ascii="Arial" w:hAnsi="Arial" w:cs="Arial"/>
          <w:sz w:val="20"/>
          <w:szCs w:val="20"/>
        </w:rPr>
        <w:t xml:space="preserve"> MJ. Oral radiology: principles and interpretation. 7th ed. St. Louis: Mosby Elsevier; 2014.</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Shafer WG, Hine MK, Levy BM. Shafer’s textbook of oral pathology. 8th ed. New Delhi: Elsevier; 2016.</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Masood F, Benavides E. Alterations in tooth structure and associated systemic conditions. </w:t>
      </w:r>
      <w:proofErr w:type="spellStart"/>
      <w:r w:rsidRPr="005933CC">
        <w:rPr>
          <w:rFonts w:ascii="Arial" w:hAnsi="Arial" w:cs="Arial"/>
          <w:sz w:val="20"/>
          <w:szCs w:val="20"/>
        </w:rPr>
        <w:t>Radiol</w:t>
      </w:r>
      <w:proofErr w:type="spellEnd"/>
      <w:r w:rsidRPr="005933CC">
        <w:rPr>
          <w:rFonts w:ascii="Arial" w:hAnsi="Arial" w:cs="Arial"/>
          <w:sz w:val="20"/>
          <w:szCs w:val="20"/>
        </w:rPr>
        <w:t xml:space="preserve"> Clin North Am. 2018;56(1):125–140.</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Yassin SM. Prevalence and distribution of selected dental anomalies among Saudi children in </w:t>
      </w:r>
      <w:proofErr w:type="spellStart"/>
      <w:r w:rsidRPr="005933CC">
        <w:rPr>
          <w:rFonts w:ascii="Arial" w:hAnsi="Arial" w:cs="Arial"/>
          <w:sz w:val="20"/>
          <w:szCs w:val="20"/>
        </w:rPr>
        <w:t>Abha</w:t>
      </w:r>
      <w:proofErr w:type="spellEnd"/>
      <w:r w:rsidRPr="005933CC">
        <w:rPr>
          <w:rFonts w:ascii="Arial" w:hAnsi="Arial" w:cs="Arial"/>
          <w:sz w:val="20"/>
          <w:szCs w:val="20"/>
        </w:rPr>
        <w:t>. J Clin Exp Dent. 2016;8(5</w:t>
      </w:r>
      <w:proofErr w:type="gramStart"/>
      <w:r w:rsidRPr="005933CC">
        <w:rPr>
          <w:rFonts w:ascii="Arial" w:hAnsi="Arial" w:cs="Arial"/>
          <w:sz w:val="20"/>
          <w:szCs w:val="20"/>
        </w:rPr>
        <w:t>):e</w:t>
      </w:r>
      <w:proofErr w:type="gramEnd"/>
      <w:r w:rsidRPr="005933CC">
        <w:rPr>
          <w:rFonts w:ascii="Arial" w:hAnsi="Arial" w:cs="Arial"/>
          <w:sz w:val="20"/>
          <w:szCs w:val="20"/>
        </w:rPr>
        <w:t>485–e490.</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lastRenderedPageBreak/>
        <w:t>Bandaru</w:t>
      </w:r>
      <w:proofErr w:type="spellEnd"/>
      <w:r w:rsidRPr="005933CC">
        <w:rPr>
          <w:rFonts w:ascii="Arial" w:hAnsi="Arial" w:cs="Arial"/>
          <w:sz w:val="20"/>
          <w:szCs w:val="20"/>
        </w:rPr>
        <w:t xml:space="preserve"> BK, </w:t>
      </w:r>
      <w:proofErr w:type="spellStart"/>
      <w:r w:rsidRPr="005933CC">
        <w:rPr>
          <w:rFonts w:ascii="Arial" w:hAnsi="Arial" w:cs="Arial"/>
          <w:sz w:val="20"/>
          <w:szCs w:val="20"/>
        </w:rPr>
        <w:t>Thankappan</w:t>
      </w:r>
      <w:proofErr w:type="spellEnd"/>
      <w:r w:rsidRPr="005933CC">
        <w:rPr>
          <w:rFonts w:ascii="Arial" w:hAnsi="Arial" w:cs="Arial"/>
          <w:sz w:val="20"/>
          <w:szCs w:val="20"/>
        </w:rPr>
        <w:t xml:space="preserve"> P, Kumar Nandan SR, </w:t>
      </w:r>
      <w:proofErr w:type="spellStart"/>
      <w:r w:rsidRPr="005933CC">
        <w:rPr>
          <w:rFonts w:ascii="Arial" w:hAnsi="Arial" w:cs="Arial"/>
          <w:sz w:val="20"/>
          <w:szCs w:val="20"/>
        </w:rPr>
        <w:t>Amudala</w:t>
      </w:r>
      <w:proofErr w:type="spellEnd"/>
      <w:r w:rsidRPr="005933CC">
        <w:rPr>
          <w:rFonts w:ascii="Arial" w:hAnsi="Arial" w:cs="Arial"/>
          <w:sz w:val="20"/>
          <w:szCs w:val="20"/>
        </w:rPr>
        <w:t xml:space="preserve"> R, </w:t>
      </w:r>
      <w:proofErr w:type="spellStart"/>
      <w:r w:rsidRPr="005933CC">
        <w:rPr>
          <w:rFonts w:ascii="Arial" w:hAnsi="Arial" w:cs="Arial"/>
          <w:sz w:val="20"/>
          <w:szCs w:val="20"/>
        </w:rPr>
        <w:t>Annem</w:t>
      </w:r>
      <w:proofErr w:type="spellEnd"/>
      <w:r w:rsidRPr="005933CC">
        <w:rPr>
          <w:rFonts w:ascii="Arial" w:hAnsi="Arial" w:cs="Arial"/>
          <w:sz w:val="20"/>
          <w:szCs w:val="20"/>
        </w:rPr>
        <w:t xml:space="preserve"> SK, Rajendra Santosh AB. The prevalence of developmental dental anomalies among school children in southern districts of Andhra Pradesh, India. J Clin Diagn Res. 2016;10(12</w:t>
      </w:r>
      <w:proofErr w:type="gramStart"/>
      <w:r w:rsidRPr="005933CC">
        <w:rPr>
          <w:rFonts w:ascii="Arial" w:hAnsi="Arial" w:cs="Arial"/>
          <w:sz w:val="20"/>
          <w:szCs w:val="20"/>
        </w:rPr>
        <w:t>):ZC</w:t>
      </w:r>
      <w:proofErr w:type="gramEnd"/>
      <w:r w:rsidRPr="005933CC">
        <w:rPr>
          <w:rFonts w:ascii="Arial" w:hAnsi="Arial" w:cs="Arial"/>
          <w:sz w:val="20"/>
          <w:szCs w:val="20"/>
        </w:rPr>
        <w:t>90–ZC93.</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Mohanty R, Singh V, Dey AK, Behera S. A rare </w:t>
      </w:r>
      <w:proofErr w:type="spellStart"/>
      <w:r w:rsidRPr="005933CC">
        <w:rPr>
          <w:rFonts w:ascii="Arial" w:hAnsi="Arial" w:cs="Arial"/>
          <w:sz w:val="20"/>
          <w:szCs w:val="20"/>
        </w:rPr>
        <w:t>nonsyndromic</w:t>
      </w:r>
      <w:proofErr w:type="spellEnd"/>
      <w:r w:rsidRPr="005933CC">
        <w:rPr>
          <w:rFonts w:ascii="Arial" w:hAnsi="Arial" w:cs="Arial"/>
          <w:sz w:val="20"/>
          <w:szCs w:val="20"/>
        </w:rPr>
        <w:t xml:space="preserve"> case of adenomatoid odontogenic tumor associated with multiple impacted supernumerary teeth. Natl J </w:t>
      </w:r>
      <w:proofErr w:type="spellStart"/>
      <w:r w:rsidRPr="005933CC">
        <w:rPr>
          <w:rFonts w:ascii="Arial" w:hAnsi="Arial" w:cs="Arial"/>
          <w:sz w:val="20"/>
          <w:szCs w:val="20"/>
        </w:rPr>
        <w:t>Maxillofac</w:t>
      </w:r>
      <w:proofErr w:type="spellEnd"/>
      <w:r w:rsidRPr="005933CC">
        <w:rPr>
          <w:rFonts w:ascii="Arial" w:hAnsi="Arial" w:cs="Arial"/>
          <w:sz w:val="20"/>
          <w:szCs w:val="20"/>
        </w:rPr>
        <w:t xml:space="preserve"> Surg. 2019;10(1):114–117.</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Sharma G, Nagpal A. Talon cusp: a prevalence study of its types in permanent dentition and report of a rare case. J Oral Dis. </w:t>
      </w:r>
      <w:proofErr w:type="gramStart"/>
      <w:r w:rsidRPr="005933CC">
        <w:rPr>
          <w:rFonts w:ascii="Arial" w:hAnsi="Arial" w:cs="Arial"/>
          <w:sz w:val="20"/>
          <w:szCs w:val="20"/>
        </w:rPr>
        <w:t>2014;2014:595189</w:t>
      </w:r>
      <w:proofErr w:type="gramEnd"/>
      <w:r w:rsidRPr="005933CC">
        <w:rPr>
          <w:rFonts w:ascii="Arial" w:hAnsi="Arial" w:cs="Arial"/>
          <w:sz w:val="20"/>
          <w:szCs w:val="20"/>
        </w:rPr>
        <w:t>.</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Tredwin</w:t>
      </w:r>
      <w:proofErr w:type="spellEnd"/>
      <w:r w:rsidRPr="005933CC">
        <w:rPr>
          <w:rFonts w:ascii="Arial" w:hAnsi="Arial" w:cs="Arial"/>
          <w:sz w:val="20"/>
          <w:szCs w:val="20"/>
        </w:rPr>
        <w:t xml:space="preserve"> CJ, Scully C, Bagan-Sebastian JV. Drug-induced disorders of teeth. J Dent Res. 2005;84(7):596–602.</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Wadhwa PD, Buss C, </w:t>
      </w:r>
      <w:proofErr w:type="spellStart"/>
      <w:r w:rsidRPr="005933CC">
        <w:rPr>
          <w:rFonts w:ascii="Arial" w:hAnsi="Arial" w:cs="Arial"/>
          <w:sz w:val="20"/>
          <w:szCs w:val="20"/>
        </w:rPr>
        <w:t>Entringer</w:t>
      </w:r>
      <w:proofErr w:type="spellEnd"/>
      <w:r w:rsidRPr="005933CC">
        <w:rPr>
          <w:rFonts w:ascii="Arial" w:hAnsi="Arial" w:cs="Arial"/>
          <w:sz w:val="20"/>
          <w:szCs w:val="20"/>
        </w:rPr>
        <w:t xml:space="preserve"> S, Swanson JM. Developmental origins of health and disease. </w:t>
      </w:r>
      <w:proofErr w:type="spellStart"/>
      <w:r w:rsidRPr="005933CC">
        <w:rPr>
          <w:rFonts w:ascii="Arial" w:hAnsi="Arial" w:cs="Arial"/>
          <w:sz w:val="20"/>
          <w:szCs w:val="20"/>
        </w:rPr>
        <w:t>SeminReprod</w:t>
      </w:r>
      <w:proofErr w:type="spellEnd"/>
      <w:r w:rsidRPr="005933CC">
        <w:rPr>
          <w:rFonts w:ascii="Arial" w:hAnsi="Arial" w:cs="Arial"/>
          <w:sz w:val="20"/>
          <w:szCs w:val="20"/>
        </w:rPr>
        <w:t xml:space="preserve"> Med. 2009;27(5):358–368.</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Chaste P, </w:t>
      </w:r>
      <w:proofErr w:type="spellStart"/>
      <w:r w:rsidRPr="005933CC">
        <w:rPr>
          <w:rFonts w:ascii="Arial" w:hAnsi="Arial" w:cs="Arial"/>
          <w:sz w:val="20"/>
          <w:szCs w:val="20"/>
        </w:rPr>
        <w:t>Leboyer</w:t>
      </w:r>
      <w:proofErr w:type="spellEnd"/>
      <w:r w:rsidRPr="005933CC">
        <w:rPr>
          <w:rFonts w:ascii="Arial" w:hAnsi="Arial" w:cs="Arial"/>
          <w:sz w:val="20"/>
          <w:szCs w:val="20"/>
        </w:rPr>
        <w:t xml:space="preserve"> M. Autism risk factors: genes, environment and gene–environment interactions. Dialogues Clin </w:t>
      </w:r>
      <w:proofErr w:type="spellStart"/>
      <w:r w:rsidRPr="005933CC">
        <w:rPr>
          <w:rFonts w:ascii="Arial" w:hAnsi="Arial" w:cs="Arial"/>
          <w:sz w:val="20"/>
          <w:szCs w:val="20"/>
        </w:rPr>
        <w:t>Neurosci</w:t>
      </w:r>
      <w:proofErr w:type="spellEnd"/>
      <w:r w:rsidRPr="005933CC">
        <w:rPr>
          <w:rFonts w:ascii="Arial" w:hAnsi="Arial" w:cs="Arial"/>
          <w:sz w:val="20"/>
          <w:szCs w:val="20"/>
        </w:rPr>
        <w:t>. 2012;14(3):281–292.</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Dankner</w:t>
      </w:r>
      <w:proofErr w:type="spellEnd"/>
      <w:r w:rsidRPr="005933CC">
        <w:rPr>
          <w:rFonts w:ascii="Arial" w:hAnsi="Arial" w:cs="Arial"/>
          <w:sz w:val="20"/>
          <w:szCs w:val="20"/>
        </w:rPr>
        <w:t xml:space="preserve"> E, Harari D, </w:t>
      </w:r>
      <w:proofErr w:type="spellStart"/>
      <w:r w:rsidRPr="005933CC">
        <w:rPr>
          <w:rFonts w:ascii="Arial" w:hAnsi="Arial" w:cs="Arial"/>
          <w:sz w:val="20"/>
          <w:szCs w:val="20"/>
        </w:rPr>
        <w:t>Rotstein</w:t>
      </w:r>
      <w:proofErr w:type="spellEnd"/>
      <w:r w:rsidRPr="005933CC">
        <w:rPr>
          <w:rFonts w:ascii="Arial" w:hAnsi="Arial" w:cs="Arial"/>
          <w:sz w:val="20"/>
          <w:szCs w:val="20"/>
        </w:rPr>
        <w:t xml:space="preserve"> I. Dens </w:t>
      </w:r>
      <w:proofErr w:type="spellStart"/>
      <w:r w:rsidRPr="005933CC">
        <w:rPr>
          <w:rFonts w:ascii="Arial" w:hAnsi="Arial" w:cs="Arial"/>
          <w:sz w:val="20"/>
          <w:szCs w:val="20"/>
        </w:rPr>
        <w:t>evaginatus</w:t>
      </w:r>
      <w:proofErr w:type="spellEnd"/>
      <w:r w:rsidRPr="005933CC">
        <w:rPr>
          <w:rFonts w:ascii="Arial" w:hAnsi="Arial" w:cs="Arial"/>
          <w:sz w:val="20"/>
          <w:szCs w:val="20"/>
        </w:rPr>
        <w:t xml:space="preserve"> of anterior teeth: literature review and radiographic survey. Oral Surg Oral Med Oral </w:t>
      </w:r>
      <w:proofErr w:type="spellStart"/>
      <w:r w:rsidRPr="005933CC">
        <w:rPr>
          <w:rFonts w:ascii="Arial" w:hAnsi="Arial" w:cs="Arial"/>
          <w:sz w:val="20"/>
          <w:szCs w:val="20"/>
        </w:rPr>
        <w:t>Pathol</w:t>
      </w:r>
      <w:proofErr w:type="spellEnd"/>
      <w:r w:rsidRPr="005933CC">
        <w:rPr>
          <w:rFonts w:ascii="Arial" w:hAnsi="Arial" w:cs="Arial"/>
          <w:sz w:val="20"/>
          <w:szCs w:val="20"/>
        </w:rPr>
        <w:t xml:space="preserve"> Oral </w:t>
      </w:r>
      <w:proofErr w:type="spellStart"/>
      <w:r w:rsidRPr="005933CC">
        <w:rPr>
          <w:rFonts w:ascii="Arial" w:hAnsi="Arial" w:cs="Arial"/>
          <w:sz w:val="20"/>
          <w:szCs w:val="20"/>
        </w:rPr>
        <w:t>RadiolEndod</w:t>
      </w:r>
      <w:proofErr w:type="spellEnd"/>
      <w:r w:rsidRPr="005933CC">
        <w:rPr>
          <w:rFonts w:ascii="Arial" w:hAnsi="Arial" w:cs="Arial"/>
          <w:sz w:val="20"/>
          <w:szCs w:val="20"/>
        </w:rPr>
        <w:t>. 1996;81(4):472–475.</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Tsegga</w:t>
      </w:r>
      <w:proofErr w:type="spellEnd"/>
      <w:r w:rsidRPr="005933CC">
        <w:rPr>
          <w:rFonts w:ascii="Arial" w:hAnsi="Arial" w:cs="Arial"/>
          <w:sz w:val="20"/>
          <w:szCs w:val="20"/>
        </w:rPr>
        <w:t xml:space="preserve"> MT, Christensen CJ. Jaw and dental abnormalities. Dent Clin North Am. 2020;64(2):275–290.</w:t>
      </w:r>
    </w:p>
    <w:p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Nahai</w:t>
      </w:r>
      <w:proofErr w:type="spellEnd"/>
      <w:r w:rsidRPr="005933CC">
        <w:rPr>
          <w:rFonts w:ascii="Arial" w:hAnsi="Arial" w:cs="Arial"/>
          <w:sz w:val="20"/>
          <w:szCs w:val="20"/>
        </w:rPr>
        <w:t xml:space="preserve"> F, Williams J, Burstein F, Martin J, Thomas J. The management of cleft lip and palate: pathways of treatment and longitudinal assessment. </w:t>
      </w:r>
      <w:proofErr w:type="spellStart"/>
      <w:r w:rsidRPr="005933CC">
        <w:rPr>
          <w:rFonts w:ascii="Arial" w:hAnsi="Arial" w:cs="Arial"/>
          <w:sz w:val="20"/>
          <w:szCs w:val="20"/>
        </w:rPr>
        <w:t>Semin</w:t>
      </w:r>
      <w:proofErr w:type="spellEnd"/>
      <w:r w:rsidRPr="005933CC">
        <w:rPr>
          <w:rFonts w:ascii="Arial" w:hAnsi="Arial" w:cs="Arial"/>
          <w:sz w:val="20"/>
          <w:szCs w:val="20"/>
        </w:rPr>
        <w:t xml:space="preserve"> </w:t>
      </w:r>
      <w:proofErr w:type="spellStart"/>
      <w:r w:rsidRPr="005933CC">
        <w:rPr>
          <w:rFonts w:ascii="Arial" w:hAnsi="Arial" w:cs="Arial"/>
          <w:sz w:val="20"/>
          <w:szCs w:val="20"/>
        </w:rPr>
        <w:t>Plast</w:t>
      </w:r>
      <w:proofErr w:type="spellEnd"/>
      <w:r w:rsidRPr="005933CC">
        <w:rPr>
          <w:rFonts w:ascii="Arial" w:hAnsi="Arial" w:cs="Arial"/>
          <w:sz w:val="20"/>
          <w:szCs w:val="20"/>
        </w:rPr>
        <w:t xml:space="preserve"> Surg. 2005;19(4):275–285.</w:t>
      </w:r>
    </w:p>
    <w:p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Riga A, </w:t>
      </w:r>
      <w:proofErr w:type="spellStart"/>
      <w:r w:rsidRPr="005933CC">
        <w:rPr>
          <w:rFonts w:ascii="Arial" w:hAnsi="Arial" w:cs="Arial"/>
          <w:sz w:val="20"/>
          <w:szCs w:val="20"/>
        </w:rPr>
        <w:t>Belcastro</w:t>
      </w:r>
      <w:proofErr w:type="spellEnd"/>
      <w:r w:rsidRPr="005933CC">
        <w:rPr>
          <w:rFonts w:ascii="Arial" w:hAnsi="Arial" w:cs="Arial"/>
          <w:sz w:val="20"/>
          <w:szCs w:val="20"/>
        </w:rPr>
        <w:t xml:space="preserve"> MG, </w:t>
      </w:r>
      <w:proofErr w:type="spellStart"/>
      <w:r w:rsidRPr="005933CC">
        <w:rPr>
          <w:rFonts w:ascii="Arial" w:hAnsi="Arial" w:cs="Arial"/>
          <w:sz w:val="20"/>
          <w:szCs w:val="20"/>
        </w:rPr>
        <w:t>Moggi</w:t>
      </w:r>
      <w:proofErr w:type="spellEnd"/>
      <w:r w:rsidRPr="005933CC">
        <w:rPr>
          <w:rFonts w:ascii="Arial" w:hAnsi="Arial" w:cs="Arial"/>
          <w:sz w:val="20"/>
          <w:szCs w:val="20"/>
        </w:rPr>
        <w:t>-Cecchi J. Environmental influences on dental morphology and development. Arch Oral Biol. 2014;59(8):847–852.</w:t>
      </w:r>
    </w:p>
    <w:p w:rsidR="00CF5E2B" w:rsidRPr="003967C0" w:rsidRDefault="003967C0" w:rsidP="00CF5E2B">
      <w:pPr>
        <w:pStyle w:val="NormalWeb"/>
        <w:numPr>
          <w:ilvl w:val="0"/>
          <w:numId w:val="29"/>
        </w:numPr>
        <w:rPr>
          <w:rFonts w:ascii="Arial" w:hAnsi="Arial" w:cs="Arial"/>
          <w:sz w:val="20"/>
          <w:szCs w:val="20"/>
        </w:rPr>
      </w:pPr>
      <w:r w:rsidRPr="003967C0">
        <w:rPr>
          <w:rFonts w:ascii="Arial" w:hAnsi="Arial" w:cs="Arial"/>
          <w:sz w:val="20"/>
          <w:szCs w:val="20"/>
        </w:rPr>
        <w:t xml:space="preserve">Patil S, Maheshwari S, Khandelwal S. Prevalence of dental anomalies in various populations: a systematic review. </w:t>
      </w:r>
      <w:r w:rsidRPr="003967C0">
        <w:rPr>
          <w:rStyle w:val="Emphasis"/>
          <w:rFonts w:ascii="Arial" w:eastAsiaTheme="majorEastAsia" w:hAnsi="Arial" w:cs="Arial"/>
          <w:sz w:val="20"/>
          <w:szCs w:val="20"/>
        </w:rPr>
        <w:t xml:space="preserve">Am J </w:t>
      </w:r>
      <w:proofErr w:type="spellStart"/>
      <w:r w:rsidRPr="003967C0">
        <w:rPr>
          <w:rStyle w:val="Emphasis"/>
          <w:rFonts w:ascii="Arial" w:eastAsiaTheme="majorEastAsia" w:hAnsi="Arial" w:cs="Arial"/>
          <w:sz w:val="20"/>
          <w:szCs w:val="20"/>
        </w:rPr>
        <w:t>Orthod</w:t>
      </w:r>
      <w:proofErr w:type="spellEnd"/>
      <w:r w:rsidRPr="003967C0">
        <w:rPr>
          <w:rStyle w:val="Emphasis"/>
          <w:rFonts w:ascii="Arial" w:eastAsiaTheme="majorEastAsia" w:hAnsi="Arial" w:cs="Arial"/>
          <w:sz w:val="20"/>
          <w:szCs w:val="20"/>
        </w:rPr>
        <w:t xml:space="preserve"> Dentofacial </w:t>
      </w:r>
      <w:proofErr w:type="spellStart"/>
      <w:r w:rsidRPr="003967C0">
        <w:rPr>
          <w:rStyle w:val="Emphasis"/>
          <w:rFonts w:ascii="Arial" w:eastAsiaTheme="majorEastAsia" w:hAnsi="Arial" w:cs="Arial"/>
          <w:sz w:val="20"/>
          <w:szCs w:val="20"/>
        </w:rPr>
        <w:t>Orthop</w:t>
      </w:r>
      <w:proofErr w:type="spellEnd"/>
      <w:r w:rsidRPr="003967C0">
        <w:rPr>
          <w:rStyle w:val="Emphasis"/>
          <w:rFonts w:ascii="Arial" w:eastAsiaTheme="majorEastAsia" w:hAnsi="Arial" w:cs="Arial"/>
          <w:sz w:val="20"/>
          <w:szCs w:val="20"/>
        </w:rPr>
        <w:t>.</w:t>
      </w:r>
      <w:r w:rsidRPr="003967C0">
        <w:rPr>
          <w:rFonts w:ascii="Arial" w:hAnsi="Arial" w:cs="Arial"/>
          <w:sz w:val="20"/>
          <w:szCs w:val="20"/>
        </w:rPr>
        <w:t xml:space="preserve"> 2017;152(3):319–329</w:t>
      </w:r>
      <w:r w:rsidR="00CF5E2B" w:rsidRPr="003967C0">
        <w:rPr>
          <w:rFonts w:ascii="Arial" w:hAnsi="Arial" w:cs="Arial"/>
          <w:sz w:val="20"/>
          <w:szCs w:val="20"/>
        </w:rPr>
        <w:t>.</w:t>
      </w:r>
    </w:p>
    <w:p w:rsidR="00BD3928" w:rsidRDefault="00BD3928" w:rsidP="00CF5E2B">
      <w:pPr>
        <w:pStyle w:val="NormalWeb"/>
        <w:numPr>
          <w:ilvl w:val="0"/>
          <w:numId w:val="29"/>
        </w:numPr>
        <w:rPr>
          <w:rFonts w:ascii="Arial" w:hAnsi="Arial" w:cs="Arial"/>
          <w:sz w:val="20"/>
          <w:szCs w:val="20"/>
        </w:rPr>
      </w:pPr>
      <w:r w:rsidRPr="00BD3928">
        <w:rPr>
          <w:rStyle w:val="Strong"/>
          <w:rFonts w:ascii="Arial" w:eastAsiaTheme="majorEastAsia" w:hAnsi="Arial" w:cs="Arial"/>
          <w:b w:val="0"/>
          <w:sz w:val="20"/>
          <w:szCs w:val="20"/>
        </w:rPr>
        <w:t xml:space="preserve">Al-Abdallah M, </w:t>
      </w:r>
      <w:proofErr w:type="spellStart"/>
      <w:r w:rsidRPr="00BD3928">
        <w:rPr>
          <w:rStyle w:val="Strong"/>
          <w:rFonts w:ascii="Arial" w:eastAsiaTheme="majorEastAsia" w:hAnsi="Arial" w:cs="Arial"/>
          <w:b w:val="0"/>
          <w:sz w:val="20"/>
          <w:szCs w:val="20"/>
        </w:rPr>
        <w:t>AlHadidi</w:t>
      </w:r>
      <w:proofErr w:type="spellEnd"/>
      <w:r w:rsidRPr="00BD3928">
        <w:rPr>
          <w:rStyle w:val="Strong"/>
          <w:rFonts w:ascii="Arial" w:eastAsiaTheme="majorEastAsia" w:hAnsi="Arial" w:cs="Arial"/>
          <w:b w:val="0"/>
          <w:sz w:val="20"/>
          <w:szCs w:val="20"/>
        </w:rPr>
        <w:t xml:space="preserve"> A, Hammad M, Al-Ahmad H.</w:t>
      </w:r>
      <w:r w:rsidRPr="00BD3928">
        <w:rPr>
          <w:rFonts w:ascii="Arial" w:hAnsi="Arial" w:cs="Arial"/>
          <w:b/>
          <w:sz w:val="20"/>
          <w:szCs w:val="20"/>
        </w:rPr>
        <w:t xml:space="preserve"> </w:t>
      </w:r>
      <w:r w:rsidRPr="00BD3928">
        <w:rPr>
          <w:rFonts w:ascii="Arial" w:hAnsi="Arial" w:cs="Arial"/>
          <w:sz w:val="20"/>
          <w:szCs w:val="20"/>
        </w:rPr>
        <w:t xml:space="preserve">Prevalence and distribution of dental anomalies: a comparison between maxillary and mandibular tooth agenesis. </w:t>
      </w:r>
      <w:r w:rsidRPr="00BD3928">
        <w:rPr>
          <w:rStyle w:val="Strong"/>
          <w:rFonts w:ascii="Arial" w:eastAsiaTheme="majorEastAsia" w:hAnsi="Arial" w:cs="Arial"/>
          <w:b w:val="0"/>
          <w:sz w:val="20"/>
          <w:szCs w:val="20"/>
        </w:rPr>
        <w:t xml:space="preserve">Am J </w:t>
      </w:r>
      <w:proofErr w:type="spellStart"/>
      <w:r w:rsidRPr="00BD3928">
        <w:rPr>
          <w:rStyle w:val="Strong"/>
          <w:rFonts w:ascii="Arial" w:eastAsiaTheme="majorEastAsia" w:hAnsi="Arial" w:cs="Arial"/>
          <w:b w:val="0"/>
          <w:sz w:val="20"/>
          <w:szCs w:val="20"/>
        </w:rPr>
        <w:t>Orthod</w:t>
      </w:r>
      <w:proofErr w:type="spellEnd"/>
      <w:r w:rsidRPr="00BD3928">
        <w:rPr>
          <w:rStyle w:val="Strong"/>
          <w:rFonts w:ascii="Arial" w:eastAsiaTheme="majorEastAsia" w:hAnsi="Arial" w:cs="Arial"/>
          <w:b w:val="0"/>
          <w:sz w:val="20"/>
          <w:szCs w:val="20"/>
        </w:rPr>
        <w:t xml:space="preserve"> Dentofacial </w:t>
      </w:r>
      <w:proofErr w:type="spellStart"/>
      <w:r w:rsidRPr="00BD3928">
        <w:rPr>
          <w:rStyle w:val="Strong"/>
          <w:rFonts w:ascii="Arial" w:eastAsiaTheme="majorEastAsia" w:hAnsi="Arial" w:cs="Arial"/>
          <w:b w:val="0"/>
          <w:sz w:val="20"/>
          <w:szCs w:val="20"/>
        </w:rPr>
        <w:t>Orthop</w:t>
      </w:r>
      <w:proofErr w:type="spellEnd"/>
      <w:r w:rsidRPr="00BD3928">
        <w:rPr>
          <w:rStyle w:val="Strong"/>
          <w:rFonts w:ascii="Arial" w:eastAsiaTheme="majorEastAsia" w:hAnsi="Arial" w:cs="Arial"/>
          <w:sz w:val="20"/>
          <w:szCs w:val="20"/>
        </w:rPr>
        <w:t>.</w:t>
      </w:r>
      <w:r w:rsidRPr="00BD3928">
        <w:rPr>
          <w:rFonts w:ascii="Arial" w:hAnsi="Arial" w:cs="Arial"/>
          <w:sz w:val="20"/>
          <w:szCs w:val="20"/>
        </w:rPr>
        <w:t xml:space="preserve"> 2015;148(5):793–798.</w:t>
      </w:r>
    </w:p>
    <w:p w:rsidR="0044792E" w:rsidRPr="0044792E" w:rsidRDefault="0044792E" w:rsidP="0044792E">
      <w:pPr>
        <w:numPr>
          <w:ilvl w:val="0"/>
          <w:numId w:val="29"/>
        </w:numPr>
        <w:spacing w:before="100" w:beforeAutospacing="1" w:after="100" w:afterAutospacing="1" w:line="240" w:lineRule="auto"/>
        <w:rPr>
          <w:rFonts w:ascii="Arial" w:eastAsia="Times New Roman" w:hAnsi="Arial" w:cs="Arial"/>
          <w:kern w:val="0"/>
          <w:sz w:val="20"/>
          <w:szCs w:val="20"/>
          <w:lang w:val="en-US"/>
        </w:rPr>
      </w:pPr>
      <w:r w:rsidRPr="0044792E">
        <w:rPr>
          <w:rFonts w:ascii="Arial" w:eastAsia="Times New Roman" w:hAnsi="Arial" w:cs="Arial"/>
          <w:kern w:val="0"/>
          <w:sz w:val="20"/>
          <w:szCs w:val="20"/>
          <w:lang w:val="en-US"/>
        </w:rPr>
        <w:t>Hummel B, Yu Q, Frazier J, Ballard RW, Johnson JT, Armbruster PC. The prevalence of developmental dental and eruption anomalies assessed using panoramic radiographs: a retrospective study. Gen Dent. 2023;71(1):19</w:t>
      </w:r>
      <w:r w:rsidRPr="0044792E">
        <w:rPr>
          <w:rFonts w:ascii="Arial" w:eastAsia="Times New Roman" w:hAnsi="Arial" w:cs="Arial"/>
          <w:kern w:val="0"/>
          <w:sz w:val="20"/>
          <w:szCs w:val="20"/>
          <w:lang w:val="en-US"/>
        </w:rPr>
        <w:noBreakHyphen/>
        <w:t xml:space="preserve">23. </w:t>
      </w:r>
    </w:p>
    <w:p w:rsidR="0044792E" w:rsidRPr="0044792E" w:rsidRDefault="0044792E" w:rsidP="0044792E">
      <w:pPr>
        <w:numPr>
          <w:ilvl w:val="0"/>
          <w:numId w:val="29"/>
        </w:numPr>
        <w:spacing w:before="100" w:beforeAutospacing="1" w:after="100" w:afterAutospacing="1" w:line="240" w:lineRule="auto"/>
        <w:rPr>
          <w:rFonts w:ascii="Arial" w:eastAsia="Times New Roman" w:hAnsi="Arial" w:cs="Arial"/>
          <w:kern w:val="0"/>
          <w:sz w:val="20"/>
          <w:szCs w:val="20"/>
          <w:lang w:val="en-US"/>
        </w:rPr>
      </w:pPr>
      <w:proofErr w:type="spellStart"/>
      <w:r w:rsidRPr="0044792E">
        <w:rPr>
          <w:rFonts w:ascii="Arial" w:eastAsia="Times New Roman" w:hAnsi="Arial" w:cs="Arial"/>
          <w:kern w:val="0"/>
          <w:sz w:val="20"/>
          <w:szCs w:val="20"/>
          <w:lang w:val="en-US"/>
        </w:rPr>
        <w:t>Sobouti</w:t>
      </w:r>
      <w:proofErr w:type="spellEnd"/>
      <w:r w:rsidRPr="0044792E">
        <w:rPr>
          <w:rFonts w:ascii="Arial" w:eastAsia="Times New Roman" w:hAnsi="Arial" w:cs="Arial"/>
          <w:kern w:val="0"/>
          <w:sz w:val="20"/>
          <w:szCs w:val="20"/>
          <w:lang w:val="en-US"/>
        </w:rPr>
        <w:t xml:space="preserve"> F, </w:t>
      </w:r>
      <w:proofErr w:type="spellStart"/>
      <w:r w:rsidRPr="0044792E">
        <w:rPr>
          <w:rFonts w:ascii="Arial" w:eastAsia="Times New Roman" w:hAnsi="Arial" w:cs="Arial"/>
          <w:kern w:val="0"/>
          <w:sz w:val="20"/>
          <w:szCs w:val="20"/>
          <w:lang w:val="en-US"/>
        </w:rPr>
        <w:t>Dadgar</w:t>
      </w:r>
      <w:proofErr w:type="spellEnd"/>
      <w:r w:rsidRPr="0044792E">
        <w:rPr>
          <w:rFonts w:ascii="Arial" w:eastAsia="Times New Roman" w:hAnsi="Arial" w:cs="Arial"/>
          <w:kern w:val="0"/>
          <w:sz w:val="20"/>
          <w:szCs w:val="20"/>
          <w:lang w:val="en-US"/>
        </w:rPr>
        <w:t xml:space="preserve"> S, </w:t>
      </w:r>
      <w:proofErr w:type="spellStart"/>
      <w:r w:rsidRPr="0044792E">
        <w:rPr>
          <w:rFonts w:ascii="Arial" w:eastAsia="Times New Roman" w:hAnsi="Arial" w:cs="Arial"/>
          <w:kern w:val="0"/>
          <w:sz w:val="20"/>
          <w:szCs w:val="20"/>
          <w:lang w:val="en-US"/>
        </w:rPr>
        <w:t>Goleyjani</w:t>
      </w:r>
      <w:proofErr w:type="spellEnd"/>
      <w:r w:rsidRPr="0044792E">
        <w:rPr>
          <w:rFonts w:ascii="Arial" w:eastAsia="Times New Roman" w:hAnsi="Arial" w:cs="Arial"/>
          <w:kern w:val="0"/>
          <w:sz w:val="20"/>
          <w:szCs w:val="20"/>
          <w:lang w:val="en-US"/>
        </w:rPr>
        <w:t xml:space="preserve"> P, </w:t>
      </w:r>
      <w:proofErr w:type="spellStart"/>
      <w:r w:rsidRPr="0044792E">
        <w:rPr>
          <w:rFonts w:ascii="Arial" w:eastAsia="Times New Roman" w:hAnsi="Arial" w:cs="Arial"/>
          <w:kern w:val="0"/>
          <w:sz w:val="20"/>
          <w:szCs w:val="20"/>
          <w:lang w:val="en-US"/>
        </w:rPr>
        <w:t>Rakhshan</w:t>
      </w:r>
      <w:proofErr w:type="spellEnd"/>
      <w:r w:rsidRPr="0044792E">
        <w:rPr>
          <w:rFonts w:ascii="Arial" w:eastAsia="Times New Roman" w:hAnsi="Arial" w:cs="Arial"/>
          <w:kern w:val="0"/>
          <w:sz w:val="20"/>
          <w:szCs w:val="20"/>
          <w:lang w:val="en-US"/>
        </w:rPr>
        <w:t xml:space="preserve"> V. Associations across 22 dental and craniovertebral anomalies or variations, sagittal skeletal relationships, and vertical growth patterns: a comprehensive epidemiological study of 43 dentoskeletal traits. BMC Oral Health. </w:t>
      </w:r>
      <w:proofErr w:type="gramStart"/>
      <w:r w:rsidRPr="0044792E">
        <w:rPr>
          <w:rFonts w:ascii="Arial" w:eastAsia="Times New Roman" w:hAnsi="Arial" w:cs="Arial"/>
          <w:kern w:val="0"/>
          <w:sz w:val="20"/>
          <w:szCs w:val="20"/>
          <w:lang w:val="en-US"/>
        </w:rPr>
        <w:t>2023;23:877</w:t>
      </w:r>
      <w:proofErr w:type="gramEnd"/>
      <w:r w:rsidRPr="0044792E">
        <w:rPr>
          <w:rFonts w:ascii="Arial" w:eastAsia="Times New Roman" w:hAnsi="Arial" w:cs="Arial"/>
          <w:kern w:val="0"/>
          <w:sz w:val="20"/>
          <w:szCs w:val="20"/>
          <w:lang w:val="en-US"/>
        </w:rPr>
        <w:t xml:space="preserve">. </w:t>
      </w:r>
    </w:p>
    <w:p w:rsidR="0044792E" w:rsidRPr="0044792E" w:rsidRDefault="0044792E" w:rsidP="0044792E">
      <w:pPr>
        <w:numPr>
          <w:ilvl w:val="0"/>
          <w:numId w:val="29"/>
        </w:numPr>
        <w:spacing w:before="100" w:beforeAutospacing="1" w:after="100" w:afterAutospacing="1" w:line="240" w:lineRule="auto"/>
        <w:rPr>
          <w:rFonts w:ascii="Arial" w:eastAsia="Times New Roman" w:hAnsi="Arial" w:cs="Arial"/>
          <w:kern w:val="0"/>
          <w:sz w:val="20"/>
          <w:szCs w:val="20"/>
          <w:lang w:val="en-US"/>
        </w:rPr>
      </w:pPr>
      <w:proofErr w:type="spellStart"/>
      <w:r w:rsidRPr="0044792E">
        <w:rPr>
          <w:rFonts w:ascii="Arial" w:eastAsia="Times New Roman" w:hAnsi="Arial" w:cs="Arial"/>
          <w:kern w:val="0"/>
          <w:sz w:val="20"/>
          <w:szCs w:val="20"/>
          <w:lang w:val="en-US"/>
        </w:rPr>
        <w:t>Kvaratsthelia</w:t>
      </w:r>
      <w:proofErr w:type="spellEnd"/>
      <w:r w:rsidRPr="0044792E">
        <w:rPr>
          <w:rFonts w:ascii="Arial" w:eastAsia="Times New Roman" w:hAnsi="Arial" w:cs="Arial"/>
          <w:kern w:val="0"/>
          <w:sz w:val="20"/>
          <w:szCs w:val="20"/>
          <w:lang w:val="en-US"/>
        </w:rPr>
        <w:t xml:space="preserve"> S. Prevalence of dentition, dental arches and dental anomalies: a clinical study. Georgian Med News. </w:t>
      </w:r>
      <w:proofErr w:type="gramStart"/>
      <w:r w:rsidRPr="0044792E">
        <w:rPr>
          <w:rFonts w:ascii="Arial" w:eastAsia="Times New Roman" w:hAnsi="Arial" w:cs="Arial"/>
          <w:kern w:val="0"/>
          <w:sz w:val="20"/>
          <w:szCs w:val="20"/>
          <w:lang w:val="en-US"/>
        </w:rPr>
        <w:t>2024;347:177</w:t>
      </w:r>
      <w:proofErr w:type="gramEnd"/>
      <w:r w:rsidRPr="0044792E">
        <w:rPr>
          <w:rFonts w:ascii="Arial" w:eastAsia="Times New Roman" w:hAnsi="Arial" w:cs="Arial"/>
          <w:kern w:val="0"/>
          <w:sz w:val="20"/>
          <w:szCs w:val="20"/>
          <w:lang w:val="en-US"/>
        </w:rPr>
        <w:noBreakHyphen/>
        <w:t xml:space="preserve">180. </w:t>
      </w:r>
    </w:p>
    <w:p w:rsidR="0044792E" w:rsidRPr="0044792E" w:rsidRDefault="0044792E" w:rsidP="0044792E">
      <w:pPr>
        <w:numPr>
          <w:ilvl w:val="0"/>
          <w:numId w:val="29"/>
        </w:numPr>
        <w:spacing w:before="100" w:beforeAutospacing="1" w:after="100" w:afterAutospacing="1" w:line="240" w:lineRule="auto"/>
        <w:rPr>
          <w:rFonts w:ascii="Arial" w:eastAsia="Times New Roman" w:hAnsi="Arial" w:cs="Arial"/>
          <w:kern w:val="0"/>
          <w:sz w:val="20"/>
          <w:szCs w:val="20"/>
          <w:lang w:val="en-US"/>
        </w:rPr>
      </w:pPr>
      <w:r w:rsidRPr="0044792E">
        <w:rPr>
          <w:rFonts w:ascii="Arial" w:eastAsia="Times New Roman" w:hAnsi="Arial" w:cs="Arial"/>
          <w:kern w:val="0"/>
          <w:sz w:val="20"/>
          <w:szCs w:val="20"/>
          <w:lang w:val="en-US"/>
        </w:rPr>
        <w:t>Batra M, Gupta A, Singh S, et al. Prevalence of developmental anomalies in teeth among Indian school children: an epidemiological study. Asian J Dent Oral Health. 2025;21(5):1135</w:t>
      </w:r>
      <w:r w:rsidRPr="0044792E">
        <w:rPr>
          <w:rFonts w:ascii="Arial" w:eastAsia="Times New Roman" w:hAnsi="Arial" w:cs="Arial"/>
          <w:kern w:val="0"/>
          <w:sz w:val="20"/>
          <w:szCs w:val="20"/>
          <w:lang w:val="en-US"/>
        </w:rPr>
        <w:noBreakHyphen/>
        <w:t xml:space="preserve">1138. </w:t>
      </w:r>
    </w:p>
    <w:p w:rsidR="0044792E" w:rsidRPr="0044792E" w:rsidRDefault="0044792E" w:rsidP="0044792E">
      <w:pPr>
        <w:numPr>
          <w:ilvl w:val="0"/>
          <w:numId w:val="29"/>
        </w:numPr>
        <w:spacing w:before="100" w:beforeAutospacing="1" w:after="100" w:afterAutospacing="1" w:line="240" w:lineRule="auto"/>
        <w:rPr>
          <w:rFonts w:ascii="Arial" w:eastAsia="Times New Roman" w:hAnsi="Arial" w:cs="Arial"/>
          <w:kern w:val="0"/>
          <w:sz w:val="20"/>
          <w:szCs w:val="20"/>
          <w:lang w:val="en-US"/>
        </w:rPr>
      </w:pPr>
      <w:proofErr w:type="spellStart"/>
      <w:r w:rsidRPr="0044792E">
        <w:rPr>
          <w:rFonts w:ascii="Arial" w:eastAsia="Times New Roman" w:hAnsi="Arial" w:cs="Arial"/>
          <w:kern w:val="0"/>
          <w:sz w:val="20"/>
          <w:szCs w:val="20"/>
          <w:lang w:val="en-US"/>
        </w:rPr>
        <w:t>Aljuaid</w:t>
      </w:r>
      <w:proofErr w:type="spellEnd"/>
      <w:r w:rsidRPr="0044792E">
        <w:rPr>
          <w:rFonts w:ascii="Arial" w:eastAsia="Times New Roman" w:hAnsi="Arial" w:cs="Arial"/>
          <w:kern w:val="0"/>
          <w:sz w:val="20"/>
          <w:szCs w:val="20"/>
          <w:lang w:val="en-US"/>
        </w:rPr>
        <w:t xml:space="preserve"> TS, </w:t>
      </w:r>
      <w:proofErr w:type="spellStart"/>
      <w:r w:rsidRPr="0044792E">
        <w:rPr>
          <w:rFonts w:ascii="Arial" w:eastAsia="Times New Roman" w:hAnsi="Arial" w:cs="Arial"/>
          <w:kern w:val="0"/>
          <w:sz w:val="20"/>
          <w:szCs w:val="20"/>
          <w:lang w:val="en-US"/>
        </w:rPr>
        <w:t>Manjunatha</w:t>
      </w:r>
      <w:proofErr w:type="spellEnd"/>
      <w:r w:rsidRPr="0044792E">
        <w:rPr>
          <w:rFonts w:ascii="Arial" w:eastAsia="Times New Roman" w:hAnsi="Arial" w:cs="Arial"/>
          <w:kern w:val="0"/>
          <w:sz w:val="20"/>
          <w:szCs w:val="20"/>
          <w:lang w:val="en-US"/>
        </w:rPr>
        <w:t xml:space="preserve"> BS, </w:t>
      </w:r>
      <w:proofErr w:type="spellStart"/>
      <w:r w:rsidRPr="0044792E">
        <w:rPr>
          <w:rFonts w:ascii="Arial" w:eastAsia="Times New Roman" w:hAnsi="Arial" w:cs="Arial"/>
          <w:kern w:val="0"/>
          <w:sz w:val="20"/>
          <w:szCs w:val="20"/>
          <w:lang w:val="en-US"/>
        </w:rPr>
        <w:t>Amith</w:t>
      </w:r>
      <w:proofErr w:type="spellEnd"/>
      <w:r w:rsidRPr="0044792E">
        <w:rPr>
          <w:rFonts w:ascii="Arial" w:eastAsia="Times New Roman" w:hAnsi="Arial" w:cs="Arial"/>
          <w:kern w:val="0"/>
          <w:sz w:val="20"/>
          <w:szCs w:val="20"/>
          <w:lang w:val="en-US"/>
        </w:rPr>
        <w:t xml:space="preserve"> HV, et al. Prevalence and distribution of selected developmental dental anomalies in </w:t>
      </w:r>
      <w:proofErr w:type="spellStart"/>
      <w:r w:rsidRPr="0044792E">
        <w:rPr>
          <w:rFonts w:ascii="Arial" w:eastAsia="Times New Roman" w:hAnsi="Arial" w:cs="Arial"/>
          <w:kern w:val="0"/>
          <w:sz w:val="20"/>
          <w:szCs w:val="20"/>
          <w:lang w:val="en-US"/>
        </w:rPr>
        <w:t>Taif</w:t>
      </w:r>
      <w:proofErr w:type="spellEnd"/>
      <w:r w:rsidRPr="0044792E">
        <w:rPr>
          <w:rFonts w:ascii="Arial" w:eastAsia="Times New Roman" w:hAnsi="Arial" w:cs="Arial"/>
          <w:kern w:val="0"/>
          <w:sz w:val="20"/>
          <w:szCs w:val="20"/>
          <w:lang w:val="en-US"/>
        </w:rPr>
        <w:t xml:space="preserve">, Saudi population. J Public Health Res. 2022;11(1):2132. </w:t>
      </w:r>
    </w:p>
    <w:p w:rsidR="0044792E" w:rsidRPr="00BD3928" w:rsidRDefault="0044792E" w:rsidP="0044792E">
      <w:pPr>
        <w:pStyle w:val="NormalWeb"/>
        <w:ind w:left="284"/>
        <w:rPr>
          <w:rFonts w:ascii="Arial" w:hAnsi="Arial" w:cs="Arial"/>
          <w:sz w:val="20"/>
          <w:szCs w:val="20"/>
        </w:rPr>
      </w:pPr>
    </w:p>
    <w:p w:rsidR="00B61255" w:rsidRPr="00BD3928" w:rsidRDefault="00B61255" w:rsidP="00CF5E2B">
      <w:pPr>
        <w:rPr>
          <w:rFonts w:ascii="Arial" w:hAnsi="Arial" w:cs="Arial"/>
          <w:sz w:val="20"/>
          <w:szCs w:val="20"/>
        </w:rPr>
      </w:pPr>
    </w:p>
    <w:p w:rsidR="00877DFB" w:rsidRPr="00BD3928" w:rsidRDefault="00877DFB">
      <w:pPr>
        <w:rPr>
          <w:rFonts w:ascii="Arial" w:hAnsi="Arial" w:cs="Arial"/>
          <w:sz w:val="20"/>
          <w:szCs w:val="20"/>
        </w:rPr>
      </w:pPr>
    </w:p>
    <w:sectPr w:rsidR="00877DFB" w:rsidRPr="00BD3928" w:rsidSect="00823AD6">
      <w:headerReference w:type="even" r:id="rId22"/>
      <w:headerReference w:type="default" r:id="rId23"/>
      <w:footerReference w:type="default" r:id="rId24"/>
      <w:headerReference w:type="firs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86A" w:rsidRDefault="0076586A" w:rsidP="00475FBA">
      <w:pPr>
        <w:spacing w:after="0" w:line="240" w:lineRule="auto"/>
      </w:pPr>
      <w:r>
        <w:separator/>
      </w:r>
    </w:p>
  </w:endnote>
  <w:endnote w:type="continuationSeparator" w:id="0">
    <w:p w:rsidR="0076586A" w:rsidRDefault="0076586A" w:rsidP="0047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D6" w:rsidRDefault="0082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D6" w:rsidRDefault="00823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705" w:rsidRPr="00823AD6" w:rsidRDefault="00716705" w:rsidP="00823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FBA" w:rsidRDefault="00475FBA">
    <w:pPr>
      <w:pStyle w:val="Footer"/>
    </w:pPr>
  </w:p>
  <w:p w:rsidR="00475FBA" w:rsidRDefault="00475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86A" w:rsidRDefault="0076586A" w:rsidP="00475FBA">
      <w:pPr>
        <w:spacing w:after="0" w:line="240" w:lineRule="auto"/>
      </w:pPr>
      <w:r>
        <w:separator/>
      </w:r>
    </w:p>
  </w:footnote>
  <w:footnote w:type="continuationSeparator" w:id="0">
    <w:p w:rsidR="0076586A" w:rsidRDefault="0076586A" w:rsidP="00475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D6" w:rsidRDefault="00765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4"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D6" w:rsidRDefault="00765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5"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705" w:rsidRPr="00296529" w:rsidRDefault="0076586A" w:rsidP="00296529">
    <w:pPr>
      <w:ind w:left="2160"/>
      <w:jc w:val="center"/>
      <w:rPr>
        <w:rFonts w:ascii="Times New Roman" w:eastAsia="Calibri" w:hAnsi="Times New Roman"/>
        <w:i/>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3"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716705" w:rsidRPr="00296529" w:rsidRDefault="00716705" w:rsidP="00296529">
    <w:pPr>
      <w:ind w:left="4320"/>
      <w:rPr>
        <w:rFonts w:ascii="Times New Roman" w:eastAsia="Calibri" w:hAnsi="Times New Roman"/>
        <w:i/>
        <w:sz w:val="18"/>
      </w:rPr>
    </w:pPr>
    <w:r>
      <w:rPr>
        <w:rFonts w:ascii="Times New Roman" w:eastAsia="Calibri" w:hAnsi="Times New Roman"/>
        <w:i/>
        <w:sz w:val="18"/>
      </w:rPr>
      <w:t>.</w:t>
    </w:r>
  </w:p>
  <w:p w:rsidR="00716705" w:rsidRPr="00296529" w:rsidRDefault="00716705" w:rsidP="00296529">
    <w:pPr>
      <w:jc w:val="center"/>
      <w:rPr>
        <w:rFonts w:ascii="Times New Roman" w:eastAsia="Calibri" w:hAnsi="Times New Roman"/>
        <w:i/>
        <w:sz w:val="18"/>
      </w:rPr>
    </w:pPr>
    <w:r>
      <w:rPr>
        <w:rFonts w:ascii="Times New Roman" w:eastAsia="Calibri" w:hAnsi="Times New Roman"/>
        <w:i/>
        <w:sz w:val="18"/>
      </w:rPr>
      <w:t>.</w:t>
    </w:r>
  </w:p>
  <w:p w:rsidR="00716705" w:rsidRPr="00296529" w:rsidRDefault="00716705" w:rsidP="00296529">
    <w:pPr>
      <w:spacing w:after="200"/>
      <w:jc w:val="center"/>
      <w:rPr>
        <w:rFonts w:ascii="Times New Roman" w:eastAsia="Calibri" w:hAnsi="Times New Roman"/>
        <w:b/>
        <w:i/>
        <w:sz w:val="32"/>
      </w:rPr>
    </w:pPr>
    <w:r>
      <w:rPr>
        <w:rFonts w:ascii="Times New Roman" w:eastAsia="Calibri" w:hAnsi="Times New Roman"/>
        <w:b/>
        <w:i/>
        <w:sz w:val="32"/>
      </w:rPr>
      <w:t>.</w:t>
    </w:r>
  </w:p>
  <w:p w:rsidR="00716705" w:rsidRDefault="00716705" w:rsidP="00296529">
    <w:pPr>
      <w:jc w:val="center"/>
      <w:rPr>
        <w:rFonts w:ascii="Times New Roman" w:eastAsia="Calibri" w:hAnsi="Times New Roman"/>
        <w:i/>
        <w:sz w:val="18"/>
      </w:rPr>
    </w:pPr>
  </w:p>
  <w:p w:rsidR="00716705" w:rsidRDefault="00716705" w:rsidP="00296529">
    <w:pPr>
      <w:tabs>
        <w:tab w:val="left" w:pos="2145"/>
      </w:tabs>
      <w:rPr>
        <w:rFonts w:ascii="Times New Roman" w:eastAsia="Calibri" w:hAnsi="Times New Roman"/>
        <w:i/>
        <w:sz w:val="18"/>
      </w:rPr>
    </w:pPr>
    <w:r>
      <w:rPr>
        <w:rFonts w:ascii="Times New Roman" w:eastAsia="Calibri" w:hAnsi="Times New Roman"/>
        <w:i/>
        <w:sz w:val="18"/>
      </w:rPr>
      <w:tab/>
      <w:t>.</w:t>
    </w:r>
  </w:p>
  <w:p w:rsidR="00716705" w:rsidRDefault="0071670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D6" w:rsidRDefault="00765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7"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D6" w:rsidRDefault="00765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8"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D6" w:rsidRDefault="00765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6"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AB2"/>
    <w:multiLevelType w:val="multilevel"/>
    <w:tmpl w:val="045A54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DE01B9"/>
    <w:multiLevelType w:val="multilevel"/>
    <w:tmpl w:val="9464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167EF"/>
    <w:multiLevelType w:val="multilevel"/>
    <w:tmpl w:val="388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DC5"/>
    <w:multiLevelType w:val="multilevel"/>
    <w:tmpl w:val="F15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B581E"/>
    <w:multiLevelType w:val="multilevel"/>
    <w:tmpl w:val="9712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82A37"/>
    <w:multiLevelType w:val="multilevel"/>
    <w:tmpl w:val="69C04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0A23"/>
    <w:multiLevelType w:val="multilevel"/>
    <w:tmpl w:val="0C90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E099C"/>
    <w:multiLevelType w:val="multilevel"/>
    <w:tmpl w:val="96E0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41CF1"/>
    <w:multiLevelType w:val="multilevel"/>
    <w:tmpl w:val="101C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23094"/>
    <w:multiLevelType w:val="multilevel"/>
    <w:tmpl w:val="A52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551E2"/>
    <w:multiLevelType w:val="multilevel"/>
    <w:tmpl w:val="12E4F38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247A42"/>
    <w:multiLevelType w:val="multilevel"/>
    <w:tmpl w:val="08A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B6E2B"/>
    <w:multiLevelType w:val="multilevel"/>
    <w:tmpl w:val="6BC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4274A"/>
    <w:multiLevelType w:val="multilevel"/>
    <w:tmpl w:val="E31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93A0E"/>
    <w:multiLevelType w:val="multilevel"/>
    <w:tmpl w:val="B4F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37586"/>
    <w:multiLevelType w:val="multilevel"/>
    <w:tmpl w:val="F35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31943"/>
    <w:multiLevelType w:val="multilevel"/>
    <w:tmpl w:val="AD62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A23176"/>
    <w:multiLevelType w:val="multilevel"/>
    <w:tmpl w:val="762E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24FAC"/>
    <w:multiLevelType w:val="multilevel"/>
    <w:tmpl w:val="9ADA3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EA1F6D"/>
    <w:multiLevelType w:val="multilevel"/>
    <w:tmpl w:val="B642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2020F"/>
    <w:multiLevelType w:val="multilevel"/>
    <w:tmpl w:val="627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15E92"/>
    <w:multiLevelType w:val="multilevel"/>
    <w:tmpl w:val="A222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A211C"/>
    <w:multiLevelType w:val="multilevel"/>
    <w:tmpl w:val="EA2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D2E87"/>
    <w:multiLevelType w:val="multilevel"/>
    <w:tmpl w:val="34A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643C0E"/>
    <w:multiLevelType w:val="multilevel"/>
    <w:tmpl w:val="29E2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C39BD"/>
    <w:multiLevelType w:val="multilevel"/>
    <w:tmpl w:val="AE66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B4F58"/>
    <w:multiLevelType w:val="multilevel"/>
    <w:tmpl w:val="4F64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834C7"/>
    <w:multiLevelType w:val="multilevel"/>
    <w:tmpl w:val="F17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FD1365"/>
    <w:multiLevelType w:val="multilevel"/>
    <w:tmpl w:val="6C8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872F2"/>
    <w:multiLevelType w:val="multilevel"/>
    <w:tmpl w:val="FFF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50551"/>
    <w:multiLevelType w:val="multilevel"/>
    <w:tmpl w:val="4E48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E534F"/>
    <w:multiLevelType w:val="multilevel"/>
    <w:tmpl w:val="712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CD7761"/>
    <w:multiLevelType w:val="multilevel"/>
    <w:tmpl w:val="3218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70D4F"/>
    <w:multiLevelType w:val="multilevel"/>
    <w:tmpl w:val="988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1"/>
  </w:num>
  <w:num w:numId="3">
    <w:abstractNumId w:val="13"/>
  </w:num>
  <w:num w:numId="4">
    <w:abstractNumId w:val="1"/>
  </w:num>
  <w:num w:numId="5">
    <w:abstractNumId w:val="28"/>
  </w:num>
  <w:num w:numId="6">
    <w:abstractNumId w:val="2"/>
  </w:num>
  <w:num w:numId="7">
    <w:abstractNumId w:val="32"/>
  </w:num>
  <w:num w:numId="8">
    <w:abstractNumId w:val="22"/>
  </w:num>
  <w:num w:numId="9">
    <w:abstractNumId w:val="6"/>
  </w:num>
  <w:num w:numId="10">
    <w:abstractNumId w:val="29"/>
  </w:num>
  <w:num w:numId="11">
    <w:abstractNumId w:val="14"/>
  </w:num>
  <w:num w:numId="12">
    <w:abstractNumId w:val="9"/>
  </w:num>
  <w:num w:numId="13">
    <w:abstractNumId w:val="21"/>
  </w:num>
  <w:num w:numId="14">
    <w:abstractNumId w:val="5"/>
  </w:num>
  <w:num w:numId="15">
    <w:abstractNumId w:val="30"/>
  </w:num>
  <w:num w:numId="16">
    <w:abstractNumId w:val="23"/>
  </w:num>
  <w:num w:numId="17">
    <w:abstractNumId w:val="25"/>
  </w:num>
  <w:num w:numId="18">
    <w:abstractNumId w:val="3"/>
  </w:num>
  <w:num w:numId="19">
    <w:abstractNumId w:val="4"/>
  </w:num>
  <w:num w:numId="20">
    <w:abstractNumId w:val="26"/>
  </w:num>
  <w:num w:numId="21">
    <w:abstractNumId w:val="8"/>
  </w:num>
  <w:num w:numId="22">
    <w:abstractNumId w:val="16"/>
  </w:num>
  <w:num w:numId="23">
    <w:abstractNumId w:val="19"/>
  </w:num>
  <w:num w:numId="24">
    <w:abstractNumId w:val="33"/>
  </w:num>
  <w:num w:numId="25">
    <w:abstractNumId w:val="18"/>
  </w:num>
  <w:num w:numId="26">
    <w:abstractNumId w:val="27"/>
  </w:num>
  <w:num w:numId="27">
    <w:abstractNumId w:val="31"/>
  </w:num>
  <w:num w:numId="28">
    <w:abstractNumId w:val="12"/>
  </w:num>
  <w:num w:numId="29">
    <w:abstractNumId w:val="0"/>
  </w:num>
  <w:num w:numId="30">
    <w:abstractNumId w:val="17"/>
  </w:num>
  <w:num w:numId="31">
    <w:abstractNumId w:val="7"/>
  </w:num>
  <w:num w:numId="32">
    <w:abstractNumId w:val="20"/>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2B3"/>
    <w:rsid w:val="00000BDE"/>
    <w:rsid w:val="000141B5"/>
    <w:rsid w:val="00063FCC"/>
    <w:rsid w:val="00066954"/>
    <w:rsid w:val="00067A43"/>
    <w:rsid w:val="00085CE7"/>
    <w:rsid w:val="000F1C29"/>
    <w:rsid w:val="000F39EB"/>
    <w:rsid w:val="00173951"/>
    <w:rsid w:val="001A02B3"/>
    <w:rsid w:val="001B52B3"/>
    <w:rsid w:val="001D073B"/>
    <w:rsid w:val="001D63D7"/>
    <w:rsid w:val="00217875"/>
    <w:rsid w:val="00231EC7"/>
    <w:rsid w:val="002331B7"/>
    <w:rsid w:val="00265629"/>
    <w:rsid w:val="00284B18"/>
    <w:rsid w:val="002C5155"/>
    <w:rsid w:val="002E57E8"/>
    <w:rsid w:val="00311C43"/>
    <w:rsid w:val="0032468F"/>
    <w:rsid w:val="00336AE0"/>
    <w:rsid w:val="00340047"/>
    <w:rsid w:val="00360528"/>
    <w:rsid w:val="00364A91"/>
    <w:rsid w:val="003967C0"/>
    <w:rsid w:val="003A45BF"/>
    <w:rsid w:val="003B7482"/>
    <w:rsid w:val="003C62A0"/>
    <w:rsid w:val="003D6844"/>
    <w:rsid w:val="003D6FB9"/>
    <w:rsid w:val="003E4C77"/>
    <w:rsid w:val="00404ED9"/>
    <w:rsid w:val="00430D12"/>
    <w:rsid w:val="00440C4D"/>
    <w:rsid w:val="0044792E"/>
    <w:rsid w:val="00475FBA"/>
    <w:rsid w:val="00480BEA"/>
    <w:rsid w:val="00497712"/>
    <w:rsid w:val="004C0D4B"/>
    <w:rsid w:val="004E4E02"/>
    <w:rsid w:val="0050610D"/>
    <w:rsid w:val="00513763"/>
    <w:rsid w:val="005655E6"/>
    <w:rsid w:val="00585797"/>
    <w:rsid w:val="005933CC"/>
    <w:rsid w:val="00660576"/>
    <w:rsid w:val="00682D69"/>
    <w:rsid w:val="006B2AC1"/>
    <w:rsid w:val="006B5B78"/>
    <w:rsid w:val="006B70B8"/>
    <w:rsid w:val="006E249C"/>
    <w:rsid w:val="006F353A"/>
    <w:rsid w:val="0070761A"/>
    <w:rsid w:val="00716705"/>
    <w:rsid w:val="0073008B"/>
    <w:rsid w:val="00746178"/>
    <w:rsid w:val="00755960"/>
    <w:rsid w:val="00757F42"/>
    <w:rsid w:val="00763E35"/>
    <w:rsid w:val="0076586A"/>
    <w:rsid w:val="007735F2"/>
    <w:rsid w:val="007D2C5C"/>
    <w:rsid w:val="007D3CE2"/>
    <w:rsid w:val="007D7627"/>
    <w:rsid w:val="007F23E8"/>
    <w:rsid w:val="00823AD6"/>
    <w:rsid w:val="00877DFB"/>
    <w:rsid w:val="00887FAD"/>
    <w:rsid w:val="008D73D1"/>
    <w:rsid w:val="008E77F7"/>
    <w:rsid w:val="00903019"/>
    <w:rsid w:val="00931964"/>
    <w:rsid w:val="00966DB2"/>
    <w:rsid w:val="009B4F96"/>
    <w:rsid w:val="009C105A"/>
    <w:rsid w:val="009D6E85"/>
    <w:rsid w:val="009F5B70"/>
    <w:rsid w:val="00A33CF5"/>
    <w:rsid w:val="00A378BF"/>
    <w:rsid w:val="00A7595F"/>
    <w:rsid w:val="00A77DA0"/>
    <w:rsid w:val="00A9673D"/>
    <w:rsid w:val="00AA118A"/>
    <w:rsid w:val="00AB06BD"/>
    <w:rsid w:val="00AD7EC7"/>
    <w:rsid w:val="00AE6F71"/>
    <w:rsid w:val="00B56035"/>
    <w:rsid w:val="00B576D6"/>
    <w:rsid w:val="00B61255"/>
    <w:rsid w:val="00B6394C"/>
    <w:rsid w:val="00BB05EC"/>
    <w:rsid w:val="00BD3450"/>
    <w:rsid w:val="00BD3928"/>
    <w:rsid w:val="00BE5A98"/>
    <w:rsid w:val="00C02330"/>
    <w:rsid w:val="00C0532B"/>
    <w:rsid w:val="00C16718"/>
    <w:rsid w:val="00C5309C"/>
    <w:rsid w:val="00C561E5"/>
    <w:rsid w:val="00C83647"/>
    <w:rsid w:val="00CA7832"/>
    <w:rsid w:val="00CF2803"/>
    <w:rsid w:val="00CF5E2B"/>
    <w:rsid w:val="00D17187"/>
    <w:rsid w:val="00D279EE"/>
    <w:rsid w:val="00D50C39"/>
    <w:rsid w:val="00DB53A5"/>
    <w:rsid w:val="00DB5DD5"/>
    <w:rsid w:val="00E50391"/>
    <w:rsid w:val="00E86BF0"/>
    <w:rsid w:val="00ED32EA"/>
    <w:rsid w:val="00F04CE2"/>
    <w:rsid w:val="00F058A2"/>
    <w:rsid w:val="00F90E56"/>
    <w:rsid w:val="00FA2BDD"/>
    <w:rsid w:val="00FF6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Straight Arrow Connector 1"/>
      </o:rules>
    </o:shapelayout>
  </w:shapeDefaults>
  <w:decimalSymbol w:val="."/>
  <w:listSeparator w:val=","/>
  <w14:docId w14:val="30E78369"/>
  <w15:docId w15:val="{04500643-8C9C-4A5F-BAB2-BC8DD721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FB9"/>
  </w:style>
  <w:style w:type="paragraph" w:styleId="Heading1">
    <w:name w:val="heading 1"/>
    <w:basedOn w:val="Normal"/>
    <w:next w:val="Normal"/>
    <w:link w:val="Heading1Char"/>
    <w:uiPriority w:val="9"/>
    <w:qFormat/>
    <w:rsid w:val="001A02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2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2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2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2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2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2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2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2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2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2B3"/>
    <w:rPr>
      <w:rFonts w:eastAsiaTheme="majorEastAsia" w:cstheme="majorBidi"/>
      <w:color w:val="272727" w:themeColor="text1" w:themeTint="D8"/>
    </w:rPr>
  </w:style>
  <w:style w:type="paragraph" w:styleId="Title">
    <w:name w:val="Title"/>
    <w:basedOn w:val="Normal"/>
    <w:next w:val="Normal"/>
    <w:link w:val="TitleChar"/>
    <w:uiPriority w:val="10"/>
    <w:qFormat/>
    <w:rsid w:val="001A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2B3"/>
    <w:pPr>
      <w:spacing w:before="160"/>
      <w:jc w:val="center"/>
    </w:pPr>
    <w:rPr>
      <w:i/>
      <w:iCs/>
      <w:color w:val="404040" w:themeColor="text1" w:themeTint="BF"/>
    </w:rPr>
  </w:style>
  <w:style w:type="character" w:customStyle="1" w:styleId="QuoteChar">
    <w:name w:val="Quote Char"/>
    <w:basedOn w:val="DefaultParagraphFont"/>
    <w:link w:val="Quote"/>
    <w:uiPriority w:val="29"/>
    <w:rsid w:val="001A02B3"/>
    <w:rPr>
      <w:i/>
      <w:iCs/>
      <w:color w:val="404040" w:themeColor="text1" w:themeTint="BF"/>
    </w:rPr>
  </w:style>
  <w:style w:type="paragraph" w:styleId="ListParagraph">
    <w:name w:val="List Paragraph"/>
    <w:basedOn w:val="Normal"/>
    <w:uiPriority w:val="34"/>
    <w:qFormat/>
    <w:rsid w:val="001A02B3"/>
    <w:pPr>
      <w:ind w:left="720"/>
      <w:contextualSpacing/>
    </w:pPr>
  </w:style>
  <w:style w:type="character" w:styleId="IntenseEmphasis">
    <w:name w:val="Intense Emphasis"/>
    <w:basedOn w:val="DefaultParagraphFont"/>
    <w:uiPriority w:val="21"/>
    <w:qFormat/>
    <w:rsid w:val="001A02B3"/>
    <w:rPr>
      <w:i/>
      <w:iCs/>
      <w:color w:val="2F5496" w:themeColor="accent1" w:themeShade="BF"/>
    </w:rPr>
  </w:style>
  <w:style w:type="paragraph" w:styleId="IntenseQuote">
    <w:name w:val="Intense Quote"/>
    <w:basedOn w:val="Normal"/>
    <w:next w:val="Normal"/>
    <w:link w:val="IntenseQuoteChar"/>
    <w:uiPriority w:val="30"/>
    <w:qFormat/>
    <w:rsid w:val="001A0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2B3"/>
    <w:rPr>
      <w:i/>
      <w:iCs/>
      <w:color w:val="2F5496" w:themeColor="accent1" w:themeShade="BF"/>
    </w:rPr>
  </w:style>
  <w:style w:type="character" w:styleId="IntenseReference">
    <w:name w:val="Intense Reference"/>
    <w:basedOn w:val="DefaultParagraphFont"/>
    <w:uiPriority w:val="32"/>
    <w:qFormat/>
    <w:rsid w:val="001A02B3"/>
    <w:rPr>
      <w:b/>
      <w:bCs/>
      <w:smallCaps/>
      <w:color w:val="2F5496" w:themeColor="accent1" w:themeShade="BF"/>
      <w:spacing w:val="5"/>
    </w:rPr>
  </w:style>
  <w:style w:type="paragraph" w:styleId="NormalWeb">
    <w:name w:val="Normal (Web)"/>
    <w:basedOn w:val="Normal"/>
    <w:uiPriority w:val="99"/>
    <w:unhideWhenUsed/>
    <w:rsid w:val="003A45B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3A45BF"/>
    <w:rPr>
      <w:b/>
      <w:bCs/>
    </w:rPr>
  </w:style>
  <w:style w:type="paragraph" w:styleId="BalloonText">
    <w:name w:val="Balloon Text"/>
    <w:basedOn w:val="Normal"/>
    <w:link w:val="BalloonTextChar"/>
    <w:uiPriority w:val="99"/>
    <w:semiHidden/>
    <w:unhideWhenUsed/>
    <w:rsid w:val="003A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5BF"/>
    <w:rPr>
      <w:rFonts w:ascii="Tahoma" w:hAnsi="Tahoma" w:cs="Tahoma"/>
      <w:sz w:val="16"/>
      <w:szCs w:val="16"/>
    </w:rPr>
  </w:style>
  <w:style w:type="paragraph" w:styleId="Header">
    <w:name w:val="header"/>
    <w:basedOn w:val="Normal"/>
    <w:link w:val="HeaderChar"/>
    <w:unhideWhenUsed/>
    <w:rsid w:val="00475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FBA"/>
  </w:style>
  <w:style w:type="paragraph" w:styleId="Footer">
    <w:name w:val="footer"/>
    <w:basedOn w:val="Normal"/>
    <w:link w:val="FooterChar"/>
    <w:unhideWhenUsed/>
    <w:rsid w:val="00475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FBA"/>
  </w:style>
  <w:style w:type="paragraph" w:customStyle="1" w:styleId="Author">
    <w:name w:val="Author"/>
    <w:basedOn w:val="Normal"/>
    <w:rsid w:val="00716705"/>
    <w:pPr>
      <w:spacing w:after="0" w:line="280" w:lineRule="exact"/>
      <w:jc w:val="right"/>
    </w:pPr>
    <w:rPr>
      <w:rFonts w:ascii="Helvetica" w:eastAsia="Times New Roman" w:hAnsi="Helvetica" w:cs="Times New Roman"/>
      <w:b/>
      <w:kern w:val="0"/>
      <w:sz w:val="24"/>
      <w:szCs w:val="20"/>
      <w:lang w:val="en-US"/>
    </w:rPr>
  </w:style>
  <w:style w:type="paragraph" w:customStyle="1" w:styleId="Affiliation">
    <w:name w:val="Affiliation"/>
    <w:basedOn w:val="Normal"/>
    <w:rsid w:val="00716705"/>
    <w:pPr>
      <w:spacing w:after="240" w:line="240" w:lineRule="exact"/>
      <w:jc w:val="right"/>
    </w:pPr>
    <w:rPr>
      <w:rFonts w:ascii="Helvetica" w:eastAsia="Times New Roman" w:hAnsi="Helvetica" w:cs="Times New Roman"/>
      <w:kern w:val="0"/>
      <w:sz w:val="20"/>
      <w:szCs w:val="20"/>
      <w:lang w:val="en-US"/>
    </w:rPr>
  </w:style>
  <w:style w:type="paragraph" w:customStyle="1" w:styleId="Body">
    <w:name w:val="Body"/>
    <w:basedOn w:val="Normal"/>
    <w:rsid w:val="00716705"/>
    <w:pPr>
      <w:spacing w:after="240" w:line="240" w:lineRule="auto"/>
      <w:jc w:val="both"/>
    </w:pPr>
    <w:rPr>
      <w:rFonts w:ascii="Helvetica" w:eastAsia="Times New Roman" w:hAnsi="Helvetica" w:cs="Times New Roman"/>
      <w:kern w:val="0"/>
      <w:sz w:val="20"/>
      <w:szCs w:val="20"/>
      <w:lang w:val="en-US"/>
    </w:rPr>
  </w:style>
  <w:style w:type="paragraph" w:customStyle="1" w:styleId="AbstHead">
    <w:name w:val="Abst Head"/>
    <w:basedOn w:val="Normal"/>
    <w:rsid w:val="00716705"/>
    <w:pPr>
      <w:keepNext/>
      <w:spacing w:after="240" w:line="240" w:lineRule="auto"/>
    </w:pPr>
    <w:rPr>
      <w:rFonts w:ascii="Helvetica" w:eastAsia="Times New Roman" w:hAnsi="Helvetica" w:cs="Times New Roman"/>
      <w:b/>
      <w:caps/>
      <w:kern w:val="0"/>
      <w:szCs w:val="20"/>
      <w:lang w:val="en-US"/>
    </w:rPr>
  </w:style>
  <w:style w:type="paragraph" w:customStyle="1" w:styleId="Copyright">
    <w:name w:val="Copyright"/>
    <w:basedOn w:val="Normal"/>
    <w:rsid w:val="00716705"/>
    <w:pPr>
      <w:spacing w:after="960" w:line="200" w:lineRule="exact"/>
    </w:pPr>
    <w:rPr>
      <w:rFonts w:ascii="Helvetica" w:eastAsia="Times New Roman" w:hAnsi="Helvetica" w:cs="Times New Roman"/>
      <w:kern w:val="0"/>
      <w:sz w:val="16"/>
      <w:szCs w:val="20"/>
      <w:lang w:val="en-US"/>
    </w:rPr>
  </w:style>
  <w:style w:type="character" w:styleId="LineNumber">
    <w:name w:val="line number"/>
    <w:basedOn w:val="DefaultParagraphFont"/>
    <w:uiPriority w:val="99"/>
    <w:semiHidden/>
    <w:unhideWhenUsed/>
    <w:rsid w:val="00716705"/>
  </w:style>
  <w:style w:type="character" w:styleId="Hyperlink">
    <w:name w:val="Hyperlink"/>
    <w:basedOn w:val="DefaultParagraphFont"/>
    <w:uiPriority w:val="99"/>
    <w:unhideWhenUsed/>
    <w:rsid w:val="00AB06BD"/>
    <w:rPr>
      <w:color w:val="0563C1" w:themeColor="hyperlink"/>
      <w:u w:val="single"/>
    </w:rPr>
  </w:style>
  <w:style w:type="character" w:customStyle="1" w:styleId="UnresolvedMention1">
    <w:name w:val="Unresolved Mention1"/>
    <w:basedOn w:val="DefaultParagraphFont"/>
    <w:uiPriority w:val="99"/>
    <w:semiHidden/>
    <w:unhideWhenUsed/>
    <w:rsid w:val="00063FCC"/>
    <w:rPr>
      <w:color w:val="605E5C"/>
      <w:shd w:val="clear" w:color="auto" w:fill="E1DFDD"/>
    </w:rPr>
  </w:style>
  <w:style w:type="table" w:styleId="TableGrid">
    <w:name w:val="Table Grid"/>
    <w:basedOn w:val="TableNormal"/>
    <w:uiPriority w:val="39"/>
    <w:rsid w:val="00067A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CA7832"/>
  </w:style>
  <w:style w:type="character" w:customStyle="1" w:styleId="mord">
    <w:name w:val="mord"/>
    <w:basedOn w:val="DefaultParagraphFont"/>
    <w:rsid w:val="00CA7832"/>
  </w:style>
  <w:style w:type="character" w:customStyle="1" w:styleId="mrel">
    <w:name w:val="mrel"/>
    <w:basedOn w:val="DefaultParagraphFont"/>
    <w:rsid w:val="00CA7832"/>
  </w:style>
  <w:style w:type="character" w:customStyle="1" w:styleId="mopen">
    <w:name w:val="mopen"/>
    <w:basedOn w:val="DefaultParagraphFont"/>
    <w:rsid w:val="00CA7832"/>
  </w:style>
  <w:style w:type="character" w:customStyle="1" w:styleId="mbin">
    <w:name w:val="mbin"/>
    <w:basedOn w:val="DefaultParagraphFont"/>
    <w:rsid w:val="00CA7832"/>
  </w:style>
  <w:style w:type="character" w:customStyle="1" w:styleId="mclose">
    <w:name w:val="mclose"/>
    <w:basedOn w:val="DefaultParagraphFont"/>
    <w:rsid w:val="00CA7832"/>
  </w:style>
  <w:style w:type="character" w:customStyle="1" w:styleId="vlist-s">
    <w:name w:val="vlist-s"/>
    <w:basedOn w:val="DefaultParagraphFont"/>
    <w:rsid w:val="00CA7832"/>
  </w:style>
  <w:style w:type="character" w:styleId="Emphasis">
    <w:name w:val="Emphasis"/>
    <w:basedOn w:val="DefaultParagraphFont"/>
    <w:uiPriority w:val="20"/>
    <w:qFormat/>
    <w:rsid w:val="00066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4192">
      <w:bodyDiv w:val="1"/>
      <w:marLeft w:val="0"/>
      <w:marRight w:val="0"/>
      <w:marTop w:val="0"/>
      <w:marBottom w:val="0"/>
      <w:divBdr>
        <w:top w:val="none" w:sz="0" w:space="0" w:color="auto"/>
        <w:left w:val="none" w:sz="0" w:space="0" w:color="auto"/>
        <w:bottom w:val="none" w:sz="0" w:space="0" w:color="auto"/>
        <w:right w:val="none" w:sz="0" w:space="0" w:color="auto"/>
      </w:divBdr>
    </w:div>
    <w:div w:id="95055470">
      <w:bodyDiv w:val="1"/>
      <w:marLeft w:val="0"/>
      <w:marRight w:val="0"/>
      <w:marTop w:val="0"/>
      <w:marBottom w:val="0"/>
      <w:divBdr>
        <w:top w:val="none" w:sz="0" w:space="0" w:color="auto"/>
        <w:left w:val="none" w:sz="0" w:space="0" w:color="auto"/>
        <w:bottom w:val="none" w:sz="0" w:space="0" w:color="auto"/>
        <w:right w:val="none" w:sz="0" w:space="0" w:color="auto"/>
      </w:divBdr>
    </w:div>
    <w:div w:id="105852861">
      <w:bodyDiv w:val="1"/>
      <w:marLeft w:val="0"/>
      <w:marRight w:val="0"/>
      <w:marTop w:val="0"/>
      <w:marBottom w:val="0"/>
      <w:divBdr>
        <w:top w:val="none" w:sz="0" w:space="0" w:color="auto"/>
        <w:left w:val="none" w:sz="0" w:space="0" w:color="auto"/>
        <w:bottom w:val="none" w:sz="0" w:space="0" w:color="auto"/>
        <w:right w:val="none" w:sz="0" w:space="0" w:color="auto"/>
      </w:divBdr>
    </w:div>
    <w:div w:id="128326717">
      <w:bodyDiv w:val="1"/>
      <w:marLeft w:val="0"/>
      <w:marRight w:val="0"/>
      <w:marTop w:val="0"/>
      <w:marBottom w:val="0"/>
      <w:divBdr>
        <w:top w:val="none" w:sz="0" w:space="0" w:color="auto"/>
        <w:left w:val="none" w:sz="0" w:space="0" w:color="auto"/>
        <w:bottom w:val="none" w:sz="0" w:space="0" w:color="auto"/>
        <w:right w:val="none" w:sz="0" w:space="0" w:color="auto"/>
      </w:divBdr>
    </w:div>
    <w:div w:id="268394443">
      <w:bodyDiv w:val="1"/>
      <w:marLeft w:val="0"/>
      <w:marRight w:val="0"/>
      <w:marTop w:val="0"/>
      <w:marBottom w:val="0"/>
      <w:divBdr>
        <w:top w:val="none" w:sz="0" w:space="0" w:color="auto"/>
        <w:left w:val="none" w:sz="0" w:space="0" w:color="auto"/>
        <w:bottom w:val="none" w:sz="0" w:space="0" w:color="auto"/>
        <w:right w:val="none" w:sz="0" w:space="0" w:color="auto"/>
      </w:divBdr>
    </w:div>
    <w:div w:id="275916216">
      <w:bodyDiv w:val="1"/>
      <w:marLeft w:val="0"/>
      <w:marRight w:val="0"/>
      <w:marTop w:val="0"/>
      <w:marBottom w:val="0"/>
      <w:divBdr>
        <w:top w:val="none" w:sz="0" w:space="0" w:color="auto"/>
        <w:left w:val="none" w:sz="0" w:space="0" w:color="auto"/>
        <w:bottom w:val="none" w:sz="0" w:space="0" w:color="auto"/>
        <w:right w:val="none" w:sz="0" w:space="0" w:color="auto"/>
      </w:divBdr>
    </w:div>
    <w:div w:id="279185423">
      <w:bodyDiv w:val="1"/>
      <w:marLeft w:val="0"/>
      <w:marRight w:val="0"/>
      <w:marTop w:val="0"/>
      <w:marBottom w:val="0"/>
      <w:divBdr>
        <w:top w:val="none" w:sz="0" w:space="0" w:color="auto"/>
        <w:left w:val="none" w:sz="0" w:space="0" w:color="auto"/>
        <w:bottom w:val="none" w:sz="0" w:space="0" w:color="auto"/>
        <w:right w:val="none" w:sz="0" w:space="0" w:color="auto"/>
      </w:divBdr>
    </w:div>
    <w:div w:id="285430690">
      <w:bodyDiv w:val="1"/>
      <w:marLeft w:val="0"/>
      <w:marRight w:val="0"/>
      <w:marTop w:val="0"/>
      <w:marBottom w:val="0"/>
      <w:divBdr>
        <w:top w:val="none" w:sz="0" w:space="0" w:color="auto"/>
        <w:left w:val="none" w:sz="0" w:space="0" w:color="auto"/>
        <w:bottom w:val="none" w:sz="0" w:space="0" w:color="auto"/>
        <w:right w:val="none" w:sz="0" w:space="0" w:color="auto"/>
      </w:divBdr>
    </w:div>
    <w:div w:id="306520741">
      <w:bodyDiv w:val="1"/>
      <w:marLeft w:val="0"/>
      <w:marRight w:val="0"/>
      <w:marTop w:val="0"/>
      <w:marBottom w:val="0"/>
      <w:divBdr>
        <w:top w:val="none" w:sz="0" w:space="0" w:color="auto"/>
        <w:left w:val="none" w:sz="0" w:space="0" w:color="auto"/>
        <w:bottom w:val="none" w:sz="0" w:space="0" w:color="auto"/>
        <w:right w:val="none" w:sz="0" w:space="0" w:color="auto"/>
      </w:divBdr>
    </w:div>
    <w:div w:id="307899075">
      <w:bodyDiv w:val="1"/>
      <w:marLeft w:val="0"/>
      <w:marRight w:val="0"/>
      <w:marTop w:val="0"/>
      <w:marBottom w:val="0"/>
      <w:divBdr>
        <w:top w:val="none" w:sz="0" w:space="0" w:color="auto"/>
        <w:left w:val="none" w:sz="0" w:space="0" w:color="auto"/>
        <w:bottom w:val="none" w:sz="0" w:space="0" w:color="auto"/>
        <w:right w:val="none" w:sz="0" w:space="0" w:color="auto"/>
      </w:divBdr>
    </w:div>
    <w:div w:id="412746595">
      <w:bodyDiv w:val="1"/>
      <w:marLeft w:val="0"/>
      <w:marRight w:val="0"/>
      <w:marTop w:val="0"/>
      <w:marBottom w:val="0"/>
      <w:divBdr>
        <w:top w:val="none" w:sz="0" w:space="0" w:color="auto"/>
        <w:left w:val="none" w:sz="0" w:space="0" w:color="auto"/>
        <w:bottom w:val="none" w:sz="0" w:space="0" w:color="auto"/>
        <w:right w:val="none" w:sz="0" w:space="0" w:color="auto"/>
      </w:divBdr>
    </w:div>
    <w:div w:id="417405045">
      <w:bodyDiv w:val="1"/>
      <w:marLeft w:val="0"/>
      <w:marRight w:val="0"/>
      <w:marTop w:val="0"/>
      <w:marBottom w:val="0"/>
      <w:divBdr>
        <w:top w:val="none" w:sz="0" w:space="0" w:color="auto"/>
        <w:left w:val="none" w:sz="0" w:space="0" w:color="auto"/>
        <w:bottom w:val="none" w:sz="0" w:space="0" w:color="auto"/>
        <w:right w:val="none" w:sz="0" w:space="0" w:color="auto"/>
      </w:divBdr>
    </w:div>
    <w:div w:id="419567663">
      <w:bodyDiv w:val="1"/>
      <w:marLeft w:val="0"/>
      <w:marRight w:val="0"/>
      <w:marTop w:val="0"/>
      <w:marBottom w:val="0"/>
      <w:divBdr>
        <w:top w:val="none" w:sz="0" w:space="0" w:color="auto"/>
        <w:left w:val="none" w:sz="0" w:space="0" w:color="auto"/>
        <w:bottom w:val="none" w:sz="0" w:space="0" w:color="auto"/>
        <w:right w:val="none" w:sz="0" w:space="0" w:color="auto"/>
      </w:divBdr>
    </w:div>
    <w:div w:id="446431872">
      <w:bodyDiv w:val="1"/>
      <w:marLeft w:val="0"/>
      <w:marRight w:val="0"/>
      <w:marTop w:val="0"/>
      <w:marBottom w:val="0"/>
      <w:divBdr>
        <w:top w:val="none" w:sz="0" w:space="0" w:color="auto"/>
        <w:left w:val="none" w:sz="0" w:space="0" w:color="auto"/>
        <w:bottom w:val="none" w:sz="0" w:space="0" w:color="auto"/>
        <w:right w:val="none" w:sz="0" w:space="0" w:color="auto"/>
      </w:divBdr>
      <w:divsChild>
        <w:div w:id="792797097">
          <w:marLeft w:val="0"/>
          <w:marRight w:val="0"/>
          <w:marTop w:val="0"/>
          <w:marBottom w:val="0"/>
          <w:divBdr>
            <w:top w:val="none" w:sz="0" w:space="0" w:color="auto"/>
            <w:left w:val="none" w:sz="0" w:space="0" w:color="auto"/>
            <w:bottom w:val="none" w:sz="0" w:space="0" w:color="auto"/>
            <w:right w:val="none" w:sz="0" w:space="0" w:color="auto"/>
          </w:divBdr>
          <w:divsChild>
            <w:div w:id="1262102358">
              <w:marLeft w:val="0"/>
              <w:marRight w:val="0"/>
              <w:marTop w:val="0"/>
              <w:marBottom w:val="0"/>
              <w:divBdr>
                <w:top w:val="none" w:sz="0" w:space="0" w:color="auto"/>
                <w:left w:val="none" w:sz="0" w:space="0" w:color="auto"/>
                <w:bottom w:val="none" w:sz="0" w:space="0" w:color="auto"/>
                <w:right w:val="none" w:sz="0" w:space="0" w:color="auto"/>
              </w:divBdr>
              <w:divsChild>
                <w:div w:id="395128480">
                  <w:marLeft w:val="0"/>
                  <w:marRight w:val="0"/>
                  <w:marTop w:val="0"/>
                  <w:marBottom w:val="0"/>
                  <w:divBdr>
                    <w:top w:val="none" w:sz="0" w:space="0" w:color="auto"/>
                    <w:left w:val="none" w:sz="0" w:space="0" w:color="auto"/>
                    <w:bottom w:val="none" w:sz="0" w:space="0" w:color="auto"/>
                    <w:right w:val="none" w:sz="0" w:space="0" w:color="auto"/>
                  </w:divBdr>
                  <w:divsChild>
                    <w:div w:id="660355937">
                      <w:marLeft w:val="0"/>
                      <w:marRight w:val="0"/>
                      <w:marTop w:val="0"/>
                      <w:marBottom w:val="0"/>
                      <w:divBdr>
                        <w:top w:val="none" w:sz="0" w:space="0" w:color="auto"/>
                        <w:left w:val="none" w:sz="0" w:space="0" w:color="auto"/>
                        <w:bottom w:val="none" w:sz="0" w:space="0" w:color="auto"/>
                        <w:right w:val="none" w:sz="0" w:space="0" w:color="auto"/>
                      </w:divBdr>
                      <w:divsChild>
                        <w:div w:id="18702884">
                          <w:marLeft w:val="0"/>
                          <w:marRight w:val="0"/>
                          <w:marTop w:val="0"/>
                          <w:marBottom w:val="0"/>
                          <w:divBdr>
                            <w:top w:val="none" w:sz="0" w:space="0" w:color="auto"/>
                            <w:left w:val="none" w:sz="0" w:space="0" w:color="auto"/>
                            <w:bottom w:val="none" w:sz="0" w:space="0" w:color="auto"/>
                            <w:right w:val="none" w:sz="0" w:space="0" w:color="auto"/>
                          </w:divBdr>
                          <w:divsChild>
                            <w:div w:id="700208571">
                              <w:marLeft w:val="0"/>
                              <w:marRight w:val="0"/>
                              <w:marTop w:val="0"/>
                              <w:marBottom w:val="0"/>
                              <w:divBdr>
                                <w:top w:val="none" w:sz="0" w:space="0" w:color="auto"/>
                                <w:left w:val="none" w:sz="0" w:space="0" w:color="auto"/>
                                <w:bottom w:val="none" w:sz="0" w:space="0" w:color="auto"/>
                                <w:right w:val="none" w:sz="0" w:space="0" w:color="auto"/>
                              </w:divBdr>
                              <w:divsChild>
                                <w:div w:id="2327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871498">
      <w:bodyDiv w:val="1"/>
      <w:marLeft w:val="0"/>
      <w:marRight w:val="0"/>
      <w:marTop w:val="0"/>
      <w:marBottom w:val="0"/>
      <w:divBdr>
        <w:top w:val="none" w:sz="0" w:space="0" w:color="auto"/>
        <w:left w:val="none" w:sz="0" w:space="0" w:color="auto"/>
        <w:bottom w:val="none" w:sz="0" w:space="0" w:color="auto"/>
        <w:right w:val="none" w:sz="0" w:space="0" w:color="auto"/>
      </w:divBdr>
    </w:div>
    <w:div w:id="560167880">
      <w:bodyDiv w:val="1"/>
      <w:marLeft w:val="0"/>
      <w:marRight w:val="0"/>
      <w:marTop w:val="0"/>
      <w:marBottom w:val="0"/>
      <w:divBdr>
        <w:top w:val="none" w:sz="0" w:space="0" w:color="auto"/>
        <w:left w:val="none" w:sz="0" w:space="0" w:color="auto"/>
        <w:bottom w:val="none" w:sz="0" w:space="0" w:color="auto"/>
        <w:right w:val="none" w:sz="0" w:space="0" w:color="auto"/>
      </w:divBdr>
    </w:div>
    <w:div w:id="572928987">
      <w:bodyDiv w:val="1"/>
      <w:marLeft w:val="0"/>
      <w:marRight w:val="0"/>
      <w:marTop w:val="0"/>
      <w:marBottom w:val="0"/>
      <w:divBdr>
        <w:top w:val="none" w:sz="0" w:space="0" w:color="auto"/>
        <w:left w:val="none" w:sz="0" w:space="0" w:color="auto"/>
        <w:bottom w:val="none" w:sz="0" w:space="0" w:color="auto"/>
        <w:right w:val="none" w:sz="0" w:space="0" w:color="auto"/>
      </w:divBdr>
    </w:div>
    <w:div w:id="603462858">
      <w:bodyDiv w:val="1"/>
      <w:marLeft w:val="0"/>
      <w:marRight w:val="0"/>
      <w:marTop w:val="0"/>
      <w:marBottom w:val="0"/>
      <w:divBdr>
        <w:top w:val="none" w:sz="0" w:space="0" w:color="auto"/>
        <w:left w:val="none" w:sz="0" w:space="0" w:color="auto"/>
        <w:bottom w:val="none" w:sz="0" w:space="0" w:color="auto"/>
        <w:right w:val="none" w:sz="0" w:space="0" w:color="auto"/>
      </w:divBdr>
    </w:div>
    <w:div w:id="615988494">
      <w:bodyDiv w:val="1"/>
      <w:marLeft w:val="0"/>
      <w:marRight w:val="0"/>
      <w:marTop w:val="0"/>
      <w:marBottom w:val="0"/>
      <w:divBdr>
        <w:top w:val="none" w:sz="0" w:space="0" w:color="auto"/>
        <w:left w:val="none" w:sz="0" w:space="0" w:color="auto"/>
        <w:bottom w:val="none" w:sz="0" w:space="0" w:color="auto"/>
        <w:right w:val="none" w:sz="0" w:space="0" w:color="auto"/>
      </w:divBdr>
    </w:div>
    <w:div w:id="637144968">
      <w:bodyDiv w:val="1"/>
      <w:marLeft w:val="0"/>
      <w:marRight w:val="0"/>
      <w:marTop w:val="0"/>
      <w:marBottom w:val="0"/>
      <w:divBdr>
        <w:top w:val="none" w:sz="0" w:space="0" w:color="auto"/>
        <w:left w:val="none" w:sz="0" w:space="0" w:color="auto"/>
        <w:bottom w:val="none" w:sz="0" w:space="0" w:color="auto"/>
        <w:right w:val="none" w:sz="0" w:space="0" w:color="auto"/>
      </w:divBdr>
    </w:div>
    <w:div w:id="656151888">
      <w:bodyDiv w:val="1"/>
      <w:marLeft w:val="0"/>
      <w:marRight w:val="0"/>
      <w:marTop w:val="0"/>
      <w:marBottom w:val="0"/>
      <w:divBdr>
        <w:top w:val="none" w:sz="0" w:space="0" w:color="auto"/>
        <w:left w:val="none" w:sz="0" w:space="0" w:color="auto"/>
        <w:bottom w:val="none" w:sz="0" w:space="0" w:color="auto"/>
        <w:right w:val="none" w:sz="0" w:space="0" w:color="auto"/>
      </w:divBdr>
    </w:div>
    <w:div w:id="779645745">
      <w:bodyDiv w:val="1"/>
      <w:marLeft w:val="0"/>
      <w:marRight w:val="0"/>
      <w:marTop w:val="0"/>
      <w:marBottom w:val="0"/>
      <w:divBdr>
        <w:top w:val="none" w:sz="0" w:space="0" w:color="auto"/>
        <w:left w:val="none" w:sz="0" w:space="0" w:color="auto"/>
        <w:bottom w:val="none" w:sz="0" w:space="0" w:color="auto"/>
        <w:right w:val="none" w:sz="0" w:space="0" w:color="auto"/>
      </w:divBdr>
    </w:div>
    <w:div w:id="867571050">
      <w:bodyDiv w:val="1"/>
      <w:marLeft w:val="0"/>
      <w:marRight w:val="0"/>
      <w:marTop w:val="0"/>
      <w:marBottom w:val="0"/>
      <w:divBdr>
        <w:top w:val="none" w:sz="0" w:space="0" w:color="auto"/>
        <w:left w:val="none" w:sz="0" w:space="0" w:color="auto"/>
        <w:bottom w:val="none" w:sz="0" w:space="0" w:color="auto"/>
        <w:right w:val="none" w:sz="0" w:space="0" w:color="auto"/>
      </w:divBdr>
    </w:div>
    <w:div w:id="871380339">
      <w:bodyDiv w:val="1"/>
      <w:marLeft w:val="0"/>
      <w:marRight w:val="0"/>
      <w:marTop w:val="0"/>
      <w:marBottom w:val="0"/>
      <w:divBdr>
        <w:top w:val="none" w:sz="0" w:space="0" w:color="auto"/>
        <w:left w:val="none" w:sz="0" w:space="0" w:color="auto"/>
        <w:bottom w:val="none" w:sz="0" w:space="0" w:color="auto"/>
        <w:right w:val="none" w:sz="0" w:space="0" w:color="auto"/>
      </w:divBdr>
    </w:div>
    <w:div w:id="878861558">
      <w:bodyDiv w:val="1"/>
      <w:marLeft w:val="0"/>
      <w:marRight w:val="0"/>
      <w:marTop w:val="0"/>
      <w:marBottom w:val="0"/>
      <w:divBdr>
        <w:top w:val="none" w:sz="0" w:space="0" w:color="auto"/>
        <w:left w:val="none" w:sz="0" w:space="0" w:color="auto"/>
        <w:bottom w:val="none" w:sz="0" w:space="0" w:color="auto"/>
        <w:right w:val="none" w:sz="0" w:space="0" w:color="auto"/>
      </w:divBdr>
    </w:div>
    <w:div w:id="963193085">
      <w:bodyDiv w:val="1"/>
      <w:marLeft w:val="0"/>
      <w:marRight w:val="0"/>
      <w:marTop w:val="0"/>
      <w:marBottom w:val="0"/>
      <w:divBdr>
        <w:top w:val="none" w:sz="0" w:space="0" w:color="auto"/>
        <w:left w:val="none" w:sz="0" w:space="0" w:color="auto"/>
        <w:bottom w:val="none" w:sz="0" w:space="0" w:color="auto"/>
        <w:right w:val="none" w:sz="0" w:space="0" w:color="auto"/>
      </w:divBdr>
    </w:div>
    <w:div w:id="984818503">
      <w:bodyDiv w:val="1"/>
      <w:marLeft w:val="0"/>
      <w:marRight w:val="0"/>
      <w:marTop w:val="0"/>
      <w:marBottom w:val="0"/>
      <w:divBdr>
        <w:top w:val="none" w:sz="0" w:space="0" w:color="auto"/>
        <w:left w:val="none" w:sz="0" w:space="0" w:color="auto"/>
        <w:bottom w:val="none" w:sz="0" w:space="0" w:color="auto"/>
        <w:right w:val="none" w:sz="0" w:space="0" w:color="auto"/>
      </w:divBdr>
      <w:divsChild>
        <w:div w:id="27949053">
          <w:marLeft w:val="0"/>
          <w:marRight w:val="0"/>
          <w:marTop w:val="0"/>
          <w:marBottom w:val="0"/>
          <w:divBdr>
            <w:top w:val="none" w:sz="0" w:space="0" w:color="auto"/>
            <w:left w:val="none" w:sz="0" w:space="0" w:color="auto"/>
            <w:bottom w:val="none" w:sz="0" w:space="0" w:color="auto"/>
            <w:right w:val="none" w:sz="0" w:space="0" w:color="auto"/>
          </w:divBdr>
          <w:divsChild>
            <w:div w:id="9552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6553">
      <w:bodyDiv w:val="1"/>
      <w:marLeft w:val="0"/>
      <w:marRight w:val="0"/>
      <w:marTop w:val="0"/>
      <w:marBottom w:val="0"/>
      <w:divBdr>
        <w:top w:val="none" w:sz="0" w:space="0" w:color="auto"/>
        <w:left w:val="none" w:sz="0" w:space="0" w:color="auto"/>
        <w:bottom w:val="none" w:sz="0" w:space="0" w:color="auto"/>
        <w:right w:val="none" w:sz="0" w:space="0" w:color="auto"/>
      </w:divBdr>
    </w:div>
    <w:div w:id="1016926362">
      <w:bodyDiv w:val="1"/>
      <w:marLeft w:val="0"/>
      <w:marRight w:val="0"/>
      <w:marTop w:val="0"/>
      <w:marBottom w:val="0"/>
      <w:divBdr>
        <w:top w:val="none" w:sz="0" w:space="0" w:color="auto"/>
        <w:left w:val="none" w:sz="0" w:space="0" w:color="auto"/>
        <w:bottom w:val="none" w:sz="0" w:space="0" w:color="auto"/>
        <w:right w:val="none" w:sz="0" w:space="0" w:color="auto"/>
      </w:divBdr>
    </w:div>
    <w:div w:id="1050957231">
      <w:bodyDiv w:val="1"/>
      <w:marLeft w:val="0"/>
      <w:marRight w:val="0"/>
      <w:marTop w:val="0"/>
      <w:marBottom w:val="0"/>
      <w:divBdr>
        <w:top w:val="none" w:sz="0" w:space="0" w:color="auto"/>
        <w:left w:val="none" w:sz="0" w:space="0" w:color="auto"/>
        <w:bottom w:val="none" w:sz="0" w:space="0" w:color="auto"/>
        <w:right w:val="none" w:sz="0" w:space="0" w:color="auto"/>
      </w:divBdr>
    </w:div>
    <w:div w:id="1078286529">
      <w:bodyDiv w:val="1"/>
      <w:marLeft w:val="0"/>
      <w:marRight w:val="0"/>
      <w:marTop w:val="0"/>
      <w:marBottom w:val="0"/>
      <w:divBdr>
        <w:top w:val="none" w:sz="0" w:space="0" w:color="auto"/>
        <w:left w:val="none" w:sz="0" w:space="0" w:color="auto"/>
        <w:bottom w:val="none" w:sz="0" w:space="0" w:color="auto"/>
        <w:right w:val="none" w:sz="0" w:space="0" w:color="auto"/>
      </w:divBdr>
    </w:div>
    <w:div w:id="1187601363">
      <w:bodyDiv w:val="1"/>
      <w:marLeft w:val="0"/>
      <w:marRight w:val="0"/>
      <w:marTop w:val="0"/>
      <w:marBottom w:val="0"/>
      <w:divBdr>
        <w:top w:val="none" w:sz="0" w:space="0" w:color="auto"/>
        <w:left w:val="none" w:sz="0" w:space="0" w:color="auto"/>
        <w:bottom w:val="none" w:sz="0" w:space="0" w:color="auto"/>
        <w:right w:val="none" w:sz="0" w:space="0" w:color="auto"/>
      </w:divBdr>
    </w:div>
    <w:div w:id="1202786191">
      <w:bodyDiv w:val="1"/>
      <w:marLeft w:val="0"/>
      <w:marRight w:val="0"/>
      <w:marTop w:val="0"/>
      <w:marBottom w:val="0"/>
      <w:divBdr>
        <w:top w:val="none" w:sz="0" w:space="0" w:color="auto"/>
        <w:left w:val="none" w:sz="0" w:space="0" w:color="auto"/>
        <w:bottom w:val="none" w:sz="0" w:space="0" w:color="auto"/>
        <w:right w:val="none" w:sz="0" w:space="0" w:color="auto"/>
      </w:divBdr>
    </w:div>
    <w:div w:id="1352802217">
      <w:bodyDiv w:val="1"/>
      <w:marLeft w:val="0"/>
      <w:marRight w:val="0"/>
      <w:marTop w:val="0"/>
      <w:marBottom w:val="0"/>
      <w:divBdr>
        <w:top w:val="none" w:sz="0" w:space="0" w:color="auto"/>
        <w:left w:val="none" w:sz="0" w:space="0" w:color="auto"/>
        <w:bottom w:val="none" w:sz="0" w:space="0" w:color="auto"/>
        <w:right w:val="none" w:sz="0" w:space="0" w:color="auto"/>
      </w:divBdr>
    </w:div>
    <w:div w:id="1471289703">
      <w:bodyDiv w:val="1"/>
      <w:marLeft w:val="0"/>
      <w:marRight w:val="0"/>
      <w:marTop w:val="0"/>
      <w:marBottom w:val="0"/>
      <w:divBdr>
        <w:top w:val="none" w:sz="0" w:space="0" w:color="auto"/>
        <w:left w:val="none" w:sz="0" w:space="0" w:color="auto"/>
        <w:bottom w:val="none" w:sz="0" w:space="0" w:color="auto"/>
        <w:right w:val="none" w:sz="0" w:space="0" w:color="auto"/>
      </w:divBdr>
      <w:divsChild>
        <w:div w:id="1591549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012150">
      <w:bodyDiv w:val="1"/>
      <w:marLeft w:val="0"/>
      <w:marRight w:val="0"/>
      <w:marTop w:val="0"/>
      <w:marBottom w:val="0"/>
      <w:divBdr>
        <w:top w:val="none" w:sz="0" w:space="0" w:color="auto"/>
        <w:left w:val="none" w:sz="0" w:space="0" w:color="auto"/>
        <w:bottom w:val="none" w:sz="0" w:space="0" w:color="auto"/>
        <w:right w:val="none" w:sz="0" w:space="0" w:color="auto"/>
      </w:divBdr>
    </w:div>
    <w:div w:id="1682976694">
      <w:bodyDiv w:val="1"/>
      <w:marLeft w:val="0"/>
      <w:marRight w:val="0"/>
      <w:marTop w:val="0"/>
      <w:marBottom w:val="0"/>
      <w:divBdr>
        <w:top w:val="none" w:sz="0" w:space="0" w:color="auto"/>
        <w:left w:val="none" w:sz="0" w:space="0" w:color="auto"/>
        <w:bottom w:val="none" w:sz="0" w:space="0" w:color="auto"/>
        <w:right w:val="none" w:sz="0" w:space="0" w:color="auto"/>
      </w:divBdr>
    </w:div>
    <w:div w:id="1717192795">
      <w:bodyDiv w:val="1"/>
      <w:marLeft w:val="0"/>
      <w:marRight w:val="0"/>
      <w:marTop w:val="0"/>
      <w:marBottom w:val="0"/>
      <w:divBdr>
        <w:top w:val="none" w:sz="0" w:space="0" w:color="auto"/>
        <w:left w:val="none" w:sz="0" w:space="0" w:color="auto"/>
        <w:bottom w:val="none" w:sz="0" w:space="0" w:color="auto"/>
        <w:right w:val="none" w:sz="0" w:space="0" w:color="auto"/>
      </w:divBdr>
    </w:div>
    <w:div w:id="1718626400">
      <w:bodyDiv w:val="1"/>
      <w:marLeft w:val="0"/>
      <w:marRight w:val="0"/>
      <w:marTop w:val="0"/>
      <w:marBottom w:val="0"/>
      <w:divBdr>
        <w:top w:val="none" w:sz="0" w:space="0" w:color="auto"/>
        <w:left w:val="none" w:sz="0" w:space="0" w:color="auto"/>
        <w:bottom w:val="none" w:sz="0" w:space="0" w:color="auto"/>
        <w:right w:val="none" w:sz="0" w:space="0" w:color="auto"/>
      </w:divBdr>
    </w:div>
    <w:div w:id="1754468748">
      <w:bodyDiv w:val="1"/>
      <w:marLeft w:val="0"/>
      <w:marRight w:val="0"/>
      <w:marTop w:val="0"/>
      <w:marBottom w:val="0"/>
      <w:divBdr>
        <w:top w:val="none" w:sz="0" w:space="0" w:color="auto"/>
        <w:left w:val="none" w:sz="0" w:space="0" w:color="auto"/>
        <w:bottom w:val="none" w:sz="0" w:space="0" w:color="auto"/>
        <w:right w:val="none" w:sz="0" w:space="0" w:color="auto"/>
      </w:divBdr>
      <w:divsChild>
        <w:div w:id="1786146761">
          <w:marLeft w:val="0"/>
          <w:marRight w:val="0"/>
          <w:marTop w:val="0"/>
          <w:marBottom w:val="0"/>
          <w:divBdr>
            <w:top w:val="none" w:sz="0" w:space="0" w:color="auto"/>
            <w:left w:val="none" w:sz="0" w:space="0" w:color="auto"/>
            <w:bottom w:val="none" w:sz="0" w:space="0" w:color="auto"/>
            <w:right w:val="none" w:sz="0" w:space="0" w:color="auto"/>
          </w:divBdr>
          <w:divsChild>
            <w:div w:id="19686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13234">
      <w:bodyDiv w:val="1"/>
      <w:marLeft w:val="0"/>
      <w:marRight w:val="0"/>
      <w:marTop w:val="0"/>
      <w:marBottom w:val="0"/>
      <w:divBdr>
        <w:top w:val="none" w:sz="0" w:space="0" w:color="auto"/>
        <w:left w:val="none" w:sz="0" w:space="0" w:color="auto"/>
        <w:bottom w:val="none" w:sz="0" w:space="0" w:color="auto"/>
        <w:right w:val="none" w:sz="0" w:space="0" w:color="auto"/>
      </w:divBdr>
    </w:div>
    <w:div w:id="1828669340">
      <w:bodyDiv w:val="1"/>
      <w:marLeft w:val="0"/>
      <w:marRight w:val="0"/>
      <w:marTop w:val="0"/>
      <w:marBottom w:val="0"/>
      <w:divBdr>
        <w:top w:val="none" w:sz="0" w:space="0" w:color="auto"/>
        <w:left w:val="none" w:sz="0" w:space="0" w:color="auto"/>
        <w:bottom w:val="none" w:sz="0" w:space="0" w:color="auto"/>
        <w:right w:val="none" w:sz="0" w:space="0" w:color="auto"/>
      </w:divBdr>
    </w:div>
    <w:div w:id="1847789002">
      <w:bodyDiv w:val="1"/>
      <w:marLeft w:val="0"/>
      <w:marRight w:val="0"/>
      <w:marTop w:val="0"/>
      <w:marBottom w:val="0"/>
      <w:divBdr>
        <w:top w:val="none" w:sz="0" w:space="0" w:color="auto"/>
        <w:left w:val="none" w:sz="0" w:space="0" w:color="auto"/>
        <w:bottom w:val="none" w:sz="0" w:space="0" w:color="auto"/>
        <w:right w:val="none" w:sz="0" w:space="0" w:color="auto"/>
      </w:divBdr>
    </w:div>
    <w:div w:id="2001108392">
      <w:bodyDiv w:val="1"/>
      <w:marLeft w:val="0"/>
      <w:marRight w:val="0"/>
      <w:marTop w:val="0"/>
      <w:marBottom w:val="0"/>
      <w:divBdr>
        <w:top w:val="none" w:sz="0" w:space="0" w:color="auto"/>
        <w:left w:val="none" w:sz="0" w:space="0" w:color="auto"/>
        <w:bottom w:val="none" w:sz="0" w:space="0" w:color="auto"/>
        <w:right w:val="none" w:sz="0" w:space="0" w:color="auto"/>
      </w:divBdr>
    </w:div>
    <w:div w:id="2004969682">
      <w:bodyDiv w:val="1"/>
      <w:marLeft w:val="0"/>
      <w:marRight w:val="0"/>
      <w:marTop w:val="0"/>
      <w:marBottom w:val="0"/>
      <w:divBdr>
        <w:top w:val="none" w:sz="0" w:space="0" w:color="auto"/>
        <w:left w:val="none" w:sz="0" w:space="0" w:color="auto"/>
        <w:bottom w:val="none" w:sz="0" w:space="0" w:color="auto"/>
        <w:right w:val="none" w:sz="0" w:space="0" w:color="auto"/>
      </w:divBdr>
    </w:div>
    <w:div w:id="2017683903">
      <w:bodyDiv w:val="1"/>
      <w:marLeft w:val="0"/>
      <w:marRight w:val="0"/>
      <w:marTop w:val="0"/>
      <w:marBottom w:val="0"/>
      <w:divBdr>
        <w:top w:val="none" w:sz="0" w:space="0" w:color="auto"/>
        <w:left w:val="none" w:sz="0" w:space="0" w:color="auto"/>
        <w:bottom w:val="none" w:sz="0" w:space="0" w:color="auto"/>
        <w:right w:val="none" w:sz="0" w:space="0" w:color="auto"/>
      </w:divBdr>
      <w:divsChild>
        <w:div w:id="1904103574">
          <w:marLeft w:val="0"/>
          <w:marRight w:val="0"/>
          <w:marTop w:val="0"/>
          <w:marBottom w:val="0"/>
          <w:divBdr>
            <w:top w:val="none" w:sz="0" w:space="0" w:color="auto"/>
            <w:left w:val="none" w:sz="0" w:space="0" w:color="auto"/>
            <w:bottom w:val="none" w:sz="0" w:space="0" w:color="auto"/>
            <w:right w:val="none" w:sz="0" w:space="0" w:color="auto"/>
          </w:divBdr>
          <w:divsChild>
            <w:div w:id="495804109">
              <w:marLeft w:val="0"/>
              <w:marRight w:val="0"/>
              <w:marTop w:val="0"/>
              <w:marBottom w:val="0"/>
              <w:divBdr>
                <w:top w:val="none" w:sz="0" w:space="0" w:color="auto"/>
                <w:left w:val="none" w:sz="0" w:space="0" w:color="auto"/>
                <w:bottom w:val="none" w:sz="0" w:space="0" w:color="auto"/>
                <w:right w:val="none" w:sz="0" w:space="0" w:color="auto"/>
              </w:divBdr>
              <w:divsChild>
                <w:div w:id="1629433233">
                  <w:marLeft w:val="0"/>
                  <w:marRight w:val="0"/>
                  <w:marTop w:val="0"/>
                  <w:marBottom w:val="0"/>
                  <w:divBdr>
                    <w:top w:val="none" w:sz="0" w:space="0" w:color="auto"/>
                    <w:left w:val="none" w:sz="0" w:space="0" w:color="auto"/>
                    <w:bottom w:val="none" w:sz="0" w:space="0" w:color="auto"/>
                    <w:right w:val="none" w:sz="0" w:space="0" w:color="auto"/>
                  </w:divBdr>
                  <w:divsChild>
                    <w:div w:id="498926434">
                      <w:marLeft w:val="0"/>
                      <w:marRight w:val="0"/>
                      <w:marTop w:val="0"/>
                      <w:marBottom w:val="0"/>
                      <w:divBdr>
                        <w:top w:val="none" w:sz="0" w:space="0" w:color="auto"/>
                        <w:left w:val="none" w:sz="0" w:space="0" w:color="auto"/>
                        <w:bottom w:val="none" w:sz="0" w:space="0" w:color="auto"/>
                        <w:right w:val="none" w:sz="0" w:space="0" w:color="auto"/>
                      </w:divBdr>
                      <w:divsChild>
                        <w:div w:id="384643560">
                          <w:marLeft w:val="0"/>
                          <w:marRight w:val="0"/>
                          <w:marTop w:val="0"/>
                          <w:marBottom w:val="0"/>
                          <w:divBdr>
                            <w:top w:val="none" w:sz="0" w:space="0" w:color="auto"/>
                            <w:left w:val="none" w:sz="0" w:space="0" w:color="auto"/>
                            <w:bottom w:val="none" w:sz="0" w:space="0" w:color="auto"/>
                            <w:right w:val="none" w:sz="0" w:space="0" w:color="auto"/>
                          </w:divBdr>
                          <w:divsChild>
                            <w:div w:id="1609004768">
                              <w:marLeft w:val="0"/>
                              <w:marRight w:val="0"/>
                              <w:marTop w:val="0"/>
                              <w:marBottom w:val="0"/>
                              <w:divBdr>
                                <w:top w:val="none" w:sz="0" w:space="0" w:color="auto"/>
                                <w:left w:val="none" w:sz="0" w:space="0" w:color="auto"/>
                                <w:bottom w:val="none" w:sz="0" w:space="0" w:color="auto"/>
                                <w:right w:val="none" w:sz="0" w:space="0" w:color="auto"/>
                              </w:divBdr>
                              <w:divsChild>
                                <w:div w:id="15067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680355">
          <w:marLeft w:val="0"/>
          <w:marRight w:val="0"/>
          <w:marTop w:val="0"/>
          <w:marBottom w:val="0"/>
          <w:divBdr>
            <w:top w:val="none" w:sz="0" w:space="0" w:color="auto"/>
            <w:left w:val="none" w:sz="0" w:space="0" w:color="auto"/>
            <w:bottom w:val="none" w:sz="0" w:space="0" w:color="auto"/>
            <w:right w:val="none" w:sz="0" w:space="0" w:color="auto"/>
          </w:divBdr>
          <w:divsChild>
            <w:div w:id="1936131533">
              <w:marLeft w:val="0"/>
              <w:marRight w:val="0"/>
              <w:marTop w:val="0"/>
              <w:marBottom w:val="0"/>
              <w:divBdr>
                <w:top w:val="none" w:sz="0" w:space="0" w:color="auto"/>
                <w:left w:val="none" w:sz="0" w:space="0" w:color="auto"/>
                <w:bottom w:val="none" w:sz="0" w:space="0" w:color="auto"/>
                <w:right w:val="none" w:sz="0" w:space="0" w:color="auto"/>
              </w:divBdr>
              <w:divsChild>
                <w:div w:id="5980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3546">
          <w:marLeft w:val="0"/>
          <w:marRight w:val="0"/>
          <w:marTop w:val="0"/>
          <w:marBottom w:val="0"/>
          <w:divBdr>
            <w:top w:val="none" w:sz="0" w:space="0" w:color="auto"/>
            <w:left w:val="none" w:sz="0" w:space="0" w:color="auto"/>
            <w:bottom w:val="none" w:sz="0" w:space="0" w:color="auto"/>
            <w:right w:val="none" w:sz="0" w:space="0" w:color="auto"/>
          </w:divBdr>
          <w:divsChild>
            <w:div w:id="214322201">
              <w:marLeft w:val="0"/>
              <w:marRight w:val="0"/>
              <w:marTop w:val="0"/>
              <w:marBottom w:val="0"/>
              <w:divBdr>
                <w:top w:val="none" w:sz="0" w:space="0" w:color="auto"/>
                <w:left w:val="none" w:sz="0" w:space="0" w:color="auto"/>
                <w:bottom w:val="none" w:sz="0" w:space="0" w:color="auto"/>
                <w:right w:val="none" w:sz="0" w:space="0" w:color="auto"/>
              </w:divBdr>
              <w:divsChild>
                <w:div w:id="571819930">
                  <w:marLeft w:val="0"/>
                  <w:marRight w:val="0"/>
                  <w:marTop w:val="0"/>
                  <w:marBottom w:val="0"/>
                  <w:divBdr>
                    <w:top w:val="none" w:sz="0" w:space="0" w:color="auto"/>
                    <w:left w:val="none" w:sz="0" w:space="0" w:color="auto"/>
                    <w:bottom w:val="none" w:sz="0" w:space="0" w:color="auto"/>
                    <w:right w:val="none" w:sz="0" w:space="0" w:color="auto"/>
                  </w:divBdr>
                  <w:divsChild>
                    <w:div w:id="1046837517">
                      <w:marLeft w:val="0"/>
                      <w:marRight w:val="0"/>
                      <w:marTop w:val="0"/>
                      <w:marBottom w:val="0"/>
                      <w:divBdr>
                        <w:top w:val="none" w:sz="0" w:space="0" w:color="auto"/>
                        <w:left w:val="none" w:sz="0" w:space="0" w:color="auto"/>
                        <w:bottom w:val="none" w:sz="0" w:space="0" w:color="auto"/>
                        <w:right w:val="none" w:sz="0" w:space="0" w:color="auto"/>
                      </w:divBdr>
                      <w:divsChild>
                        <w:div w:id="1291475716">
                          <w:marLeft w:val="0"/>
                          <w:marRight w:val="0"/>
                          <w:marTop w:val="0"/>
                          <w:marBottom w:val="0"/>
                          <w:divBdr>
                            <w:top w:val="none" w:sz="0" w:space="0" w:color="auto"/>
                            <w:left w:val="none" w:sz="0" w:space="0" w:color="auto"/>
                            <w:bottom w:val="none" w:sz="0" w:space="0" w:color="auto"/>
                            <w:right w:val="none" w:sz="0" w:space="0" w:color="auto"/>
                          </w:divBdr>
                          <w:divsChild>
                            <w:div w:id="1512915110">
                              <w:marLeft w:val="0"/>
                              <w:marRight w:val="0"/>
                              <w:marTop w:val="0"/>
                              <w:marBottom w:val="0"/>
                              <w:divBdr>
                                <w:top w:val="none" w:sz="0" w:space="0" w:color="auto"/>
                                <w:left w:val="none" w:sz="0" w:space="0" w:color="auto"/>
                                <w:bottom w:val="none" w:sz="0" w:space="0" w:color="auto"/>
                                <w:right w:val="none" w:sz="0" w:space="0" w:color="auto"/>
                              </w:divBdr>
                              <w:divsChild>
                                <w:div w:id="9880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641014">
          <w:marLeft w:val="0"/>
          <w:marRight w:val="0"/>
          <w:marTop w:val="0"/>
          <w:marBottom w:val="0"/>
          <w:divBdr>
            <w:top w:val="none" w:sz="0" w:space="0" w:color="auto"/>
            <w:left w:val="none" w:sz="0" w:space="0" w:color="auto"/>
            <w:bottom w:val="none" w:sz="0" w:space="0" w:color="auto"/>
            <w:right w:val="none" w:sz="0" w:space="0" w:color="auto"/>
          </w:divBdr>
          <w:divsChild>
            <w:div w:id="991176889">
              <w:marLeft w:val="0"/>
              <w:marRight w:val="0"/>
              <w:marTop w:val="0"/>
              <w:marBottom w:val="0"/>
              <w:divBdr>
                <w:top w:val="none" w:sz="0" w:space="0" w:color="auto"/>
                <w:left w:val="none" w:sz="0" w:space="0" w:color="auto"/>
                <w:bottom w:val="none" w:sz="0" w:space="0" w:color="auto"/>
                <w:right w:val="none" w:sz="0" w:space="0" w:color="auto"/>
              </w:divBdr>
              <w:divsChild>
                <w:div w:id="6228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8419">
      <w:bodyDiv w:val="1"/>
      <w:marLeft w:val="0"/>
      <w:marRight w:val="0"/>
      <w:marTop w:val="0"/>
      <w:marBottom w:val="0"/>
      <w:divBdr>
        <w:top w:val="none" w:sz="0" w:space="0" w:color="auto"/>
        <w:left w:val="none" w:sz="0" w:space="0" w:color="auto"/>
        <w:bottom w:val="none" w:sz="0" w:space="0" w:color="auto"/>
        <w:right w:val="none" w:sz="0" w:space="0" w:color="auto"/>
      </w:divBdr>
    </w:div>
    <w:div w:id="21470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02.190"/>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295 5852,'-1'-570,"3"-631,5 822,0-296,-56 3,26 520,-6 1,-64-197,71 271,4-1,4-1,-6-103,12 105,-25-615,34 614,3 0,4 0,4 1,31-115,-38 177</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00.54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311 25,'0'-1,"1"0,-1-1,0 1,0 0,1 0,-1 0,0 0,1-1,-1 1,1 0,0 0,-1 0,1 0,0 0,0 0,-1 0,1 1,0-1,0 0,2-1,-3 2,1 0,-1 0,1-1,-1 1,1 0,-1 0,1 0,-1 0,1 0,-1 0,1 0,-1 0,1 0,-1 0,1 0,-1 0,1 0,-1 1,1-1,-1 0,1 0,-1 0,1 1,-1-1,1 0,-1 1,0-1,1 0,-1 1,0-1,1 0,-1 1,0-1,1 1,-1-1,0 1,0-1,0 1,1-1,-1 1,0-1,0 1,0-1,0 1,0-1,0 1,0-1,0 1,0-1,0 1,1 27,0-1,-2 0,-1 0,-9 43,-1 14,2 52,-8 75,-19 57,23-103,0 8,-8 4,-16 104,13-72,12-84,-31 857,-15-136,40-628,15 10,5-135,-1-79</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10.081"/>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25 1,'-8'780,"-1"-29,2-310,12 424,98 2,116 399,-188-1012,-2 318,-66 255,-102 45,44-470,91-383,1 0,1 0,1 1,1 22,0-28</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11.220"/>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1,'0'0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31T06:56:22.683"/>
    </inkml:context>
    <inkml:brush xml:id="br0">
      <inkml:brushProperty name="width" value="0.1" units="cm"/>
      <inkml:brushProperty name="height" value="0.1" units="cm"/>
      <inkml:brushProperty name="color" value="#FFFFFF"/>
    </inkml:brush>
  </inkml:definitions>
  <inkml:trace contextRef="#ctx0" brushRef="#br0">542 2176 8192,'2'-37'13693,"3"-1"-8535,20-73-7394,-15 74 3643,0-7-1407,48-222 0,-48 192-703,-1-95-14753,-8 116 15490,-1 0 5994,0-56 3798,0-55-9678,0 32-25,0 130-123,0 1 0,1-1 0,-1 1 0,0-1 0,-1 1 0,1 0 0,0-1 0,0 1 0,-1-1 0,1 1 0,0 0 0,-1-1 0,1 1 0,-1 0 0,-1-2 0,2 3 0,-1 0 0,1 0 0,-1 0 0,1 0 0,0 0 0,-1 0 0,1 0 0,-1 0 0,1 0 0,-1 0 0,1 1 0,-1-1 0,1 0 0,0 0 0,-1 0 0,1 1 0,0-1 0,-1 0 0,1 1 0,-1-1 0,1 0 0,0 1 0,0-1 0,-1 0 0,1 1 0,0-1 0,0 0 0,-1 1 0,1 0 0,-23 44 0,2 18-281,2 1 0,4 0 0,-9 72 0,15-81-1392,-78 693-13322,73-245 14765,14 181 1110,1-673-464,-1 0 0,1-1 1,1 1-1,0-1 0,21 49 13328,-18-81-12427,-11-687-7629,-16 407-3329,-25-69 7754,-10-120 1705,38 184 325,-9-121-505,-31 3 3377,9 198-3987,48 220 310,-2-12 3025,-11-17 9739,14 36-11898,1 0 0,-1-1 1,1 1-1,-1 0 1,1 0-1,-1 0 1,1 0-1,-1 0 1,-1 1-173,1-1 1,0 1 0,0 0-1,0 0 1,0 0 0,0 0-1,0 0 1,0 0-1,0 0 1,1 0 0,-1 0-1,0 0 1,1 1 0,-1-1-1,1 0 1,-2 2 0,-12 38-663,2-1 0,1 2 1,-10 82-1,13-70 673,-37 284 2476,9 459-2562,39 337-902,-3-1091-1851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15.517"/>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49 500,'1'-60,"1"17,-3 1,-10-76,1 46,8 50,0 0,-12-40,3 4,13 98,-1 45,-1 24,25 242,13 418,-54-78,14-546,2-128</inkml:trace>
</inkml:ink>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57AF-FA21-42AE-AD61-B3D31B771791}">
  <ds:schemaRefs>
    <ds:schemaRef ds:uri="http://www.w3.org/2003/InkML"/>
  </ds:schemaRefs>
</ds:datastoreItem>
</file>

<file path=customXml/itemProps2.xml><?xml version="1.0" encoding="utf-8"?>
<ds:datastoreItem xmlns:ds="http://schemas.openxmlformats.org/officeDocument/2006/customXml" ds:itemID="{EBF86479-830D-449B-BD14-F128509D83A9}">
  <ds:schemaRefs>
    <ds:schemaRef ds:uri="http://www.w3.org/2003/InkML"/>
  </ds:schemaRefs>
</ds:datastoreItem>
</file>

<file path=customXml/itemProps3.xml><?xml version="1.0" encoding="utf-8"?>
<ds:datastoreItem xmlns:ds="http://schemas.openxmlformats.org/officeDocument/2006/customXml" ds:itemID="{1EFC2BA9-D185-4A67-9C65-17B6371F6673}">
  <ds:schemaRefs>
    <ds:schemaRef ds:uri="http://www.w3.org/2003/InkML"/>
  </ds:schemaRefs>
</ds:datastoreItem>
</file>

<file path=customXml/itemProps4.xml><?xml version="1.0" encoding="utf-8"?>
<ds:datastoreItem xmlns:ds="http://schemas.openxmlformats.org/officeDocument/2006/customXml" ds:itemID="{6FE51C94-134A-4734-9A7E-43A0A64E611F}">
  <ds:schemaRefs>
    <ds:schemaRef ds:uri="http://www.w3.org/2003/InkML"/>
  </ds:schemaRefs>
</ds:datastoreItem>
</file>

<file path=customXml/itemProps5.xml><?xml version="1.0" encoding="utf-8"?>
<ds:datastoreItem xmlns:ds="http://schemas.openxmlformats.org/officeDocument/2006/customXml" ds:itemID="{49F3D66C-0A13-434C-B90A-67A3B7499748}">
  <ds:schemaRefs>
    <ds:schemaRef ds:uri="http://www.w3.org/2003/InkML"/>
  </ds:schemaRefs>
</ds:datastoreItem>
</file>

<file path=customXml/itemProps6.xml><?xml version="1.0" encoding="utf-8"?>
<ds:datastoreItem xmlns:ds="http://schemas.openxmlformats.org/officeDocument/2006/customXml" ds:itemID="{A1FF348F-4F43-476A-A2DC-0513D917F398}">
  <ds:schemaRefs>
    <ds:schemaRef ds:uri="http://www.w3.org/2003/InkML"/>
  </ds:schemaRefs>
</ds:datastoreItem>
</file>

<file path=customXml/itemProps7.xml><?xml version="1.0" encoding="utf-8"?>
<ds:datastoreItem xmlns:ds="http://schemas.openxmlformats.org/officeDocument/2006/customXml" ds:itemID="{861149F7-6E71-4AC1-BC71-2782371A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9</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WTL_CMB</dc:creator>
  <cp:lastModifiedBy>SDI 1158</cp:lastModifiedBy>
  <cp:revision>23</cp:revision>
  <dcterms:created xsi:type="dcterms:W3CDTF">2026-03-28T05:20:00Z</dcterms:created>
  <dcterms:modified xsi:type="dcterms:W3CDTF">2026-04-07T06:15:00Z</dcterms:modified>
</cp:coreProperties>
</file>