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7DDD9" w14:textId="18DE3F80" w:rsidR="00754C9A" w:rsidRDefault="00DF4681" w:rsidP="00441B6F">
      <w:pPr>
        <w:pStyle w:val="Title"/>
        <w:spacing w:after="0"/>
        <w:jc w:val="both"/>
        <w:rPr>
          <w:rFonts w:ascii="Arial" w:hAnsi="Arial" w:cs="Arial"/>
        </w:rPr>
      </w:pPr>
      <w:r w:rsidRPr="00DF4681">
        <w:rPr>
          <w:rFonts w:ascii="Arial" w:hAnsi="Arial" w:cs="Arial"/>
        </w:rPr>
        <w:t>Case Report</w:t>
      </w:r>
    </w:p>
    <w:p w14:paraId="5E3F172D" w14:textId="77777777" w:rsidR="00DF4681" w:rsidRDefault="00DF4681" w:rsidP="00441B6F">
      <w:pPr>
        <w:pStyle w:val="Title"/>
        <w:spacing w:after="0"/>
        <w:jc w:val="both"/>
        <w:rPr>
          <w:rFonts w:ascii="Arial" w:hAnsi="Arial" w:cs="Arial"/>
        </w:rPr>
      </w:pPr>
    </w:p>
    <w:p w14:paraId="3D1DDE2C" w14:textId="2E9E627D" w:rsidR="003E56B6" w:rsidRPr="006357BE" w:rsidRDefault="00B14245" w:rsidP="006C4252">
      <w:pPr>
        <w:pStyle w:val="p1"/>
        <w:jc w:val="right"/>
        <w:rPr>
          <w:rFonts w:ascii="Arial" w:hAnsi="Arial" w:cs="Arial"/>
          <w:sz w:val="32"/>
          <w:szCs w:val="32"/>
        </w:rPr>
      </w:pPr>
      <w:r w:rsidRPr="006357BE">
        <w:rPr>
          <w:rStyle w:val="s1"/>
          <w:rFonts w:ascii="Arial" w:hAnsi="Arial" w:cs="Arial"/>
          <w:sz w:val="32"/>
          <w:szCs w:val="32"/>
        </w:rPr>
        <w:t>Non-surgical periodontal management of nifedipine-</w:t>
      </w:r>
    </w:p>
    <w:p w14:paraId="3DE109E3" w14:textId="28257248" w:rsidR="003E56B6" w:rsidRPr="006357BE" w:rsidRDefault="00B14245" w:rsidP="006C4252">
      <w:pPr>
        <w:pStyle w:val="p1"/>
        <w:jc w:val="right"/>
        <w:rPr>
          <w:rFonts w:ascii="Arial" w:hAnsi="Arial" w:cs="Arial"/>
          <w:sz w:val="32"/>
          <w:szCs w:val="32"/>
        </w:rPr>
      </w:pPr>
      <w:r w:rsidRPr="006357BE">
        <w:rPr>
          <w:rStyle w:val="s1"/>
          <w:rFonts w:ascii="Arial" w:hAnsi="Arial" w:cs="Arial"/>
          <w:sz w:val="32"/>
          <w:szCs w:val="32"/>
        </w:rPr>
        <w:t xml:space="preserve">Induced gingival overgrowth: </w:t>
      </w:r>
      <w:r w:rsidR="00880C86">
        <w:rPr>
          <w:rStyle w:val="s1"/>
          <w:rFonts w:ascii="Arial" w:hAnsi="Arial" w:cs="Arial"/>
          <w:sz w:val="32"/>
          <w:szCs w:val="32"/>
        </w:rPr>
        <w:t xml:space="preserve">A </w:t>
      </w:r>
      <w:r w:rsidRPr="006357BE">
        <w:rPr>
          <w:rStyle w:val="s1"/>
          <w:rFonts w:ascii="Arial" w:hAnsi="Arial" w:cs="Arial"/>
          <w:sz w:val="32"/>
          <w:szCs w:val="32"/>
        </w:rPr>
        <w:t>case report</w:t>
      </w:r>
    </w:p>
    <w:p w14:paraId="40466E2E" w14:textId="303C3159" w:rsidR="000F243A" w:rsidRDefault="000F243A" w:rsidP="00984CA3">
      <w:pPr>
        <w:pStyle w:val="Affiliation"/>
        <w:spacing w:after="0" w:line="240" w:lineRule="auto"/>
        <w:rPr>
          <w:rFonts w:ascii="Arial" w:hAnsi="Arial" w:cs="Arial"/>
        </w:rPr>
      </w:pPr>
    </w:p>
    <w:p w14:paraId="103DDE74" w14:textId="77777777" w:rsidR="009071FE" w:rsidRDefault="009071FE" w:rsidP="00984CA3">
      <w:pPr>
        <w:pStyle w:val="Affiliation"/>
        <w:spacing w:after="0" w:line="240" w:lineRule="auto"/>
        <w:rPr>
          <w:rFonts w:ascii="Arial" w:hAnsi="Arial" w:cs="Arial"/>
        </w:rPr>
      </w:pPr>
    </w:p>
    <w:p w14:paraId="6E4E25E5" w14:textId="77777777" w:rsidR="002C57D2" w:rsidRPr="00FB3A86" w:rsidRDefault="002C57D2" w:rsidP="00441B6F">
      <w:pPr>
        <w:pStyle w:val="Affiliation"/>
        <w:spacing w:after="0" w:line="240" w:lineRule="auto"/>
        <w:jc w:val="both"/>
        <w:rPr>
          <w:rFonts w:ascii="Arial" w:hAnsi="Arial" w:cs="Arial"/>
        </w:rPr>
      </w:pPr>
    </w:p>
    <w:p w14:paraId="4710A878" w14:textId="77777777" w:rsidR="00B01FCD" w:rsidRPr="00FB3A86" w:rsidRDefault="00BC01B0" w:rsidP="00441B6F">
      <w:pPr>
        <w:pStyle w:val="Copyright"/>
        <w:spacing w:after="0" w:line="240" w:lineRule="auto"/>
        <w:jc w:val="both"/>
        <w:rPr>
          <w:rFonts w:ascii="Arial" w:hAnsi="Arial" w:cs="Arial"/>
        </w:rPr>
        <w:sectPr w:rsidR="00B01FCD" w:rsidRPr="00FB3A86" w:rsidSect="009071F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F57DB13" wp14:editId="687C6AE0">
                <wp:extent cx="5303520" cy="635"/>
                <wp:effectExtent l="0" t="12700" r="5080" b="12065"/>
                <wp:docPr id="26898345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E02EC8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" strokeweight="1.5pt">
                <o:lock v:ext="edit" shapetype="f"/>
                <w10:anchorlock/>
              </v:shape>
            </w:pict>
          </mc:Fallback>
        </mc:AlternateContent>
      </w:r>
      <w:r w:rsidR="00FB3A86">
        <w:rPr>
          <w:rFonts w:ascii="Arial" w:hAnsi="Arial" w:cs="Arial"/>
        </w:rPr>
        <w:t>.</w:t>
      </w:r>
    </w:p>
    <w:p w14:paraId="651BDB2F" w14:textId="79A537B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8B480D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CE6A7D9" w14:textId="77777777" w:rsidTr="00C40C87">
        <w:trPr>
          <w:trHeight w:val="1408"/>
        </w:trPr>
        <w:tc>
          <w:tcPr>
            <w:tcW w:w="9576" w:type="dxa"/>
            <w:shd w:val="clear" w:color="auto" w:fill="F2F2F2"/>
          </w:tcPr>
          <w:p w14:paraId="692C01B1" w14:textId="77777777" w:rsidR="00C40C87" w:rsidRPr="00C40C87" w:rsidRDefault="00C40C87" w:rsidP="00C40C87">
            <w:pPr>
              <w:pStyle w:val="Body"/>
              <w:spacing w:after="0"/>
              <w:rPr>
                <w:rFonts w:ascii="Arial" w:eastAsia="Calibri" w:hAnsi="Arial" w:cs="Arial"/>
                <w:b/>
                <w:bCs/>
                <w:szCs w:val="22"/>
                <w:lang w:val="en-IN"/>
              </w:rPr>
            </w:pPr>
            <w:r w:rsidRPr="00C40C87">
              <w:rPr>
                <w:rFonts w:ascii="Arial" w:eastAsia="Calibri" w:hAnsi="Arial" w:cs="Arial"/>
                <w:b/>
                <w:bCs/>
                <w:szCs w:val="22"/>
                <w:lang w:val="en-IN"/>
              </w:rPr>
              <w:t>Introduction</w:t>
            </w:r>
          </w:p>
          <w:p w14:paraId="5849D4BE" w14:textId="77777777" w:rsidR="00C40C87" w:rsidRPr="00C40C87" w:rsidRDefault="00C40C87" w:rsidP="00C40C87">
            <w:pPr>
              <w:pStyle w:val="Body"/>
              <w:spacing w:after="0"/>
              <w:rPr>
                <w:rFonts w:ascii="Arial" w:eastAsia="Calibri" w:hAnsi="Arial" w:cs="Arial"/>
                <w:szCs w:val="22"/>
                <w:lang w:val="en-IN"/>
              </w:rPr>
            </w:pPr>
            <w:r w:rsidRPr="00C40C87">
              <w:rPr>
                <w:rFonts w:ascii="Arial" w:eastAsia="Calibri" w:hAnsi="Arial" w:cs="Arial"/>
                <w:szCs w:val="22"/>
                <w:lang w:val="en-IN"/>
              </w:rPr>
              <w:t>Gingival overgrowth is a common adverse effect associated with long-term use of antihypertensive, anticonvulsant, and immunosuppressant drugs, influenced by drug-related factors and periodontal status.</w:t>
            </w:r>
          </w:p>
          <w:p w14:paraId="23735704" w14:textId="77777777" w:rsidR="00C40C87" w:rsidRPr="00C40C87" w:rsidRDefault="00C40C87" w:rsidP="00C40C87">
            <w:pPr>
              <w:pStyle w:val="Body"/>
              <w:spacing w:after="0"/>
              <w:rPr>
                <w:rFonts w:ascii="Arial" w:eastAsia="Calibri" w:hAnsi="Arial" w:cs="Arial"/>
                <w:b/>
                <w:bCs/>
                <w:szCs w:val="22"/>
                <w:lang w:val="en-IN"/>
              </w:rPr>
            </w:pPr>
            <w:r w:rsidRPr="00C40C87">
              <w:rPr>
                <w:rFonts w:ascii="Arial" w:eastAsia="Calibri" w:hAnsi="Arial" w:cs="Arial"/>
                <w:b/>
                <w:bCs/>
                <w:szCs w:val="22"/>
                <w:lang w:val="en-IN"/>
              </w:rPr>
              <w:t>Case Presentation</w:t>
            </w:r>
          </w:p>
          <w:p w14:paraId="1ADDEDB3" w14:textId="77777777" w:rsidR="00C40C87" w:rsidRPr="00C40C87" w:rsidRDefault="00C40C87" w:rsidP="00C40C87">
            <w:pPr>
              <w:pStyle w:val="Body"/>
              <w:spacing w:after="0"/>
              <w:rPr>
                <w:rFonts w:ascii="Arial" w:eastAsia="Calibri" w:hAnsi="Arial" w:cs="Arial"/>
                <w:szCs w:val="22"/>
                <w:lang w:val="en-IN"/>
              </w:rPr>
            </w:pPr>
            <w:r w:rsidRPr="00C40C87">
              <w:rPr>
                <w:rFonts w:ascii="Arial" w:eastAsia="Calibri" w:hAnsi="Arial" w:cs="Arial"/>
                <w:szCs w:val="22"/>
                <w:lang w:val="en-IN"/>
              </w:rPr>
              <w:t>A 40-year-old patient presented with nifedipine-induced gingival enlargement affecting function, aesthetics, and oral hygiene. Nonsurgical periodontal therapy, including scaling, root planing, and oral hygiene reinforcement, was performed without altering medication.</w:t>
            </w:r>
          </w:p>
          <w:p w14:paraId="4EF4BD2D" w14:textId="77777777" w:rsidR="00C40C87" w:rsidRPr="00C40C87" w:rsidRDefault="00C40C87" w:rsidP="00C40C87">
            <w:pPr>
              <w:pStyle w:val="Body"/>
              <w:spacing w:after="0"/>
              <w:rPr>
                <w:rFonts w:ascii="Arial" w:eastAsia="Calibri" w:hAnsi="Arial" w:cs="Arial"/>
                <w:b/>
                <w:bCs/>
                <w:szCs w:val="22"/>
                <w:lang w:val="en-IN"/>
              </w:rPr>
            </w:pPr>
            <w:r w:rsidRPr="00C40C87">
              <w:rPr>
                <w:rFonts w:ascii="Arial" w:eastAsia="Calibri" w:hAnsi="Arial" w:cs="Arial"/>
                <w:b/>
                <w:bCs/>
                <w:szCs w:val="22"/>
                <w:lang w:val="en-IN"/>
              </w:rPr>
              <w:t>Discussion</w:t>
            </w:r>
          </w:p>
          <w:p w14:paraId="1E0A3653" w14:textId="77777777" w:rsidR="00C40C87" w:rsidRPr="00C40C87" w:rsidRDefault="00C40C87" w:rsidP="00C40C87">
            <w:pPr>
              <w:pStyle w:val="Body"/>
              <w:spacing w:after="0"/>
              <w:rPr>
                <w:rFonts w:ascii="Arial" w:eastAsia="Calibri" w:hAnsi="Arial" w:cs="Arial"/>
                <w:szCs w:val="22"/>
                <w:lang w:val="en-IN"/>
              </w:rPr>
            </w:pPr>
            <w:r w:rsidRPr="00C40C87">
              <w:rPr>
                <w:rFonts w:ascii="Arial" w:eastAsia="Calibri" w:hAnsi="Arial" w:cs="Arial"/>
                <w:szCs w:val="22"/>
                <w:lang w:val="en-IN"/>
              </w:rPr>
              <w:t>Progressive reduction in gingival overgrowth was observed, with complete resolution achieved through meticulous plaque control and regular supportive periodontal therapy, avoiding surgical intervention.</w:t>
            </w:r>
          </w:p>
          <w:p w14:paraId="08D2D2DE" w14:textId="77777777" w:rsidR="00C40C87" w:rsidRPr="00C40C87" w:rsidRDefault="00C40C87" w:rsidP="00C40C87">
            <w:pPr>
              <w:pStyle w:val="Body"/>
              <w:spacing w:after="0"/>
              <w:rPr>
                <w:rFonts w:ascii="Arial" w:eastAsia="Calibri" w:hAnsi="Arial" w:cs="Arial"/>
                <w:b/>
                <w:bCs/>
                <w:szCs w:val="22"/>
                <w:lang w:val="en-IN"/>
              </w:rPr>
            </w:pPr>
            <w:r w:rsidRPr="00C40C87">
              <w:rPr>
                <w:rFonts w:ascii="Arial" w:eastAsia="Calibri" w:hAnsi="Arial" w:cs="Arial"/>
                <w:b/>
                <w:bCs/>
                <w:szCs w:val="22"/>
                <w:lang w:val="en-IN"/>
              </w:rPr>
              <w:t>Conclusion</w:t>
            </w:r>
          </w:p>
          <w:p w14:paraId="1AF0316B" w14:textId="77777777" w:rsidR="00C40C87" w:rsidRPr="00C40C87" w:rsidRDefault="00C40C87" w:rsidP="00C40C87">
            <w:pPr>
              <w:pStyle w:val="Body"/>
              <w:spacing w:after="0"/>
              <w:rPr>
                <w:rFonts w:ascii="Arial" w:eastAsia="Calibri" w:hAnsi="Arial" w:cs="Arial"/>
                <w:szCs w:val="22"/>
                <w:lang w:val="en-IN"/>
              </w:rPr>
            </w:pPr>
            <w:r w:rsidRPr="00C40C87">
              <w:rPr>
                <w:rFonts w:ascii="Arial" w:eastAsia="Calibri" w:hAnsi="Arial" w:cs="Arial"/>
                <w:szCs w:val="22"/>
                <w:lang w:val="en-IN"/>
              </w:rPr>
              <w:t>Nonsurgical management can effectively treat drug-induced gingival overgrowth, with long-term stability achievable through consistent maintenance and patient compliance.</w:t>
            </w:r>
          </w:p>
          <w:p w14:paraId="44091E92" w14:textId="1B496172" w:rsidR="00505F06" w:rsidRPr="00BA1B01" w:rsidRDefault="00505F06" w:rsidP="00441B6F">
            <w:pPr>
              <w:pStyle w:val="Body"/>
              <w:spacing w:after="0"/>
              <w:rPr>
                <w:rFonts w:ascii="Arial" w:eastAsia="Calibri" w:hAnsi="Arial" w:cs="Arial"/>
                <w:szCs w:val="22"/>
              </w:rPr>
            </w:pPr>
          </w:p>
        </w:tc>
      </w:tr>
    </w:tbl>
    <w:p w14:paraId="27C1FD62" w14:textId="77777777" w:rsidR="00636EB2" w:rsidRDefault="00636EB2" w:rsidP="00441B6F">
      <w:pPr>
        <w:pStyle w:val="Body"/>
        <w:spacing w:after="0"/>
        <w:rPr>
          <w:rFonts w:ascii="Arial" w:hAnsi="Arial" w:cs="Arial"/>
          <w:i/>
        </w:rPr>
      </w:pPr>
    </w:p>
    <w:p w14:paraId="5822725D" w14:textId="53D42DAF" w:rsidR="00A24E7E" w:rsidRDefault="00A24E7E" w:rsidP="00441B6F">
      <w:pPr>
        <w:pStyle w:val="Body"/>
        <w:spacing w:after="0"/>
        <w:rPr>
          <w:rFonts w:ascii="Arial" w:hAnsi="Arial" w:cs="Arial"/>
          <w:i/>
        </w:rPr>
      </w:pPr>
      <w:r>
        <w:rPr>
          <w:rFonts w:ascii="Arial" w:hAnsi="Arial" w:cs="Arial"/>
          <w:i/>
        </w:rPr>
        <w:t xml:space="preserve">Keywords: </w:t>
      </w:r>
      <w:r w:rsidR="002A41D5" w:rsidRPr="002A41D5">
        <w:rPr>
          <w:rFonts w:ascii="Arial" w:hAnsi="Arial" w:cs="Arial"/>
          <w:i/>
          <w:iCs/>
        </w:rPr>
        <w:t xml:space="preserve">Gingiva Hyperplasia, Nifedipine/Adverse Effects, Periodontal pocket, Calcium Channel Blockers, </w:t>
      </w:r>
      <w:r w:rsidR="002A41D5" w:rsidRPr="002A41D5">
        <w:rPr>
          <w:rFonts w:ascii="Arial" w:hAnsi="Arial" w:cs="Arial"/>
          <w:i/>
          <w:iCs/>
          <w:color w:val="212121"/>
          <w:u w:color="212121"/>
          <w:lang w:val="fr-FR"/>
        </w:rPr>
        <w:t xml:space="preserve">Oral </w:t>
      </w:r>
      <w:proofErr w:type="spellStart"/>
      <w:r w:rsidR="002A41D5" w:rsidRPr="002A41D5">
        <w:rPr>
          <w:rFonts w:ascii="Arial" w:hAnsi="Arial" w:cs="Arial"/>
          <w:i/>
          <w:iCs/>
          <w:color w:val="212121"/>
          <w:u w:color="212121"/>
          <w:lang w:val="fr-FR"/>
        </w:rPr>
        <w:t>Hygiene</w:t>
      </w:r>
      <w:proofErr w:type="spellEnd"/>
      <w:r w:rsidR="002A41D5" w:rsidRPr="002A41D5">
        <w:rPr>
          <w:rFonts w:ascii="Arial" w:hAnsi="Arial" w:cs="Arial"/>
          <w:i/>
          <w:iCs/>
          <w:color w:val="212121"/>
          <w:u w:color="212121"/>
          <w:lang w:val="fr-FR"/>
        </w:rPr>
        <w:t xml:space="preserve">/ Education, Plaque </w:t>
      </w:r>
      <w:proofErr w:type="spellStart"/>
      <w:r w:rsidR="002A41D5" w:rsidRPr="002A41D5">
        <w:rPr>
          <w:rFonts w:ascii="Arial" w:hAnsi="Arial" w:cs="Arial"/>
          <w:i/>
          <w:iCs/>
          <w:color w:val="212121"/>
          <w:u w:color="212121"/>
          <w:lang w:val="fr-FR"/>
        </w:rPr>
        <w:t>prevention</w:t>
      </w:r>
      <w:proofErr w:type="spellEnd"/>
      <w:r w:rsidR="002A41D5" w:rsidRPr="002A41D5">
        <w:rPr>
          <w:rFonts w:ascii="Arial" w:hAnsi="Arial" w:cs="Arial"/>
          <w:i/>
          <w:iCs/>
          <w:color w:val="212121"/>
          <w:u w:color="212121"/>
          <w:lang w:val="fr-FR"/>
        </w:rPr>
        <w:t xml:space="preserve"> &amp; control.</w:t>
      </w:r>
    </w:p>
    <w:p w14:paraId="3C8A4ADA" w14:textId="77777777" w:rsidR="00790ADA" w:rsidRDefault="00790ADA" w:rsidP="00441B6F">
      <w:pPr>
        <w:pStyle w:val="Body"/>
        <w:spacing w:after="0"/>
        <w:rPr>
          <w:rFonts w:ascii="Arial" w:hAnsi="Arial" w:cs="Arial"/>
          <w:i/>
        </w:rPr>
      </w:pPr>
    </w:p>
    <w:p w14:paraId="087E5C96" w14:textId="521D1815" w:rsidR="00B52896" w:rsidRDefault="00B52896" w:rsidP="00DF4681">
      <w:pPr>
        <w:pStyle w:val="Body"/>
        <w:spacing w:after="0"/>
        <w:rPr>
          <w:rFonts w:ascii="Arial" w:hAnsi="Arial" w:cs="Arial"/>
          <w:i/>
          <w:sz w:val="18"/>
        </w:rPr>
      </w:pPr>
    </w:p>
    <w:p w14:paraId="72B2A0B5" w14:textId="77777777" w:rsidR="0024282C" w:rsidRDefault="0024282C" w:rsidP="00441B6F">
      <w:pPr>
        <w:pStyle w:val="Body"/>
        <w:spacing w:after="0"/>
        <w:rPr>
          <w:rFonts w:ascii="Arial" w:hAnsi="Arial" w:cs="Arial"/>
          <w:i/>
          <w:sz w:val="18"/>
        </w:rPr>
      </w:pPr>
    </w:p>
    <w:p w14:paraId="49CC4520" w14:textId="77777777" w:rsidR="00505F06" w:rsidRPr="00A24E7E" w:rsidRDefault="00505F06" w:rsidP="00441B6F">
      <w:pPr>
        <w:pStyle w:val="Body"/>
        <w:spacing w:after="0"/>
        <w:rPr>
          <w:rFonts w:ascii="Arial" w:hAnsi="Arial" w:cs="Arial"/>
          <w:i/>
        </w:rPr>
      </w:pPr>
    </w:p>
    <w:p w14:paraId="3C84C2C1" w14:textId="4C78322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C302FB1" w14:textId="77777777" w:rsidR="00790ADA" w:rsidRPr="00FB3A86" w:rsidRDefault="00790ADA" w:rsidP="00441B6F">
      <w:pPr>
        <w:pStyle w:val="AbstHead"/>
        <w:spacing w:after="0"/>
        <w:jc w:val="both"/>
        <w:rPr>
          <w:rFonts w:ascii="Arial" w:hAnsi="Arial" w:cs="Arial"/>
        </w:rPr>
      </w:pPr>
    </w:p>
    <w:p w14:paraId="1980F7D3" w14:textId="111D62E8" w:rsidR="00C40C87" w:rsidRPr="00A210CD" w:rsidRDefault="00A210CD" w:rsidP="00A210CD">
      <w:pPr>
        <w:spacing w:before="100" w:beforeAutospacing="1" w:after="100" w:afterAutospacing="1"/>
        <w:jc w:val="both"/>
        <w:rPr>
          <w:rFonts w:ascii="Times New Roman" w:hAnsi="Times New Roman"/>
          <w:sz w:val="24"/>
          <w:szCs w:val="24"/>
        </w:rPr>
      </w:pPr>
      <w:r w:rsidRPr="00A210CD">
        <w:rPr>
          <w:rFonts w:ascii="Times New Roman" w:hAnsi="Times New Roman"/>
          <w:sz w:val="24"/>
          <w:szCs w:val="24"/>
        </w:rPr>
        <w:t xml:space="preserve">An increasing number of pharmacological agents have been implicated in the development of gingival enlargement. In the context of drug-induced gingival changes, the terms </w:t>
      </w:r>
      <w:r w:rsidRPr="00A210CD">
        <w:rPr>
          <w:rFonts w:ascii="Times New Roman" w:hAnsi="Times New Roman"/>
          <w:b/>
          <w:bCs/>
          <w:sz w:val="24"/>
          <w:szCs w:val="24"/>
        </w:rPr>
        <w:t>gingival enlargement</w:t>
      </w:r>
      <w:r w:rsidRPr="00A210CD">
        <w:rPr>
          <w:rFonts w:ascii="Times New Roman" w:hAnsi="Times New Roman"/>
          <w:sz w:val="24"/>
          <w:szCs w:val="24"/>
        </w:rPr>
        <w:t xml:space="preserve"> or </w:t>
      </w:r>
      <w:r w:rsidRPr="00A210CD">
        <w:rPr>
          <w:rFonts w:ascii="Times New Roman" w:hAnsi="Times New Roman"/>
          <w:b/>
          <w:bCs/>
          <w:sz w:val="24"/>
          <w:szCs w:val="24"/>
        </w:rPr>
        <w:t>gingival overgrowth</w:t>
      </w:r>
      <w:r w:rsidRPr="00A210CD">
        <w:rPr>
          <w:rFonts w:ascii="Times New Roman" w:hAnsi="Times New Roman"/>
          <w:sz w:val="24"/>
          <w:szCs w:val="24"/>
        </w:rPr>
        <w:t xml:space="preserve"> are now preferred, replacing the previously used terms </w:t>
      </w:r>
      <w:r w:rsidRPr="00A210CD">
        <w:rPr>
          <w:rFonts w:ascii="Times New Roman" w:hAnsi="Times New Roman"/>
          <w:b/>
          <w:bCs/>
          <w:sz w:val="24"/>
          <w:szCs w:val="24"/>
        </w:rPr>
        <w:t>gingival hyperplasia</w:t>
      </w:r>
      <w:r w:rsidRPr="00A210CD">
        <w:rPr>
          <w:rFonts w:ascii="Times New Roman" w:hAnsi="Times New Roman"/>
          <w:sz w:val="24"/>
          <w:szCs w:val="24"/>
        </w:rPr>
        <w:t xml:space="preserve"> and </w:t>
      </w:r>
      <w:r w:rsidRPr="00A210CD">
        <w:rPr>
          <w:rFonts w:ascii="Times New Roman" w:hAnsi="Times New Roman"/>
          <w:b/>
          <w:bCs/>
          <w:sz w:val="24"/>
          <w:szCs w:val="24"/>
        </w:rPr>
        <w:t>gingival hypertrophy</w:t>
      </w:r>
      <w:r w:rsidRPr="00A210CD">
        <w:rPr>
          <w:rFonts w:ascii="Times New Roman" w:hAnsi="Times New Roman"/>
          <w:sz w:val="24"/>
          <w:szCs w:val="24"/>
        </w:rPr>
        <w:t>. These earlier terminologies are considered less accurate, as they do not adequately represent the complex histological characteristics of gingival tissues altered by pharmacological influences</w:t>
      </w:r>
      <w:r w:rsidR="00456E0E" w:rsidRPr="00456E0E">
        <w:rPr>
          <w:rFonts w:ascii="Arial" w:eastAsiaTheme="minorEastAsia" w:hAnsi="Arial" w:cs="Arial"/>
          <w:color w:val="000000"/>
          <w:lang w:val="en-IN" w:eastAsia="en-GB"/>
        </w:rPr>
        <w:t>.</w:t>
      </w:r>
      <w:r w:rsidR="00456E0E" w:rsidRPr="00456E0E">
        <w:rPr>
          <w:rFonts w:ascii="Arial" w:eastAsiaTheme="minorEastAsia" w:hAnsi="Arial" w:cs="Arial"/>
          <w:color w:val="000000"/>
          <w:vertAlign w:val="superscript"/>
          <w:lang w:val="en-IN" w:eastAsia="en-GB"/>
        </w:rPr>
        <w:t>1</w:t>
      </w:r>
      <w:r w:rsidR="00456E0E" w:rsidRPr="00456E0E">
        <w:rPr>
          <w:rFonts w:ascii="Arial" w:eastAsiaTheme="minorEastAsia" w:hAnsi="Arial" w:cs="Arial"/>
          <w:color w:val="000000"/>
          <w:lang w:val="en-IN" w:eastAsia="en-GB"/>
        </w:rPr>
        <w:t xml:space="preserve"> More than 20 drugs</w:t>
      </w:r>
      <w:r w:rsidR="00C40C87">
        <w:rPr>
          <w:rFonts w:ascii="Arial" w:eastAsiaTheme="minorEastAsia" w:hAnsi="Arial" w:cs="Arial"/>
          <w:color w:val="000000"/>
          <w:lang w:val="en-IN" w:eastAsia="en-GB"/>
        </w:rPr>
        <w:t xml:space="preserve"> </w:t>
      </w:r>
      <w:r w:rsidR="00456E0E" w:rsidRPr="00456E0E">
        <w:rPr>
          <w:rFonts w:ascii="Arial" w:eastAsiaTheme="minorEastAsia" w:hAnsi="Arial" w:cs="Arial"/>
          <w:color w:val="000000"/>
          <w:lang w:val="en-IN" w:eastAsia="en-GB"/>
        </w:rPr>
        <w:t>associated with gingival enlargements. Anticonvulsants, immunosuppressives, and</w:t>
      </w:r>
      <w:r w:rsidR="00C40C87">
        <w:rPr>
          <w:rFonts w:ascii="Arial" w:eastAsiaTheme="minorEastAsia" w:hAnsi="Arial" w:cs="Arial"/>
          <w:color w:val="000000"/>
          <w:lang w:val="en-IN" w:eastAsia="en-GB"/>
        </w:rPr>
        <w:t xml:space="preserve"> </w:t>
      </w:r>
      <w:r w:rsidR="00456E0E" w:rsidRPr="00456E0E">
        <w:rPr>
          <w:rFonts w:ascii="Arial" w:eastAsiaTheme="minorEastAsia" w:hAnsi="Arial" w:cs="Arial"/>
          <w:color w:val="000000"/>
          <w:lang w:val="en-IN" w:eastAsia="en-GB"/>
        </w:rPr>
        <w:t>antihypertensive medicines are the three primary pharmacological classes.</w:t>
      </w:r>
      <w:r w:rsidR="00456E0E" w:rsidRPr="00456E0E">
        <w:rPr>
          <w:rFonts w:ascii="Arial" w:eastAsiaTheme="minorEastAsia" w:hAnsi="Arial" w:cs="Arial"/>
          <w:color w:val="000000"/>
          <w:vertAlign w:val="superscript"/>
          <w:lang w:val="en-IN" w:eastAsia="en-GB"/>
        </w:rPr>
        <w:t>2</w:t>
      </w:r>
      <w:r w:rsidR="00456E0E" w:rsidRPr="00456E0E">
        <w:rPr>
          <w:rFonts w:ascii="Arial" w:eastAsiaTheme="minorEastAsia" w:hAnsi="Arial" w:cs="Arial"/>
          <w:color w:val="000000"/>
          <w:lang w:val="en-IN" w:eastAsia="en-GB"/>
        </w:rPr>
        <w:t xml:space="preserve"> Gingival</w:t>
      </w:r>
      <w:r w:rsidR="00C40C87">
        <w:rPr>
          <w:rFonts w:ascii="Arial" w:eastAsiaTheme="minorEastAsia" w:hAnsi="Arial" w:cs="Arial"/>
          <w:color w:val="000000"/>
          <w:lang w:val="en-IN" w:eastAsia="en-GB"/>
        </w:rPr>
        <w:t xml:space="preserve"> </w:t>
      </w:r>
      <w:r w:rsidR="00456E0E" w:rsidRPr="00456E0E">
        <w:rPr>
          <w:rFonts w:ascii="Arial" w:eastAsiaTheme="minorEastAsia" w:hAnsi="Arial" w:cs="Arial"/>
          <w:color w:val="000000"/>
          <w:lang w:val="en-IN" w:eastAsia="en-GB"/>
        </w:rPr>
        <w:t>overgrowth does not develop in all individuals receiving these medications, and among</w:t>
      </w:r>
      <w:r w:rsidR="00C40C87">
        <w:rPr>
          <w:rFonts w:ascii="Arial" w:eastAsiaTheme="minorEastAsia" w:hAnsi="Arial" w:cs="Arial"/>
          <w:color w:val="000000"/>
          <w:lang w:val="en-IN" w:eastAsia="en-GB"/>
        </w:rPr>
        <w:t xml:space="preserve"> </w:t>
      </w:r>
      <w:r w:rsidR="00456E0E" w:rsidRPr="00456E0E">
        <w:rPr>
          <w:rFonts w:ascii="Arial" w:eastAsiaTheme="minorEastAsia" w:hAnsi="Arial" w:cs="Arial"/>
          <w:color w:val="000000"/>
          <w:lang w:val="en-IN" w:eastAsia="en-GB"/>
        </w:rPr>
        <w:t>affected</w:t>
      </w:r>
      <w:r w:rsidR="00A87288">
        <w:rPr>
          <w:rFonts w:ascii="Arial" w:eastAsiaTheme="minorEastAsia" w:hAnsi="Arial" w:cs="Arial"/>
          <w:color w:val="000000"/>
          <w:lang w:val="en-IN" w:eastAsia="en-GB"/>
        </w:rPr>
        <w:t xml:space="preserve"> </w:t>
      </w:r>
      <w:r w:rsidR="00456E0E" w:rsidRPr="00456E0E">
        <w:rPr>
          <w:rFonts w:ascii="Arial" w:eastAsiaTheme="minorEastAsia" w:hAnsi="Arial" w:cs="Arial"/>
          <w:color w:val="000000"/>
          <w:lang w:val="en-IN" w:eastAsia="en-GB"/>
        </w:rPr>
        <w:t>patients, the degree and severity vary considerably.</w:t>
      </w:r>
      <w:r w:rsidR="00C40C87">
        <w:rPr>
          <w:rFonts w:ascii="Arial" w:eastAsiaTheme="minorEastAsia" w:hAnsi="Arial" w:cs="Arial"/>
          <w:color w:val="000000"/>
          <w:lang w:val="en-IN" w:eastAsia="en-GB"/>
        </w:rPr>
        <w:t xml:space="preserve"> </w:t>
      </w:r>
      <w:r w:rsidR="00456E0E" w:rsidRPr="00456E0E">
        <w:rPr>
          <w:rFonts w:ascii="Arial" w:eastAsiaTheme="minorEastAsia" w:hAnsi="Arial" w:cs="Arial"/>
          <w:color w:val="000000"/>
          <w:lang w:val="en-IN" w:eastAsia="en-GB"/>
        </w:rPr>
        <w:t>Nifedipine, a widely prescribed calcium channel blocker, is commonly used in the management</w:t>
      </w:r>
      <w:r w:rsidR="00A87288">
        <w:rPr>
          <w:rFonts w:ascii="Arial" w:eastAsiaTheme="minorEastAsia" w:hAnsi="Arial" w:cs="Arial"/>
          <w:color w:val="000000"/>
          <w:lang w:val="en-IN" w:eastAsia="en-GB"/>
        </w:rPr>
        <w:t xml:space="preserve"> </w:t>
      </w:r>
      <w:r w:rsidR="00456E0E" w:rsidRPr="00456E0E">
        <w:rPr>
          <w:rFonts w:ascii="Arial" w:eastAsiaTheme="minorEastAsia" w:hAnsi="Arial" w:cs="Arial"/>
          <w:color w:val="000000"/>
          <w:lang w:val="en-IN" w:eastAsia="en-GB"/>
        </w:rPr>
        <w:t>of hypertension and certain types of angina. Among its several side effects, enlargement of the</w:t>
      </w:r>
      <w:r w:rsidR="007F218D">
        <w:rPr>
          <w:rFonts w:ascii="Arial" w:eastAsiaTheme="minorEastAsia" w:hAnsi="Arial" w:cs="Arial"/>
          <w:color w:val="000000"/>
          <w:lang w:val="en-IN" w:eastAsia="en-GB"/>
        </w:rPr>
        <w:t xml:space="preserve"> </w:t>
      </w:r>
      <w:r w:rsidR="00456E0E" w:rsidRPr="00456E0E">
        <w:rPr>
          <w:rFonts w:ascii="Arial" w:eastAsiaTheme="minorEastAsia" w:hAnsi="Arial" w:cs="Arial"/>
          <w:color w:val="000000"/>
          <w:lang w:val="en-IN" w:eastAsia="en-GB"/>
        </w:rPr>
        <w:t>gingiva is the most notable and clinically significant in dentistry. This condition, linked to</w:t>
      </w:r>
      <w:r w:rsidR="00A87288">
        <w:rPr>
          <w:rFonts w:ascii="Arial" w:eastAsiaTheme="minorEastAsia" w:hAnsi="Arial" w:cs="Arial"/>
          <w:color w:val="000000"/>
          <w:lang w:val="en-IN" w:eastAsia="en-GB"/>
        </w:rPr>
        <w:t xml:space="preserve"> </w:t>
      </w:r>
      <w:r w:rsidR="00456E0E" w:rsidRPr="00456E0E">
        <w:rPr>
          <w:rFonts w:ascii="Arial" w:eastAsiaTheme="minorEastAsia" w:hAnsi="Arial" w:cs="Arial"/>
          <w:color w:val="000000"/>
          <w:lang w:val="en-IN" w:eastAsia="en-GB"/>
        </w:rPr>
        <w:t>nifedipine use, was first documented in 1984.</w:t>
      </w:r>
      <w:r w:rsidR="00456E0E" w:rsidRPr="00456E0E">
        <w:rPr>
          <w:rFonts w:ascii="Arial" w:eastAsiaTheme="minorEastAsia" w:hAnsi="Arial" w:cs="Arial"/>
          <w:color w:val="000000"/>
          <w:vertAlign w:val="superscript"/>
          <w:lang w:val="en-IN" w:eastAsia="en-GB"/>
        </w:rPr>
        <w:t>3</w:t>
      </w:r>
      <w:r w:rsidR="00C40C87">
        <w:rPr>
          <w:rFonts w:ascii="Arial" w:eastAsiaTheme="minorEastAsia" w:hAnsi="Arial" w:cs="Arial"/>
          <w:color w:val="000000"/>
          <w:lang w:val="en-IN" w:eastAsia="en-GB"/>
        </w:rPr>
        <w:t xml:space="preserve"> </w:t>
      </w:r>
    </w:p>
    <w:p w14:paraId="716CDDD4" w14:textId="3C86C6AF" w:rsidR="00456E0E" w:rsidRPr="00456E0E" w:rsidRDefault="00456E0E" w:rsidP="003B43D2">
      <w:pPr>
        <w:jc w:val="both"/>
        <w:rPr>
          <w:rFonts w:ascii="Arial" w:eastAsiaTheme="minorEastAsia" w:hAnsi="Arial" w:cs="Arial"/>
          <w:color w:val="000000"/>
          <w:lang w:val="en-IN" w:eastAsia="en-GB"/>
        </w:rPr>
      </w:pPr>
      <w:r w:rsidRPr="00456E0E">
        <w:rPr>
          <w:rFonts w:ascii="Arial" w:eastAsiaTheme="minorEastAsia" w:hAnsi="Arial" w:cs="Arial"/>
          <w:color w:val="000000"/>
          <w:lang w:val="en-IN" w:eastAsia="en-GB"/>
        </w:rPr>
        <w:t>Different treatment options can be suggested to manage gingival overgrowth; they can be</w:t>
      </w:r>
      <w:r w:rsidR="00C40C87">
        <w:rPr>
          <w:rFonts w:ascii="Arial" w:eastAsiaTheme="minorEastAsia" w:hAnsi="Arial" w:cs="Arial"/>
          <w:color w:val="000000"/>
          <w:lang w:val="en-IN" w:eastAsia="en-GB"/>
        </w:rPr>
        <w:t xml:space="preserve"> </w:t>
      </w:r>
      <w:r w:rsidRPr="00456E0E">
        <w:rPr>
          <w:rFonts w:ascii="Arial" w:eastAsiaTheme="minorEastAsia" w:hAnsi="Arial" w:cs="Arial"/>
          <w:color w:val="000000"/>
          <w:lang w:val="en-IN" w:eastAsia="en-GB"/>
        </w:rPr>
        <w:t>categorized as nonsurgical approach and surgical approach. The nonsurgical approach focuses</w:t>
      </w:r>
      <w:r w:rsidR="00153900">
        <w:rPr>
          <w:rFonts w:ascii="Arial" w:eastAsiaTheme="minorEastAsia" w:hAnsi="Arial" w:cs="Arial"/>
          <w:color w:val="000000"/>
          <w:lang w:val="en-IN" w:eastAsia="en-GB"/>
        </w:rPr>
        <w:t xml:space="preserve"> </w:t>
      </w:r>
      <w:r w:rsidRPr="00456E0E">
        <w:rPr>
          <w:rFonts w:ascii="Arial" w:eastAsiaTheme="minorEastAsia" w:hAnsi="Arial" w:cs="Arial"/>
          <w:color w:val="000000"/>
          <w:lang w:val="en-IN" w:eastAsia="en-GB"/>
        </w:rPr>
        <w:t xml:space="preserve">on controlling the inflammatory element of the gingiva, </w:t>
      </w:r>
      <w:r w:rsidRPr="00456E0E">
        <w:rPr>
          <w:rFonts w:ascii="Arial" w:eastAsiaTheme="minorEastAsia" w:hAnsi="Arial" w:cs="Arial"/>
          <w:color w:val="000000"/>
          <w:lang w:val="en-IN" w:eastAsia="en-GB"/>
        </w:rPr>
        <w:lastRenderedPageBreak/>
        <w:t>while the surgical approach is used to</w:t>
      </w:r>
      <w:r w:rsidR="00153900">
        <w:rPr>
          <w:rFonts w:ascii="Arial" w:eastAsiaTheme="minorEastAsia" w:hAnsi="Arial" w:cs="Arial"/>
          <w:color w:val="000000"/>
          <w:lang w:val="en-IN" w:eastAsia="en-GB"/>
        </w:rPr>
        <w:t xml:space="preserve"> </w:t>
      </w:r>
      <w:r w:rsidRPr="00456E0E">
        <w:rPr>
          <w:rFonts w:ascii="Arial" w:eastAsiaTheme="minorEastAsia" w:hAnsi="Arial" w:cs="Arial"/>
          <w:color w:val="000000"/>
          <w:lang w:val="en-IN" w:eastAsia="en-GB"/>
        </w:rPr>
        <w:t>remove the fibrotic portion in cases of marked severity unresponsive to conservative</w:t>
      </w:r>
      <w:r w:rsidR="00C40C87">
        <w:rPr>
          <w:rFonts w:ascii="Arial" w:eastAsiaTheme="minorEastAsia" w:hAnsi="Arial" w:cs="Arial"/>
          <w:color w:val="000000"/>
          <w:lang w:val="en-IN" w:eastAsia="en-GB"/>
        </w:rPr>
        <w:t xml:space="preserve"> </w:t>
      </w:r>
      <w:r w:rsidRPr="00456E0E">
        <w:rPr>
          <w:rFonts w:ascii="Arial" w:eastAsiaTheme="minorEastAsia" w:hAnsi="Arial" w:cs="Arial"/>
          <w:color w:val="000000"/>
          <w:lang w:val="en-IN" w:eastAsia="en-GB"/>
        </w:rPr>
        <w:t>measures.</w:t>
      </w:r>
      <w:r w:rsidRPr="00456E0E">
        <w:rPr>
          <w:rFonts w:ascii="Arial" w:eastAsiaTheme="minorEastAsia" w:hAnsi="Arial" w:cs="Arial"/>
          <w:color w:val="000000"/>
          <w:vertAlign w:val="superscript"/>
          <w:lang w:val="en-IN" w:eastAsia="en-GB"/>
        </w:rPr>
        <w:t>4</w:t>
      </w:r>
      <w:r w:rsidRPr="00456E0E">
        <w:rPr>
          <w:rFonts w:ascii="Arial" w:eastAsiaTheme="minorEastAsia" w:hAnsi="Arial" w:cs="Arial"/>
          <w:color w:val="000000"/>
          <w:lang w:val="en-IN" w:eastAsia="en-GB"/>
        </w:rPr>
        <w:t xml:space="preserve"> This case report highlights the successful nonsurgical management of nifedipine-</w:t>
      </w:r>
      <w:r w:rsidR="00C40C87">
        <w:rPr>
          <w:rFonts w:ascii="Arial" w:eastAsiaTheme="minorEastAsia" w:hAnsi="Arial" w:cs="Arial"/>
          <w:color w:val="000000"/>
          <w:lang w:val="en-IN" w:eastAsia="en-GB"/>
        </w:rPr>
        <w:t xml:space="preserve"> </w:t>
      </w:r>
      <w:r w:rsidRPr="00456E0E">
        <w:rPr>
          <w:rFonts w:ascii="Arial" w:eastAsiaTheme="minorEastAsia" w:hAnsi="Arial" w:cs="Arial"/>
          <w:color w:val="000000"/>
          <w:lang w:val="en-IN" w:eastAsia="en-GB"/>
        </w:rPr>
        <w:t>induced gingival overgrowth, monitored over a 2-year follow-up period.</w:t>
      </w:r>
    </w:p>
    <w:p w14:paraId="6FA28160" w14:textId="25265757" w:rsidR="00B95236" w:rsidRDefault="00B95236" w:rsidP="00441B6F">
      <w:pPr>
        <w:pStyle w:val="Body"/>
        <w:spacing w:after="0"/>
        <w:rPr>
          <w:rFonts w:ascii="Arial" w:hAnsi="Arial" w:cs="Arial"/>
        </w:rPr>
      </w:pPr>
      <w:r w:rsidRPr="00B95236">
        <w:rPr>
          <w:rFonts w:ascii="Arial" w:hAnsi="Arial" w:cs="Arial"/>
        </w:rPr>
        <w:t xml:space="preserve"> </w:t>
      </w:r>
    </w:p>
    <w:p w14:paraId="484A252E" w14:textId="77777777" w:rsidR="00505F06" w:rsidRDefault="00505F06" w:rsidP="00441B6F">
      <w:pPr>
        <w:pStyle w:val="Body"/>
        <w:spacing w:after="0"/>
        <w:rPr>
          <w:rFonts w:ascii="Arial" w:hAnsi="Arial" w:cs="Arial"/>
        </w:rPr>
      </w:pPr>
    </w:p>
    <w:p w14:paraId="779D21D3" w14:textId="77777777" w:rsidR="00790ADA" w:rsidRPr="00FB3A86" w:rsidRDefault="00790ADA" w:rsidP="00441B6F">
      <w:pPr>
        <w:pStyle w:val="Body"/>
        <w:spacing w:after="0"/>
        <w:rPr>
          <w:rFonts w:ascii="Arial" w:hAnsi="Arial" w:cs="Arial"/>
        </w:rPr>
      </w:pPr>
    </w:p>
    <w:p w14:paraId="6227A332" w14:textId="115EFC01" w:rsidR="007F7B32" w:rsidRDefault="00902823" w:rsidP="00441B6F">
      <w:pPr>
        <w:pStyle w:val="AbstHead"/>
        <w:spacing w:after="0"/>
        <w:jc w:val="both"/>
        <w:rPr>
          <w:rFonts w:ascii="Arial" w:hAnsi="Arial" w:cs="Arial"/>
        </w:rPr>
      </w:pPr>
      <w:r>
        <w:rPr>
          <w:rFonts w:ascii="Arial" w:hAnsi="Arial" w:cs="Arial"/>
        </w:rPr>
        <w:t xml:space="preserve">2. </w:t>
      </w:r>
      <w:r w:rsidR="00153900">
        <w:rPr>
          <w:rFonts w:ascii="Arial" w:hAnsi="Arial" w:cs="Arial"/>
        </w:rPr>
        <w:t xml:space="preserve">Case </w:t>
      </w:r>
      <w:r w:rsidR="007E073F">
        <w:rPr>
          <w:rFonts w:ascii="Arial" w:hAnsi="Arial" w:cs="Arial"/>
        </w:rPr>
        <w:t>description</w:t>
      </w:r>
    </w:p>
    <w:p w14:paraId="17180F7D" w14:textId="4612E194" w:rsidR="00A76B18" w:rsidRPr="00A76B18" w:rsidRDefault="00A76B18" w:rsidP="00A76B18">
      <w:pPr>
        <w:rPr>
          <w:rFonts w:ascii="Times New Roman" w:eastAsiaTheme="minorEastAsia" w:hAnsi="Times New Roman"/>
          <w:color w:val="000000"/>
          <w:sz w:val="18"/>
          <w:szCs w:val="18"/>
          <w:lang w:val="en-IN" w:eastAsia="en-GB"/>
        </w:rPr>
      </w:pPr>
    </w:p>
    <w:p w14:paraId="3684FE11" w14:textId="7CF9A6A2" w:rsidR="00A76B18" w:rsidRPr="00A76B18" w:rsidRDefault="00A76B18" w:rsidP="00824D5D">
      <w:pPr>
        <w:jc w:val="both"/>
        <w:rPr>
          <w:rFonts w:ascii="Arial" w:eastAsiaTheme="minorEastAsia" w:hAnsi="Arial" w:cs="Arial"/>
          <w:color w:val="000000"/>
          <w:lang w:val="en-IN" w:eastAsia="en-GB"/>
        </w:rPr>
      </w:pPr>
      <w:r w:rsidRPr="00A76B18">
        <w:rPr>
          <w:rFonts w:ascii="Arial" w:eastAsiaTheme="minorEastAsia" w:hAnsi="Arial" w:cs="Arial"/>
          <w:color w:val="000000"/>
          <w:lang w:val="en-IN" w:eastAsia="en-GB"/>
        </w:rPr>
        <w:t>A 40-year-old female reported with a chief complaint of swollen and bleeding gums in both</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the upper and lower jaws, persisting for the past one year. Her medical history indicated a</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diagnosis of hypertension ten years prior, for which she had been on nifedipine therapy since</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then.</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On general examination, the patient appeared moderately built and adequately nourished.</w:t>
      </w:r>
    </w:p>
    <w:p w14:paraId="52E3B5E5" w14:textId="2E9BAE0B" w:rsidR="00C40C87" w:rsidRDefault="00A76B18" w:rsidP="00824D5D">
      <w:pPr>
        <w:jc w:val="both"/>
        <w:rPr>
          <w:rFonts w:ascii="Arial" w:eastAsiaTheme="minorEastAsia" w:hAnsi="Arial" w:cs="Arial"/>
          <w:color w:val="000000"/>
          <w:lang w:val="en-IN" w:eastAsia="en-GB"/>
        </w:rPr>
      </w:pPr>
      <w:r w:rsidRPr="00A76B18">
        <w:rPr>
          <w:rFonts w:ascii="Arial" w:eastAsiaTheme="minorEastAsia" w:hAnsi="Arial" w:cs="Arial"/>
          <w:color w:val="000000"/>
          <w:lang w:val="en-IN" w:eastAsia="en-GB"/>
        </w:rPr>
        <w:t>Intraoral examination revealed generalized gingival enlargement involving the maxillary and</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mandibular arches, affecting the marginal gingiva, attached gingiva, and interdental papillae.</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The enlargement was most pronounced in the mandibular anterior region and less severe in</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the</w:t>
      </w:r>
      <w:r w:rsidR="007E073F">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right maxillary and mandibular quadrants. Clinical examination revealed diffusely enlarged</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gingiva that was pale pink, firm in consistency, and exhibited irregular contours partially</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covering the tooth crowns (</w:t>
      </w:r>
      <w:r w:rsidR="00C87671">
        <w:rPr>
          <w:rFonts w:ascii="Arial" w:eastAsiaTheme="minorEastAsia" w:hAnsi="Arial" w:cs="Arial"/>
          <w:color w:val="000000"/>
          <w:lang w:val="en-IN" w:eastAsia="en-GB"/>
        </w:rPr>
        <w:t>F</w:t>
      </w:r>
      <w:r w:rsidRPr="00A76B18">
        <w:rPr>
          <w:rFonts w:ascii="Arial" w:eastAsiaTheme="minorEastAsia" w:hAnsi="Arial" w:cs="Arial"/>
          <w:color w:val="000000"/>
          <w:lang w:val="en-IN" w:eastAsia="en-GB"/>
        </w:rPr>
        <w:t xml:space="preserve">igure 1). </w:t>
      </w:r>
    </w:p>
    <w:p w14:paraId="225AC56A" w14:textId="08631967" w:rsidR="00D02690" w:rsidRPr="00D02690" w:rsidRDefault="00D02690" w:rsidP="00D02690">
      <w:pPr>
        <w:jc w:val="center"/>
        <w:rPr>
          <w:rFonts w:ascii="Arial" w:eastAsiaTheme="minorEastAsia" w:hAnsi="Arial" w:cs="Arial"/>
          <w:color w:val="000000"/>
          <w:lang w:val="en-IN" w:eastAsia="en-GB"/>
        </w:rPr>
      </w:pPr>
      <w:r w:rsidRPr="00D02690">
        <w:rPr>
          <w:rFonts w:ascii="Arial" w:eastAsiaTheme="minorEastAsia" w:hAnsi="Arial" w:cs="Arial"/>
          <w:noProof/>
          <w:color w:val="000000"/>
        </w:rPr>
        <w:drawing>
          <wp:inline distT="0" distB="0" distL="0" distR="0" wp14:anchorId="2142FFC4" wp14:editId="323ECBD3">
            <wp:extent cx="4592782" cy="1530754"/>
            <wp:effectExtent l="0" t="0" r="0" b="0"/>
            <wp:docPr id="1761515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778" t="21011" r="15248" b="39304"/>
                    <a:stretch>
                      <a:fillRect/>
                    </a:stretch>
                  </pic:blipFill>
                  <pic:spPr bwMode="auto">
                    <a:xfrm>
                      <a:off x="0" y="0"/>
                      <a:ext cx="4593121" cy="1530867"/>
                    </a:xfrm>
                    <a:prstGeom prst="rect">
                      <a:avLst/>
                    </a:prstGeom>
                    <a:noFill/>
                    <a:ln>
                      <a:noFill/>
                    </a:ln>
                    <a:extLst>
                      <a:ext uri="{53640926-AAD7-44D8-BBD7-CCE9431645EC}">
                        <a14:shadowObscured xmlns:a14="http://schemas.microsoft.com/office/drawing/2010/main"/>
                      </a:ext>
                    </a:extLst>
                  </pic:spPr>
                </pic:pic>
              </a:graphicData>
            </a:graphic>
          </wp:inline>
        </w:drawing>
      </w:r>
    </w:p>
    <w:p w14:paraId="65187531" w14:textId="77777777" w:rsidR="002A41D5" w:rsidRDefault="002A41D5" w:rsidP="00824D5D">
      <w:pPr>
        <w:jc w:val="both"/>
        <w:rPr>
          <w:rFonts w:ascii="Arial" w:eastAsiaTheme="minorEastAsia" w:hAnsi="Arial" w:cs="Arial"/>
          <w:color w:val="000000"/>
          <w:lang w:val="en-IN" w:eastAsia="en-GB"/>
        </w:rPr>
      </w:pPr>
    </w:p>
    <w:p w14:paraId="2276CCC2" w14:textId="52461174" w:rsidR="00A76B18" w:rsidRPr="00A76B18" w:rsidRDefault="00A76B18" w:rsidP="00824D5D">
      <w:pPr>
        <w:jc w:val="both"/>
        <w:rPr>
          <w:rFonts w:ascii="Arial" w:eastAsiaTheme="minorEastAsia" w:hAnsi="Arial" w:cs="Arial"/>
          <w:color w:val="000000"/>
          <w:lang w:val="en-IN" w:eastAsia="en-GB"/>
        </w:rPr>
      </w:pPr>
      <w:r w:rsidRPr="00A76B18">
        <w:rPr>
          <w:rFonts w:ascii="Arial" w:eastAsiaTheme="minorEastAsia" w:hAnsi="Arial" w:cs="Arial"/>
          <w:color w:val="000000"/>
          <w:lang w:val="en-IN" w:eastAsia="en-GB"/>
        </w:rPr>
        <w:t>The tissues showed profuse bleeding on</w:t>
      </w:r>
      <w:r w:rsidR="003F28FE">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provocation, with increased probing depths and</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accumulation of plaque and calculus. The</w:t>
      </w:r>
      <w:r w:rsidR="003F28FE">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patient reported difficulty in mastication and speech,</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challenges in maintaining oral hygiene,</w:t>
      </w:r>
      <w:r w:rsidR="003F28FE">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 xml:space="preserve">and expressed concerns regarding </w:t>
      </w:r>
      <w:proofErr w:type="spellStart"/>
      <w:r w:rsidRPr="00A76B18">
        <w:rPr>
          <w:rFonts w:ascii="Arial" w:eastAsiaTheme="minorEastAsia" w:hAnsi="Arial" w:cs="Arial"/>
          <w:color w:val="000000"/>
          <w:lang w:val="en-IN" w:eastAsia="en-GB"/>
        </w:rPr>
        <w:t>esthetics</w:t>
      </w:r>
      <w:proofErr w:type="spellEnd"/>
      <w:r w:rsidRPr="00A76B18">
        <w:rPr>
          <w:rFonts w:ascii="Arial" w:eastAsiaTheme="minorEastAsia" w:hAnsi="Arial" w:cs="Arial"/>
          <w:color w:val="000000"/>
          <w:lang w:val="en-IN" w:eastAsia="en-GB"/>
        </w:rPr>
        <w:t>.</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Additionally, she complained of halitosis and</w:t>
      </w:r>
      <w:r w:rsidR="003F28FE">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bleeding gums during toothbrushing.</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Correlating the history and clinical examinations, the case was diagnosed as combined gingival</w:t>
      </w:r>
      <w:r w:rsidR="007E073F">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enlargement.</w:t>
      </w:r>
    </w:p>
    <w:p w14:paraId="00676ECF" w14:textId="1A8BF325" w:rsidR="00A76B18" w:rsidRPr="00A76B18" w:rsidRDefault="00A76B18" w:rsidP="00824D5D">
      <w:pPr>
        <w:jc w:val="both"/>
        <w:rPr>
          <w:rFonts w:ascii="Arial" w:eastAsiaTheme="minorEastAsia" w:hAnsi="Arial" w:cs="Arial"/>
          <w:color w:val="000000"/>
          <w:lang w:val="en-IN" w:eastAsia="en-GB"/>
        </w:rPr>
      </w:pPr>
      <w:r w:rsidRPr="00A76B18">
        <w:rPr>
          <w:rFonts w:ascii="Arial" w:eastAsiaTheme="minorEastAsia" w:hAnsi="Arial" w:cs="Arial"/>
          <w:color w:val="000000"/>
          <w:lang w:val="en-IN" w:eastAsia="en-GB"/>
        </w:rPr>
        <w:t>The management approach involved nonsurgical periodontal therapy, beginning with oral</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hygiene instructions, followed by full-mouth scaling and root planing, along with polishing of</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all rough dental surfaces and systemic antibiotics, Doxycycline 100mg for 5 days. At the 2-</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 xml:space="preserve">month recall, a substantial reduction in gingival inflammation was observed, along with </w:t>
      </w:r>
      <w:r w:rsidR="008643C0" w:rsidRPr="00A76B18">
        <w:rPr>
          <w:rFonts w:ascii="Arial" w:eastAsiaTheme="minorEastAsia" w:hAnsi="Arial" w:cs="Arial"/>
          <w:color w:val="000000"/>
          <w:lang w:val="en-IN" w:eastAsia="en-GB"/>
        </w:rPr>
        <w:t>notable</w:t>
      </w:r>
      <w:r w:rsidR="00C40C87">
        <w:rPr>
          <w:rFonts w:ascii="Arial" w:eastAsiaTheme="minorEastAsia" w:hAnsi="Arial" w:cs="Arial"/>
          <w:color w:val="000000"/>
          <w:lang w:val="en-IN" w:eastAsia="en-GB"/>
        </w:rPr>
        <w:t xml:space="preserve"> </w:t>
      </w:r>
      <w:r w:rsidR="008643C0" w:rsidRPr="00A76B18">
        <w:rPr>
          <w:rFonts w:ascii="Arial" w:eastAsiaTheme="minorEastAsia" w:hAnsi="Arial" w:cs="Arial"/>
          <w:color w:val="000000"/>
          <w:lang w:val="en-IN" w:eastAsia="en-GB"/>
        </w:rPr>
        <w:t>improvement</w:t>
      </w:r>
      <w:r w:rsidRPr="00A76B18">
        <w:rPr>
          <w:rFonts w:ascii="Arial" w:eastAsiaTheme="minorEastAsia" w:hAnsi="Arial" w:cs="Arial"/>
          <w:color w:val="000000"/>
          <w:lang w:val="en-IN" w:eastAsia="en-GB"/>
        </w:rPr>
        <w:t xml:space="preserve"> in periodontal health and oral hygiene maintenance. Accordingly, a supportive</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periodontal therapy regimen was initiated, which included reiteration of oral hygiene</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 xml:space="preserve">instructions and full-mouth scaling at </w:t>
      </w:r>
      <w:r w:rsidR="00EA1F2C">
        <w:rPr>
          <w:rFonts w:ascii="Arial" w:eastAsiaTheme="minorEastAsia" w:hAnsi="Arial" w:cs="Arial"/>
          <w:color w:val="000000"/>
          <w:lang w:val="en-IN" w:eastAsia="en-GB"/>
        </w:rPr>
        <w:t>6</w:t>
      </w:r>
      <w:r w:rsidRPr="00A76B18">
        <w:rPr>
          <w:rFonts w:ascii="Arial" w:eastAsiaTheme="minorEastAsia" w:hAnsi="Arial" w:cs="Arial"/>
          <w:color w:val="000000"/>
          <w:lang w:val="en-IN" w:eastAsia="en-GB"/>
        </w:rPr>
        <w:t>-month intervals. This comprehensive approach led to</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total remission of the gingival overgrowth, thereby obviating the need for surgical</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management. or modification of the patient’s medication. At the end of 2 years, favourable</w:t>
      </w:r>
      <w:r w:rsidR="00C40C87">
        <w:rPr>
          <w:rFonts w:ascii="Arial" w:eastAsiaTheme="minorEastAsia" w:hAnsi="Arial" w:cs="Arial"/>
          <w:color w:val="000000"/>
          <w:lang w:val="en-IN" w:eastAsia="en-GB"/>
        </w:rPr>
        <w:t xml:space="preserve"> </w:t>
      </w:r>
      <w:r w:rsidRPr="00A76B18">
        <w:rPr>
          <w:rFonts w:ascii="Arial" w:eastAsiaTheme="minorEastAsia" w:hAnsi="Arial" w:cs="Arial"/>
          <w:color w:val="000000"/>
          <w:lang w:val="en-IN" w:eastAsia="en-GB"/>
        </w:rPr>
        <w:t>condition of the gingival health was achieved with NSPT and supportive periodontal therapy.</w:t>
      </w:r>
    </w:p>
    <w:p w14:paraId="148FE5E8" w14:textId="77777777" w:rsidR="00A03B96" w:rsidRDefault="00A03B96" w:rsidP="00441B6F">
      <w:pPr>
        <w:pStyle w:val="Body"/>
        <w:spacing w:after="0"/>
        <w:rPr>
          <w:rFonts w:ascii="Arial" w:hAnsi="Arial" w:cs="Arial"/>
        </w:rPr>
      </w:pPr>
    </w:p>
    <w:p w14:paraId="28301808" w14:textId="77777777" w:rsidR="00790ADA" w:rsidRPr="00FB3A86" w:rsidRDefault="00790ADA" w:rsidP="00441B6F">
      <w:pPr>
        <w:pStyle w:val="Body"/>
        <w:spacing w:after="0"/>
        <w:rPr>
          <w:rFonts w:ascii="Arial" w:hAnsi="Arial" w:cs="Arial"/>
        </w:rPr>
      </w:pPr>
    </w:p>
    <w:p w14:paraId="5816AF2A" w14:textId="5AE6C99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794ACA4D" w14:textId="77777777" w:rsidR="00790ADA" w:rsidRPr="00FB3A86" w:rsidRDefault="00790ADA" w:rsidP="00441B6F">
      <w:pPr>
        <w:pStyle w:val="Head1"/>
        <w:spacing w:after="0"/>
        <w:jc w:val="both"/>
        <w:rPr>
          <w:rFonts w:ascii="Arial" w:hAnsi="Arial" w:cs="Arial"/>
        </w:rPr>
      </w:pPr>
    </w:p>
    <w:p w14:paraId="1EEAF716" w14:textId="5903CF3A" w:rsidR="00A210CD" w:rsidRPr="00A210CD" w:rsidRDefault="002C1C4E" w:rsidP="00A210CD">
      <w:pPr>
        <w:pStyle w:val="NormalWeb"/>
        <w:jc w:val="both"/>
      </w:pPr>
      <w:r w:rsidRPr="002C1C4E">
        <w:rPr>
          <w:rFonts w:ascii="Arial" w:eastAsiaTheme="minorEastAsia" w:hAnsi="Arial" w:cs="Arial"/>
          <w:color w:val="000000"/>
          <w:lang w:val="en-IN" w:eastAsia="en-GB"/>
        </w:rPr>
        <w:t>Nifedipine is a calcium channel blocker, prescribed for the management of hypertension and</w:t>
      </w:r>
      <w:r w:rsidR="006357BE">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some forms of angina. Long term use of nifedipine is associated with gingival overgrowth and</w:t>
      </w:r>
      <w:r w:rsidR="006357BE">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its prevalence varied from 14%12 to 83%.</w:t>
      </w:r>
      <w:r w:rsidRPr="002C1C4E">
        <w:rPr>
          <w:rFonts w:ascii="Arial" w:eastAsiaTheme="minorEastAsia" w:hAnsi="Arial" w:cs="Arial"/>
          <w:color w:val="000000"/>
          <w:vertAlign w:val="superscript"/>
          <w:lang w:val="en-IN" w:eastAsia="en-GB"/>
        </w:rPr>
        <w:t>5,6</w:t>
      </w:r>
      <w:r w:rsidRPr="002C1C4E">
        <w:rPr>
          <w:rFonts w:ascii="Arial" w:eastAsiaTheme="minorEastAsia" w:hAnsi="Arial" w:cs="Arial"/>
          <w:color w:val="000000"/>
          <w:lang w:val="en-IN" w:eastAsia="en-GB"/>
        </w:rPr>
        <w:t xml:space="preserve"> The first reported case of gingival hyperplasia due</w:t>
      </w:r>
      <w:r w:rsidR="00E541F4">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 xml:space="preserve">to nifedipine use was reported by Lederman </w:t>
      </w:r>
      <w:r w:rsidRPr="002C1C4E">
        <w:rPr>
          <w:rFonts w:ascii="Arial" w:eastAsiaTheme="minorEastAsia" w:hAnsi="Arial" w:cs="Arial"/>
          <w:i/>
          <w:iCs/>
          <w:color w:val="000000"/>
          <w:lang w:val="en-IN" w:eastAsia="en-GB"/>
        </w:rPr>
        <w:t>et al</w:t>
      </w:r>
      <w:r w:rsidRPr="002C1C4E">
        <w:rPr>
          <w:rFonts w:ascii="Arial" w:eastAsiaTheme="minorEastAsia" w:hAnsi="Arial" w:cs="Arial"/>
          <w:color w:val="000000"/>
          <w:lang w:val="en-IN" w:eastAsia="en-GB"/>
        </w:rPr>
        <w:t>. in 1984.</w:t>
      </w:r>
      <w:r w:rsidRPr="002C1C4E">
        <w:rPr>
          <w:rFonts w:ascii="Arial" w:eastAsiaTheme="minorEastAsia" w:hAnsi="Arial" w:cs="Arial"/>
          <w:color w:val="000000"/>
          <w:vertAlign w:val="superscript"/>
          <w:lang w:val="en-IN" w:eastAsia="en-GB"/>
        </w:rPr>
        <w:t>7</w:t>
      </w:r>
      <w:r w:rsidR="006357BE">
        <w:rPr>
          <w:rFonts w:ascii="Arial" w:eastAsiaTheme="minorEastAsia" w:hAnsi="Arial" w:cs="Arial"/>
          <w:color w:val="000000"/>
          <w:lang w:val="en-IN" w:eastAsia="en-GB"/>
        </w:rPr>
        <w:t xml:space="preserve"> </w:t>
      </w:r>
      <w:r w:rsidR="00F969E2" w:rsidRPr="00F969E2">
        <w:rPr>
          <w:rFonts w:ascii="Arial" w:eastAsiaTheme="minorEastAsia" w:hAnsi="Arial" w:cs="Arial"/>
          <w:color w:val="000000"/>
          <w:lang w:val="en-IN" w:eastAsia="en-GB"/>
        </w:rPr>
        <w:t>Drug-induced gingival overgrowth is multifactorial in origin. Non-modifiable risk factors include age and genetic predisposition, whereas modifiable factors comprise tooth morphology, poor oral hygiene, pharmacokinetic variables, existing periodontal disease, increased probing pocket depth, as well as the duration and dosage of the drug; additionally, the drug’s effect on growth factors further influences the pattern and severity of the condition.</w:t>
      </w:r>
      <w:r w:rsidR="00F969E2">
        <w:rPr>
          <w:rFonts w:ascii="Arial" w:eastAsiaTheme="minorEastAsia" w:hAnsi="Arial" w:cs="Arial"/>
          <w:color w:val="000000"/>
          <w:vertAlign w:val="superscript"/>
          <w:lang w:eastAsia="en-GB"/>
        </w:rPr>
        <w:t>8</w:t>
      </w:r>
      <w:r w:rsidR="00F969E2">
        <w:rPr>
          <w:rFonts w:ascii="Arial" w:eastAsiaTheme="minorEastAsia" w:hAnsi="Arial" w:cs="Arial"/>
          <w:color w:val="000000"/>
          <w:lang w:eastAsia="en-GB"/>
        </w:rPr>
        <w:t xml:space="preserve"> </w:t>
      </w:r>
      <w:r w:rsidR="00A210CD" w:rsidRPr="00A210CD">
        <w:t xml:space="preserve">Drug-induced gingival enlargement may become clinically evident as early as 1–3 months following the initiation of calcium channel blocker (CCB) therapy. The enlargement may present as either </w:t>
      </w:r>
      <w:proofErr w:type="spellStart"/>
      <w:r w:rsidR="00A210CD" w:rsidRPr="00A210CD">
        <w:t>localised</w:t>
      </w:r>
      <w:proofErr w:type="spellEnd"/>
      <w:r w:rsidR="00A210CD" w:rsidRPr="00A210CD">
        <w:t xml:space="preserve"> or </w:t>
      </w:r>
      <w:proofErr w:type="spellStart"/>
      <w:r w:rsidR="00A210CD" w:rsidRPr="00A210CD">
        <w:t>generalised</w:t>
      </w:r>
      <w:proofErr w:type="spellEnd"/>
      <w:r w:rsidR="00A210CD" w:rsidRPr="00A210CD">
        <w:t xml:space="preserve"> and typically begins with the expansion of the interdental papilla. Over time, it may progress into a lobulated or nodular mass involving both the marginal and interdental gingiva. In the present case, the enlargement was most pronounced in the mandibular anterior region and comparatively less severe in the right maxillary and mandibular quadrants.</w:t>
      </w:r>
      <w:r w:rsidR="00A210CD">
        <w:t xml:space="preserve"> </w:t>
      </w:r>
      <w:r w:rsidR="00A210CD" w:rsidRPr="00A210CD">
        <w:lastRenderedPageBreak/>
        <w:t xml:space="preserve">Marked gingival overgrowth can create areas that are difficult to access during routine oral hygiene practices. Consequently, the enlarged gingival tissues provide a </w:t>
      </w:r>
      <w:proofErr w:type="spellStart"/>
      <w:r w:rsidR="00A210CD" w:rsidRPr="00A210CD">
        <w:t>favourable</w:t>
      </w:r>
      <w:proofErr w:type="spellEnd"/>
      <w:r w:rsidR="00A210CD" w:rsidRPr="00A210CD">
        <w:t xml:space="preserve"> environment for dental plaque accumulation, thereby increasing the risk of inflammation. Inadequate oral hygiene further exacerbates this condition, as plaque-induced inflammation can intensify the gingival overgrowth associated with ongoing pharmacological therapy.</w:t>
      </w:r>
    </w:p>
    <w:p w14:paraId="1C25BB0B" w14:textId="382EBDBF" w:rsidR="00F969E2" w:rsidRDefault="002C1C4E" w:rsidP="000D7505">
      <w:pPr>
        <w:jc w:val="both"/>
        <w:rPr>
          <w:rFonts w:ascii="Arial" w:eastAsiaTheme="minorEastAsia" w:hAnsi="Arial" w:cs="Arial"/>
          <w:color w:val="000000"/>
          <w:lang w:val="en-IN" w:eastAsia="en-GB"/>
        </w:rPr>
      </w:pPr>
      <w:r w:rsidRPr="002C1C4E">
        <w:rPr>
          <w:rFonts w:ascii="Arial" w:eastAsiaTheme="minorEastAsia" w:hAnsi="Arial" w:cs="Arial"/>
          <w:color w:val="000000"/>
          <w:lang w:val="en-IN" w:eastAsia="en-GB"/>
        </w:rPr>
        <w:t>Typically, the condition manifests as ‘pseudo’ pockets caused</w:t>
      </w:r>
      <w:r w:rsidR="00783F52">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by gingival overgrowth beneath the gingival margin, producing deeper probing depths without</w:t>
      </w:r>
      <w:r w:rsidR="00783F52">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significant attachment loss. In certain instances, the overgrowth may extend over the tooth</w:t>
      </w:r>
      <w:r w:rsidR="00783F52">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crowns, even reaching the occlusal surface and causing masticatory interference, as observed</w:t>
      </w:r>
      <w:r w:rsidR="00783F52">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in the present case.</w:t>
      </w:r>
      <w:r w:rsidR="00F969E2">
        <w:rPr>
          <w:rFonts w:ascii="Arial" w:eastAsiaTheme="minorEastAsia" w:hAnsi="Arial" w:cs="Arial"/>
          <w:color w:val="000000"/>
          <w:lang w:val="en-IN" w:eastAsia="en-GB"/>
        </w:rPr>
        <w:t xml:space="preserve"> </w:t>
      </w:r>
    </w:p>
    <w:p w14:paraId="26C1408F" w14:textId="6E856278" w:rsidR="002C1C4E" w:rsidRPr="00C40C87" w:rsidRDefault="002C1C4E" w:rsidP="000D7505">
      <w:pPr>
        <w:jc w:val="both"/>
        <w:rPr>
          <w:rFonts w:ascii="Arial" w:eastAsiaTheme="minorEastAsia" w:hAnsi="Arial" w:cs="Arial"/>
          <w:color w:val="000000"/>
          <w:lang w:val="en-IN" w:eastAsia="en-GB"/>
        </w:rPr>
      </w:pPr>
      <w:r w:rsidRPr="002C1C4E">
        <w:rPr>
          <w:rFonts w:ascii="Arial" w:eastAsiaTheme="minorEastAsia" w:hAnsi="Arial" w:cs="Arial"/>
          <w:color w:val="000000"/>
          <w:lang w:val="en-IN" w:eastAsia="en-GB"/>
        </w:rPr>
        <w:t>Although calcium channel blockers (CCBs) exert no direct effect on the alveolar bone, the</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associated gingival enlargement can promote bacterial biofilm accumulation and hinder</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effective oral hygiene, thereby increasing the risk of persisting inflammation, periodontitis,</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alveolar bone and tooth loss, as well as halitosis.</w:t>
      </w:r>
      <w:r w:rsidRPr="002C1C4E">
        <w:rPr>
          <w:rFonts w:ascii="Arial" w:eastAsiaTheme="minorEastAsia" w:hAnsi="Arial" w:cs="Arial"/>
          <w:color w:val="000000"/>
          <w:vertAlign w:val="superscript"/>
          <w:lang w:val="en-IN" w:eastAsia="en-GB"/>
        </w:rPr>
        <w:t>6</w:t>
      </w:r>
    </w:p>
    <w:p w14:paraId="724A4850" w14:textId="171B7859" w:rsidR="002C1C4E" w:rsidRPr="002C1C4E" w:rsidRDefault="002C1C4E" w:rsidP="000D7505">
      <w:pPr>
        <w:jc w:val="both"/>
        <w:rPr>
          <w:rFonts w:ascii="Arial" w:eastAsiaTheme="minorEastAsia" w:hAnsi="Arial" w:cs="Arial"/>
          <w:color w:val="000000"/>
          <w:lang w:val="en-IN" w:eastAsia="en-GB"/>
        </w:rPr>
      </w:pPr>
      <w:r w:rsidRPr="002C1C4E">
        <w:rPr>
          <w:rFonts w:ascii="Arial" w:eastAsiaTheme="minorEastAsia" w:hAnsi="Arial" w:cs="Arial"/>
          <w:color w:val="000000"/>
          <w:lang w:val="en-IN" w:eastAsia="en-GB"/>
        </w:rPr>
        <w:t>Numerous postulates have been proposed to explain the etiopathogenesis of calcium channel</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blocker (CCB)-induced gingival overgrowth. Among these, the most extensively studied</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mechanisms involve the roles of matrix metalloproteinases (MMPs), pro-inflammatory</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cyto</w:t>
      </w:r>
      <w:bookmarkStart w:id="0" w:name="_GoBack"/>
      <w:bookmarkEnd w:id="0"/>
      <w:r w:rsidRPr="002C1C4E">
        <w:rPr>
          <w:rFonts w:ascii="Arial" w:eastAsiaTheme="minorEastAsia" w:hAnsi="Arial" w:cs="Arial"/>
          <w:color w:val="000000"/>
          <w:lang w:val="en-IN" w:eastAsia="en-GB"/>
        </w:rPr>
        <w:t>kines, and gingival fibroblasts.</w:t>
      </w:r>
      <w:r w:rsidRPr="002C1C4E">
        <w:rPr>
          <w:rFonts w:ascii="Arial" w:eastAsiaTheme="minorEastAsia" w:hAnsi="Arial" w:cs="Arial"/>
          <w:color w:val="000000"/>
          <w:vertAlign w:val="superscript"/>
          <w:lang w:val="en-IN" w:eastAsia="en-GB"/>
        </w:rPr>
        <w:t>1</w:t>
      </w:r>
      <w:r w:rsidR="00F969E2">
        <w:rPr>
          <w:rFonts w:ascii="Arial" w:eastAsiaTheme="minorEastAsia" w:hAnsi="Arial" w:cs="Arial"/>
          <w:color w:val="000000"/>
          <w:vertAlign w:val="superscript"/>
          <w:lang w:val="en-IN" w:eastAsia="en-GB"/>
        </w:rPr>
        <w:t>1</w:t>
      </w:r>
      <w:r w:rsidRPr="002C1C4E">
        <w:rPr>
          <w:rFonts w:ascii="Arial" w:eastAsiaTheme="minorEastAsia" w:hAnsi="Arial" w:cs="Arial"/>
          <w:color w:val="000000"/>
          <w:vertAlign w:val="superscript"/>
          <w:lang w:val="en-IN" w:eastAsia="en-GB"/>
        </w:rPr>
        <w:t>,1</w:t>
      </w:r>
      <w:r w:rsidR="00F969E2">
        <w:rPr>
          <w:rFonts w:ascii="Arial" w:eastAsiaTheme="minorEastAsia" w:hAnsi="Arial" w:cs="Arial"/>
          <w:color w:val="000000"/>
          <w:vertAlign w:val="superscript"/>
          <w:lang w:val="en-IN" w:eastAsia="en-GB"/>
        </w:rPr>
        <w:t>2</w:t>
      </w:r>
      <w:r w:rsidRPr="002C1C4E">
        <w:rPr>
          <w:rFonts w:ascii="Arial" w:eastAsiaTheme="minorEastAsia" w:hAnsi="Arial" w:cs="Arial"/>
          <w:color w:val="000000"/>
          <w:vertAlign w:val="superscript"/>
          <w:lang w:val="en-IN" w:eastAsia="en-GB"/>
        </w:rPr>
        <w:t>,1</w:t>
      </w:r>
      <w:r w:rsidR="00F969E2">
        <w:rPr>
          <w:rFonts w:ascii="Arial" w:eastAsiaTheme="minorEastAsia" w:hAnsi="Arial" w:cs="Arial"/>
          <w:color w:val="000000"/>
          <w:vertAlign w:val="superscript"/>
          <w:lang w:val="en-IN" w:eastAsia="en-GB"/>
        </w:rPr>
        <w:t>3</w:t>
      </w:r>
    </w:p>
    <w:p w14:paraId="3C81AA84" w14:textId="73D6494C" w:rsidR="00FF1882" w:rsidRPr="00FF1882" w:rsidRDefault="00FF1882" w:rsidP="00FF1882">
      <w:pPr>
        <w:spacing w:before="100" w:beforeAutospacing="1" w:after="100" w:afterAutospacing="1"/>
        <w:jc w:val="both"/>
        <w:rPr>
          <w:rFonts w:ascii="Times New Roman" w:hAnsi="Times New Roman"/>
          <w:sz w:val="22"/>
          <w:szCs w:val="24"/>
        </w:rPr>
      </w:pPr>
      <w:r w:rsidRPr="00FF1882">
        <w:rPr>
          <w:rFonts w:ascii="Times New Roman" w:hAnsi="Times New Roman"/>
          <w:sz w:val="22"/>
          <w:szCs w:val="24"/>
        </w:rPr>
        <w:t xml:space="preserve">Therapeutic strategies for periodontal management range from non-surgical interventions to comprehensive approaches that integrate both non-surgical and surgical modalities. A multidisciplinary approach, coupled with early intervention in cases of drug-induced gingival enlargement, offers the greatest potential for </w:t>
      </w:r>
      <w:proofErr w:type="spellStart"/>
      <w:r w:rsidRPr="00FF1882">
        <w:rPr>
          <w:rFonts w:ascii="Times New Roman" w:hAnsi="Times New Roman"/>
          <w:sz w:val="22"/>
          <w:szCs w:val="24"/>
        </w:rPr>
        <w:t>favourable</w:t>
      </w:r>
      <w:proofErr w:type="spellEnd"/>
      <w:r w:rsidRPr="00FF1882">
        <w:rPr>
          <w:rFonts w:ascii="Times New Roman" w:hAnsi="Times New Roman"/>
          <w:sz w:val="22"/>
          <w:szCs w:val="24"/>
        </w:rPr>
        <w:t xml:space="preserve"> clinical outcomes [15]. Phase I periodontal therapy should </w:t>
      </w:r>
      <w:proofErr w:type="spellStart"/>
      <w:r w:rsidRPr="00FF1882">
        <w:rPr>
          <w:rFonts w:ascii="Times New Roman" w:hAnsi="Times New Roman"/>
          <w:sz w:val="22"/>
          <w:szCs w:val="24"/>
        </w:rPr>
        <w:t>prioritise</w:t>
      </w:r>
      <w:proofErr w:type="spellEnd"/>
      <w:r w:rsidRPr="00FF1882">
        <w:rPr>
          <w:rFonts w:ascii="Times New Roman" w:hAnsi="Times New Roman"/>
          <w:sz w:val="22"/>
          <w:szCs w:val="24"/>
        </w:rPr>
        <w:t xml:space="preserve"> meticulous oral hygiene practices, including structured oral hygiene instruction (OHI) and repeated sessions of scaling and root </w:t>
      </w:r>
      <w:proofErr w:type="spellStart"/>
      <w:r w:rsidRPr="00FF1882">
        <w:rPr>
          <w:rFonts w:ascii="Times New Roman" w:hAnsi="Times New Roman"/>
          <w:sz w:val="22"/>
          <w:szCs w:val="24"/>
        </w:rPr>
        <w:t>planing</w:t>
      </w:r>
      <w:proofErr w:type="spellEnd"/>
      <w:r w:rsidRPr="00FF1882">
        <w:rPr>
          <w:rFonts w:ascii="Times New Roman" w:hAnsi="Times New Roman"/>
          <w:sz w:val="22"/>
          <w:szCs w:val="24"/>
        </w:rPr>
        <w:t>. This initial therapeutic approach has been shown to be effective, with the potential to reduce gingival enlargement by up to 40% [16].</w:t>
      </w:r>
    </w:p>
    <w:p w14:paraId="6BC23EA7" w14:textId="59E131F0" w:rsidR="00C40C87" w:rsidRDefault="002C1C4E" w:rsidP="000D7505">
      <w:pPr>
        <w:jc w:val="both"/>
        <w:rPr>
          <w:rFonts w:ascii="Arial" w:hAnsi="Arial" w:cs="Arial"/>
        </w:rPr>
      </w:pPr>
      <w:r w:rsidRPr="002C1C4E">
        <w:rPr>
          <w:rFonts w:ascii="Arial" w:eastAsiaTheme="minorEastAsia" w:hAnsi="Arial" w:cs="Arial"/>
          <w:color w:val="000000"/>
          <w:lang w:val="en-IN" w:eastAsia="en-GB"/>
        </w:rPr>
        <w:t>A thorough</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scaling and root planing (SRP) combined with proper</w:t>
      </w:r>
      <w:r w:rsidR="000D7505">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oral hygiene instruction can often</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eliminate the need for surgical approach in cases of drug-induced gingival enlargement. In the</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present scenario, drug substitution was not considered or</w:t>
      </w:r>
      <w:r w:rsidR="00783F52">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 xml:space="preserve">implemented in this </w:t>
      </w:r>
      <w:r w:rsidR="007F218D">
        <w:rPr>
          <w:rFonts w:ascii="Arial" w:eastAsiaTheme="minorEastAsia" w:hAnsi="Arial" w:cs="Arial"/>
          <w:color w:val="000000"/>
          <w:lang w:val="en-IN" w:eastAsia="en-GB"/>
        </w:rPr>
        <w:t>case</w:t>
      </w:r>
      <w:r w:rsidRPr="002C1C4E">
        <w:rPr>
          <w:rFonts w:ascii="Arial" w:eastAsiaTheme="minorEastAsia" w:hAnsi="Arial" w:cs="Arial"/>
          <w:color w:val="000000"/>
          <w:lang w:val="en-IN" w:eastAsia="en-GB"/>
        </w:rPr>
        <w:t>. The</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patient was subjected to mechanical therapy (SRP) for the</w:t>
      </w:r>
      <w:r w:rsidR="00761DF3">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removal of the local factors along</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 xml:space="preserve">with systemic antibiotics (doxycycline 100mg, </w:t>
      </w:r>
      <w:r w:rsidR="00C87671">
        <w:rPr>
          <w:rFonts w:ascii="Arial" w:eastAsiaTheme="minorEastAsia" w:hAnsi="Arial" w:cs="Arial"/>
          <w:color w:val="000000"/>
          <w:lang w:val="en-IN" w:eastAsia="en-GB"/>
        </w:rPr>
        <w:t>once daily</w:t>
      </w:r>
      <w:r w:rsidRPr="002C1C4E">
        <w:rPr>
          <w:rFonts w:ascii="Arial" w:eastAsiaTheme="minorEastAsia" w:hAnsi="Arial" w:cs="Arial"/>
          <w:color w:val="000000"/>
          <w:lang w:val="en-IN" w:eastAsia="en-GB"/>
        </w:rPr>
        <w:t>, for 5</w:t>
      </w:r>
      <w:r w:rsidR="00761DF3">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days). The patient received strict</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instructions on maintaining proper oral hygiene at home,</w:t>
      </w:r>
      <w:r w:rsidR="00761DF3">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including the correct brushing</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technique. At a 15-day follow-up, a reduction in inflammation</w:t>
      </w:r>
      <w:r w:rsidR="00761DF3">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was noted, especially in the</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 xml:space="preserve">mandibular arch. At </w:t>
      </w:r>
      <w:r w:rsidR="002A41D5">
        <w:rPr>
          <w:rFonts w:ascii="Arial" w:eastAsiaTheme="minorEastAsia" w:hAnsi="Arial" w:cs="Arial"/>
          <w:color w:val="000000"/>
          <w:lang w:val="en-IN" w:eastAsia="en-GB"/>
        </w:rPr>
        <w:t>6</w:t>
      </w:r>
      <w:r w:rsidRPr="002C1C4E">
        <w:rPr>
          <w:rFonts w:ascii="Arial" w:eastAsiaTheme="minorEastAsia" w:hAnsi="Arial" w:cs="Arial"/>
          <w:color w:val="000000"/>
          <w:lang w:val="en-IN" w:eastAsia="en-GB"/>
        </w:rPr>
        <w:t xml:space="preserve"> months the patient demonstrated marked</w:t>
      </w:r>
      <w:r w:rsidR="00761DF3">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reduction in gingival</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 xml:space="preserve">inflammation, improved plaque control, better oral hygiene practices, </w:t>
      </w:r>
      <w:r w:rsidR="00761DF3" w:rsidRPr="002C1C4E">
        <w:rPr>
          <w:rFonts w:ascii="Arial" w:eastAsiaTheme="minorEastAsia" w:hAnsi="Arial" w:cs="Arial"/>
          <w:color w:val="000000"/>
          <w:lang w:val="en-IN" w:eastAsia="en-GB"/>
        </w:rPr>
        <w:t>and</w:t>
      </w:r>
      <w:r w:rsidR="00761DF3">
        <w:rPr>
          <w:rFonts w:ascii="Arial" w:eastAsiaTheme="minorEastAsia" w:hAnsi="Arial" w:cs="Arial"/>
          <w:color w:val="000000"/>
          <w:lang w:val="en-IN" w:eastAsia="en-GB"/>
        </w:rPr>
        <w:t xml:space="preserve"> </w:t>
      </w:r>
      <w:r w:rsidR="00761DF3" w:rsidRPr="002C1C4E">
        <w:rPr>
          <w:rFonts w:ascii="Arial" w:eastAsiaTheme="minorEastAsia" w:hAnsi="Arial" w:cs="Arial"/>
          <w:color w:val="000000"/>
          <w:lang w:val="en-IN" w:eastAsia="en-GB"/>
        </w:rPr>
        <w:t>overall</w:t>
      </w:r>
      <w:r w:rsidRPr="002C1C4E">
        <w:rPr>
          <w:rFonts w:ascii="Arial" w:eastAsiaTheme="minorEastAsia" w:hAnsi="Arial" w:cs="Arial"/>
          <w:color w:val="000000"/>
          <w:lang w:val="en-IN" w:eastAsia="en-GB"/>
        </w:rPr>
        <w:t xml:space="preserve"> good gingival</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health. Thorough subgingival scaling and curettage was performed every</w:t>
      </w:r>
      <w:r w:rsidR="00783F52">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six months, and the</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patient remained under regular follow-up for two years. At the end of 2-</w:t>
      </w:r>
      <w:r w:rsidR="00783F52">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year follow-up, a</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 xml:space="preserve">drastic reduction in gingival size was observed (Figure </w:t>
      </w:r>
      <w:r w:rsidR="00C87671">
        <w:rPr>
          <w:rFonts w:ascii="Arial" w:eastAsiaTheme="minorEastAsia" w:hAnsi="Arial" w:cs="Arial"/>
          <w:color w:val="000000"/>
          <w:lang w:val="en-IN" w:eastAsia="en-GB"/>
        </w:rPr>
        <w:t>2</w:t>
      </w:r>
      <w:r w:rsidR="002A41D5">
        <w:rPr>
          <w:rFonts w:ascii="Arial" w:eastAsiaTheme="minorEastAsia" w:hAnsi="Arial" w:cs="Arial"/>
          <w:color w:val="000000"/>
          <w:lang w:val="en-IN" w:eastAsia="en-GB"/>
        </w:rPr>
        <w:t xml:space="preserve"> &amp; 3</w:t>
      </w:r>
      <w:r w:rsidRPr="002C1C4E">
        <w:rPr>
          <w:rFonts w:ascii="Arial" w:eastAsiaTheme="minorEastAsia" w:hAnsi="Arial" w:cs="Arial"/>
          <w:color w:val="000000"/>
          <w:lang w:val="en-IN" w:eastAsia="en-GB"/>
        </w:rPr>
        <w:t>), attributed to</w:t>
      </w:r>
      <w:r w:rsidR="00783F52">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multiple SRP</w:t>
      </w:r>
      <w:r w:rsidR="00C40C87">
        <w:rPr>
          <w:rFonts w:ascii="Arial" w:eastAsiaTheme="minorEastAsia" w:hAnsi="Arial" w:cs="Arial"/>
          <w:color w:val="000000"/>
          <w:lang w:val="en-IN" w:eastAsia="en-GB"/>
        </w:rPr>
        <w:t xml:space="preserve"> </w:t>
      </w:r>
      <w:r w:rsidRPr="002C1C4E">
        <w:rPr>
          <w:rFonts w:ascii="Arial" w:eastAsiaTheme="minorEastAsia" w:hAnsi="Arial" w:cs="Arial"/>
          <w:color w:val="000000"/>
          <w:lang w:val="en-IN" w:eastAsia="en-GB"/>
        </w:rPr>
        <w:t>sessions, strict oral hygiene instructions, and improved patient compliance.</w:t>
      </w:r>
      <w:r w:rsidR="006E5395" w:rsidRPr="006E5395">
        <w:t xml:space="preserve"> </w:t>
      </w:r>
      <w:r w:rsidR="006E5395" w:rsidRPr="006E5395">
        <w:rPr>
          <w:rFonts w:ascii="Arial" w:eastAsiaTheme="minorEastAsia" w:hAnsi="Arial" w:cs="Arial"/>
          <w:color w:val="000000"/>
          <w:lang w:eastAsia="en-GB"/>
        </w:rPr>
        <w:t>Non-surgical management of DIGO is a significantly less invasive approach compared to surgical methods and can yield favorable treatment outcomes.</w:t>
      </w:r>
      <w:r w:rsidR="00666698" w:rsidRPr="00E541F4">
        <w:rPr>
          <w:rFonts w:ascii="Arial" w:hAnsi="Arial" w:cs="Arial"/>
        </w:rPr>
        <w:t xml:space="preserve"> </w:t>
      </w:r>
    </w:p>
    <w:p w14:paraId="088165AC" w14:textId="00AD9428" w:rsidR="00920DD0" w:rsidRPr="00920DD0" w:rsidRDefault="00920DD0" w:rsidP="00920DD0">
      <w:pPr>
        <w:jc w:val="both"/>
        <w:rPr>
          <w:rFonts w:ascii="Arial" w:eastAsiaTheme="minorEastAsia" w:hAnsi="Arial" w:cs="Arial"/>
          <w:color w:val="000000"/>
          <w:lang w:val="en-IN" w:eastAsia="en-GB"/>
        </w:rPr>
      </w:pPr>
      <w:r w:rsidRPr="00920DD0">
        <w:rPr>
          <w:rFonts w:ascii="Arial" w:eastAsiaTheme="minorEastAsia" w:hAnsi="Arial" w:cs="Arial"/>
          <w:color w:val="000000"/>
          <w:lang w:val="en-IN" w:eastAsia="en-GB"/>
        </w:rPr>
        <w:t>Evidence in the literature supports the effectiveness of NSPT in the management of drug-induced gingival overgrowth without the need for surgical intervention. Sam G and Sebastian SC</w:t>
      </w:r>
      <w:r>
        <w:rPr>
          <w:rFonts w:ascii="Arial" w:eastAsiaTheme="minorEastAsia" w:hAnsi="Arial" w:cs="Arial"/>
          <w:color w:val="000000"/>
          <w:lang w:val="en-IN" w:eastAsia="en-GB"/>
        </w:rPr>
        <w:t xml:space="preserve"> </w:t>
      </w:r>
      <w:r w:rsidRPr="00920DD0">
        <w:rPr>
          <w:rFonts w:ascii="Arial" w:eastAsiaTheme="minorEastAsia" w:hAnsi="Arial" w:cs="Arial"/>
          <w:color w:val="000000"/>
          <w:vertAlign w:val="superscript"/>
          <w:lang w:val="en-IN" w:eastAsia="en-GB"/>
        </w:rPr>
        <w:t>17</w:t>
      </w:r>
      <w:r>
        <w:rPr>
          <w:rFonts w:ascii="Arial" w:eastAsiaTheme="minorEastAsia" w:hAnsi="Arial" w:cs="Arial"/>
          <w:color w:val="000000"/>
          <w:vertAlign w:val="superscript"/>
          <w:lang w:val="en-IN" w:eastAsia="en-GB"/>
        </w:rPr>
        <w:t xml:space="preserve"> </w:t>
      </w:r>
      <w:r w:rsidRPr="00920DD0">
        <w:rPr>
          <w:rFonts w:ascii="Arial" w:eastAsiaTheme="minorEastAsia" w:hAnsi="Arial" w:cs="Arial"/>
          <w:color w:val="000000"/>
          <w:lang w:val="en-IN" w:eastAsia="en-GB"/>
        </w:rPr>
        <w:t>demonstrated that thorough scaling, root planing, and improved oral hygiene can result in significant reduction of nifedipine-induced gingival enlargement. Similarly, a systematic review and meta-analysis by Hu J et al.</w:t>
      </w:r>
      <w:r>
        <w:rPr>
          <w:rFonts w:ascii="Arial" w:eastAsiaTheme="minorEastAsia" w:hAnsi="Arial" w:cs="Arial"/>
          <w:color w:val="000000"/>
          <w:vertAlign w:val="superscript"/>
          <w:lang w:val="en-IN" w:eastAsia="en-GB"/>
        </w:rPr>
        <w:t>18</w:t>
      </w:r>
      <w:r w:rsidRPr="00920DD0">
        <w:rPr>
          <w:rFonts w:ascii="Arial" w:eastAsiaTheme="minorEastAsia" w:hAnsi="Arial" w:cs="Arial"/>
          <w:color w:val="000000"/>
          <w:lang w:val="en-IN" w:eastAsia="en-GB"/>
        </w:rPr>
        <w:t xml:space="preserve"> on cyclosporin A–induced cases highlighted that stringent plaque control combined with non-surgical periodontal therapy and supportive periodontal care plays a crucial role in reducing gingival overgrowth and maintaining long-term remission.</w:t>
      </w:r>
    </w:p>
    <w:p w14:paraId="3CFB6575" w14:textId="77777777" w:rsidR="00920DD0" w:rsidRDefault="00920DD0" w:rsidP="000D7505">
      <w:pPr>
        <w:jc w:val="both"/>
        <w:rPr>
          <w:rFonts w:ascii="Arial" w:eastAsiaTheme="minorEastAsia" w:hAnsi="Arial" w:cs="Arial"/>
          <w:color w:val="000000"/>
          <w:lang w:val="en-IN" w:eastAsia="en-GB"/>
        </w:rPr>
      </w:pPr>
    </w:p>
    <w:p w14:paraId="57607671" w14:textId="77777777" w:rsidR="00920DD0" w:rsidRDefault="00920DD0" w:rsidP="000D7505">
      <w:pPr>
        <w:jc w:val="both"/>
        <w:rPr>
          <w:rFonts w:ascii="Arial" w:eastAsiaTheme="minorEastAsia" w:hAnsi="Arial" w:cs="Arial"/>
          <w:color w:val="000000"/>
          <w:lang w:val="en-IN" w:eastAsia="en-GB"/>
        </w:rPr>
      </w:pPr>
    </w:p>
    <w:p w14:paraId="6F236032" w14:textId="62030F11" w:rsidR="00F11D96" w:rsidRDefault="00D02690" w:rsidP="002A41D5">
      <w:pPr>
        <w:jc w:val="center"/>
        <w:rPr>
          <w:rFonts w:ascii="Arial" w:eastAsiaTheme="minorEastAsia" w:hAnsi="Arial" w:cs="Arial"/>
          <w:color w:val="000000"/>
          <w:lang w:val="en-IN" w:eastAsia="en-GB"/>
        </w:rPr>
      </w:pPr>
      <w:r w:rsidRPr="00D02690">
        <w:rPr>
          <w:rFonts w:ascii="Arial" w:eastAsiaTheme="minorEastAsia" w:hAnsi="Arial" w:cs="Arial"/>
          <w:noProof/>
          <w:color w:val="000000"/>
        </w:rPr>
        <w:drawing>
          <wp:inline distT="0" distB="0" distL="0" distR="0" wp14:anchorId="2A65F531" wp14:editId="6D60EC25">
            <wp:extent cx="3492500" cy="1790700"/>
            <wp:effectExtent l="0" t="0" r="0" b="0"/>
            <wp:docPr id="8269177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704" r="25370" b="53580"/>
                    <a:stretch>
                      <a:fillRect/>
                    </a:stretch>
                  </pic:blipFill>
                  <pic:spPr bwMode="auto">
                    <a:xfrm>
                      <a:off x="0" y="0"/>
                      <a:ext cx="3492500"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4D7810F6" w14:textId="5CA985B7" w:rsidR="00D02690" w:rsidRPr="00D02690" w:rsidRDefault="00D02690" w:rsidP="00D02690">
      <w:pPr>
        <w:jc w:val="center"/>
        <w:rPr>
          <w:rFonts w:ascii="Arial" w:eastAsiaTheme="minorEastAsia" w:hAnsi="Arial" w:cs="Arial"/>
          <w:color w:val="000000"/>
          <w:lang w:val="en-IN" w:eastAsia="en-GB"/>
        </w:rPr>
      </w:pPr>
      <w:r w:rsidRPr="00D02690">
        <w:rPr>
          <w:rFonts w:ascii="Arial" w:eastAsiaTheme="minorEastAsia" w:hAnsi="Arial" w:cs="Arial"/>
          <w:noProof/>
          <w:color w:val="000000"/>
        </w:rPr>
        <w:lastRenderedPageBreak/>
        <w:drawing>
          <wp:inline distT="0" distB="0" distL="0" distR="0" wp14:anchorId="789028BF" wp14:editId="0D2F5F1F">
            <wp:extent cx="5156200" cy="1816100"/>
            <wp:effectExtent l="0" t="0" r="6350" b="0"/>
            <wp:docPr id="4088346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56" t="48066" r="14260" b="4857"/>
                    <a:stretch>
                      <a:fillRect/>
                    </a:stretch>
                  </pic:blipFill>
                  <pic:spPr bwMode="auto">
                    <a:xfrm>
                      <a:off x="0" y="0"/>
                      <a:ext cx="5156200" cy="1816100"/>
                    </a:xfrm>
                    <a:prstGeom prst="rect">
                      <a:avLst/>
                    </a:prstGeom>
                    <a:noFill/>
                    <a:ln>
                      <a:noFill/>
                    </a:ln>
                    <a:extLst>
                      <a:ext uri="{53640926-AAD7-44D8-BBD7-CCE9431645EC}">
                        <a14:shadowObscured xmlns:a14="http://schemas.microsoft.com/office/drawing/2010/main"/>
                      </a:ext>
                    </a:extLst>
                  </pic:spPr>
                </pic:pic>
              </a:graphicData>
            </a:graphic>
          </wp:inline>
        </w:drawing>
      </w:r>
    </w:p>
    <w:p w14:paraId="0DEFCD2D" w14:textId="77777777" w:rsidR="002901C3" w:rsidRDefault="002901C3" w:rsidP="000D7505">
      <w:pPr>
        <w:jc w:val="both"/>
        <w:rPr>
          <w:rFonts w:ascii="Arial" w:hAnsi="Arial" w:cs="Arial"/>
        </w:rPr>
      </w:pPr>
    </w:p>
    <w:p w14:paraId="44529EED" w14:textId="77777777" w:rsidR="002901C3" w:rsidRDefault="002901C3" w:rsidP="000D7505">
      <w:pPr>
        <w:jc w:val="both"/>
        <w:rPr>
          <w:rFonts w:ascii="Arial" w:hAnsi="Arial" w:cs="Arial"/>
        </w:rPr>
      </w:pPr>
    </w:p>
    <w:p w14:paraId="2E5CA823" w14:textId="77777777" w:rsidR="002901C3" w:rsidRDefault="002901C3" w:rsidP="000D7505">
      <w:pPr>
        <w:jc w:val="both"/>
        <w:rPr>
          <w:rFonts w:ascii="Arial" w:hAnsi="Arial" w:cs="Arial"/>
        </w:rPr>
      </w:pPr>
    </w:p>
    <w:p w14:paraId="3A16109E" w14:textId="30A7BF24" w:rsidR="00666698" w:rsidRDefault="00666698" w:rsidP="000D7505">
      <w:pPr>
        <w:jc w:val="both"/>
        <w:rPr>
          <w:rFonts w:ascii="Arial" w:eastAsiaTheme="minorEastAsia" w:hAnsi="Arial" w:cs="Arial"/>
          <w:color w:val="000000"/>
          <w:lang w:val="en-IN" w:eastAsia="en-GB"/>
        </w:rPr>
      </w:pPr>
      <w:r w:rsidRPr="00E541F4">
        <w:rPr>
          <w:rFonts w:ascii="Arial" w:hAnsi="Arial" w:cs="Arial"/>
        </w:rPr>
        <w:t>Supportive periodontal therapy (SPT) plays a crucial role in maintaining long-term gingival</w:t>
      </w:r>
      <w:r w:rsidR="00C40C87">
        <w:rPr>
          <w:rFonts w:ascii="Arial" w:eastAsiaTheme="minorEastAsia" w:hAnsi="Arial" w:cs="Arial"/>
          <w:color w:val="000000"/>
          <w:lang w:val="en-IN" w:eastAsia="en-GB"/>
        </w:rPr>
        <w:t xml:space="preserve"> </w:t>
      </w:r>
      <w:r w:rsidRPr="00666698">
        <w:rPr>
          <w:rFonts w:ascii="Arial" w:eastAsiaTheme="minorEastAsia" w:hAnsi="Arial" w:cs="Arial"/>
          <w:color w:val="000000"/>
          <w:lang w:val="en-IN" w:eastAsia="en-GB"/>
        </w:rPr>
        <w:t>health following non-surgical periodontal treatment, particularly in cases of drug-induced</w:t>
      </w:r>
      <w:r w:rsidR="00C40C87">
        <w:rPr>
          <w:rFonts w:ascii="Arial" w:eastAsiaTheme="minorEastAsia" w:hAnsi="Arial" w:cs="Arial"/>
          <w:color w:val="000000"/>
          <w:lang w:val="en-IN" w:eastAsia="en-GB"/>
        </w:rPr>
        <w:t xml:space="preserve"> </w:t>
      </w:r>
      <w:r w:rsidRPr="00666698">
        <w:rPr>
          <w:rFonts w:ascii="Arial" w:eastAsiaTheme="minorEastAsia" w:hAnsi="Arial" w:cs="Arial"/>
          <w:color w:val="000000"/>
          <w:lang w:val="en-IN" w:eastAsia="en-GB"/>
        </w:rPr>
        <w:t>gingival overgrowth. While initial therapy can significantly reduce inflammation and gingival</w:t>
      </w:r>
      <w:r w:rsidR="00C40C87">
        <w:rPr>
          <w:rFonts w:ascii="Arial" w:eastAsiaTheme="minorEastAsia" w:hAnsi="Arial" w:cs="Arial"/>
          <w:color w:val="000000"/>
          <w:lang w:val="en-IN" w:eastAsia="en-GB"/>
        </w:rPr>
        <w:t xml:space="preserve"> </w:t>
      </w:r>
      <w:r w:rsidRPr="00666698">
        <w:rPr>
          <w:rFonts w:ascii="Arial" w:eastAsiaTheme="minorEastAsia" w:hAnsi="Arial" w:cs="Arial"/>
          <w:color w:val="000000"/>
          <w:lang w:val="en-IN" w:eastAsia="en-GB"/>
        </w:rPr>
        <w:t>enlargement, sustained improvements are highly dependent on regular follow-up care and</w:t>
      </w:r>
      <w:r w:rsidR="00C40C87">
        <w:rPr>
          <w:rFonts w:ascii="Arial" w:eastAsiaTheme="minorEastAsia" w:hAnsi="Arial" w:cs="Arial"/>
          <w:color w:val="000000"/>
          <w:lang w:val="en-IN" w:eastAsia="en-GB"/>
        </w:rPr>
        <w:t xml:space="preserve"> </w:t>
      </w:r>
      <w:r w:rsidRPr="00666698">
        <w:rPr>
          <w:rFonts w:ascii="Arial" w:eastAsiaTheme="minorEastAsia" w:hAnsi="Arial" w:cs="Arial"/>
          <w:color w:val="000000"/>
          <w:lang w:val="en-IN" w:eastAsia="en-GB"/>
        </w:rPr>
        <w:t>meticulous oral hygiene practices. SPT helps in early detection and management of recurrent</w:t>
      </w:r>
      <w:r w:rsidR="00C40C87">
        <w:rPr>
          <w:rFonts w:ascii="Arial" w:eastAsiaTheme="minorEastAsia" w:hAnsi="Arial" w:cs="Arial"/>
          <w:color w:val="000000"/>
          <w:lang w:val="en-IN" w:eastAsia="en-GB"/>
        </w:rPr>
        <w:t xml:space="preserve"> </w:t>
      </w:r>
      <w:r w:rsidRPr="00666698">
        <w:rPr>
          <w:rFonts w:ascii="Arial" w:eastAsiaTheme="minorEastAsia" w:hAnsi="Arial" w:cs="Arial"/>
          <w:color w:val="000000"/>
          <w:lang w:val="en-IN" w:eastAsia="en-GB"/>
        </w:rPr>
        <w:t>inflammation or overgrowth, ensuring periodontal stability.</w:t>
      </w:r>
      <w:r w:rsidRPr="00666698">
        <w:rPr>
          <w:rFonts w:ascii="Arial" w:eastAsiaTheme="minorEastAsia" w:hAnsi="Arial" w:cs="Arial"/>
          <w:color w:val="000000"/>
          <w:vertAlign w:val="superscript"/>
          <w:lang w:val="en-IN" w:eastAsia="en-GB"/>
        </w:rPr>
        <w:t>1</w:t>
      </w:r>
      <w:r w:rsidR="00F969E2">
        <w:rPr>
          <w:rFonts w:ascii="Arial" w:eastAsiaTheme="minorEastAsia" w:hAnsi="Arial" w:cs="Arial"/>
          <w:color w:val="000000"/>
          <w:vertAlign w:val="superscript"/>
          <w:lang w:val="en-IN" w:eastAsia="en-GB"/>
        </w:rPr>
        <w:t>4</w:t>
      </w:r>
      <w:r w:rsidRPr="00666698">
        <w:rPr>
          <w:rFonts w:ascii="Arial" w:eastAsiaTheme="minorEastAsia" w:hAnsi="Arial" w:cs="Arial"/>
          <w:color w:val="000000"/>
          <w:lang w:val="en-IN" w:eastAsia="en-GB"/>
        </w:rPr>
        <w:t xml:space="preserve"> Equally important is the patient’s</w:t>
      </w:r>
      <w:r w:rsidR="00C40C87">
        <w:rPr>
          <w:rFonts w:ascii="Arial" w:eastAsiaTheme="minorEastAsia" w:hAnsi="Arial" w:cs="Arial"/>
          <w:color w:val="000000"/>
          <w:lang w:val="en-IN" w:eastAsia="en-GB"/>
        </w:rPr>
        <w:t xml:space="preserve"> </w:t>
      </w:r>
      <w:r w:rsidRPr="00666698">
        <w:rPr>
          <w:rFonts w:ascii="Arial" w:eastAsiaTheme="minorEastAsia" w:hAnsi="Arial" w:cs="Arial"/>
          <w:color w:val="000000"/>
          <w:lang w:val="en-IN" w:eastAsia="en-GB"/>
        </w:rPr>
        <w:t>motivation and compliance, as consistent plaque control and adherence to professional</w:t>
      </w:r>
      <w:r w:rsidR="00C40C87">
        <w:rPr>
          <w:rFonts w:ascii="Arial" w:eastAsiaTheme="minorEastAsia" w:hAnsi="Arial" w:cs="Arial"/>
          <w:color w:val="000000"/>
          <w:lang w:val="en-IN" w:eastAsia="en-GB"/>
        </w:rPr>
        <w:t xml:space="preserve"> </w:t>
      </w:r>
      <w:r w:rsidRPr="00666698">
        <w:rPr>
          <w:rFonts w:ascii="Arial" w:eastAsiaTheme="minorEastAsia" w:hAnsi="Arial" w:cs="Arial"/>
          <w:color w:val="000000"/>
          <w:lang w:val="en-IN" w:eastAsia="en-GB"/>
        </w:rPr>
        <w:t>maintenance schedules greatly influence treatment outcomes. Educating the patient about the</w:t>
      </w:r>
      <w:r w:rsidR="00C40C87">
        <w:rPr>
          <w:rFonts w:ascii="Arial" w:eastAsiaTheme="minorEastAsia" w:hAnsi="Arial" w:cs="Arial"/>
          <w:color w:val="000000"/>
          <w:lang w:val="en-IN" w:eastAsia="en-GB"/>
        </w:rPr>
        <w:t xml:space="preserve"> </w:t>
      </w:r>
      <w:r w:rsidRPr="00666698">
        <w:rPr>
          <w:rFonts w:ascii="Arial" w:eastAsiaTheme="minorEastAsia" w:hAnsi="Arial" w:cs="Arial"/>
          <w:color w:val="000000"/>
          <w:lang w:val="en-IN" w:eastAsia="en-GB"/>
        </w:rPr>
        <w:t>relationship between medication use, oral health, and health of periodontal structures is vital</w:t>
      </w:r>
      <w:r w:rsidR="00C40C87">
        <w:rPr>
          <w:rFonts w:ascii="Arial" w:eastAsiaTheme="minorEastAsia" w:hAnsi="Arial" w:cs="Arial"/>
          <w:color w:val="000000"/>
          <w:lang w:val="en-IN" w:eastAsia="en-GB"/>
        </w:rPr>
        <w:t xml:space="preserve"> </w:t>
      </w:r>
      <w:r w:rsidRPr="00666698">
        <w:rPr>
          <w:rFonts w:ascii="Arial" w:eastAsiaTheme="minorEastAsia" w:hAnsi="Arial" w:cs="Arial"/>
          <w:color w:val="000000"/>
          <w:lang w:val="en-IN" w:eastAsia="en-GB"/>
        </w:rPr>
        <w:t>for preventing recurrence and preserving gingival architecture</w:t>
      </w:r>
      <w:r w:rsidRPr="00E541F4">
        <w:rPr>
          <w:rFonts w:ascii="Arial" w:eastAsiaTheme="minorEastAsia" w:hAnsi="Arial" w:cs="Arial"/>
          <w:color w:val="000000"/>
          <w:lang w:val="en-IN" w:eastAsia="en-GB"/>
        </w:rPr>
        <w:t>.</w:t>
      </w:r>
    </w:p>
    <w:p w14:paraId="4643824F" w14:textId="77777777" w:rsidR="002901C3" w:rsidRPr="00666698" w:rsidRDefault="002901C3" w:rsidP="000D7505">
      <w:pPr>
        <w:jc w:val="both"/>
        <w:rPr>
          <w:rFonts w:ascii="Arial" w:eastAsiaTheme="minorEastAsia" w:hAnsi="Arial" w:cs="Arial"/>
          <w:color w:val="000000"/>
          <w:lang w:val="en-IN" w:eastAsia="en-GB"/>
        </w:rPr>
      </w:pPr>
    </w:p>
    <w:p w14:paraId="1BDFDE6E" w14:textId="7B884B05" w:rsidR="002C1C4E" w:rsidRPr="002C1C4E" w:rsidRDefault="002C1C4E" w:rsidP="002C1C4E">
      <w:pPr>
        <w:rPr>
          <w:rFonts w:ascii="Times New Roman" w:eastAsiaTheme="minorEastAsia" w:hAnsi="Times New Roman"/>
          <w:color w:val="000000"/>
          <w:sz w:val="18"/>
          <w:szCs w:val="18"/>
          <w:lang w:val="en-IN" w:eastAsia="en-GB"/>
        </w:rPr>
      </w:pPr>
    </w:p>
    <w:p w14:paraId="2448CB60" w14:textId="573AD94A" w:rsidR="00790ADA" w:rsidRPr="00FB3A86" w:rsidRDefault="00790ADA" w:rsidP="002C1C4E">
      <w:pPr>
        <w:autoSpaceDE w:val="0"/>
        <w:autoSpaceDN w:val="0"/>
        <w:adjustRightInd w:val="0"/>
        <w:jc w:val="both"/>
        <w:rPr>
          <w:rFonts w:ascii="Arial" w:hAnsi="Arial" w:cs="Arial"/>
        </w:rPr>
      </w:pPr>
    </w:p>
    <w:p w14:paraId="17AEEA8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C6872D2" w14:textId="77777777" w:rsidR="00790ADA" w:rsidRPr="00FB3A86" w:rsidRDefault="00790ADA" w:rsidP="00441B6F">
      <w:pPr>
        <w:pStyle w:val="ConcHead"/>
        <w:spacing w:after="0"/>
        <w:jc w:val="both"/>
        <w:rPr>
          <w:rFonts w:ascii="Arial" w:hAnsi="Arial" w:cs="Arial"/>
        </w:rPr>
      </w:pPr>
    </w:p>
    <w:p w14:paraId="51F536C5" w14:textId="26EAFE05" w:rsidR="00751862" w:rsidRPr="000D7505" w:rsidRDefault="00751862" w:rsidP="000D7505">
      <w:pPr>
        <w:pStyle w:val="p1"/>
        <w:jc w:val="both"/>
        <w:rPr>
          <w:rFonts w:ascii="Arial" w:hAnsi="Arial" w:cs="Arial"/>
          <w:sz w:val="20"/>
          <w:szCs w:val="20"/>
        </w:rPr>
      </w:pPr>
      <w:r w:rsidRPr="000D7505">
        <w:rPr>
          <w:rFonts w:ascii="Arial" w:hAnsi="Arial" w:cs="Arial"/>
          <w:sz w:val="20"/>
          <w:szCs w:val="20"/>
        </w:rPr>
        <w:t xml:space="preserve">Supportive periodontal therapy (SPT) plays a crucial role in maintaining long-term gingival </w:t>
      </w:r>
      <w:r w:rsidRPr="00751862">
        <w:rPr>
          <w:rFonts w:ascii="Arial" w:hAnsi="Arial" w:cs="Arial"/>
          <w:sz w:val="20"/>
          <w:szCs w:val="20"/>
        </w:rPr>
        <w:t>health following non-surgical periodontal treatment, particularly in cases of drug-induced</w:t>
      </w:r>
      <w:r w:rsidRPr="000D7505">
        <w:rPr>
          <w:rFonts w:ascii="Arial" w:hAnsi="Arial" w:cs="Arial"/>
          <w:sz w:val="20"/>
          <w:szCs w:val="20"/>
        </w:rPr>
        <w:t xml:space="preserve"> </w:t>
      </w:r>
      <w:r w:rsidRPr="00751862">
        <w:rPr>
          <w:rFonts w:ascii="Arial" w:hAnsi="Arial" w:cs="Arial"/>
          <w:sz w:val="20"/>
          <w:szCs w:val="20"/>
        </w:rPr>
        <w:t>gingival overgrowth. While initial</w:t>
      </w:r>
      <w:r w:rsidRPr="000D7505">
        <w:rPr>
          <w:rFonts w:ascii="Arial" w:hAnsi="Arial" w:cs="Arial"/>
          <w:sz w:val="20"/>
          <w:szCs w:val="20"/>
        </w:rPr>
        <w:t xml:space="preserve"> </w:t>
      </w:r>
      <w:r w:rsidRPr="00751862">
        <w:rPr>
          <w:rFonts w:ascii="Arial" w:hAnsi="Arial" w:cs="Arial"/>
          <w:sz w:val="20"/>
          <w:szCs w:val="20"/>
        </w:rPr>
        <w:t>therapy can significantly reduce inflammation and gingival</w:t>
      </w:r>
      <w:r w:rsidRPr="000D7505">
        <w:rPr>
          <w:rFonts w:ascii="Arial" w:hAnsi="Arial" w:cs="Arial"/>
          <w:sz w:val="20"/>
          <w:szCs w:val="20"/>
        </w:rPr>
        <w:t xml:space="preserve"> </w:t>
      </w:r>
      <w:r w:rsidRPr="00751862">
        <w:rPr>
          <w:rFonts w:ascii="Arial" w:hAnsi="Arial" w:cs="Arial"/>
          <w:sz w:val="20"/>
          <w:szCs w:val="20"/>
        </w:rPr>
        <w:t>enlargement, sustained improvements are highly dependent on regular follow-up care and</w:t>
      </w:r>
      <w:r w:rsidRPr="000D7505">
        <w:rPr>
          <w:rFonts w:ascii="Arial" w:hAnsi="Arial" w:cs="Arial"/>
          <w:sz w:val="20"/>
          <w:szCs w:val="20"/>
        </w:rPr>
        <w:t xml:space="preserve"> </w:t>
      </w:r>
      <w:r w:rsidRPr="00751862">
        <w:rPr>
          <w:rFonts w:ascii="Arial" w:hAnsi="Arial" w:cs="Arial"/>
          <w:sz w:val="20"/>
          <w:szCs w:val="20"/>
        </w:rPr>
        <w:t>meticulous oral hygiene practices. SPT helps in early detection and management of recurrent</w:t>
      </w:r>
      <w:r w:rsidRPr="000D7505">
        <w:rPr>
          <w:rFonts w:ascii="Arial" w:hAnsi="Arial" w:cs="Arial"/>
          <w:sz w:val="20"/>
          <w:szCs w:val="20"/>
        </w:rPr>
        <w:t xml:space="preserve"> </w:t>
      </w:r>
      <w:r w:rsidRPr="00751862">
        <w:rPr>
          <w:rFonts w:ascii="Arial" w:hAnsi="Arial" w:cs="Arial"/>
          <w:sz w:val="20"/>
          <w:szCs w:val="20"/>
        </w:rPr>
        <w:t>inflammation or overgrowth, ensuring periodontal stability.</w:t>
      </w:r>
      <w:r w:rsidR="002901C3">
        <w:rPr>
          <w:rFonts w:ascii="Arial" w:hAnsi="Arial" w:cs="Arial"/>
          <w:sz w:val="20"/>
          <w:szCs w:val="20"/>
        </w:rPr>
        <w:t xml:space="preserve"> </w:t>
      </w:r>
      <w:r w:rsidRPr="00751862">
        <w:rPr>
          <w:rFonts w:ascii="Arial" w:hAnsi="Arial" w:cs="Arial"/>
          <w:sz w:val="20"/>
          <w:szCs w:val="20"/>
        </w:rPr>
        <w:t>Equally important is the patient’s</w:t>
      </w:r>
      <w:r w:rsidRPr="000D7505">
        <w:rPr>
          <w:rFonts w:ascii="Arial" w:hAnsi="Arial" w:cs="Arial"/>
          <w:sz w:val="20"/>
          <w:szCs w:val="20"/>
        </w:rPr>
        <w:t xml:space="preserve"> </w:t>
      </w:r>
      <w:r w:rsidRPr="00751862">
        <w:rPr>
          <w:rFonts w:ascii="Arial" w:hAnsi="Arial" w:cs="Arial"/>
          <w:sz w:val="20"/>
          <w:szCs w:val="20"/>
        </w:rPr>
        <w:t>motivation and compliance, as consistent plaque control and adherence to professional</w:t>
      </w:r>
      <w:r w:rsidRPr="000D7505">
        <w:rPr>
          <w:rFonts w:ascii="Arial" w:hAnsi="Arial" w:cs="Arial"/>
          <w:sz w:val="20"/>
          <w:szCs w:val="20"/>
        </w:rPr>
        <w:t xml:space="preserve"> </w:t>
      </w:r>
      <w:r w:rsidRPr="00751862">
        <w:rPr>
          <w:rFonts w:ascii="Arial" w:hAnsi="Arial" w:cs="Arial"/>
          <w:sz w:val="20"/>
          <w:szCs w:val="20"/>
        </w:rPr>
        <w:t>maintenance schedules greatly influence treatment outcomes. Educating the patient about the</w:t>
      </w:r>
      <w:r w:rsidRPr="000D7505">
        <w:rPr>
          <w:rFonts w:ascii="Arial" w:hAnsi="Arial" w:cs="Arial"/>
          <w:sz w:val="20"/>
          <w:szCs w:val="20"/>
        </w:rPr>
        <w:t xml:space="preserve"> </w:t>
      </w:r>
      <w:r w:rsidRPr="00751862">
        <w:rPr>
          <w:rFonts w:ascii="Arial" w:hAnsi="Arial" w:cs="Arial"/>
          <w:sz w:val="20"/>
          <w:szCs w:val="20"/>
        </w:rPr>
        <w:t>relationship between medication use, oral health, and health of periodontal structures is vital</w:t>
      </w:r>
      <w:r w:rsidRPr="000D7505">
        <w:rPr>
          <w:rFonts w:ascii="Arial" w:hAnsi="Arial" w:cs="Arial"/>
          <w:sz w:val="20"/>
          <w:szCs w:val="20"/>
        </w:rPr>
        <w:t xml:space="preserve"> </w:t>
      </w:r>
      <w:r w:rsidRPr="00751862">
        <w:rPr>
          <w:rFonts w:ascii="Arial" w:hAnsi="Arial" w:cs="Arial"/>
          <w:sz w:val="20"/>
          <w:szCs w:val="20"/>
        </w:rPr>
        <w:t>for preventing recurrence and preserving gingival architecture</w:t>
      </w:r>
      <w:r w:rsidRPr="000D7505">
        <w:rPr>
          <w:rFonts w:ascii="Arial" w:hAnsi="Arial" w:cs="Arial"/>
          <w:sz w:val="20"/>
          <w:szCs w:val="20"/>
        </w:rPr>
        <w:t>.</w:t>
      </w:r>
    </w:p>
    <w:p w14:paraId="47F1239F" w14:textId="77777777" w:rsidR="00751862" w:rsidRPr="00751862" w:rsidRDefault="00751862" w:rsidP="000D7505">
      <w:pPr>
        <w:pStyle w:val="p1"/>
        <w:jc w:val="both"/>
        <w:rPr>
          <w:rFonts w:ascii="Arial" w:hAnsi="Arial" w:cs="Arial"/>
          <w:sz w:val="20"/>
          <w:szCs w:val="20"/>
        </w:rPr>
      </w:pPr>
    </w:p>
    <w:p w14:paraId="76455CD4" w14:textId="77777777" w:rsidR="00F11D96" w:rsidRDefault="00F11D96" w:rsidP="00751862">
      <w:pPr>
        <w:pStyle w:val="Body"/>
        <w:spacing w:after="0"/>
        <w:rPr>
          <w:rFonts w:ascii="Arial" w:hAnsi="Arial" w:cs="Arial"/>
        </w:rPr>
      </w:pPr>
    </w:p>
    <w:p w14:paraId="5D35BBD1" w14:textId="77777777" w:rsidR="00ED2A5C" w:rsidRDefault="00ED2A5C" w:rsidP="00441B6F">
      <w:pPr>
        <w:pStyle w:val="ReferHead"/>
        <w:spacing w:after="0"/>
        <w:jc w:val="both"/>
        <w:rPr>
          <w:rFonts w:ascii="Arial" w:hAnsi="Arial" w:cs="Arial"/>
          <w:bCs/>
        </w:rPr>
      </w:pPr>
    </w:p>
    <w:p w14:paraId="548DE96B" w14:textId="77777777" w:rsidR="00B14245" w:rsidRPr="00B14245" w:rsidRDefault="00B14245" w:rsidP="00B14245">
      <w:pPr>
        <w:spacing w:after="200" w:line="276" w:lineRule="auto"/>
        <w:rPr>
          <w:rFonts w:asciiTheme="minorHAnsi" w:eastAsiaTheme="minorHAnsi" w:hAnsiTheme="minorHAnsi" w:cstheme="minorBidi"/>
          <w:b/>
          <w:sz w:val="28"/>
          <w:szCs w:val="22"/>
        </w:rPr>
      </w:pPr>
      <w:r w:rsidRPr="00B14245">
        <w:rPr>
          <w:rFonts w:asciiTheme="minorHAnsi" w:eastAsiaTheme="minorHAnsi" w:hAnsiTheme="minorHAnsi" w:cstheme="minorBidi"/>
          <w:b/>
          <w:sz w:val="28"/>
          <w:szCs w:val="22"/>
          <w:highlight w:val="yellow"/>
        </w:rPr>
        <w:t>Consent</w:t>
      </w:r>
      <w:r w:rsidRPr="00B14245">
        <w:rPr>
          <w:rFonts w:asciiTheme="minorHAnsi" w:eastAsiaTheme="minorHAnsi" w:hAnsiTheme="minorHAnsi" w:cstheme="minorBidi"/>
          <w:b/>
          <w:sz w:val="28"/>
          <w:szCs w:val="22"/>
        </w:rPr>
        <w:t xml:space="preserve"> </w:t>
      </w:r>
    </w:p>
    <w:p w14:paraId="63408B14" w14:textId="77777777" w:rsidR="00B14245" w:rsidRPr="00B14245" w:rsidRDefault="00B14245" w:rsidP="00B14245">
      <w:pPr>
        <w:spacing w:after="200" w:line="276" w:lineRule="auto"/>
        <w:rPr>
          <w:rFonts w:asciiTheme="minorHAnsi" w:eastAsiaTheme="minorHAnsi" w:hAnsiTheme="minorHAnsi" w:cstheme="minorBidi"/>
          <w:sz w:val="22"/>
          <w:szCs w:val="22"/>
        </w:rPr>
      </w:pPr>
      <w:r w:rsidRPr="00B14245">
        <w:rPr>
          <w:rFonts w:asciiTheme="minorHAnsi" w:eastAsiaTheme="minorHAnsi" w:hAnsiTheme="minorHAnsi" w:cstheme="minorBidi"/>
          <w:sz w:val="22"/>
          <w:szCs w:val="22"/>
        </w:rPr>
        <w:t>As per international standards or university standards, patient(s) written consent has been collected and preserved by the author</w:t>
      </w:r>
      <w:r w:rsidRPr="00B14245">
        <w:rPr>
          <w:rFonts w:asciiTheme="minorHAnsi" w:eastAsiaTheme="minorHAnsi" w:hAnsiTheme="minorHAnsi" w:cstheme="minorBidi"/>
          <w:sz w:val="22"/>
          <w:szCs w:val="22"/>
          <w:highlight w:val="yellow"/>
        </w:rPr>
        <w:t>(s).</w:t>
      </w:r>
    </w:p>
    <w:p w14:paraId="1CD5F789" w14:textId="57860C46" w:rsidR="00B14245" w:rsidRDefault="00B14245" w:rsidP="00441B6F">
      <w:pPr>
        <w:pStyle w:val="ReferHead"/>
        <w:spacing w:after="0"/>
        <w:jc w:val="both"/>
        <w:rPr>
          <w:rFonts w:ascii="Arial" w:hAnsi="Arial" w:cs="Arial"/>
          <w:b w:val="0"/>
        </w:rPr>
      </w:pPr>
    </w:p>
    <w:p w14:paraId="4C91BA89" w14:textId="66DD079D" w:rsidR="00B14245" w:rsidRDefault="00B14245" w:rsidP="00441B6F">
      <w:pPr>
        <w:pStyle w:val="ReferHead"/>
        <w:spacing w:after="0"/>
        <w:jc w:val="both"/>
        <w:rPr>
          <w:rFonts w:ascii="Arial" w:hAnsi="Arial" w:cs="Arial"/>
          <w:b w:val="0"/>
        </w:rPr>
      </w:pPr>
    </w:p>
    <w:p w14:paraId="68581B17" w14:textId="77777777" w:rsidR="00B14245" w:rsidRPr="00B14245" w:rsidRDefault="00B14245" w:rsidP="00B14245">
      <w:pPr>
        <w:spacing w:after="200" w:line="276" w:lineRule="auto"/>
        <w:rPr>
          <w:rFonts w:asciiTheme="minorHAnsi" w:eastAsiaTheme="minorHAnsi" w:hAnsiTheme="minorHAnsi" w:cstheme="minorBidi"/>
          <w:b/>
          <w:sz w:val="28"/>
          <w:szCs w:val="22"/>
        </w:rPr>
      </w:pPr>
      <w:r w:rsidRPr="00B14245">
        <w:rPr>
          <w:rFonts w:asciiTheme="minorHAnsi" w:eastAsiaTheme="minorHAnsi" w:hAnsiTheme="minorHAnsi" w:cstheme="minorBidi"/>
          <w:b/>
          <w:sz w:val="28"/>
          <w:szCs w:val="22"/>
        </w:rPr>
        <w:t>Ethical Approval:</w:t>
      </w:r>
    </w:p>
    <w:p w14:paraId="17142324" w14:textId="77777777" w:rsidR="00B14245" w:rsidRPr="00B14245" w:rsidRDefault="00B14245" w:rsidP="00B14245">
      <w:pPr>
        <w:spacing w:after="200" w:line="276" w:lineRule="auto"/>
        <w:rPr>
          <w:rFonts w:asciiTheme="minorHAnsi" w:eastAsiaTheme="minorEastAsia" w:hAnsiTheme="minorHAnsi" w:cstheme="minorBidi"/>
          <w:sz w:val="22"/>
          <w:szCs w:val="22"/>
        </w:rPr>
      </w:pPr>
    </w:p>
    <w:p w14:paraId="7A94D120" w14:textId="3A27A98B" w:rsidR="00B14245" w:rsidRDefault="00B14245" w:rsidP="00B14245">
      <w:pPr>
        <w:spacing w:after="200" w:line="276" w:lineRule="auto"/>
        <w:rPr>
          <w:rFonts w:asciiTheme="minorHAnsi" w:eastAsiaTheme="minorEastAsia" w:hAnsiTheme="minorHAnsi" w:cstheme="minorBidi"/>
          <w:sz w:val="22"/>
          <w:szCs w:val="22"/>
        </w:rPr>
      </w:pPr>
      <w:r w:rsidRPr="00B14245">
        <w:rPr>
          <w:rFonts w:asciiTheme="minorHAnsi" w:eastAsiaTheme="minorEastAsia" w:hAnsiTheme="minorHAnsi" w:cstheme="minorBidi"/>
          <w:sz w:val="22"/>
          <w:szCs w:val="22"/>
        </w:rPr>
        <w:t>As per international standards or university standards written ethical approval has been collected and preserved by the author(s).</w:t>
      </w:r>
    </w:p>
    <w:p w14:paraId="1EA00926" w14:textId="77777777" w:rsidR="00B14245" w:rsidRPr="00B14245" w:rsidRDefault="00B14245" w:rsidP="00B14245">
      <w:pPr>
        <w:spacing w:after="200" w:line="276" w:lineRule="auto"/>
        <w:rPr>
          <w:rFonts w:asciiTheme="minorHAnsi" w:eastAsiaTheme="minorEastAsia" w:hAnsiTheme="minorHAnsi" w:cstheme="minorBidi"/>
          <w:sz w:val="22"/>
          <w:szCs w:val="22"/>
        </w:rPr>
      </w:pPr>
    </w:p>
    <w:p w14:paraId="487A07D2" w14:textId="77777777" w:rsidR="00B14245" w:rsidRPr="00ED2A5C" w:rsidRDefault="00B14245" w:rsidP="00441B6F">
      <w:pPr>
        <w:pStyle w:val="ReferHead"/>
        <w:spacing w:after="0"/>
        <w:jc w:val="both"/>
        <w:rPr>
          <w:rFonts w:ascii="Arial" w:hAnsi="Arial" w:cs="Arial"/>
          <w:b w:val="0"/>
        </w:rPr>
      </w:pPr>
    </w:p>
    <w:p w14:paraId="474881BF" w14:textId="77777777" w:rsidR="00295BCB" w:rsidRPr="00295BCB" w:rsidRDefault="00295BCB" w:rsidP="00295BCB">
      <w:pPr>
        <w:keepNext/>
        <w:keepLines/>
        <w:spacing w:before="120" w:after="120" w:line="360" w:lineRule="auto"/>
        <w:jc w:val="both"/>
        <w:outlineLvl w:val="1"/>
        <w:rPr>
          <w:rFonts w:ascii="Times New Roman" w:hAnsi="Times New Roman"/>
          <w:bCs/>
          <w:sz w:val="24"/>
          <w:szCs w:val="24"/>
          <w:highlight w:val="yellow"/>
          <w:lang w:val="en-GB" w:eastAsia="en-IN"/>
        </w:rPr>
      </w:pPr>
      <w:bookmarkStart w:id="1" w:name="_Hlk218867759"/>
      <w:r w:rsidRPr="00295BCB">
        <w:rPr>
          <w:rFonts w:ascii="Times New Roman" w:hAnsi="Times New Roman"/>
          <w:bCs/>
          <w:sz w:val="24"/>
          <w:szCs w:val="24"/>
          <w:highlight w:val="yellow"/>
          <w:lang w:val="en-GB" w:eastAsia="en-IN"/>
        </w:rPr>
        <w:t>Disclaimer (Artificial intelligence)</w:t>
      </w:r>
    </w:p>
    <w:p w14:paraId="43A6636A" w14:textId="77777777" w:rsidR="00295BCB" w:rsidRPr="00295BCB" w:rsidRDefault="00295BCB" w:rsidP="00295BCB">
      <w:pPr>
        <w:keepNext/>
        <w:keepLines/>
        <w:spacing w:before="120" w:after="120" w:line="360" w:lineRule="auto"/>
        <w:jc w:val="both"/>
        <w:outlineLvl w:val="1"/>
        <w:rPr>
          <w:rFonts w:ascii="Times New Roman" w:hAnsi="Times New Roman"/>
          <w:bCs/>
          <w:sz w:val="24"/>
          <w:szCs w:val="24"/>
          <w:lang w:val="en-GB" w:eastAsia="en-IN"/>
        </w:rPr>
      </w:pPr>
      <w:r w:rsidRPr="00295BCB">
        <w:rPr>
          <w:rFonts w:ascii="Times New Roman" w:hAnsi="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295BCB">
        <w:rPr>
          <w:rFonts w:ascii="Times New Roman" w:hAnsi="Times New Roman"/>
          <w:bCs/>
          <w:sz w:val="24"/>
          <w:szCs w:val="24"/>
          <w:lang w:val="en-GB" w:eastAsia="en-IN"/>
        </w:rPr>
        <w:t xml:space="preserve"> </w:t>
      </w:r>
    </w:p>
    <w:bookmarkEnd w:id="1"/>
    <w:p w14:paraId="30005C57" w14:textId="11C91D08" w:rsidR="002B685A" w:rsidRPr="002B685A" w:rsidRDefault="002B685A" w:rsidP="00441B6F">
      <w:pPr>
        <w:pStyle w:val="ReferHead"/>
        <w:spacing w:after="0"/>
        <w:jc w:val="both"/>
        <w:rPr>
          <w:rFonts w:ascii="Arial" w:hAnsi="Arial" w:cs="Arial"/>
          <w:bCs/>
        </w:rPr>
      </w:pPr>
    </w:p>
    <w:p w14:paraId="2B703BC0" w14:textId="77777777" w:rsidR="00860000" w:rsidRDefault="00860000" w:rsidP="00441B6F">
      <w:pPr>
        <w:pStyle w:val="ReferHead"/>
        <w:spacing w:after="0"/>
        <w:jc w:val="both"/>
        <w:rPr>
          <w:rFonts w:ascii="Arial" w:hAnsi="Arial" w:cs="Arial"/>
        </w:rPr>
      </w:pPr>
    </w:p>
    <w:p w14:paraId="0BB1101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F10EA35" w14:textId="77777777" w:rsidR="00ED2A5C" w:rsidRDefault="00ED2A5C" w:rsidP="00441B6F">
      <w:pPr>
        <w:pStyle w:val="ReferHead"/>
        <w:spacing w:after="0"/>
        <w:jc w:val="both"/>
        <w:rPr>
          <w:rFonts w:ascii="Arial" w:hAnsi="Arial" w:cs="Arial"/>
        </w:rPr>
      </w:pPr>
    </w:p>
    <w:p w14:paraId="26C32CFF" w14:textId="104D63CF" w:rsidR="00ED2A5C" w:rsidRPr="00ED2A5C" w:rsidRDefault="00ED2A5C" w:rsidP="00ED2A5C">
      <w:pPr>
        <w:pStyle w:val="Body"/>
        <w:numPr>
          <w:ilvl w:val="0"/>
          <w:numId w:val="32"/>
        </w:numPr>
        <w:spacing w:line="360" w:lineRule="auto"/>
        <w:rPr>
          <w:rFonts w:ascii="Arial" w:hAnsi="Arial" w:cs="Arial"/>
        </w:rPr>
      </w:pPr>
      <w:r w:rsidRPr="00ED2A5C">
        <w:rPr>
          <w:rFonts w:ascii="Arial" w:hAnsi="Arial" w:cs="Arial"/>
        </w:rPr>
        <w:t xml:space="preserve">Informational Paper: Drug-Associated Gingival Enlargement. J </w:t>
      </w:r>
      <w:proofErr w:type="spellStart"/>
      <w:r w:rsidRPr="00ED2A5C">
        <w:rPr>
          <w:rFonts w:ascii="Arial" w:hAnsi="Arial" w:cs="Arial"/>
        </w:rPr>
        <w:t>Periodontol</w:t>
      </w:r>
      <w:proofErr w:type="spellEnd"/>
      <w:r w:rsidRPr="00ED2A5C">
        <w:rPr>
          <w:rFonts w:ascii="Arial" w:hAnsi="Arial" w:cs="Arial"/>
        </w:rPr>
        <w:t>. 2004 Oct;75(10):1424-31. </w:t>
      </w:r>
    </w:p>
    <w:p w14:paraId="28A1F3E7" w14:textId="26A62023" w:rsidR="00ED2A5C" w:rsidRPr="00ED2A5C" w:rsidRDefault="00ED2A5C" w:rsidP="00ED2A5C">
      <w:pPr>
        <w:pStyle w:val="Body"/>
        <w:numPr>
          <w:ilvl w:val="0"/>
          <w:numId w:val="32"/>
        </w:numPr>
        <w:spacing w:line="360" w:lineRule="auto"/>
        <w:rPr>
          <w:rFonts w:ascii="Arial" w:hAnsi="Arial" w:cs="Arial"/>
        </w:rPr>
      </w:pPr>
      <w:r w:rsidRPr="00ED2A5C">
        <w:rPr>
          <w:rFonts w:ascii="Arial" w:hAnsi="Arial" w:cs="Arial"/>
        </w:rPr>
        <w:t>Bakshi SS, Choudhary M, Agrawal A, Chakole S. Drug-Induced Gingival Hyperplasia in a Hypertensive Patient: A Case Report. Cureus. 2023;15(2</w:t>
      </w:r>
      <w:proofErr w:type="gramStart"/>
      <w:r w:rsidRPr="00ED2A5C">
        <w:rPr>
          <w:rFonts w:ascii="Arial" w:hAnsi="Arial" w:cs="Arial"/>
        </w:rPr>
        <w:t>):e</w:t>
      </w:r>
      <w:proofErr w:type="gramEnd"/>
      <w:r w:rsidRPr="00ED2A5C">
        <w:rPr>
          <w:rFonts w:ascii="Arial" w:hAnsi="Arial" w:cs="Arial"/>
        </w:rPr>
        <w:t>34558.</w:t>
      </w:r>
    </w:p>
    <w:p w14:paraId="6816A069" w14:textId="4D1B6AAA" w:rsidR="00ED2A5C" w:rsidRPr="00ED2A5C" w:rsidRDefault="00ED2A5C" w:rsidP="00ED2A5C">
      <w:pPr>
        <w:pStyle w:val="Body"/>
        <w:numPr>
          <w:ilvl w:val="0"/>
          <w:numId w:val="32"/>
        </w:numPr>
        <w:spacing w:line="360" w:lineRule="auto"/>
        <w:rPr>
          <w:rFonts w:ascii="Arial" w:hAnsi="Arial" w:cs="Arial"/>
        </w:rPr>
      </w:pPr>
      <w:r w:rsidRPr="00ED2A5C">
        <w:rPr>
          <w:rFonts w:ascii="Arial" w:hAnsi="Arial" w:cs="Arial"/>
        </w:rPr>
        <w:t xml:space="preserve">Sunil PM, </w:t>
      </w:r>
      <w:proofErr w:type="spellStart"/>
      <w:r w:rsidRPr="00ED2A5C">
        <w:rPr>
          <w:rFonts w:ascii="Arial" w:hAnsi="Arial" w:cs="Arial"/>
        </w:rPr>
        <w:t>Nalluswami</w:t>
      </w:r>
      <w:proofErr w:type="spellEnd"/>
      <w:r w:rsidRPr="00ED2A5C">
        <w:rPr>
          <w:rFonts w:ascii="Arial" w:hAnsi="Arial" w:cs="Arial"/>
        </w:rPr>
        <w:t xml:space="preserve"> JS, </w:t>
      </w:r>
      <w:proofErr w:type="spellStart"/>
      <w:r w:rsidRPr="00ED2A5C">
        <w:rPr>
          <w:rFonts w:ascii="Arial" w:hAnsi="Arial" w:cs="Arial"/>
        </w:rPr>
        <w:t>Sanghar</w:t>
      </w:r>
      <w:proofErr w:type="spellEnd"/>
      <w:r w:rsidRPr="00ED2A5C">
        <w:rPr>
          <w:rFonts w:ascii="Arial" w:hAnsi="Arial" w:cs="Arial"/>
        </w:rPr>
        <w:t xml:space="preserve"> SJ, Joseph I. Nifedipine-induced gingival enlargement: Correlation with dose and oral hygiene. J Pharm </w:t>
      </w:r>
      <w:proofErr w:type="spellStart"/>
      <w:r w:rsidRPr="00ED2A5C">
        <w:rPr>
          <w:rFonts w:ascii="Arial" w:hAnsi="Arial" w:cs="Arial"/>
        </w:rPr>
        <w:t>Bioall</w:t>
      </w:r>
      <w:proofErr w:type="spellEnd"/>
      <w:r w:rsidRPr="00ED2A5C">
        <w:rPr>
          <w:rFonts w:ascii="Arial" w:hAnsi="Arial" w:cs="Arial"/>
        </w:rPr>
        <w:t xml:space="preserve"> Sci </w:t>
      </w:r>
      <w:proofErr w:type="gramStart"/>
      <w:r w:rsidRPr="00ED2A5C">
        <w:rPr>
          <w:rFonts w:ascii="Arial" w:hAnsi="Arial" w:cs="Arial"/>
        </w:rPr>
        <w:t>2012;4:191</w:t>
      </w:r>
      <w:proofErr w:type="gramEnd"/>
      <w:r w:rsidRPr="00ED2A5C">
        <w:rPr>
          <w:rFonts w:ascii="Arial" w:hAnsi="Arial" w:cs="Arial"/>
        </w:rPr>
        <w:t>-</w:t>
      </w:r>
      <w:r w:rsidR="00C87671">
        <w:rPr>
          <w:rFonts w:ascii="Arial" w:hAnsi="Arial" w:cs="Arial"/>
        </w:rPr>
        <w:t>1</w:t>
      </w:r>
      <w:r w:rsidRPr="00ED2A5C">
        <w:rPr>
          <w:rFonts w:ascii="Arial" w:hAnsi="Arial" w:cs="Arial"/>
        </w:rPr>
        <w:t>93.</w:t>
      </w:r>
    </w:p>
    <w:p w14:paraId="4714BE86" w14:textId="4A47DEF4" w:rsidR="00ED2A5C" w:rsidRPr="00ED2A5C" w:rsidRDefault="00ED2A5C" w:rsidP="00ED2A5C">
      <w:pPr>
        <w:pStyle w:val="Body"/>
        <w:numPr>
          <w:ilvl w:val="0"/>
          <w:numId w:val="32"/>
        </w:numPr>
        <w:spacing w:line="360" w:lineRule="auto"/>
        <w:rPr>
          <w:rFonts w:ascii="Arial" w:hAnsi="Arial" w:cs="Arial"/>
        </w:rPr>
      </w:pPr>
      <w:r w:rsidRPr="00ED2A5C">
        <w:rPr>
          <w:rFonts w:ascii="Arial" w:hAnsi="Arial" w:cs="Arial"/>
        </w:rPr>
        <w:t>Mavrogiannis M, Ellis JS, Thomason JM, Seymour RA. The management of drug- induced gingival overgrowth. J Clin Periodontol. 2006 Jun;33(6):434-</w:t>
      </w:r>
      <w:r w:rsidR="00C87671">
        <w:rPr>
          <w:rFonts w:ascii="Arial" w:hAnsi="Arial" w:cs="Arial"/>
        </w:rPr>
        <w:t>4</w:t>
      </w:r>
      <w:r w:rsidRPr="00ED2A5C">
        <w:rPr>
          <w:rFonts w:ascii="Arial" w:hAnsi="Arial" w:cs="Arial"/>
        </w:rPr>
        <w:t>39.</w:t>
      </w:r>
    </w:p>
    <w:p w14:paraId="01DE077B" w14:textId="196A081F" w:rsidR="00ED2A5C" w:rsidRPr="00ED2A5C" w:rsidRDefault="00ED2A5C" w:rsidP="00ED2A5C">
      <w:pPr>
        <w:pStyle w:val="Body"/>
        <w:numPr>
          <w:ilvl w:val="0"/>
          <w:numId w:val="32"/>
        </w:numPr>
        <w:spacing w:line="360" w:lineRule="auto"/>
        <w:rPr>
          <w:rFonts w:ascii="Arial" w:hAnsi="Arial" w:cs="Arial"/>
        </w:rPr>
      </w:pPr>
      <w:proofErr w:type="spellStart"/>
      <w:r w:rsidRPr="00ED2A5C">
        <w:rPr>
          <w:rFonts w:ascii="Arial" w:hAnsi="Arial" w:cs="Arial"/>
        </w:rPr>
        <w:t>Eslami</w:t>
      </w:r>
      <w:proofErr w:type="spellEnd"/>
      <w:r w:rsidRPr="00ED2A5C">
        <w:rPr>
          <w:rFonts w:ascii="Arial" w:hAnsi="Arial" w:cs="Arial"/>
        </w:rPr>
        <w:t xml:space="preserve"> M, </w:t>
      </w:r>
      <w:proofErr w:type="spellStart"/>
      <w:r w:rsidRPr="00ED2A5C">
        <w:rPr>
          <w:rFonts w:ascii="Arial" w:hAnsi="Arial" w:cs="Arial"/>
        </w:rPr>
        <w:t>Baghaii</w:t>
      </w:r>
      <w:proofErr w:type="spellEnd"/>
      <w:r w:rsidRPr="00ED2A5C">
        <w:rPr>
          <w:rFonts w:ascii="Arial" w:hAnsi="Arial" w:cs="Arial"/>
        </w:rPr>
        <w:t xml:space="preserve"> F, </w:t>
      </w:r>
      <w:proofErr w:type="spellStart"/>
      <w:r w:rsidRPr="00ED2A5C">
        <w:rPr>
          <w:rFonts w:ascii="Arial" w:hAnsi="Arial" w:cs="Arial"/>
        </w:rPr>
        <w:t>Jalayer</w:t>
      </w:r>
      <w:proofErr w:type="spellEnd"/>
      <w:r w:rsidRPr="00ED2A5C">
        <w:rPr>
          <w:rFonts w:ascii="Arial" w:hAnsi="Arial" w:cs="Arial"/>
        </w:rPr>
        <w:t xml:space="preserve"> </w:t>
      </w:r>
      <w:proofErr w:type="spellStart"/>
      <w:r w:rsidRPr="00ED2A5C">
        <w:rPr>
          <w:rFonts w:ascii="Arial" w:hAnsi="Arial" w:cs="Arial"/>
        </w:rPr>
        <w:t>Nadery</w:t>
      </w:r>
      <w:proofErr w:type="spellEnd"/>
      <w:r w:rsidRPr="00ED2A5C">
        <w:rPr>
          <w:rFonts w:ascii="Arial" w:hAnsi="Arial" w:cs="Arial"/>
        </w:rPr>
        <w:t xml:space="preserve"> N. An Investigation on gingival hyperplasia induced by nifedipine. J Dent (Tehran) 2004:1:33-37.</w:t>
      </w:r>
    </w:p>
    <w:p w14:paraId="3DD1A345" w14:textId="13C65439" w:rsidR="00ED2A5C" w:rsidRPr="00ED2A5C" w:rsidRDefault="00ED2A5C" w:rsidP="00ED2A5C">
      <w:pPr>
        <w:pStyle w:val="Body"/>
        <w:numPr>
          <w:ilvl w:val="0"/>
          <w:numId w:val="32"/>
        </w:numPr>
        <w:spacing w:line="360" w:lineRule="auto"/>
        <w:rPr>
          <w:rFonts w:ascii="Arial" w:hAnsi="Arial" w:cs="Arial"/>
        </w:rPr>
      </w:pPr>
      <w:proofErr w:type="spellStart"/>
      <w:r w:rsidRPr="00ED2A5C">
        <w:rPr>
          <w:rFonts w:ascii="Arial" w:hAnsi="Arial" w:cs="Arial"/>
        </w:rPr>
        <w:t>Livada</w:t>
      </w:r>
      <w:proofErr w:type="spellEnd"/>
      <w:r w:rsidRPr="00ED2A5C">
        <w:rPr>
          <w:rFonts w:ascii="Arial" w:hAnsi="Arial" w:cs="Arial"/>
        </w:rPr>
        <w:t xml:space="preserve"> R, </w:t>
      </w:r>
      <w:proofErr w:type="spellStart"/>
      <w:r w:rsidRPr="00ED2A5C">
        <w:rPr>
          <w:rFonts w:ascii="Arial" w:hAnsi="Arial" w:cs="Arial"/>
        </w:rPr>
        <w:t>Shiloah</w:t>
      </w:r>
      <w:proofErr w:type="spellEnd"/>
      <w:r w:rsidRPr="00ED2A5C">
        <w:rPr>
          <w:rFonts w:ascii="Arial" w:hAnsi="Arial" w:cs="Arial"/>
        </w:rPr>
        <w:t xml:space="preserve"> J. Calcium channel blocker-induced gingival enlargement. J Hum Hypertens.2014:28(1):10-14.</w:t>
      </w:r>
    </w:p>
    <w:p w14:paraId="2E7160A4" w14:textId="1A22B407" w:rsidR="00ED2A5C" w:rsidRDefault="00ED2A5C" w:rsidP="00ED2A5C">
      <w:pPr>
        <w:pStyle w:val="Body"/>
        <w:numPr>
          <w:ilvl w:val="0"/>
          <w:numId w:val="32"/>
        </w:numPr>
        <w:spacing w:line="360" w:lineRule="auto"/>
        <w:rPr>
          <w:rFonts w:ascii="Arial" w:hAnsi="Arial" w:cs="Arial"/>
        </w:rPr>
      </w:pPr>
      <w:r w:rsidRPr="00ED2A5C">
        <w:rPr>
          <w:rFonts w:ascii="Arial" w:hAnsi="Arial" w:cs="Arial"/>
        </w:rPr>
        <w:t xml:space="preserve">Lederman D, </w:t>
      </w:r>
      <w:proofErr w:type="spellStart"/>
      <w:r w:rsidRPr="00ED2A5C">
        <w:rPr>
          <w:rFonts w:ascii="Arial" w:hAnsi="Arial" w:cs="Arial"/>
        </w:rPr>
        <w:t>Lumerman</w:t>
      </w:r>
      <w:proofErr w:type="spellEnd"/>
      <w:r w:rsidRPr="00ED2A5C">
        <w:rPr>
          <w:rFonts w:ascii="Arial" w:hAnsi="Arial" w:cs="Arial"/>
        </w:rPr>
        <w:t xml:space="preserve"> H, Reuben S, Freedman PD. Gingival hyperplasia associated with nifedipine therapy. Report of a case. Oral Surg Oral Med Oral Pathol.1984;57(6):620-</w:t>
      </w:r>
      <w:r w:rsidR="00C87671">
        <w:rPr>
          <w:rFonts w:ascii="Arial" w:hAnsi="Arial" w:cs="Arial"/>
        </w:rPr>
        <w:t>6</w:t>
      </w:r>
      <w:r w:rsidRPr="00ED2A5C">
        <w:rPr>
          <w:rFonts w:ascii="Arial" w:hAnsi="Arial" w:cs="Arial"/>
        </w:rPr>
        <w:t>22.</w:t>
      </w:r>
    </w:p>
    <w:p w14:paraId="261F2AD6" w14:textId="03CB802F" w:rsidR="00F969E2" w:rsidRPr="00ED2A5C" w:rsidRDefault="00F969E2" w:rsidP="00ED2A5C">
      <w:pPr>
        <w:pStyle w:val="Body"/>
        <w:numPr>
          <w:ilvl w:val="0"/>
          <w:numId w:val="32"/>
        </w:numPr>
        <w:spacing w:line="360" w:lineRule="auto"/>
        <w:rPr>
          <w:rFonts w:ascii="Arial" w:hAnsi="Arial" w:cs="Arial"/>
        </w:rPr>
      </w:pPr>
      <w:proofErr w:type="spellStart"/>
      <w:r w:rsidRPr="00F969E2">
        <w:rPr>
          <w:rFonts w:ascii="Arial" w:hAnsi="Arial" w:cs="Arial"/>
        </w:rPr>
        <w:t>Alanija</w:t>
      </w:r>
      <w:proofErr w:type="spellEnd"/>
      <w:r w:rsidRPr="00F969E2">
        <w:rPr>
          <w:rFonts w:ascii="Arial" w:hAnsi="Arial" w:cs="Arial"/>
        </w:rPr>
        <w:t xml:space="preserve"> L, Chandran Selvaraj RS, Ramamurthy S, Ulaganathan A, C V. The Management of Drug-Induced Gingival Enlargement in a Patient </w:t>
      </w:r>
      <w:proofErr w:type="gramStart"/>
      <w:r w:rsidRPr="00F969E2">
        <w:rPr>
          <w:rFonts w:ascii="Arial" w:hAnsi="Arial" w:cs="Arial"/>
        </w:rPr>
        <w:t>With</w:t>
      </w:r>
      <w:proofErr w:type="gramEnd"/>
      <w:r w:rsidRPr="00F969E2">
        <w:rPr>
          <w:rFonts w:ascii="Arial" w:hAnsi="Arial" w:cs="Arial"/>
        </w:rPr>
        <w:t xml:space="preserve"> Preexisting Periodontitis. Cureus. 2024 Jan 12;16(1</w:t>
      </w:r>
      <w:proofErr w:type="gramStart"/>
      <w:r w:rsidRPr="00F969E2">
        <w:rPr>
          <w:rFonts w:ascii="Arial" w:hAnsi="Arial" w:cs="Arial"/>
        </w:rPr>
        <w:t>):e</w:t>
      </w:r>
      <w:proofErr w:type="gramEnd"/>
      <w:r w:rsidRPr="00F969E2">
        <w:rPr>
          <w:rFonts w:ascii="Arial" w:hAnsi="Arial" w:cs="Arial"/>
        </w:rPr>
        <w:t xml:space="preserve">52190. </w:t>
      </w:r>
    </w:p>
    <w:p w14:paraId="4E954480" w14:textId="5FD390EA" w:rsidR="00ED2A5C" w:rsidRPr="00ED2A5C" w:rsidRDefault="00ED2A5C" w:rsidP="00ED2A5C">
      <w:pPr>
        <w:pStyle w:val="Body"/>
        <w:numPr>
          <w:ilvl w:val="0"/>
          <w:numId w:val="32"/>
        </w:numPr>
        <w:spacing w:line="360" w:lineRule="auto"/>
        <w:rPr>
          <w:rFonts w:ascii="Arial" w:hAnsi="Arial" w:cs="Arial"/>
        </w:rPr>
      </w:pPr>
      <w:r w:rsidRPr="00ED2A5C">
        <w:rPr>
          <w:rFonts w:ascii="Arial" w:hAnsi="Arial" w:cs="Arial"/>
        </w:rPr>
        <w:t xml:space="preserve">Bharti V, Bansal C. Drug-induced gingival overgrowth: The nemesis of gingiva </w:t>
      </w:r>
      <w:proofErr w:type="spellStart"/>
      <w:r w:rsidRPr="00ED2A5C">
        <w:rPr>
          <w:rFonts w:ascii="Arial" w:hAnsi="Arial" w:cs="Arial"/>
        </w:rPr>
        <w:t>unravelled</w:t>
      </w:r>
      <w:proofErr w:type="spellEnd"/>
      <w:r w:rsidRPr="00ED2A5C">
        <w:rPr>
          <w:rFonts w:ascii="Arial" w:hAnsi="Arial" w:cs="Arial"/>
        </w:rPr>
        <w:t xml:space="preserve">. J Indian Soc </w:t>
      </w:r>
      <w:proofErr w:type="spellStart"/>
      <w:r w:rsidRPr="00ED2A5C">
        <w:rPr>
          <w:rFonts w:ascii="Arial" w:hAnsi="Arial" w:cs="Arial"/>
        </w:rPr>
        <w:t>Periodontol</w:t>
      </w:r>
      <w:proofErr w:type="spellEnd"/>
      <w:r w:rsidRPr="00ED2A5C">
        <w:rPr>
          <w:rFonts w:ascii="Arial" w:hAnsi="Arial" w:cs="Arial"/>
        </w:rPr>
        <w:t>. 2013;17(2):182-</w:t>
      </w:r>
      <w:r w:rsidR="00C87671">
        <w:rPr>
          <w:rFonts w:ascii="Arial" w:hAnsi="Arial" w:cs="Arial"/>
        </w:rPr>
        <w:t>1</w:t>
      </w:r>
      <w:r w:rsidRPr="00ED2A5C">
        <w:rPr>
          <w:rFonts w:ascii="Arial" w:hAnsi="Arial" w:cs="Arial"/>
        </w:rPr>
        <w:t>87.</w:t>
      </w:r>
    </w:p>
    <w:p w14:paraId="4F71C2EF" w14:textId="4BE492D3" w:rsidR="00ED2A5C" w:rsidRPr="00ED2A5C" w:rsidRDefault="00ED2A5C" w:rsidP="00ED2A5C">
      <w:pPr>
        <w:pStyle w:val="Body"/>
        <w:numPr>
          <w:ilvl w:val="0"/>
          <w:numId w:val="32"/>
        </w:numPr>
        <w:spacing w:line="360" w:lineRule="auto"/>
        <w:rPr>
          <w:rFonts w:ascii="Arial" w:hAnsi="Arial" w:cs="Arial"/>
        </w:rPr>
      </w:pPr>
      <w:r w:rsidRPr="00ED2A5C">
        <w:rPr>
          <w:rFonts w:ascii="Arial" w:hAnsi="Arial" w:cs="Arial"/>
        </w:rPr>
        <w:t>Samudrala P, Chava VK, Chandana TS, Suresh R. Drug-induced gingival overgrowth: A critical insight into case reports from over two decades. J Indian Soc Periodontol.2016;20(5):496-</w:t>
      </w:r>
      <w:r w:rsidR="00C87671">
        <w:rPr>
          <w:rFonts w:ascii="Arial" w:hAnsi="Arial" w:cs="Arial"/>
        </w:rPr>
        <w:t>5</w:t>
      </w:r>
      <w:r w:rsidRPr="00ED2A5C">
        <w:rPr>
          <w:rFonts w:ascii="Arial" w:hAnsi="Arial" w:cs="Arial"/>
        </w:rPr>
        <w:t>02.</w:t>
      </w:r>
    </w:p>
    <w:p w14:paraId="5A501BE5" w14:textId="5B7F930C" w:rsidR="00ED2A5C" w:rsidRPr="00ED2A5C" w:rsidRDefault="00ED2A5C" w:rsidP="00ED2A5C">
      <w:pPr>
        <w:pStyle w:val="Body"/>
        <w:numPr>
          <w:ilvl w:val="0"/>
          <w:numId w:val="32"/>
        </w:numPr>
        <w:spacing w:line="360" w:lineRule="auto"/>
        <w:rPr>
          <w:rFonts w:ascii="Arial" w:hAnsi="Arial" w:cs="Arial"/>
        </w:rPr>
      </w:pPr>
      <w:r w:rsidRPr="00ED2A5C">
        <w:rPr>
          <w:rFonts w:ascii="Arial" w:hAnsi="Arial" w:cs="Arial"/>
        </w:rPr>
        <w:t>Barclay S, Thomason JM, Idle JR, Seymour RA. The incidence and severity of nifedipine-induced gingival overgrowth. J Clin Periodontol. 1992; 19(5): 311–</w:t>
      </w:r>
      <w:r w:rsidR="00C87671">
        <w:rPr>
          <w:rFonts w:ascii="Arial" w:hAnsi="Arial" w:cs="Arial"/>
        </w:rPr>
        <w:t>3</w:t>
      </w:r>
      <w:r w:rsidRPr="00ED2A5C">
        <w:rPr>
          <w:rFonts w:ascii="Arial" w:hAnsi="Arial" w:cs="Arial"/>
        </w:rPr>
        <w:t>14.</w:t>
      </w:r>
    </w:p>
    <w:p w14:paraId="4E4B0E8F" w14:textId="48C2A3A7" w:rsidR="00ED2A5C" w:rsidRPr="00ED2A5C" w:rsidRDefault="00ED2A5C" w:rsidP="00ED2A5C">
      <w:pPr>
        <w:pStyle w:val="Body"/>
        <w:numPr>
          <w:ilvl w:val="0"/>
          <w:numId w:val="32"/>
        </w:numPr>
        <w:spacing w:line="360" w:lineRule="auto"/>
        <w:rPr>
          <w:rFonts w:ascii="Arial" w:hAnsi="Arial" w:cs="Arial"/>
        </w:rPr>
      </w:pPr>
      <w:r w:rsidRPr="00ED2A5C">
        <w:rPr>
          <w:rFonts w:ascii="Arial" w:hAnsi="Arial" w:cs="Arial"/>
        </w:rPr>
        <w:t xml:space="preserve">Johnson RB, Zebrowski EJ, Dai X. Synergistic enhancement of collagenous protein synthesis by human gingival fibroblasts exposed to nifedipine and interleukin-1-beta in </w:t>
      </w:r>
      <w:proofErr w:type="spellStart"/>
      <w:r w:rsidRPr="00ED2A5C">
        <w:rPr>
          <w:rFonts w:ascii="Arial" w:hAnsi="Arial" w:cs="Arial"/>
        </w:rPr>
        <w:t>vitro.J</w:t>
      </w:r>
      <w:proofErr w:type="spellEnd"/>
      <w:r w:rsidRPr="00ED2A5C">
        <w:rPr>
          <w:rFonts w:ascii="Arial" w:hAnsi="Arial" w:cs="Arial"/>
        </w:rPr>
        <w:t xml:space="preserve"> Oral </w:t>
      </w:r>
      <w:proofErr w:type="spellStart"/>
      <w:r w:rsidRPr="00ED2A5C">
        <w:rPr>
          <w:rFonts w:ascii="Arial" w:hAnsi="Arial" w:cs="Arial"/>
        </w:rPr>
        <w:t>Pathol</w:t>
      </w:r>
      <w:proofErr w:type="spellEnd"/>
      <w:r w:rsidRPr="00ED2A5C">
        <w:rPr>
          <w:rFonts w:ascii="Arial" w:hAnsi="Arial" w:cs="Arial"/>
        </w:rPr>
        <w:t xml:space="preserve"> Med. 2000;29(1):8-12.</w:t>
      </w:r>
    </w:p>
    <w:p w14:paraId="5FE3AFC5" w14:textId="77777777" w:rsidR="00606024" w:rsidRDefault="00ED2A5C" w:rsidP="00606024">
      <w:pPr>
        <w:pStyle w:val="Body"/>
        <w:numPr>
          <w:ilvl w:val="0"/>
          <w:numId w:val="32"/>
        </w:numPr>
        <w:spacing w:line="360" w:lineRule="auto"/>
        <w:rPr>
          <w:rFonts w:ascii="Arial" w:hAnsi="Arial" w:cs="Arial"/>
        </w:rPr>
      </w:pPr>
      <w:proofErr w:type="spellStart"/>
      <w:r w:rsidRPr="00ED2A5C">
        <w:rPr>
          <w:rFonts w:ascii="Arial" w:hAnsi="Arial" w:cs="Arial"/>
        </w:rPr>
        <w:t>Pernu</w:t>
      </w:r>
      <w:proofErr w:type="spellEnd"/>
      <w:r w:rsidRPr="00ED2A5C">
        <w:rPr>
          <w:rFonts w:ascii="Arial" w:hAnsi="Arial" w:cs="Arial"/>
        </w:rPr>
        <w:t xml:space="preserve"> HE, </w:t>
      </w:r>
      <w:proofErr w:type="spellStart"/>
      <w:r w:rsidRPr="00ED2A5C">
        <w:rPr>
          <w:rFonts w:ascii="Arial" w:hAnsi="Arial" w:cs="Arial"/>
        </w:rPr>
        <w:t>Knuuttila</w:t>
      </w:r>
      <w:proofErr w:type="spellEnd"/>
      <w:r w:rsidRPr="00ED2A5C">
        <w:rPr>
          <w:rFonts w:ascii="Arial" w:hAnsi="Arial" w:cs="Arial"/>
        </w:rPr>
        <w:t xml:space="preserve"> ML, </w:t>
      </w:r>
      <w:proofErr w:type="spellStart"/>
      <w:r w:rsidRPr="00ED2A5C">
        <w:rPr>
          <w:rFonts w:ascii="Arial" w:hAnsi="Arial" w:cs="Arial"/>
        </w:rPr>
        <w:t>Huttenen</w:t>
      </w:r>
      <w:proofErr w:type="spellEnd"/>
      <w:r w:rsidRPr="00ED2A5C">
        <w:rPr>
          <w:rFonts w:ascii="Arial" w:hAnsi="Arial" w:cs="Arial"/>
        </w:rPr>
        <w:t xml:space="preserve"> KR, </w:t>
      </w:r>
      <w:proofErr w:type="spellStart"/>
      <w:r w:rsidRPr="00ED2A5C">
        <w:rPr>
          <w:rFonts w:ascii="Arial" w:hAnsi="Arial" w:cs="Arial"/>
        </w:rPr>
        <w:t>Tiilikainen</w:t>
      </w:r>
      <w:proofErr w:type="spellEnd"/>
      <w:r w:rsidRPr="00ED2A5C">
        <w:rPr>
          <w:rFonts w:ascii="Arial" w:hAnsi="Arial" w:cs="Arial"/>
        </w:rPr>
        <w:t xml:space="preserve"> AS. Drug-induced gingival overgrowth and class I1 major histocompatibility antigens. Transplantation.1994;57(12):1811-3.</w:t>
      </w:r>
    </w:p>
    <w:p w14:paraId="7A70F0FB" w14:textId="695E40AA" w:rsidR="00D54DF4" w:rsidRPr="00606024" w:rsidRDefault="00606024" w:rsidP="00606024">
      <w:pPr>
        <w:pStyle w:val="Body"/>
        <w:numPr>
          <w:ilvl w:val="0"/>
          <w:numId w:val="32"/>
        </w:numPr>
        <w:spacing w:line="360" w:lineRule="auto"/>
        <w:rPr>
          <w:rFonts w:ascii="Arial" w:hAnsi="Arial" w:cs="Arial"/>
        </w:rPr>
      </w:pPr>
      <w:r w:rsidRPr="00606024">
        <w:rPr>
          <w:rFonts w:ascii="Arial" w:hAnsi="Arial" w:cs="Arial"/>
        </w:rPr>
        <w:lastRenderedPageBreak/>
        <w:t>Silva SD, Hisse-Gomes G, Rilling-Nova Cruz LE, Aitken-Saavedra JP, Martos J. Non-surgical periodontal treatment for drug-influenced gingival enlargement: a four-year follow-up case report. International journal of interdisciplinary dentistry. 2021 Aug;14(2):184-6.</w:t>
      </w:r>
    </w:p>
    <w:p w14:paraId="64A01B32" w14:textId="2F592B0F" w:rsidR="00ED2A5C" w:rsidRDefault="00ED2A5C" w:rsidP="00D54DF4">
      <w:pPr>
        <w:pStyle w:val="NormalWeb"/>
        <w:numPr>
          <w:ilvl w:val="0"/>
          <w:numId w:val="32"/>
        </w:numPr>
        <w:spacing w:line="360" w:lineRule="auto"/>
        <w:rPr>
          <w:rFonts w:ascii="Arial" w:hAnsi="Arial" w:cs="Arial"/>
          <w:sz w:val="20"/>
          <w:szCs w:val="20"/>
        </w:rPr>
      </w:pPr>
      <w:proofErr w:type="spellStart"/>
      <w:r w:rsidRPr="00D54DF4">
        <w:rPr>
          <w:rFonts w:ascii="Arial" w:hAnsi="Arial" w:cs="Arial"/>
          <w:sz w:val="20"/>
          <w:szCs w:val="20"/>
        </w:rPr>
        <w:t>Tonsekar</w:t>
      </w:r>
      <w:proofErr w:type="spellEnd"/>
      <w:r w:rsidRPr="00D54DF4">
        <w:rPr>
          <w:rFonts w:ascii="Arial" w:hAnsi="Arial" w:cs="Arial"/>
          <w:sz w:val="20"/>
          <w:szCs w:val="20"/>
        </w:rPr>
        <w:t xml:space="preserve">, P.; </w:t>
      </w:r>
      <w:proofErr w:type="spellStart"/>
      <w:r w:rsidRPr="00D54DF4">
        <w:rPr>
          <w:rFonts w:ascii="Arial" w:hAnsi="Arial" w:cs="Arial"/>
          <w:sz w:val="20"/>
          <w:szCs w:val="20"/>
        </w:rPr>
        <w:t>Tonsekar</w:t>
      </w:r>
      <w:proofErr w:type="spellEnd"/>
      <w:r w:rsidRPr="00D54DF4">
        <w:rPr>
          <w:rFonts w:ascii="Arial" w:hAnsi="Arial" w:cs="Arial"/>
          <w:sz w:val="20"/>
          <w:szCs w:val="20"/>
        </w:rPr>
        <w:t>, V. Calcium-Channel-Blocker-Influenced Gingival Enlargement: A Conundrum Demystified. Oral. 2021;1(3):236-</w:t>
      </w:r>
      <w:r w:rsidR="00C87671" w:rsidRPr="00D54DF4">
        <w:rPr>
          <w:rFonts w:ascii="Arial" w:hAnsi="Arial" w:cs="Arial"/>
          <w:sz w:val="20"/>
          <w:szCs w:val="20"/>
        </w:rPr>
        <w:t>2</w:t>
      </w:r>
      <w:r w:rsidRPr="00D54DF4">
        <w:rPr>
          <w:rFonts w:ascii="Arial" w:hAnsi="Arial" w:cs="Arial"/>
          <w:sz w:val="20"/>
          <w:szCs w:val="20"/>
        </w:rPr>
        <w:t>49.</w:t>
      </w:r>
    </w:p>
    <w:p w14:paraId="1F9A66D0" w14:textId="77777777" w:rsidR="00D54DF4" w:rsidRDefault="00D54DF4" w:rsidP="00D54DF4">
      <w:pPr>
        <w:pStyle w:val="ListParagraph"/>
        <w:rPr>
          <w:rFonts w:ascii="Arial" w:hAnsi="Arial" w:cs="Arial"/>
        </w:rPr>
      </w:pPr>
    </w:p>
    <w:p w14:paraId="19B06835" w14:textId="77777777" w:rsidR="00D54DF4" w:rsidRPr="00D54DF4" w:rsidRDefault="00D54DF4" w:rsidP="00D54DF4">
      <w:pPr>
        <w:pStyle w:val="NormalWeb"/>
        <w:spacing w:line="360" w:lineRule="auto"/>
        <w:ind w:left="720"/>
        <w:rPr>
          <w:rFonts w:ascii="Arial" w:hAnsi="Arial" w:cs="Arial"/>
          <w:sz w:val="20"/>
          <w:szCs w:val="20"/>
        </w:rPr>
      </w:pPr>
    </w:p>
    <w:p w14:paraId="6D403550" w14:textId="350161B2" w:rsidR="00ED2A5C" w:rsidRDefault="00ED2A5C" w:rsidP="00D54DF4">
      <w:pPr>
        <w:pStyle w:val="Body"/>
        <w:numPr>
          <w:ilvl w:val="0"/>
          <w:numId w:val="32"/>
        </w:numPr>
        <w:spacing w:line="360" w:lineRule="auto"/>
        <w:rPr>
          <w:rFonts w:ascii="Arial" w:hAnsi="Arial" w:cs="Arial"/>
        </w:rPr>
      </w:pPr>
      <w:proofErr w:type="spellStart"/>
      <w:r w:rsidRPr="00D54DF4">
        <w:rPr>
          <w:rFonts w:ascii="Arial" w:hAnsi="Arial" w:cs="Arial"/>
        </w:rPr>
        <w:t>Kantarci</w:t>
      </w:r>
      <w:proofErr w:type="spellEnd"/>
      <w:r w:rsidRPr="00D54DF4">
        <w:rPr>
          <w:rFonts w:ascii="Arial" w:hAnsi="Arial" w:cs="Arial"/>
        </w:rPr>
        <w:t xml:space="preserve"> A, </w:t>
      </w:r>
      <w:proofErr w:type="spellStart"/>
      <w:r w:rsidRPr="00D54DF4">
        <w:rPr>
          <w:rFonts w:ascii="Arial" w:hAnsi="Arial" w:cs="Arial"/>
        </w:rPr>
        <w:t>Cebeci</w:t>
      </w:r>
      <w:proofErr w:type="spellEnd"/>
      <w:r w:rsidRPr="00D54DF4">
        <w:rPr>
          <w:rFonts w:ascii="Arial" w:hAnsi="Arial" w:cs="Arial"/>
        </w:rPr>
        <w:t xml:space="preserve"> I, Tuncer O, Carin M, </w:t>
      </w:r>
      <w:proofErr w:type="spellStart"/>
      <w:r w:rsidRPr="00D54DF4">
        <w:rPr>
          <w:rFonts w:ascii="Arial" w:hAnsi="Arial" w:cs="Arial"/>
        </w:rPr>
        <w:t>Firatli</w:t>
      </w:r>
      <w:proofErr w:type="spellEnd"/>
      <w:r w:rsidRPr="00D54DF4">
        <w:rPr>
          <w:rFonts w:ascii="Arial" w:hAnsi="Arial" w:cs="Arial"/>
        </w:rPr>
        <w:t xml:space="preserve"> E. Clinical effects of periodontal therapy on the severity of cyclosporin A-induced gingival hyperplasia. J Periodontol.1999;70(6):587-</w:t>
      </w:r>
      <w:r w:rsidR="00C87671" w:rsidRPr="00D54DF4">
        <w:rPr>
          <w:rFonts w:ascii="Arial" w:hAnsi="Arial" w:cs="Arial"/>
        </w:rPr>
        <w:t>5</w:t>
      </w:r>
      <w:r w:rsidRPr="00D54DF4">
        <w:rPr>
          <w:rFonts w:ascii="Arial" w:hAnsi="Arial" w:cs="Arial"/>
        </w:rPr>
        <w:t>93.</w:t>
      </w:r>
    </w:p>
    <w:p w14:paraId="403ABE9C" w14:textId="528D89C3" w:rsidR="00920DD0" w:rsidRDefault="00920DD0" w:rsidP="00D54DF4">
      <w:pPr>
        <w:pStyle w:val="Body"/>
        <w:numPr>
          <w:ilvl w:val="0"/>
          <w:numId w:val="32"/>
        </w:numPr>
        <w:spacing w:line="360" w:lineRule="auto"/>
        <w:rPr>
          <w:rFonts w:ascii="Arial" w:hAnsi="Arial" w:cs="Arial"/>
        </w:rPr>
      </w:pPr>
      <w:r w:rsidRPr="00920DD0">
        <w:rPr>
          <w:rFonts w:ascii="Arial" w:hAnsi="Arial" w:cs="Arial"/>
        </w:rPr>
        <w:t xml:space="preserve">Sam G, Sebastian SC. Nonsurgical management of nifedipine induced gingival overgrowth. Case Rep Dent. </w:t>
      </w:r>
      <w:proofErr w:type="gramStart"/>
      <w:r w:rsidRPr="00920DD0">
        <w:rPr>
          <w:rFonts w:ascii="Arial" w:hAnsi="Arial" w:cs="Arial"/>
        </w:rPr>
        <w:t>2014;2014:741402</w:t>
      </w:r>
      <w:proofErr w:type="gramEnd"/>
      <w:r w:rsidRPr="00920DD0">
        <w:rPr>
          <w:rFonts w:ascii="Arial" w:hAnsi="Arial" w:cs="Arial"/>
        </w:rPr>
        <w:t xml:space="preserve">. </w:t>
      </w:r>
    </w:p>
    <w:p w14:paraId="705DE1C7" w14:textId="2CDAA029" w:rsidR="00920DD0" w:rsidRPr="00D54DF4" w:rsidRDefault="00920DD0" w:rsidP="00D54DF4">
      <w:pPr>
        <w:pStyle w:val="Body"/>
        <w:numPr>
          <w:ilvl w:val="0"/>
          <w:numId w:val="32"/>
        </w:numPr>
        <w:spacing w:line="360" w:lineRule="auto"/>
        <w:rPr>
          <w:rFonts w:ascii="Arial" w:hAnsi="Arial" w:cs="Arial"/>
        </w:rPr>
      </w:pPr>
      <w:r w:rsidRPr="00920DD0">
        <w:rPr>
          <w:rFonts w:ascii="Arial" w:hAnsi="Arial" w:cs="Arial"/>
        </w:rPr>
        <w:t xml:space="preserve">Hu J, Ruan Y, Lin N, Zhang Y, Mao X, Bai J, Yang X, Liu S, </w:t>
      </w:r>
      <w:proofErr w:type="spellStart"/>
      <w:r w:rsidRPr="00920DD0">
        <w:rPr>
          <w:rFonts w:ascii="Arial" w:hAnsi="Arial" w:cs="Arial"/>
        </w:rPr>
        <w:t>Lv</w:t>
      </w:r>
      <w:proofErr w:type="spellEnd"/>
      <w:r w:rsidRPr="00920DD0">
        <w:rPr>
          <w:rFonts w:ascii="Arial" w:hAnsi="Arial" w:cs="Arial"/>
        </w:rPr>
        <w:t xml:space="preserve"> X. Non-surgical treatment of cyclosporin A-induced gingival overgrowth: A systematic review and meta-analysis. Medicine (Baltimore). 2025 Jul 18;104(29</w:t>
      </w:r>
      <w:proofErr w:type="gramStart"/>
      <w:r w:rsidRPr="00920DD0">
        <w:rPr>
          <w:rFonts w:ascii="Arial" w:hAnsi="Arial" w:cs="Arial"/>
        </w:rPr>
        <w:t>):e</w:t>
      </w:r>
      <w:proofErr w:type="gramEnd"/>
      <w:r w:rsidRPr="00920DD0">
        <w:rPr>
          <w:rFonts w:ascii="Arial" w:hAnsi="Arial" w:cs="Arial"/>
        </w:rPr>
        <w:t xml:space="preserve">43434. </w:t>
      </w:r>
    </w:p>
    <w:p w14:paraId="22C305F1" w14:textId="77777777" w:rsidR="00790ADA" w:rsidRPr="00FB3A86" w:rsidRDefault="00790ADA" w:rsidP="00441B6F">
      <w:pPr>
        <w:pStyle w:val="ReferHead"/>
        <w:spacing w:after="0"/>
        <w:jc w:val="both"/>
        <w:rPr>
          <w:rFonts w:ascii="Arial" w:hAnsi="Arial" w:cs="Arial"/>
        </w:rPr>
      </w:pPr>
    </w:p>
    <w:p w14:paraId="276240AC" w14:textId="77777777" w:rsidR="00B01FCD" w:rsidRPr="00FB3A86" w:rsidRDefault="00B01FCD" w:rsidP="00441B6F">
      <w:pPr>
        <w:pStyle w:val="Appendix"/>
        <w:spacing w:after="0"/>
        <w:jc w:val="both"/>
        <w:rPr>
          <w:rFonts w:ascii="Arial" w:hAnsi="Arial" w:cs="Arial"/>
          <w:b w:val="0"/>
        </w:rPr>
      </w:pPr>
    </w:p>
    <w:sectPr w:rsidR="00B01FCD" w:rsidRPr="00FB3A86" w:rsidSect="009071FE">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BB9FC" w14:textId="77777777" w:rsidR="00FE5B61" w:rsidRDefault="00FE5B61" w:rsidP="00C37E61">
      <w:r>
        <w:separator/>
      </w:r>
    </w:p>
  </w:endnote>
  <w:endnote w:type="continuationSeparator" w:id="0">
    <w:p w14:paraId="1399EFA1" w14:textId="77777777" w:rsidR="00FE5B61" w:rsidRDefault="00FE5B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195FE" w14:textId="77777777" w:rsidR="009071FE" w:rsidRDefault="00907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9C2B9" w14:textId="77777777" w:rsidR="009071FE" w:rsidRDefault="009071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6EB7C" w14:textId="77777777" w:rsidR="009E048A" w:rsidRDefault="009E048A">
    <w:pPr>
      <w:pStyle w:val="Footer"/>
      <w:rPr>
        <w:rFonts w:ascii="Arial" w:hAnsi="Arial" w:cs="Arial"/>
        <w:sz w:val="16"/>
      </w:rPr>
    </w:pPr>
  </w:p>
  <w:p w14:paraId="7E94AE1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8E885F9" w14:textId="77777777" w:rsidR="009E048A" w:rsidRDefault="009E048A">
    <w:pPr>
      <w:pStyle w:val="Footer"/>
      <w:rPr>
        <w:rFonts w:ascii="Arial" w:hAnsi="Arial" w:cs="Arial"/>
        <w:sz w:val="16"/>
      </w:rPr>
    </w:pPr>
  </w:p>
  <w:p w14:paraId="7B68750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DB8B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5F8CC" w14:textId="77777777" w:rsidR="00FE5B61" w:rsidRDefault="00FE5B61" w:rsidP="00C37E61">
      <w:r>
        <w:separator/>
      </w:r>
    </w:p>
  </w:footnote>
  <w:footnote w:type="continuationSeparator" w:id="0">
    <w:p w14:paraId="75F52C5B" w14:textId="77777777" w:rsidR="00FE5B61" w:rsidRDefault="00FE5B6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8393F" w14:textId="15EC3001" w:rsidR="009071FE" w:rsidRDefault="00FF1882">
    <w:pPr>
      <w:pStyle w:val="Header"/>
    </w:pPr>
    <w:r>
      <w:rPr>
        <w:noProof/>
      </w:rPr>
      <w:pict w14:anchorId="30646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9204"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3C67C" w14:textId="74C6C658" w:rsidR="009071FE" w:rsidRDefault="00FF1882">
    <w:pPr>
      <w:pStyle w:val="Header"/>
    </w:pPr>
    <w:r>
      <w:rPr>
        <w:noProof/>
      </w:rPr>
      <w:pict w14:anchorId="3FA9EB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9205"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8009E" w14:textId="410A9923" w:rsidR="00296529" w:rsidRPr="00296529" w:rsidRDefault="00FF1882" w:rsidP="00296529">
    <w:pPr>
      <w:ind w:left="2160"/>
      <w:jc w:val="center"/>
      <w:rPr>
        <w:rFonts w:ascii="Times New Roman" w:eastAsia="Calibri" w:hAnsi="Times New Roman"/>
        <w:i/>
        <w:sz w:val="18"/>
        <w:szCs w:val="22"/>
      </w:rPr>
    </w:pPr>
    <w:r>
      <w:rPr>
        <w:noProof/>
      </w:rPr>
      <w:pict w14:anchorId="4BB6DB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9203"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53C779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BC43BD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239519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FD0D6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5F86E6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AF550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60F17" w14:textId="671B6241" w:rsidR="009071FE" w:rsidRDefault="00FF1882">
    <w:pPr>
      <w:pStyle w:val="Header"/>
    </w:pPr>
    <w:r>
      <w:rPr>
        <w:noProof/>
      </w:rPr>
      <w:pict w14:anchorId="33232A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9207"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D9835" w14:textId="31FC174D" w:rsidR="009071FE" w:rsidRDefault="00FF1882">
    <w:pPr>
      <w:pStyle w:val="Header"/>
    </w:pPr>
    <w:r>
      <w:rPr>
        <w:noProof/>
      </w:rPr>
      <w:pict w14:anchorId="7A232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9208"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2ACF2" w14:textId="76887FF7" w:rsidR="009071FE" w:rsidRDefault="00FF1882">
    <w:pPr>
      <w:pStyle w:val="Header"/>
    </w:pPr>
    <w:r>
      <w:rPr>
        <w:noProof/>
      </w:rPr>
      <w:pict w14:anchorId="6CC90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9206"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DB164E2"/>
    <w:multiLevelType w:val="hybridMultilevel"/>
    <w:tmpl w:val="E86072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60B4DD1"/>
    <w:multiLevelType w:val="hybridMultilevel"/>
    <w:tmpl w:val="1B76CC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0"/>
  </w:num>
  <w:num w:numId="31">
    <w:abstractNumId w:val="15"/>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SzMDEytDA1MLQ0tDBS0lEKTi0uzszPAykwrAUAzBR4/ywAAAA="/>
  </w:docVars>
  <w:rsids>
    <w:rsidRoot w:val="00AA6219"/>
    <w:rsid w:val="00000F8F"/>
    <w:rsid w:val="00030174"/>
    <w:rsid w:val="0004579C"/>
    <w:rsid w:val="000924FC"/>
    <w:rsid w:val="000A47FA"/>
    <w:rsid w:val="000A65D3"/>
    <w:rsid w:val="000B1E33"/>
    <w:rsid w:val="000D3443"/>
    <w:rsid w:val="000D689F"/>
    <w:rsid w:val="000D7505"/>
    <w:rsid w:val="000E7B7B"/>
    <w:rsid w:val="000E7D62"/>
    <w:rsid w:val="000F243A"/>
    <w:rsid w:val="00103357"/>
    <w:rsid w:val="00123C9F"/>
    <w:rsid w:val="00126190"/>
    <w:rsid w:val="00130F17"/>
    <w:rsid w:val="001320BF"/>
    <w:rsid w:val="00153900"/>
    <w:rsid w:val="00154B94"/>
    <w:rsid w:val="00163BC4"/>
    <w:rsid w:val="001820C2"/>
    <w:rsid w:val="001856D0"/>
    <w:rsid w:val="00191062"/>
    <w:rsid w:val="00192B72"/>
    <w:rsid w:val="00194775"/>
    <w:rsid w:val="001A29D8"/>
    <w:rsid w:val="001A5CAA"/>
    <w:rsid w:val="001B0427"/>
    <w:rsid w:val="001D0B71"/>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01C3"/>
    <w:rsid w:val="00295BCB"/>
    <w:rsid w:val="00296529"/>
    <w:rsid w:val="002A41D5"/>
    <w:rsid w:val="002B27FB"/>
    <w:rsid w:val="002B63DA"/>
    <w:rsid w:val="002B685A"/>
    <w:rsid w:val="002C1C4E"/>
    <w:rsid w:val="002C57D2"/>
    <w:rsid w:val="002E0D56"/>
    <w:rsid w:val="00304CD9"/>
    <w:rsid w:val="00315186"/>
    <w:rsid w:val="0033343E"/>
    <w:rsid w:val="0034428E"/>
    <w:rsid w:val="003512C2"/>
    <w:rsid w:val="00371FB6"/>
    <w:rsid w:val="003763C1"/>
    <w:rsid w:val="00376BBE"/>
    <w:rsid w:val="0039224F"/>
    <w:rsid w:val="003A43A4"/>
    <w:rsid w:val="003A7E18"/>
    <w:rsid w:val="003B3C61"/>
    <w:rsid w:val="003B43D2"/>
    <w:rsid w:val="003C4C86"/>
    <w:rsid w:val="003C6258"/>
    <w:rsid w:val="003E2904"/>
    <w:rsid w:val="003E56B6"/>
    <w:rsid w:val="003F28FE"/>
    <w:rsid w:val="00401927"/>
    <w:rsid w:val="0041027F"/>
    <w:rsid w:val="00412475"/>
    <w:rsid w:val="00416221"/>
    <w:rsid w:val="00423789"/>
    <w:rsid w:val="00425D41"/>
    <w:rsid w:val="00440F43"/>
    <w:rsid w:val="00441B6F"/>
    <w:rsid w:val="00446221"/>
    <w:rsid w:val="00450E62"/>
    <w:rsid w:val="004539DB"/>
    <w:rsid w:val="00456E0E"/>
    <w:rsid w:val="00471A80"/>
    <w:rsid w:val="0049503B"/>
    <w:rsid w:val="004B4DB3"/>
    <w:rsid w:val="004B7E70"/>
    <w:rsid w:val="004D305E"/>
    <w:rsid w:val="004D4277"/>
    <w:rsid w:val="00502516"/>
    <w:rsid w:val="00502994"/>
    <w:rsid w:val="00505F06"/>
    <w:rsid w:val="00506828"/>
    <w:rsid w:val="0053056E"/>
    <w:rsid w:val="005466F5"/>
    <w:rsid w:val="00546FFE"/>
    <w:rsid w:val="00554FDA"/>
    <w:rsid w:val="00566640"/>
    <w:rsid w:val="005C784C"/>
    <w:rsid w:val="005D17F6"/>
    <w:rsid w:val="005E5539"/>
    <w:rsid w:val="00602BF5"/>
    <w:rsid w:val="00606024"/>
    <w:rsid w:val="00613CC4"/>
    <w:rsid w:val="00617FDD"/>
    <w:rsid w:val="00633614"/>
    <w:rsid w:val="00633F68"/>
    <w:rsid w:val="006357BE"/>
    <w:rsid w:val="00636EB2"/>
    <w:rsid w:val="006375B8"/>
    <w:rsid w:val="00650F86"/>
    <w:rsid w:val="0066510A"/>
    <w:rsid w:val="00666698"/>
    <w:rsid w:val="00673F9F"/>
    <w:rsid w:val="00686953"/>
    <w:rsid w:val="00687DEA"/>
    <w:rsid w:val="00687E67"/>
    <w:rsid w:val="006967F7"/>
    <w:rsid w:val="006A250C"/>
    <w:rsid w:val="006B21D3"/>
    <w:rsid w:val="006B57D0"/>
    <w:rsid w:val="006C4252"/>
    <w:rsid w:val="006D30FF"/>
    <w:rsid w:val="006D6940"/>
    <w:rsid w:val="006E5395"/>
    <w:rsid w:val="006F11EC"/>
    <w:rsid w:val="0070082C"/>
    <w:rsid w:val="007369E6"/>
    <w:rsid w:val="00746E59"/>
    <w:rsid w:val="00751862"/>
    <w:rsid w:val="00754C9A"/>
    <w:rsid w:val="0075599A"/>
    <w:rsid w:val="00761D52"/>
    <w:rsid w:val="00761DF3"/>
    <w:rsid w:val="0077749E"/>
    <w:rsid w:val="00783F52"/>
    <w:rsid w:val="00790ADA"/>
    <w:rsid w:val="00797578"/>
    <w:rsid w:val="007A230F"/>
    <w:rsid w:val="007D2288"/>
    <w:rsid w:val="007E073F"/>
    <w:rsid w:val="007E088F"/>
    <w:rsid w:val="007F218D"/>
    <w:rsid w:val="007F7B32"/>
    <w:rsid w:val="00804BC2"/>
    <w:rsid w:val="0081431A"/>
    <w:rsid w:val="00824D5D"/>
    <w:rsid w:val="0083216F"/>
    <w:rsid w:val="00860000"/>
    <w:rsid w:val="00863BD3"/>
    <w:rsid w:val="008641ED"/>
    <w:rsid w:val="008643C0"/>
    <w:rsid w:val="00866D66"/>
    <w:rsid w:val="008671C6"/>
    <w:rsid w:val="00875803"/>
    <w:rsid w:val="00876FB4"/>
    <w:rsid w:val="008779BF"/>
    <w:rsid w:val="00880C86"/>
    <w:rsid w:val="00883D75"/>
    <w:rsid w:val="008B459E"/>
    <w:rsid w:val="008E13AE"/>
    <w:rsid w:val="008E1506"/>
    <w:rsid w:val="008E710C"/>
    <w:rsid w:val="008F69D6"/>
    <w:rsid w:val="00902823"/>
    <w:rsid w:val="009071FE"/>
    <w:rsid w:val="00915CA6"/>
    <w:rsid w:val="00920DD0"/>
    <w:rsid w:val="00922556"/>
    <w:rsid w:val="00927834"/>
    <w:rsid w:val="009500A6"/>
    <w:rsid w:val="009505B3"/>
    <w:rsid w:val="00957C18"/>
    <w:rsid w:val="009659BA"/>
    <w:rsid w:val="00983040"/>
    <w:rsid w:val="00984CA3"/>
    <w:rsid w:val="009B3FB9"/>
    <w:rsid w:val="009C2465"/>
    <w:rsid w:val="009D35A0"/>
    <w:rsid w:val="009D7EB7"/>
    <w:rsid w:val="009E048A"/>
    <w:rsid w:val="009E08E9"/>
    <w:rsid w:val="009E3DB9"/>
    <w:rsid w:val="009E6E35"/>
    <w:rsid w:val="009F0EDA"/>
    <w:rsid w:val="00A03B96"/>
    <w:rsid w:val="00A05B19"/>
    <w:rsid w:val="00A1134E"/>
    <w:rsid w:val="00A210CD"/>
    <w:rsid w:val="00A24E7E"/>
    <w:rsid w:val="00A258C3"/>
    <w:rsid w:val="00A34068"/>
    <w:rsid w:val="00A347C0"/>
    <w:rsid w:val="00A34C80"/>
    <w:rsid w:val="00A51431"/>
    <w:rsid w:val="00A539AD"/>
    <w:rsid w:val="00A76B18"/>
    <w:rsid w:val="00A87288"/>
    <w:rsid w:val="00A94063"/>
    <w:rsid w:val="00AA6219"/>
    <w:rsid w:val="00AA74E0"/>
    <w:rsid w:val="00AB353D"/>
    <w:rsid w:val="00AB703F"/>
    <w:rsid w:val="00AC6BB8"/>
    <w:rsid w:val="00AE008F"/>
    <w:rsid w:val="00AF4080"/>
    <w:rsid w:val="00B01FCD"/>
    <w:rsid w:val="00B14245"/>
    <w:rsid w:val="00B1776C"/>
    <w:rsid w:val="00B52583"/>
    <w:rsid w:val="00B52896"/>
    <w:rsid w:val="00B61B00"/>
    <w:rsid w:val="00B95236"/>
    <w:rsid w:val="00B96BD9"/>
    <w:rsid w:val="00BA1B01"/>
    <w:rsid w:val="00BA2641"/>
    <w:rsid w:val="00BB37AA"/>
    <w:rsid w:val="00BC01B0"/>
    <w:rsid w:val="00BC53A0"/>
    <w:rsid w:val="00BE62AD"/>
    <w:rsid w:val="00BF121F"/>
    <w:rsid w:val="00BF1F80"/>
    <w:rsid w:val="00C10817"/>
    <w:rsid w:val="00C166EF"/>
    <w:rsid w:val="00C17EB0"/>
    <w:rsid w:val="00C2100A"/>
    <w:rsid w:val="00C27F5F"/>
    <w:rsid w:val="00C30A0F"/>
    <w:rsid w:val="00C373F7"/>
    <w:rsid w:val="00C37E61"/>
    <w:rsid w:val="00C40C87"/>
    <w:rsid w:val="00C66527"/>
    <w:rsid w:val="00C70F1B"/>
    <w:rsid w:val="00C71A47"/>
    <w:rsid w:val="00C7464C"/>
    <w:rsid w:val="00C85588"/>
    <w:rsid w:val="00C87671"/>
    <w:rsid w:val="00CD6755"/>
    <w:rsid w:val="00CD6856"/>
    <w:rsid w:val="00CE0089"/>
    <w:rsid w:val="00CE793C"/>
    <w:rsid w:val="00CF193C"/>
    <w:rsid w:val="00D02690"/>
    <w:rsid w:val="00D173F1"/>
    <w:rsid w:val="00D46065"/>
    <w:rsid w:val="00D47DC8"/>
    <w:rsid w:val="00D54DF4"/>
    <w:rsid w:val="00D74CB0"/>
    <w:rsid w:val="00D75996"/>
    <w:rsid w:val="00D8295D"/>
    <w:rsid w:val="00DC2A65"/>
    <w:rsid w:val="00DE15F0"/>
    <w:rsid w:val="00DE5663"/>
    <w:rsid w:val="00DE78AA"/>
    <w:rsid w:val="00DF4681"/>
    <w:rsid w:val="00E053D0"/>
    <w:rsid w:val="00E15994"/>
    <w:rsid w:val="00E3114E"/>
    <w:rsid w:val="00E31A70"/>
    <w:rsid w:val="00E35B02"/>
    <w:rsid w:val="00E541F4"/>
    <w:rsid w:val="00E66496"/>
    <w:rsid w:val="00E66B35"/>
    <w:rsid w:val="00E66E10"/>
    <w:rsid w:val="00E745ED"/>
    <w:rsid w:val="00E769F6"/>
    <w:rsid w:val="00E8407C"/>
    <w:rsid w:val="00E84F3C"/>
    <w:rsid w:val="00E9608D"/>
    <w:rsid w:val="00EA012C"/>
    <w:rsid w:val="00EA1F2C"/>
    <w:rsid w:val="00EC6A55"/>
    <w:rsid w:val="00ED0288"/>
    <w:rsid w:val="00ED2A5C"/>
    <w:rsid w:val="00EE52CB"/>
    <w:rsid w:val="00EF581D"/>
    <w:rsid w:val="00EF7FD8"/>
    <w:rsid w:val="00F06F59"/>
    <w:rsid w:val="00F11D96"/>
    <w:rsid w:val="00F17988"/>
    <w:rsid w:val="00F469F0"/>
    <w:rsid w:val="00F53273"/>
    <w:rsid w:val="00F755E4"/>
    <w:rsid w:val="00F77D02"/>
    <w:rsid w:val="00F9292F"/>
    <w:rsid w:val="00F969E2"/>
    <w:rsid w:val="00FB3A86"/>
    <w:rsid w:val="00FD36C8"/>
    <w:rsid w:val="00FE5B61"/>
    <w:rsid w:val="00FF1882"/>
    <w:rsid w:val="00FF5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C65B4F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C40C8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p1">
    <w:name w:val="p1"/>
    <w:basedOn w:val="Normal"/>
    <w:rsid w:val="003E56B6"/>
    <w:rPr>
      <w:rFonts w:ascii="Times New Roman" w:eastAsiaTheme="minorEastAsia" w:hAnsi="Times New Roman"/>
      <w:color w:val="000000"/>
      <w:sz w:val="18"/>
      <w:szCs w:val="18"/>
      <w:lang w:val="en-IN" w:eastAsia="en-GB"/>
    </w:rPr>
  </w:style>
  <w:style w:type="character" w:customStyle="1" w:styleId="s1">
    <w:name w:val="s1"/>
    <w:basedOn w:val="DefaultParagraphFont"/>
    <w:rsid w:val="003E56B6"/>
    <w:rPr>
      <w:rFonts w:ascii="TimesNewRomanPS-BoldMT" w:hAnsi="TimesNewRomanPS-BoldMT" w:hint="default"/>
      <w:b/>
      <w:bCs/>
      <w:i w:val="0"/>
      <w:iCs w:val="0"/>
      <w:sz w:val="18"/>
      <w:szCs w:val="18"/>
    </w:rPr>
  </w:style>
  <w:style w:type="character" w:customStyle="1" w:styleId="s2">
    <w:name w:val="s2"/>
    <w:basedOn w:val="DefaultParagraphFont"/>
    <w:rsid w:val="00456E0E"/>
    <w:rPr>
      <w:rFonts w:ascii="Times New Roman" w:hAnsi="Times New Roman" w:cs="Times New Roman" w:hint="default"/>
      <w:b w:val="0"/>
      <w:bCs w:val="0"/>
      <w:i w:val="0"/>
      <w:iCs w:val="0"/>
      <w:sz w:val="18"/>
      <w:szCs w:val="18"/>
    </w:rPr>
  </w:style>
  <w:style w:type="character" w:customStyle="1" w:styleId="s3">
    <w:name w:val="s3"/>
    <w:basedOn w:val="DefaultParagraphFont"/>
    <w:rsid w:val="00456E0E"/>
    <w:rPr>
      <w:rFonts w:ascii="Times New Roman" w:hAnsi="Times New Roman" w:cs="Times New Roman" w:hint="default"/>
      <w:b w:val="0"/>
      <w:bCs w:val="0"/>
      <w:i w:val="0"/>
      <w:iCs w:val="0"/>
      <w:sz w:val="12"/>
      <w:szCs w:val="12"/>
    </w:rPr>
  </w:style>
  <w:style w:type="character" w:customStyle="1" w:styleId="s4">
    <w:name w:val="s4"/>
    <w:basedOn w:val="DefaultParagraphFont"/>
    <w:rsid w:val="002C1C4E"/>
    <w:rPr>
      <w:rFonts w:ascii="Times New Roman" w:hAnsi="Times New Roman" w:cs="Times New Roman" w:hint="default"/>
      <w:b w:val="0"/>
      <w:bCs w:val="0"/>
      <w:i w:val="0"/>
      <w:iCs w:val="0"/>
      <w:sz w:val="12"/>
      <w:szCs w:val="12"/>
    </w:rPr>
  </w:style>
  <w:style w:type="character" w:customStyle="1" w:styleId="s5">
    <w:name w:val="s5"/>
    <w:basedOn w:val="DefaultParagraphFont"/>
    <w:rsid w:val="002C1C4E"/>
    <w:rPr>
      <w:rFonts w:ascii="Times New Roman" w:hAnsi="Times New Roman" w:cs="Times New Roman" w:hint="default"/>
      <w:b w:val="0"/>
      <w:bCs w:val="0"/>
      <w:i w:val="0"/>
      <w:iCs w:val="0"/>
      <w:sz w:val="18"/>
      <w:szCs w:val="18"/>
    </w:rPr>
  </w:style>
  <w:style w:type="character" w:customStyle="1" w:styleId="Heading3Char">
    <w:name w:val="Heading 3 Char"/>
    <w:basedOn w:val="DefaultParagraphFont"/>
    <w:link w:val="Heading3"/>
    <w:semiHidden/>
    <w:rsid w:val="00C40C8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D02690"/>
    <w:rPr>
      <w:rFonts w:ascii="Times New Roman" w:hAnsi="Times New Roman"/>
      <w:sz w:val="24"/>
      <w:szCs w:val="24"/>
    </w:rPr>
  </w:style>
  <w:style w:type="character" w:styleId="Strong">
    <w:name w:val="Strong"/>
    <w:basedOn w:val="DefaultParagraphFont"/>
    <w:uiPriority w:val="22"/>
    <w:qFormat/>
    <w:rsid w:val="00D54DF4"/>
    <w:rPr>
      <w:b/>
      <w:bCs/>
    </w:rPr>
  </w:style>
  <w:style w:type="paragraph" w:styleId="ListParagraph">
    <w:name w:val="List Paragraph"/>
    <w:basedOn w:val="Normal"/>
    <w:uiPriority w:val="34"/>
    <w:qFormat/>
    <w:rsid w:val="00D54D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4690646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98694576">
      <w:bodyDiv w:val="1"/>
      <w:marLeft w:val="0"/>
      <w:marRight w:val="0"/>
      <w:marTop w:val="0"/>
      <w:marBottom w:val="0"/>
      <w:divBdr>
        <w:top w:val="none" w:sz="0" w:space="0" w:color="auto"/>
        <w:left w:val="none" w:sz="0" w:space="0" w:color="auto"/>
        <w:bottom w:val="none" w:sz="0" w:space="0" w:color="auto"/>
        <w:right w:val="none" w:sz="0" w:space="0" w:color="auto"/>
      </w:divBdr>
      <w:divsChild>
        <w:div w:id="1999725284">
          <w:marLeft w:val="0"/>
          <w:marRight w:val="0"/>
          <w:marTop w:val="0"/>
          <w:marBottom w:val="0"/>
          <w:divBdr>
            <w:top w:val="none" w:sz="0" w:space="0" w:color="auto"/>
            <w:left w:val="none" w:sz="0" w:space="0" w:color="auto"/>
            <w:bottom w:val="none" w:sz="0" w:space="0" w:color="auto"/>
            <w:right w:val="none" w:sz="0" w:space="0" w:color="auto"/>
          </w:divBdr>
          <w:divsChild>
            <w:div w:id="1111163927">
              <w:marLeft w:val="0"/>
              <w:marRight w:val="0"/>
              <w:marTop w:val="0"/>
              <w:marBottom w:val="0"/>
              <w:divBdr>
                <w:top w:val="none" w:sz="0" w:space="0" w:color="auto"/>
                <w:left w:val="none" w:sz="0" w:space="0" w:color="auto"/>
                <w:bottom w:val="none" w:sz="0" w:space="0" w:color="auto"/>
                <w:right w:val="none" w:sz="0" w:space="0" w:color="auto"/>
              </w:divBdr>
              <w:divsChild>
                <w:div w:id="1772436209">
                  <w:marLeft w:val="0"/>
                  <w:marRight w:val="0"/>
                  <w:marTop w:val="0"/>
                  <w:marBottom w:val="0"/>
                  <w:divBdr>
                    <w:top w:val="none" w:sz="0" w:space="0" w:color="auto"/>
                    <w:left w:val="none" w:sz="0" w:space="0" w:color="auto"/>
                    <w:bottom w:val="none" w:sz="0" w:space="0" w:color="auto"/>
                    <w:right w:val="none" w:sz="0" w:space="0" w:color="auto"/>
                  </w:divBdr>
                  <w:divsChild>
                    <w:div w:id="1570143921">
                      <w:marLeft w:val="0"/>
                      <w:marRight w:val="0"/>
                      <w:marTop w:val="0"/>
                      <w:marBottom w:val="0"/>
                      <w:divBdr>
                        <w:top w:val="none" w:sz="0" w:space="0" w:color="auto"/>
                        <w:left w:val="none" w:sz="0" w:space="0" w:color="auto"/>
                        <w:bottom w:val="none" w:sz="0" w:space="0" w:color="auto"/>
                        <w:right w:val="none" w:sz="0" w:space="0" w:color="auto"/>
                      </w:divBdr>
                      <w:divsChild>
                        <w:div w:id="952714741">
                          <w:marLeft w:val="0"/>
                          <w:marRight w:val="0"/>
                          <w:marTop w:val="0"/>
                          <w:marBottom w:val="0"/>
                          <w:divBdr>
                            <w:top w:val="none" w:sz="0" w:space="0" w:color="auto"/>
                            <w:left w:val="none" w:sz="0" w:space="0" w:color="auto"/>
                            <w:bottom w:val="none" w:sz="0" w:space="0" w:color="auto"/>
                            <w:right w:val="none" w:sz="0" w:space="0" w:color="auto"/>
                          </w:divBdr>
                          <w:divsChild>
                            <w:div w:id="606617829">
                              <w:marLeft w:val="0"/>
                              <w:marRight w:val="0"/>
                              <w:marTop w:val="0"/>
                              <w:marBottom w:val="0"/>
                              <w:divBdr>
                                <w:top w:val="none" w:sz="0" w:space="0" w:color="auto"/>
                                <w:left w:val="none" w:sz="0" w:space="0" w:color="auto"/>
                                <w:bottom w:val="none" w:sz="0" w:space="0" w:color="auto"/>
                                <w:right w:val="none" w:sz="0" w:space="0" w:color="auto"/>
                              </w:divBdr>
                              <w:divsChild>
                                <w:div w:id="15665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48884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158DA-4CC6-4C38-853F-43DC66887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6</Pages>
  <Words>2114</Words>
  <Characters>13844</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15927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cp:revision>
  <cp:lastPrinted>1999-07-06T11:00:00Z</cp:lastPrinted>
  <dcterms:created xsi:type="dcterms:W3CDTF">2026-04-02T04:46:00Z</dcterms:created>
  <dcterms:modified xsi:type="dcterms:W3CDTF">2026-04-03T10:06:00Z</dcterms:modified>
</cp:coreProperties>
</file>