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18401" w14:textId="5865B96C" w:rsidR="00B27AC7" w:rsidRDefault="00CE1D38" w:rsidP="00441B6F">
      <w:pPr>
        <w:pStyle w:val="Author"/>
        <w:spacing w:line="240" w:lineRule="auto"/>
        <w:jc w:val="both"/>
        <w:rPr>
          <w:rFonts w:ascii="Arial" w:hAnsi="Arial" w:cs="Arial"/>
          <w:bCs/>
          <w:sz w:val="36"/>
          <w:szCs w:val="36"/>
          <w:u w:val="single"/>
        </w:rPr>
      </w:pPr>
      <w:r>
        <w:rPr>
          <w:rFonts w:ascii="Arial" w:hAnsi="Arial" w:cs="Arial"/>
          <w:bCs/>
          <w:sz w:val="36"/>
          <w:szCs w:val="36"/>
          <w:u w:val="single"/>
        </w:rPr>
        <w:t xml:space="preserve">  </w:t>
      </w:r>
      <w:r w:rsidR="00B27AC7" w:rsidRPr="00B27AC7">
        <w:rPr>
          <w:rFonts w:ascii="Arial" w:hAnsi="Arial" w:cs="Arial"/>
          <w:bCs/>
          <w:sz w:val="36"/>
          <w:szCs w:val="36"/>
          <w:u w:val="single"/>
        </w:rPr>
        <w:t>Original Research Article</w:t>
      </w:r>
    </w:p>
    <w:p w14:paraId="1DD386CB" w14:textId="77777777" w:rsidR="00B27AC7" w:rsidRPr="00B27AC7" w:rsidRDefault="00B27AC7" w:rsidP="00441B6F">
      <w:pPr>
        <w:pStyle w:val="Author"/>
        <w:spacing w:line="240" w:lineRule="auto"/>
        <w:jc w:val="both"/>
        <w:rPr>
          <w:rFonts w:ascii="Arial" w:hAnsi="Arial" w:cs="Arial"/>
          <w:bCs/>
          <w:sz w:val="36"/>
          <w:szCs w:val="36"/>
          <w:u w:val="single"/>
        </w:rPr>
      </w:pPr>
    </w:p>
    <w:p w14:paraId="5211DF44" w14:textId="14FC59E6" w:rsidR="00A258C3" w:rsidRPr="00677CFD" w:rsidRDefault="00677CFD" w:rsidP="00441B6F">
      <w:pPr>
        <w:pStyle w:val="Author"/>
        <w:spacing w:line="240" w:lineRule="auto"/>
        <w:jc w:val="both"/>
        <w:rPr>
          <w:rFonts w:ascii="Arial" w:hAnsi="Arial" w:cs="Arial"/>
          <w:bCs/>
          <w:sz w:val="36"/>
          <w:szCs w:val="36"/>
        </w:rPr>
      </w:pPr>
      <w:r w:rsidRPr="00677CFD">
        <w:rPr>
          <w:rFonts w:ascii="Arial" w:hAnsi="Arial" w:cs="Arial"/>
          <w:bCs/>
          <w:sz w:val="36"/>
          <w:szCs w:val="36"/>
        </w:rPr>
        <w:t xml:space="preserve">Comparative </w:t>
      </w:r>
      <w:r w:rsidR="001F79FB" w:rsidRPr="001F79FB">
        <w:rPr>
          <w:rFonts w:ascii="Arial" w:hAnsi="Arial" w:cs="Arial"/>
          <w:bCs/>
          <w:i/>
          <w:iCs/>
          <w:sz w:val="36"/>
          <w:szCs w:val="36"/>
        </w:rPr>
        <w:t>In vitro</w:t>
      </w:r>
      <w:r w:rsidRPr="00677CFD">
        <w:rPr>
          <w:rFonts w:ascii="Arial" w:hAnsi="Arial" w:cs="Arial"/>
          <w:bCs/>
          <w:sz w:val="36"/>
          <w:szCs w:val="36"/>
        </w:rPr>
        <w:t xml:space="preserve"> Analysis of Microbial Load Reduction on Dental Burs and Endodontic Files Following Different Decontamination Methods</w:t>
      </w:r>
    </w:p>
    <w:p w14:paraId="765BDA32" w14:textId="77777777" w:rsidR="00677CFD" w:rsidRPr="00677CFD" w:rsidRDefault="00677CFD" w:rsidP="00441B6F">
      <w:pPr>
        <w:pStyle w:val="Author"/>
        <w:spacing w:line="240" w:lineRule="auto"/>
        <w:jc w:val="both"/>
        <w:rPr>
          <w:rFonts w:ascii="Arial" w:hAnsi="Arial" w:cs="Arial"/>
          <w:sz w:val="36"/>
          <w:szCs w:val="36"/>
        </w:rPr>
      </w:pPr>
    </w:p>
    <w:p w14:paraId="080209F3" w14:textId="77777777" w:rsidR="00790ADA" w:rsidRPr="00677CFD" w:rsidRDefault="00790ADA" w:rsidP="00441B6F">
      <w:pPr>
        <w:pStyle w:val="Affiliation"/>
        <w:spacing w:after="0" w:line="240" w:lineRule="auto"/>
        <w:jc w:val="both"/>
        <w:rPr>
          <w:rFonts w:ascii="Arial" w:hAnsi="Arial" w:cs="Arial"/>
        </w:rPr>
      </w:pPr>
    </w:p>
    <w:p w14:paraId="5144545E" w14:textId="77777777" w:rsidR="002C57D2" w:rsidRPr="00677CFD" w:rsidRDefault="002C57D2" w:rsidP="00441B6F">
      <w:pPr>
        <w:pStyle w:val="Affiliation"/>
        <w:spacing w:after="0" w:line="240" w:lineRule="auto"/>
        <w:jc w:val="both"/>
        <w:rPr>
          <w:rFonts w:ascii="Arial" w:hAnsi="Arial" w:cs="Arial"/>
        </w:rPr>
      </w:pPr>
    </w:p>
    <w:p w14:paraId="4565709E" w14:textId="15D88D5E" w:rsidR="00B01FCD" w:rsidRPr="00677CFD" w:rsidRDefault="00997624" w:rsidP="00441B6F">
      <w:pPr>
        <w:pStyle w:val="Copyright"/>
        <w:spacing w:after="0" w:line="240" w:lineRule="auto"/>
        <w:jc w:val="both"/>
        <w:rPr>
          <w:rFonts w:ascii="Arial" w:hAnsi="Arial" w:cs="Arial"/>
          <w:sz w:val="20"/>
        </w:rPr>
        <w:sectPr w:rsidR="00B01FCD" w:rsidRPr="00677CFD" w:rsidSect="001617E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677CFD">
        <w:rPr>
          <w:rFonts w:ascii="Arial" w:hAnsi="Arial" w:cs="Arial"/>
          <w:noProof/>
          <w:sz w:val="20"/>
        </w:rPr>
        <mc:AlternateContent>
          <mc:Choice Requires="wps">
            <w:drawing>
              <wp:inline distT="0" distB="0" distL="0" distR="0" wp14:anchorId="4E9E88E0" wp14:editId="265B40FA">
                <wp:extent cx="5303520" cy="635"/>
                <wp:effectExtent l="17145" t="9525" r="13335" b="9525"/>
                <wp:docPr id="119626850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45B2A4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677CFD">
        <w:rPr>
          <w:rFonts w:ascii="Arial" w:hAnsi="Arial" w:cs="Arial"/>
          <w:sz w:val="20"/>
        </w:rPr>
        <w:t>.</w:t>
      </w:r>
    </w:p>
    <w:p w14:paraId="5F9E2866" w14:textId="3155FB3A" w:rsidR="00B01FCD" w:rsidRPr="00677CFD" w:rsidRDefault="00B01FCD" w:rsidP="00441B6F">
      <w:pPr>
        <w:pStyle w:val="AbstHead"/>
        <w:spacing w:after="0"/>
        <w:jc w:val="both"/>
        <w:rPr>
          <w:rFonts w:ascii="Arial" w:hAnsi="Arial" w:cs="Arial"/>
          <w:sz w:val="20"/>
        </w:rPr>
      </w:pPr>
      <w:r w:rsidRPr="00677CFD">
        <w:rPr>
          <w:rFonts w:ascii="Arial" w:hAnsi="Arial" w:cs="Arial"/>
          <w:sz w:val="20"/>
        </w:rPr>
        <w:t>ABSTRACT</w:t>
      </w:r>
      <w:r w:rsidR="0066510A" w:rsidRPr="00677CFD">
        <w:rPr>
          <w:rFonts w:ascii="Arial" w:hAnsi="Arial" w:cs="Arial"/>
          <w:sz w:val="20"/>
        </w:rPr>
        <w:t xml:space="preserve"> </w:t>
      </w:r>
    </w:p>
    <w:p w14:paraId="5180CA70" w14:textId="77777777" w:rsidR="00790ADA" w:rsidRPr="00677CFD" w:rsidRDefault="00790ADA" w:rsidP="00441B6F">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677CFD" w14:paraId="09838879" w14:textId="77777777" w:rsidTr="001E44FE">
        <w:tc>
          <w:tcPr>
            <w:tcW w:w="9576" w:type="dxa"/>
            <w:shd w:val="clear" w:color="auto" w:fill="F2F2F2"/>
          </w:tcPr>
          <w:p w14:paraId="6D802A44" w14:textId="77777777" w:rsidR="00C42FF7" w:rsidRPr="00677CFD" w:rsidRDefault="00C42FF7" w:rsidP="00C42FF7">
            <w:pPr>
              <w:pStyle w:val="Body"/>
              <w:spacing w:after="0"/>
              <w:rPr>
                <w:rFonts w:ascii="Arial" w:eastAsia="Calibri" w:hAnsi="Arial" w:cs="Arial"/>
                <w:b/>
              </w:rPr>
            </w:pPr>
          </w:p>
          <w:p w14:paraId="2BCC5E9F" w14:textId="12D0C0C6" w:rsidR="00E3114E" w:rsidRPr="00677CFD" w:rsidRDefault="00C42FF7" w:rsidP="00C42FF7">
            <w:pPr>
              <w:pStyle w:val="Body"/>
              <w:spacing w:after="0"/>
              <w:rPr>
                <w:rFonts w:ascii="Arial" w:eastAsia="Calibri" w:hAnsi="Arial" w:cs="Arial"/>
                <w:b/>
              </w:rPr>
            </w:pPr>
            <w:r w:rsidRPr="00677CFD">
              <w:rPr>
                <w:rFonts w:ascii="Arial" w:eastAsia="Calibri" w:hAnsi="Arial" w:cs="Arial"/>
                <w:b/>
              </w:rPr>
              <w:t xml:space="preserve">Background: </w:t>
            </w:r>
            <w:r w:rsidRPr="00677CFD">
              <w:rPr>
                <w:rFonts w:ascii="Arial" w:hAnsi="Arial" w:cs="Arial"/>
              </w:rPr>
              <w:t>Dental instruments when reused poses significant risks of cross-infection.  Autoclaving is the gold standard for sterilization, but repeated cycles can degrade the cutting efficiency of burs and files</w:t>
            </w:r>
          </w:p>
          <w:p w14:paraId="5A56C9A2" w14:textId="6CF7E9EA" w:rsidR="00BA1B01" w:rsidRPr="00677CFD" w:rsidRDefault="00BA1B01" w:rsidP="00C42FF7">
            <w:pPr>
              <w:pStyle w:val="Body"/>
              <w:spacing w:after="0"/>
              <w:rPr>
                <w:rFonts w:ascii="Arial" w:eastAsia="Calibri" w:hAnsi="Arial" w:cs="Arial"/>
              </w:rPr>
            </w:pPr>
            <w:r w:rsidRPr="00677CFD">
              <w:rPr>
                <w:rFonts w:ascii="Arial" w:eastAsia="Calibri" w:hAnsi="Arial" w:cs="Arial"/>
                <w:b/>
              </w:rPr>
              <w:t>Aims:</w:t>
            </w:r>
            <w:r w:rsidR="00C42FF7" w:rsidRPr="00677CFD">
              <w:rPr>
                <w:rFonts w:ascii="Arial" w:eastAsia="Calibri" w:hAnsi="Arial" w:cs="Arial"/>
                <w:b/>
              </w:rPr>
              <w:t xml:space="preserve"> </w:t>
            </w:r>
            <w:r w:rsidR="00C42FF7" w:rsidRPr="00677CFD">
              <w:rPr>
                <w:rFonts w:ascii="Arial" w:hAnsi="Arial" w:cs="Arial"/>
              </w:rPr>
              <w:t xml:space="preserve">This study aims to evaluate the sterilization efficacy of a chemically enhanced glutaraldehyde solution using a 4-hour immersion protocol, compared to standard moist heat sterilization and 70% alcohol. </w:t>
            </w:r>
          </w:p>
          <w:p w14:paraId="4E823DD1" w14:textId="465C2C2A" w:rsidR="00BA1B01" w:rsidRPr="00677CFD" w:rsidRDefault="00BA1B01" w:rsidP="00441B6F">
            <w:pPr>
              <w:pStyle w:val="Body"/>
              <w:spacing w:after="0"/>
              <w:rPr>
                <w:rFonts w:ascii="Arial" w:eastAsia="Calibri" w:hAnsi="Arial" w:cs="Arial"/>
              </w:rPr>
            </w:pPr>
            <w:r w:rsidRPr="00677CFD">
              <w:rPr>
                <w:rFonts w:ascii="Arial" w:eastAsia="Calibri" w:hAnsi="Arial" w:cs="Arial"/>
                <w:b/>
              </w:rPr>
              <w:t>Study design:</w:t>
            </w:r>
            <w:r w:rsidRPr="00677CFD">
              <w:rPr>
                <w:rFonts w:ascii="Arial" w:eastAsia="Calibri" w:hAnsi="Arial" w:cs="Arial"/>
              </w:rPr>
              <w:t xml:space="preserve"> </w:t>
            </w:r>
            <w:r w:rsidR="001F79FB" w:rsidRPr="001F79FB">
              <w:rPr>
                <w:rFonts w:ascii="Arial" w:eastAsia="Calibri" w:hAnsi="Arial" w:cs="Arial"/>
                <w:i/>
                <w:iCs/>
              </w:rPr>
              <w:t>In vitro</w:t>
            </w:r>
            <w:r w:rsidR="00D34896" w:rsidRPr="00677CFD">
              <w:rPr>
                <w:rFonts w:ascii="Arial" w:hAnsi="Arial" w:cs="Arial"/>
              </w:rPr>
              <w:t xml:space="preserve"> Comparative study </w:t>
            </w:r>
          </w:p>
          <w:p w14:paraId="758A5F54" w14:textId="61161FC1" w:rsidR="00BA1B01" w:rsidRPr="00677CFD" w:rsidRDefault="00BA1B01" w:rsidP="00441B6F">
            <w:pPr>
              <w:pStyle w:val="Body"/>
              <w:spacing w:after="0"/>
              <w:rPr>
                <w:rFonts w:ascii="Arial" w:eastAsia="Calibri" w:hAnsi="Arial" w:cs="Arial"/>
              </w:rPr>
            </w:pPr>
            <w:r w:rsidRPr="00677CFD">
              <w:rPr>
                <w:rFonts w:ascii="Arial" w:eastAsia="Calibri" w:hAnsi="Arial" w:cs="Arial"/>
                <w:b/>
              </w:rPr>
              <w:t>Place and Duration of Study:</w:t>
            </w:r>
            <w:r w:rsidRPr="00677CFD">
              <w:rPr>
                <w:rFonts w:ascii="Arial" w:eastAsia="Calibri" w:hAnsi="Arial" w:cs="Arial"/>
              </w:rPr>
              <w:t xml:space="preserve"> </w:t>
            </w:r>
            <w:r w:rsidR="00D34896" w:rsidRPr="00677CFD">
              <w:rPr>
                <w:rFonts w:ascii="Arial" w:hAnsi="Arial" w:cs="Arial"/>
              </w:rPr>
              <w:t>Department of Pediatric and Preventive Dentistry, in collaboration with the Department of Microbiology, at Mar Baselios Dental College, between July 2025 and December 2025.</w:t>
            </w:r>
          </w:p>
          <w:p w14:paraId="587802A4" w14:textId="32FDA2CA" w:rsidR="00BA1B01" w:rsidRPr="00677CFD" w:rsidRDefault="00BA1B01" w:rsidP="00441B6F">
            <w:pPr>
              <w:pStyle w:val="Body"/>
              <w:spacing w:after="0"/>
              <w:rPr>
                <w:rFonts w:ascii="Arial" w:eastAsia="Calibri" w:hAnsi="Arial" w:cs="Arial"/>
              </w:rPr>
            </w:pPr>
            <w:r w:rsidRPr="00677CFD">
              <w:rPr>
                <w:rFonts w:ascii="Arial" w:eastAsia="Calibri" w:hAnsi="Arial" w:cs="Arial"/>
                <w:b/>
                <w:bCs/>
              </w:rPr>
              <w:t>Methodology:</w:t>
            </w:r>
            <w:r w:rsidRPr="00677CFD">
              <w:rPr>
                <w:rFonts w:ascii="Arial" w:eastAsia="Calibri" w:hAnsi="Arial" w:cs="Arial"/>
              </w:rPr>
              <w:t xml:space="preserve"> </w:t>
            </w:r>
            <w:r w:rsidR="00D34896" w:rsidRPr="00677CFD">
              <w:rPr>
                <w:rFonts w:ascii="Arial" w:hAnsi="Arial" w:cs="Arial"/>
              </w:rPr>
              <w:t xml:space="preserve">A total of 120 clinically contaminated instruments (diamond burs, hand K-files, and rotary </w:t>
            </w:r>
            <w:proofErr w:type="spellStart"/>
            <w:r w:rsidR="00D34896" w:rsidRPr="00677CFD">
              <w:rPr>
                <w:rFonts w:ascii="Arial" w:hAnsi="Arial" w:cs="Arial"/>
              </w:rPr>
              <w:t>NiTi</w:t>
            </w:r>
            <w:proofErr w:type="spellEnd"/>
            <w:r w:rsidR="00D34896" w:rsidRPr="00677CFD">
              <w:rPr>
                <w:rFonts w:ascii="Arial" w:hAnsi="Arial" w:cs="Arial"/>
              </w:rPr>
              <w:t xml:space="preserve"> files) were divided into four groups (n=30): Group A (70% Isopropyl Alcohol), Group B (4-hr Glutaraldehyde solution), Group C (Autoclave) and Group D (Control). Post-treatment, samples were </w:t>
            </w:r>
            <w:r w:rsidR="00A4412C">
              <w:rPr>
                <w:rFonts w:ascii="Arial" w:hAnsi="Arial" w:cs="Arial"/>
              </w:rPr>
              <w:t xml:space="preserve">incubated in </w:t>
            </w:r>
            <w:r w:rsidR="00A4412C" w:rsidRPr="00677CFD">
              <w:rPr>
                <w:rFonts w:ascii="Arial" w:hAnsi="Arial" w:cs="Arial"/>
              </w:rPr>
              <w:t>Brain Heart Infusion</w:t>
            </w:r>
            <w:r w:rsidR="00A4412C">
              <w:rPr>
                <w:rFonts w:ascii="Arial" w:hAnsi="Arial" w:cs="Arial"/>
              </w:rPr>
              <w:t xml:space="preserve"> Broth</w:t>
            </w:r>
            <w:r w:rsidR="00D34896" w:rsidRPr="00677CFD">
              <w:rPr>
                <w:rFonts w:ascii="Arial" w:hAnsi="Arial" w:cs="Arial"/>
              </w:rPr>
              <w:t xml:space="preserve"> and plated on Brain Heart Infusion (BHI) agar to quantify Colony Forming Units (CFU/mL)</w:t>
            </w:r>
          </w:p>
          <w:p w14:paraId="4EDA1491" w14:textId="654F561E" w:rsidR="00D34896" w:rsidRPr="00645A8C" w:rsidRDefault="00BA1B01" w:rsidP="00441B6F">
            <w:pPr>
              <w:pStyle w:val="Body"/>
              <w:spacing w:after="0"/>
              <w:rPr>
                <w:rFonts w:ascii="Arial" w:eastAsia="Calibri" w:hAnsi="Arial" w:cs="Arial"/>
                <w:color w:val="000000" w:themeColor="text1"/>
              </w:rPr>
            </w:pPr>
            <w:r w:rsidRPr="00677CFD">
              <w:rPr>
                <w:rFonts w:ascii="Arial" w:eastAsia="Calibri" w:hAnsi="Arial" w:cs="Arial"/>
                <w:b/>
                <w:bCs/>
              </w:rPr>
              <w:t>Results:</w:t>
            </w:r>
            <w:r w:rsidRPr="00677CFD">
              <w:rPr>
                <w:rFonts w:ascii="Arial" w:eastAsia="Calibri" w:hAnsi="Arial" w:cs="Arial"/>
              </w:rPr>
              <w:t xml:space="preserve"> </w:t>
            </w:r>
            <w:r w:rsidR="00D34896" w:rsidRPr="00677CFD">
              <w:rPr>
                <w:rFonts w:ascii="Arial" w:hAnsi="Arial" w:cs="Arial"/>
              </w:rPr>
              <w:t xml:space="preserve">Both the Autoclave and 4-hour glutaraldehyde solution groups achieved </w:t>
            </w:r>
            <w:r w:rsidR="00A4412C">
              <w:rPr>
                <w:rFonts w:ascii="Arial" w:hAnsi="Arial" w:cs="Arial"/>
              </w:rPr>
              <w:t>complete elimination of viable microorganisms.</w:t>
            </w:r>
            <w:r w:rsidR="00D34896" w:rsidRPr="00677CFD">
              <w:rPr>
                <w:rFonts w:ascii="Arial" w:hAnsi="Arial" w:cs="Arial"/>
              </w:rPr>
              <w:t xml:space="preserve"> </w:t>
            </w:r>
            <w:r w:rsidR="00A4412C" w:rsidRPr="00645A8C">
              <w:rPr>
                <w:rFonts w:ascii="Arial" w:hAnsi="Arial" w:cs="Arial"/>
                <w:color w:val="000000" w:themeColor="text1"/>
              </w:rPr>
              <w:t>S</w:t>
            </w:r>
            <w:r w:rsidR="00D34896" w:rsidRPr="00645A8C">
              <w:rPr>
                <w:rFonts w:ascii="Arial" w:hAnsi="Arial" w:cs="Arial"/>
                <w:color w:val="000000" w:themeColor="text1"/>
              </w:rPr>
              <w:t xml:space="preserve">tatistical analysis </w:t>
            </w:r>
            <w:r w:rsidR="00D85F5E" w:rsidRPr="00645A8C">
              <w:rPr>
                <w:rFonts w:ascii="Arial" w:hAnsi="Arial" w:cs="Arial"/>
                <w:color w:val="000000" w:themeColor="text1"/>
              </w:rPr>
              <w:t>via ANOVA and Tukey's post-hoc test revealed no significant difference in efficacy between the two methods (</w:t>
            </w:r>
            <w:r w:rsidR="00CE1D38">
              <w:rPr>
                <w:rFonts w:ascii="Arial" w:hAnsi="Arial" w:cs="Arial"/>
                <w:i/>
                <w:iCs/>
                <w:color w:val="000000" w:themeColor="text1"/>
              </w:rPr>
              <w:t>P</w:t>
            </w:r>
            <w:r w:rsidR="00D85F5E" w:rsidRPr="00645A8C">
              <w:rPr>
                <w:rFonts w:ascii="Arial" w:hAnsi="Arial" w:cs="Arial"/>
                <w:color w:val="000000" w:themeColor="text1"/>
              </w:rPr>
              <w:t xml:space="preserve"> &gt;.05). Conversely, 70% alcohol demonstrated significantly inferior performance, leaving residual contamination on all instrument types (</w:t>
            </w:r>
            <w:r w:rsidR="00CE1D38">
              <w:rPr>
                <w:rFonts w:ascii="Arial" w:hAnsi="Arial" w:cs="Arial"/>
                <w:i/>
                <w:iCs/>
                <w:color w:val="000000" w:themeColor="text1"/>
              </w:rPr>
              <w:t>P</w:t>
            </w:r>
            <w:r w:rsidR="00D85F5E" w:rsidRPr="00645A8C">
              <w:rPr>
                <w:rFonts w:ascii="Arial" w:hAnsi="Arial" w:cs="Arial"/>
                <w:color w:val="000000" w:themeColor="text1"/>
              </w:rPr>
              <w:t xml:space="preserve"> &lt; .001).</w:t>
            </w:r>
          </w:p>
          <w:p w14:paraId="53D9BDD9" w14:textId="419EB533" w:rsidR="00D34896" w:rsidRPr="00677CFD" w:rsidRDefault="00BA1B01" w:rsidP="00D34896">
            <w:pPr>
              <w:jc w:val="both"/>
              <w:rPr>
                <w:rFonts w:ascii="Arial" w:hAnsi="Arial" w:cs="Arial"/>
              </w:rPr>
            </w:pPr>
            <w:r w:rsidRPr="00677CFD">
              <w:rPr>
                <w:rFonts w:ascii="Arial" w:eastAsia="Calibri" w:hAnsi="Arial" w:cs="Arial"/>
                <w:b/>
                <w:bCs/>
              </w:rPr>
              <w:t>Conclusion:</w:t>
            </w:r>
            <w:r w:rsidRPr="00677CFD">
              <w:rPr>
                <w:rFonts w:ascii="Arial" w:eastAsia="Calibri" w:hAnsi="Arial" w:cs="Arial"/>
              </w:rPr>
              <w:t xml:space="preserve"> </w:t>
            </w:r>
            <w:r w:rsidR="00CB7B74" w:rsidRPr="00CB7B74">
              <w:rPr>
                <w:rFonts w:ascii="Arial" w:eastAsia="Calibri" w:hAnsi="Arial" w:cs="Arial"/>
              </w:rPr>
              <w:t>The 4-hour glutaraldehyde protocol is an ideal decontamination method, demonstrating microbial reduction levels comparable to the efficacy achieved by autoclaving</w:t>
            </w:r>
            <w:r w:rsidR="00D34896" w:rsidRPr="00677CFD">
              <w:rPr>
                <w:rFonts w:ascii="Arial" w:hAnsi="Arial" w:cs="Arial"/>
                <w:b/>
                <w:bCs/>
              </w:rPr>
              <w:t xml:space="preserve">. </w:t>
            </w:r>
            <w:r w:rsidR="00D34896" w:rsidRPr="00677CFD">
              <w:rPr>
                <w:rFonts w:ascii="Arial" w:hAnsi="Arial" w:cs="Arial"/>
              </w:rPr>
              <w:t>This offers a time-efficient and non-corrosive alternative for maintaining the longevity of heat-sensitive dental instruments</w:t>
            </w:r>
            <w:r w:rsidR="00D34896" w:rsidRPr="00677CFD">
              <w:rPr>
                <w:rFonts w:ascii="Arial" w:hAnsi="Arial" w:cs="Arial"/>
                <w:b/>
                <w:bCs/>
              </w:rPr>
              <w:t>.</w:t>
            </w:r>
          </w:p>
          <w:p w14:paraId="12B10FE4" w14:textId="63550665" w:rsidR="00D34896" w:rsidRPr="00677CFD" w:rsidRDefault="00D34896" w:rsidP="00D34896">
            <w:pPr>
              <w:pStyle w:val="Body"/>
              <w:spacing w:after="0"/>
              <w:rPr>
                <w:rFonts w:ascii="Arial" w:eastAsia="Calibri" w:hAnsi="Arial" w:cs="Arial"/>
              </w:rPr>
            </w:pPr>
          </w:p>
          <w:p w14:paraId="2DBB67A2" w14:textId="0F16A351" w:rsidR="00505F06" w:rsidRPr="00677CFD" w:rsidRDefault="00505F06" w:rsidP="00441B6F">
            <w:pPr>
              <w:pStyle w:val="Body"/>
              <w:spacing w:after="0"/>
              <w:rPr>
                <w:rFonts w:ascii="Arial" w:eastAsia="Calibri" w:hAnsi="Arial" w:cs="Arial"/>
              </w:rPr>
            </w:pPr>
          </w:p>
        </w:tc>
      </w:tr>
    </w:tbl>
    <w:p w14:paraId="297F153F" w14:textId="77777777" w:rsidR="00FF54D1" w:rsidRPr="00677CFD" w:rsidRDefault="00FF54D1" w:rsidP="007C2708">
      <w:pPr>
        <w:jc w:val="both"/>
        <w:rPr>
          <w:rFonts w:ascii="Arial" w:hAnsi="Arial" w:cs="Arial"/>
          <w:i/>
        </w:rPr>
      </w:pPr>
    </w:p>
    <w:p w14:paraId="632DB718" w14:textId="340AF411" w:rsidR="007C2708" w:rsidRDefault="00A24E7E" w:rsidP="007C2708">
      <w:pPr>
        <w:jc w:val="both"/>
        <w:rPr>
          <w:rFonts w:ascii="Arial" w:hAnsi="Arial" w:cs="Arial"/>
          <w:i/>
          <w:iCs/>
        </w:rPr>
      </w:pPr>
      <w:r w:rsidRPr="00677CFD">
        <w:rPr>
          <w:rFonts w:ascii="Arial" w:hAnsi="Arial" w:cs="Arial"/>
          <w:i/>
        </w:rPr>
        <w:t xml:space="preserve">Keywords: </w:t>
      </w:r>
      <w:r w:rsidR="007C2708" w:rsidRPr="00677CFD">
        <w:rPr>
          <w:rFonts w:ascii="Arial" w:hAnsi="Arial" w:cs="Arial"/>
          <w:i/>
          <w:iCs/>
        </w:rPr>
        <w:t>Sterili</w:t>
      </w:r>
      <w:r w:rsidR="00FE1D5B">
        <w:rPr>
          <w:rFonts w:ascii="Arial" w:hAnsi="Arial" w:cs="Arial"/>
          <w:i/>
          <w:iCs/>
        </w:rPr>
        <w:t>z</w:t>
      </w:r>
      <w:r w:rsidR="007C2708" w:rsidRPr="00677CFD">
        <w:rPr>
          <w:rFonts w:ascii="Arial" w:hAnsi="Arial" w:cs="Arial"/>
          <w:i/>
          <w:iCs/>
        </w:rPr>
        <w:t>ation, Glutaraldehyde, Autoclave, Dental Burs, Endodontic Files, Microbial Load, Infection Control</w:t>
      </w:r>
    </w:p>
    <w:p w14:paraId="6C65A2F9" w14:textId="77777777" w:rsidR="00A70E69" w:rsidRPr="00677CFD" w:rsidRDefault="00A70E69" w:rsidP="007C2708">
      <w:pPr>
        <w:jc w:val="both"/>
        <w:rPr>
          <w:rFonts w:ascii="Arial" w:hAnsi="Arial" w:cs="Arial"/>
        </w:rPr>
      </w:pPr>
    </w:p>
    <w:p w14:paraId="7AB7C125" w14:textId="77777777" w:rsidR="00677CFD" w:rsidRPr="00A70E69" w:rsidRDefault="00677CFD" w:rsidP="0073764A">
      <w:pPr>
        <w:pStyle w:val="AbstHead"/>
        <w:spacing w:after="0"/>
        <w:jc w:val="both"/>
        <w:rPr>
          <w:rFonts w:ascii="Arial" w:hAnsi="Arial" w:cs="Arial"/>
          <w:szCs w:val="22"/>
        </w:rPr>
      </w:pPr>
      <w:r w:rsidRPr="00A70E69">
        <w:rPr>
          <w:rFonts w:ascii="Arial" w:hAnsi="Arial" w:cs="Arial"/>
          <w:szCs w:val="22"/>
        </w:rPr>
        <w:t xml:space="preserve">1. INTRODUCTION </w:t>
      </w:r>
    </w:p>
    <w:p w14:paraId="76799BE7" w14:textId="77777777" w:rsidR="00677CFD" w:rsidRPr="00677CFD" w:rsidRDefault="00677CFD" w:rsidP="00677CFD">
      <w:pPr>
        <w:pStyle w:val="AbstHead"/>
        <w:spacing w:after="0"/>
        <w:rPr>
          <w:rFonts w:ascii="Arial" w:hAnsi="Arial" w:cs="Arial"/>
          <w:sz w:val="24"/>
          <w:szCs w:val="24"/>
        </w:rPr>
      </w:pPr>
    </w:p>
    <w:p w14:paraId="325EE9AD" w14:textId="0DB121B0" w:rsidR="00677CFD" w:rsidRPr="00A70E69" w:rsidRDefault="00677CFD" w:rsidP="00A70E69">
      <w:pPr>
        <w:jc w:val="both"/>
        <w:rPr>
          <w:rFonts w:ascii="Arial" w:hAnsi="Arial" w:cs="Arial"/>
          <w:lang w:val="en-IN"/>
        </w:rPr>
      </w:pPr>
      <w:r w:rsidRPr="00A70E69">
        <w:rPr>
          <w:rFonts w:ascii="Arial" w:hAnsi="Arial" w:cs="Arial"/>
          <w:lang w:val="en-IN"/>
        </w:rPr>
        <w:t>Decontamination is defined as the disinfection or sterilization of toxin or agent-contaminated articles to make them safe for use or disposal (</w:t>
      </w:r>
      <w:r w:rsidRPr="00A70E69">
        <w:rPr>
          <w:rFonts w:ascii="Arial" w:hAnsi="Arial" w:cs="Arial"/>
        </w:rPr>
        <w:t xml:space="preserve">Hawley and </w:t>
      </w:r>
      <w:proofErr w:type="spellStart"/>
      <w:r w:rsidRPr="00A70E69">
        <w:rPr>
          <w:rFonts w:ascii="Arial" w:hAnsi="Arial" w:cs="Arial"/>
        </w:rPr>
        <w:t>Kozlovac</w:t>
      </w:r>
      <w:proofErr w:type="spellEnd"/>
      <w:r w:rsidRPr="00A70E69">
        <w:rPr>
          <w:rFonts w:ascii="Arial" w:hAnsi="Arial" w:cs="Arial"/>
        </w:rPr>
        <w:t>, 2005)</w:t>
      </w:r>
      <w:r w:rsidRPr="00A70E69">
        <w:rPr>
          <w:rFonts w:ascii="Arial" w:hAnsi="Arial" w:cs="Arial"/>
          <w:lang w:val="en-IN"/>
        </w:rPr>
        <w:t xml:space="preserve">. </w:t>
      </w:r>
      <w:r w:rsidRPr="00A70E69">
        <w:rPr>
          <w:rFonts w:ascii="Arial" w:hAnsi="Arial" w:cs="Arial"/>
        </w:rPr>
        <w:t xml:space="preserve">In modern dental practice, the strict sterilization of instruments that enter sterile tissues or the vascular system </w:t>
      </w:r>
      <w:r w:rsidRPr="00A70E69">
        <w:rPr>
          <w:rFonts w:ascii="Arial" w:hAnsi="Arial" w:cs="Arial"/>
        </w:rPr>
        <w:lastRenderedPageBreak/>
        <w:t xml:space="preserve">is non-negotiable for the prevention of cross-contamination. Endodontic files and dental burs, often heavily contaminated with necrotic pulp tissue, blood, and saliva, pose a unique challenge due to their complex geometry and flutes, which can </w:t>
      </w:r>
      <w:r w:rsidR="00F30AFC" w:rsidRPr="00A70E69">
        <w:rPr>
          <w:rFonts w:ascii="Arial" w:hAnsi="Arial" w:cs="Arial"/>
        </w:rPr>
        <w:t>harbor</w:t>
      </w:r>
      <w:r w:rsidRPr="00A70E69">
        <w:rPr>
          <w:rFonts w:ascii="Arial" w:hAnsi="Arial" w:cs="Arial"/>
        </w:rPr>
        <w:t xml:space="preserve"> pathogens such as </w:t>
      </w:r>
      <w:r w:rsidRPr="00A70E69">
        <w:rPr>
          <w:rFonts w:ascii="Arial" w:hAnsi="Arial" w:cs="Arial"/>
          <w:i/>
          <w:iCs/>
        </w:rPr>
        <w:t>Enterococcus faecalis</w:t>
      </w:r>
      <w:r w:rsidRPr="00A70E69">
        <w:rPr>
          <w:rFonts w:ascii="Arial" w:hAnsi="Arial" w:cs="Arial"/>
        </w:rPr>
        <w:t xml:space="preserve"> and </w:t>
      </w:r>
      <w:r w:rsidRPr="00A70E69">
        <w:rPr>
          <w:rFonts w:ascii="Arial" w:hAnsi="Arial" w:cs="Arial"/>
          <w:i/>
          <w:iCs/>
        </w:rPr>
        <w:t>Candida albicans</w:t>
      </w:r>
      <w:r w:rsidRPr="00A70E69">
        <w:rPr>
          <w:rFonts w:ascii="Arial" w:hAnsi="Arial" w:cs="Arial"/>
        </w:rPr>
        <w:t xml:space="preserve"> (Yenni </w:t>
      </w:r>
      <w:r w:rsidRPr="00A70E69">
        <w:rPr>
          <w:rFonts w:ascii="Arial" w:hAnsi="Arial" w:cs="Arial"/>
          <w:i/>
          <w:iCs/>
        </w:rPr>
        <w:t>et al</w:t>
      </w:r>
      <w:r w:rsidRPr="00A70E69">
        <w:rPr>
          <w:rFonts w:ascii="Arial" w:hAnsi="Arial" w:cs="Arial"/>
        </w:rPr>
        <w:t xml:space="preserve">.,2017; Pooja </w:t>
      </w:r>
      <w:r w:rsidRPr="00A70E69">
        <w:rPr>
          <w:rFonts w:ascii="Arial" w:hAnsi="Arial" w:cs="Arial"/>
          <w:i/>
          <w:iCs/>
        </w:rPr>
        <w:t>et al</w:t>
      </w:r>
      <w:r w:rsidRPr="00A70E69">
        <w:rPr>
          <w:rFonts w:ascii="Arial" w:hAnsi="Arial" w:cs="Arial"/>
        </w:rPr>
        <w:t>.,2022).</w:t>
      </w:r>
      <w:r w:rsidR="00F30AFC" w:rsidRPr="00A70E69">
        <w:rPr>
          <w:rFonts w:ascii="Arial" w:hAnsi="Arial" w:cs="Arial"/>
        </w:rPr>
        <w:t xml:space="preserve"> </w:t>
      </w:r>
      <w:r w:rsidR="00F30AFC" w:rsidRPr="00645A8C">
        <w:rPr>
          <w:rFonts w:ascii="Arial" w:hAnsi="Arial" w:cs="Arial"/>
          <w:color w:val="000000" w:themeColor="text1"/>
        </w:rPr>
        <w:t>Recent investigations have further complicated this paradigm by demonstrating that even newly manufactured, seemingly pristine endodontic files frequently harbor viable bacterial spores directly from their commercial packaging, mandating rigorous pre-sterilization before their first clinical application (Surender et al., 2023). Furthermore, the microscopic surface roughness and topographical irregularities of these metallic instruments heavily dictate the degree of debris retention, rendering basic wiping or soaking protocols highly unpredictable (</w:t>
      </w:r>
      <w:proofErr w:type="spellStart"/>
      <w:r w:rsidR="00F30AFC" w:rsidRPr="00645A8C">
        <w:rPr>
          <w:rFonts w:ascii="Arial" w:hAnsi="Arial" w:cs="Arial"/>
          <w:color w:val="000000" w:themeColor="text1"/>
        </w:rPr>
        <w:t>Almohareb</w:t>
      </w:r>
      <w:proofErr w:type="spellEnd"/>
      <w:r w:rsidR="00F30AFC" w:rsidRPr="00645A8C">
        <w:rPr>
          <w:rFonts w:ascii="Arial" w:hAnsi="Arial" w:cs="Arial"/>
          <w:color w:val="000000" w:themeColor="text1"/>
        </w:rPr>
        <w:t xml:space="preserve"> et al., 2025).</w:t>
      </w:r>
      <w:r w:rsidRPr="00645A8C">
        <w:rPr>
          <w:rFonts w:ascii="Arial" w:hAnsi="Arial" w:cs="Arial"/>
          <w:color w:val="000000" w:themeColor="text1"/>
        </w:rPr>
        <w:t xml:space="preserve"> While liquid chemical sterilization, often referred to as cold sterilization, is </w:t>
      </w:r>
      <w:r w:rsidRPr="00A70E69">
        <w:rPr>
          <w:rFonts w:ascii="Arial" w:hAnsi="Arial" w:cs="Arial"/>
        </w:rPr>
        <w:t xml:space="preserve">a common alternative to heat-based methods, its protocols remain inconsistent. Previous literature indicates that standard 2% glutaraldehyde requires a full 12-hour immersion to achieve complete sterilization, whereas shorter durations, such as 30 minutes, have been proven unreliable for eliminating resistant microbial loads. (Yenni </w:t>
      </w:r>
      <w:r w:rsidRPr="00A70E69">
        <w:rPr>
          <w:rFonts w:ascii="Arial" w:hAnsi="Arial" w:cs="Arial"/>
          <w:i/>
          <w:iCs/>
        </w:rPr>
        <w:t>et al</w:t>
      </w:r>
      <w:r w:rsidRPr="00A70E69">
        <w:rPr>
          <w:rFonts w:ascii="Arial" w:hAnsi="Arial" w:cs="Arial"/>
        </w:rPr>
        <w:t xml:space="preserve">.,2017; Kumar </w:t>
      </w:r>
      <w:r w:rsidRPr="00A70E69">
        <w:rPr>
          <w:rFonts w:ascii="Arial" w:hAnsi="Arial" w:cs="Arial"/>
          <w:i/>
          <w:iCs/>
        </w:rPr>
        <w:t>et al</w:t>
      </w:r>
      <w:r w:rsidRPr="00A70E69">
        <w:rPr>
          <w:rFonts w:ascii="Arial" w:hAnsi="Arial" w:cs="Arial"/>
        </w:rPr>
        <w:t xml:space="preserve"> 2015). This significant variability necessitates a standardized, time-efficient protocol that bridges the gap between efficacy and clinical practicality. To address this, enhanced aldehyde formulations have been developed that combine glutaraldehyde with synergists like 1,6-dihydroxy-2,5-dioxahexane. These chemically advanced solutions are designed to achieve sporicidal activity in just 4 hours while incorporating corrosion inhibitors to protect delicate instruments. Despite </w:t>
      </w:r>
      <w:r w:rsidR="00F30AFC" w:rsidRPr="00A70E69">
        <w:rPr>
          <w:rFonts w:ascii="Arial" w:hAnsi="Arial" w:cs="Arial"/>
        </w:rPr>
        <w:t xml:space="preserve">the </w:t>
      </w:r>
      <w:r w:rsidRPr="00A70E69">
        <w:rPr>
          <w:rFonts w:ascii="Arial" w:hAnsi="Arial" w:cs="Arial"/>
        </w:rPr>
        <w:t xml:space="preserve">moist heat sterilization method, autoclaving </w:t>
      </w:r>
      <w:r w:rsidR="008359C4" w:rsidRPr="00A70E69">
        <w:rPr>
          <w:rFonts w:ascii="Arial" w:hAnsi="Arial" w:cs="Arial"/>
        </w:rPr>
        <w:t>remains</w:t>
      </w:r>
      <w:r w:rsidRPr="00A70E69">
        <w:rPr>
          <w:rFonts w:ascii="Arial" w:hAnsi="Arial" w:cs="Arial"/>
        </w:rPr>
        <w:t xml:space="preserve"> the gold standard for infection control, </w:t>
      </w:r>
      <w:r w:rsidR="00F30AFC" w:rsidRPr="00A70E69">
        <w:rPr>
          <w:rFonts w:ascii="Arial" w:hAnsi="Arial" w:cs="Arial"/>
        </w:rPr>
        <w:t xml:space="preserve">but </w:t>
      </w:r>
      <w:r w:rsidRPr="00A70E69">
        <w:rPr>
          <w:rFonts w:ascii="Arial" w:hAnsi="Arial" w:cs="Arial"/>
        </w:rPr>
        <w:t xml:space="preserve">has notable demerits regarding instrument longevity. Repeated exposure to high temperatures </w:t>
      </w:r>
      <w:r w:rsidR="00F30AFC" w:rsidRPr="00A70E69">
        <w:rPr>
          <w:rFonts w:ascii="Arial" w:hAnsi="Arial" w:cs="Arial"/>
        </w:rPr>
        <w:t>up to</w:t>
      </w:r>
      <w:r w:rsidRPr="00A70E69">
        <w:rPr>
          <w:rFonts w:ascii="Arial" w:hAnsi="Arial" w:cs="Arial"/>
        </w:rPr>
        <w:t xml:space="preserve"> 121°C and pressure often leads to the corrosion of carbon steel and the dulling of cutting edges on </w:t>
      </w:r>
      <w:proofErr w:type="spellStart"/>
      <w:r w:rsidRPr="00A70E69">
        <w:rPr>
          <w:rFonts w:ascii="Arial" w:hAnsi="Arial" w:cs="Arial"/>
        </w:rPr>
        <w:t>NiTi</w:t>
      </w:r>
      <w:proofErr w:type="spellEnd"/>
      <w:r w:rsidRPr="00A70E69">
        <w:rPr>
          <w:rFonts w:ascii="Arial" w:hAnsi="Arial" w:cs="Arial"/>
        </w:rPr>
        <w:t xml:space="preserve"> files, significantly reducing their clinical lifespan and efficiency (Zhao </w:t>
      </w:r>
      <w:r w:rsidRPr="00A70E69">
        <w:rPr>
          <w:rFonts w:ascii="Arial" w:hAnsi="Arial" w:cs="Arial"/>
          <w:i/>
          <w:iCs/>
        </w:rPr>
        <w:t>et al</w:t>
      </w:r>
      <w:r w:rsidRPr="00A70E69">
        <w:rPr>
          <w:rFonts w:ascii="Arial" w:hAnsi="Arial" w:cs="Arial"/>
        </w:rPr>
        <w:t xml:space="preserve">., 2016). Consequently, there is a pressing need for a sterilization method that balances high-level disinfection with instrument preservation. Therefore, the rationale of this study was to identify a reliable alternative that mitigates thermal damage without compromising patient safety. The aim of this </w:t>
      </w:r>
      <w:r w:rsidR="001F79FB" w:rsidRPr="00A70E69">
        <w:rPr>
          <w:rFonts w:ascii="Arial" w:hAnsi="Arial" w:cs="Arial"/>
          <w:i/>
          <w:iCs/>
        </w:rPr>
        <w:t>in vitro</w:t>
      </w:r>
      <w:r w:rsidRPr="00A70E69">
        <w:rPr>
          <w:rFonts w:ascii="Arial" w:hAnsi="Arial" w:cs="Arial"/>
        </w:rPr>
        <w:t xml:space="preserve"> comparative study was to evaluate whether the alcohol and 4-hour glutaraldehyde solution can match the </w:t>
      </w:r>
      <w:r w:rsidR="00F30AFC" w:rsidRPr="00A70E69">
        <w:rPr>
          <w:rFonts w:ascii="Arial" w:hAnsi="Arial" w:cs="Arial"/>
        </w:rPr>
        <w:t>decontamination</w:t>
      </w:r>
      <w:r w:rsidRPr="00A70E69">
        <w:rPr>
          <w:rFonts w:ascii="Arial" w:hAnsi="Arial" w:cs="Arial"/>
        </w:rPr>
        <w:t xml:space="preserve"> efficacy of the standard autoclave on contaminated dental burs and endodontic files.</w:t>
      </w:r>
    </w:p>
    <w:p w14:paraId="2BE9761E" w14:textId="77777777" w:rsidR="00677CFD" w:rsidRPr="00677CFD" w:rsidRDefault="00677CFD" w:rsidP="00677CFD">
      <w:pPr>
        <w:pStyle w:val="Body"/>
        <w:spacing w:after="0"/>
        <w:jc w:val="left"/>
        <w:rPr>
          <w:rFonts w:ascii="Arial" w:hAnsi="Arial" w:cs="Arial"/>
          <w:sz w:val="24"/>
          <w:szCs w:val="24"/>
        </w:rPr>
      </w:pPr>
    </w:p>
    <w:p w14:paraId="366515C5" w14:textId="77777777" w:rsidR="00677CFD" w:rsidRPr="00A70E69" w:rsidRDefault="00677CFD" w:rsidP="00677CFD">
      <w:pPr>
        <w:pStyle w:val="AbstHead"/>
        <w:spacing w:after="0"/>
        <w:rPr>
          <w:rFonts w:ascii="Arial" w:hAnsi="Arial" w:cs="Arial"/>
          <w:szCs w:val="22"/>
        </w:rPr>
      </w:pPr>
      <w:bookmarkStart w:id="0" w:name="_Hlk222994982"/>
      <w:r w:rsidRPr="00A70E69">
        <w:rPr>
          <w:rFonts w:ascii="Arial" w:hAnsi="Arial" w:cs="Arial"/>
          <w:szCs w:val="22"/>
        </w:rPr>
        <w:t>2. Materials and methods</w:t>
      </w:r>
    </w:p>
    <w:p w14:paraId="5F00FB3C" w14:textId="77777777" w:rsidR="00677CFD" w:rsidRPr="00677CFD" w:rsidRDefault="00677CFD" w:rsidP="00677CFD">
      <w:pPr>
        <w:pStyle w:val="AbstHead"/>
        <w:spacing w:after="0"/>
        <w:rPr>
          <w:rFonts w:ascii="Arial" w:hAnsi="Arial" w:cs="Arial"/>
          <w:sz w:val="24"/>
          <w:szCs w:val="24"/>
        </w:rPr>
      </w:pPr>
    </w:p>
    <w:p w14:paraId="43B31060" w14:textId="07B1B746" w:rsidR="00677CFD" w:rsidRPr="00781283" w:rsidRDefault="00677CFD" w:rsidP="00781283">
      <w:pPr>
        <w:pStyle w:val="Bibliography"/>
        <w:jc w:val="both"/>
        <w:rPr>
          <w:rFonts w:ascii="Arial" w:hAnsi="Arial" w:cs="Arial"/>
          <w:sz w:val="20"/>
          <w:szCs w:val="20"/>
          <w:lang w:val="en-US"/>
        </w:rPr>
      </w:pPr>
      <w:r w:rsidRPr="00781283">
        <w:rPr>
          <w:rFonts w:ascii="Arial" w:hAnsi="Arial" w:cs="Arial"/>
          <w:sz w:val="20"/>
          <w:szCs w:val="20"/>
        </w:rPr>
        <w:t xml:space="preserve">This </w:t>
      </w:r>
      <w:r w:rsidR="001F79FB" w:rsidRPr="00781283">
        <w:rPr>
          <w:rFonts w:ascii="Arial" w:hAnsi="Arial" w:cs="Arial"/>
          <w:i/>
          <w:iCs/>
          <w:sz w:val="20"/>
          <w:szCs w:val="20"/>
        </w:rPr>
        <w:t>in vitro</w:t>
      </w:r>
      <w:r w:rsidRPr="00781283">
        <w:rPr>
          <w:rFonts w:ascii="Arial" w:hAnsi="Arial" w:cs="Arial"/>
          <w:sz w:val="20"/>
          <w:szCs w:val="20"/>
        </w:rPr>
        <w:t xml:space="preserve"> study was conducted at the Department of </w:t>
      </w:r>
      <w:proofErr w:type="spellStart"/>
      <w:r w:rsidRPr="00781283">
        <w:rPr>
          <w:rFonts w:ascii="Arial" w:hAnsi="Arial" w:cs="Arial"/>
          <w:sz w:val="20"/>
          <w:szCs w:val="20"/>
        </w:rPr>
        <w:t>Pediatric</w:t>
      </w:r>
      <w:proofErr w:type="spellEnd"/>
      <w:r w:rsidRPr="00781283">
        <w:rPr>
          <w:rFonts w:ascii="Arial" w:hAnsi="Arial" w:cs="Arial"/>
          <w:sz w:val="20"/>
          <w:szCs w:val="20"/>
        </w:rPr>
        <w:t xml:space="preserve"> and Preventive Dentistry in collaboration with the Department of Microbiology at Mar Baselios Dental College, Kothamangalam, Ernakulam. The research was carried out over six months from July 2025 to December 2025, following ethical approval from the Institutional Review Board with Project number IEC/MBDC/022025/31</w:t>
      </w:r>
      <w:r w:rsidRPr="00FC3C34">
        <w:rPr>
          <w:rFonts w:ascii="Arial" w:hAnsi="Arial" w:cs="Arial"/>
          <w:color w:val="000000" w:themeColor="text1"/>
          <w:sz w:val="20"/>
          <w:szCs w:val="20"/>
        </w:rPr>
        <w:t xml:space="preserve">. </w:t>
      </w:r>
      <w:r w:rsidR="008359C4" w:rsidRPr="00FC3C34">
        <w:rPr>
          <w:rFonts w:ascii="Arial" w:hAnsi="Arial" w:cs="Arial"/>
          <w:color w:val="000000" w:themeColor="text1"/>
          <w:sz w:val="20"/>
          <w:szCs w:val="20"/>
          <w:lang w:val="en-US"/>
        </w:rPr>
        <w:t>The sample size was determined using G*Power software (α = 0.05, power = 80%, anticipated large effect size f = 0.53), which yielded a minimum requirement of 10 instruments per subgroup</w:t>
      </w:r>
      <w:r w:rsidR="008359C4" w:rsidRPr="00781283">
        <w:rPr>
          <w:rFonts w:ascii="Arial" w:hAnsi="Arial" w:cs="Arial"/>
          <w:sz w:val="20"/>
          <w:szCs w:val="20"/>
          <w:lang w:val="en-US"/>
        </w:rPr>
        <w:t xml:space="preserve">. </w:t>
      </w:r>
      <w:r w:rsidRPr="00781283">
        <w:rPr>
          <w:rFonts w:ascii="Arial" w:hAnsi="Arial" w:cs="Arial"/>
          <w:sz w:val="20"/>
          <w:szCs w:val="20"/>
        </w:rPr>
        <w:t xml:space="preserve">A total sample size of 120 instruments, was selected from dental procedures performed in 30 individuals, comprising of 40 Dental Diamond Burs (Mani, Inc., Tochigi, Japan), 40 Stainless Steel Hand K-files (Size 20, 21 mm; Mani, Inc., Tochigi, Japan) and 40 Rotary </w:t>
      </w:r>
      <w:proofErr w:type="spellStart"/>
      <w:r w:rsidRPr="00781283">
        <w:rPr>
          <w:rFonts w:ascii="Arial" w:hAnsi="Arial" w:cs="Arial"/>
          <w:sz w:val="20"/>
          <w:szCs w:val="20"/>
        </w:rPr>
        <w:t>NiTi</w:t>
      </w:r>
      <w:proofErr w:type="spellEnd"/>
      <w:r w:rsidRPr="00781283">
        <w:rPr>
          <w:rFonts w:ascii="Arial" w:hAnsi="Arial" w:cs="Arial"/>
          <w:sz w:val="20"/>
          <w:szCs w:val="20"/>
        </w:rPr>
        <w:t xml:space="preserve"> Files (</w:t>
      </w:r>
      <w:proofErr w:type="spellStart"/>
      <w:r w:rsidRPr="00781283">
        <w:rPr>
          <w:rFonts w:ascii="Arial" w:hAnsi="Arial" w:cs="Arial"/>
          <w:sz w:val="20"/>
          <w:szCs w:val="20"/>
        </w:rPr>
        <w:t>ProTaper</w:t>
      </w:r>
      <w:proofErr w:type="spellEnd"/>
      <w:r w:rsidRPr="00781283">
        <w:rPr>
          <w:rFonts w:ascii="Arial" w:hAnsi="Arial" w:cs="Arial"/>
          <w:sz w:val="20"/>
          <w:szCs w:val="20"/>
        </w:rPr>
        <w:t xml:space="preserve"> Gold; Dentsply Sirona, </w:t>
      </w:r>
      <w:proofErr w:type="spellStart"/>
      <w:r w:rsidRPr="00781283">
        <w:rPr>
          <w:rFonts w:ascii="Arial" w:hAnsi="Arial" w:cs="Arial"/>
          <w:sz w:val="20"/>
          <w:szCs w:val="20"/>
        </w:rPr>
        <w:t>Ballaigues</w:t>
      </w:r>
      <w:proofErr w:type="spellEnd"/>
      <w:r w:rsidRPr="00781283">
        <w:rPr>
          <w:rFonts w:ascii="Arial" w:hAnsi="Arial" w:cs="Arial"/>
          <w:sz w:val="20"/>
          <w:szCs w:val="20"/>
        </w:rPr>
        <w:t xml:space="preserve">, Switzerland). </w:t>
      </w:r>
      <w:r w:rsidRPr="00781283">
        <w:rPr>
          <w:rFonts w:ascii="Arial" w:hAnsi="Arial" w:cs="Arial"/>
          <w:sz w:val="20"/>
          <w:szCs w:val="20"/>
          <w:lang w:val="en-IN"/>
        </w:rPr>
        <w:t>All instruments were subjected to a standard pre-sterilization cycle before clinical use.</w:t>
      </w:r>
      <w:r w:rsidRPr="00781283">
        <w:rPr>
          <w:rFonts w:ascii="Arial" w:hAnsi="Arial" w:cs="Arial"/>
          <w:sz w:val="20"/>
          <w:szCs w:val="20"/>
        </w:rPr>
        <w:t xml:space="preserve"> The study samples were retrieved immediately following routine dental procedures, specifically cavity preparation using dental burs and biomechanical root canal preparation using endodontic files. Following the collection, instruments were rinsed with sterile Phosphate-Buffered Saline (PBS) to eliminate gross organic debris. </w:t>
      </w:r>
      <w:r w:rsidR="008359C4" w:rsidRPr="00FC3C34">
        <w:rPr>
          <w:rFonts w:ascii="Arial" w:hAnsi="Arial" w:cs="Arial"/>
          <w:color w:val="000000" w:themeColor="text1"/>
          <w:sz w:val="20"/>
          <w:szCs w:val="20"/>
          <w:lang w:val="en-US"/>
        </w:rPr>
        <w:t>To purposefully simulate a worst-case clinical scenario of bioburden challenge, mechanical cleaning via manual scrubbing or ultrasonic baths was intentionally omitted before the decontamination protocols.</w:t>
      </w:r>
      <w:r w:rsidRPr="00FC3C34">
        <w:rPr>
          <w:rFonts w:ascii="Arial" w:hAnsi="Arial" w:cs="Arial"/>
          <w:color w:val="000000" w:themeColor="text1"/>
          <w:sz w:val="20"/>
          <w:szCs w:val="20"/>
        </w:rPr>
        <w:t xml:space="preserve"> </w:t>
      </w:r>
      <w:r w:rsidRPr="00781283">
        <w:rPr>
          <w:rFonts w:ascii="Arial" w:hAnsi="Arial" w:cs="Arial"/>
          <w:sz w:val="20"/>
          <w:szCs w:val="20"/>
        </w:rPr>
        <w:t xml:space="preserve">Each type of </w:t>
      </w:r>
      <w:r w:rsidR="00010C50">
        <w:rPr>
          <w:rFonts w:ascii="Arial" w:hAnsi="Arial" w:cs="Arial"/>
          <w:sz w:val="20"/>
          <w:szCs w:val="20"/>
        </w:rPr>
        <w:t>instrument</w:t>
      </w:r>
      <w:r w:rsidRPr="00781283">
        <w:rPr>
          <w:rFonts w:ascii="Arial" w:hAnsi="Arial" w:cs="Arial"/>
          <w:sz w:val="20"/>
          <w:szCs w:val="20"/>
        </w:rPr>
        <w:t xml:space="preserve"> (n=40) was randomly divided into four groups consisting of 10 </w:t>
      </w:r>
      <w:r w:rsidRPr="00781283">
        <w:rPr>
          <w:rFonts w:ascii="Arial" w:hAnsi="Arial" w:cs="Arial"/>
          <w:sz w:val="20"/>
          <w:szCs w:val="20"/>
        </w:rPr>
        <w:lastRenderedPageBreak/>
        <w:t>instruments per group, representing 10 samples from different individuals</w:t>
      </w:r>
      <w:r w:rsidR="008359C4" w:rsidRPr="00781283">
        <w:rPr>
          <w:rFonts w:ascii="Arial" w:hAnsi="Arial" w:cs="Arial"/>
          <w:sz w:val="20"/>
          <w:szCs w:val="20"/>
        </w:rPr>
        <w:t xml:space="preserve">, </w:t>
      </w:r>
      <w:r w:rsidR="008359C4" w:rsidRPr="00010C50">
        <w:rPr>
          <w:rFonts w:ascii="Arial" w:hAnsi="Arial" w:cs="Arial"/>
          <w:color w:val="000000" w:themeColor="text1"/>
          <w:sz w:val="20"/>
          <w:szCs w:val="20"/>
          <w:lang w:val="en-US"/>
        </w:rPr>
        <w:t xml:space="preserve">using a computer-generated random number table to ensure unbiased allocation. </w:t>
      </w:r>
      <w:r w:rsidRPr="00781283">
        <w:rPr>
          <w:rFonts w:ascii="Arial" w:hAnsi="Arial" w:cs="Arial"/>
          <w:sz w:val="20"/>
          <w:szCs w:val="20"/>
        </w:rPr>
        <w:t>Group A included instruments decontaminated with alcohol. Instruments were fully immersed in a sterile glass container containing 70% Isopropyl Alcohol for 15 minutes. After immersion, instruments were retrieved aseptically, rinsed in distilled water and allowed to air-dry. Group B (</w:t>
      </w:r>
      <w:proofErr w:type="spellStart"/>
      <w:r w:rsidRPr="00781283">
        <w:rPr>
          <w:rFonts w:ascii="Arial" w:hAnsi="Arial" w:cs="Arial"/>
          <w:sz w:val="20"/>
          <w:szCs w:val="20"/>
        </w:rPr>
        <w:t>Korsolex</w:t>
      </w:r>
      <w:proofErr w:type="spellEnd"/>
      <w:r w:rsidRPr="00781283">
        <w:rPr>
          <w:rFonts w:ascii="Arial" w:hAnsi="Arial" w:cs="Arial"/>
          <w:sz w:val="20"/>
          <w:szCs w:val="20"/>
        </w:rPr>
        <w:t xml:space="preserve"> Rapid), instruments were immersed in a 5% solution of </w:t>
      </w:r>
      <w:proofErr w:type="spellStart"/>
      <w:r w:rsidRPr="00781283">
        <w:rPr>
          <w:rFonts w:ascii="Arial" w:hAnsi="Arial" w:cs="Arial"/>
          <w:sz w:val="20"/>
          <w:szCs w:val="20"/>
        </w:rPr>
        <w:t>Korsolex</w:t>
      </w:r>
      <w:proofErr w:type="spellEnd"/>
      <w:r w:rsidRPr="00781283">
        <w:rPr>
          <w:rFonts w:ascii="Arial" w:hAnsi="Arial" w:cs="Arial"/>
          <w:sz w:val="20"/>
          <w:szCs w:val="20"/>
        </w:rPr>
        <w:t xml:space="preserve"> Rapid (Bode Chemie/Raman &amp; Weil) for 4 hours as per the manufacturer's guidelines. Following immersion, the instruments were retrieved using </w:t>
      </w:r>
      <w:r w:rsidR="008359C4" w:rsidRPr="00781283">
        <w:rPr>
          <w:rFonts w:ascii="Arial" w:hAnsi="Arial" w:cs="Arial"/>
          <w:sz w:val="20"/>
          <w:szCs w:val="20"/>
        </w:rPr>
        <w:t xml:space="preserve">an </w:t>
      </w:r>
      <w:r w:rsidRPr="00781283">
        <w:rPr>
          <w:rFonts w:ascii="Arial" w:hAnsi="Arial" w:cs="Arial"/>
          <w:sz w:val="20"/>
          <w:szCs w:val="20"/>
        </w:rPr>
        <w:t>aseptic technique and rinsed with sterile distilled water. Group C (Autoclave)</w:t>
      </w:r>
      <w:r w:rsidR="00FE1D5B" w:rsidRPr="00781283">
        <w:rPr>
          <w:rFonts w:ascii="Arial" w:hAnsi="Arial" w:cs="Arial"/>
          <w:sz w:val="20"/>
          <w:szCs w:val="20"/>
        </w:rPr>
        <w:t xml:space="preserve"> i</w:t>
      </w:r>
      <w:r w:rsidRPr="00781283">
        <w:rPr>
          <w:rFonts w:ascii="Arial" w:hAnsi="Arial" w:cs="Arial"/>
          <w:sz w:val="20"/>
          <w:szCs w:val="20"/>
        </w:rPr>
        <w:t xml:space="preserve">nstruments were packaged and sterilized in an autoclave (Tanda, 23 L; </w:t>
      </w:r>
      <w:r w:rsidRPr="00781283">
        <w:rPr>
          <w:rFonts w:ascii="Arial" w:eastAsiaTheme="majorEastAsia" w:hAnsi="Arial" w:cs="Arial"/>
          <w:sz w:val="20"/>
          <w:szCs w:val="20"/>
        </w:rPr>
        <w:t>Woson Medical Instrument Co., Ltd.</w:t>
      </w:r>
      <w:r w:rsidRPr="00781283">
        <w:rPr>
          <w:rFonts w:ascii="Arial" w:hAnsi="Arial" w:cs="Arial"/>
          <w:sz w:val="20"/>
          <w:szCs w:val="20"/>
        </w:rPr>
        <w:t xml:space="preserve">, China) at 121°C and 15 psi for 30 minutes. </w:t>
      </w:r>
      <w:r w:rsidR="00FE1D5B" w:rsidRPr="00781283">
        <w:rPr>
          <w:rFonts w:ascii="Arial" w:hAnsi="Arial" w:cs="Arial"/>
          <w:sz w:val="20"/>
          <w:szCs w:val="20"/>
        </w:rPr>
        <w:t xml:space="preserve">Contaminated instruments of </w:t>
      </w:r>
      <w:r w:rsidRPr="00781283">
        <w:rPr>
          <w:rFonts w:ascii="Arial" w:hAnsi="Arial" w:cs="Arial"/>
          <w:sz w:val="20"/>
          <w:szCs w:val="20"/>
        </w:rPr>
        <w:t xml:space="preserve">Group D (Control) received no </w:t>
      </w:r>
      <w:r w:rsidR="00FE1D5B" w:rsidRPr="00781283">
        <w:rPr>
          <w:rFonts w:ascii="Arial" w:hAnsi="Arial" w:cs="Arial"/>
          <w:sz w:val="20"/>
          <w:szCs w:val="20"/>
        </w:rPr>
        <w:t>decontamination</w:t>
      </w:r>
      <w:r w:rsidRPr="00781283">
        <w:rPr>
          <w:rFonts w:ascii="Arial" w:hAnsi="Arial" w:cs="Arial"/>
          <w:sz w:val="20"/>
          <w:szCs w:val="20"/>
        </w:rPr>
        <w:t xml:space="preserve"> treatment</w:t>
      </w:r>
      <w:r w:rsidR="00FE1D5B" w:rsidRPr="00781283">
        <w:rPr>
          <w:rFonts w:ascii="Arial" w:hAnsi="Arial" w:cs="Arial"/>
          <w:sz w:val="20"/>
          <w:szCs w:val="20"/>
        </w:rPr>
        <w:t xml:space="preserve"> </w:t>
      </w:r>
      <w:r w:rsidRPr="00781283">
        <w:rPr>
          <w:rFonts w:ascii="Arial" w:hAnsi="Arial" w:cs="Arial"/>
          <w:sz w:val="20"/>
          <w:szCs w:val="20"/>
        </w:rPr>
        <w:t>to serve as a baseline for microbial load</w:t>
      </w:r>
      <w:r w:rsidR="00FE1D5B" w:rsidRPr="00781283">
        <w:rPr>
          <w:rFonts w:ascii="Arial" w:hAnsi="Arial" w:cs="Arial"/>
          <w:sz w:val="20"/>
          <w:szCs w:val="20"/>
        </w:rPr>
        <w:t>.</w:t>
      </w:r>
    </w:p>
    <w:p w14:paraId="47881C13" w14:textId="77777777" w:rsidR="00677CFD" w:rsidRPr="00677CFD" w:rsidRDefault="00677CFD" w:rsidP="00677CFD">
      <w:pPr>
        <w:rPr>
          <w:rFonts w:ascii="Arial" w:hAnsi="Arial" w:cs="Arial"/>
          <w:sz w:val="24"/>
          <w:szCs w:val="24"/>
          <w:lang w:val="en-AE"/>
        </w:rPr>
      </w:pPr>
    </w:p>
    <w:p w14:paraId="4BA9DFA4" w14:textId="77777777" w:rsidR="00677CFD" w:rsidRPr="00781283" w:rsidRDefault="00677CFD" w:rsidP="00677CFD">
      <w:pPr>
        <w:rPr>
          <w:rFonts w:ascii="Arial" w:hAnsi="Arial" w:cs="Arial"/>
          <w:sz w:val="22"/>
          <w:szCs w:val="22"/>
        </w:rPr>
      </w:pPr>
      <w:r w:rsidRPr="00781283">
        <w:rPr>
          <w:rFonts w:ascii="Arial" w:hAnsi="Arial" w:cs="Arial"/>
          <w:b/>
          <w:bCs/>
          <w:sz w:val="22"/>
          <w:szCs w:val="22"/>
        </w:rPr>
        <w:t>2.1 Microbiological Analysis</w:t>
      </w:r>
    </w:p>
    <w:p w14:paraId="4EF56F25" w14:textId="77777777" w:rsidR="00677CFD" w:rsidRPr="00677CFD" w:rsidRDefault="00677CFD" w:rsidP="00677CFD">
      <w:pPr>
        <w:rPr>
          <w:rFonts w:ascii="Arial" w:hAnsi="Arial" w:cs="Arial"/>
          <w:sz w:val="24"/>
          <w:szCs w:val="24"/>
        </w:rPr>
      </w:pPr>
    </w:p>
    <w:p w14:paraId="14EBB23F" w14:textId="31550795" w:rsidR="00677CFD" w:rsidRPr="00781283" w:rsidRDefault="00677CFD" w:rsidP="00781283">
      <w:pPr>
        <w:jc w:val="both"/>
        <w:rPr>
          <w:rFonts w:ascii="Arial" w:hAnsi="Arial" w:cs="Arial"/>
        </w:rPr>
      </w:pPr>
      <w:r w:rsidRPr="00781283">
        <w:rPr>
          <w:rFonts w:ascii="Arial" w:hAnsi="Arial" w:cs="Arial"/>
        </w:rPr>
        <w:t xml:space="preserve">Under sterile conditions, each instrument was transferred to a test tube containing 4mL Brain Heart Infusion (BHI) Broth and incubated at 37 °C for 24 hours. Following incubation, a </w:t>
      </w:r>
      <w:r w:rsidRPr="00781283">
        <w:rPr>
          <w:rFonts w:ascii="Arial" w:eastAsiaTheme="majorEastAsia" w:hAnsi="Arial" w:cs="Arial"/>
        </w:rPr>
        <w:t xml:space="preserve">100 </w:t>
      </w:r>
      <w:proofErr w:type="spellStart"/>
      <w:r w:rsidRPr="00781283">
        <w:rPr>
          <w:rFonts w:ascii="Arial" w:eastAsiaTheme="majorEastAsia" w:hAnsi="Arial" w:cs="Arial"/>
        </w:rPr>
        <w:t>μL</w:t>
      </w:r>
      <w:proofErr w:type="spellEnd"/>
      <w:r w:rsidRPr="00781283">
        <w:rPr>
          <w:rFonts w:ascii="Arial" w:eastAsiaTheme="majorEastAsia" w:hAnsi="Arial" w:cs="Arial"/>
        </w:rPr>
        <w:t xml:space="preserve"> aliquot</w:t>
      </w:r>
      <w:r w:rsidRPr="00781283">
        <w:rPr>
          <w:rFonts w:ascii="Arial" w:hAnsi="Arial" w:cs="Arial"/>
        </w:rPr>
        <w:t xml:space="preserve"> from each tube was lawn cultured onto Brain Heart Infusion agar and incubated for 24 hours at 37 °C. Colonies were quantified using a digital colony counter</w:t>
      </w:r>
      <w:r w:rsidR="00010C50">
        <w:rPr>
          <w:rFonts w:ascii="Arial" w:hAnsi="Arial" w:cs="Arial"/>
        </w:rPr>
        <w:t>,</w:t>
      </w:r>
      <w:r w:rsidRPr="00781283">
        <w:rPr>
          <w:rFonts w:ascii="Arial" w:hAnsi="Arial" w:cs="Arial"/>
        </w:rPr>
        <w:t xml:space="preserve"> and CFU/mL were calculated.</w:t>
      </w:r>
    </w:p>
    <w:p w14:paraId="3121D5C8" w14:textId="77777777" w:rsidR="00677CFD" w:rsidRPr="00781283" w:rsidRDefault="00677CFD" w:rsidP="00677CFD">
      <w:pPr>
        <w:pStyle w:val="Body"/>
        <w:spacing w:after="0"/>
        <w:jc w:val="left"/>
        <w:rPr>
          <w:rFonts w:ascii="Arial" w:hAnsi="Arial" w:cs="Arial"/>
          <w:b/>
          <w:bCs/>
          <w:sz w:val="22"/>
          <w:szCs w:val="22"/>
        </w:rPr>
      </w:pPr>
      <w:r w:rsidRPr="00781283">
        <w:rPr>
          <w:rFonts w:ascii="Arial" w:hAnsi="Arial" w:cs="Arial"/>
          <w:b/>
          <w:bCs/>
          <w:sz w:val="22"/>
          <w:szCs w:val="22"/>
        </w:rPr>
        <w:t>2.2 Statistical Analysis</w:t>
      </w:r>
    </w:p>
    <w:p w14:paraId="7A132AA7" w14:textId="77777777" w:rsidR="00677CFD" w:rsidRPr="00677CFD" w:rsidRDefault="00677CFD" w:rsidP="00677CFD">
      <w:pPr>
        <w:pStyle w:val="Body"/>
        <w:spacing w:after="0"/>
        <w:jc w:val="left"/>
        <w:rPr>
          <w:rFonts w:ascii="Arial" w:hAnsi="Arial" w:cs="Arial"/>
          <w:b/>
          <w:bCs/>
          <w:sz w:val="24"/>
          <w:szCs w:val="24"/>
        </w:rPr>
      </w:pPr>
    </w:p>
    <w:p w14:paraId="4C583012" w14:textId="16209FE9" w:rsidR="00677CFD" w:rsidRPr="00781283" w:rsidRDefault="00677CFD" w:rsidP="00781283">
      <w:pPr>
        <w:pStyle w:val="Body"/>
        <w:spacing w:after="0"/>
        <w:rPr>
          <w:rFonts w:ascii="Arial" w:hAnsi="Arial" w:cs="Arial"/>
        </w:rPr>
      </w:pPr>
      <w:r w:rsidRPr="00781283">
        <w:rPr>
          <w:rFonts w:ascii="Arial" w:hAnsi="Arial" w:cs="Arial"/>
        </w:rPr>
        <w:t xml:space="preserve">Data were recorded in Microsoft Excel and </w:t>
      </w:r>
      <w:r w:rsidR="00CD1D9D" w:rsidRPr="00781283">
        <w:rPr>
          <w:rFonts w:ascii="Arial" w:hAnsi="Arial" w:cs="Arial"/>
        </w:rPr>
        <w:t>analyzed</w:t>
      </w:r>
      <w:r w:rsidRPr="00781283">
        <w:rPr>
          <w:rFonts w:ascii="Arial" w:hAnsi="Arial" w:cs="Arial"/>
        </w:rPr>
        <w:t xml:space="preserve"> using SPSS. The comparison of mean microbial growth (CFU/mL) across the four sterilization groups (Autoclave, </w:t>
      </w:r>
      <w:proofErr w:type="spellStart"/>
      <w:r w:rsidRPr="00781283">
        <w:rPr>
          <w:rFonts w:ascii="Arial" w:hAnsi="Arial" w:cs="Arial"/>
        </w:rPr>
        <w:t>Korsolex</w:t>
      </w:r>
      <w:proofErr w:type="spellEnd"/>
      <w:r w:rsidRPr="00781283">
        <w:rPr>
          <w:rFonts w:ascii="Arial" w:hAnsi="Arial" w:cs="Arial"/>
        </w:rPr>
        <w:t>, Alcohol, and Control) for burs, hand files and rotary files was performed using One-Way Analysis of Variance (ANOVA)</w:t>
      </w:r>
      <w:r w:rsidR="00F03704" w:rsidRPr="00781283">
        <w:rPr>
          <w:rFonts w:ascii="Arial" w:hAnsi="Arial" w:cs="Arial"/>
        </w:rPr>
        <w:t xml:space="preserve">, </w:t>
      </w:r>
      <w:r w:rsidR="00F03704" w:rsidRPr="00010C50">
        <w:rPr>
          <w:rFonts w:ascii="Arial" w:hAnsi="Arial" w:cs="Arial"/>
          <w:color w:val="000000" w:themeColor="text1"/>
        </w:rPr>
        <w:t>followed by Tukey's post-hoc test for pairwise comparisons between the specific groups.</w:t>
      </w:r>
      <w:r w:rsidRPr="00010C50">
        <w:rPr>
          <w:rFonts w:ascii="Arial" w:hAnsi="Arial" w:cs="Arial"/>
          <w:color w:val="000000" w:themeColor="text1"/>
        </w:rPr>
        <w:t xml:space="preserve"> A </w:t>
      </w:r>
      <w:r w:rsidR="00AE1BAC" w:rsidRPr="00AE1BAC">
        <w:rPr>
          <w:rFonts w:ascii="Arial" w:hAnsi="Arial" w:cs="Arial"/>
          <w:i/>
          <w:iCs/>
          <w:color w:val="000000" w:themeColor="text1"/>
        </w:rPr>
        <w:t>P</w:t>
      </w:r>
      <w:r w:rsidRPr="00010C50">
        <w:rPr>
          <w:rFonts w:ascii="Arial" w:hAnsi="Arial" w:cs="Arial"/>
          <w:color w:val="000000" w:themeColor="text1"/>
        </w:rPr>
        <w:t>-valu</w:t>
      </w:r>
      <w:r w:rsidRPr="00781283">
        <w:rPr>
          <w:rFonts w:ascii="Arial" w:hAnsi="Arial" w:cs="Arial"/>
        </w:rPr>
        <w:t>e of less than 0.05 (</w:t>
      </w:r>
      <w:r w:rsidR="00AE1BAC">
        <w:rPr>
          <w:rFonts w:ascii="Arial" w:hAnsi="Arial" w:cs="Arial"/>
          <w:i/>
          <w:iCs/>
        </w:rPr>
        <w:t>P</w:t>
      </w:r>
      <w:r w:rsidRPr="00781283">
        <w:rPr>
          <w:rFonts w:ascii="Arial" w:hAnsi="Arial" w:cs="Arial"/>
        </w:rPr>
        <w:t>&lt;0.05) was considered statistically significant.</w:t>
      </w:r>
    </w:p>
    <w:p w14:paraId="6E38EF7D" w14:textId="77777777" w:rsidR="00677CFD" w:rsidRPr="00677CFD" w:rsidRDefault="00677CFD" w:rsidP="00677CFD">
      <w:pPr>
        <w:pStyle w:val="Body"/>
        <w:spacing w:after="0"/>
        <w:jc w:val="left"/>
        <w:rPr>
          <w:rFonts w:ascii="Arial" w:hAnsi="Arial" w:cs="Arial"/>
          <w:sz w:val="24"/>
          <w:szCs w:val="24"/>
        </w:rPr>
      </w:pPr>
    </w:p>
    <w:p w14:paraId="19487D28" w14:textId="434935C8" w:rsidR="00677CFD" w:rsidRPr="003D0E03" w:rsidRDefault="00677CFD" w:rsidP="00677CFD">
      <w:pPr>
        <w:pStyle w:val="Head1"/>
        <w:spacing w:after="0"/>
        <w:rPr>
          <w:rFonts w:ascii="Arial" w:hAnsi="Arial" w:cs="Arial"/>
          <w:szCs w:val="22"/>
        </w:rPr>
      </w:pPr>
      <w:r w:rsidRPr="003D0E03">
        <w:rPr>
          <w:rFonts w:ascii="Arial" w:hAnsi="Arial" w:cs="Arial"/>
          <w:szCs w:val="22"/>
        </w:rPr>
        <w:t>3. resu</w:t>
      </w:r>
      <w:r w:rsidR="00CD1D9D">
        <w:rPr>
          <w:rFonts w:ascii="Arial" w:hAnsi="Arial" w:cs="Arial"/>
          <w:szCs w:val="22"/>
        </w:rPr>
        <w:t>l</w:t>
      </w:r>
      <w:r w:rsidRPr="003D0E03">
        <w:rPr>
          <w:rFonts w:ascii="Arial" w:hAnsi="Arial" w:cs="Arial"/>
          <w:szCs w:val="22"/>
        </w:rPr>
        <w:t>ts and discussion</w:t>
      </w:r>
    </w:p>
    <w:p w14:paraId="0CF62CFE" w14:textId="77777777" w:rsidR="00677CFD" w:rsidRPr="00677CFD" w:rsidRDefault="00677CFD" w:rsidP="00677CFD">
      <w:pPr>
        <w:rPr>
          <w:rFonts w:ascii="Arial" w:hAnsi="Arial" w:cs="Arial"/>
          <w:sz w:val="24"/>
          <w:szCs w:val="24"/>
        </w:rPr>
      </w:pPr>
    </w:p>
    <w:p w14:paraId="5B28CE5C" w14:textId="71099E5D" w:rsidR="00677CFD" w:rsidRPr="003D0E03" w:rsidRDefault="00677CFD" w:rsidP="003D0E03">
      <w:pPr>
        <w:jc w:val="both"/>
        <w:rPr>
          <w:rFonts w:ascii="Arial" w:hAnsi="Arial" w:cs="Arial"/>
        </w:rPr>
      </w:pPr>
      <w:r w:rsidRPr="003D0E03">
        <w:rPr>
          <w:rFonts w:ascii="Arial" w:hAnsi="Arial" w:cs="Arial"/>
          <w:lang w:val="en-IN"/>
        </w:rPr>
        <w:t>Microbial load was quantitatively evaluated for hand files, rotary files and</w:t>
      </w:r>
      <w:r w:rsidR="00FE1D5B" w:rsidRPr="003D0E03">
        <w:rPr>
          <w:rFonts w:ascii="Arial" w:hAnsi="Arial" w:cs="Arial"/>
          <w:lang w:val="en-IN"/>
        </w:rPr>
        <w:t xml:space="preserve"> </w:t>
      </w:r>
      <w:r w:rsidRPr="003D0E03">
        <w:rPr>
          <w:rFonts w:ascii="Arial" w:hAnsi="Arial" w:cs="Arial"/>
          <w:lang w:val="en-IN"/>
        </w:rPr>
        <w:t>dental burs across the three decontamination and control groups. Results are</w:t>
      </w:r>
      <w:r w:rsidR="00FE1D5B" w:rsidRPr="003D0E03">
        <w:rPr>
          <w:rFonts w:ascii="Arial" w:hAnsi="Arial" w:cs="Arial"/>
          <w:lang w:val="en-IN"/>
        </w:rPr>
        <w:t xml:space="preserve"> </w:t>
      </w:r>
      <w:r w:rsidRPr="003D0E03">
        <w:rPr>
          <w:rFonts w:ascii="Arial" w:hAnsi="Arial" w:cs="Arial"/>
          <w:lang w:val="en-IN"/>
        </w:rPr>
        <w:t xml:space="preserve">presented as </w:t>
      </w:r>
      <w:r w:rsidRPr="003D0E03">
        <w:rPr>
          <w:rFonts w:ascii="Arial" w:hAnsi="Arial" w:cs="Arial"/>
        </w:rPr>
        <w:t>mean microbial growth (CFU/mL)</w:t>
      </w:r>
      <w:r w:rsidRPr="003D0E03">
        <w:rPr>
          <w:rFonts w:ascii="Arial" w:hAnsi="Arial" w:cs="Arial"/>
          <w:lang w:val="en-IN"/>
        </w:rPr>
        <w:t xml:space="preserve">, </w:t>
      </w:r>
      <w:r w:rsidRPr="003D0E03">
        <w:rPr>
          <w:rFonts w:ascii="Arial" w:hAnsi="Arial" w:cs="Arial"/>
        </w:rPr>
        <w:t xml:space="preserve">and </w:t>
      </w:r>
      <w:r w:rsidR="00AE1BAC">
        <w:rPr>
          <w:rFonts w:ascii="Arial" w:hAnsi="Arial" w:cs="Arial"/>
        </w:rPr>
        <w:t>were</w:t>
      </w:r>
      <w:r w:rsidRPr="003D0E03">
        <w:rPr>
          <w:rFonts w:ascii="Arial" w:hAnsi="Arial" w:cs="Arial"/>
        </w:rPr>
        <w:t xml:space="preserve"> compared and evaluated across the study groups</w:t>
      </w:r>
      <w:r w:rsidRPr="003D0E03">
        <w:rPr>
          <w:rFonts w:ascii="Arial" w:hAnsi="Arial" w:cs="Arial"/>
          <w:lang w:val="en-IN"/>
        </w:rPr>
        <w:t>.</w:t>
      </w:r>
    </w:p>
    <w:p w14:paraId="47818134" w14:textId="77777777" w:rsidR="00677CFD" w:rsidRPr="00677CFD" w:rsidRDefault="00677CFD" w:rsidP="00677CFD">
      <w:pPr>
        <w:rPr>
          <w:rFonts w:ascii="Arial" w:hAnsi="Arial" w:cs="Arial"/>
          <w:sz w:val="24"/>
          <w:szCs w:val="24"/>
        </w:rPr>
      </w:pPr>
    </w:p>
    <w:p w14:paraId="4E46834D" w14:textId="77777777" w:rsidR="00677CFD" w:rsidRPr="003D0E03" w:rsidRDefault="00677CFD" w:rsidP="00677CFD">
      <w:pPr>
        <w:pStyle w:val="Body"/>
        <w:spacing w:after="0"/>
        <w:jc w:val="left"/>
        <w:rPr>
          <w:rFonts w:ascii="Arial" w:hAnsi="Arial" w:cs="Arial"/>
          <w:sz w:val="22"/>
          <w:szCs w:val="22"/>
        </w:rPr>
      </w:pPr>
      <w:r w:rsidRPr="003D0E03">
        <w:rPr>
          <w:rFonts w:ascii="Arial" w:hAnsi="Arial" w:cs="Arial"/>
          <w:b/>
          <w:bCs/>
          <w:sz w:val="22"/>
          <w:szCs w:val="22"/>
        </w:rPr>
        <w:t>Assessment of Microbial Load Reduction</w:t>
      </w:r>
      <w:r w:rsidRPr="003D0E03">
        <w:rPr>
          <w:rFonts w:ascii="Arial" w:hAnsi="Arial" w:cs="Arial"/>
          <w:sz w:val="22"/>
          <w:szCs w:val="22"/>
        </w:rPr>
        <w:t xml:space="preserve"> </w:t>
      </w:r>
    </w:p>
    <w:p w14:paraId="022811E5" w14:textId="77777777" w:rsidR="00677CFD" w:rsidRPr="00677CFD" w:rsidRDefault="00677CFD" w:rsidP="00677CFD">
      <w:pPr>
        <w:pStyle w:val="Body"/>
        <w:spacing w:after="0"/>
        <w:jc w:val="left"/>
        <w:rPr>
          <w:rFonts w:ascii="Arial" w:hAnsi="Arial" w:cs="Arial"/>
          <w:sz w:val="24"/>
          <w:szCs w:val="24"/>
        </w:rPr>
      </w:pPr>
    </w:p>
    <w:p w14:paraId="56432767" w14:textId="77777777" w:rsidR="00677CFD" w:rsidRDefault="00677CFD" w:rsidP="00677CFD">
      <w:pPr>
        <w:pStyle w:val="Body"/>
        <w:spacing w:after="0"/>
        <w:jc w:val="left"/>
        <w:rPr>
          <w:rFonts w:ascii="Arial" w:hAnsi="Arial" w:cs="Arial"/>
          <w:b/>
          <w:bCs/>
          <w:i/>
          <w:iCs/>
          <w:sz w:val="22"/>
          <w:szCs w:val="22"/>
        </w:rPr>
      </w:pPr>
      <w:r w:rsidRPr="000411FE">
        <w:rPr>
          <w:rFonts w:ascii="Arial" w:hAnsi="Arial" w:cs="Arial"/>
          <w:b/>
          <w:bCs/>
          <w:i/>
          <w:iCs/>
          <w:sz w:val="22"/>
          <w:szCs w:val="22"/>
        </w:rPr>
        <w:t>Hand Files</w:t>
      </w:r>
    </w:p>
    <w:p w14:paraId="18E0FD51" w14:textId="77777777" w:rsidR="003D0E03" w:rsidRPr="000411FE" w:rsidRDefault="003D0E03" w:rsidP="00677CFD">
      <w:pPr>
        <w:pStyle w:val="Body"/>
        <w:spacing w:after="0"/>
        <w:jc w:val="left"/>
        <w:rPr>
          <w:rFonts w:ascii="Arial" w:hAnsi="Arial" w:cs="Arial"/>
          <w:b/>
          <w:bCs/>
          <w:sz w:val="22"/>
          <w:szCs w:val="22"/>
        </w:rPr>
      </w:pPr>
    </w:p>
    <w:p w14:paraId="694B7083" w14:textId="3A9C4EC3" w:rsidR="00677CFD" w:rsidRPr="000411FE" w:rsidRDefault="00677CFD" w:rsidP="000411FE">
      <w:pPr>
        <w:pStyle w:val="Body"/>
        <w:spacing w:after="0"/>
        <w:rPr>
          <w:rFonts w:ascii="Arial" w:hAnsi="Arial" w:cs="Arial"/>
        </w:rPr>
      </w:pPr>
      <w:r w:rsidRPr="000411FE">
        <w:rPr>
          <w:rFonts w:ascii="Arial" w:hAnsi="Arial" w:cs="Arial"/>
        </w:rPr>
        <w:t>In the Hand Files group, the control specimens exhibited a mean microbial count of 1.18 × 10³ CFU/</w:t>
      </w:r>
      <w:proofErr w:type="spellStart"/>
      <w:r w:rsidRPr="000411FE">
        <w:rPr>
          <w:rFonts w:ascii="Arial" w:hAnsi="Arial" w:cs="Arial"/>
        </w:rPr>
        <w:t>mL.</w:t>
      </w:r>
      <w:proofErr w:type="spellEnd"/>
      <w:r w:rsidRPr="000411FE">
        <w:rPr>
          <w:rFonts w:ascii="Arial" w:hAnsi="Arial" w:cs="Arial"/>
        </w:rPr>
        <w:t xml:space="preserve"> The Alcohol group showed a reduction in microbial load, with a mean of 1.01 × 10² CFU/</w:t>
      </w:r>
      <w:proofErr w:type="spellStart"/>
      <w:r w:rsidRPr="000411FE">
        <w:rPr>
          <w:rFonts w:ascii="Arial" w:hAnsi="Arial" w:cs="Arial"/>
        </w:rPr>
        <w:t>mL.</w:t>
      </w:r>
      <w:proofErr w:type="spellEnd"/>
      <w:r w:rsidRPr="000411FE">
        <w:rPr>
          <w:rFonts w:ascii="Arial" w:hAnsi="Arial" w:cs="Arial"/>
        </w:rPr>
        <w:t xml:space="preserve"> In contrast, both the Glutaraldehyde and Autoclave groups achieved complete sterilization,</w:t>
      </w:r>
      <w:r w:rsidR="00FE1D5B" w:rsidRPr="000411FE">
        <w:rPr>
          <w:rFonts w:ascii="Arial" w:hAnsi="Arial" w:cs="Arial"/>
        </w:rPr>
        <w:t xml:space="preserve"> </w:t>
      </w:r>
      <w:r w:rsidRPr="000411FE">
        <w:rPr>
          <w:rFonts w:ascii="Arial" w:hAnsi="Arial" w:cs="Arial"/>
        </w:rPr>
        <w:t xml:space="preserve">demonstrating no microbial growth. </w:t>
      </w:r>
    </w:p>
    <w:p w14:paraId="0E28371F" w14:textId="77777777" w:rsidR="00677CFD" w:rsidRPr="00677CFD" w:rsidRDefault="00677CFD" w:rsidP="00677CFD">
      <w:pPr>
        <w:pStyle w:val="Body"/>
        <w:spacing w:after="0"/>
        <w:jc w:val="left"/>
        <w:rPr>
          <w:rFonts w:ascii="Arial" w:hAnsi="Arial" w:cs="Arial"/>
          <w:b/>
          <w:bCs/>
          <w:sz w:val="24"/>
          <w:szCs w:val="24"/>
        </w:rPr>
      </w:pPr>
    </w:p>
    <w:p w14:paraId="1689F55C" w14:textId="7A0E1BC8" w:rsidR="000411FE" w:rsidRDefault="00677CFD" w:rsidP="00677CFD">
      <w:pPr>
        <w:rPr>
          <w:rFonts w:ascii="Arial" w:hAnsi="Arial" w:cs="Arial"/>
          <w:b/>
          <w:bCs/>
          <w:sz w:val="22"/>
          <w:szCs w:val="22"/>
        </w:rPr>
      </w:pPr>
      <w:r w:rsidRPr="000411FE">
        <w:rPr>
          <w:rFonts w:ascii="Arial" w:hAnsi="Arial" w:cs="Arial"/>
          <w:b/>
          <w:bCs/>
          <w:i/>
          <w:iCs/>
          <w:sz w:val="22"/>
          <w:szCs w:val="22"/>
        </w:rPr>
        <w:t>Rotary Files</w:t>
      </w:r>
      <w:r w:rsidRPr="000411FE">
        <w:rPr>
          <w:rFonts w:ascii="Arial" w:hAnsi="Arial" w:cs="Arial"/>
          <w:b/>
          <w:bCs/>
          <w:sz w:val="22"/>
          <w:szCs w:val="22"/>
        </w:rPr>
        <w:t xml:space="preserve"> </w:t>
      </w:r>
    </w:p>
    <w:p w14:paraId="403CE1D7" w14:textId="77777777" w:rsidR="000411FE" w:rsidRPr="000411FE" w:rsidRDefault="000411FE" w:rsidP="00677CFD">
      <w:pPr>
        <w:rPr>
          <w:rFonts w:ascii="Arial" w:hAnsi="Arial" w:cs="Arial"/>
          <w:b/>
          <w:bCs/>
          <w:sz w:val="22"/>
          <w:szCs w:val="22"/>
        </w:rPr>
      </w:pPr>
    </w:p>
    <w:p w14:paraId="5B69632F" w14:textId="77777777" w:rsidR="00677CFD" w:rsidRPr="000411FE" w:rsidRDefault="00677CFD" w:rsidP="000411FE">
      <w:pPr>
        <w:jc w:val="both"/>
        <w:rPr>
          <w:rFonts w:ascii="Arial" w:hAnsi="Arial" w:cs="Arial"/>
        </w:rPr>
      </w:pPr>
      <w:r w:rsidRPr="000411FE">
        <w:rPr>
          <w:rFonts w:ascii="Arial" w:hAnsi="Arial" w:cs="Arial"/>
        </w:rPr>
        <w:t>For Rotary files, the control group showed a mean microbial growth of 1.14× 10³ CFU/</w:t>
      </w:r>
      <w:proofErr w:type="spellStart"/>
      <w:r w:rsidRPr="000411FE">
        <w:rPr>
          <w:rFonts w:ascii="Arial" w:hAnsi="Arial" w:cs="Arial"/>
        </w:rPr>
        <w:t>mL.</w:t>
      </w:r>
      <w:proofErr w:type="spellEnd"/>
      <w:r w:rsidRPr="000411FE">
        <w:rPr>
          <w:rFonts w:ascii="Arial" w:hAnsi="Arial" w:cs="Arial"/>
        </w:rPr>
        <w:t xml:space="preserve"> The Alcohol disinfection resulted in a mean count of 2.25× 10</w:t>
      </w:r>
      <w:r w:rsidRPr="000411FE">
        <w:rPr>
          <w:rFonts w:ascii="Arial" w:hAnsi="Arial" w:cs="Arial"/>
          <w:vertAlign w:val="superscript"/>
        </w:rPr>
        <w:t>1</w:t>
      </w:r>
      <w:r w:rsidRPr="000411FE">
        <w:rPr>
          <w:rFonts w:ascii="Arial" w:hAnsi="Arial" w:cs="Arial"/>
        </w:rPr>
        <w:t xml:space="preserve"> CFU/</w:t>
      </w:r>
      <w:proofErr w:type="spellStart"/>
      <w:r w:rsidRPr="000411FE">
        <w:rPr>
          <w:rFonts w:ascii="Arial" w:hAnsi="Arial" w:cs="Arial"/>
        </w:rPr>
        <w:t>mL.</w:t>
      </w:r>
      <w:proofErr w:type="spellEnd"/>
      <w:r w:rsidRPr="000411FE">
        <w:rPr>
          <w:rFonts w:ascii="Arial" w:hAnsi="Arial" w:cs="Arial"/>
        </w:rPr>
        <w:t xml:space="preserve"> Consistent with the hand files, both the Glutaraldehyde and Autoclave groups showed complete elimination of microorganisms. </w:t>
      </w:r>
    </w:p>
    <w:p w14:paraId="750EE461" w14:textId="77777777" w:rsidR="00677CFD" w:rsidRPr="00677CFD" w:rsidRDefault="00677CFD" w:rsidP="00677CFD">
      <w:pPr>
        <w:rPr>
          <w:rFonts w:ascii="Arial" w:hAnsi="Arial" w:cs="Arial"/>
          <w:sz w:val="24"/>
          <w:szCs w:val="24"/>
        </w:rPr>
      </w:pPr>
    </w:p>
    <w:p w14:paraId="575C4311" w14:textId="77777777" w:rsidR="00677CFD" w:rsidRDefault="00677CFD" w:rsidP="00677CFD">
      <w:pPr>
        <w:rPr>
          <w:rFonts w:ascii="Arial" w:hAnsi="Arial" w:cs="Arial"/>
          <w:b/>
          <w:bCs/>
          <w:sz w:val="22"/>
          <w:szCs w:val="22"/>
        </w:rPr>
      </w:pPr>
      <w:r w:rsidRPr="00723519">
        <w:rPr>
          <w:rFonts w:ascii="Arial" w:hAnsi="Arial" w:cs="Arial"/>
          <w:b/>
          <w:bCs/>
          <w:i/>
          <w:iCs/>
          <w:sz w:val="22"/>
          <w:szCs w:val="22"/>
        </w:rPr>
        <w:t>Dental Burs</w:t>
      </w:r>
      <w:r w:rsidRPr="00723519">
        <w:rPr>
          <w:rFonts w:ascii="Arial" w:hAnsi="Arial" w:cs="Arial"/>
          <w:b/>
          <w:bCs/>
          <w:sz w:val="22"/>
          <w:szCs w:val="22"/>
        </w:rPr>
        <w:t xml:space="preserve"> </w:t>
      </w:r>
    </w:p>
    <w:p w14:paraId="6A4EF6D0" w14:textId="77777777" w:rsidR="000411FE" w:rsidRPr="00723519" w:rsidRDefault="000411FE" w:rsidP="00677CFD">
      <w:pPr>
        <w:rPr>
          <w:rFonts w:ascii="Arial" w:hAnsi="Arial" w:cs="Arial"/>
          <w:b/>
          <w:bCs/>
          <w:sz w:val="22"/>
          <w:szCs w:val="22"/>
        </w:rPr>
      </w:pPr>
    </w:p>
    <w:p w14:paraId="0985B753" w14:textId="77777777" w:rsidR="00677CFD" w:rsidRPr="00723519" w:rsidRDefault="00677CFD" w:rsidP="00723519">
      <w:pPr>
        <w:jc w:val="both"/>
        <w:rPr>
          <w:rFonts w:ascii="Arial" w:hAnsi="Arial" w:cs="Arial"/>
        </w:rPr>
      </w:pPr>
      <w:r w:rsidRPr="00723519">
        <w:rPr>
          <w:rFonts w:ascii="Arial" w:hAnsi="Arial" w:cs="Arial"/>
        </w:rPr>
        <w:t>The control samples showed a mean growth of 1.14× 10³ CFU/</w:t>
      </w:r>
      <w:proofErr w:type="spellStart"/>
      <w:r w:rsidRPr="00723519">
        <w:rPr>
          <w:rFonts w:ascii="Arial" w:hAnsi="Arial" w:cs="Arial"/>
        </w:rPr>
        <w:t>mL.</w:t>
      </w:r>
      <w:proofErr w:type="spellEnd"/>
      <w:r w:rsidRPr="00723519">
        <w:rPr>
          <w:rFonts w:ascii="Arial" w:hAnsi="Arial" w:cs="Arial"/>
        </w:rPr>
        <w:t xml:space="preserve"> The Alcohol group had a mean load of 2.59× 10</w:t>
      </w:r>
      <w:r w:rsidRPr="00723519">
        <w:rPr>
          <w:rFonts w:ascii="Arial" w:hAnsi="Arial" w:cs="Arial"/>
          <w:vertAlign w:val="superscript"/>
        </w:rPr>
        <w:t>1</w:t>
      </w:r>
      <w:r w:rsidRPr="00723519">
        <w:rPr>
          <w:rFonts w:ascii="Arial" w:hAnsi="Arial" w:cs="Arial"/>
        </w:rPr>
        <w:t xml:space="preserve"> CFU/</w:t>
      </w:r>
      <w:proofErr w:type="spellStart"/>
      <w:r w:rsidRPr="00723519">
        <w:rPr>
          <w:rFonts w:ascii="Arial" w:hAnsi="Arial" w:cs="Arial"/>
        </w:rPr>
        <w:t>mL.</w:t>
      </w:r>
      <w:proofErr w:type="spellEnd"/>
      <w:r w:rsidRPr="00723519">
        <w:rPr>
          <w:rFonts w:ascii="Arial" w:hAnsi="Arial" w:cs="Arial"/>
        </w:rPr>
        <w:t xml:space="preserve"> However, the Glutaraldehyde and Autoclave groups both demonstrated superior efficacy with no microbial growth. </w:t>
      </w:r>
    </w:p>
    <w:bookmarkEnd w:id="0"/>
    <w:p w14:paraId="69D69DF4" w14:textId="77777777" w:rsidR="00677CFD" w:rsidRPr="00677CFD" w:rsidRDefault="00677CFD" w:rsidP="00677CFD">
      <w:pPr>
        <w:ind w:left="360"/>
        <w:rPr>
          <w:rFonts w:ascii="Arial" w:hAnsi="Arial" w:cs="Arial"/>
          <w:noProof/>
          <w:sz w:val="24"/>
          <w:szCs w:val="24"/>
        </w:rPr>
      </w:pPr>
    </w:p>
    <w:p w14:paraId="69767952" w14:textId="77777777" w:rsidR="00677CFD" w:rsidRPr="00677CFD" w:rsidRDefault="00677CFD" w:rsidP="00677CFD">
      <w:pPr>
        <w:ind w:left="360"/>
        <w:rPr>
          <w:rFonts w:ascii="Arial" w:hAnsi="Arial" w:cs="Arial"/>
          <w:noProof/>
          <w:sz w:val="24"/>
          <w:szCs w:val="24"/>
        </w:rPr>
      </w:pPr>
    </w:p>
    <w:p w14:paraId="7B3C6681" w14:textId="57355F9E" w:rsidR="00E764C1" w:rsidRDefault="00677CFD" w:rsidP="00DB692B">
      <w:pPr>
        <w:ind w:left="360"/>
        <w:jc w:val="both"/>
        <w:rPr>
          <w:rFonts w:ascii="Arial" w:hAnsi="Arial" w:cs="Arial"/>
          <w:sz w:val="24"/>
          <w:szCs w:val="24"/>
        </w:rPr>
      </w:pPr>
      <w:r w:rsidRPr="00677CFD">
        <w:rPr>
          <w:rFonts w:ascii="Arial" w:hAnsi="Arial" w:cs="Arial"/>
          <w:noProof/>
          <w:sz w:val="24"/>
          <w:szCs w:val="24"/>
        </w:rPr>
        <w:drawing>
          <wp:inline distT="0" distB="0" distL="0" distR="0" wp14:anchorId="0ACCAF41" wp14:editId="476EFA17">
            <wp:extent cx="3525520" cy="2540000"/>
            <wp:effectExtent l="0" t="0" r="0" b="0"/>
            <wp:docPr id="10056786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4732" t="2083" r="17561" b="11111"/>
                    <a:stretch>
                      <a:fillRect/>
                    </a:stretch>
                  </pic:blipFill>
                  <pic:spPr bwMode="auto">
                    <a:xfrm>
                      <a:off x="0" y="0"/>
                      <a:ext cx="3525520" cy="2540000"/>
                    </a:xfrm>
                    <a:prstGeom prst="rect">
                      <a:avLst/>
                    </a:prstGeom>
                    <a:noFill/>
                    <a:ln>
                      <a:noFill/>
                    </a:ln>
                    <a:extLst>
                      <a:ext uri="{53640926-AAD7-44D8-BBD7-CCE9431645EC}">
                        <a14:shadowObscured xmlns:a14="http://schemas.microsoft.com/office/drawing/2010/main"/>
                      </a:ext>
                    </a:extLst>
                  </pic:spPr>
                </pic:pic>
              </a:graphicData>
            </a:graphic>
          </wp:inline>
        </w:drawing>
      </w:r>
      <w:r w:rsidRPr="00677CFD">
        <w:rPr>
          <w:rFonts w:ascii="Arial" w:hAnsi="Arial" w:cs="Arial"/>
          <w:sz w:val="24"/>
          <w:szCs w:val="24"/>
        </w:rPr>
        <w:t xml:space="preserve"> </w:t>
      </w:r>
    </w:p>
    <w:p w14:paraId="26EDBB20" w14:textId="77777777" w:rsidR="00E764C1" w:rsidRDefault="00E764C1" w:rsidP="00E764C1">
      <w:pPr>
        <w:ind w:left="360"/>
        <w:rPr>
          <w:rFonts w:ascii="Arial" w:hAnsi="Arial" w:cs="Arial"/>
          <w:sz w:val="24"/>
          <w:szCs w:val="24"/>
        </w:rPr>
      </w:pPr>
    </w:p>
    <w:p w14:paraId="22CBA3CF" w14:textId="77777777" w:rsidR="00E764C1" w:rsidRDefault="00E764C1" w:rsidP="00E764C1">
      <w:pPr>
        <w:ind w:left="360"/>
        <w:rPr>
          <w:rFonts w:ascii="Arial" w:hAnsi="Arial" w:cs="Arial"/>
          <w:sz w:val="24"/>
          <w:szCs w:val="24"/>
        </w:rPr>
      </w:pPr>
    </w:p>
    <w:p w14:paraId="6FD7162C" w14:textId="77777777" w:rsidR="00E764C1" w:rsidRDefault="00E764C1" w:rsidP="00677CFD">
      <w:pPr>
        <w:rPr>
          <w:rFonts w:ascii="Arial" w:hAnsi="Arial" w:cs="Arial"/>
          <w:sz w:val="24"/>
          <w:szCs w:val="24"/>
        </w:rPr>
      </w:pPr>
    </w:p>
    <w:p w14:paraId="40504AEC" w14:textId="7853D49B" w:rsidR="00677CFD" w:rsidRPr="00E764C1" w:rsidRDefault="00677CFD" w:rsidP="00E764C1">
      <w:pPr>
        <w:jc w:val="both"/>
        <w:rPr>
          <w:rFonts w:ascii="Arial" w:hAnsi="Arial" w:cs="Arial"/>
        </w:rPr>
      </w:pPr>
      <w:r w:rsidRPr="00E764C1">
        <w:rPr>
          <w:rFonts w:ascii="Arial" w:hAnsi="Arial" w:cs="Arial"/>
        </w:rPr>
        <w:t xml:space="preserve">Fig 1: Post-incubation BHI broth containing endodontic hand files following decontamination protocols, along with </w:t>
      </w:r>
      <w:r w:rsidR="00C82D14" w:rsidRPr="00E764C1">
        <w:rPr>
          <w:rFonts w:ascii="Arial" w:hAnsi="Arial" w:cs="Arial"/>
        </w:rPr>
        <w:t xml:space="preserve">the </w:t>
      </w:r>
      <w:r w:rsidRPr="00E764C1">
        <w:rPr>
          <w:rFonts w:ascii="Arial" w:hAnsi="Arial" w:cs="Arial"/>
        </w:rPr>
        <w:t xml:space="preserve">control group, </w:t>
      </w:r>
      <w:r w:rsidR="009C4D45">
        <w:rPr>
          <w:rFonts w:ascii="Arial" w:hAnsi="Arial" w:cs="Arial"/>
        </w:rPr>
        <w:t>before</w:t>
      </w:r>
      <w:r w:rsidRPr="00E764C1">
        <w:rPr>
          <w:rFonts w:ascii="Arial" w:hAnsi="Arial" w:cs="Arial"/>
        </w:rPr>
        <w:t xml:space="preserve"> CFU analysis</w:t>
      </w:r>
    </w:p>
    <w:p w14:paraId="635704D1" w14:textId="0F874E61" w:rsidR="00677CFD" w:rsidRDefault="00677CFD" w:rsidP="00DB692B">
      <w:pPr>
        <w:rPr>
          <w:rFonts w:ascii="Arial" w:hAnsi="Arial" w:cs="Arial"/>
          <w:noProof/>
          <w:sz w:val="24"/>
          <w:szCs w:val="24"/>
        </w:rPr>
      </w:pPr>
    </w:p>
    <w:p w14:paraId="4C6F9EB5" w14:textId="77777777" w:rsidR="00DB692B" w:rsidRDefault="00DB692B" w:rsidP="00DB692B">
      <w:pPr>
        <w:rPr>
          <w:rFonts w:ascii="Arial" w:hAnsi="Arial" w:cs="Arial"/>
          <w:noProof/>
          <w:sz w:val="24"/>
          <w:szCs w:val="24"/>
        </w:rPr>
      </w:pPr>
    </w:p>
    <w:p w14:paraId="32DA138F" w14:textId="32DBFDFD" w:rsidR="00DB692B" w:rsidRPr="00677CFD" w:rsidRDefault="00417D08" w:rsidP="005746B5">
      <w:pPr>
        <w:jc w:val="both"/>
        <w:rPr>
          <w:rFonts w:ascii="Arial" w:hAnsi="Arial" w:cs="Arial"/>
          <w:sz w:val="24"/>
          <w:szCs w:val="24"/>
        </w:rPr>
      </w:pPr>
      <w:r>
        <w:rPr>
          <w:rFonts w:ascii="Arial" w:hAnsi="Arial" w:cs="Arial"/>
          <w:noProof/>
          <w:sz w:val="24"/>
          <w:szCs w:val="24"/>
        </w:rPr>
        <w:drawing>
          <wp:inline distT="0" distB="0" distL="0" distR="0" wp14:anchorId="1107245F" wp14:editId="1CFE6027">
            <wp:extent cx="3517490" cy="1487483"/>
            <wp:effectExtent l="0" t="0" r="6985" b="0"/>
            <wp:docPr id="20725634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79421" cy="1513673"/>
                    </a:xfrm>
                    <a:prstGeom prst="rect">
                      <a:avLst/>
                    </a:prstGeom>
                    <a:noFill/>
                  </pic:spPr>
                </pic:pic>
              </a:graphicData>
            </a:graphic>
          </wp:inline>
        </w:drawing>
      </w:r>
    </w:p>
    <w:p w14:paraId="6A7B77FC" w14:textId="77777777" w:rsidR="00DE1E26" w:rsidRDefault="00DE1E26" w:rsidP="00857175">
      <w:pPr>
        <w:jc w:val="both"/>
        <w:rPr>
          <w:rFonts w:ascii="Arial" w:hAnsi="Arial" w:cs="Arial"/>
        </w:rPr>
      </w:pPr>
    </w:p>
    <w:p w14:paraId="6A593C3F" w14:textId="77777777" w:rsidR="00DE1E26" w:rsidRDefault="00DE1E26" w:rsidP="00857175">
      <w:pPr>
        <w:jc w:val="both"/>
        <w:rPr>
          <w:rFonts w:ascii="Arial" w:hAnsi="Arial" w:cs="Arial"/>
        </w:rPr>
      </w:pPr>
    </w:p>
    <w:p w14:paraId="464D60CB" w14:textId="7DD4DEFC" w:rsidR="00677CFD" w:rsidRDefault="00677CFD" w:rsidP="00DE1E26">
      <w:pPr>
        <w:jc w:val="both"/>
        <w:rPr>
          <w:rFonts w:ascii="Arial" w:hAnsi="Arial" w:cs="Arial"/>
        </w:rPr>
      </w:pPr>
      <w:r w:rsidRPr="00857175">
        <w:rPr>
          <w:rFonts w:ascii="Arial" w:hAnsi="Arial" w:cs="Arial"/>
        </w:rPr>
        <w:t>Fig 2: BHI agar plates showing microbial growth after different decontamination protocols</w:t>
      </w:r>
    </w:p>
    <w:p w14:paraId="1F6347ED" w14:textId="77777777" w:rsidR="00FE40C3" w:rsidRDefault="00FE40C3" w:rsidP="00DE1E26">
      <w:pPr>
        <w:jc w:val="both"/>
        <w:rPr>
          <w:rFonts w:ascii="Arial" w:hAnsi="Arial" w:cs="Arial"/>
        </w:rPr>
      </w:pPr>
    </w:p>
    <w:p w14:paraId="0EF79E84" w14:textId="77777777" w:rsidR="00FE40C3" w:rsidRDefault="00FE40C3" w:rsidP="00DE1E26">
      <w:pPr>
        <w:jc w:val="both"/>
        <w:rPr>
          <w:rFonts w:ascii="Arial" w:hAnsi="Arial" w:cs="Arial"/>
        </w:rPr>
      </w:pPr>
    </w:p>
    <w:p w14:paraId="15B80CDC" w14:textId="77777777" w:rsidR="005C6AE3" w:rsidRDefault="005C6AE3" w:rsidP="00857175">
      <w:pPr>
        <w:jc w:val="both"/>
        <w:rPr>
          <w:rFonts w:ascii="Arial" w:hAnsi="Arial" w:cs="Arial"/>
        </w:rPr>
      </w:pPr>
    </w:p>
    <w:p w14:paraId="717B711D" w14:textId="77777777" w:rsidR="005C6AE3" w:rsidRDefault="005C6AE3" w:rsidP="005C6AE3">
      <w:pPr>
        <w:jc w:val="both"/>
        <w:rPr>
          <w:rFonts w:ascii="Arial" w:hAnsi="Arial" w:cs="Arial"/>
        </w:rPr>
      </w:pPr>
      <w:r w:rsidRPr="005C6AE3">
        <w:rPr>
          <w:rFonts w:ascii="Arial" w:hAnsi="Arial" w:cs="Arial"/>
        </w:rPr>
        <w:t>Table 1: Microbial load (CFU/mL) following various decontamination protocols across endodontic hand files, rotary files and dental burs.</w:t>
      </w:r>
    </w:p>
    <w:p w14:paraId="148A11DF" w14:textId="77777777" w:rsidR="005C6AE3" w:rsidRDefault="005C6AE3" w:rsidP="005C6AE3">
      <w:pPr>
        <w:jc w:val="both"/>
        <w:rPr>
          <w:rFonts w:ascii="Arial" w:hAnsi="Arial" w:cs="Arial"/>
        </w:rPr>
      </w:pPr>
    </w:p>
    <w:p w14:paraId="14E66271" w14:textId="77777777" w:rsidR="005C6AE3" w:rsidRPr="005C6AE3" w:rsidRDefault="005C6AE3" w:rsidP="005C6AE3">
      <w:pPr>
        <w:jc w:val="both"/>
        <w:rPr>
          <w:rFonts w:ascii="Arial" w:hAnsi="Arial" w:cs="Arial"/>
        </w:rPr>
      </w:pPr>
    </w:p>
    <w:p w14:paraId="3B5655CF" w14:textId="77777777" w:rsidR="005C6AE3" w:rsidRPr="00857175" w:rsidRDefault="005C6AE3" w:rsidP="00857175">
      <w:pPr>
        <w:jc w:val="both"/>
        <w:rPr>
          <w:rFonts w:ascii="Arial" w:hAnsi="Arial" w:cs="Arial"/>
        </w:rPr>
      </w:pPr>
    </w:p>
    <w:tbl>
      <w:tblPr>
        <w:tblW w:w="6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tblCellMar>
        <w:tblLook w:val="04A0" w:firstRow="1" w:lastRow="0" w:firstColumn="1" w:lastColumn="0" w:noHBand="0" w:noVBand="1"/>
      </w:tblPr>
      <w:tblGrid>
        <w:gridCol w:w="1573"/>
        <w:gridCol w:w="928"/>
        <w:gridCol w:w="1180"/>
        <w:gridCol w:w="1276"/>
        <w:gridCol w:w="1134"/>
      </w:tblGrid>
      <w:tr w:rsidR="00677CFD" w:rsidRPr="002E5E45" w14:paraId="562D3A85" w14:textId="77777777" w:rsidTr="007767FD">
        <w:trPr>
          <w:trHeight w:val="300"/>
        </w:trPr>
        <w:tc>
          <w:tcPr>
            <w:tcW w:w="6091" w:type="dxa"/>
            <w:gridSpan w:val="5"/>
            <w:noWrap/>
            <w:vAlign w:val="bottom"/>
            <w:hideMark/>
          </w:tcPr>
          <w:p w14:paraId="21871494" w14:textId="77777777" w:rsidR="00677CFD" w:rsidRPr="002E5E45" w:rsidRDefault="00677CFD" w:rsidP="007767FD">
            <w:pPr>
              <w:jc w:val="center"/>
              <w:rPr>
                <w:rFonts w:ascii="Arial" w:hAnsi="Arial" w:cs="Arial"/>
                <w:color w:val="000000"/>
                <w:sz w:val="22"/>
                <w:szCs w:val="22"/>
                <w:lang w:val="en-IN" w:eastAsia="en-IN"/>
              </w:rPr>
            </w:pPr>
            <w:r w:rsidRPr="002E5E45">
              <w:rPr>
                <w:rFonts w:ascii="Arial" w:hAnsi="Arial" w:cs="Arial"/>
                <w:color w:val="000000"/>
                <w:sz w:val="22"/>
                <w:szCs w:val="22"/>
                <w:lang w:val="en-IN" w:eastAsia="en-IN"/>
              </w:rPr>
              <w:t xml:space="preserve">     Bacterial growth in Hand files</w:t>
            </w:r>
          </w:p>
        </w:tc>
      </w:tr>
      <w:tr w:rsidR="00677CFD" w:rsidRPr="00677CFD" w14:paraId="10B9372B" w14:textId="77777777" w:rsidTr="007767FD">
        <w:trPr>
          <w:trHeight w:val="300"/>
        </w:trPr>
        <w:tc>
          <w:tcPr>
            <w:tcW w:w="1573" w:type="dxa"/>
            <w:vAlign w:val="center"/>
            <w:hideMark/>
          </w:tcPr>
          <w:p w14:paraId="202AE878"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 </w:t>
            </w:r>
          </w:p>
        </w:tc>
        <w:tc>
          <w:tcPr>
            <w:tcW w:w="928" w:type="dxa"/>
            <w:vAlign w:val="center"/>
            <w:hideMark/>
          </w:tcPr>
          <w:p w14:paraId="29250981"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 xml:space="preserve">Number </w:t>
            </w:r>
          </w:p>
        </w:tc>
        <w:tc>
          <w:tcPr>
            <w:tcW w:w="1180" w:type="dxa"/>
            <w:vAlign w:val="center"/>
            <w:hideMark/>
          </w:tcPr>
          <w:p w14:paraId="0CEA5F66"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 xml:space="preserve">Mean </w:t>
            </w:r>
          </w:p>
        </w:tc>
        <w:tc>
          <w:tcPr>
            <w:tcW w:w="1276" w:type="dxa"/>
            <w:vAlign w:val="center"/>
            <w:hideMark/>
          </w:tcPr>
          <w:p w14:paraId="165A951D"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S. D</w:t>
            </w:r>
          </w:p>
        </w:tc>
        <w:tc>
          <w:tcPr>
            <w:tcW w:w="1134" w:type="dxa"/>
            <w:vAlign w:val="center"/>
            <w:hideMark/>
          </w:tcPr>
          <w:p w14:paraId="2C1730D5"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S. E</w:t>
            </w:r>
          </w:p>
        </w:tc>
      </w:tr>
      <w:tr w:rsidR="00677CFD" w:rsidRPr="00677CFD" w14:paraId="0F5A3EBC" w14:textId="77777777" w:rsidTr="007767FD">
        <w:trPr>
          <w:trHeight w:val="324"/>
        </w:trPr>
        <w:tc>
          <w:tcPr>
            <w:tcW w:w="1573" w:type="dxa"/>
            <w:vAlign w:val="center"/>
            <w:hideMark/>
          </w:tcPr>
          <w:p w14:paraId="2C8633A8"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Alcohol</w:t>
            </w:r>
          </w:p>
        </w:tc>
        <w:tc>
          <w:tcPr>
            <w:tcW w:w="928" w:type="dxa"/>
            <w:vAlign w:val="center"/>
            <w:hideMark/>
          </w:tcPr>
          <w:p w14:paraId="33786F00"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10</w:t>
            </w:r>
          </w:p>
        </w:tc>
        <w:tc>
          <w:tcPr>
            <w:tcW w:w="1180" w:type="dxa"/>
            <w:vAlign w:val="center"/>
            <w:hideMark/>
          </w:tcPr>
          <w:p w14:paraId="2E472AF8"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1.01×10</w:t>
            </w:r>
            <w:r w:rsidRPr="002E5E45">
              <w:rPr>
                <w:rFonts w:ascii="Arial" w:eastAsia="Calibri" w:hAnsi="Arial" w:cs="Arial"/>
                <w:color w:val="000000"/>
                <w:vertAlign w:val="superscript"/>
                <w:lang w:eastAsia="en-IN"/>
              </w:rPr>
              <w:t>1</w:t>
            </w:r>
          </w:p>
        </w:tc>
        <w:tc>
          <w:tcPr>
            <w:tcW w:w="1276" w:type="dxa"/>
            <w:vAlign w:val="center"/>
            <w:hideMark/>
          </w:tcPr>
          <w:p w14:paraId="7B482902"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1.14×10</w:t>
            </w:r>
            <w:r w:rsidRPr="002E5E45">
              <w:rPr>
                <w:rFonts w:ascii="Arial" w:eastAsia="Calibri" w:hAnsi="Arial" w:cs="Arial"/>
                <w:color w:val="000000"/>
                <w:vertAlign w:val="superscript"/>
                <w:lang w:eastAsia="en-IN"/>
              </w:rPr>
              <w:t>1</w:t>
            </w:r>
          </w:p>
        </w:tc>
        <w:tc>
          <w:tcPr>
            <w:tcW w:w="1134" w:type="dxa"/>
            <w:vAlign w:val="center"/>
            <w:hideMark/>
          </w:tcPr>
          <w:p w14:paraId="1A5A256B"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0.36×10</w:t>
            </w:r>
            <w:r w:rsidRPr="002E5E45">
              <w:rPr>
                <w:rFonts w:ascii="Arial" w:eastAsia="Calibri" w:hAnsi="Arial" w:cs="Arial"/>
                <w:color w:val="000000"/>
                <w:vertAlign w:val="superscript"/>
                <w:lang w:eastAsia="en-IN"/>
              </w:rPr>
              <w:t>1</w:t>
            </w:r>
          </w:p>
        </w:tc>
      </w:tr>
      <w:tr w:rsidR="00677CFD" w:rsidRPr="00677CFD" w14:paraId="7684E9C5" w14:textId="77777777" w:rsidTr="007767FD">
        <w:trPr>
          <w:trHeight w:val="540"/>
        </w:trPr>
        <w:tc>
          <w:tcPr>
            <w:tcW w:w="1573" w:type="dxa"/>
            <w:vAlign w:val="center"/>
            <w:hideMark/>
          </w:tcPr>
          <w:p w14:paraId="14256301"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Glutaraldehyde</w:t>
            </w:r>
          </w:p>
        </w:tc>
        <w:tc>
          <w:tcPr>
            <w:tcW w:w="928" w:type="dxa"/>
            <w:vAlign w:val="center"/>
            <w:hideMark/>
          </w:tcPr>
          <w:p w14:paraId="7953D362"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10</w:t>
            </w:r>
          </w:p>
        </w:tc>
        <w:tc>
          <w:tcPr>
            <w:tcW w:w="1180" w:type="dxa"/>
            <w:vAlign w:val="center"/>
            <w:hideMark/>
          </w:tcPr>
          <w:p w14:paraId="1FE15562"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w:t>
            </w:r>
          </w:p>
        </w:tc>
        <w:tc>
          <w:tcPr>
            <w:tcW w:w="1276" w:type="dxa"/>
            <w:vAlign w:val="center"/>
            <w:hideMark/>
          </w:tcPr>
          <w:p w14:paraId="229550F8"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w:t>
            </w:r>
          </w:p>
        </w:tc>
        <w:tc>
          <w:tcPr>
            <w:tcW w:w="1134" w:type="dxa"/>
            <w:vAlign w:val="center"/>
            <w:hideMark/>
          </w:tcPr>
          <w:p w14:paraId="554FEEB1"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w:t>
            </w:r>
          </w:p>
        </w:tc>
      </w:tr>
      <w:tr w:rsidR="00677CFD" w:rsidRPr="00677CFD" w14:paraId="14BCBA1A" w14:textId="77777777" w:rsidTr="007767FD">
        <w:trPr>
          <w:trHeight w:val="300"/>
        </w:trPr>
        <w:tc>
          <w:tcPr>
            <w:tcW w:w="1573" w:type="dxa"/>
            <w:vAlign w:val="center"/>
            <w:hideMark/>
          </w:tcPr>
          <w:p w14:paraId="640912DD"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Autoclave</w:t>
            </w:r>
          </w:p>
        </w:tc>
        <w:tc>
          <w:tcPr>
            <w:tcW w:w="928" w:type="dxa"/>
            <w:vAlign w:val="center"/>
            <w:hideMark/>
          </w:tcPr>
          <w:p w14:paraId="4B25A27E"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10</w:t>
            </w:r>
          </w:p>
        </w:tc>
        <w:tc>
          <w:tcPr>
            <w:tcW w:w="1180" w:type="dxa"/>
            <w:vAlign w:val="center"/>
            <w:hideMark/>
          </w:tcPr>
          <w:p w14:paraId="7DD79F6D"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w:t>
            </w:r>
          </w:p>
        </w:tc>
        <w:tc>
          <w:tcPr>
            <w:tcW w:w="1276" w:type="dxa"/>
            <w:vAlign w:val="center"/>
            <w:hideMark/>
          </w:tcPr>
          <w:p w14:paraId="540C08C4"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w:t>
            </w:r>
          </w:p>
        </w:tc>
        <w:tc>
          <w:tcPr>
            <w:tcW w:w="1134" w:type="dxa"/>
            <w:vAlign w:val="center"/>
            <w:hideMark/>
          </w:tcPr>
          <w:p w14:paraId="6CB91DE5"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w:t>
            </w:r>
          </w:p>
        </w:tc>
      </w:tr>
      <w:tr w:rsidR="00677CFD" w:rsidRPr="00677CFD" w14:paraId="5E3FE989" w14:textId="77777777" w:rsidTr="007767FD">
        <w:trPr>
          <w:trHeight w:val="588"/>
        </w:trPr>
        <w:tc>
          <w:tcPr>
            <w:tcW w:w="1573" w:type="dxa"/>
            <w:vAlign w:val="center"/>
            <w:hideMark/>
          </w:tcPr>
          <w:p w14:paraId="273C3E1B"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Control</w:t>
            </w:r>
          </w:p>
        </w:tc>
        <w:tc>
          <w:tcPr>
            <w:tcW w:w="928" w:type="dxa"/>
            <w:vAlign w:val="center"/>
            <w:hideMark/>
          </w:tcPr>
          <w:p w14:paraId="4D27504C"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10</w:t>
            </w:r>
          </w:p>
        </w:tc>
        <w:tc>
          <w:tcPr>
            <w:tcW w:w="1180" w:type="dxa"/>
            <w:vAlign w:val="center"/>
            <w:hideMark/>
          </w:tcPr>
          <w:p w14:paraId="7840602D"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1.18x10</w:t>
            </w:r>
            <w:r w:rsidRPr="002E5E45">
              <w:rPr>
                <w:rFonts w:ascii="Arial" w:eastAsia="Calibri" w:hAnsi="Arial" w:cs="Arial"/>
                <w:color w:val="000000"/>
                <w:vertAlign w:val="superscript"/>
                <w:lang w:eastAsia="en-IN"/>
              </w:rPr>
              <w:t>3</w:t>
            </w:r>
          </w:p>
        </w:tc>
        <w:tc>
          <w:tcPr>
            <w:tcW w:w="1276" w:type="dxa"/>
            <w:vAlign w:val="center"/>
            <w:hideMark/>
          </w:tcPr>
          <w:p w14:paraId="58B6A61E"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0.11×10</w:t>
            </w:r>
            <w:r w:rsidRPr="002E5E45">
              <w:rPr>
                <w:rFonts w:ascii="Arial" w:eastAsia="Calibri" w:hAnsi="Arial" w:cs="Arial"/>
                <w:color w:val="000000"/>
                <w:vertAlign w:val="superscript"/>
                <w:lang w:eastAsia="en-IN"/>
              </w:rPr>
              <w:t>3</w:t>
            </w:r>
          </w:p>
        </w:tc>
        <w:tc>
          <w:tcPr>
            <w:tcW w:w="1134" w:type="dxa"/>
            <w:vAlign w:val="center"/>
            <w:hideMark/>
          </w:tcPr>
          <w:p w14:paraId="720FABD4"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0.035×10</w:t>
            </w:r>
            <w:r w:rsidRPr="002E5E45">
              <w:rPr>
                <w:rFonts w:ascii="Arial" w:eastAsia="Calibri" w:hAnsi="Arial" w:cs="Arial"/>
                <w:color w:val="000000"/>
                <w:vertAlign w:val="superscript"/>
                <w:lang w:eastAsia="en-IN"/>
              </w:rPr>
              <w:t>3</w:t>
            </w:r>
            <w:r w:rsidRPr="002E5E45">
              <w:rPr>
                <w:rFonts w:ascii="Arial" w:eastAsia="Calibri" w:hAnsi="Arial" w:cs="Arial"/>
                <w:color w:val="000000"/>
                <w:lang w:eastAsia="en-IN"/>
              </w:rPr>
              <w:t xml:space="preserve"> </w:t>
            </w:r>
          </w:p>
        </w:tc>
      </w:tr>
      <w:tr w:rsidR="00677CFD" w:rsidRPr="002E5E45" w14:paraId="74D132D1" w14:textId="77777777" w:rsidTr="007767FD">
        <w:trPr>
          <w:trHeight w:val="300"/>
        </w:trPr>
        <w:tc>
          <w:tcPr>
            <w:tcW w:w="6091" w:type="dxa"/>
            <w:gridSpan w:val="5"/>
            <w:vAlign w:val="center"/>
            <w:hideMark/>
          </w:tcPr>
          <w:p w14:paraId="57C5A13F" w14:textId="77777777" w:rsidR="002C1D17" w:rsidRDefault="002C1D17" w:rsidP="007767FD">
            <w:pPr>
              <w:jc w:val="center"/>
              <w:rPr>
                <w:rFonts w:ascii="Arial" w:hAnsi="Arial" w:cs="Arial"/>
                <w:color w:val="000000"/>
                <w:lang w:val="en-IN" w:eastAsia="en-IN"/>
              </w:rPr>
            </w:pPr>
          </w:p>
          <w:p w14:paraId="54EF20FB" w14:textId="4114D895" w:rsidR="00677CFD" w:rsidRPr="002E5E45" w:rsidRDefault="00677CFD" w:rsidP="007767FD">
            <w:pPr>
              <w:jc w:val="center"/>
              <w:rPr>
                <w:rFonts w:ascii="Arial" w:hAnsi="Arial" w:cs="Arial"/>
                <w:color w:val="000000"/>
                <w:lang w:val="en-IN" w:eastAsia="en-IN"/>
              </w:rPr>
            </w:pPr>
            <w:r w:rsidRPr="002E5E45">
              <w:rPr>
                <w:rFonts w:ascii="Arial" w:hAnsi="Arial" w:cs="Arial"/>
                <w:color w:val="000000"/>
                <w:lang w:val="en-IN" w:eastAsia="en-IN"/>
              </w:rPr>
              <w:t>Bacterial growth in Rotary files</w:t>
            </w:r>
          </w:p>
        </w:tc>
      </w:tr>
      <w:tr w:rsidR="00677CFD" w:rsidRPr="00677CFD" w14:paraId="1AC48F82" w14:textId="77777777" w:rsidTr="007767FD">
        <w:trPr>
          <w:trHeight w:val="300"/>
        </w:trPr>
        <w:tc>
          <w:tcPr>
            <w:tcW w:w="1573" w:type="dxa"/>
            <w:vAlign w:val="center"/>
            <w:hideMark/>
          </w:tcPr>
          <w:p w14:paraId="189782E0"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 </w:t>
            </w:r>
          </w:p>
        </w:tc>
        <w:tc>
          <w:tcPr>
            <w:tcW w:w="928" w:type="dxa"/>
            <w:vAlign w:val="center"/>
            <w:hideMark/>
          </w:tcPr>
          <w:p w14:paraId="07848419"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 xml:space="preserve">Number </w:t>
            </w:r>
          </w:p>
        </w:tc>
        <w:tc>
          <w:tcPr>
            <w:tcW w:w="1180" w:type="dxa"/>
            <w:vAlign w:val="center"/>
            <w:hideMark/>
          </w:tcPr>
          <w:p w14:paraId="01CC79D2"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 xml:space="preserve">Mean </w:t>
            </w:r>
          </w:p>
        </w:tc>
        <w:tc>
          <w:tcPr>
            <w:tcW w:w="1276" w:type="dxa"/>
            <w:vAlign w:val="center"/>
            <w:hideMark/>
          </w:tcPr>
          <w:p w14:paraId="1C6A0C63"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S. D</w:t>
            </w:r>
          </w:p>
        </w:tc>
        <w:tc>
          <w:tcPr>
            <w:tcW w:w="1134" w:type="dxa"/>
            <w:vAlign w:val="center"/>
            <w:hideMark/>
          </w:tcPr>
          <w:p w14:paraId="2B69F40E"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S. E</w:t>
            </w:r>
          </w:p>
        </w:tc>
      </w:tr>
      <w:tr w:rsidR="00677CFD" w:rsidRPr="00677CFD" w14:paraId="6E320288" w14:textId="77777777" w:rsidTr="007767FD">
        <w:trPr>
          <w:trHeight w:val="426"/>
        </w:trPr>
        <w:tc>
          <w:tcPr>
            <w:tcW w:w="1573" w:type="dxa"/>
            <w:vMerge w:val="restart"/>
            <w:vAlign w:val="center"/>
            <w:hideMark/>
          </w:tcPr>
          <w:p w14:paraId="01C24094"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Alcohol</w:t>
            </w:r>
          </w:p>
        </w:tc>
        <w:tc>
          <w:tcPr>
            <w:tcW w:w="928" w:type="dxa"/>
            <w:vMerge w:val="restart"/>
            <w:vAlign w:val="center"/>
            <w:hideMark/>
          </w:tcPr>
          <w:p w14:paraId="143412C9"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10</w:t>
            </w:r>
          </w:p>
        </w:tc>
        <w:tc>
          <w:tcPr>
            <w:tcW w:w="1180" w:type="dxa"/>
            <w:vMerge w:val="restart"/>
            <w:vAlign w:val="center"/>
            <w:hideMark/>
          </w:tcPr>
          <w:p w14:paraId="2CC15229"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val="en-IN" w:eastAsia="en-IN"/>
              </w:rPr>
              <w:t>2.25 × 10¹</w:t>
            </w:r>
          </w:p>
        </w:tc>
        <w:tc>
          <w:tcPr>
            <w:tcW w:w="1276" w:type="dxa"/>
            <w:vMerge w:val="restart"/>
            <w:vAlign w:val="center"/>
            <w:hideMark/>
          </w:tcPr>
          <w:p w14:paraId="0F79AEA9"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val="en-IN" w:eastAsia="en-IN"/>
              </w:rPr>
              <w:t>2.72 × 10¹</w:t>
            </w:r>
          </w:p>
        </w:tc>
        <w:tc>
          <w:tcPr>
            <w:tcW w:w="1134" w:type="dxa"/>
            <w:vMerge w:val="restart"/>
            <w:vAlign w:val="center"/>
            <w:hideMark/>
          </w:tcPr>
          <w:p w14:paraId="4A2E52F9"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0.86× 10¹</w:t>
            </w:r>
          </w:p>
        </w:tc>
      </w:tr>
      <w:tr w:rsidR="00677CFD" w:rsidRPr="00677CFD" w14:paraId="5A144103" w14:textId="77777777" w:rsidTr="007767FD">
        <w:trPr>
          <w:trHeight w:val="426"/>
        </w:trPr>
        <w:tc>
          <w:tcPr>
            <w:tcW w:w="1573" w:type="dxa"/>
            <w:vMerge/>
            <w:vAlign w:val="center"/>
            <w:hideMark/>
          </w:tcPr>
          <w:p w14:paraId="0F9800B6" w14:textId="77777777" w:rsidR="00677CFD" w:rsidRPr="002E5E45" w:rsidRDefault="00677CFD" w:rsidP="007767FD">
            <w:pPr>
              <w:rPr>
                <w:rFonts w:ascii="Arial" w:hAnsi="Arial" w:cs="Arial"/>
                <w:color w:val="000000"/>
                <w:lang w:val="en-IN" w:eastAsia="en-IN"/>
              </w:rPr>
            </w:pPr>
          </w:p>
        </w:tc>
        <w:tc>
          <w:tcPr>
            <w:tcW w:w="928" w:type="dxa"/>
            <w:vMerge/>
            <w:vAlign w:val="center"/>
            <w:hideMark/>
          </w:tcPr>
          <w:p w14:paraId="55600FC5" w14:textId="77777777" w:rsidR="00677CFD" w:rsidRPr="002E5E45" w:rsidRDefault="00677CFD" w:rsidP="007767FD">
            <w:pPr>
              <w:rPr>
                <w:rFonts w:ascii="Arial" w:hAnsi="Arial" w:cs="Arial"/>
                <w:color w:val="000000"/>
                <w:lang w:val="en-IN" w:eastAsia="en-IN"/>
              </w:rPr>
            </w:pPr>
          </w:p>
        </w:tc>
        <w:tc>
          <w:tcPr>
            <w:tcW w:w="1180" w:type="dxa"/>
            <w:vMerge/>
            <w:vAlign w:val="center"/>
            <w:hideMark/>
          </w:tcPr>
          <w:p w14:paraId="6149E79C" w14:textId="77777777" w:rsidR="00677CFD" w:rsidRPr="002E5E45" w:rsidRDefault="00677CFD" w:rsidP="007767FD">
            <w:pPr>
              <w:rPr>
                <w:rFonts w:ascii="Arial" w:hAnsi="Arial" w:cs="Arial"/>
                <w:color w:val="000000"/>
                <w:lang w:val="en-IN" w:eastAsia="en-IN"/>
              </w:rPr>
            </w:pPr>
          </w:p>
        </w:tc>
        <w:tc>
          <w:tcPr>
            <w:tcW w:w="1276" w:type="dxa"/>
            <w:vMerge/>
            <w:vAlign w:val="center"/>
            <w:hideMark/>
          </w:tcPr>
          <w:p w14:paraId="6B472CDA" w14:textId="77777777" w:rsidR="00677CFD" w:rsidRPr="002E5E45" w:rsidRDefault="00677CFD" w:rsidP="007767FD">
            <w:pPr>
              <w:rPr>
                <w:rFonts w:ascii="Arial" w:hAnsi="Arial" w:cs="Arial"/>
                <w:color w:val="000000"/>
                <w:lang w:val="en-IN" w:eastAsia="en-IN"/>
              </w:rPr>
            </w:pPr>
          </w:p>
        </w:tc>
        <w:tc>
          <w:tcPr>
            <w:tcW w:w="1134" w:type="dxa"/>
            <w:vMerge/>
            <w:vAlign w:val="center"/>
            <w:hideMark/>
          </w:tcPr>
          <w:p w14:paraId="24909797" w14:textId="77777777" w:rsidR="00677CFD" w:rsidRPr="002E5E45" w:rsidRDefault="00677CFD" w:rsidP="007767FD">
            <w:pPr>
              <w:rPr>
                <w:rFonts w:ascii="Arial" w:hAnsi="Arial" w:cs="Arial"/>
                <w:color w:val="000000"/>
                <w:lang w:val="en-IN" w:eastAsia="en-IN"/>
              </w:rPr>
            </w:pPr>
          </w:p>
        </w:tc>
      </w:tr>
      <w:tr w:rsidR="00677CFD" w:rsidRPr="00677CFD" w14:paraId="288ADC26" w14:textId="77777777" w:rsidTr="007767FD">
        <w:trPr>
          <w:trHeight w:val="540"/>
        </w:trPr>
        <w:tc>
          <w:tcPr>
            <w:tcW w:w="1573" w:type="dxa"/>
            <w:vAlign w:val="center"/>
            <w:hideMark/>
          </w:tcPr>
          <w:p w14:paraId="560F0307"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Glutaraldehyde</w:t>
            </w:r>
          </w:p>
        </w:tc>
        <w:tc>
          <w:tcPr>
            <w:tcW w:w="928" w:type="dxa"/>
            <w:vAlign w:val="center"/>
            <w:hideMark/>
          </w:tcPr>
          <w:p w14:paraId="18F415D0"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10</w:t>
            </w:r>
          </w:p>
        </w:tc>
        <w:tc>
          <w:tcPr>
            <w:tcW w:w="1180" w:type="dxa"/>
            <w:vAlign w:val="center"/>
            <w:hideMark/>
          </w:tcPr>
          <w:p w14:paraId="66F5801C"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w:t>
            </w:r>
          </w:p>
        </w:tc>
        <w:tc>
          <w:tcPr>
            <w:tcW w:w="1276" w:type="dxa"/>
            <w:vAlign w:val="center"/>
            <w:hideMark/>
          </w:tcPr>
          <w:p w14:paraId="7340B12C"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w:t>
            </w:r>
          </w:p>
        </w:tc>
        <w:tc>
          <w:tcPr>
            <w:tcW w:w="1134" w:type="dxa"/>
            <w:vAlign w:val="center"/>
            <w:hideMark/>
          </w:tcPr>
          <w:p w14:paraId="13D9E09E"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w:t>
            </w:r>
          </w:p>
        </w:tc>
      </w:tr>
      <w:tr w:rsidR="00677CFD" w:rsidRPr="00677CFD" w14:paraId="1743668C" w14:textId="77777777" w:rsidTr="007767FD">
        <w:trPr>
          <w:trHeight w:val="300"/>
        </w:trPr>
        <w:tc>
          <w:tcPr>
            <w:tcW w:w="1573" w:type="dxa"/>
            <w:vAlign w:val="center"/>
            <w:hideMark/>
          </w:tcPr>
          <w:p w14:paraId="722C73F8"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Autoclave</w:t>
            </w:r>
          </w:p>
        </w:tc>
        <w:tc>
          <w:tcPr>
            <w:tcW w:w="928" w:type="dxa"/>
            <w:vAlign w:val="center"/>
            <w:hideMark/>
          </w:tcPr>
          <w:p w14:paraId="2E69ECF4"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10</w:t>
            </w:r>
          </w:p>
        </w:tc>
        <w:tc>
          <w:tcPr>
            <w:tcW w:w="1180" w:type="dxa"/>
            <w:vAlign w:val="center"/>
            <w:hideMark/>
          </w:tcPr>
          <w:p w14:paraId="30B409DC"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w:t>
            </w:r>
          </w:p>
        </w:tc>
        <w:tc>
          <w:tcPr>
            <w:tcW w:w="1276" w:type="dxa"/>
            <w:vAlign w:val="center"/>
            <w:hideMark/>
          </w:tcPr>
          <w:p w14:paraId="05EAFFC3"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w:t>
            </w:r>
          </w:p>
        </w:tc>
        <w:tc>
          <w:tcPr>
            <w:tcW w:w="1134" w:type="dxa"/>
            <w:vAlign w:val="center"/>
            <w:hideMark/>
          </w:tcPr>
          <w:p w14:paraId="23629037"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w:t>
            </w:r>
          </w:p>
        </w:tc>
      </w:tr>
      <w:tr w:rsidR="00677CFD" w:rsidRPr="00677CFD" w14:paraId="517C0920" w14:textId="77777777" w:rsidTr="007767FD">
        <w:trPr>
          <w:trHeight w:val="426"/>
        </w:trPr>
        <w:tc>
          <w:tcPr>
            <w:tcW w:w="1573" w:type="dxa"/>
            <w:vMerge w:val="restart"/>
            <w:vAlign w:val="center"/>
            <w:hideMark/>
          </w:tcPr>
          <w:p w14:paraId="0FC1D72A"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Control</w:t>
            </w:r>
          </w:p>
        </w:tc>
        <w:tc>
          <w:tcPr>
            <w:tcW w:w="928" w:type="dxa"/>
            <w:vMerge w:val="restart"/>
            <w:vAlign w:val="center"/>
            <w:hideMark/>
          </w:tcPr>
          <w:p w14:paraId="1A68129E"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10</w:t>
            </w:r>
          </w:p>
        </w:tc>
        <w:tc>
          <w:tcPr>
            <w:tcW w:w="1180" w:type="dxa"/>
            <w:vMerge w:val="restart"/>
            <w:vAlign w:val="center"/>
            <w:hideMark/>
          </w:tcPr>
          <w:p w14:paraId="259EFF42" w14:textId="77777777" w:rsidR="00677CFD" w:rsidRPr="002E5E45" w:rsidRDefault="00677CFD" w:rsidP="007767FD">
            <w:pPr>
              <w:rPr>
                <w:rFonts w:ascii="Arial" w:hAnsi="Arial" w:cs="Arial"/>
                <w:color w:val="000000"/>
                <w:lang w:val="en-IN" w:eastAsia="en-IN"/>
              </w:rPr>
            </w:pPr>
            <w:r w:rsidRPr="002E5E45">
              <w:rPr>
                <w:rFonts w:ascii="Arial" w:eastAsia="Calibri" w:hAnsi="Arial" w:cs="Arial"/>
                <w:color w:val="000000"/>
                <w:lang w:val="en-IN" w:eastAsia="en-IN"/>
              </w:rPr>
              <w:t>1.14 ×10²</w:t>
            </w:r>
          </w:p>
        </w:tc>
        <w:tc>
          <w:tcPr>
            <w:tcW w:w="1276" w:type="dxa"/>
            <w:vMerge w:val="restart"/>
            <w:vAlign w:val="center"/>
            <w:hideMark/>
          </w:tcPr>
          <w:p w14:paraId="5FB341DE"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0.72× 10²</w:t>
            </w:r>
          </w:p>
        </w:tc>
        <w:tc>
          <w:tcPr>
            <w:tcW w:w="1134" w:type="dxa"/>
            <w:vMerge w:val="restart"/>
            <w:vAlign w:val="center"/>
            <w:hideMark/>
          </w:tcPr>
          <w:p w14:paraId="7AF2D902"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0.22× 10²</w:t>
            </w:r>
          </w:p>
        </w:tc>
      </w:tr>
      <w:tr w:rsidR="00677CFD" w:rsidRPr="00677CFD" w14:paraId="2155455D" w14:textId="77777777" w:rsidTr="007767FD">
        <w:trPr>
          <w:trHeight w:val="426"/>
        </w:trPr>
        <w:tc>
          <w:tcPr>
            <w:tcW w:w="1573" w:type="dxa"/>
            <w:vMerge/>
            <w:vAlign w:val="center"/>
            <w:hideMark/>
          </w:tcPr>
          <w:p w14:paraId="1E7703F1" w14:textId="77777777" w:rsidR="00677CFD" w:rsidRPr="002E5E45" w:rsidRDefault="00677CFD" w:rsidP="007767FD">
            <w:pPr>
              <w:rPr>
                <w:rFonts w:ascii="Arial" w:hAnsi="Arial" w:cs="Arial"/>
                <w:color w:val="000000"/>
                <w:lang w:val="en-IN" w:eastAsia="en-IN"/>
              </w:rPr>
            </w:pPr>
          </w:p>
        </w:tc>
        <w:tc>
          <w:tcPr>
            <w:tcW w:w="928" w:type="dxa"/>
            <w:vMerge/>
            <w:vAlign w:val="center"/>
            <w:hideMark/>
          </w:tcPr>
          <w:p w14:paraId="56DEFCEE" w14:textId="77777777" w:rsidR="00677CFD" w:rsidRPr="002E5E45" w:rsidRDefault="00677CFD" w:rsidP="007767FD">
            <w:pPr>
              <w:rPr>
                <w:rFonts w:ascii="Arial" w:hAnsi="Arial" w:cs="Arial"/>
                <w:color w:val="000000"/>
                <w:lang w:val="en-IN" w:eastAsia="en-IN"/>
              </w:rPr>
            </w:pPr>
          </w:p>
        </w:tc>
        <w:tc>
          <w:tcPr>
            <w:tcW w:w="1180" w:type="dxa"/>
            <w:vMerge/>
            <w:vAlign w:val="center"/>
            <w:hideMark/>
          </w:tcPr>
          <w:p w14:paraId="439A2222" w14:textId="77777777" w:rsidR="00677CFD" w:rsidRPr="002E5E45" w:rsidRDefault="00677CFD" w:rsidP="007767FD">
            <w:pPr>
              <w:rPr>
                <w:rFonts w:ascii="Arial" w:hAnsi="Arial" w:cs="Arial"/>
                <w:color w:val="000000"/>
                <w:lang w:val="en-IN" w:eastAsia="en-IN"/>
              </w:rPr>
            </w:pPr>
          </w:p>
        </w:tc>
        <w:tc>
          <w:tcPr>
            <w:tcW w:w="1276" w:type="dxa"/>
            <w:vMerge/>
            <w:vAlign w:val="center"/>
            <w:hideMark/>
          </w:tcPr>
          <w:p w14:paraId="0B1C4CDE" w14:textId="77777777" w:rsidR="00677CFD" w:rsidRPr="002E5E45" w:rsidRDefault="00677CFD" w:rsidP="007767FD">
            <w:pPr>
              <w:rPr>
                <w:rFonts w:ascii="Arial" w:hAnsi="Arial" w:cs="Arial"/>
                <w:color w:val="000000"/>
                <w:lang w:val="en-IN" w:eastAsia="en-IN"/>
              </w:rPr>
            </w:pPr>
          </w:p>
        </w:tc>
        <w:tc>
          <w:tcPr>
            <w:tcW w:w="1134" w:type="dxa"/>
            <w:vMerge/>
            <w:vAlign w:val="center"/>
            <w:hideMark/>
          </w:tcPr>
          <w:p w14:paraId="57BDA44F" w14:textId="77777777" w:rsidR="00677CFD" w:rsidRPr="002E5E45" w:rsidRDefault="00677CFD" w:rsidP="007767FD">
            <w:pPr>
              <w:rPr>
                <w:rFonts w:ascii="Arial" w:hAnsi="Arial" w:cs="Arial"/>
                <w:color w:val="000000"/>
                <w:lang w:val="en-IN" w:eastAsia="en-IN"/>
              </w:rPr>
            </w:pPr>
          </w:p>
        </w:tc>
      </w:tr>
      <w:tr w:rsidR="00677CFD" w:rsidRPr="00677CFD" w14:paraId="075DCC07" w14:textId="77777777" w:rsidTr="007767FD">
        <w:trPr>
          <w:trHeight w:val="300"/>
        </w:trPr>
        <w:tc>
          <w:tcPr>
            <w:tcW w:w="6091" w:type="dxa"/>
            <w:gridSpan w:val="5"/>
            <w:vAlign w:val="center"/>
            <w:hideMark/>
          </w:tcPr>
          <w:p w14:paraId="343FE57B" w14:textId="77777777" w:rsidR="002C1D17" w:rsidRDefault="00677CFD" w:rsidP="007767FD">
            <w:pPr>
              <w:jc w:val="center"/>
              <w:rPr>
                <w:rFonts w:ascii="Arial" w:hAnsi="Arial" w:cs="Arial"/>
                <w:color w:val="000000"/>
                <w:lang w:val="en-IN" w:eastAsia="en-IN"/>
              </w:rPr>
            </w:pPr>
            <w:r w:rsidRPr="002E5E45">
              <w:rPr>
                <w:rFonts w:ascii="Arial" w:hAnsi="Arial" w:cs="Arial"/>
                <w:color w:val="000000"/>
                <w:lang w:val="en-IN" w:eastAsia="en-IN"/>
              </w:rPr>
              <w:t xml:space="preserve"> </w:t>
            </w:r>
          </w:p>
          <w:p w14:paraId="5F52D261" w14:textId="53C7D4EA" w:rsidR="00677CFD" w:rsidRPr="002E5E45" w:rsidRDefault="00677CFD" w:rsidP="007767FD">
            <w:pPr>
              <w:jc w:val="center"/>
              <w:rPr>
                <w:rFonts w:ascii="Arial" w:hAnsi="Arial" w:cs="Arial"/>
                <w:color w:val="000000"/>
                <w:lang w:val="en-IN" w:eastAsia="en-IN"/>
              </w:rPr>
            </w:pPr>
            <w:r w:rsidRPr="002E5E45">
              <w:rPr>
                <w:rFonts w:ascii="Arial" w:hAnsi="Arial" w:cs="Arial"/>
                <w:color w:val="000000"/>
                <w:lang w:val="en-IN" w:eastAsia="en-IN"/>
              </w:rPr>
              <w:t>Bacterial growth in Burs</w:t>
            </w:r>
          </w:p>
        </w:tc>
      </w:tr>
      <w:tr w:rsidR="00677CFD" w:rsidRPr="00677CFD" w14:paraId="6C772EFD" w14:textId="77777777" w:rsidTr="007767FD">
        <w:trPr>
          <w:trHeight w:val="300"/>
        </w:trPr>
        <w:tc>
          <w:tcPr>
            <w:tcW w:w="1573" w:type="dxa"/>
            <w:vAlign w:val="center"/>
            <w:hideMark/>
          </w:tcPr>
          <w:p w14:paraId="3468D487"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 </w:t>
            </w:r>
          </w:p>
        </w:tc>
        <w:tc>
          <w:tcPr>
            <w:tcW w:w="928" w:type="dxa"/>
            <w:vAlign w:val="center"/>
            <w:hideMark/>
          </w:tcPr>
          <w:p w14:paraId="34AE0A6C"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 xml:space="preserve">Number </w:t>
            </w:r>
          </w:p>
        </w:tc>
        <w:tc>
          <w:tcPr>
            <w:tcW w:w="1180" w:type="dxa"/>
            <w:vAlign w:val="center"/>
            <w:hideMark/>
          </w:tcPr>
          <w:p w14:paraId="13D2A0BC"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 xml:space="preserve">Mean </w:t>
            </w:r>
          </w:p>
        </w:tc>
        <w:tc>
          <w:tcPr>
            <w:tcW w:w="1276" w:type="dxa"/>
            <w:vAlign w:val="center"/>
            <w:hideMark/>
          </w:tcPr>
          <w:p w14:paraId="126D1B6D"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S. D</w:t>
            </w:r>
          </w:p>
        </w:tc>
        <w:tc>
          <w:tcPr>
            <w:tcW w:w="1134" w:type="dxa"/>
            <w:vAlign w:val="center"/>
            <w:hideMark/>
          </w:tcPr>
          <w:p w14:paraId="7EC1D0E0"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S. E</w:t>
            </w:r>
          </w:p>
        </w:tc>
      </w:tr>
      <w:tr w:rsidR="00677CFD" w:rsidRPr="00677CFD" w14:paraId="741E1C4F" w14:textId="77777777" w:rsidTr="007767FD">
        <w:trPr>
          <w:trHeight w:val="426"/>
        </w:trPr>
        <w:tc>
          <w:tcPr>
            <w:tcW w:w="1573" w:type="dxa"/>
            <w:vMerge w:val="restart"/>
            <w:vAlign w:val="center"/>
            <w:hideMark/>
          </w:tcPr>
          <w:p w14:paraId="33528570"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Alcohol</w:t>
            </w:r>
          </w:p>
        </w:tc>
        <w:tc>
          <w:tcPr>
            <w:tcW w:w="928" w:type="dxa"/>
            <w:vMerge w:val="restart"/>
            <w:vAlign w:val="center"/>
            <w:hideMark/>
          </w:tcPr>
          <w:p w14:paraId="7FD5F852"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10</w:t>
            </w:r>
          </w:p>
        </w:tc>
        <w:tc>
          <w:tcPr>
            <w:tcW w:w="1180" w:type="dxa"/>
            <w:vMerge w:val="restart"/>
            <w:vAlign w:val="center"/>
            <w:hideMark/>
          </w:tcPr>
          <w:p w14:paraId="4EA44B70"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val="en-IN" w:eastAsia="en-IN"/>
              </w:rPr>
              <w:t>2.59× 10¹</w:t>
            </w:r>
          </w:p>
        </w:tc>
        <w:tc>
          <w:tcPr>
            <w:tcW w:w="1276" w:type="dxa"/>
            <w:vMerge w:val="restart"/>
            <w:vAlign w:val="center"/>
            <w:hideMark/>
          </w:tcPr>
          <w:p w14:paraId="0FEEE607"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2.51× 10¹</w:t>
            </w:r>
          </w:p>
        </w:tc>
        <w:tc>
          <w:tcPr>
            <w:tcW w:w="1134" w:type="dxa"/>
            <w:vMerge w:val="restart"/>
            <w:vAlign w:val="center"/>
            <w:hideMark/>
          </w:tcPr>
          <w:p w14:paraId="5AFB41F4"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0.79× 10¹</w:t>
            </w:r>
          </w:p>
        </w:tc>
      </w:tr>
      <w:tr w:rsidR="00677CFD" w:rsidRPr="00677CFD" w14:paraId="78455E31" w14:textId="77777777" w:rsidTr="007767FD">
        <w:trPr>
          <w:trHeight w:val="426"/>
        </w:trPr>
        <w:tc>
          <w:tcPr>
            <w:tcW w:w="1573" w:type="dxa"/>
            <w:vMerge/>
            <w:vAlign w:val="center"/>
            <w:hideMark/>
          </w:tcPr>
          <w:p w14:paraId="4230E767" w14:textId="77777777" w:rsidR="00677CFD" w:rsidRPr="002E5E45" w:rsidRDefault="00677CFD" w:rsidP="007767FD">
            <w:pPr>
              <w:rPr>
                <w:rFonts w:ascii="Arial" w:hAnsi="Arial" w:cs="Arial"/>
                <w:color w:val="000000"/>
                <w:lang w:val="en-IN" w:eastAsia="en-IN"/>
              </w:rPr>
            </w:pPr>
          </w:p>
        </w:tc>
        <w:tc>
          <w:tcPr>
            <w:tcW w:w="928" w:type="dxa"/>
            <w:vMerge/>
            <w:vAlign w:val="center"/>
            <w:hideMark/>
          </w:tcPr>
          <w:p w14:paraId="692A390D" w14:textId="77777777" w:rsidR="00677CFD" w:rsidRPr="002E5E45" w:rsidRDefault="00677CFD" w:rsidP="007767FD">
            <w:pPr>
              <w:rPr>
                <w:rFonts w:ascii="Arial" w:hAnsi="Arial" w:cs="Arial"/>
                <w:color w:val="000000"/>
                <w:lang w:val="en-IN" w:eastAsia="en-IN"/>
              </w:rPr>
            </w:pPr>
          </w:p>
        </w:tc>
        <w:tc>
          <w:tcPr>
            <w:tcW w:w="1180" w:type="dxa"/>
            <w:vMerge/>
            <w:vAlign w:val="center"/>
            <w:hideMark/>
          </w:tcPr>
          <w:p w14:paraId="13DB9160" w14:textId="77777777" w:rsidR="00677CFD" w:rsidRPr="002E5E45" w:rsidRDefault="00677CFD" w:rsidP="007767FD">
            <w:pPr>
              <w:rPr>
                <w:rFonts w:ascii="Arial" w:hAnsi="Arial" w:cs="Arial"/>
                <w:color w:val="000000"/>
                <w:lang w:val="en-IN" w:eastAsia="en-IN"/>
              </w:rPr>
            </w:pPr>
          </w:p>
        </w:tc>
        <w:tc>
          <w:tcPr>
            <w:tcW w:w="1276" w:type="dxa"/>
            <w:vMerge/>
            <w:vAlign w:val="center"/>
            <w:hideMark/>
          </w:tcPr>
          <w:p w14:paraId="6964C7B2" w14:textId="77777777" w:rsidR="00677CFD" w:rsidRPr="002E5E45" w:rsidRDefault="00677CFD" w:rsidP="007767FD">
            <w:pPr>
              <w:rPr>
                <w:rFonts w:ascii="Arial" w:hAnsi="Arial" w:cs="Arial"/>
                <w:color w:val="000000"/>
                <w:lang w:val="en-IN" w:eastAsia="en-IN"/>
              </w:rPr>
            </w:pPr>
          </w:p>
        </w:tc>
        <w:tc>
          <w:tcPr>
            <w:tcW w:w="1134" w:type="dxa"/>
            <w:vMerge/>
            <w:vAlign w:val="center"/>
            <w:hideMark/>
          </w:tcPr>
          <w:p w14:paraId="5A4DDDDD" w14:textId="77777777" w:rsidR="00677CFD" w:rsidRPr="002E5E45" w:rsidRDefault="00677CFD" w:rsidP="007767FD">
            <w:pPr>
              <w:rPr>
                <w:rFonts w:ascii="Arial" w:hAnsi="Arial" w:cs="Arial"/>
                <w:color w:val="000000"/>
                <w:lang w:val="en-IN" w:eastAsia="en-IN"/>
              </w:rPr>
            </w:pPr>
          </w:p>
        </w:tc>
      </w:tr>
      <w:tr w:rsidR="00677CFD" w:rsidRPr="00677CFD" w14:paraId="1DD82EE9" w14:textId="77777777" w:rsidTr="007767FD">
        <w:trPr>
          <w:trHeight w:val="540"/>
        </w:trPr>
        <w:tc>
          <w:tcPr>
            <w:tcW w:w="1573" w:type="dxa"/>
            <w:vAlign w:val="center"/>
            <w:hideMark/>
          </w:tcPr>
          <w:p w14:paraId="183B881F"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Glutaraldehyde</w:t>
            </w:r>
          </w:p>
        </w:tc>
        <w:tc>
          <w:tcPr>
            <w:tcW w:w="928" w:type="dxa"/>
            <w:vAlign w:val="center"/>
            <w:hideMark/>
          </w:tcPr>
          <w:p w14:paraId="3EE1CCBA"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10</w:t>
            </w:r>
          </w:p>
        </w:tc>
        <w:tc>
          <w:tcPr>
            <w:tcW w:w="1180" w:type="dxa"/>
            <w:vAlign w:val="center"/>
            <w:hideMark/>
          </w:tcPr>
          <w:p w14:paraId="7777CFA3"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w:t>
            </w:r>
          </w:p>
        </w:tc>
        <w:tc>
          <w:tcPr>
            <w:tcW w:w="1276" w:type="dxa"/>
            <w:vAlign w:val="center"/>
            <w:hideMark/>
          </w:tcPr>
          <w:p w14:paraId="4A6598C6"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w:t>
            </w:r>
          </w:p>
        </w:tc>
        <w:tc>
          <w:tcPr>
            <w:tcW w:w="1134" w:type="dxa"/>
            <w:vAlign w:val="center"/>
            <w:hideMark/>
          </w:tcPr>
          <w:p w14:paraId="36A2C7CF"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w:t>
            </w:r>
          </w:p>
        </w:tc>
      </w:tr>
      <w:tr w:rsidR="00677CFD" w:rsidRPr="00677CFD" w14:paraId="35D47727" w14:textId="77777777" w:rsidTr="007767FD">
        <w:trPr>
          <w:trHeight w:val="300"/>
        </w:trPr>
        <w:tc>
          <w:tcPr>
            <w:tcW w:w="1573" w:type="dxa"/>
            <w:vAlign w:val="center"/>
            <w:hideMark/>
          </w:tcPr>
          <w:p w14:paraId="098C6AE7"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Autoclave</w:t>
            </w:r>
          </w:p>
        </w:tc>
        <w:tc>
          <w:tcPr>
            <w:tcW w:w="928" w:type="dxa"/>
            <w:vAlign w:val="center"/>
            <w:hideMark/>
          </w:tcPr>
          <w:p w14:paraId="6AEDD39E"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10</w:t>
            </w:r>
          </w:p>
        </w:tc>
        <w:tc>
          <w:tcPr>
            <w:tcW w:w="1180" w:type="dxa"/>
            <w:vAlign w:val="center"/>
            <w:hideMark/>
          </w:tcPr>
          <w:p w14:paraId="40DC3AFA"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w:t>
            </w:r>
          </w:p>
        </w:tc>
        <w:tc>
          <w:tcPr>
            <w:tcW w:w="1276" w:type="dxa"/>
            <w:vAlign w:val="center"/>
            <w:hideMark/>
          </w:tcPr>
          <w:p w14:paraId="5BCF55EC"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w:t>
            </w:r>
          </w:p>
        </w:tc>
        <w:tc>
          <w:tcPr>
            <w:tcW w:w="1134" w:type="dxa"/>
            <w:vAlign w:val="center"/>
            <w:hideMark/>
          </w:tcPr>
          <w:p w14:paraId="3C20150D"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w:t>
            </w:r>
          </w:p>
        </w:tc>
      </w:tr>
      <w:tr w:rsidR="00677CFD" w:rsidRPr="00677CFD" w14:paraId="3CC6CF14" w14:textId="77777777" w:rsidTr="007767FD">
        <w:trPr>
          <w:trHeight w:val="426"/>
        </w:trPr>
        <w:tc>
          <w:tcPr>
            <w:tcW w:w="1573" w:type="dxa"/>
            <w:vMerge w:val="restart"/>
            <w:vAlign w:val="center"/>
            <w:hideMark/>
          </w:tcPr>
          <w:p w14:paraId="32EBEE6F"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Control</w:t>
            </w:r>
          </w:p>
        </w:tc>
        <w:tc>
          <w:tcPr>
            <w:tcW w:w="928" w:type="dxa"/>
            <w:vMerge w:val="restart"/>
            <w:vAlign w:val="center"/>
            <w:hideMark/>
          </w:tcPr>
          <w:p w14:paraId="2026D4F2"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10</w:t>
            </w:r>
          </w:p>
        </w:tc>
        <w:tc>
          <w:tcPr>
            <w:tcW w:w="1180" w:type="dxa"/>
            <w:vMerge w:val="restart"/>
            <w:vAlign w:val="center"/>
            <w:hideMark/>
          </w:tcPr>
          <w:p w14:paraId="0CC3F95F"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1.14</w:t>
            </w:r>
            <w:r w:rsidRPr="002E5E45">
              <w:rPr>
                <w:rFonts w:ascii="Arial" w:eastAsia="Calibri" w:hAnsi="Arial" w:cs="Arial"/>
                <w:b/>
                <w:bCs/>
                <w:color w:val="000000"/>
                <w:lang w:eastAsia="en-IN"/>
              </w:rPr>
              <w:t xml:space="preserve"> </w:t>
            </w:r>
            <w:r w:rsidRPr="002E5E45">
              <w:rPr>
                <w:rFonts w:ascii="Arial" w:eastAsia="Calibri" w:hAnsi="Arial" w:cs="Arial"/>
                <w:color w:val="000000"/>
                <w:lang w:eastAsia="en-IN"/>
              </w:rPr>
              <w:t xml:space="preserve">× 10³ </w:t>
            </w:r>
          </w:p>
        </w:tc>
        <w:tc>
          <w:tcPr>
            <w:tcW w:w="1276" w:type="dxa"/>
            <w:vMerge w:val="restart"/>
            <w:vAlign w:val="center"/>
            <w:hideMark/>
          </w:tcPr>
          <w:p w14:paraId="5542607E"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0.58× 10²</w:t>
            </w:r>
          </w:p>
        </w:tc>
        <w:tc>
          <w:tcPr>
            <w:tcW w:w="1134" w:type="dxa"/>
            <w:vMerge w:val="restart"/>
            <w:vAlign w:val="center"/>
            <w:hideMark/>
          </w:tcPr>
          <w:p w14:paraId="6E7C9757" w14:textId="77777777" w:rsidR="00677CFD" w:rsidRPr="002E5E45" w:rsidRDefault="00677CFD" w:rsidP="007767FD">
            <w:pPr>
              <w:jc w:val="center"/>
              <w:rPr>
                <w:rFonts w:ascii="Arial" w:hAnsi="Arial" w:cs="Arial"/>
                <w:color w:val="000000"/>
                <w:lang w:val="en-IN" w:eastAsia="en-IN"/>
              </w:rPr>
            </w:pPr>
            <w:r w:rsidRPr="002E5E45">
              <w:rPr>
                <w:rFonts w:ascii="Arial" w:eastAsia="Calibri" w:hAnsi="Arial" w:cs="Arial"/>
                <w:color w:val="000000"/>
                <w:lang w:eastAsia="en-IN"/>
              </w:rPr>
              <w:t>0.18× 10²</w:t>
            </w:r>
          </w:p>
        </w:tc>
      </w:tr>
      <w:tr w:rsidR="00677CFD" w:rsidRPr="00677CFD" w14:paraId="63972693" w14:textId="77777777" w:rsidTr="007767FD">
        <w:trPr>
          <w:trHeight w:val="426"/>
        </w:trPr>
        <w:tc>
          <w:tcPr>
            <w:tcW w:w="1573" w:type="dxa"/>
            <w:vMerge/>
            <w:vAlign w:val="center"/>
            <w:hideMark/>
          </w:tcPr>
          <w:p w14:paraId="32031074" w14:textId="77777777" w:rsidR="00677CFD" w:rsidRPr="002E5E45" w:rsidRDefault="00677CFD" w:rsidP="007767FD">
            <w:pPr>
              <w:rPr>
                <w:rFonts w:ascii="Arial" w:hAnsi="Arial" w:cs="Arial"/>
                <w:color w:val="000000"/>
                <w:lang w:val="en-IN" w:eastAsia="en-IN"/>
              </w:rPr>
            </w:pPr>
          </w:p>
        </w:tc>
        <w:tc>
          <w:tcPr>
            <w:tcW w:w="928" w:type="dxa"/>
            <w:vMerge/>
            <w:vAlign w:val="center"/>
            <w:hideMark/>
          </w:tcPr>
          <w:p w14:paraId="3A9AF1FB" w14:textId="77777777" w:rsidR="00677CFD" w:rsidRPr="002E5E45" w:rsidRDefault="00677CFD" w:rsidP="007767FD">
            <w:pPr>
              <w:rPr>
                <w:rFonts w:ascii="Arial" w:hAnsi="Arial" w:cs="Arial"/>
                <w:color w:val="000000"/>
                <w:lang w:val="en-IN" w:eastAsia="en-IN"/>
              </w:rPr>
            </w:pPr>
          </w:p>
        </w:tc>
        <w:tc>
          <w:tcPr>
            <w:tcW w:w="1180" w:type="dxa"/>
            <w:vMerge/>
            <w:vAlign w:val="center"/>
            <w:hideMark/>
          </w:tcPr>
          <w:p w14:paraId="6541FABB" w14:textId="77777777" w:rsidR="00677CFD" w:rsidRPr="002E5E45" w:rsidRDefault="00677CFD" w:rsidP="007767FD">
            <w:pPr>
              <w:rPr>
                <w:rFonts w:ascii="Arial" w:hAnsi="Arial" w:cs="Arial"/>
                <w:color w:val="000000"/>
                <w:lang w:val="en-IN" w:eastAsia="en-IN"/>
              </w:rPr>
            </w:pPr>
          </w:p>
        </w:tc>
        <w:tc>
          <w:tcPr>
            <w:tcW w:w="1276" w:type="dxa"/>
            <w:vMerge/>
            <w:vAlign w:val="center"/>
            <w:hideMark/>
          </w:tcPr>
          <w:p w14:paraId="2F3CBBE4" w14:textId="77777777" w:rsidR="00677CFD" w:rsidRPr="002E5E45" w:rsidRDefault="00677CFD" w:rsidP="007767FD">
            <w:pPr>
              <w:rPr>
                <w:rFonts w:ascii="Arial" w:hAnsi="Arial" w:cs="Arial"/>
                <w:color w:val="000000"/>
                <w:lang w:val="en-IN" w:eastAsia="en-IN"/>
              </w:rPr>
            </w:pPr>
          </w:p>
        </w:tc>
        <w:tc>
          <w:tcPr>
            <w:tcW w:w="1134" w:type="dxa"/>
            <w:vMerge/>
            <w:vAlign w:val="center"/>
            <w:hideMark/>
          </w:tcPr>
          <w:p w14:paraId="4800D924" w14:textId="77777777" w:rsidR="00677CFD" w:rsidRPr="002E5E45" w:rsidRDefault="00677CFD" w:rsidP="007767FD">
            <w:pPr>
              <w:rPr>
                <w:rFonts w:ascii="Arial" w:hAnsi="Arial" w:cs="Arial"/>
                <w:color w:val="000000"/>
                <w:lang w:val="en-IN" w:eastAsia="en-IN"/>
              </w:rPr>
            </w:pPr>
          </w:p>
        </w:tc>
      </w:tr>
    </w:tbl>
    <w:p w14:paraId="46F9AE29" w14:textId="77777777" w:rsidR="00677CFD" w:rsidRPr="00677CFD" w:rsidRDefault="00677CFD" w:rsidP="00677CFD">
      <w:pPr>
        <w:rPr>
          <w:rFonts w:ascii="Arial" w:hAnsi="Arial" w:cs="Arial"/>
          <w:sz w:val="24"/>
          <w:szCs w:val="24"/>
        </w:rPr>
      </w:pPr>
    </w:p>
    <w:p w14:paraId="739B39AD" w14:textId="77777777" w:rsidR="00677CFD" w:rsidRPr="00677CFD" w:rsidRDefault="00677CFD" w:rsidP="00677CFD">
      <w:pPr>
        <w:rPr>
          <w:rFonts w:ascii="Arial" w:hAnsi="Arial" w:cs="Arial"/>
          <w:sz w:val="24"/>
          <w:szCs w:val="24"/>
        </w:rPr>
      </w:pPr>
    </w:p>
    <w:p w14:paraId="2500996F" w14:textId="77777777" w:rsidR="00677CFD" w:rsidRPr="003B3865" w:rsidRDefault="00677CFD" w:rsidP="00677CFD">
      <w:pPr>
        <w:rPr>
          <w:rFonts w:ascii="Arial" w:hAnsi="Arial" w:cs="Arial"/>
          <w:b/>
          <w:bCs/>
          <w:sz w:val="22"/>
          <w:szCs w:val="22"/>
        </w:rPr>
      </w:pPr>
      <w:bookmarkStart w:id="1" w:name="_Hlk222995006"/>
      <w:r w:rsidRPr="003B3865">
        <w:rPr>
          <w:rFonts w:ascii="Arial" w:hAnsi="Arial" w:cs="Arial"/>
          <w:b/>
          <w:bCs/>
          <w:sz w:val="22"/>
          <w:szCs w:val="22"/>
        </w:rPr>
        <w:t>3.1 Statistical inference</w:t>
      </w:r>
    </w:p>
    <w:p w14:paraId="230B0D45" w14:textId="77777777" w:rsidR="00677CFD" w:rsidRPr="00677CFD" w:rsidRDefault="00677CFD" w:rsidP="00677CFD">
      <w:pPr>
        <w:ind w:left="360"/>
        <w:rPr>
          <w:rFonts w:ascii="Arial" w:hAnsi="Arial" w:cs="Arial"/>
          <w:b/>
          <w:bCs/>
          <w:sz w:val="24"/>
          <w:szCs w:val="24"/>
        </w:rPr>
      </w:pPr>
    </w:p>
    <w:p w14:paraId="7A08D0A7" w14:textId="75EF688B" w:rsidR="00677CFD" w:rsidRPr="003B3865" w:rsidRDefault="00677CFD" w:rsidP="003B3865">
      <w:pPr>
        <w:jc w:val="both"/>
        <w:rPr>
          <w:rFonts w:ascii="Arial" w:hAnsi="Arial" w:cs="Arial"/>
        </w:rPr>
      </w:pPr>
      <w:r w:rsidRPr="003B3865">
        <w:rPr>
          <w:rFonts w:ascii="Arial" w:hAnsi="Arial" w:cs="Arial"/>
          <w:lang w:val="en-IN"/>
        </w:rPr>
        <w:t xml:space="preserve">One-way ANOVA indicated significant differences in microbial reduction </w:t>
      </w:r>
      <w:r w:rsidRPr="003B3865">
        <w:rPr>
          <w:rFonts w:ascii="Arial" w:hAnsi="Arial" w:cs="Arial"/>
        </w:rPr>
        <w:t xml:space="preserve">across all three instrument categories: Hand files (F = 7.814, </w:t>
      </w:r>
      <w:r w:rsidR="009E0EB5">
        <w:rPr>
          <w:rFonts w:ascii="Arial" w:hAnsi="Arial" w:cs="Arial"/>
          <w:i/>
          <w:iCs/>
        </w:rPr>
        <w:t>P =</w:t>
      </w:r>
      <w:r w:rsidRPr="003B3865">
        <w:rPr>
          <w:rFonts w:ascii="Arial" w:hAnsi="Arial" w:cs="Arial"/>
        </w:rPr>
        <w:t xml:space="preserve"> .002), Rotary files (F = 6.806, </w:t>
      </w:r>
      <w:r w:rsidR="009E0EB5">
        <w:rPr>
          <w:rFonts w:ascii="Arial" w:hAnsi="Arial" w:cs="Arial"/>
          <w:i/>
          <w:iCs/>
        </w:rPr>
        <w:t>P</w:t>
      </w:r>
      <w:r w:rsidRPr="003B3865">
        <w:rPr>
          <w:rFonts w:ascii="Arial" w:hAnsi="Arial" w:cs="Arial"/>
        </w:rPr>
        <w:t>=.004), and Dental burs (F = 10.642,</w:t>
      </w:r>
      <w:r w:rsidR="00501945">
        <w:rPr>
          <w:rFonts w:ascii="Arial" w:hAnsi="Arial" w:cs="Arial"/>
        </w:rPr>
        <w:t xml:space="preserve"> </w:t>
      </w:r>
      <w:r w:rsidR="00501945">
        <w:rPr>
          <w:rFonts w:ascii="Arial" w:hAnsi="Arial" w:cs="Arial"/>
          <w:i/>
          <w:iCs/>
        </w:rPr>
        <w:t>P</w:t>
      </w:r>
      <w:r w:rsidRPr="003B3865">
        <w:rPr>
          <w:rFonts w:ascii="Arial" w:hAnsi="Arial" w:cs="Arial"/>
        </w:rPr>
        <w:t xml:space="preserve">&lt; .001). The analysis revealed that both the Autoclave and Glutaraldehyde groups achieved identical performance, with complete elimination of microbial growth. </w:t>
      </w:r>
      <w:r w:rsidR="00F76612" w:rsidRPr="00501945">
        <w:rPr>
          <w:rFonts w:ascii="Arial" w:hAnsi="Arial" w:cs="Arial"/>
          <w:color w:val="000000" w:themeColor="text1"/>
        </w:rPr>
        <w:t xml:space="preserve">Tukey's post-hoc analysis confirmed the absence of any statistically significant </w:t>
      </w:r>
      <w:r w:rsidR="00F76612" w:rsidRPr="00501945">
        <w:rPr>
          <w:rFonts w:ascii="Arial" w:hAnsi="Arial" w:cs="Arial"/>
          <w:color w:val="000000" w:themeColor="text1"/>
        </w:rPr>
        <w:lastRenderedPageBreak/>
        <w:t>difference between these two methods (</w:t>
      </w:r>
      <w:r w:rsidR="00F76612" w:rsidRPr="00501945">
        <w:rPr>
          <w:rFonts w:ascii="Arial" w:hAnsi="Arial" w:cs="Arial"/>
          <w:i/>
          <w:iCs/>
          <w:color w:val="000000" w:themeColor="text1"/>
        </w:rPr>
        <w:t>P</w:t>
      </w:r>
      <w:r w:rsidR="00F76612" w:rsidRPr="00501945">
        <w:rPr>
          <w:rFonts w:ascii="Arial" w:hAnsi="Arial" w:cs="Arial"/>
          <w:color w:val="000000" w:themeColor="text1"/>
        </w:rPr>
        <w:t xml:space="preserve"> &gt; .05), confirming their equivalent efficacy, regardless of the instrument’s surface geometry.</w:t>
      </w:r>
      <w:r w:rsidRPr="00501945">
        <w:rPr>
          <w:rFonts w:ascii="Arial" w:hAnsi="Arial" w:cs="Arial"/>
          <w:color w:val="000000" w:themeColor="text1"/>
        </w:rPr>
        <w:t xml:space="preserve"> </w:t>
      </w:r>
      <w:r w:rsidRPr="00501945">
        <w:rPr>
          <w:rFonts w:ascii="Arial" w:hAnsi="Arial" w:cs="Arial"/>
          <w:color w:val="000000" w:themeColor="text1"/>
          <w:lang w:val="en-IN"/>
        </w:rPr>
        <w:t>Alcohol was significantly better than control and</w:t>
      </w:r>
      <w:r w:rsidRPr="00501945">
        <w:rPr>
          <w:rFonts w:ascii="Arial" w:hAnsi="Arial" w:cs="Arial"/>
          <w:color w:val="000000" w:themeColor="text1"/>
        </w:rPr>
        <w:t xml:space="preserve"> consistently demonstrated residual contamination, with mean values ranging from 1.01 × 10² to 2.59× 10</w:t>
      </w:r>
      <w:r w:rsidRPr="00501945">
        <w:rPr>
          <w:rFonts w:ascii="Arial" w:hAnsi="Arial" w:cs="Arial"/>
          <w:color w:val="000000" w:themeColor="text1"/>
          <w:vertAlign w:val="superscript"/>
        </w:rPr>
        <w:t xml:space="preserve">1 </w:t>
      </w:r>
      <w:r w:rsidRPr="00501945">
        <w:rPr>
          <w:rFonts w:ascii="Arial" w:hAnsi="Arial" w:cs="Arial"/>
          <w:color w:val="000000" w:themeColor="text1"/>
        </w:rPr>
        <w:t>CFU/</w:t>
      </w:r>
      <w:proofErr w:type="spellStart"/>
      <w:r w:rsidRPr="00501945">
        <w:rPr>
          <w:rFonts w:ascii="Arial" w:hAnsi="Arial" w:cs="Arial"/>
          <w:color w:val="000000" w:themeColor="text1"/>
        </w:rPr>
        <w:t>mL.</w:t>
      </w:r>
      <w:proofErr w:type="spellEnd"/>
      <w:r w:rsidRPr="00501945">
        <w:rPr>
          <w:rFonts w:ascii="Arial" w:hAnsi="Arial" w:cs="Arial"/>
          <w:color w:val="000000" w:themeColor="text1"/>
        </w:rPr>
        <w:t xml:space="preserve"> </w:t>
      </w:r>
      <w:r w:rsidR="00F76612" w:rsidRPr="00501945">
        <w:rPr>
          <w:rFonts w:ascii="Arial" w:hAnsi="Arial" w:cs="Arial"/>
          <w:color w:val="000000" w:themeColor="text1"/>
        </w:rPr>
        <w:t>Post-hoc comparisons statistically confirmed that while alcohol significantly reduced microbial load compared to the control (</w:t>
      </w:r>
      <w:r w:rsidR="00F76612" w:rsidRPr="00501945">
        <w:rPr>
          <w:rFonts w:ascii="Arial" w:hAnsi="Arial" w:cs="Arial"/>
          <w:i/>
          <w:iCs/>
          <w:color w:val="000000" w:themeColor="text1"/>
        </w:rPr>
        <w:t>P</w:t>
      </w:r>
      <w:r w:rsidR="00F76612" w:rsidRPr="00501945">
        <w:rPr>
          <w:rFonts w:ascii="Arial" w:hAnsi="Arial" w:cs="Arial"/>
          <w:color w:val="000000" w:themeColor="text1"/>
        </w:rPr>
        <w:t xml:space="preserve"> &lt; .05), it is significantly inferior to both autoclaving and glutaraldehyde immersion (</w:t>
      </w:r>
      <w:r w:rsidR="00F76612" w:rsidRPr="00501945">
        <w:rPr>
          <w:rFonts w:ascii="Arial" w:hAnsi="Arial" w:cs="Arial"/>
          <w:i/>
          <w:iCs/>
          <w:color w:val="000000" w:themeColor="text1"/>
        </w:rPr>
        <w:t>P</w:t>
      </w:r>
      <w:r w:rsidR="00F76612" w:rsidRPr="00501945">
        <w:rPr>
          <w:rFonts w:ascii="Arial" w:hAnsi="Arial" w:cs="Arial"/>
          <w:color w:val="000000" w:themeColor="text1"/>
        </w:rPr>
        <w:t xml:space="preserve"> &lt; .001), rendering it inadequate for the decontamination of complex dental instruments.</w:t>
      </w:r>
    </w:p>
    <w:p w14:paraId="3F398689" w14:textId="77777777" w:rsidR="00677CFD" w:rsidRPr="00677CFD" w:rsidRDefault="00677CFD" w:rsidP="00677CFD">
      <w:pPr>
        <w:rPr>
          <w:rFonts w:ascii="Arial" w:hAnsi="Arial" w:cs="Arial"/>
          <w:sz w:val="24"/>
          <w:szCs w:val="24"/>
        </w:rPr>
      </w:pPr>
    </w:p>
    <w:p w14:paraId="1CEB16F4" w14:textId="77777777" w:rsidR="00677CFD" w:rsidRPr="003B3865" w:rsidRDefault="00677CFD" w:rsidP="00677CFD">
      <w:pPr>
        <w:rPr>
          <w:rFonts w:ascii="Arial" w:hAnsi="Arial" w:cs="Arial"/>
          <w:b/>
          <w:bCs/>
          <w:sz w:val="22"/>
          <w:szCs w:val="22"/>
        </w:rPr>
      </w:pPr>
      <w:r w:rsidRPr="003B3865">
        <w:rPr>
          <w:rFonts w:ascii="Arial" w:hAnsi="Arial" w:cs="Arial"/>
          <w:b/>
          <w:bCs/>
          <w:sz w:val="22"/>
          <w:szCs w:val="22"/>
        </w:rPr>
        <w:t>4. DISCUSSION</w:t>
      </w:r>
    </w:p>
    <w:p w14:paraId="01DC58AD" w14:textId="77777777" w:rsidR="00677CFD" w:rsidRPr="00677CFD" w:rsidRDefault="00677CFD" w:rsidP="00677CFD">
      <w:pPr>
        <w:rPr>
          <w:rFonts w:ascii="Arial" w:hAnsi="Arial" w:cs="Arial"/>
          <w:sz w:val="24"/>
          <w:szCs w:val="24"/>
        </w:rPr>
      </w:pPr>
    </w:p>
    <w:p w14:paraId="7D4283A4" w14:textId="1931FC69" w:rsidR="00677CFD" w:rsidRPr="00DC6004" w:rsidRDefault="00677CFD" w:rsidP="003B3865">
      <w:pPr>
        <w:jc w:val="both"/>
        <w:rPr>
          <w:rFonts w:ascii="Arial" w:hAnsi="Arial" w:cs="Arial"/>
          <w:color w:val="000000" w:themeColor="text1"/>
        </w:rPr>
      </w:pPr>
      <w:r w:rsidRPr="003B3865">
        <w:rPr>
          <w:rFonts w:ascii="Arial" w:hAnsi="Arial" w:cs="Arial"/>
        </w:rPr>
        <w:t xml:space="preserve">The primary objective of this study was to identify a sterilization protocol that ensures patient safety while preserving the longevity of delicate dental instruments. Our results confirm that </w:t>
      </w:r>
      <w:proofErr w:type="spellStart"/>
      <w:r w:rsidRPr="003B3865">
        <w:rPr>
          <w:rFonts w:ascii="Arial" w:hAnsi="Arial" w:cs="Arial"/>
        </w:rPr>
        <w:t>Korsolex</w:t>
      </w:r>
      <w:proofErr w:type="spellEnd"/>
      <w:r w:rsidRPr="003B3865">
        <w:rPr>
          <w:rFonts w:ascii="Arial" w:hAnsi="Arial" w:cs="Arial"/>
        </w:rPr>
        <w:t xml:space="preserve"> Rapid (Raman and Weil Pvt, India), when used for 4 hours, achieves complete elimination of viable microbes from naturally contaminated dental instruments, with the same efficacy as the gold standard, autoclave. A key strength of this study lies in its use of naturally contaminated instruments rather than those inoculated with a single laboratory strain. Different bacterial strains were obtained from dental instruments during the study, consistent with the complex oral microflora and pathogenic species. The control plates revealed heterogeneous microbial growth, including </w:t>
      </w:r>
      <w:r w:rsidRPr="003B3865">
        <w:rPr>
          <w:rFonts w:ascii="Arial" w:hAnsi="Arial" w:cs="Arial"/>
          <w:i/>
          <w:iCs/>
        </w:rPr>
        <w:t>Streptococcus</w:t>
      </w:r>
      <w:r w:rsidRPr="003B3865">
        <w:rPr>
          <w:rFonts w:ascii="Arial" w:hAnsi="Arial" w:cs="Arial"/>
        </w:rPr>
        <w:t xml:space="preserve"> spp., </w:t>
      </w:r>
      <w:r w:rsidRPr="003B3865">
        <w:rPr>
          <w:rFonts w:ascii="Arial" w:hAnsi="Arial" w:cs="Arial"/>
          <w:i/>
          <w:iCs/>
        </w:rPr>
        <w:t>Micrococcus</w:t>
      </w:r>
      <w:r w:rsidRPr="003B3865">
        <w:rPr>
          <w:rFonts w:ascii="Arial" w:hAnsi="Arial" w:cs="Arial"/>
        </w:rPr>
        <w:t xml:space="preserve"> spp., </w:t>
      </w:r>
      <w:r w:rsidRPr="003B3865">
        <w:rPr>
          <w:rFonts w:ascii="Arial" w:hAnsi="Arial" w:cs="Arial"/>
          <w:i/>
          <w:iCs/>
        </w:rPr>
        <w:t>Staphylococcus</w:t>
      </w:r>
      <w:r w:rsidRPr="003B3865">
        <w:rPr>
          <w:rFonts w:ascii="Arial" w:hAnsi="Arial" w:cs="Arial"/>
        </w:rPr>
        <w:t xml:space="preserve"> spp., </w:t>
      </w:r>
      <w:r w:rsidRPr="003B3865">
        <w:rPr>
          <w:rFonts w:ascii="Arial" w:hAnsi="Arial" w:cs="Arial"/>
          <w:i/>
          <w:iCs/>
        </w:rPr>
        <w:t>Enterococcus faecalis</w:t>
      </w:r>
      <w:r w:rsidRPr="003B3865">
        <w:rPr>
          <w:rFonts w:ascii="Arial" w:hAnsi="Arial" w:cs="Arial"/>
        </w:rPr>
        <w:t xml:space="preserve"> and </w:t>
      </w:r>
      <w:r w:rsidRPr="003B3865">
        <w:rPr>
          <w:rFonts w:ascii="Arial" w:hAnsi="Arial" w:cs="Arial"/>
          <w:i/>
          <w:iCs/>
        </w:rPr>
        <w:t>Candida albicans</w:t>
      </w:r>
      <w:r w:rsidRPr="00DC6004">
        <w:rPr>
          <w:rFonts w:ascii="Arial" w:hAnsi="Arial" w:cs="Arial"/>
          <w:color w:val="000000" w:themeColor="text1"/>
        </w:rPr>
        <w:t>.</w:t>
      </w:r>
      <w:r w:rsidR="00F76612" w:rsidRPr="00DC6004">
        <w:rPr>
          <w:rFonts w:ascii="Arial" w:hAnsi="Arial" w:cs="Arial"/>
          <w:color w:val="000000" w:themeColor="text1"/>
        </w:rPr>
        <w:t xml:space="preserve"> </w:t>
      </w:r>
      <w:r w:rsidR="00E76AD8" w:rsidRPr="00DC6004">
        <w:rPr>
          <w:rFonts w:ascii="Arial" w:hAnsi="Arial" w:cs="Arial"/>
          <w:color w:val="000000" w:themeColor="text1"/>
        </w:rPr>
        <w:t>Recent literature emphasizes the necessity of this realistic approach.  Scanning electron microscopy (SEM) evaluations have revealed that clinically utilized endodontic instruments remain heavily coated with stubbornly adherent biological remnants, even following standard processing procedures (</w:t>
      </w:r>
      <w:proofErr w:type="spellStart"/>
      <w:r w:rsidR="00E76AD8" w:rsidRPr="00DC6004">
        <w:rPr>
          <w:rFonts w:ascii="Arial" w:hAnsi="Arial" w:cs="Arial"/>
          <w:color w:val="000000" w:themeColor="text1"/>
        </w:rPr>
        <w:t>Almehmadi</w:t>
      </w:r>
      <w:proofErr w:type="spellEnd"/>
      <w:r w:rsidR="00E76AD8" w:rsidRPr="00DC6004">
        <w:rPr>
          <w:rFonts w:ascii="Arial" w:hAnsi="Arial" w:cs="Arial"/>
          <w:color w:val="000000" w:themeColor="text1"/>
        </w:rPr>
        <w:t xml:space="preserve"> &amp; Alghamdi, 2022). Furthermore, contemporary reviews highlight that the microbial load on reusable dental instruments is highly resilient; pathogens construct tenacious biofilms that frequently survive standard manual cleaning protocols and act as dangerous reservoirs for cross-contamination (Patiño-Marín et al., 2025). By challenging sterilization protocols with this realistic, polymicrobial bioburden, we validated the broad-spectrum, penetrative capacity of the 4-hour </w:t>
      </w:r>
      <w:proofErr w:type="spellStart"/>
      <w:r w:rsidR="00E76AD8" w:rsidRPr="00DC6004">
        <w:rPr>
          <w:rFonts w:ascii="Arial" w:hAnsi="Arial" w:cs="Arial"/>
          <w:color w:val="000000" w:themeColor="text1"/>
        </w:rPr>
        <w:t>Korsolex</w:t>
      </w:r>
      <w:proofErr w:type="spellEnd"/>
      <w:r w:rsidR="00E76AD8" w:rsidRPr="00DC6004">
        <w:rPr>
          <w:rFonts w:ascii="Arial" w:hAnsi="Arial" w:cs="Arial"/>
          <w:color w:val="000000" w:themeColor="text1"/>
        </w:rPr>
        <w:t xml:space="preserve"> protocol against the varied pathogens encountered in daily practice.</w:t>
      </w:r>
      <w:r w:rsidR="00FC242B" w:rsidRPr="00DC6004">
        <w:rPr>
          <w:rFonts w:ascii="Arial" w:hAnsi="Arial" w:cs="Arial"/>
          <w:color w:val="000000" w:themeColor="text1"/>
        </w:rPr>
        <w:t xml:space="preserve"> Traditional clinical paradigms often assume that brand-new files extracted straight from commercial packaging are inherently sterile. However, recent </w:t>
      </w:r>
      <w:r w:rsidR="00FC242B" w:rsidRPr="00DC6004">
        <w:rPr>
          <w:rFonts w:ascii="Arial" w:hAnsi="Arial" w:cs="Arial"/>
          <w:i/>
          <w:iCs/>
          <w:color w:val="000000" w:themeColor="text1"/>
        </w:rPr>
        <w:t>in vitro</w:t>
      </w:r>
      <w:r w:rsidR="00FC242B" w:rsidRPr="00DC6004">
        <w:rPr>
          <w:rFonts w:ascii="Arial" w:hAnsi="Arial" w:cs="Arial"/>
          <w:color w:val="000000" w:themeColor="text1"/>
        </w:rPr>
        <w:t xml:space="preserve"> microbiological profiling of freshly opened endodontic blister packs has conclusively shattered this assumption by revealing a startling presence of aerobic spore-forming bacilli and Gram-positive cocci, likely stemming from residual manufacturing biofilms and non-sterile warehousing (Surender et al., 2023).</w:t>
      </w:r>
      <w:r w:rsidR="003B0926" w:rsidRPr="00DC6004">
        <w:rPr>
          <w:rFonts w:ascii="Arial" w:hAnsi="Arial" w:cs="Arial"/>
          <w:color w:val="000000" w:themeColor="text1"/>
        </w:rPr>
        <w:t>Therefore, establishing a robust, non-degrading 4-hour chemical immersion protocol provides clinicians with a highly practical mechanism to ensure the high-level baseline decontamination of newly purchased instruments before they are ever introduced into a patient's root canal system.</w:t>
      </w:r>
      <w:r w:rsidR="00E76AD8" w:rsidRPr="00DC6004">
        <w:rPr>
          <w:rFonts w:ascii="Arial" w:hAnsi="Arial" w:cs="Arial"/>
          <w:color w:val="000000" w:themeColor="text1"/>
        </w:rPr>
        <w:t xml:space="preserve"> </w:t>
      </w:r>
      <w:r w:rsidR="00B65BCC" w:rsidRPr="00DC6004">
        <w:rPr>
          <w:rFonts w:ascii="Arial" w:hAnsi="Arial" w:cs="Arial"/>
          <w:color w:val="000000" w:themeColor="text1"/>
        </w:rPr>
        <w:t>The architectural design of endodontic files and dental burs significantly complicates decontamination because the intricate flutes of hand instruments frequently harbor biological remnants that are difficult to remove with standard cleaning protocols (Jovanović-</w:t>
      </w:r>
      <w:proofErr w:type="spellStart"/>
      <w:r w:rsidR="00B65BCC" w:rsidRPr="00DC6004">
        <w:rPr>
          <w:rFonts w:ascii="Arial" w:hAnsi="Arial" w:cs="Arial"/>
          <w:color w:val="000000" w:themeColor="text1"/>
        </w:rPr>
        <w:t>Medojević</w:t>
      </w:r>
      <w:proofErr w:type="spellEnd"/>
      <w:r w:rsidR="00B65BCC" w:rsidRPr="00DC6004">
        <w:rPr>
          <w:rFonts w:ascii="Arial" w:hAnsi="Arial" w:cs="Arial"/>
          <w:color w:val="000000" w:themeColor="text1"/>
        </w:rPr>
        <w:t xml:space="preserve"> et al., 2023). This challenge is magnified in rotary </w:t>
      </w:r>
      <w:proofErr w:type="spellStart"/>
      <w:r w:rsidR="00B65BCC" w:rsidRPr="00DC6004">
        <w:rPr>
          <w:rFonts w:ascii="Arial" w:hAnsi="Arial" w:cs="Arial"/>
          <w:color w:val="000000" w:themeColor="text1"/>
        </w:rPr>
        <w:t>NiTi</w:t>
      </w:r>
      <w:proofErr w:type="spellEnd"/>
      <w:r w:rsidR="00B65BCC" w:rsidRPr="00DC6004">
        <w:rPr>
          <w:rFonts w:ascii="Arial" w:hAnsi="Arial" w:cs="Arial"/>
          <w:color w:val="000000" w:themeColor="text1"/>
        </w:rPr>
        <w:t xml:space="preserve"> files, where complex kinematics inherently promote the retention of microbial loads (</w:t>
      </w:r>
      <w:proofErr w:type="spellStart"/>
      <w:r w:rsidR="00B65BCC" w:rsidRPr="00DC6004">
        <w:rPr>
          <w:rFonts w:ascii="Arial" w:hAnsi="Arial" w:cs="Arial"/>
          <w:color w:val="000000" w:themeColor="text1"/>
        </w:rPr>
        <w:t>Küçükkaya</w:t>
      </w:r>
      <w:proofErr w:type="spellEnd"/>
      <w:r w:rsidR="00B65BCC" w:rsidRPr="00DC6004">
        <w:rPr>
          <w:rFonts w:ascii="Arial" w:hAnsi="Arial" w:cs="Arial"/>
          <w:color w:val="000000" w:themeColor="text1"/>
        </w:rPr>
        <w:t xml:space="preserve"> Eren et al., 2021). Furthermore, advanced SEM and energy-dispersive X-ray (EDX) evaluations emphasize that the inherent microscopic surface roughness of these alloys actively traps calcium and phosphorus-rich dentinal debris. These analyses proved that basic chemical wiping or enzymatic spraying frequently fails to dislodge this trapped bioburden due to the microscopic asymmetrical valleys along the cutting blades. A successful cold sterilization chemical cannot merely wash the surface; it must possess an extremely low surface tension to deeply penetrate these microscopic anatomical crevices (</w:t>
      </w:r>
      <w:proofErr w:type="spellStart"/>
      <w:r w:rsidR="00B65BCC" w:rsidRPr="00DC6004">
        <w:rPr>
          <w:rFonts w:ascii="Arial" w:hAnsi="Arial" w:cs="Arial"/>
          <w:color w:val="000000" w:themeColor="text1"/>
        </w:rPr>
        <w:t>Almohareb</w:t>
      </w:r>
      <w:proofErr w:type="spellEnd"/>
      <w:r w:rsidR="00B65BCC" w:rsidRPr="00DC6004">
        <w:rPr>
          <w:rFonts w:ascii="Arial" w:hAnsi="Arial" w:cs="Arial"/>
          <w:color w:val="000000" w:themeColor="text1"/>
        </w:rPr>
        <w:t xml:space="preserve"> et al., 2025). Our results confirm that the enhanced glutaraldehyde successfully navigated these topographical barriers.</w:t>
      </w:r>
      <w:r w:rsidRPr="00DC6004">
        <w:rPr>
          <w:rFonts w:ascii="Arial" w:hAnsi="Arial" w:cs="Arial"/>
          <w:color w:val="000000" w:themeColor="text1"/>
        </w:rPr>
        <w:t xml:space="preserve"> Standard glutaraldehyde functions by alkylating the amino and sulfhydryl groups of proteins, a process that kills vegetative bacteria rapidly but requires up to 12 hours for spores (McDonnell &amp; Russell, 2001).</w:t>
      </w:r>
      <w:r w:rsidR="006325EF" w:rsidRPr="00DC6004">
        <w:rPr>
          <w:rFonts w:ascii="Arial" w:hAnsi="Arial" w:cs="Arial"/>
          <w:color w:val="000000" w:themeColor="text1"/>
        </w:rPr>
        <w:t xml:space="preserve"> When reviewing contemporary literature, </w:t>
      </w:r>
      <w:r w:rsidR="006325EF" w:rsidRPr="00DC6004">
        <w:rPr>
          <w:rFonts w:ascii="Arial" w:hAnsi="Arial" w:cs="Arial"/>
          <w:color w:val="000000" w:themeColor="text1"/>
        </w:rPr>
        <w:lastRenderedPageBreak/>
        <w:t xml:space="preserve">the efficacy of generic glutaraldehyde is highly inconsistent. For instance, an </w:t>
      </w:r>
      <w:r w:rsidR="006325EF" w:rsidRPr="00DC6004">
        <w:rPr>
          <w:rFonts w:ascii="Arial" w:hAnsi="Arial" w:cs="Arial"/>
          <w:i/>
          <w:iCs/>
          <w:color w:val="000000" w:themeColor="text1"/>
        </w:rPr>
        <w:t>in vitro</w:t>
      </w:r>
      <w:r w:rsidR="006325EF" w:rsidRPr="00DC6004">
        <w:rPr>
          <w:rFonts w:ascii="Arial" w:hAnsi="Arial" w:cs="Arial"/>
          <w:color w:val="000000" w:themeColor="text1"/>
        </w:rPr>
        <w:t xml:space="preserve"> analysis comparing standard glutaraldehyde against autoclaving revealed residual microbial turbidity in the glutaraldehyde group, leading to the conclusion that it could not match the absolute efficacy of the autoclave (Ameer et al., 2022). The superior performance of </w:t>
      </w:r>
      <w:proofErr w:type="spellStart"/>
      <w:r w:rsidR="006325EF" w:rsidRPr="00DC6004">
        <w:rPr>
          <w:rFonts w:ascii="Arial" w:hAnsi="Arial" w:cs="Arial"/>
          <w:color w:val="000000" w:themeColor="text1"/>
        </w:rPr>
        <w:t>Korsolex</w:t>
      </w:r>
      <w:proofErr w:type="spellEnd"/>
      <w:r w:rsidR="006325EF" w:rsidRPr="00DC6004">
        <w:rPr>
          <w:rFonts w:ascii="Arial" w:hAnsi="Arial" w:cs="Arial"/>
          <w:color w:val="000000" w:themeColor="text1"/>
        </w:rPr>
        <w:t xml:space="preserve"> Rapid over conventional glutaraldehyde regimens aligns with its synergistic chemistry, specifically through the addition of 1,6-Dihydroxy 2,5-Dioxahexane. This synergistic combination facilitates faster penetration of the chemical into the microbial cell wall, effectively reducing the required sporicidal time to 4 hours. </w:t>
      </w:r>
      <w:r w:rsidRPr="00DC6004">
        <w:rPr>
          <w:rFonts w:ascii="Arial" w:hAnsi="Arial" w:cs="Arial"/>
          <w:color w:val="000000" w:themeColor="text1"/>
        </w:rPr>
        <w:t xml:space="preserve">Goel </w:t>
      </w:r>
      <w:r w:rsidRPr="00DC6004">
        <w:rPr>
          <w:rFonts w:ascii="Arial" w:hAnsi="Arial" w:cs="Arial"/>
          <w:i/>
          <w:iCs/>
          <w:color w:val="000000" w:themeColor="text1"/>
        </w:rPr>
        <w:t>et al</w:t>
      </w:r>
      <w:r w:rsidRPr="00DC6004">
        <w:rPr>
          <w:rFonts w:ascii="Arial" w:hAnsi="Arial" w:cs="Arial"/>
          <w:color w:val="000000" w:themeColor="text1"/>
        </w:rPr>
        <w:t xml:space="preserve">. (2025) reported that 2.45% glutaraldehyde, when used for 4 hours, achieved 100% disinfection against </w:t>
      </w:r>
      <w:r w:rsidRPr="00DC6004">
        <w:rPr>
          <w:rFonts w:ascii="Arial" w:hAnsi="Arial" w:cs="Arial"/>
          <w:i/>
          <w:iCs/>
          <w:color w:val="000000" w:themeColor="text1"/>
        </w:rPr>
        <w:t>E. faecalis</w:t>
      </w:r>
      <w:r w:rsidRPr="00DC6004">
        <w:rPr>
          <w:rFonts w:ascii="Arial" w:hAnsi="Arial" w:cs="Arial"/>
          <w:color w:val="000000" w:themeColor="text1"/>
        </w:rPr>
        <w:t xml:space="preserve">, comparable to autoclaving and peracetic acid. While Goel </w:t>
      </w:r>
      <w:r w:rsidRPr="00DC6004">
        <w:rPr>
          <w:rFonts w:ascii="Arial" w:hAnsi="Arial" w:cs="Arial"/>
          <w:i/>
          <w:iCs/>
          <w:color w:val="000000" w:themeColor="text1"/>
        </w:rPr>
        <w:t xml:space="preserve">et al. </w:t>
      </w:r>
      <w:r w:rsidRPr="00DC6004">
        <w:rPr>
          <w:rFonts w:ascii="Arial" w:hAnsi="Arial" w:cs="Arial"/>
          <w:color w:val="000000" w:themeColor="text1"/>
        </w:rPr>
        <w:t xml:space="preserve">used generic glutaraldehyde, our study confirms that the specific dual-aldehyde formulation of </w:t>
      </w:r>
      <w:proofErr w:type="spellStart"/>
      <w:r w:rsidRPr="00DC6004">
        <w:rPr>
          <w:rFonts w:ascii="Arial" w:hAnsi="Arial" w:cs="Arial"/>
          <w:color w:val="000000" w:themeColor="text1"/>
        </w:rPr>
        <w:t>Korsolex</w:t>
      </w:r>
      <w:proofErr w:type="spellEnd"/>
      <w:r w:rsidRPr="00DC6004">
        <w:rPr>
          <w:rFonts w:ascii="Arial" w:hAnsi="Arial" w:cs="Arial"/>
          <w:color w:val="000000" w:themeColor="text1"/>
        </w:rPr>
        <w:t xml:space="preserve"> Rapid reliably achieves this result, offering a </w:t>
      </w:r>
      <w:proofErr w:type="spellStart"/>
      <w:r w:rsidRPr="00DC6004">
        <w:rPr>
          <w:rFonts w:ascii="Arial" w:hAnsi="Arial" w:cs="Arial"/>
          <w:color w:val="000000" w:themeColor="text1"/>
        </w:rPr>
        <w:t>standardised</w:t>
      </w:r>
      <w:proofErr w:type="spellEnd"/>
      <w:r w:rsidRPr="00DC6004">
        <w:rPr>
          <w:rFonts w:ascii="Arial" w:hAnsi="Arial" w:cs="Arial"/>
          <w:color w:val="000000" w:themeColor="text1"/>
        </w:rPr>
        <w:t xml:space="preserve"> commercial solution for clinicians. The sterilization failure reported by Yenni </w:t>
      </w:r>
      <w:r w:rsidRPr="00DC6004">
        <w:rPr>
          <w:rFonts w:ascii="Arial" w:hAnsi="Arial" w:cs="Arial"/>
          <w:i/>
          <w:iCs/>
          <w:color w:val="000000" w:themeColor="text1"/>
        </w:rPr>
        <w:t>et al.</w:t>
      </w:r>
      <w:r w:rsidRPr="00DC6004">
        <w:rPr>
          <w:rFonts w:ascii="Arial" w:hAnsi="Arial" w:cs="Arial"/>
          <w:color w:val="000000" w:themeColor="text1"/>
        </w:rPr>
        <w:t xml:space="preserve"> (2017) can be attributed to their short 30-minute cycle, insufficient for reliable sporicidal activity. Conversely, Venkatasubramanian </w:t>
      </w:r>
      <w:r w:rsidRPr="00DC6004">
        <w:rPr>
          <w:rFonts w:ascii="Arial" w:hAnsi="Arial" w:cs="Arial"/>
          <w:i/>
          <w:iCs/>
          <w:color w:val="000000" w:themeColor="text1"/>
        </w:rPr>
        <w:t xml:space="preserve">et al. </w:t>
      </w:r>
      <w:r w:rsidRPr="00DC6004">
        <w:rPr>
          <w:rFonts w:ascii="Arial" w:hAnsi="Arial" w:cs="Arial"/>
          <w:color w:val="000000" w:themeColor="text1"/>
        </w:rPr>
        <w:t xml:space="preserve">(2010) demonstrated that even extending the immersion time to 12 hours achieved only 80% efficacy, mirrored by Raju </w:t>
      </w:r>
      <w:r w:rsidRPr="00DC6004">
        <w:rPr>
          <w:rFonts w:ascii="Arial" w:hAnsi="Arial" w:cs="Arial"/>
          <w:i/>
          <w:iCs/>
          <w:color w:val="000000" w:themeColor="text1"/>
        </w:rPr>
        <w:t>et al</w:t>
      </w:r>
      <w:r w:rsidRPr="00DC6004">
        <w:rPr>
          <w:rFonts w:ascii="Arial" w:hAnsi="Arial" w:cs="Arial"/>
          <w:color w:val="000000" w:themeColor="text1"/>
        </w:rPr>
        <w:t xml:space="preserve">. (2013). The poor performance of 70% isopropyl alcohol (Group A) corroborates the findings of Pooja </w:t>
      </w:r>
      <w:r w:rsidRPr="00DC6004">
        <w:rPr>
          <w:rFonts w:ascii="Arial" w:hAnsi="Arial" w:cs="Arial"/>
          <w:i/>
          <w:iCs/>
          <w:color w:val="000000" w:themeColor="text1"/>
        </w:rPr>
        <w:t>et al</w:t>
      </w:r>
      <w:r w:rsidRPr="00DC6004">
        <w:rPr>
          <w:rFonts w:ascii="Arial" w:hAnsi="Arial" w:cs="Arial"/>
          <w:color w:val="000000" w:themeColor="text1"/>
        </w:rPr>
        <w:t xml:space="preserve">., (2022) and </w:t>
      </w:r>
      <w:proofErr w:type="spellStart"/>
      <w:r w:rsidRPr="00DC6004">
        <w:rPr>
          <w:rFonts w:ascii="Arial" w:hAnsi="Arial" w:cs="Arial"/>
          <w:color w:val="000000" w:themeColor="text1"/>
        </w:rPr>
        <w:t>Sajjanshetty</w:t>
      </w:r>
      <w:proofErr w:type="spellEnd"/>
      <w:r w:rsidRPr="00DC6004">
        <w:rPr>
          <w:rFonts w:ascii="Arial" w:hAnsi="Arial" w:cs="Arial"/>
          <w:color w:val="000000" w:themeColor="text1"/>
        </w:rPr>
        <w:t xml:space="preserve"> </w:t>
      </w:r>
      <w:r w:rsidRPr="00DC6004">
        <w:rPr>
          <w:rFonts w:ascii="Arial" w:hAnsi="Arial" w:cs="Arial"/>
          <w:i/>
          <w:iCs/>
          <w:color w:val="000000" w:themeColor="text1"/>
        </w:rPr>
        <w:t>et al</w:t>
      </w:r>
      <w:r w:rsidRPr="00DC6004">
        <w:rPr>
          <w:rFonts w:ascii="Arial" w:hAnsi="Arial" w:cs="Arial"/>
          <w:color w:val="000000" w:themeColor="text1"/>
        </w:rPr>
        <w:t>., (2014) that alcohol acts primarily as a surface disinfectant, inadequate for complex critical instruments.</w:t>
      </w:r>
      <w:r w:rsidR="005B5625" w:rsidRPr="00DC6004">
        <w:rPr>
          <w:rFonts w:ascii="Arial" w:hAnsi="Arial" w:cs="Arial"/>
          <w:color w:val="000000" w:themeColor="text1"/>
        </w:rPr>
        <w:t xml:space="preserve"> It evaporates too rapidly to penetrate the debris-laden flutes of burs and files, making it unsuitable for critical instrument decontamination. This severe inadequacy is heavily corroborated by a recent real-world clinical survey, which evaluated contaminated dental burs retrieved directly from active daily practices. Their microbiological assessments revealed a disturbing 40.5% contamination rate, primarily featuring pathogenic </w:t>
      </w:r>
      <w:r w:rsidR="005B5625" w:rsidRPr="00044FBB">
        <w:rPr>
          <w:rFonts w:ascii="Arial" w:hAnsi="Arial" w:cs="Arial"/>
          <w:i/>
          <w:iCs/>
          <w:color w:val="000000" w:themeColor="text1"/>
        </w:rPr>
        <w:t>Staphylococcus aureus and Bacillus species</w:t>
      </w:r>
      <w:r w:rsidR="005B5625" w:rsidRPr="00DC6004">
        <w:rPr>
          <w:rFonts w:ascii="Arial" w:hAnsi="Arial" w:cs="Arial"/>
          <w:color w:val="000000" w:themeColor="text1"/>
        </w:rPr>
        <w:t>, on burs that had merely been wiped with alcohol or soaked in mild disinfectants without subsequent thermal processing. Our 77.4% reduction rate perfectly mirrors their clinical conclusion that non-pressurized, volatile chemical dips are fundamentally incapable of rendering highly abrasive dental burs safe for patient reuse (Alhamdani et al., 2024).</w:t>
      </w:r>
    </w:p>
    <w:p w14:paraId="7BC11D84" w14:textId="77777777" w:rsidR="00677CFD" w:rsidRPr="00DC6004" w:rsidRDefault="00677CFD" w:rsidP="003B3865">
      <w:pPr>
        <w:jc w:val="both"/>
        <w:rPr>
          <w:rFonts w:ascii="Arial" w:hAnsi="Arial" w:cs="Arial"/>
          <w:color w:val="000000" w:themeColor="text1"/>
        </w:rPr>
      </w:pPr>
    </w:p>
    <w:p w14:paraId="3A965A4C" w14:textId="54DD04E1" w:rsidR="00677CFD" w:rsidRDefault="00677CFD" w:rsidP="006A77C8">
      <w:pPr>
        <w:jc w:val="both"/>
        <w:rPr>
          <w:rFonts w:ascii="Arial" w:hAnsi="Arial" w:cs="Arial"/>
          <w:color w:val="000000" w:themeColor="text1"/>
        </w:rPr>
      </w:pPr>
      <w:r w:rsidRPr="00DC6004">
        <w:rPr>
          <w:rFonts w:ascii="Arial" w:hAnsi="Arial" w:cs="Arial"/>
          <w:color w:val="000000" w:themeColor="text1"/>
        </w:rPr>
        <w:t xml:space="preserve">Clinically, the 4-hour </w:t>
      </w:r>
      <w:proofErr w:type="spellStart"/>
      <w:r w:rsidRPr="00DC6004">
        <w:rPr>
          <w:rFonts w:ascii="Arial" w:hAnsi="Arial" w:cs="Arial"/>
          <w:color w:val="000000" w:themeColor="text1"/>
        </w:rPr>
        <w:t>Korsolex</w:t>
      </w:r>
      <w:proofErr w:type="spellEnd"/>
      <w:r w:rsidRPr="00DC6004">
        <w:rPr>
          <w:rFonts w:ascii="Arial" w:hAnsi="Arial" w:cs="Arial"/>
          <w:color w:val="000000" w:themeColor="text1"/>
        </w:rPr>
        <w:t xml:space="preserve"> Rapid protocol offers a pragmatic “middle ground” for high-volume practices, matching the efficacy of autoclave, without thermal damage, minimizing corrosion risk and reducing the turnaround time compared with overnight glutaraldehyde immersion. This is particularly advantageous for instrument longevity, directly impacting procedural efficiency and cost. However, proper pre-cleaning remains indispensable, as organic debris can shield microorganisms and reduce disinfectant penetration.</w:t>
      </w:r>
      <w:r w:rsidR="00C4563B">
        <w:rPr>
          <w:rFonts w:ascii="Arial" w:hAnsi="Arial" w:cs="Arial"/>
          <w:color w:val="000000" w:themeColor="text1"/>
        </w:rPr>
        <w:t xml:space="preserve"> </w:t>
      </w:r>
      <w:r w:rsidR="00C4563B" w:rsidRPr="00C4563B">
        <w:rPr>
          <w:rFonts w:ascii="Arial" w:hAnsi="Arial" w:cs="Arial"/>
          <w:color w:val="000000" w:themeColor="text1"/>
        </w:rPr>
        <w:t>A primary limitation of this research is the reliance on aerobic culture techniques, which do not account for obligate anaerobes. Additionally, standard Colony Forming Unit (CFU) counts fail to detect viable but non-culturable (VBNC) bacteria. While these organisms remain metabolically active and potentially infectious, they can only be identified through molecular diagnostics.</w:t>
      </w:r>
      <w:r w:rsidR="00C4563B">
        <w:rPr>
          <w:rFonts w:ascii="Arial" w:hAnsi="Arial" w:cs="Arial"/>
          <w:color w:val="000000" w:themeColor="text1"/>
        </w:rPr>
        <w:t xml:space="preserve"> </w:t>
      </w:r>
      <w:r w:rsidR="00C4563B" w:rsidRPr="00C4563B">
        <w:rPr>
          <w:rFonts w:ascii="Arial" w:hAnsi="Arial" w:cs="Arial"/>
          <w:color w:val="000000" w:themeColor="text1"/>
        </w:rPr>
        <w:t>Consequently, we conclude that a 4-hour glutaraldehyde immersion provides high-level decontamination equivalent to the efficacy of autoclaving. Future research should utilize advanced molecular viability assays, such as Polymerase Chain Reaction (PCR), to monitor the degradation of pathogen DNA or RNA. Furthermore, incorporating Scanning Electron Microscopy (SEM) would allow for a detailed visual and quantitative assessment of surface wear, blade dulling, and micro-crack development in Nickel-Titanium (</w:t>
      </w:r>
      <w:proofErr w:type="spellStart"/>
      <w:r w:rsidR="00C4563B" w:rsidRPr="00C4563B">
        <w:rPr>
          <w:rFonts w:ascii="Arial" w:hAnsi="Arial" w:cs="Arial"/>
          <w:color w:val="000000" w:themeColor="text1"/>
        </w:rPr>
        <w:t>NiTi</w:t>
      </w:r>
      <w:proofErr w:type="spellEnd"/>
      <w:r w:rsidR="00C4563B" w:rsidRPr="00C4563B">
        <w:rPr>
          <w:rFonts w:ascii="Arial" w:hAnsi="Arial" w:cs="Arial"/>
          <w:color w:val="000000" w:themeColor="text1"/>
        </w:rPr>
        <w:t>) files following thermal versus chemical processing.</w:t>
      </w:r>
    </w:p>
    <w:p w14:paraId="4B6C27B7" w14:textId="77777777" w:rsidR="00733E82" w:rsidRPr="00DF4C25" w:rsidRDefault="00733E82" w:rsidP="006A77C8">
      <w:pPr>
        <w:jc w:val="both"/>
        <w:rPr>
          <w:rFonts w:ascii="Arial" w:hAnsi="Arial" w:cs="Arial"/>
          <w:color w:val="EE0000"/>
        </w:rPr>
      </w:pPr>
    </w:p>
    <w:p w14:paraId="2F20B403" w14:textId="77777777" w:rsidR="00677CFD" w:rsidRPr="003B3865" w:rsidRDefault="00677CFD" w:rsidP="00677CFD">
      <w:pPr>
        <w:rPr>
          <w:rFonts w:ascii="Arial" w:hAnsi="Arial" w:cs="Arial"/>
          <w:b/>
          <w:bCs/>
          <w:sz w:val="22"/>
          <w:szCs w:val="22"/>
        </w:rPr>
      </w:pPr>
      <w:r w:rsidRPr="003B3865">
        <w:rPr>
          <w:rFonts w:ascii="Arial" w:hAnsi="Arial" w:cs="Arial"/>
          <w:b/>
          <w:bCs/>
          <w:sz w:val="22"/>
          <w:szCs w:val="22"/>
        </w:rPr>
        <w:t>5. CONCLUSION</w:t>
      </w:r>
    </w:p>
    <w:p w14:paraId="14A69B94" w14:textId="77777777" w:rsidR="00677CFD" w:rsidRPr="00677CFD" w:rsidRDefault="00677CFD" w:rsidP="00677CFD">
      <w:pPr>
        <w:rPr>
          <w:rFonts w:ascii="Arial" w:hAnsi="Arial" w:cs="Arial"/>
          <w:sz w:val="24"/>
          <w:szCs w:val="24"/>
        </w:rPr>
      </w:pPr>
    </w:p>
    <w:p w14:paraId="7E404365" w14:textId="151AE00B" w:rsidR="004726A5" w:rsidRPr="004726A5" w:rsidRDefault="004726A5" w:rsidP="004726A5">
      <w:pPr>
        <w:jc w:val="both"/>
        <w:rPr>
          <w:rFonts w:ascii="Arial" w:hAnsi="Arial" w:cs="Arial"/>
          <w:color w:val="000000" w:themeColor="text1"/>
        </w:rPr>
      </w:pPr>
      <w:r w:rsidRPr="004726A5">
        <w:rPr>
          <w:rFonts w:ascii="Arial" w:hAnsi="Arial" w:cs="Arial"/>
          <w:color w:val="000000" w:themeColor="text1"/>
        </w:rPr>
        <w:t xml:space="preserve">In conclusion, </w:t>
      </w:r>
      <w:proofErr w:type="spellStart"/>
      <w:r w:rsidRPr="004726A5">
        <w:rPr>
          <w:rFonts w:ascii="Arial" w:hAnsi="Arial" w:cs="Arial"/>
          <w:color w:val="000000" w:themeColor="text1"/>
        </w:rPr>
        <w:t>Korsolex</w:t>
      </w:r>
      <w:proofErr w:type="spellEnd"/>
      <w:r w:rsidRPr="004726A5">
        <w:rPr>
          <w:rFonts w:ascii="Arial" w:hAnsi="Arial" w:cs="Arial"/>
          <w:color w:val="000000" w:themeColor="text1"/>
        </w:rPr>
        <w:t xml:space="preserve"> Rapid (4-hour immersion) represents a clinically viable sterilization method for dental burs and endodontic files, comparable in efficacy to the gold standard autoclave while offering superior instrument preservation through reduced corrosion risk and the avoidance of thermal damage. This enhanced dual-aldehyde formulation also provides a markedly shorter turnover time compared with traditional overnight glutaraldehyde protocols, </w:t>
      </w:r>
      <w:r w:rsidRPr="004726A5">
        <w:rPr>
          <w:rFonts w:ascii="Arial" w:hAnsi="Arial" w:cs="Arial"/>
          <w:color w:val="000000" w:themeColor="text1"/>
        </w:rPr>
        <w:lastRenderedPageBreak/>
        <w:t>whereas 70% isopropyl alcohol is insufficient for reliable decontamination of complex dental instruments and should not be used as a primary sterilization method.</w:t>
      </w:r>
    </w:p>
    <w:p w14:paraId="56AB30FD" w14:textId="02667687" w:rsidR="00677CFD" w:rsidRPr="00DE25D8" w:rsidRDefault="00677CFD" w:rsidP="003B3865">
      <w:pPr>
        <w:jc w:val="both"/>
        <w:rPr>
          <w:rFonts w:ascii="Arial" w:hAnsi="Arial" w:cs="Arial"/>
          <w:color w:val="000000" w:themeColor="text1"/>
        </w:rPr>
      </w:pPr>
    </w:p>
    <w:p w14:paraId="7C7E177A" w14:textId="77777777" w:rsidR="00677CFD" w:rsidRPr="00DE25D8" w:rsidRDefault="00677CFD" w:rsidP="003B3865">
      <w:pPr>
        <w:jc w:val="both"/>
        <w:rPr>
          <w:rFonts w:ascii="Arial" w:hAnsi="Arial" w:cs="Arial"/>
          <w:color w:val="000000" w:themeColor="text1"/>
          <w:sz w:val="24"/>
          <w:szCs w:val="24"/>
        </w:rPr>
      </w:pPr>
    </w:p>
    <w:p w14:paraId="0C578F5F" w14:textId="77777777" w:rsidR="00677CFD" w:rsidRPr="00677CFD" w:rsidRDefault="00677CFD" w:rsidP="00677CFD">
      <w:pPr>
        <w:rPr>
          <w:rFonts w:ascii="Arial" w:hAnsi="Arial" w:cs="Arial"/>
          <w:b/>
          <w:bCs/>
          <w:sz w:val="24"/>
          <w:szCs w:val="24"/>
        </w:rPr>
      </w:pPr>
      <w:r w:rsidRPr="00677CFD">
        <w:rPr>
          <w:rFonts w:ascii="Arial" w:hAnsi="Arial" w:cs="Arial"/>
          <w:b/>
          <w:bCs/>
          <w:sz w:val="24"/>
          <w:szCs w:val="24"/>
        </w:rPr>
        <w:t>CONSENT</w:t>
      </w:r>
    </w:p>
    <w:p w14:paraId="1623E04B" w14:textId="77777777" w:rsidR="00677CFD" w:rsidRPr="00677CFD" w:rsidRDefault="00677CFD" w:rsidP="00677CFD">
      <w:pPr>
        <w:rPr>
          <w:rFonts w:ascii="Arial" w:hAnsi="Arial" w:cs="Arial"/>
          <w:sz w:val="24"/>
          <w:szCs w:val="24"/>
        </w:rPr>
      </w:pPr>
    </w:p>
    <w:p w14:paraId="79605A3C" w14:textId="77777777" w:rsidR="00677CFD" w:rsidRPr="00677CFD" w:rsidRDefault="00677CFD" w:rsidP="00677CFD">
      <w:pPr>
        <w:rPr>
          <w:rFonts w:ascii="Arial" w:hAnsi="Arial" w:cs="Arial"/>
          <w:sz w:val="24"/>
          <w:szCs w:val="24"/>
        </w:rPr>
      </w:pPr>
      <w:r w:rsidRPr="00677CFD">
        <w:rPr>
          <w:rFonts w:ascii="Arial" w:hAnsi="Arial" w:cs="Arial"/>
          <w:sz w:val="24"/>
          <w:szCs w:val="24"/>
        </w:rPr>
        <w:t>Not applicable</w:t>
      </w:r>
    </w:p>
    <w:p w14:paraId="0072AA75" w14:textId="77777777" w:rsidR="00677CFD" w:rsidRPr="003B3865" w:rsidRDefault="00677CFD" w:rsidP="00677CFD">
      <w:pPr>
        <w:rPr>
          <w:rFonts w:ascii="Arial" w:hAnsi="Arial" w:cs="Arial"/>
          <w:sz w:val="22"/>
          <w:szCs w:val="22"/>
        </w:rPr>
      </w:pPr>
    </w:p>
    <w:p w14:paraId="4A020B51" w14:textId="77777777" w:rsidR="00677CFD" w:rsidRPr="003B3865" w:rsidRDefault="00677CFD" w:rsidP="00677CFD">
      <w:pPr>
        <w:rPr>
          <w:rFonts w:ascii="Arial" w:hAnsi="Arial" w:cs="Arial"/>
          <w:b/>
          <w:bCs/>
          <w:sz w:val="22"/>
          <w:szCs w:val="22"/>
        </w:rPr>
      </w:pPr>
      <w:r w:rsidRPr="003B3865">
        <w:rPr>
          <w:rFonts w:ascii="Arial" w:hAnsi="Arial" w:cs="Arial"/>
          <w:b/>
          <w:bCs/>
          <w:sz w:val="22"/>
          <w:szCs w:val="22"/>
        </w:rPr>
        <w:t xml:space="preserve">ETHICAL APPROVAL </w:t>
      </w:r>
    </w:p>
    <w:p w14:paraId="4B7900D6" w14:textId="77777777" w:rsidR="00677CFD" w:rsidRPr="00677CFD" w:rsidRDefault="00677CFD" w:rsidP="00677CFD">
      <w:pPr>
        <w:rPr>
          <w:rFonts w:ascii="Arial" w:hAnsi="Arial" w:cs="Arial"/>
          <w:sz w:val="24"/>
          <w:szCs w:val="24"/>
        </w:rPr>
      </w:pPr>
    </w:p>
    <w:p w14:paraId="7C21F1F2" w14:textId="77777777" w:rsidR="00677CFD" w:rsidRPr="003B3865" w:rsidRDefault="00677CFD" w:rsidP="00677CFD">
      <w:pPr>
        <w:rPr>
          <w:rFonts w:ascii="Arial" w:hAnsi="Arial" w:cs="Arial"/>
        </w:rPr>
      </w:pPr>
      <w:r w:rsidRPr="003B3865">
        <w:rPr>
          <w:rFonts w:ascii="Arial" w:hAnsi="Arial" w:cs="Arial"/>
        </w:rPr>
        <w:t>Applicable. IEC/MBDC/022025/31</w:t>
      </w:r>
    </w:p>
    <w:p w14:paraId="7F22AA56" w14:textId="77777777" w:rsidR="0045597C" w:rsidRDefault="0045597C" w:rsidP="00677CFD">
      <w:pPr>
        <w:rPr>
          <w:rFonts w:ascii="Arial" w:hAnsi="Arial" w:cs="Arial"/>
          <w:sz w:val="24"/>
          <w:szCs w:val="24"/>
        </w:rPr>
      </w:pPr>
    </w:p>
    <w:p w14:paraId="6B49ED1A" w14:textId="77777777" w:rsidR="0045597C" w:rsidRPr="0045597C" w:rsidRDefault="0045597C" w:rsidP="0045597C">
      <w:pPr>
        <w:spacing w:after="200" w:line="276" w:lineRule="auto"/>
        <w:rPr>
          <w:rFonts w:ascii="Arial" w:eastAsiaTheme="minorEastAsia" w:hAnsi="Arial" w:cs="Arial"/>
          <w:b/>
          <w:bCs/>
          <w:sz w:val="22"/>
          <w:szCs w:val="22"/>
          <w:lang w:val="en-GB" w:eastAsia="en-GB"/>
        </w:rPr>
      </w:pPr>
      <w:r w:rsidRPr="0045597C">
        <w:rPr>
          <w:rFonts w:ascii="Arial" w:eastAsiaTheme="minorEastAsia" w:hAnsi="Arial" w:cs="Arial"/>
          <w:b/>
          <w:bCs/>
          <w:sz w:val="22"/>
          <w:szCs w:val="22"/>
          <w:lang w:val="en-GB" w:eastAsia="en-GB"/>
        </w:rPr>
        <w:t>COMPETING INTERESTS DISCLAIMER:</w:t>
      </w:r>
    </w:p>
    <w:p w14:paraId="0E19E639" w14:textId="77777777" w:rsidR="0045597C" w:rsidRPr="003B3865" w:rsidRDefault="0045597C" w:rsidP="003B3865">
      <w:pPr>
        <w:spacing w:after="200" w:line="276" w:lineRule="auto"/>
        <w:jc w:val="both"/>
        <w:rPr>
          <w:rFonts w:asciiTheme="minorHAnsi" w:eastAsiaTheme="minorEastAsia" w:hAnsiTheme="minorHAnsi" w:cstheme="minorBidi"/>
          <w:lang w:val="en-GB" w:eastAsia="en-GB"/>
        </w:rPr>
      </w:pPr>
      <w:r w:rsidRPr="003B3865">
        <w:rPr>
          <w:rFonts w:ascii="Arial" w:eastAsiaTheme="minorEastAsia" w:hAnsi="Arial" w:cs="Arial"/>
          <w:lang w:val="en-GB" w:eastAsia="en-GB"/>
        </w:rPr>
        <w:t>Authors have declared that they have no known competing financial interests OR non-financial interests OR personal relationships that could have appeared to influence the work reported in this paper.</w:t>
      </w:r>
    </w:p>
    <w:p w14:paraId="4699D8B8" w14:textId="00B6454E" w:rsidR="0045597C" w:rsidRPr="003B3865" w:rsidRDefault="0045597C" w:rsidP="003B3865">
      <w:pPr>
        <w:jc w:val="both"/>
        <w:rPr>
          <w:rFonts w:ascii="Arial" w:hAnsi="Arial" w:cs="Arial"/>
        </w:rPr>
      </w:pPr>
    </w:p>
    <w:p w14:paraId="6B8D7050" w14:textId="2C1AA8FF" w:rsidR="00533CAC" w:rsidRPr="003B3865" w:rsidRDefault="00533CAC" w:rsidP="003B3865">
      <w:pPr>
        <w:jc w:val="both"/>
        <w:rPr>
          <w:rFonts w:ascii="Arial" w:hAnsi="Arial" w:cs="Arial"/>
        </w:rPr>
      </w:pPr>
    </w:p>
    <w:p w14:paraId="367AE395" w14:textId="77777777" w:rsidR="00533CAC" w:rsidRPr="003B3865" w:rsidRDefault="00533CAC" w:rsidP="003B3865">
      <w:pPr>
        <w:pStyle w:val="NoSpacing"/>
        <w:jc w:val="both"/>
        <w:rPr>
          <w:rFonts w:ascii="Arial" w:hAnsi="Arial" w:cs="Arial"/>
          <w:sz w:val="20"/>
          <w:szCs w:val="20"/>
          <w:highlight w:val="yellow"/>
        </w:rPr>
      </w:pPr>
      <w:bookmarkStart w:id="2" w:name="_Hlk219284361"/>
      <w:bookmarkStart w:id="3" w:name="_Hlk225937769"/>
      <w:bookmarkStart w:id="4" w:name="_Hlk198031404"/>
      <w:r w:rsidRPr="003B3865">
        <w:rPr>
          <w:rFonts w:ascii="Arial" w:hAnsi="Arial" w:cs="Arial"/>
          <w:sz w:val="20"/>
          <w:szCs w:val="20"/>
          <w:highlight w:val="yellow"/>
        </w:rPr>
        <w:t>Disclaimer (Artificial intelligence)</w:t>
      </w:r>
    </w:p>
    <w:p w14:paraId="23799589" w14:textId="77777777" w:rsidR="00533CAC" w:rsidRPr="003B3865" w:rsidRDefault="00533CAC" w:rsidP="003B3865">
      <w:pPr>
        <w:pStyle w:val="NoSpacing"/>
        <w:jc w:val="both"/>
        <w:rPr>
          <w:rFonts w:ascii="Arial" w:hAnsi="Arial" w:cs="Arial"/>
          <w:sz w:val="20"/>
          <w:szCs w:val="20"/>
          <w:highlight w:val="yellow"/>
        </w:rPr>
      </w:pPr>
    </w:p>
    <w:p w14:paraId="0A6A6A69" w14:textId="77777777" w:rsidR="00533CAC" w:rsidRPr="003B3865" w:rsidRDefault="00533CAC" w:rsidP="003B3865">
      <w:pPr>
        <w:pStyle w:val="NoSpacing"/>
        <w:jc w:val="both"/>
        <w:rPr>
          <w:rFonts w:ascii="Arial" w:hAnsi="Arial" w:cs="Arial"/>
          <w:sz w:val="20"/>
          <w:szCs w:val="20"/>
          <w:highlight w:val="yellow"/>
        </w:rPr>
      </w:pPr>
      <w:r w:rsidRPr="003B3865">
        <w:rPr>
          <w:rFonts w:ascii="Arial" w:hAnsi="Arial" w:cs="Arial"/>
          <w:sz w:val="20"/>
          <w:szCs w:val="20"/>
          <w:highlight w:val="yellow"/>
        </w:rPr>
        <w:t xml:space="preserve">Author(s) hereby </w:t>
      </w:r>
      <w:proofErr w:type="gramStart"/>
      <w:r w:rsidRPr="003B3865">
        <w:rPr>
          <w:rFonts w:ascii="Arial" w:hAnsi="Arial" w:cs="Arial"/>
          <w:sz w:val="20"/>
          <w:szCs w:val="20"/>
          <w:highlight w:val="yellow"/>
        </w:rPr>
        <w:t>declare</w:t>
      </w:r>
      <w:proofErr w:type="gramEnd"/>
      <w:r w:rsidRPr="003B3865">
        <w:rPr>
          <w:rFonts w:ascii="Arial" w:hAnsi="Arial" w:cs="Arial"/>
          <w:sz w:val="20"/>
          <w:szCs w:val="20"/>
          <w:highlight w:val="yellow"/>
        </w:rPr>
        <w:t xml:space="preserve"> that NO generative AI technologies such as Large Language Models (ChatGPT, COPILOT, etc.) and text-to-image generators have been used during the writing or editing of this manuscript</w:t>
      </w:r>
      <w:bookmarkEnd w:id="2"/>
      <w:r w:rsidRPr="003B3865">
        <w:rPr>
          <w:rFonts w:ascii="Arial" w:hAnsi="Arial" w:cs="Arial"/>
          <w:sz w:val="20"/>
          <w:szCs w:val="20"/>
          <w:highlight w:val="yellow"/>
        </w:rPr>
        <w:t xml:space="preserve">. </w:t>
      </w:r>
      <w:bookmarkEnd w:id="3"/>
    </w:p>
    <w:bookmarkEnd w:id="4"/>
    <w:p w14:paraId="15D20E4A" w14:textId="77777777" w:rsidR="00533CAC" w:rsidRPr="00677CFD" w:rsidRDefault="00533CAC" w:rsidP="00677CFD">
      <w:pPr>
        <w:rPr>
          <w:rFonts w:ascii="Arial" w:hAnsi="Arial" w:cs="Arial"/>
          <w:sz w:val="24"/>
          <w:szCs w:val="24"/>
        </w:rPr>
      </w:pPr>
    </w:p>
    <w:p w14:paraId="3D4BD9CF" w14:textId="77777777" w:rsidR="00677CFD" w:rsidRPr="00677CFD" w:rsidRDefault="00677CFD" w:rsidP="00677CFD">
      <w:pPr>
        <w:rPr>
          <w:rFonts w:ascii="Arial" w:hAnsi="Arial" w:cs="Arial"/>
          <w:sz w:val="24"/>
          <w:szCs w:val="24"/>
        </w:rPr>
      </w:pPr>
    </w:p>
    <w:p w14:paraId="21EFAEA5" w14:textId="77777777" w:rsidR="00677CFD" w:rsidRPr="003B3865" w:rsidRDefault="00677CFD" w:rsidP="003B3865">
      <w:pPr>
        <w:jc w:val="both"/>
        <w:rPr>
          <w:rFonts w:ascii="Arial" w:hAnsi="Arial" w:cs="Arial"/>
          <w:b/>
          <w:bCs/>
          <w:sz w:val="22"/>
          <w:szCs w:val="22"/>
        </w:rPr>
      </w:pPr>
      <w:r w:rsidRPr="003B3865">
        <w:rPr>
          <w:rFonts w:ascii="Arial" w:hAnsi="Arial" w:cs="Arial"/>
          <w:b/>
          <w:bCs/>
          <w:sz w:val="22"/>
          <w:szCs w:val="22"/>
        </w:rPr>
        <w:t>REFERENCES</w:t>
      </w:r>
    </w:p>
    <w:p w14:paraId="57B2A1E0" w14:textId="77777777" w:rsidR="00AA25DF" w:rsidRPr="00677CFD" w:rsidRDefault="00AA25DF" w:rsidP="00AA25DF">
      <w:pPr>
        <w:jc w:val="both"/>
        <w:rPr>
          <w:rFonts w:ascii="Arial" w:hAnsi="Arial" w:cs="Arial"/>
          <w:sz w:val="24"/>
          <w:szCs w:val="24"/>
        </w:rPr>
      </w:pPr>
    </w:p>
    <w:p w14:paraId="749C8298" w14:textId="77777777" w:rsidR="00677CFD" w:rsidRPr="003B3865" w:rsidRDefault="00677CFD" w:rsidP="003B3865">
      <w:pPr>
        <w:ind w:left="360"/>
        <w:jc w:val="both"/>
        <w:rPr>
          <w:rFonts w:ascii="Arial" w:hAnsi="Arial" w:cs="Arial"/>
        </w:rPr>
      </w:pPr>
      <w:r w:rsidRPr="003B3865">
        <w:rPr>
          <w:rFonts w:ascii="Arial" w:hAnsi="Arial" w:cs="Arial"/>
        </w:rPr>
        <w:t xml:space="preserve">Hawley, R.J., </w:t>
      </w:r>
      <w:proofErr w:type="spellStart"/>
      <w:r w:rsidRPr="003B3865">
        <w:rPr>
          <w:rFonts w:ascii="Arial" w:hAnsi="Arial" w:cs="Arial"/>
        </w:rPr>
        <w:t>Kozlovac</w:t>
      </w:r>
      <w:proofErr w:type="spellEnd"/>
      <w:r w:rsidRPr="003B3865">
        <w:rPr>
          <w:rFonts w:ascii="Arial" w:hAnsi="Arial" w:cs="Arial"/>
        </w:rPr>
        <w:t>, J.P. (2005). Decontamination. In: Lindler, L.E., Lebeda, F.J., Korch, G.W. (eds) Biological Weapons Defense. Infectious Disease. Humana Press. https://doi.org/10.1385/1-59259-764-5:333</w:t>
      </w:r>
    </w:p>
    <w:p w14:paraId="334B0133" w14:textId="77777777" w:rsidR="00677CFD" w:rsidRPr="003B3865" w:rsidRDefault="00677CFD" w:rsidP="003B3865">
      <w:pPr>
        <w:jc w:val="both"/>
        <w:rPr>
          <w:rFonts w:ascii="Arial" w:hAnsi="Arial" w:cs="Arial"/>
        </w:rPr>
      </w:pPr>
    </w:p>
    <w:p w14:paraId="5F79D55F" w14:textId="77777777" w:rsidR="00677CFD" w:rsidRPr="003B3865" w:rsidRDefault="00677CFD" w:rsidP="003B3865">
      <w:pPr>
        <w:ind w:left="360"/>
        <w:jc w:val="both"/>
        <w:rPr>
          <w:rFonts w:ascii="Arial" w:hAnsi="Arial" w:cs="Arial"/>
        </w:rPr>
      </w:pPr>
      <w:r w:rsidRPr="003B3865">
        <w:rPr>
          <w:rFonts w:ascii="Arial" w:hAnsi="Arial" w:cs="Arial"/>
        </w:rPr>
        <w:t>Yenni, M., Bandi, S., Avula, S. S., Margana, P. G., Kakarla, P., &amp; Amrutavalli, A. (2017). Comparative evaluation of four different sterilization methods on contaminated endodontic files. CHRISMED Journal of Health and Research, 4(3), 194–197.</w:t>
      </w:r>
    </w:p>
    <w:p w14:paraId="5FFB812A" w14:textId="77777777" w:rsidR="00677CFD" w:rsidRPr="003B3865" w:rsidRDefault="00677CFD" w:rsidP="003B3865">
      <w:pPr>
        <w:ind w:left="360"/>
        <w:jc w:val="both"/>
        <w:rPr>
          <w:rFonts w:ascii="Arial" w:hAnsi="Arial" w:cs="Arial"/>
        </w:rPr>
      </w:pPr>
    </w:p>
    <w:p w14:paraId="4E97186D" w14:textId="77777777" w:rsidR="00677CFD" w:rsidRPr="003B3865" w:rsidRDefault="00677CFD" w:rsidP="003B3865">
      <w:pPr>
        <w:ind w:left="360"/>
        <w:jc w:val="both"/>
        <w:rPr>
          <w:rFonts w:ascii="Arial" w:hAnsi="Arial" w:cs="Arial"/>
        </w:rPr>
      </w:pPr>
      <w:r w:rsidRPr="003B3865">
        <w:rPr>
          <w:rFonts w:ascii="Arial" w:hAnsi="Arial" w:cs="Arial"/>
        </w:rPr>
        <w:t>Pooja, H. R., Nagar, P., Mascarenhas, A. N., &amp; Shree, C. C. (2022). Care or neglect of burs: A comparative study of different sterilization methods. SRM Journal of Research in Dental Sciences, 13(2), 54–57.</w:t>
      </w:r>
    </w:p>
    <w:p w14:paraId="3BE8ADC4" w14:textId="77777777" w:rsidR="006325EF" w:rsidRPr="003B3865" w:rsidRDefault="006325EF" w:rsidP="003B3865">
      <w:pPr>
        <w:ind w:left="360"/>
        <w:jc w:val="both"/>
        <w:rPr>
          <w:rFonts w:ascii="Arial" w:hAnsi="Arial" w:cs="Arial"/>
        </w:rPr>
      </w:pPr>
    </w:p>
    <w:p w14:paraId="23ED6E88" w14:textId="4F360803" w:rsidR="006325EF" w:rsidRPr="003B3865" w:rsidRDefault="005C7828" w:rsidP="003B3865">
      <w:pPr>
        <w:ind w:left="360"/>
        <w:jc w:val="both"/>
        <w:rPr>
          <w:rFonts w:ascii="Arial" w:hAnsi="Arial" w:cs="Arial"/>
        </w:rPr>
      </w:pPr>
      <w:r w:rsidRPr="003B3865">
        <w:rPr>
          <w:rFonts w:ascii="Arial" w:hAnsi="Arial" w:cs="Arial"/>
        </w:rPr>
        <w:t>Surender, L. R., Nirmala, S., Reddy, N., Chukka, R. R., Reddy, S. D., &amp; Kumar, N. (2023). Sterilization of new endodontic hand files Stored in dental office inventory: An in vitro study. </w:t>
      </w:r>
      <w:r w:rsidRPr="003B3865">
        <w:rPr>
          <w:rFonts w:ascii="Arial" w:hAnsi="Arial" w:cs="Arial"/>
          <w:i/>
          <w:iCs/>
        </w:rPr>
        <w:t>Cureus</w:t>
      </w:r>
      <w:r w:rsidRPr="003B3865">
        <w:rPr>
          <w:rFonts w:ascii="Arial" w:hAnsi="Arial" w:cs="Arial"/>
        </w:rPr>
        <w:t>, </w:t>
      </w:r>
      <w:r w:rsidRPr="003B3865">
        <w:rPr>
          <w:rFonts w:ascii="Arial" w:hAnsi="Arial" w:cs="Arial"/>
          <w:i/>
          <w:iCs/>
        </w:rPr>
        <w:t>15</w:t>
      </w:r>
      <w:r w:rsidRPr="003B3865">
        <w:rPr>
          <w:rFonts w:ascii="Arial" w:hAnsi="Arial" w:cs="Arial"/>
        </w:rPr>
        <w:t>(3).</w:t>
      </w:r>
    </w:p>
    <w:p w14:paraId="316089AF" w14:textId="77777777" w:rsidR="005C7828" w:rsidRPr="003B3865" w:rsidRDefault="005C7828" w:rsidP="003B3865">
      <w:pPr>
        <w:ind w:left="360"/>
        <w:jc w:val="both"/>
        <w:rPr>
          <w:rFonts w:ascii="Arial" w:hAnsi="Arial" w:cs="Arial"/>
        </w:rPr>
      </w:pPr>
    </w:p>
    <w:p w14:paraId="0422C26D" w14:textId="35594BB3" w:rsidR="005C7828" w:rsidRPr="003B3865" w:rsidRDefault="005C7828" w:rsidP="003B3865">
      <w:pPr>
        <w:ind w:left="360"/>
        <w:jc w:val="both"/>
        <w:rPr>
          <w:rFonts w:ascii="Arial" w:hAnsi="Arial" w:cs="Arial"/>
        </w:rPr>
      </w:pPr>
      <w:proofErr w:type="spellStart"/>
      <w:r w:rsidRPr="003B3865">
        <w:rPr>
          <w:rFonts w:ascii="Arial" w:hAnsi="Arial" w:cs="Arial"/>
        </w:rPr>
        <w:t>Almohareb</w:t>
      </w:r>
      <w:proofErr w:type="spellEnd"/>
      <w:r w:rsidRPr="003B3865">
        <w:rPr>
          <w:rFonts w:ascii="Arial" w:hAnsi="Arial" w:cs="Arial"/>
        </w:rPr>
        <w:t xml:space="preserve">, R. A., Barakat, R. M., Alzahrani, H., </w:t>
      </w:r>
      <w:proofErr w:type="spellStart"/>
      <w:r w:rsidRPr="003B3865">
        <w:rPr>
          <w:rFonts w:ascii="Arial" w:hAnsi="Arial" w:cs="Arial"/>
        </w:rPr>
        <w:t>Alkhattabi</w:t>
      </w:r>
      <w:proofErr w:type="spellEnd"/>
      <w:r w:rsidRPr="003B3865">
        <w:rPr>
          <w:rFonts w:ascii="Arial" w:hAnsi="Arial" w:cs="Arial"/>
        </w:rPr>
        <w:t xml:space="preserve">, R., Alsaeed, R., </w:t>
      </w:r>
      <w:proofErr w:type="spellStart"/>
      <w:r w:rsidRPr="003B3865">
        <w:rPr>
          <w:rFonts w:ascii="Arial" w:hAnsi="Arial" w:cs="Arial"/>
        </w:rPr>
        <w:t>Faludah</w:t>
      </w:r>
      <w:proofErr w:type="spellEnd"/>
      <w:r w:rsidRPr="003B3865">
        <w:rPr>
          <w:rFonts w:ascii="Arial" w:hAnsi="Arial" w:cs="Arial"/>
        </w:rPr>
        <w:t xml:space="preserve">, S., &amp; </w:t>
      </w:r>
      <w:proofErr w:type="spellStart"/>
      <w:r w:rsidRPr="003B3865">
        <w:rPr>
          <w:rFonts w:ascii="Arial" w:hAnsi="Arial" w:cs="Arial"/>
        </w:rPr>
        <w:t>Alsaqat</w:t>
      </w:r>
      <w:proofErr w:type="spellEnd"/>
      <w:r w:rsidRPr="003B3865">
        <w:rPr>
          <w:rFonts w:ascii="Arial" w:hAnsi="Arial" w:cs="Arial"/>
        </w:rPr>
        <w:t>, R. (2025). Evaluation of Pre-Sterilization Cleaning Protocols on Endodontic Files Using SEM: Effects on Elemental Composition and Surface Roughness. </w:t>
      </w:r>
      <w:r w:rsidRPr="003B3865">
        <w:rPr>
          <w:rFonts w:ascii="Arial" w:hAnsi="Arial" w:cs="Arial"/>
          <w:i/>
          <w:iCs/>
        </w:rPr>
        <w:t>Crystals</w:t>
      </w:r>
      <w:r w:rsidRPr="003B3865">
        <w:rPr>
          <w:rFonts w:ascii="Arial" w:hAnsi="Arial" w:cs="Arial"/>
        </w:rPr>
        <w:t>, </w:t>
      </w:r>
      <w:r w:rsidRPr="003B3865">
        <w:rPr>
          <w:rFonts w:ascii="Arial" w:hAnsi="Arial" w:cs="Arial"/>
          <w:i/>
          <w:iCs/>
        </w:rPr>
        <w:t>15</w:t>
      </w:r>
      <w:r w:rsidRPr="003B3865">
        <w:rPr>
          <w:rFonts w:ascii="Arial" w:hAnsi="Arial" w:cs="Arial"/>
        </w:rPr>
        <w:t>(8), 684.</w:t>
      </w:r>
    </w:p>
    <w:p w14:paraId="1590E438" w14:textId="77777777" w:rsidR="00677CFD" w:rsidRPr="003B3865" w:rsidRDefault="00677CFD" w:rsidP="003B3865">
      <w:pPr>
        <w:ind w:left="360"/>
        <w:jc w:val="both"/>
        <w:rPr>
          <w:rFonts w:ascii="Arial" w:hAnsi="Arial" w:cs="Arial"/>
        </w:rPr>
      </w:pPr>
    </w:p>
    <w:p w14:paraId="728FEAEB" w14:textId="77777777" w:rsidR="00677CFD" w:rsidRPr="003B3865" w:rsidRDefault="00677CFD" w:rsidP="003B3865">
      <w:pPr>
        <w:ind w:left="360"/>
        <w:jc w:val="both"/>
        <w:rPr>
          <w:rFonts w:ascii="Arial" w:hAnsi="Arial" w:cs="Arial"/>
        </w:rPr>
      </w:pPr>
      <w:r w:rsidRPr="003B3865">
        <w:rPr>
          <w:rFonts w:ascii="Arial" w:hAnsi="Arial" w:cs="Arial"/>
        </w:rPr>
        <w:lastRenderedPageBreak/>
        <w:t>Kumar, K. V., Kumar, K. K., Supreetha, S., Raghu, K. N., Veerabhadrappa, A. C., &amp; Deepthi, S. (2015). Pathological evaluation for sterilization of routinely used prosthodontic and endodontic instruments. Journal of International Society of Preventive and Community Dentistry, 5(3), 232–236.</w:t>
      </w:r>
    </w:p>
    <w:p w14:paraId="16342A84" w14:textId="77777777" w:rsidR="00677CFD" w:rsidRPr="003B3865" w:rsidRDefault="00677CFD" w:rsidP="003B3865">
      <w:pPr>
        <w:ind w:left="360"/>
        <w:jc w:val="both"/>
        <w:rPr>
          <w:rFonts w:ascii="Arial" w:hAnsi="Arial" w:cs="Arial"/>
        </w:rPr>
      </w:pPr>
    </w:p>
    <w:p w14:paraId="6A4FC837" w14:textId="77777777" w:rsidR="00677CFD" w:rsidRPr="003B3865" w:rsidRDefault="00677CFD" w:rsidP="003B3865">
      <w:pPr>
        <w:ind w:left="360"/>
        <w:jc w:val="both"/>
        <w:rPr>
          <w:rFonts w:ascii="Arial" w:hAnsi="Arial" w:cs="Arial"/>
        </w:rPr>
      </w:pPr>
      <w:r w:rsidRPr="003B3865">
        <w:rPr>
          <w:rFonts w:ascii="Arial" w:hAnsi="Arial" w:cs="Arial"/>
        </w:rPr>
        <w:t>Zhao, D., Shen, Y., Peng, B., &amp; Haapasalo, M. (2016). Effect of autoclave sterilization on the cyclic fatigue resistance of thermally treated nickel–titanium instruments. International Endodontic Journal, 49(10), 990–995.</w:t>
      </w:r>
    </w:p>
    <w:p w14:paraId="11C0E403" w14:textId="77777777" w:rsidR="00677CFD" w:rsidRPr="003B3865" w:rsidRDefault="00677CFD" w:rsidP="003B3865">
      <w:pPr>
        <w:ind w:left="360"/>
        <w:jc w:val="both"/>
        <w:rPr>
          <w:rFonts w:ascii="Arial" w:hAnsi="Arial" w:cs="Arial"/>
        </w:rPr>
      </w:pPr>
    </w:p>
    <w:p w14:paraId="2FF80E7F" w14:textId="05B970F5" w:rsidR="00677CFD" w:rsidRPr="003B3865" w:rsidRDefault="00677CFD" w:rsidP="003B3865">
      <w:pPr>
        <w:ind w:left="360"/>
        <w:jc w:val="both"/>
        <w:rPr>
          <w:rFonts w:ascii="Arial" w:hAnsi="Arial" w:cs="Arial"/>
        </w:rPr>
      </w:pPr>
      <w:r w:rsidRPr="003B3865">
        <w:rPr>
          <w:rFonts w:ascii="Arial" w:hAnsi="Arial" w:cs="Arial"/>
        </w:rPr>
        <w:t xml:space="preserve">Raman &amp; Weil. </w:t>
      </w:r>
      <w:proofErr w:type="spellStart"/>
      <w:r w:rsidRPr="003B3865">
        <w:rPr>
          <w:rFonts w:ascii="Arial" w:hAnsi="Arial" w:cs="Arial"/>
        </w:rPr>
        <w:t>Korsolex</w:t>
      </w:r>
      <w:proofErr w:type="spellEnd"/>
      <w:r w:rsidRPr="003B3865">
        <w:rPr>
          <w:rFonts w:ascii="Arial" w:hAnsi="Arial" w:cs="Arial"/>
        </w:rPr>
        <w:t xml:space="preserve"> Rapid® - Environment &amp; surface disinfectant. </w:t>
      </w:r>
      <w:proofErr w:type="spellStart"/>
      <w:r w:rsidRPr="003B3865">
        <w:rPr>
          <w:rFonts w:ascii="Arial" w:hAnsi="Arial" w:cs="Arial"/>
        </w:rPr>
        <w:t>rwscience</w:t>
      </w:r>
      <w:proofErr w:type="spellEnd"/>
      <w:r w:rsidRPr="003B3865">
        <w:rPr>
          <w:rFonts w:ascii="Arial" w:hAnsi="Arial" w:cs="Arial"/>
        </w:rPr>
        <w:t xml:space="preserve">. </w:t>
      </w:r>
      <w:hyperlink r:id="rId16" w:history="1">
        <w:r w:rsidR="005C7828" w:rsidRPr="003B3865">
          <w:rPr>
            <w:rStyle w:val="Hyperlink"/>
            <w:rFonts w:ascii="Arial" w:hAnsi="Arial" w:cs="Arial"/>
          </w:rPr>
          <w:t>https://ramanweil.com/products/korsolex-rapid</w:t>
        </w:r>
      </w:hyperlink>
    </w:p>
    <w:p w14:paraId="6C097814" w14:textId="77777777" w:rsidR="005C7828" w:rsidRPr="003B3865" w:rsidRDefault="005C7828" w:rsidP="003B3865">
      <w:pPr>
        <w:ind w:left="360"/>
        <w:jc w:val="both"/>
        <w:rPr>
          <w:rFonts w:ascii="Arial" w:hAnsi="Arial" w:cs="Arial"/>
        </w:rPr>
      </w:pPr>
    </w:p>
    <w:p w14:paraId="15C895ED" w14:textId="4189D7B5" w:rsidR="005C7828" w:rsidRPr="003B3865" w:rsidRDefault="005C7828" w:rsidP="003B3865">
      <w:pPr>
        <w:ind w:left="360"/>
        <w:jc w:val="both"/>
        <w:rPr>
          <w:rFonts w:ascii="Arial" w:hAnsi="Arial" w:cs="Arial"/>
        </w:rPr>
      </w:pPr>
      <w:proofErr w:type="spellStart"/>
      <w:r w:rsidRPr="003B3865">
        <w:rPr>
          <w:rFonts w:ascii="Arial" w:hAnsi="Arial" w:cs="Arial"/>
        </w:rPr>
        <w:t>Almehmadi</w:t>
      </w:r>
      <w:proofErr w:type="spellEnd"/>
      <w:r w:rsidRPr="003B3865">
        <w:rPr>
          <w:rFonts w:ascii="Arial" w:hAnsi="Arial" w:cs="Arial"/>
        </w:rPr>
        <w:t>, A. H., Alghamdi, F. T., &amp; Alghamdi, F. (2022). Microbial culture and scanning electron microscopic evaluation of endodontic hand files: an in vitro study. </w:t>
      </w:r>
      <w:r w:rsidRPr="003B3865">
        <w:rPr>
          <w:rFonts w:ascii="Arial" w:hAnsi="Arial" w:cs="Arial"/>
          <w:i/>
          <w:iCs/>
        </w:rPr>
        <w:t>Cureus</w:t>
      </w:r>
      <w:r w:rsidRPr="003B3865">
        <w:rPr>
          <w:rFonts w:ascii="Arial" w:hAnsi="Arial" w:cs="Arial"/>
        </w:rPr>
        <w:t>, </w:t>
      </w:r>
      <w:r w:rsidRPr="003B3865">
        <w:rPr>
          <w:rFonts w:ascii="Arial" w:hAnsi="Arial" w:cs="Arial"/>
          <w:i/>
          <w:iCs/>
        </w:rPr>
        <w:t>14</w:t>
      </w:r>
      <w:r w:rsidRPr="003B3865">
        <w:rPr>
          <w:rFonts w:ascii="Arial" w:hAnsi="Arial" w:cs="Arial"/>
        </w:rPr>
        <w:t>(6).</w:t>
      </w:r>
    </w:p>
    <w:p w14:paraId="192118C6" w14:textId="77777777" w:rsidR="005C7828" w:rsidRPr="003B3865" w:rsidRDefault="005C7828" w:rsidP="003B3865">
      <w:pPr>
        <w:ind w:left="360"/>
        <w:jc w:val="both"/>
        <w:rPr>
          <w:rFonts w:ascii="Arial" w:hAnsi="Arial" w:cs="Arial"/>
        </w:rPr>
      </w:pPr>
    </w:p>
    <w:p w14:paraId="57B02709" w14:textId="6F111111" w:rsidR="005C7828" w:rsidRPr="003B3865" w:rsidRDefault="005C7828" w:rsidP="003B3865">
      <w:pPr>
        <w:ind w:left="360"/>
        <w:jc w:val="both"/>
        <w:rPr>
          <w:rFonts w:ascii="Arial" w:hAnsi="Arial" w:cs="Arial"/>
        </w:rPr>
      </w:pPr>
      <w:r w:rsidRPr="003B3865">
        <w:rPr>
          <w:rFonts w:ascii="Arial" w:hAnsi="Arial" w:cs="Arial"/>
        </w:rPr>
        <w:t xml:space="preserve">Patiño-Marín, N., García, L. D. V., López, E. C. A., Medina-Solís, C. E., </w:t>
      </w:r>
      <w:proofErr w:type="spellStart"/>
      <w:r w:rsidRPr="003B3865">
        <w:rPr>
          <w:rFonts w:ascii="Arial" w:hAnsi="Arial" w:cs="Arial"/>
        </w:rPr>
        <w:t>Zumarán</w:t>
      </w:r>
      <w:proofErr w:type="spellEnd"/>
      <w:r w:rsidRPr="003B3865">
        <w:rPr>
          <w:rFonts w:ascii="Arial" w:hAnsi="Arial" w:cs="Arial"/>
        </w:rPr>
        <w:t>, A. M., Rider, R. M., ... &amp; Salas Sr, M. (2025). Sterilization and disinfection: ensuring infection control in dental practices. </w:t>
      </w:r>
      <w:r w:rsidRPr="003B3865">
        <w:rPr>
          <w:rFonts w:ascii="Arial" w:hAnsi="Arial" w:cs="Arial"/>
          <w:i/>
          <w:iCs/>
        </w:rPr>
        <w:t>Cureus</w:t>
      </w:r>
      <w:r w:rsidRPr="003B3865">
        <w:rPr>
          <w:rFonts w:ascii="Arial" w:hAnsi="Arial" w:cs="Arial"/>
        </w:rPr>
        <w:t>, </w:t>
      </w:r>
      <w:r w:rsidRPr="003B3865">
        <w:rPr>
          <w:rFonts w:ascii="Arial" w:hAnsi="Arial" w:cs="Arial"/>
          <w:i/>
          <w:iCs/>
        </w:rPr>
        <w:t>17</w:t>
      </w:r>
      <w:r w:rsidRPr="003B3865">
        <w:rPr>
          <w:rFonts w:ascii="Arial" w:hAnsi="Arial" w:cs="Arial"/>
        </w:rPr>
        <w:t>(2).</w:t>
      </w:r>
    </w:p>
    <w:p w14:paraId="639C2DA2" w14:textId="77777777" w:rsidR="00FC242B" w:rsidRPr="003B3865" w:rsidRDefault="00FC242B" w:rsidP="003B3865">
      <w:pPr>
        <w:ind w:left="360"/>
        <w:jc w:val="both"/>
        <w:rPr>
          <w:rFonts w:ascii="Arial" w:hAnsi="Arial" w:cs="Arial"/>
        </w:rPr>
      </w:pPr>
    </w:p>
    <w:p w14:paraId="149D5A8A" w14:textId="39011132" w:rsidR="00FC242B" w:rsidRPr="003B3865" w:rsidRDefault="00FC242B" w:rsidP="003B3865">
      <w:pPr>
        <w:ind w:left="360"/>
        <w:jc w:val="both"/>
        <w:rPr>
          <w:rFonts w:ascii="Arial" w:hAnsi="Arial" w:cs="Arial"/>
        </w:rPr>
      </w:pPr>
      <w:r w:rsidRPr="003B3865">
        <w:rPr>
          <w:rFonts w:ascii="Arial" w:hAnsi="Arial" w:cs="Arial"/>
        </w:rPr>
        <w:t>Jovanović-</w:t>
      </w:r>
      <w:proofErr w:type="spellStart"/>
      <w:r w:rsidRPr="003B3865">
        <w:rPr>
          <w:rFonts w:ascii="Arial" w:hAnsi="Arial" w:cs="Arial"/>
        </w:rPr>
        <w:t>Medojević</w:t>
      </w:r>
      <w:proofErr w:type="spellEnd"/>
      <w:r w:rsidRPr="003B3865">
        <w:rPr>
          <w:rFonts w:ascii="Arial" w:hAnsi="Arial" w:cs="Arial"/>
        </w:rPr>
        <w:t xml:space="preserve">, M., </w:t>
      </w:r>
      <w:proofErr w:type="spellStart"/>
      <w:r w:rsidRPr="003B3865">
        <w:rPr>
          <w:rFonts w:ascii="Arial" w:hAnsi="Arial" w:cs="Arial"/>
        </w:rPr>
        <w:t>Opačić</w:t>
      </w:r>
      <w:proofErr w:type="spellEnd"/>
      <w:r w:rsidRPr="003B3865">
        <w:rPr>
          <w:rFonts w:ascii="Arial" w:hAnsi="Arial" w:cs="Arial"/>
        </w:rPr>
        <w:t>-Galić, V., Geler, K., &amp; Pavlica, D. (2023). Comparison of the efficiency of cleaning and disinfection protocols for hand endodontic instruments. </w:t>
      </w:r>
      <w:proofErr w:type="spellStart"/>
      <w:r w:rsidRPr="003B3865">
        <w:rPr>
          <w:rFonts w:ascii="Arial" w:hAnsi="Arial" w:cs="Arial"/>
          <w:i/>
          <w:iCs/>
        </w:rPr>
        <w:t>Vojnosanitetski</w:t>
      </w:r>
      <w:proofErr w:type="spellEnd"/>
      <w:r w:rsidRPr="003B3865">
        <w:rPr>
          <w:rFonts w:ascii="Arial" w:hAnsi="Arial" w:cs="Arial"/>
          <w:i/>
          <w:iCs/>
        </w:rPr>
        <w:t xml:space="preserve"> </w:t>
      </w:r>
      <w:proofErr w:type="spellStart"/>
      <w:r w:rsidRPr="003B3865">
        <w:rPr>
          <w:rFonts w:ascii="Arial" w:hAnsi="Arial" w:cs="Arial"/>
          <w:i/>
          <w:iCs/>
        </w:rPr>
        <w:t>pregled</w:t>
      </w:r>
      <w:proofErr w:type="spellEnd"/>
      <w:r w:rsidRPr="003B3865">
        <w:rPr>
          <w:rFonts w:ascii="Arial" w:hAnsi="Arial" w:cs="Arial"/>
        </w:rPr>
        <w:t>, </w:t>
      </w:r>
      <w:r w:rsidRPr="003B3865">
        <w:rPr>
          <w:rFonts w:ascii="Arial" w:hAnsi="Arial" w:cs="Arial"/>
          <w:i/>
          <w:iCs/>
        </w:rPr>
        <w:t>80</w:t>
      </w:r>
      <w:r w:rsidRPr="003B3865">
        <w:rPr>
          <w:rFonts w:ascii="Arial" w:hAnsi="Arial" w:cs="Arial"/>
        </w:rPr>
        <w:t>(7), 596-603.</w:t>
      </w:r>
    </w:p>
    <w:p w14:paraId="0EB9A2AF" w14:textId="77777777" w:rsidR="00FC242B" w:rsidRPr="003B3865" w:rsidRDefault="00FC242B" w:rsidP="003B3865">
      <w:pPr>
        <w:ind w:left="360"/>
        <w:jc w:val="both"/>
        <w:rPr>
          <w:rFonts w:ascii="Arial" w:hAnsi="Arial" w:cs="Arial"/>
        </w:rPr>
      </w:pPr>
    </w:p>
    <w:p w14:paraId="3BA69948" w14:textId="5D3E9384" w:rsidR="00FC242B" w:rsidRPr="003B3865" w:rsidRDefault="00FC242B" w:rsidP="003B3865">
      <w:pPr>
        <w:ind w:left="360"/>
        <w:jc w:val="both"/>
        <w:rPr>
          <w:rFonts w:ascii="Arial" w:hAnsi="Arial" w:cs="Arial"/>
        </w:rPr>
      </w:pPr>
      <w:r w:rsidRPr="003B3865">
        <w:rPr>
          <w:rFonts w:ascii="Arial" w:hAnsi="Arial" w:cs="Arial"/>
        </w:rPr>
        <w:t>Eren, S. K., Uzunoğlu-Özyürek, E., &amp; Karahan, S. (2021). Influence of reciprocating and rotary instrumentation on microbial reduction: a systematic review and meta-analysis of in vitro studies. </w:t>
      </w:r>
      <w:r w:rsidRPr="003B3865">
        <w:rPr>
          <w:rFonts w:ascii="Arial" w:hAnsi="Arial" w:cs="Arial"/>
          <w:i/>
          <w:iCs/>
        </w:rPr>
        <w:t>Restorative Dentistry &amp; Endodontics</w:t>
      </w:r>
      <w:r w:rsidRPr="003B3865">
        <w:rPr>
          <w:rFonts w:ascii="Arial" w:hAnsi="Arial" w:cs="Arial"/>
        </w:rPr>
        <w:t>, </w:t>
      </w:r>
      <w:r w:rsidRPr="003B3865">
        <w:rPr>
          <w:rFonts w:ascii="Arial" w:hAnsi="Arial" w:cs="Arial"/>
          <w:i/>
          <w:iCs/>
        </w:rPr>
        <w:t>46</w:t>
      </w:r>
      <w:r w:rsidRPr="003B3865">
        <w:rPr>
          <w:rFonts w:ascii="Arial" w:hAnsi="Arial" w:cs="Arial"/>
        </w:rPr>
        <w:t>(2).</w:t>
      </w:r>
    </w:p>
    <w:p w14:paraId="5A50FBF2" w14:textId="77777777" w:rsidR="00677CFD" w:rsidRPr="003B3865" w:rsidRDefault="00677CFD" w:rsidP="003B3865">
      <w:pPr>
        <w:ind w:left="360"/>
        <w:jc w:val="both"/>
        <w:rPr>
          <w:rFonts w:ascii="Arial" w:hAnsi="Arial" w:cs="Arial"/>
        </w:rPr>
      </w:pPr>
    </w:p>
    <w:p w14:paraId="6FDE5CA3" w14:textId="77777777" w:rsidR="00677CFD" w:rsidRPr="003B3865" w:rsidRDefault="00677CFD" w:rsidP="003B3865">
      <w:pPr>
        <w:ind w:left="360"/>
        <w:jc w:val="both"/>
        <w:rPr>
          <w:rFonts w:ascii="Arial" w:hAnsi="Arial" w:cs="Arial"/>
        </w:rPr>
      </w:pPr>
      <w:r w:rsidRPr="003B3865">
        <w:rPr>
          <w:rFonts w:ascii="Arial" w:hAnsi="Arial" w:cs="Arial"/>
        </w:rPr>
        <w:t>McDonnell, G., &amp; Russell, A. D. (2001). Antiseptics and disinfectants: Activity, action, and resistance. Clinical Microbiology Reviews, 14(1), 227.</w:t>
      </w:r>
    </w:p>
    <w:p w14:paraId="3D525A20" w14:textId="77777777" w:rsidR="003B3865" w:rsidRPr="003B3865" w:rsidRDefault="003B3865" w:rsidP="003B3865">
      <w:pPr>
        <w:ind w:left="360"/>
        <w:jc w:val="both"/>
        <w:rPr>
          <w:rFonts w:ascii="Arial" w:hAnsi="Arial" w:cs="Arial"/>
        </w:rPr>
      </w:pPr>
    </w:p>
    <w:p w14:paraId="245A41D9" w14:textId="5D0B46D9" w:rsidR="003B3865" w:rsidRPr="003B3865" w:rsidRDefault="003B3865" w:rsidP="003B3865">
      <w:pPr>
        <w:ind w:left="360"/>
        <w:jc w:val="both"/>
        <w:rPr>
          <w:rFonts w:ascii="Arial" w:hAnsi="Arial" w:cs="Arial"/>
        </w:rPr>
      </w:pPr>
      <w:r w:rsidRPr="003B3865">
        <w:rPr>
          <w:rFonts w:ascii="Arial" w:hAnsi="Arial" w:cs="Arial"/>
        </w:rPr>
        <w:t xml:space="preserve">Ameer, B., Khatib, M. S., </w:t>
      </w:r>
      <w:proofErr w:type="spellStart"/>
      <w:r w:rsidRPr="003B3865">
        <w:rPr>
          <w:rFonts w:ascii="Arial" w:hAnsi="Arial" w:cs="Arial"/>
        </w:rPr>
        <w:t>Peerzade</w:t>
      </w:r>
      <w:proofErr w:type="spellEnd"/>
      <w:r w:rsidRPr="003B3865">
        <w:rPr>
          <w:rFonts w:ascii="Arial" w:hAnsi="Arial" w:cs="Arial"/>
        </w:rPr>
        <w:t xml:space="preserve">, S. M., </w:t>
      </w:r>
      <w:proofErr w:type="spellStart"/>
      <w:r w:rsidRPr="003B3865">
        <w:rPr>
          <w:rFonts w:ascii="Arial" w:hAnsi="Arial" w:cs="Arial"/>
        </w:rPr>
        <w:t>Bambawale</w:t>
      </w:r>
      <w:proofErr w:type="spellEnd"/>
      <w:r w:rsidRPr="003B3865">
        <w:rPr>
          <w:rFonts w:ascii="Arial" w:hAnsi="Arial" w:cs="Arial"/>
        </w:rPr>
        <w:t xml:space="preserve">, A., </w:t>
      </w:r>
      <w:proofErr w:type="spellStart"/>
      <w:r w:rsidRPr="003B3865">
        <w:rPr>
          <w:rFonts w:ascii="Arial" w:hAnsi="Arial" w:cs="Arial"/>
        </w:rPr>
        <w:t>Damade</w:t>
      </w:r>
      <w:proofErr w:type="spellEnd"/>
      <w:r w:rsidRPr="003B3865">
        <w:rPr>
          <w:rFonts w:ascii="Arial" w:hAnsi="Arial" w:cs="Arial"/>
        </w:rPr>
        <w:t xml:space="preserve">, Y., &amp; </w:t>
      </w:r>
      <w:proofErr w:type="spellStart"/>
      <w:r w:rsidRPr="003B3865">
        <w:rPr>
          <w:rFonts w:ascii="Arial" w:hAnsi="Arial" w:cs="Arial"/>
        </w:rPr>
        <w:t>Mannur</w:t>
      </w:r>
      <w:proofErr w:type="spellEnd"/>
      <w:r w:rsidRPr="003B3865">
        <w:rPr>
          <w:rFonts w:ascii="Arial" w:hAnsi="Arial" w:cs="Arial"/>
        </w:rPr>
        <w:t>, N. A. (2022). Comparing sterilization of endodontic hand files by four different methods: An in vitro study. </w:t>
      </w:r>
      <w:r w:rsidRPr="003B3865">
        <w:rPr>
          <w:rFonts w:ascii="Arial" w:hAnsi="Arial" w:cs="Arial"/>
          <w:i/>
          <w:iCs/>
        </w:rPr>
        <w:t>International journal of clinical pediatric dentistry</w:t>
      </w:r>
      <w:r w:rsidRPr="003B3865">
        <w:rPr>
          <w:rFonts w:ascii="Arial" w:hAnsi="Arial" w:cs="Arial"/>
        </w:rPr>
        <w:t>, </w:t>
      </w:r>
      <w:r w:rsidRPr="003B3865">
        <w:rPr>
          <w:rFonts w:ascii="Arial" w:hAnsi="Arial" w:cs="Arial"/>
          <w:i/>
          <w:iCs/>
        </w:rPr>
        <w:t>15</w:t>
      </w:r>
      <w:r w:rsidRPr="003B3865">
        <w:rPr>
          <w:rFonts w:ascii="Arial" w:hAnsi="Arial" w:cs="Arial"/>
        </w:rPr>
        <w:t>(2), 149.</w:t>
      </w:r>
    </w:p>
    <w:p w14:paraId="4094BE5E" w14:textId="77777777" w:rsidR="00677CFD" w:rsidRPr="003B3865" w:rsidRDefault="00677CFD" w:rsidP="003B3865">
      <w:pPr>
        <w:ind w:left="360"/>
        <w:jc w:val="both"/>
        <w:rPr>
          <w:rFonts w:ascii="Arial" w:hAnsi="Arial" w:cs="Arial"/>
        </w:rPr>
      </w:pPr>
    </w:p>
    <w:p w14:paraId="2557FE62" w14:textId="77777777" w:rsidR="00677CFD" w:rsidRPr="003B3865" w:rsidRDefault="00677CFD" w:rsidP="003B3865">
      <w:pPr>
        <w:ind w:left="360"/>
        <w:jc w:val="both"/>
        <w:rPr>
          <w:rFonts w:ascii="Arial" w:hAnsi="Arial" w:cs="Arial"/>
        </w:rPr>
      </w:pPr>
      <w:r w:rsidRPr="003B3865">
        <w:rPr>
          <w:rFonts w:ascii="Arial" w:hAnsi="Arial" w:cs="Arial"/>
        </w:rPr>
        <w:t xml:space="preserve">Goel, S., Mistry, L. N., </w:t>
      </w:r>
      <w:proofErr w:type="spellStart"/>
      <w:r w:rsidRPr="003B3865">
        <w:rPr>
          <w:rFonts w:ascii="Arial" w:hAnsi="Arial" w:cs="Arial"/>
        </w:rPr>
        <w:t>Jawdekar</w:t>
      </w:r>
      <w:proofErr w:type="spellEnd"/>
      <w:r w:rsidRPr="003B3865">
        <w:rPr>
          <w:rFonts w:ascii="Arial" w:hAnsi="Arial" w:cs="Arial"/>
        </w:rPr>
        <w:t>, A. M., Deshpande, S., &amp; Bhattacharjee, M. (2025). A comparison of disinfecting ability of peracetic acid, glutaraldehyde and autoclaving on endodontic K-files tested against Enterococcus faecalis: An in-vitro study. Cureus, 17(4).</w:t>
      </w:r>
    </w:p>
    <w:p w14:paraId="3BC6AE19" w14:textId="3C18F3FF" w:rsidR="00677CFD" w:rsidRPr="003B3865" w:rsidRDefault="00677CFD" w:rsidP="003B3865">
      <w:pPr>
        <w:ind w:left="360"/>
        <w:jc w:val="both"/>
        <w:rPr>
          <w:rFonts w:ascii="Arial" w:hAnsi="Arial" w:cs="Arial"/>
        </w:rPr>
      </w:pPr>
      <w:r w:rsidRPr="003B3865">
        <w:rPr>
          <w:rFonts w:ascii="Arial" w:hAnsi="Arial" w:cs="Arial"/>
        </w:rPr>
        <w:t xml:space="preserve">Venkatasubramanian, R., Das, U. M., &amp; Bhatnagar, S. (2010). Comparison of the effectiveness of sterilizing endodontic files by 4 different methods: An </w:t>
      </w:r>
      <w:r w:rsidR="001F79FB" w:rsidRPr="003B3865">
        <w:rPr>
          <w:rFonts w:ascii="Arial" w:hAnsi="Arial" w:cs="Arial"/>
          <w:i/>
          <w:iCs/>
        </w:rPr>
        <w:t>in vitro</w:t>
      </w:r>
      <w:r w:rsidRPr="003B3865">
        <w:rPr>
          <w:rFonts w:ascii="Arial" w:hAnsi="Arial" w:cs="Arial"/>
        </w:rPr>
        <w:t xml:space="preserve"> study. Journal of Indian Society of Pedodontics and Preventive Dentistry, 28(1), 2–5.</w:t>
      </w:r>
    </w:p>
    <w:p w14:paraId="5011CD46" w14:textId="77777777" w:rsidR="00677CFD" w:rsidRPr="003B3865" w:rsidRDefault="00677CFD" w:rsidP="003B3865">
      <w:pPr>
        <w:ind w:left="360"/>
        <w:jc w:val="both"/>
        <w:rPr>
          <w:rFonts w:ascii="Arial" w:hAnsi="Arial" w:cs="Arial"/>
        </w:rPr>
      </w:pPr>
    </w:p>
    <w:p w14:paraId="55FCC840" w14:textId="77777777" w:rsidR="00677CFD" w:rsidRPr="003B3865" w:rsidRDefault="00677CFD" w:rsidP="003B3865">
      <w:pPr>
        <w:ind w:left="360"/>
        <w:jc w:val="both"/>
        <w:rPr>
          <w:rFonts w:ascii="Arial" w:hAnsi="Arial" w:cs="Arial"/>
        </w:rPr>
      </w:pPr>
      <w:r w:rsidRPr="003B3865">
        <w:rPr>
          <w:rFonts w:ascii="Arial" w:hAnsi="Arial" w:cs="Arial"/>
        </w:rPr>
        <w:t>Raju, T. B., Garapati, S., Agrawal, R., Reddy, S., Razdan, A., &amp; Kumar, S. K. (2013). Sterilizing endodontic files by four different sterilization methods to prevent cross-infection: An in-vitro study. Journal of International Oral Health, 5(6), 108.</w:t>
      </w:r>
    </w:p>
    <w:p w14:paraId="5D9B2693" w14:textId="77777777" w:rsidR="00677CFD" w:rsidRPr="003B3865" w:rsidRDefault="00677CFD" w:rsidP="003B3865">
      <w:pPr>
        <w:ind w:left="360"/>
        <w:jc w:val="both"/>
        <w:rPr>
          <w:rFonts w:ascii="Arial" w:hAnsi="Arial" w:cs="Arial"/>
        </w:rPr>
      </w:pPr>
    </w:p>
    <w:p w14:paraId="2423C1C0" w14:textId="77777777" w:rsidR="00677CFD" w:rsidRPr="003B3865" w:rsidRDefault="00677CFD" w:rsidP="003B3865">
      <w:pPr>
        <w:ind w:left="360"/>
        <w:jc w:val="both"/>
        <w:rPr>
          <w:rFonts w:ascii="Arial" w:hAnsi="Arial" w:cs="Arial"/>
        </w:rPr>
      </w:pPr>
      <w:proofErr w:type="spellStart"/>
      <w:r w:rsidRPr="003B3865">
        <w:rPr>
          <w:rFonts w:ascii="Arial" w:hAnsi="Arial" w:cs="Arial"/>
        </w:rPr>
        <w:t>Sajjanshetty</w:t>
      </w:r>
      <w:proofErr w:type="spellEnd"/>
      <w:r w:rsidRPr="003B3865">
        <w:rPr>
          <w:rFonts w:ascii="Arial" w:hAnsi="Arial" w:cs="Arial"/>
        </w:rPr>
        <w:t xml:space="preserve">, S., Hugar, D., Hugar, S., Ranjan, S., &amp; </w:t>
      </w:r>
      <w:proofErr w:type="spellStart"/>
      <w:r w:rsidRPr="003B3865">
        <w:rPr>
          <w:rFonts w:ascii="Arial" w:hAnsi="Arial" w:cs="Arial"/>
        </w:rPr>
        <w:t>Kadani</w:t>
      </w:r>
      <w:proofErr w:type="spellEnd"/>
      <w:r w:rsidRPr="003B3865">
        <w:rPr>
          <w:rFonts w:ascii="Arial" w:hAnsi="Arial" w:cs="Arial"/>
        </w:rPr>
        <w:t>, M. (2014). Decontamination methods used for dental burs: A comparative study. Journal of Clinical and Diagnostic Research, 8(6), ZC39.</w:t>
      </w:r>
    </w:p>
    <w:p w14:paraId="1EE71C2B" w14:textId="77777777" w:rsidR="003B3865" w:rsidRPr="003B3865" w:rsidRDefault="003B3865" w:rsidP="003B3865">
      <w:pPr>
        <w:ind w:left="360"/>
        <w:jc w:val="both"/>
        <w:rPr>
          <w:rFonts w:ascii="Arial" w:hAnsi="Arial" w:cs="Arial"/>
        </w:rPr>
      </w:pPr>
    </w:p>
    <w:p w14:paraId="6527FCAF" w14:textId="224A1948" w:rsidR="003B3865" w:rsidRPr="003B3865" w:rsidRDefault="003B3865" w:rsidP="003B3865">
      <w:pPr>
        <w:ind w:left="360"/>
        <w:jc w:val="both"/>
        <w:rPr>
          <w:rFonts w:ascii="Arial" w:hAnsi="Arial" w:cs="Arial"/>
        </w:rPr>
      </w:pPr>
      <w:r w:rsidRPr="003B3865">
        <w:rPr>
          <w:rFonts w:ascii="Arial" w:hAnsi="Arial" w:cs="Arial"/>
        </w:rPr>
        <w:t xml:space="preserve">Alhamdani, G. M., </w:t>
      </w:r>
      <w:proofErr w:type="spellStart"/>
      <w:r w:rsidRPr="003B3865">
        <w:rPr>
          <w:rFonts w:ascii="Arial" w:hAnsi="Arial" w:cs="Arial"/>
        </w:rPr>
        <w:t>Neamah</w:t>
      </w:r>
      <w:proofErr w:type="spellEnd"/>
      <w:r w:rsidRPr="003B3865">
        <w:rPr>
          <w:rFonts w:ascii="Arial" w:hAnsi="Arial" w:cs="Arial"/>
        </w:rPr>
        <w:t>, B. A. H., &amp; Al-</w:t>
      </w:r>
      <w:proofErr w:type="spellStart"/>
      <w:r w:rsidRPr="003B3865">
        <w:rPr>
          <w:rFonts w:ascii="Arial" w:hAnsi="Arial" w:cs="Arial"/>
        </w:rPr>
        <w:t>Masoody</w:t>
      </w:r>
      <w:proofErr w:type="spellEnd"/>
      <w:r w:rsidRPr="003B3865">
        <w:rPr>
          <w:rFonts w:ascii="Arial" w:hAnsi="Arial" w:cs="Arial"/>
        </w:rPr>
        <w:t xml:space="preserve">, A. H. (2024). </w:t>
      </w:r>
      <w:proofErr w:type="spellStart"/>
      <w:r w:rsidRPr="003B3865">
        <w:rPr>
          <w:rFonts w:ascii="Arial" w:hAnsi="Arial" w:cs="Arial"/>
        </w:rPr>
        <w:t>Sterilisation</w:t>
      </w:r>
      <w:proofErr w:type="spellEnd"/>
      <w:r w:rsidRPr="003B3865">
        <w:rPr>
          <w:rFonts w:ascii="Arial" w:hAnsi="Arial" w:cs="Arial"/>
        </w:rPr>
        <w:t xml:space="preserve"> Efficiency of Dental Burs and Bacterial Species Investigation in Dental Clinics: Comparison Study. </w:t>
      </w:r>
      <w:proofErr w:type="spellStart"/>
      <w:r w:rsidRPr="003B3865">
        <w:rPr>
          <w:rFonts w:ascii="Arial" w:hAnsi="Arial" w:cs="Arial"/>
          <w:i/>
          <w:iCs/>
        </w:rPr>
        <w:t>Maaen</w:t>
      </w:r>
      <w:proofErr w:type="spellEnd"/>
      <w:r w:rsidRPr="003B3865">
        <w:rPr>
          <w:rFonts w:ascii="Arial" w:hAnsi="Arial" w:cs="Arial"/>
          <w:i/>
          <w:iCs/>
        </w:rPr>
        <w:t xml:space="preserve"> Journal for Medical Sciences</w:t>
      </w:r>
      <w:r w:rsidRPr="003B3865">
        <w:rPr>
          <w:rFonts w:ascii="Arial" w:hAnsi="Arial" w:cs="Arial"/>
        </w:rPr>
        <w:t>, </w:t>
      </w:r>
      <w:r w:rsidRPr="003B3865">
        <w:rPr>
          <w:rFonts w:ascii="Arial" w:hAnsi="Arial" w:cs="Arial"/>
          <w:i/>
          <w:iCs/>
        </w:rPr>
        <w:t>3</w:t>
      </w:r>
      <w:r w:rsidRPr="003B3865">
        <w:rPr>
          <w:rFonts w:ascii="Arial" w:hAnsi="Arial" w:cs="Arial"/>
        </w:rPr>
        <w:t>(4), 7.</w:t>
      </w:r>
    </w:p>
    <w:bookmarkEnd w:id="1"/>
    <w:p w14:paraId="38A9368D" w14:textId="77777777" w:rsidR="00B01FCD" w:rsidRPr="003B3865" w:rsidRDefault="00B01FCD" w:rsidP="003B3865">
      <w:pPr>
        <w:pStyle w:val="AbstHead"/>
        <w:spacing w:after="0"/>
        <w:jc w:val="both"/>
        <w:rPr>
          <w:rFonts w:ascii="Arial" w:hAnsi="Arial" w:cs="Arial"/>
          <w:b w:val="0"/>
          <w:sz w:val="20"/>
        </w:rPr>
      </w:pPr>
    </w:p>
    <w:sectPr w:rsidR="00B01FCD" w:rsidRPr="003B3865" w:rsidSect="001617E3">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A2B21" w14:textId="77777777" w:rsidR="00D34162" w:rsidRDefault="00D34162" w:rsidP="00C37E61">
      <w:r>
        <w:separator/>
      </w:r>
    </w:p>
  </w:endnote>
  <w:endnote w:type="continuationSeparator" w:id="0">
    <w:p w14:paraId="5B871180" w14:textId="77777777" w:rsidR="00D34162" w:rsidRDefault="00D3416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rtika">
    <w:panose1 w:val="02020503030404060203"/>
    <w:charset w:val="00"/>
    <w:family w:val="roman"/>
    <w:pitch w:val="variable"/>
    <w:sig w:usb0="008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40E7" w14:textId="77777777" w:rsidR="001617E3" w:rsidRDefault="001617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1F14F" w14:textId="77777777" w:rsidR="001617E3" w:rsidRDefault="001617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91C3E" w14:textId="25881186" w:rsidR="00754C9A" w:rsidRPr="00FE6D91" w:rsidRDefault="00754C9A" w:rsidP="00FE6D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A14B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F2871" w14:textId="77777777" w:rsidR="00D34162" w:rsidRDefault="00D34162" w:rsidP="00C37E61">
      <w:r>
        <w:separator/>
      </w:r>
    </w:p>
  </w:footnote>
  <w:footnote w:type="continuationSeparator" w:id="0">
    <w:p w14:paraId="3F90CE41" w14:textId="77777777" w:rsidR="00D34162" w:rsidRDefault="00D3416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B442" w14:textId="6F9DB5C8" w:rsidR="001617E3" w:rsidRDefault="00000000">
    <w:pPr>
      <w:pStyle w:val="Header"/>
    </w:pPr>
    <w:r>
      <w:rPr>
        <w:noProof/>
      </w:rPr>
      <w:pict w14:anchorId="6716C5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469594"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15250" w14:textId="45865B06" w:rsidR="001617E3" w:rsidRDefault="00000000">
    <w:pPr>
      <w:pStyle w:val="Header"/>
    </w:pPr>
    <w:r>
      <w:rPr>
        <w:noProof/>
      </w:rPr>
      <w:pict w14:anchorId="58941F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469595"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36D5" w14:textId="5FCFB56B" w:rsidR="00296529" w:rsidRPr="00296529" w:rsidRDefault="00000000" w:rsidP="00296529">
    <w:pPr>
      <w:ind w:left="2160"/>
      <w:jc w:val="center"/>
      <w:rPr>
        <w:rFonts w:ascii="Times New Roman" w:eastAsia="Calibri" w:hAnsi="Times New Roman"/>
        <w:i/>
        <w:sz w:val="18"/>
        <w:szCs w:val="22"/>
      </w:rPr>
    </w:pPr>
    <w:r>
      <w:rPr>
        <w:noProof/>
      </w:rPr>
      <w:pict w14:anchorId="78F811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469593"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39B6E7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CE9599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F1FD77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398EA1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C5A08E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514E38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72169" w14:textId="0C1E9E70" w:rsidR="001617E3" w:rsidRDefault="00000000">
    <w:pPr>
      <w:pStyle w:val="Header"/>
    </w:pPr>
    <w:r>
      <w:rPr>
        <w:noProof/>
      </w:rPr>
      <w:pict w14:anchorId="7F4EC6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469597"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3D23" w14:textId="5BDD5C5D" w:rsidR="001617E3" w:rsidRDefault="00000000">
    <w:pPr>
      <w:pStyle w:val="Header"/>
    </w:pPr>
    <w:r>
      <w:rPr>
        <w:noProof/>
      </w:rPr>
      <w:pict w14:anchorId="6E4B5A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469598"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61021" w14:textId="68057F67" w:rsidR="001617E3" w:rsidRDefault="00000000">
    <w:pPr>
      <w:pStyle w:val="Header"/>
    </w:pPr>
    <w:r>
      <w:rPr>
        <w:noProof/>
      </w:rPr>
      <w:pict w14:anchorId="396B64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469596"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C86050"/>
    <w:multiLevelType w:val="hybridMultilevel"/>
    <w:tmpl w:val="CE96E882"/>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DD12E90"/>
    <w:multiLevelType w:val="hybridMultilevel"/>
    <w:tmpl w:val="14FE9616"/>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D9538BD"/>
    <w:multiLevelType w:val="hybridMultilevel"/>
    <w:tmpl w:val="531258F0"/>
    <w:lvl w:ilvl="0" w:tplc="4C09000F">
      <w:start w:val="1"/>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8226902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96297602">
    <w:abstractNumId w:val="17"/>
  </w:num>
  <w:num w:numId="3" w16cid:durableId="735784732">
    <w:abstractNumId w:val="26"/>
  </w:num>
  <w:num w:numId="4" w16cid:durableId="53604847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34347583">
    <w:abstractNumId w:val="8"/>
  </w:num>
  <w:num w:numId="6" w16cid:durableId="1583753584">
    <w:abstractNumId w:val="6"/>
  </w:num>
  <w:num w:numId="7" w16cid:durableId="384373644">
    <w:abstractNumId w:val="1"/>
  </w:num>
  <w:num w:numId="8" w16cid:durableId="204024060">
    <w:abstractNumId w:val="13"/>
  </w:num>
  <w:num w:numId="9" w16cid:durableId="620650682">
    <w:abstractNumId w:val="28"/>
  </w:num>
  <w:num w:numId="10" w16cid:durableId="1025641864">
    <w:abstractNumId w:val="2"/>
  </w:num>
  <w:num w:numId="11" w16cid:durableId="879587245">
    <w:abstractNumId w:val="20"/>
  </w:num>
  <w:num w:numId="12" w16cid:durableId="1588080837">
    <w:abstractNumId w:val="3"/>
  </w:num>
  <w:num w:numId="13" w16cid:durableId="2082675183">
    <w:abstractNumId w:val="19"/>
  </w:num>
  <w:num w:numId="14" w16cid:durableId="813789377">
    <w:abstractNumId w:val="9"/>
  </w:num>
  <w:num w:numId="15" w16cid:durableId="784080663">
    <w:abstractNumId w:val="24"/>
  </w:num>
  <w:num w:numId="16" w16cid:durableId="116799431">
    <w:abstractNumId w:val="5"/>
  </w:num>
  <w:num w:numId="17" w16cid:durableId="261495121">
    <w:abstractNumId w:val="25"/>
  </w:num>
  <w:num w:numId="18" w16cid:durableId="1559197094">
    <w:abstractNumId w:val="15"/>
  </w:num>
  <w:num w:numId="19" w16cid:durableId="605044567">
    <w:abstractNumId w:val="31"/>
  </w:num>
  <w:num w:numId="20" w16cid:durableId="1238442518">
    <w:abstractNumId w:val="12"/>
  </w:num>
  <w:num w:numId="21" w16cid:durableId="671420546">
    <w:abstractNumId w:val="10"/>
  </w:num>
  <w:num w:numId="22" w16cid:durableId="1892378974">
    <w:abstractNumId w:val="14"/>
  </w:num>
  <w:num w:numId="23" w16cid:durableId="1342470334">
    <w:abstractNumId w:val="22"/>
  </w:num>
  <w:num w:numId="24" w16cid:durableId="1839926854">
    <w:abstractNumId w:val="29"/>
  </w:num>
  <w:num w:numId="25" w16cid:durableId="411049959">
    <w:abstractNumId w:val="4"/>
  </w:num>
  <w:num w:numId="26" w16cid:durableId="682131250">
    <w:abstractNumId w:val="18"/>
  </w:num>
  <w:num w:numId="27" w16cid:durableId="509570283">
    <w:abstractNumId w:val="23"/>
  </w:num>
  <w:num w:numId="28" w16cid:durableId="568198451">
    <w:abstractNumId w:val="30"/>
  </w:num>
  <w:num w:numId="29" w16cid:durableId="1964916883">
    <w:abstractNumId w:val="27"/>
  </w:num>
  <w:num w:numId="30" w16cid:durableId="1729181008">
    <w:abstractNumId w:val="11"/>
  </w:num>
  <w:num w:numId="31" w16cid:durableId="1381325124">
    <w:abstractNumId w:val="7"/>
  </w:num>
  <w:num w:numId="32" w16cid:durableId="262499332">
    <w:abstractNumId w:val="16"/>
  </w:num>
  <w:num w:numId="33" w16cid:durableId="2000996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9D2"/>
    <w:rsid w:val="00004F45"/>
    <w:rsid w:val="00010C50"/>
    <w:rsid w:val="00020EFB"/>
    <w:rsid w:val="00030174"/>
    <w:rsid w:val="000315F8"/>
    <w:rsid w:val="000411FE"/>
    <w:rsid w:val="00044FBB"/>
    <w:rsid w:val="0004579C"/>
    <w:rsid w:val="00092DAC"/>
    <w:rsid w:val="000A47FA"/>
    <w:rsid w:val="000A65D3"/>
    <w:rsid w:val="000B1E33"/>
    <w:rsid w:val="000B517A"/>
    <w:rsid w:val="000C021E"/>
    <w:rsid w:val="000D4672"/>
    <w:rsid w:val="000D689F"/>
    <w:rsid w:val="000E7B7B"/>
    <w:rsid w:val="000E7D62"/>
    <w:rsid w:val="000F1B89"/>
    <w:rsid w:val="00103357"/>
    <w:rsid w:val="00123C9F"/>
    <w:rsid w:val="00126190"/>
    <w:rsid w:val="001268FD"/>
    <w:rsid w:val="00130F17"/>
    <w:rsid w:val="001320BF"/>
    <w:rsid w:val="00151C42"/>
    <w:rsid w:val="001617E3"/>
    <w:rsid w:val="00162A25"/>
    <w:rsid w:val="00163BC4"/>
    <w:rsid w:val="0016682F"/>
    <w:rsid w:val="00166ABA"/>
    <w:rsid w:val="00191062"/>
    <w:rsid w:val="00192B72"/>
    <w:rsid w:val="001A17DE"/>
    <w:rsid w:val="001A29D8"/>
    <w:rsid w:val="001A5CAA"/>
    <w:rsid w:val="001B0427"/>
    <w:rsid w:val="001B123E"/>
    <w:rsid w:val="001C1779"/>
    <w:rsid w:val="001D203C"/>
    <w:rsid w:val="001D3A51"/>
    <w:rsid w:val="001E10D2"/>
    <w:rsid w:val="001E25B4"/>
    <w:rsid w:val="001E44FE"/>
    <w:rsid w:val="001F79FB"/>
    <w:rsid w:val="00200595"/>
    <w:rsid w:val="00200AD0"/>
    <w:rsid w:val="00204835"/>
    <w:rsid w:val="00222544"/>
    <w:rsid w:val="00231920"/>
    <w:rsid w:val="0023195C"/>
    <w:rsid w:val="0024282C"/>
    <w:rsid w:val="002460DC"/>
    <w:rsid w:val="002505E7"/>
    <w:rsid w:val="00250985"/>
    <w:rsid w:val="002556F6"/>
    <w:rsid w:val="00260490"/>
    <w:rsid w:val="002803F4"/>
    <w:rsid w:val="00283105"/>
    <w:rsid w:val="00284C4C"/>
    <w:rsid w:val="0028701F"/>
    <w:rsid w:val="00287E68"/>
    <w:rsid w:val="00296529"/>
    <w:rsid w:val="002A172F"/>
    <w:rsid w:val="002A3D74"/>
    <w:rsid w:val="002B27FB"/>
    <w:rsid w:val="002B685A"/>
    <w:rsid w:val="002C1D17"/>
    <w:rsid w:val="002C42DF"/>
    <w:rsid w:val="002C57D2"/>
    <w:rsid w:val="002E0D56"/>
    <w:rsid w:val="002E5695"/>
    <w:rsid w:val="002F1998"/>
    <w:rsid w:val="002F388C"/>
    <w:rsid w:val="00304C33"/>
    <w:rsid w:val="0031477C"/>
    <w:rsid w:val="00315186"/>
    <w:rsid w:val="00316026"/>
    <w:rsid w:val="0032057A"/>
    <w:rsid w:val="00321A51"/>
    <w:rsid w:val="0033343E"/>
    <w:rsid w:val="003512C2"/>
    <w:rsid w:val="00351332"/>
    <w:rsid w:val="00363833"/>
    <w:rsid w:val="003700BB"/>
    <w:rsid w:val="00371FB6"/>
    <w:rsid w:val="003763C1"/>
    <w:rsid w:val="00376BBE"/>
    <w:rsid w:val="0039224F"/>
    <w:rsid w:val="003A43A4"/>
    <w:rsid w:val="003A7E18"/>
    <w:rsid w:val="003B0926"/>
    <w:rsid w:val="003B3865"/>
    <w:rsid w:val="003B3C0E"/>
    <w:rsid w:val="003C4C86"/>
    <w:rsid w:val="003C6258"/>
    <w:rsid w:val="003D0E03"/>
    <w:rsid w:val="003D5EE2"/>
    <w:rsid w:val="003E2904"/>
    <w:rsid w:val="003E7239"/>
    <w:rsid w:val="003F11AE"/>
    <w:rsid w:val="003F2DC8"/>
    <w:rsid w:val="00401927"/>
    <w:rsid w:val="0041027F"/>
    <w:rsid w:val="00411E67"/>
    <w:rsid w:val="00412475"/>
    <w:rsid w:val="00417D08"/>
    <w:rsid w:val="00421899"/>
    <w:rsid w:val="00423789"/>
    <w:rsid w:val="00440F43"/>
    <w:rsid w:val="00441B6F"/>
    <w:rsid w:val="004420F4"/>
    <w:rsid w:val="00446221"/>
    <w:rsid w:val="00447E64"/>
    <w:rsid w:val="00450E62"/>
    <w:rsid w:val="004539DB"/>
    <w:rsid w:val="0045597C"/>
    <w:rsid w:val="00463C73"/>
    <w:rsid w:val="00467DA0"/>
    <w:rsid w:val="00470998"/>
    <w:rsid w:val="00471A80"/>
    <w:rsid w:val="00471DBC"/>
    <w:rsid w:val="004726A5"/>
    <w:rsid w:val="004837CE"/>
    <w:rsid w:val="004A03E4"/>
    <w:rsid w:val="004A1033"/>
    <w:rsid w:val="004A1DD9"/>
    <w:rsid w:val="004B3C79"/>
    <w:rsid w:val="004B4060"/>
    <w:rsid w:val="004C0994"/>
    <w:rsid w:val="004C5983"/>
    <w:rsid w:val="004D305E"/>
    <w:rsid w:val="004D4277"/>
    <w:rsid w:val="004E3879"/>
    <w:rsid w:val="00501945"/>
    <w:rsid w:val="00502516"/>
    <w:rsid w:val="00505F06"/>
    <w:rsid w:val="00506828"/>
    <w:rsid w:val="00511883"/>
    <w:rsid w:val="005156A8"/>
    <w:rsid w:val="00522C96"/>
    <w:rsid w:val="00525BDB"/>
    <w:rsid w:val="00530323"/>
    <w:rsid w:val="0053056E"/>
    <w:rsid w:val="00533CAC"/>
    <w:rsid w:val="00541DB4"/>
    <w:rsid w:val="00554FDA"/>
    <w:rsid w:val="005649A6"/>
    <w:rsid w:val="005746B5"/>
    <w:rsid w:val="005750BD"/>
    <w:rsid w:val="0059438F"/>
    <w:rsid w:val="00595D41"/>
    <w:rsid w:val="005A51C4"/>
    <w:rsid w:val="005B5625"/>
    <w:rsid w:val="005B7487"/>
    <w:rsid w:val="005C535B"/>
    <w:rsid w:val="005C6AD8"/>
    <w:rsid w:val="005C6AE3"/>
    <w:rsid w:val="005C6F0E"/>
    <w:rsid w:val="005C7828"/>
    <w:rsid w:val="005C784C"/>
    <w:rsid w:val="005D17F6"/>
    <w:rsid w:val="005E11B7"/>
    <w:rsid w:val="005E5539"/>
    <w:rsid w:val="005F29A8"/>
    <w:rsid w:val="00602BF5"/>
    <w:rsid w:val="00606D8C"/>
    <w:rsid w:val="006105B4"/>
    <w:rsid w:val="00617FDD"/>
    <w:rsid w:val="006325EF"/>
    <w:rsid w:val="00633614"/>
    <w:rsid w:val="00633F68"/>
    <w:rsid w:val="00636EB2"/>
    <w:rsid w:val="006375B8"/>
    <w:rsid w:val="006403C8"/>
    <w:rsid w:val="006441A2"/>
    <w:rsid w:val="0064430A"/>
    <w:rsid w:val="00645A8C"/>
    <w:rsid w:val="00651DAF"/>
    <w:rsid w:val="0066510A"/>
    <w:rsid w:val="00673F9F"/>
    <w:rsid w:val="00677CFD"/>
    <w:rsid w:val="00681321"/>
    <w:rsid w:val="00686953"/>
    <w:rsid w:val="00687DEA"/>
    <w:rsid w:val="00687E67"/>
    <w:rsid w:val="006967F7"/>
    <w:rsid w:val="006A250C"/>
    <w:rsid w:val="006A6DA4"/>
    <w:rsid w:val="006A77C8"/>
    <w:rsid w:val="006B21D3"/>
    <w:rsid w:val="006B57D0"/>
    <w:rsid w:val="006D30FF"/>
    <w:rsid w:val="006D6940"/>
    <w:rsid w:val="006E7CC7"/>
    <w:rsid w:val="006F11EC"/>
    <w:rsid w:val="0070082C"/>
    <w:rsid w:val="00700D49"/>
    <w:rsid w:val="00723519"/>
    <w:rsid w:val="007243E7"/>
    <w:rsid w:val="00733E82"/>
    <w:rsid w:val="007369E6"/>
    <w:rsid w:val="0073764A"/>
    <w:rsid w:val="00746E59"/>
    <w:rsid w:val="00754C9A"/>
    <w:rsid w:val="0075599A"/>
    <w:rsid w:val="00761D52"/>
    <w:rsid w:val="0077749E"/>
    <w:rsid w:val="00781283"/>
    <w:rsid w:val="00790ADA"/>
    <w:rsid w:val="007C2708"/>
    <w:rsid w:val="007C501F"/>
    <w:rsid w:val="007C74E5"/>
    <w:rsid w:val="007D2288"/>
    <w:rsid w:val="007E088F"/>
    <w:rsid w:val="007E53B3"/>
    <w:rsid w:val="007E57C1"/>
    <w:rsid w:val="007F7B32"/>
    <w:rsid w:val="00804BC2"/>
    <w:rsid w:val="008073FB"/>
    <w:rsid w:val="00807E29"/>
    <w:rsid w:val="0081431A"/>
    <w:rsid w:val="00830913"/>
    <w:rsid w:val="0083216F"/>
    <w:rsid w:val="008359C4"/>
    <w:rsid w:val="008407C6"/>
    <w:rsid w:val="00842785"/>
    <w:rsid w:val="00850DB6"/>
    <w:rsid w:val="00857175"/>
    <w:rsid w:val="00860000"/>
    <w:rsid w:val="00863BD3"/>
    <w:rsid w:val="008641ED"/>
    <w:rsid w:val="00866D66"/>
    <w:rsid w:val="008671C6"/>
    <w:rsid w:val="00875803"/>
    <w:rsid w:val="00886223"/>
    <w:rsid w:val="008B0FD4"/>
    <w:rsid w:val="008B459E"/>
    <w:rsid w:val="008B4E34"/>
    <w:rsid w:val="008E13AE"/>
    <w:rsid w:val="008E1506"/>
    <w:rsid w:val="008E5A5A"/>
    <w:rsid w:val="008E710C"/>
    <w:rsid w:val="008F69D6"/>
    <w:rsid w:val="00900164"/>
    <w:rsid w:val="00902823"/>
    <w:rsid w:val="00915CA6"/>
    <w:rsid w:val="00927834"/>
    <w:rsid w:val="00947B8C"/>
    <w:rsid w:val="009500A6"/>
    <w:rsid w:val="00957C18"/>
    <w:rsid w:val="009659BA"/>
    <w:rsid w:val="009713D6"/>
    <w:rsid w:val="00983040"/>
    <w:rsid w:val="00985617"/>
    <w:rsid w:val="00987916"/>
    <w:rsid w:val="00990FE4"/>
    <w:rsid w:val="00992388"/>
    <w:rsid w:val="00997624"/>
    <w:rsid w:val="009B3FB9"/>
    <w:rsid w:val="009C2465"/>
    <w:rsid w:val="009C4933"/>
    <w:rsid w:val="009C4D45"/>
    <w:rsid w:val="009D35A0"/>
    <w:rsid w:val="009D7EB7"/>
    <w:rsid w:val="009E048A"/>
    <w:rsid w:val="009E08E9"/>
    <w:rsid w:val="009E0EB5"/>
    <w:rsid w:val="009E3DB9"/>
    <w:rsid w:val="009E6774"/>
    <w:rsid w:val="009E6E35"/>
    <w:rsid w:val="009F0EDA"/>
    <w:rsid w:val="00A03B96"/>
    <w:rsid w:val="00A05B19"/>
    <w:rsid w:val="00A05FA8"/>
    <w:rsid w:val="00A06A71"/>
    <w:rsid w:val="00A07664"/>
    <w:rsid w:val="00A1134E"/>
    <w:rsid w:val="00A24E7E"/>
    <w:rsid w:val="00A258C3"/>
    <w:rsid w:val="00A3288C"/>
    <w:rsid w:val="00A347C0"/>
    <w:rsid w:val="00A3636F"/>
    <w:rsid w:val="00A4159E"/>
    <w:rsid w:val="00A4412C"/>
    <w:rsid w:val="00A45477"/>
    <w:rsid w:val="00A51431"/>
    <w:rsid w:val="00A539AD"/>
    <w:rsid w:val="00A62C56"/>
    <w:rsid w:val="00A70E69"/>
    <w:rsid w:val="00A75E05"/>
    <w:rsid w:val="00A94063"/>
    <w:rsid w:val="00AA25DF"/>
    <w:rsid w:val="00AA6219"/>
    <w:rsid w:val="00AA74E0"/>
    <w:rsid w:val="00AB633B"/>
    <w:rsid w:val="00AB703F"/>
    <w:rsid w:val="00AC46F8"/>
    <w:rsid w:val="00AC6BB8"/>
    <w:rsid w:val="00AE008F"/>
    <w:rsid w:val="00AE1BAC"/>
    <w:rsid w:val="00AF3AE7"/>
    <w:rsid w:val="00B017AD"/>
    <w:rsid w:val="00B01FCD"/>
    <w:rsid w:val="00B1776C"/>
    <w:rsid w:val="00B21CAF"/>
    <w:rsid w:val="00B27AC7"/>
    <w:rsid w:val="00B34F2E"/>
    <w:rsid w:val="00B46196"/>
    <w:rsid w:val="00B52583"/>
    <w:rsid w:val="00B52896"/>
    <w:rsid w:val="00B63DF9"/>
    <w:rsid w:val="00B65BCC"/>
    <w:rsid w:val="00B66D19"/>
    <w:rsid w:val="00B773E8"/>
    <w:rsid w:val="00B92D0A"/>
    <w:rsid w:val="00B95236"/>
    <w:rsid w:val="00B96BD9"/>
    <w:rsid w:val="00BA1B01"/>
    <w:rsid w:val="00BA2641"/>
    <w:rsid w:val="00BB37AA"/>
    <w:rsid w:val="00BC53A0"/>
    <w:rsid w:val="00BE62AD"/>
    <w:rsid w:val="00BF121F"/>
    <w:rsid w:val="00BF1F80"/>
    <w:rsid w:val="00C06FB7"/>
    <w:rsid w:val="00C166EF"/>
    <w:rsid w:val="00C17EB0"/>
    <w:rsid w:val="00C229DC"/>
    <w:rsid w:val="00C25FD5"/>
    <w:rsid w:val="00C27F5F"/>
    <w:rsid w:val="00C30A0F"/>
    <w:rsid w:val="00C37E61"/>
    <w:rsid w:val="00C42FF7"/>
    <w:rsid w:val="00C4563B"/>
    <w:rsid w:val="00C520F6"/>
    <w:rsid w:val="00C53239"/>
    <w:rsid w:val="00C577FB"/>
    <w:rsid w:val="00C65DF8"/>
    <w:rsid w:val="00C70F1B"/>
    <w:rsid w:val="00C71A47"/>
    <w:rsid w:val="00C7464C"/>
    <w:rsid w:val="00C7706C"/>
    <w:rsid w:val="00C82D14"/>
    <w:rsid w:val="00C85588"/>
    <w:rsid w:val="00C94DFC"/>
    <w:rsid w:val="00CB68A9"/>
    <w:rsid w:val="00CB7B74"/>
    <w:rsid w:val="00CC77C8"/>
    <w:rsid w:val="00CD1D9D"/>
    <w:rsid w:val="00CD6755"/>
    <w:rsid w:val="00CD6856"/>
    <w:rsid w:val="00CE0089"/>
    <w:rsid w:val="00CE1CE6"/>
    <w:rsid w:val="00CE1D38"/>
    <w:rsid w:val="00CE793C"/>
    <w:rsid w:val="00CF193C"/>
    <w:rsid w:val="00D02AF0"/>
    <w:rsid w:val="00D05E6C"/>
    <w:rsid w:val="00D173F1"/>
    <w:rsid w:val="00D221A8"/>
    <w:rsid w:val="00D34162"/>
    <w:rsid w:val="00D34896"/>
    <w:rsid w:val="00D37FCA"/>
    <w:rsid w:val="00D41587"/>
    <w:rsid w:val="00D607AF"/>
    <w:rsid w:val="00D6374D"/>
    <w:rsid w:val="00D73888"/>
    <w:rsid w:val="00D74CB0"/>
    <w:rsid w:val="00D76C53"/>
    <w:rsid w:val="00D8295D"/>
    <w:rsid w:val="00D85F5E"/>
    <w:rsid w:val="00D95FD5"/>
    <w:rsid w:val="00DA4489"/>
    <w:rsid w:val="00DB692B"/>
    <w:rsid w:val="00DC2A65"/>
    <w:rsid w:val="00DC6004"/>
    <w:rsid w:val="00DE15F0"/>
    <w:rsid w:val="00DE1E26"/>
    <w:rsid w:val="00DE25D8"/>
    <w:rsid w:val="00DE5663"/>
    <w:rsid w:val="00DE78AA"/>
    <w:rsid w:val="00DF0335"/>
    <w:rsid w:val="00DF4C25"/>
    <w:rsid w:val="00E053D0"/>
    <w:rsid w:val="00E0746C"/>
    <w:rsid w:val="00E15994"/>
    <w:rsid w:val="00E21BEF"/>
    <w:rsid w:val="00E3114E"/>
    <w:rsid w:val="00E31A70"/>
    <w:rsid w:val="00E3445E"/>
    <w:rsid w:val="00E35B02"/>
    <w:rsid w:val="00E51D9F"/>
    <w:rsid w:val="00E66496"/>
    <w:rsid w:val="00E66B35"/>
    <w:rsid w:val="00E66E10"/>
    <w:rsid w:val="00E764C1"/>
    <w:rsid w:val="00E769F6"/>
    <w:rsid w:val="00E76AD8"/>
    <w:rsid w:val="00E80272"/>
    <w:rsid w:val="00E8407C"/>
    <w:rsid w:val="00E84F3C"/>
    <w:rsid w:val="00E935C7"/>
    <w:rsid w:val="00EA012C"/>
    <w:rsid w:val="00EC6A55"/>
    <w:rsid w:val="00ED0288"/>
    <w:rsid w:val="00ED31AB"/>
    <w:rsid w:val="00EE52CB"/>
    <w:rsid w:val="00EF581D"/>
    <w:rsid w:val="00EF7FD8"/>
    <w:rsid w:val="00F03704"/>
    <w:rsid w:val="00F06F59"/>
    <w:rsid w:val="00F10CD6"/>
    <w:rsid w:val="00F177B4"/>
    <w:rsid w:val="00F17988"/>
    <w:rsid w:val="00F30AFC"/>
    <w:rsid w:val="00F42DF6"/>
    <w:rsid w:val="00F469F0"/>
    <w:rsid w:val="00F53273"/>
    <w:rsid w:val="00F61FA0"/>
    <w:rsid w:val="00F72859"/>
    <w:rsid w:val="00F755E4"/>
    <w:rsid w:val="00F76612"/>
    <w:rsid w:val="00F77D02"/>
    <w:rsid w:val="00F85454"/>
    <w:rsid w:val="00F93FF1"/>
    <w:rsid w:val="00FB04DB"/>
    <w:rsid w:val="00FB249B"/>
    <w:rsid w:val="00FB3A86"/>
    <w:rsid w:val="00FB5CCC"/>
    <w:rsid w:val="00FC1157"/>
    <w:rsid w:val="00FC242B"/>
    <w:rsid w:val="00FC3C34"/>
    <w:rsid w:val="00FD36C8"/>
    <w:rsid w:val="00FD36F3"/>
    <w:rsid w:val="00FD6432"/>
    <w:rsid w:val="00FE1D5B"/>
    <w:rsid w:val="00FE40C3"/>
    <w:rsid w:val="00FE6D91"/>
    <w:rsid w:val="00FF54D1"/>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1BFC1"/>
  <w15:docId w15:val="{FB06088C-6A32-4F50-83E3-FA87B91BC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F3A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AF3AE7"/>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AF3AE7"/>
    <w:pPr>
      <w:spacing w:after="160" w:line="259" w:lineRule="auto"/>
      <w:ind w:left="720"/>
      <w:contextualSpacing/>
    </w:pPr>
    <w:rPr>
      <w:rFonts w:asciiTheme="minorHAnsi" w:eastAsiaTheme="minorHAnsi" w:hAnsiTheme="minorHAnsi" w:cstheme="minorBidi"/>
      <w:kern w:val="2"/>
      <w:sz w:val="22"/>
      <w:szCs w:val="22"/>
      <w:lang w:val="en-AE"/>
      <w14:ligatures w14:val="standardContextual"/>
    </w:rPr>
  </w:style>
  <w:style w:type="paragraph" w:styleId="Bibliography">
    <w:name w:val="Bibliography"/>
    <w:basedOn w:val="Normal"/>
    <w:next w:val="Normal"/>
    <w:uiPriority w:val="37"/>
    <w:unhideWhenUsed/>
    <w:rsid w:val="00AF3AE7"/>
    <w:pPr>
      <w:spacing w:after="160" w:line="259" w:lineRule="auto"/>
    </w:pPr>
    <w:rPr>
      <w:rFonts w:asciiTheme="minorHAnsi" w:eastAsiaTheme="minorHAnsi" w:hAnsiTheme="minorHAnsi" w:cstheme="minorBidi"/>
      <w:kern w:val="2"/>
      <w:sz w:val="22"/>
      <w:szCs w:val="22"/>
      <w:lang w:val="en-AE"/>
      <w14:ligatures w14:val="standardContextual"/>
    </w:rPr>
  </w:style>
  <w:style w:type="paragraph" w:styleId="NormalWeb">
    <w:name w:val="Normal (Web)"/>
    <w:basedOn w:val="Normal"/>
    <w:semiHidden/>
    <w:unhideWhenUsed/>
    <w:rsid w:val="00E51D9F"/>
    <w:rPr>
      <w:rFonts w:ascii="Times New Roman" w:hAnsi="Times New Roman"/>
      <w:sz w:val="24"/>
      <w:szCs w:val="24"/>
    </w:rPr>
  </w:style>
  <w:style w:type="paragraph" w:styleId="NoSpacing">
    <w:name w:val="No Spacing"/>
    <w:uiPriority w:val="1"/>
    <w:qFormat/>
    <w:rsid w:val="00533CAC"/>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ramanweil.com/products/korsolex-rapid"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BE18B-49D6-421E-8E58-95BA63C17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9</Pages>
  <Words>3784</Words>
  <Characters>21572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25306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thasleema n</cp:lastModifiedBy>
  <cp:revision>3</cp:revision>
  <cp:lastPrinted>1999-07-06T11:00:00Z</cp:lastPrinted>
  <dcterms:created xsi:type="dcterms:W3CDTF">2026-04-03T12:58:00Z</dcterms:created>
  <dcterms:modified xsi:type="dcterms:W3CDTF">2026-04-03T12:59:00Z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76ee220c-ef54-485d-a56c-aaed29280fe0</vt:lpwstr>
  </property>
</Properties>
</file>