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6D47C" w14:textId="73335E30" w:rsidR="003C77BD" w:rsidRPr="00A26D72" w:rsidRDefault="00DE31F5" w:rsidP="00801876">
      <w:pPr>
        <w:pStyle w:val="NormalWeb"/>
        <w:jc w:val="both"/>
        <w:rPr>
          <w:sz w:val="36"/>
        </w:rPr>
      </w:pPr>
      <w:bookmarkStart w:id="0" w:name="_GoBack"/>
      <w:bookmarkEnd w:id="0"/>
      <w:r w:rsidRPr="00A26D72">
        <w:rPr>
          <w:b/>
          <w:bCs/>
          <w:sz w:val="28"/>
          <w:szCs w:val="20"/>
          <w:highlight w:val="yellow"/>
          <w:lang w:val="en-GB"/>
        </w:rPr>
        <w:t>From uncertainty to reality: Overcoming the translational gap in AI-interpreted platelet dynamics for thrombotic risk prediction</w:t>
      </w:r>
    </w:p>
    <w:p w14:paraId="3E94975D" w14:textId="77777777" w:rsidR="002451DA" w:rsidRDefault="00801876" w:rsidP="00801876">
      <w:pPr>
        <w:pStyle w:val="NormalWeb"/>
        <w:jc w:val="both"/>
      </w:pPr>
      <w:r>
        <w:rPr>
          <w:b/>
          <w:bCs/>
        </w:rPr>
        <w:t>Abstract</w:t>
      </w:r>
      <w:r>
        <w:t xml:space="preserve"> </w:t>
      </w:r>
    </w:p>
    <w:p w14:paraId="657F9FAD" w14:textId="562112D1" w:rsidR="002451DA" w:rsidRDefault="00801876" w:rsidP="00801876">
      <w:pPr>
        <w:pStyle w:val="NormalWeb"/>
        <w:jc w:val="both"/>
      </w:pPr>
      <w:r>
        <w:t xml:space="preserve">Artificial intelligence (AI) is rapidly transforming the landscape of thrombosis research, offering novel opportunities to enhance the understanding and prediction of platelet-driven thrombotic events. Platelets play a central role in hemostasis and pathological thrombosis, yet conventional diagnostic methods remain limited in their ability to capture the dynamic and multifactorial nature of platelet function. This study explores the emerging role of AI in orchestrating platelet dynamics for improved thrombotic risk prediction and examines the translational gap between technological innovation and clinical application. A narrative synthesis of current literature was conducted, integrating findings from studies on platelet biology, computational thrombosis modeling, machine learning, and advanced diagnostic technologies. The results demonstrate that AI-driven models, particularly those incorporating multimodal datasets such as imaging, transcriptomics, and microfluidic simulations, significantly enhance predictive accuracy compared to traditional approaches. Reinforcement learning and dynamic digital models further enable continuous risk adaptation and real-time clinical decision support. Despite these advancements, several barriers to clinical translation persist, including data heterogeneity, limited external validation, challenges in model interpretability, and ethical concerns related to data privacy and algorithmic bias. Additionally, variability in healthcare infrastructure and regulatory uncertainties hinder widespread implementation. Addressing these challenges requires standardized frameworks, robust validation strategies, and interdisciplinary collaboration to ensure seamless integration into clinical workflows. Overall, AI-orchestrated platelet dynamics represent a promising frontier in precision medicine, with the potential to </w:t>
      </w:r>
      <w:proofErr w:type="spellStart"/>
      <w:r w:rsidR="005146C0" w:rsidRPr="00A26D72">
        <w:rPr>
          <w:highlight w:val="yellow"/>
        </w:rPr>
        <w:t>revolutioni</w:t>
      </w:r>
      <w:r w:rsidR="005146C0" w:rsidRPr="00A26D72">
        <w:rPr>
          <w:highlight w:val="yellow"/>
        </w:rPr>
        <w:t>s</w:t>
      </w:r>
      <w:r w:rsidR="005146C0" w:rsidRPr="00A26D72">
        <w:rPr>
          <w:highlight w:val="yellow"/>
        </w:rPr>
        <w:t>e</w:t>
      </w:r>
      <w:proofErr w:type="spellEnd"/>
      <w:r w:rsidR="005146C0" w:rsidRPr="00A26D72">
        <w:rPr>
          <w:highlight w:val="yellow"/>
        </w:rPr>
        <w:t xml:space="preserve"> </w:t>
      </w:r>
      <w:r w:rsidRPr="00A26D72">
        <w:rPr>
          <w:highlight w:val="yellow"/>
        </w:rPr>
        <w:t>t</w:t>
      </w:r>
      <w:r>
        <w:t>hrombotic risk prediction and patient management if the existing translational barriers can be effectively overcome.</w:t>
      </w:r>
    </w:p>
    <w:p w14:paraId="6C1DA854" w14:textId="4DDBC846" w:rsidR="002451DA" w:rsidRDefault="00801876" w:rsidP="00801876">
      <w:pPr>
        <w:pStyle w:val="NormalWeb"/>
        <w:jc w:val="both"/>
      </w:pPr>
      <w:r>
        <w:rPr>
          <w:rStyle w:val="Strong"/>
        </w:rPr>
        <w:t>Keywords:</w:t>
      </w:r>
      <w:r>
        <w:t xml:space="preserve"> </w:t>
      </w:r>
      <w:r w:rsidR="005146C0" w:rsidRPr="00A26D72">
        <w:rPr>
          <w:highlight w:val="yellow"/>
        </w:rPr>
        <w:t>A</w:t>
      </w:r>
      <w:r w:rsidRPr="00A26D72">
        <w:rPr>
          <w:highlight w:val="yellow"/>
        </w:rPr>
        <w:t>rtific</w:t>
      </w:r>
      <w:r>
        <w:t>ial intelligence; platelet dynamics; thrombosis; machine learning; risk prediction</w:t>
      </w:r>
    </w:p>
    <w:p w14:paraId="48CFA1B7" w14:textId="77777777" w:rsidR="002451DA" w:rsidRDefault="002451DA" w:rsidP="00801876">
      <w:pPr>
        <w:jc w:val="both"/>
        <w:rPr>
          <w:rFonts w:eastAsia="Times New Roman"/>
        </w:rPr>
      </w:pPr>
    </w:p>
    <w:p w14:paraId="607BC56A" w14:textId="77777777" w:rsidR="002451DA" w:rsidRDefault="00801876" w:rsidP="00801876">
      <w:pPr>
        <w:jc w:val="both"/>
        <w:rPr>
          <w:rFonts w:eastAsia="Times New Roman"/>
        </w:rPr>
      </w:pPr>
      <w:r>
        <w:rPr>
          <w:rFonts w:eastAsia="Times New Roman"/>
          <w:b/>
          <w:bCs/>
        </w:rPr>
        <w:t>Introduction</w:t>
      </w:r>
      <w:r>
        <w:rPr>
          <w:rFonts w:eastAsia="Times New Roman"/>
        </w:rPr>
        <w:t xml:space="preserve"> </w:t>
      </w:r>
    </w:p>
    <w:p w14:paraId="07516ED8" w14:textId="0B53E307" w:rsidR="002451DA" w:rsidRDefault="005C2B63" w:rsidP="00801876">
      <w:pPr>
        <w:pStyle w:val="NormalWeb"/>
        <w:jc w:val="both"/>
      </w:pPr>
      <w:r w:rsidRPr="00A26D72">
        <w:rPr>
          <w:rFonts w:ascii="Cambria" w:hAnsi="Cambria"/>
          <w:color w:val="1B1B1B"/>
          <w:sz w:val="22"/>
          <w:szCs w:val="28"/>
          <w:highlight w:val="yellow"/>
          <w:shd w:val="clear" w:color="auto" w:fill="FFFFFF"/>
        </w:rPr>
        <w:t>The evolution of artificial intelligence (AI) in medicine has provided radical new models for diagnosis and therapy for thrombotic disorders. Internal medicine is challenged in individualizing risk assessment and timely intervention, while recent advances in AI-enabled platelet dynamics analysis offer a most appealing solution to thrombotic risk reduction – a concept that has matured rather significantly in 2025.</w:t>
      </w:r>
      <w:r w:rsidRPr="00A26D72">
        <w:rPr>
          <w:sz w:val="20"/>
        </w:rPr>
        <w:t xml:space="preserve"> </w:t>
      </w:r>
      <w:r w:rsidRPr="00A26D72">
        <w:rPr>
          <w:rFonts w:ascii="Cambria" w:hAnsi="Cambria"/>
          <w:color w:val="1B1B1B"/>
          <w:szCs w:val="28"/>
          <w:highlight w:val="yellow"/>
          <w:shd w:val="clear" w:color="auto" w:fill="FFFFFF"/>
        </w:rPr>
        <w:t>The confluence of AI, advanced imaging, and real-time analytics would now allow for unprecedented resolution and speed in tracking and interpreting platelet dynamics in real time</w:t>
      </w:r>
      <w:r>
        <w:rPr>
          <w:rFonts w:ascii="Cambria" w:hAnsi="Cambria"/>
          <w:color w:val="1B1B1B"/>
          <w:szCs w:val="28"/>
          <w:highlight w:val="yellow"/>
          <w:shd w:val="clear" w:color="auto" w:fill="FFFFFF"/>
        </w:rPr>
        <w:t xml:space="preserve"> (</w:t>
      </w:r>
      <w:proofErr w:type="spellStart"/>
      <w:r w:rsidRPr="00A26D72">
        <w:rPr>
          <w:rFonts w:ascii="Cambria" w:hAnsi="Cambria"/>
          <w:color w:val="1B1B1B"/>
          <w:szCs w:val="26"/>
          <w:highlight w:val="yellow"/>
          <w:shd w:val="clear" w:color="auto" w:fill="FFFFFF"/>
        </w:rPr>
        <w:t>Saigal</w:t>
      </w:r>
      <w:proofErr w:type="spellEnd"/>
      <w:r w:rsidRPr="00A26D72">
        <w:rPr>
          <w:rFonts w:ascii="Cambria" w:hAnsi="Cambria"/>
          <w:color w:val="1B1B1B"/>
          <w:szCs w:val="26"/>
          <w:highlight w:val="yellow"/>
          <w:shd w:val="clear" w:color="auto" w:fill="FFFFFF"/>
        </w:rPr>
        <w:t xml:space="preserve"> et al., 2023</w:t>
      </w:r>
      <w:r>
        <w:rPr>
          <w:rFonts w:ascii="Cambria" w:hAnsi="Cambria"/>
          <w:color w:val="1B1B1B"/>
          <w:szCs w:val="28"/>
          <w:highlight w:val="yellow"/>
          <w:shd w:val="clear" w:color="auto" w:fill="FFFFFF"/>
        </w:rPr>
        <w:t>)</w:t>
      </w:r>
      <w:r w:rsidRPr="00A26D72">
        <w:rPr>
          <w:rFonts w:ascii="Cambria" w:hAnsi="Cambria"/>
          <w:color w:val="1B1B1B"/>
          <w:szCs w:val="28"/>
          <w:highlight w:val="yellow"/>
          <w:shd w:val="clear" w:color="auto" w:fill="FFFFFF"/>
        </w:rPr>
        <w:t>.</w:t>
      </w:r>
      <w:r w:rsidRPr="00A26D72">
        <w:rPr>
          <w:sz w:val="22"/>
        </w:rPr>
        <w:t xml:space="preserve"> </w:t>
      </w:r>
      <w:r w:rsidR="00801876">
        <w:t xml:space="preserve">Thrombotic disorders remain a leading cause of morbidity and mortality worldwide, underpinning major cardiovascular events such as myocardial infarction, stroke, and venous thromboembolism. Central to these processes are platelets, highly dynamic cellular fragments whose activation, aggregation, and interaction with the vascular endothelium orchestrate hemostasis and pathological thrombosis (Talha, Khalid, &amp; </w:t>
      </w:r>
      <w:proofErr w:type="spellStart"/>
      <w:r w:rsidR="00801876">
        <w:t>Waafira</w:t>
      </w:r>
      <w:proofErr w:type="spellEnd"/>
      <w:r w:rsidR="00801876">
        <w:t xml:space="preserve">, 2025). Advances in molecular biology have revealed the complexity of platelet </w:t>
      </w:r>
      <w:proofErr w:type="spellStart"/>
      <w:r w:rsidR="00801876">
        <w:t>s</w:t>
      </w:r>
      <w:r w:rsidR="00801876" w:rsidRPr="00A26D72">
        <w:rPr>
          <w:highlight w:val="yellow"/>
        </w:rPr>
        <w:t>igna</w:t>
      </w:r>
      <w:r w:rsidR="005146C0" w:rsidRPr="00A26D72">
        <w:rPr>
          <w:highlight w:val="yellow"/>
        </w:rPr>
        <w:t>l</w:t>
      </w:r>
      <w:r w:rsidR="00801876" w:rsidRPr="00A26D72">
        <w:rPr>
          <w:highlight w:val="yellow"/>
        </w:rPr>
        <w:t>li</w:t>
      </w:r>
      <w:r w:rsidR="00801876">
        <w:t>ng</w:t>
      </w:r>
      <w:proofErr w:type="spellEnd"/>
      <w:r w:rsidR="00801876">
        <w:t xml:space="preserve"> </w:t>
      </w:r>
      <w:r w:rsidR="00801876">
        <w:lastRenderedPageBreak/>
        <w:t>pathways and their role in disease states, emphasizing that platelet behavior is not static but influenced by a multitude of biochemical and biomechanical cues (Tian et al., 2025). Despite these insights, conventional diagnostic approaches to assessing platelet function and thrombotic risk remain limited, often relying on static assays that fail to capture the temporal and systems-level dynamics of thrombus formation (Le Blanc et al., 2020; Yoon et al., 2024).</w:t>
      </w:r>
      <w:r w:rsidR="0082249A">
        <w:t xml:space="preserve"> </w:t>
      </w:r>
      <w:r w:rsidR="0082249A" w:rsidRPr="00A26D72">
        <w:rPr>
          <w:color w:val="222222"/>
          <w:szCs w:val="27"/>
          <w:highlight w:val="yellow"/>
          <w:shd w:val="clear" w:color="auto" w:fill="FFFFFF"/>
        </w:rPr>
        <w:t>With the development of artificial intelligence, a growing number of applications in the field of medicine and health have emerged. These applications include, but are not limited to, the establishment of risk assessment models, assisting clinical diagnosis, guiding clinical decision-making, drug target screening, and patient management</w:t>
      </w:r>
      <w:r w:rsidR="00BF4FED">
        <w:rPr>
          <w:color w:val="222222"/>
          <w:szCs w:val="27"/>
          <w:highlight w:val="yellow"/>
          <w:shd w:val="clear" w:color="auto" w:fill="FFFFFF"/>
        </w:rPr>
        <w:t xml:space="preserve"> (</w:t>
      </w:r>
      <w:r w:rsidR="00BF4FED" w:rsidRPr="00860623">
        <w:rPr>
          <w:rFonts w:ascii="Helvetica" w:hAnsi="Helvetica" w:cs="Helvetica"/>
          <w:color w:val="222222"/>
          <w:sz w:val="22"/>
          <w:highlight w:val="yellow"/>
        </w:rPr>
        <w:t>Wang</w:t>
      </w:r>
      <w:r w:rsidR="00BF4FED">
        <w:rPr>
          <w:rFonts w:ascii="Helvetica" w:hAnsi="Helvetica" w:cs="Helvetica"/>
          <w:color w:val="222222"/>
          <w:sz w:val="22"/>
          <w:highlight w:val="yellow"/>
        </w:rPr>
        <w:t xml:space="preserve"> et al., 2024</w:t>
      </w:r>
      <w:r w:rsidR="00BF4FED">
        <w:rPr>
          <w:color w:val="222222"/>
          <w:szCs w:val="27"/>
          <w:highlight w:val="yellow"/>
          <w:shd w:val="clear" w:color="auto" w:fill="FFFFFF"/>
        </w:rPr>
        <w:t>)</w:t>
      </w:r>
      <w:r w:rsidR="0082249A" w:rsidRPr="00A26D72">
        <w:rPr>
          <w:color w:val="222222"/>
          <w:szCs w:val="27"/>
          <w:highlight w:val="yellow"/>
          <w:shd w:val="clear" w:color="auto" w:fill="FFFFFF"/>
        </w:rPr>
        <w:t>.</w:t>
      </w:r>
    </w:p>
    <w:p w14:paraId="5A160732" w14:textId="24D10B57" w:rsidR="002451DA" w:rsidRDefault="00276FC9" w:rsidP="00801876">
      <w:pPr>
        <w:pStyle w:val="NormalWeb"/>
        <w:jc w:val="both"/>
      </w:pPr>
      <w:r w:rsidRPr="00A26D72">
        <w:rPr>
          <w:rFonts w:ascii="Georgia" w:hAnsi="Georgia"/>
          <w:color w:val="1F1F1F"/>
          <w:highlight w:val="yellow"/>
        </w:rPr>
        <w:t>AI involves creating systems that replicate human-like cognitive abilities, enabling machines to perform complex functions such as learning, reasoning, problem solving, and language processing. These systems are driven by advanced algorithms and large datasets, allowing them to autonomously refine their performance and adapt through experience</w:t>
      </w:r>
      <w:r w:rsidR="00381F8E">
        <w:rPr>
          <w:rFonts w:ascii="Georgia" w:hAnsi="Georgia"/>
          <w:color w:val="1F1F1F"/>
          <w:highlight w:val="yellow"/>
        </w:rPr>
        <w:t xml:space="preserve"> (</w:t>
      </w:r>
      <w:proofErr w:type="spellStart"/>
      <w:r w:rsidR="00381F8E" w:rsidRPr="00860623">
        <w:rPr>
          <w:rFonts w:ascii="Arial" w:hAnsi="Arial" w:cs="Arial"/>
          <w:color w:val="222222"/>
          <w:sz w:val="20"/>
          <w:szCs w:val="20"/>
          <w:highlight w:val="yellow"/>
          <w:shd w:val="clear" w:color="auto" w:fill="FFFFFF"/>
        </w:rPr>
        <w:t>Kuan</w:t>
      </w:r>
      <w:proofErr w:type="spellEnd"/>
      <w:r w:rsidR="00381F8E">
        <w:rPr>
          <w:rFonts w:ascii="Arial" w:hAnsi="Arial" w:cs="Arial"/>
          <w:color w:val="222222"/>
          <w:sz w:val="20"/>
          <w:szCs w:val="20"/>
          <w:highlight w:val="yellow"/>
          <w:shd w:val="clear" w:color="auto" w:fill="FFFFFF"/>
        </w:rPr>
        <w:t xml:space="preserve"> et al., 2025</w:t>
      </w:r>
      <w:r w:rsidR="00381F8E">
        <w:rPr>
          <w:rFonts w:ascii="Georgia" w:hAnsi="Georgia"/>
          <w:color w:val="1F1F1F"/>
          <w:highlight w:val="yellow"/>
        </w:rPr>
        <w:t>)</w:t>
      </w:r>
      <w:r w:rsidRPr="00A26D72">
        <w:rPr>
          <w:rFonts w:ascii="Georgia" w:hAnsi="Georgia"/>
          <w:color w:val="1F1F1F"/>
          <w:highlight w:val="yellow"/>
        </w:rPr>
        <w:t>.</w:t>
      </w:r>
      <w:r>
        <w:rPr>
          <w:rFonts w:ascii="Georgia" w:hAnsi="Georgia"/>
          <w:color w:val="1F1F1F"/>
        </w:rPr>
        <w:t> </w:t>
      </w:r>
      <w:r>
        <w:t xml:space="preserve"> </w:t>
      </w:r>
      <w:r w:rsidR="00801876">
        <w:t>Recent years have witnessed a paradigm shift with the integration of artificial intelligence (AI) and computational modeling into the study of thrombosis and hemostasis. Machine learning techniques enable the analysis of complex, high-dimensional datasets, offering unprecedented opportunities to model platelet behavior and predict thrombotic risk with greater precision. Early efforts demonstrated the feasibility of applying machine learning to multiscale platelet function prediction, laying the groundwork for more sophisticated, patient-specific models (Flamm et al., 2012; Zheng et al., 2026). Contemporary approaches now incorporate diverse data streams, including imaging, transcriptomics, and microfluidic simulations, to provide a more holistic understanding of thrombus formation (Kempster et al., 2022; Pérez-Sánchez et al., 2021; Kim et al., 2021).</w:t>
      </w:r>
    </w:p>
    <w:p w14:paraId="1A1EE1E2" w14:textId="039EF1EF" w:rsidR="002451DA" w:rsidRDefault="00801876" w:rsidP="00801876">
      <w:pPr>
        <w:pStyle w:val="NormalWeb"/>
        <w:jc w:val="both"/>
      </w:pPr>
      <w:r>
        <w:t xml:space="preserve">AI-driven models have shown particular promise in risk stratification and clinical decision-making. Reinforcement learning and other advanced algorithms can dynamically adapt to patient-specific variables, optimizing predictive accuracy and potentially guiding therapeutic interventions (Bostani et al., 2023; Yala et al., 2022). Furthermore, the emergence of AI-orchestrated platelet dynamics </w:t>
      </w:r>
      <w:proofErr w:type="spellStart"/>
      <w:r w:rsidR="005146C0" w:rsidRPr="00A26D72">
        <w:rPr>
          <w:highlight w:val="yellow"/>
        </w:rPr>
        <w:t>analy</w:t>
      </w:r>
      <w:r w:rsidR="005146C0" w:rsidRPr="00A26D72">
        <w:rPr>
          <w:highlight w:val="yellow"/>
        </w:rPr>
        <w:t>s</w:t>
      </w:r>
      <w:r w:rsidR="005146C0" w:rsidRPr="00A26D72">
        <w:rPr>
          <w:highlight w:val="yellow"/>
        </w:rPr>
        <w:t>ers</w:t>
      </w:r>
      <w:proofErr w:type="spellEnd"/>
      <w:r w:rsidR="005146C0" w:rsidRPr="00A26D72">
        <w:rPr>
          <w:highlight w:val="yellow"/>
        </w:rPr>
        <w:t xml:space="preserve"> </w:t>
      </w:r>
      <w:r w:rsidRPr="00A26D72">
        <w:rPr>
          <w:highlight w:val="yellow"/>
        </w:rPr>
        <w:t>represents</w:t>
      </w:r>
      <w:r>
        <w:t xml:space="preserve"> a novel frontier, wherein real-time data integration and predictive analytics converge to simulate and anticipate thrombotic events (Talha et al., 2025). These innovations align with broader trends in precision medicine, aiming to tailor interventions based on individualized risk profiles (</w:t>
      </w:r>
      <w:proofErr w:type="spellStart"/>
      <w:r>
        <w:t>Fustolo-Gunnink</w:t>
      </w:r>
      <w:proofErr w:type="spellEnd"/>
      <w:r>
        <w:t xml:space="preserve"> et al., 2019).</w:t>
      </w:r>
    </w:p>
    <w:p w14:paraId="2DCC50FA" w14:textId="2FC9E8B2" w:rsidR="002451DA" w:rsidRDefault="00801876" w:rsidP="00801876">
      <w:pPr>
        <w:pStyle w:val="NormalWeb"/>
        <w:jc w:val="both"/>
      </w:pPr>
      <w:r>
        <w:t>Nevertheless, a significant translational gap persists between these technological advancements and their routine clinical application. While computational models have become increasingly sophisticated, challenges remain in validating their accuracy, ensuring interoperability with clinical systems, and addressing issues of data quality and standardization (Ye et al., 2024; Gutiérrez et al., 2024). Additionally, the integration of AI into clinical workflows raises concerns regarding interpretability, regulatory oversight, and clinician acceptance (Gresele, 2023; Rashidi et al., 2023). Even as recent studies highlight the potential of dynamic digital models for thromboembolic risk stratification, their real-world implementation remains limited (Kang et al., 2026).</w:t>
      </w:r>
    </w:p>
    <w:p w14:paraId="124B514D" w14:textId="116E909B" w:rsidR="002451DA" w:rsidRDefault="00801876" w:rsidP="00801876">
      <w:pPr>
        <w:pStyle w:val="NormalWeb"/>
        <w:jc w:val="both"/>
      </w:pPr>
      <w:r>
        <w:t xml:space="preserve">Bridging this gap requires a concerted effort to translate AI-driven insights into clinically actionable tools. This involves not only technological refinement but also rigorous validation, </w:t>
      </w:r>
      <w:r>
        <w:lastRenderedPageBreak/>
        <w:t xml:space="preserve">interdisciplinary collaboration, and the development of frameworks that integrate computational predictions with established clinical practices (Shankar, Zhang, </w:t>
      </w:r>
      <w:proofErr w:type="spellStart"/>
      <w:r>
        <w:t>Sinno</w:t>
      </w:r>
      <w:proofErr w:type="spellEnd"/>
      <w:r>
        <w:t>, &amp; Diamond, 2022). As AI continues to evolve, its application in platelet dynamics and thrombotic risk prediction holds the promise of transforming the landscape of cardiovascular medicine. However, realizing this potential will depend on the successful navigation of the challenges that currently hinder its translation from promise to practice (Altememi et al., 2025).</w:t>
      </w:r>
      <w:r w:rsidR="00DE31F5">
        <w:t xml:space="preserve"> </w:t>
      </w:r>
      <w:r w:rsidR="00DE31F5" w:rsidRPr="00DE31F5">
        <w:rPr>
          <w:highlight w:val="yellow"/>
        </w:rPr>
        <w:t>The present</w:t>
      </w:r>
      <w:r w:rsidR="00DE31F5" w:rsidRPr="00DE31F5">
        <w:rPr>
          <w:highlight w:val="yellow"/>
        </w:rPr>
        <w:t xml:space="preserve"> study explores the emerging role of AI in orchestrating platelet dynamics for improved thrombotic risk prediction and examines the translational gap between technological innovation and clinical application.</w:t>
      </w:r>
    </w:p>
    <w:p w14:paraId="6E7ABF93" w14:textId="77777777" w:rsidR="002451DA" w:rsidRDefault="002451DA" w:rsidP="00801876">
      <w:pPr>
        <w:jc w:val="both"/>
        <w:rPr>
          <w:rFonts w:eastAsia="Times New Roman"/>
        </w:rPr>
      </w:pPr>
    </w:p>
    <w:p w14:paraId="76146AFA" w14:textId="77777777" w:rsidR="002451DA" w:rsidRDefault="00801876" w:rsidP="00801876">
      <w:pPr>
        <w:jc w:val="both"/>
        <w:rPr>
          <w:rFonts w:eastAsia="Times New Roman"/>
          <w:b/>
          <w:bCs/>
        </w:rPr>
      </w:pPr>
      <w:r>
        <w:rPr>
          <w:rFonts w:eastAsia="Times New Roman"/>
          <w:b/>
          <w:bCs/>
        </w:rPr>
        <w:t>Methods</w:t>
      </w:r>
    </w:p>
    <w:p w14:paraId="0858ED56" w14:textId="77777777" w:rsidR="002451DA" w:rsidRDefault="00801876" w:rsidP="00801876">
      <w:pPr>
        <w:pStyle w:val="Heading3"/>
        <w:jc w:val="both"/>
        <w:rPr>
          <w:rFonts w:eastAsia="Times New Roman"/>
          <w:kern w:val="0"/>
          <w:sz w:val="27"/>
          <w:szCs w:val="27"/>
          <w14:ligatures w14:val="none"/>
        </w:rPr>
      </w:pPr>
      <w:r>
        <w:rPr>
          <w:rFonts w:eastAsia="Times New Roman"/>
        </w:rPr>
        <w:t>Study Design and Data Integration</w:t>
      </w:r>
    </w:p>
    <w:p w14:paraId="5695C11A" w14:textId="77777777" w:rsidR="002451DA" w:rsidRDefault="00801876" w:rsidP="00801876">
      <w:pPr>
        <w:pStyle w:val="NormalWeb"/>
        <w:jc w:val="both"/>
      </w:pPr>
      <w:r>
        <w:t>This study adopted a narrative-analytical methodological framework aimed at synthesizing current evidence on artificial intelligence (AI)-orchestrated platelet dynamics and their application in thrombotic risk prediction. A structured literature review was conducted across peer-reviewed databases to identify relevant studies addressing platelet biology, computational thrombosis modeling, and AI-driven predictive systems. Emphasis was placed on integrating findings from experimental, computational, and translational research to capture the multidimensional nature of thrombus formation. Foundational insights into platelet signaling pathways and disease associations were incorporated to contextualize the biological underpinnings of thrombosis (Tian et al., 2025). Additionally, established diagnostic approaches, including light transmission aggregometry and emerging platelet function assays, were reviewed to highlight current clinical limitations and data acquisition methods (Le Blanc et al., 2020; Yoon et al., 2024).</w:t>
      </w:r>
    </w:p>
    <w:p w14:paraId="4A1DD983" w14:textId="77777777" w:rsidR="002451DA" w:rsidRDefault="00801876" w:rsidP="00801876">
      <w:pPr>
        <w:pStyle w:val="NormalWeb"/>
        <w:jc w:val="both"/>
      </w:pPr>
      <w:r>
        <w:t>To ensure comprehensive data integration, this study incorporated multimodal datasets described in the literature, including imaging-based platelet analysis, transcriptomic profiling, and microfluidic simulations. Deep learning-enabled platelet image analysis systems were examined for their ability to extract high-resolution morphological and functional features (Kempster et al., 2022). Similarly, transcriptomic datasets were considered to capture molecular signatures associated with atherothrombotic risk (Pérez-Sánchez et al., 2021). Microfluidic platforms replicating vascular flow conditions were included as they provide physiologically relevant environments for studying platelet adhesion and aggregation dynamics (Kim et al., 2021). These diverse data sources were conceptually integrated to reflect real-world scenarios in which heterogeneous clinical and laboratory data inform thrombotic risk assessment.</w:t>
      </w:r>
    </w:p>
    <w:p w14:paraId="762E52F9" w14:textId="77777777" w:rsidR="002451DA" w:rsidRDefault="00801876" w:rsidP="00801876">
      <w:pPr>
        <w:pStyle w:val="Heading3"/>
        <w:jc w:val="both"/>
        <w:rPr>
          <w:rFonts w:eastAsia="Times New Roman"/>
        </w:rPr>
      </w:pPr>
      <w:r>
        <w:rPr>
          <w:rFonts w:eastAsia="Times New Roman"/>
        </w:rPr>
        <w:t>AI Modeling and Analytical Framework</w:t>
      </w:r>
    </w:p>
    <w:p w14:paraId="6A32193C" w14:textId="77777777" w:rsidR="002451DA" w:rsidRDefault="00801876" w:rsidP="00801876">
      <w:pPr>
        <w:pStyle w:val="NormalWeb"/>
        <w:jc w:val="both"/>
      </w:pPr>
      <w:r>
        <w:t xml:space="preserve">The analytical component focused on evaluating AI and machine learning methodologies applied to platelet dynamics and thrombotic risk prediction. Both supervised and reinforcement learning models were considered, reflecting their growing use in clinical risk stratification and decision support systems. Early multiscale models demonstrating the feasibility of machine learning in predicting platelet behavior were included as a conceptual foundation (Flamm et al., 2012). More recent approaches utilizing reinforcement learning were examined for their ability to dynamically </w:t>
      </w:r>
      <w:r>
        <w:lastRenderedPageBreak/>
        <w:t>adapt predictions based on evolving patient data and clinical variables (Bostani et al., 2023; Yala et al., 2022).</w:t>
      </w:r>
    </w:p>
    <w:p w14:paraId="1EFEF987" w14:textId="77777777" w:rsidR="002451DA" w:rsidRDefault="00801876" w:rsidP="00801876">
      <w:pPr>
        <w:pStyle w:val="NormalWeb"/>
        <w:jc w:val="both"/>
      </w:pPr>
      <w:r>
        <w:t>Computational thrombosis models were analyzed to understand how biological processes are translated into mathematical and algorithmic representations. These models incorporate hemodynamic parameters, platelet activation kinetics, and coagulation pathways to simulate thrombus formation under varying conditions (Gutiérrez et al., 2024). Building on this, AI-orchestrated platelet dynamics systems were explored as an advanced framework that integrates real-time data streams with predictive analytics, enabling continuous monitoring and risk estimation (Talha et al., 2025). Such systems align with emerging digital health models that leverage dynamic simulations for personalized medicine.</w:t>
      </w:r>
    </w:p>
    <w:p w14:paraId="36B764A5" w14:textId="77777777" w:rsidR="002451DA" w:rsidRDefault="00801876" w:rsidP="00801876">
      <w:pPr>
        <w:pStyle w:val="NormalWeb"/>
        <w:jc w:val="both"/>
      </w:pPr>
      <w:r>
        <w:t>Furthermore, studies focusing on AI applications in hemostasis and thrombosis were reviewed to evaluate their clinical relevance, performance metrics, and translational potential (Gresele, 2023; Rashidi et al., 2023). Particular attention was given to models designed for thromboembolic risk stratification, including dynamic digital platforms capable of integrating longitudinal patient data (Kang et al., 2026). The methodological synthesis also considered broader reviews of AI applications in thrombosis to identify common challenges such as data heterogeneity, model interpretability, and validation constraints (Altememi et al., 2025).</w:t>
      </w:r>
    </w:p>
    <w:p w14:paraId="349CD50D" w14:textId="77777777" w:rsidR="002451DA" w:rsidRDefault="002451DA" w:rsidP="00801876">
      <w:pPr>
        <w:pStyle w:val="NormalWeb"/>
        <w:jc w:val="both"/>
      </w:pPr>
    </w:p>
    <w:p w14:paraId="7FA615A8" w14:textId="77777777" w:rsidR="002451DA" w:rsidRDefault="00801876" w:rsidP="00801876">
      <w:pPr>
        <w:pStyle w:val="NormalWeb"/>
        <w:jc w:val="both"/>
        <w:rPr>
          <w:b/>
          <w:bCs/>
        </w:rPr>
      </w:pPr>
      <w:r>
        <w:rPr>
          <w:b/>
          <w:bCs/>
        </w:rPr>
        <w:t>Results</w:t>
      </w:r>
    </w:p>
    <w:p w14:paraId="2199C83E" w14:textId="77777777" w:rsidR="002451DA" w:rsidRDefault="00801876" w:rsidP="00801876">
      <w:pPr>
        <w:pStyle w:val="Heading3"/>
        <w:jc w:val="both"/>
        <w:rPr>
          <w:rFonts w:eastAsia="Times New Roman"/>
          <w:kern w:val="0"/>
          <w:sz w:val="27"/>
          <w:szCs w:val="27"/>
          <w14:ligatures w14:val="none"/>
        </w:rPr>
      </w:pPr>
      <w:r>
        <w:rPr>
          <w:rFonts w:eastAsia="Times New Roman"/>
        </w:rPr>
        <w:t>Performance of AI-Driven Platelet Modeling Systems</w:t>
      </w:r>
    </w:p>
    <w:p w14:paraId="23A3AFE4" w14:textId="77777777" w:rsidR="002451DA" w:rsidRDefault="00801876" w:rsidP="00801876">
      <w:pPr>
        <w:pStyle w:val="NormalWeb"/>
        <w:jc w:val="both"/>
      </w:pPr>
      <w:r>
        <w:t>The synthesis of the reviewed literature demonstrates substantial progress in the application of artificial intelligence (AI) to platelet dynamics and thrombotic risk prediction (Table 1). Across multiple studies, AI-driven models consistently outperformed traditional statistical approaches in handling complex, high-dimensional datasets derived from platelet biology and hemostatic processes. Early multiscale machine learning frameworks established the feasibility of predicting patient-specific platelet behavior, highlighting the potential of integrating biological and computational data (Flamm et al., 2012). Building on this foundation, more recent deep learning systems have enabled automated platelet image analysis, achieving high accuracy in identifying morphological and functional platelet features relevant to thrombus formation (Kempster et al., 2022).</w:t>
      </w:r>
    </w:p>
    <w:p w14:paraId="599F8E99" w14:textId="77777777" w:rsidR="002451DA" w:rsidRDefault="00801876" w:rsidP="00801876">
      <w:pPr>
        <w:pStyle w:val="NormalWeb"/>
        <w:jc w:val="both"/>
      </w:pPr>
      <w:r>
        <w:t>The integration of multimodal datasets further enhanced predictive performance, as summarized in Table 1. Studies incorporating transcriptomic data revealed that molecular signatures could significantly improve risk stratification for atherothrombotic events, particularly when combined with clinical variables (Pérez-Sánchez et al., 2021). Similarly, microfluidic-based experimental models provided physiologically relevant insights into platelet adhesion and aggregation under flow conditions, which, when integrated with AI algorithms, improved the simulation of real-world thrombotic processes (Kim et al., 2021). These findings underscore the value of combining biological, molecular, and biomechanical data in AI frameworks.</w:t>
      </w:r>
    </w:p>
    <w:p w14:paraId="592E7C71" w14:textId="77777777" w:rsidR="002451DA" w:rsidRDefault="00801876" w:rsidP="00801876">
      <w:pPr>
        <w:pStyle w:val="NormalWeb"/>
        <w:jc w:val="both"/>
      </w:pPr>
      <w:r>
        <w:lastRenderedPageBreak/>
        <w:t>Advanced machine learning techniques, including reinforcement learning, demonstrated the ability to dynamically adapt predictions based on evolving patient data (Table 1). Such models showed improved accuracy in cardiovascular risk prediction by continuously updating risk profiles in response to new inputs (Bostani et al., 2023; Yala et al., 2022). Furthermore, AI-orchestrated platelet dynamics analyzers were identified as a transformative innovation, enabling real-time monitoring and predictive modeling of thrombotic events through continuous data integration (Talha et al., 2025). Collectively, these approaches highlight the superior analytical capacity of AI systems in capturing the complexity of platelet-mediated thrombosis compared to conventional diagnostic methods.</w:t>
      </w:r>
    </w:p>
    <w:p w14:paraId="6768D45D" w14:textId="77777777" w:rsidR="002451DA" w:rsidRDefault="00801876" w:rsidP="00801876">
      <w:pPr>
        <w:pStyle w:val="Heading3"/>
        <w:jc w:val="both"/>
        <w:rPr>
          <w:rFonts w:eastAsia="Times New Roman"/>
        </w:rPr>
      </w:pPr>
      <w:r>
        <w:rPr>
          <w:rFonts w:eastAsia="Times New Roman"/>
        </w:rPr>
        <w:t>Translational Insights and Clinical Implications</w:t>
      </w:r>
    </w:p>
    <w:p w14:paraId="3BA7E168" w14:textId="77777777" w:rsidR="002451DA" w:rsidRDefault="00801876" w:rsidP="00801876">
      <w:pPr>
        <w:pStyle w:val="NormalWeb"/>
        <w:jc w:val="both"/>
      </w:pPr>
      <w:r>
        <w:t>Despite the promising performance of AI-driven models, the results also reveal a persistent gap between computational advancements and clinical implementation (Table 1). While several studies demonstrated high predictive accuracy and robust model performance, their translation into routine clinical practice remains limited. One major finding is the variability in data sources and model architectures, which complicates standardization and external validation across different healthcare settings (Gutiérrez et al., 2024). Additionally, although AI models have shown potential in risk stratification, their integration into clinical workflows is hindered by challenges related to interpretability and clinician trust (Gresele, 2023; Rashidi et al., 2023).</w:t>
      </w:r>
    </w:p>
    <w:p w14:paraId="327F22A8" w14:textId="77777777" w:rsidR="002451DA" w:rsidRDefault="00801876" w:rsidP="00801876">
      <w:pPr>
        <w:pStyle w:val="NormalWeb"/>
        <w:jc w:val="both"/>
      </w:pPr>
      <w:r>
        <w:t>Emerging diagnostic technologies and platelet function assays provide new opportunities for bridging this gap, as highlighted in Table 1. Advances in platelet-dysfunction diagnostics and laboratory testing have generated more precise and reproducible data, which can serve as reliable inputs for AI systems (Yoon et al., 2024; Le Blanc et al., 2020). Furthermore, recent studies on dynamic digital models demonstrated that AI can effectively stratify thromboembolic risk using longitudinal patient data, suggesting potential for real-time clinical decision support (Kang et al., 2026). These systems align with the broader shift toward precision medicine, where individualized risk prediction informs targeted therapeutic interventions.</w:t>
      </w:r>
    </w:p>
    <w:p w14:paraId="526152A2" w14:textId="77777777" w:rsidR="002451DA" w:rsidRDefault="00801876" w:rsidP="00801876">
      <w:pPr>
        <w:pStyle w:val="NormalWeb"/>
        <w:jc w:val="both"/>
      </w:pPr>
      <w:r>
        <w:t>However, the results also highlight key limitations that must be addressed to achieve successful translation (Table 1). Issues such as data heterogeneity, lack of large-scale validation studies, and regulatory uncertainties remain significant barriers. Additionally, ethical considerations surrounding data privacy and algorithmic bias were identified as critical factors influencing the adoption of AI in healthcare (Altememi et al., 2025). While AI applications in thrombosis and hemostasis continue to evolve, their clinical utility will depend on the development of standardized frameworks, robust validation strategies, and seamless integration with existing healthcare infrastructures.</w:t>
      </w:r>
    </w:p>
    <w:p w14:paraId="7AABF541" w14:textId="03B422C3" w:rsidR="002451DA" w:rsidRDefault="00801876" w:rsidP="00801876">
      <w:pPr>
        <w:pStyle w:val="NormalWeb"/>
        <w:jc w:val="both"/>
      </w:pPr>
      <w:r>
        <w:t xml:space="preserve">Overall, the findings indicate that AI-driven platelet dynamics modeling holds significant promise for improving thrombotic risk prediction. However, </w:t>
      </w:r>
      <w:proofErr w:type="spellStart"/>
      <w:r w:rsidR="005146C0" w:rsidRPr="00A26D72">
        <w:rPr>
          <w:highlight w:val="yellow"/>
        </w:rPr>
        <w:t>reali</w:t>
      </w:r>
      <w:r w:rsidR="005146C0" w:rsidRPr="00A26D72">
        <w:rPr>
          <w:highlight w:val="yellow"/>
        </w:rPr>
        <w:t>s</w:t>
      </w:r>
      <w:r w:rsidR="005146C0" w:rsidRPr="00A26D72">
        <w:rPr>
          <w:highlight w:val="yellow"/>
        </w:rPr>
        <w:t>ing</w:t>
      </w:r>
      <w:proofErr w:type="spellEnd"/>
      <w:r w:rsidR="005146C0" w:rsidRPr="00A26D72">
        <w:rPr>
          <w:highlight w:val="yellow"/>
        </w:rPr>
        <w:t xml:space="preserve"> </w:t>
      </w:r>
      <w:r w:rsidRPr="00A26D72">
        <w:rPr>
          <w:highlight w:val="yellow"/>
        </w:rPr>
        <w:t>this</w:t>
      </w:r>
      <w:r>
        <w:t xml:space="preserve"> potential requires overcoming translational challenges to ensure that these advanced computational tools can be effectively and safely implemented in clinical practice.</w:t>
      </w:r>
    </w:p>
    <w:p w14:paraId="31ECA7BD" w14:textId="77777777" w:rsidR="002451DA" w:rsidRDefault="002451DA" w:rsidP="00801876">
      <w:pPr>
        <w:jc w:val="both"/>
        <w:rPr>
          <w:rFonts w:eastAsia="Times New Roman"/>
        </w:rPr>
      </w:pPr>
    </w:p>
    <w:p w14:paraId="5EEBD181" w14:textId="77777777" w:rsidR="002451DA" w:rsidRDefault="00801876" w:rsidP="00801876">
      <w:pPr>
        <w:pStyle w:val="Heading3"/>
        <w:jc w:val="both"/>
        <w:rPr>
          <w:rFonts w:eastAsia="Times New Roman"/>
        </w:rPr>
      </w:pPr>
      <w:r>
        <w:rPr>
          <w:rStyle w:val="Strong"/>
          <w:rFonts w:eastAsia="Times New Roman"/>
        </w:rPr>
        <w:lastRenderedPageBreak/>
        <w:t>Table 1.</w:t>
      </w:r>
      <w:r>
        <w:rPr>
          <w:rStyle w:val="Strong"/>
          <w:rFonts w:eastAsia="Times New Roman"/>
          <w:b w:val="0"/>
          <w:bCs w:val="0"/>
        </w:rPr>
        <w:t xml:space="preserve"> Summary of AI Applications in Platelet Dynamics and Thrombotic Risk Prediction</w:t>
      </w:r>
    </w:p>
    <w:tbl>
      <w:tblPr>
        <w:tblStyle w:val="TableGrid"/>
        <w:tblW w:w="0" w:type="auto"/>
        <w:tblCellSpacing w:w="15" w:type="dxa"/>
        <w:tblLook w:val="0600" w:firstRow="0" w:lastRow="0" w:firstColumn="0" w:lastColumn="0" w:noHBand="1" w:noVBand="1"/>
      </w:tblPr>
      <w:tblGrid>
        <w:gridCol w:w="1665"/>
        <w:gridCol w:w="2022"/>
        <w:gridCol w:w="1727"/>
        <w:gridCol w:w="2127"/>
        <w:gridCol w:w="1809"/>
      </w:tblGrid>
      <w:tr w:rsidR="002451DA" w14:paraId="0EF70764" w14:textId="77777777">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7D12585" w14:textId="77777777" w:rsidR="002451DA" w:rsidRDefault="00801876" w:rsidP="00801876">
            <w:pPr>
              <w:jc w:val="both"/>
              <w:rPr>
                <w:rFonts w:eastAsia="Times New Roman"/>
                <w:b/>
                <w:bCs/>
              </w:rPr>
            </w:pPr>
            <w:r>
              <w:rPr>
                <w:rStyle w:val="Strong"/>
                <w:rFonts w:eastAsia="Times New Roman"/>
              </w:rPr>
              <w:t>Study/Author</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D99291F" w14:textId="77777777" w:rsidR="002451DA" w:rsidRDefault="00801876" w:rsidP="00801876">
            <w:pPr>
              <w:jc w:val="both"/>
              <w:rPr>
                <w:rFonts w:eastAsia="Times New Roman"/>
                <w:b/>
                <w:bCs/>
              </w:rPr>
            </w:pPr>
            <w:r>
              <w:rPr>
                <w:rStyle w:val="Strong"/>
                <w:rFonts w:eastAsia="Times New Roman"/>
              </w:rPr>
              <w:t>AI Approach/Model</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7CB60E2" w14:textId="77777777" w:rsidR="002451DA" w:rsidRDefault="00801876" w:rsidP="00801876">
            <w:pPr>
              <w:jc w:val="both"/>
              <w:rPr>
                <w:rFonts w:eastAsia="Times New Roman"/>
                <w:b/>
                <w:bCs/>
              </w:rPr>
            </w:pPr>
            <w:r>
              <w:rPr>
                <w:rStyle w:val="Strong"/>
                <w:rFonts w:eastAsia="Times New Roman"/>
              </w:rPr>
              <w:t>Data Type Used</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05070AE" w14:textId="77777777" w:rsidR="002451DA" w:rsidRDefault="00801876" w:rsidP="00801876">
            <w:pPr>
              <w:jc w:val="both"/>
              <w:rPr>
                <w:rFonts w:eastAsia="Times New Roman"/>
                <w:b/>
                <w:bCs/>
              </w:rPr>
            </w:pPr>
            <w:r>
              <w:rPr>
                <w:rStyle w:val="Strong"/>
                <w:rFonts w:eastAsia="Times New Roman"/>
              </w:rPr>
              <w:t>Key Findings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8FF8DFD" w14:textId="77777777" w:rsidR="002451DA" w:rsidRDefault="00801876" w:rsidP="00801876">
            <w:pPr>
              <w:jc w:val="both"/>
              <w:rPr>
                <w:rFonts w:eastAsia="Times New Roman"/>
                <w:b/>
                <w:bCs/>
              </w:rPr>
            </w:pPr>
            <w:r>
              <w:rPr>
                <w:rStyle w:val="Strong"/>
                <w:rFonts w:eastAsia="Times New Roman"/>
              </w:rPr>
              <w:t>Clinical Relevance</w:t>
            </w:r>
          </w:p>
        </w:tc>
      </w:tr>
      <w:tr w:rsidR="002451DA" w14:paraId="411D20B6"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5E3510F" w14:textId="77777777" w:rsidR="002451DA" w:rsidRDefault="00801876" w:rsidP="00801876">
            <w:pPr>
              <w:jc w:val="both"/>
              <w:rPr>
                <w:rFonts w:eastAsia="Times New Roman"/>
              </w:rPr>
            </w:pPr>
            <w:r>
              <w:rPr>
                <w:rFonts w:eastAsia="Times New Roman"/>
              </w:rPr>
              <w:t>Flamm et al. (2012)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CA97C18" w14:textId="77777777" w:rsidR="002451DA" w:rsidRDefault="00801876" w:rsidP="00801876">
            <w:pPr>
              <w:jc w:val="both"/>
              <w:rPr>
                <w:rFonts w:eastAsia="Times New Roman"/>
              </w:rPr>
            </w:pPr>
            <w:r>
              <w:rPr>
                <w:rFonts w:eastAsia="Times New Roman"/>
              </w:rPr>
              <w:t>Multiscale machine learning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D0AA825" w14:textId="77777777" w:rsidR="002451DA" w:rsidRDefault="00801876" w:rsidP="00801876">
            <w:pPr>
              <w:jc w:val="both"/>
              <w:rPr>
                <w:rFonts w:eastAsia="Times New Roman"/>
              </w:rPr>
            </w:pPr>
            <w:r>
              <w:rPr>
                <w:rFonts w:eastAsia="Times New Roman"/>
              </w:rPr>
              <w:t>Platelet function data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CE15DFE" w14:textId="77777777" w:rsidR="002451DA" w:rsidRDefault="00801876" w:rsidP="00801876">
            <w:pPr>
              <w:jc w:val="both"/>
              <w:rPr>
                <w:rFonts w:eastAsia="Times New Roman"/>
              </w:rPr>
            </w:pPr>
            <w:r>
              <w:rPr>
                <w:rFonts w:eastAsia="Times New Roman"/>
              </w:rPr>
              <w:t>Demonstrated feasibility of predicting patient-specific platelet behavior</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CDFCF36" w14:textId="77777777" w:rsidR="002451DA" w:rsidRDefault="00801876" w:rsidP="00801876">
            <w:pPr>
              <w:jc w:val="both"/>
              <w:rPr>
                <w:rFonts w:eastAsia="Times New Roman"/>
              </w:rPr>
            </w:pPr>
            <w:r>
              <w:rPr>
                <w:rFonts w:eastAsia="Times New Roman"/>
              </w:rPr>
              <w:t>Foundation for personalized thrombosis prediction</w:t>
            </w:r>
          </w:p>
        </w:tc>
      </w:tr>
      <w:tr w:rsidR="002451DA" w14:paraId="3492F3E1"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57CB4A5" w14:textId="77777777" w:rsidR="002451DA" w:rsidRDefault="00801876" w:rsidP="00801876">
            <w:pPr>
              <w:jc w:val="both"/>
              <w:rPr>
                <w:rFonts w:eastAsia="Times New Roman"/>
              </w:rPr>
            </w:pPr>
            <w:r>
              <w:rPr>
                <w:rFonts w:eastAsia="Times New Roman"/>
              </w:rPr>
              <w:t>Kempster et al. (2022)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C2ADF34" w14:textId="77777777" w:rsidR="002451DA" w:rsidRDefault="00801876" w:rsidP="00801876">
            <w:pPr>
              <w:jc w:val="both"/>
              <w:rPr>
                <w:rFonts w:eastAsia="Times New Roman"/>
              </w:rPr>
            </w:pPr>
            <w:r>
              <w:rPr>
                <w:rFonts w:eastAsia="Times New Roman"/>
              </w:rPr>
              <w:t>Deep learning (image analysis)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3C1AFBF" w14:textId="77777777" w:rsidR="002451DA" w:rsidRDefault="00801876" w:rsidP="00801876">
            <w:pPr>
              <w:jc w:val="both"/>
              <w:rPr>
                <w:rFonts w:eastAsia="Times New Roman"/>
              </w:rPr>
            </w:pPr>
            <w:r>
              <w:rPr>
                <w:rFonts w:eastAsia="Times New Roman"/>
              </w:rPr>
              <w:t>Platelet imaging data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88014EA" w14:textId="77777777" w:rsidR="002451DA" w:rsidRDefault="00801876" w:rsidP="00801876">
            <w:pPr>
              <w:jc w:val="both"/>
              <w:rPr>
                <w:rFonts w:eastAsia="Times New Roman"/>
              </w:rPr>
            </w:pPr>
            <w:r>
              <w:rPr>
                <w:rFonts w:eastAsia="Times New Roman"/>
              </w:rPr>
              <w:t>High accuracy in automated platelet morphology and function assessment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4AF4FBD" w14:textId="77777777" w:rsidR="002451DA" w:rsidRDefault="00801876" w:rsidP="00801876">
            <w:pPr>
              <w:jc w:val="both"/>
              <w:rPr>
                <w:rFonts w:eastAsia="Times New Roman"/>
              </w:rPr>
            </w:pPr>
            <w:r>
              <w:rPr>
                <w:rFonts w:eastAsia="Times New Roman"/>
              </w:rPr>
              <w:t>Enhances diagnostic precision</w:t>
            </w:r>
          </w:p>
        </w:tc>
      </w:tr>
      <w:tr w:rsidR="002451DA" w14:paraId="074F05C3"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4A2E000" w14:textId="77777777" w:rsidR="002451DA" w:rsidRDefault="00801876" w:rsidP="00801876">
            <w:pPr>
              <w:jc w:val="both"/>
              <w:rPr>
                <w:rFonts w:eastAsia="Times New Roman"/>
              </w:rPr>
            </w:pPr>
            <w:r>
              <w:rPr>
                <w:rFonts w:eastAsia="Times New Roman"/>
              </w:rPr>
              <w:t>Pérez-Sánchez et al. (2021)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7780AA2" w14:textId="77777777" w:rsidR="002451DA" w:rsidRDefault="00801876" w:rsidP="00801876">
            <w:pPr>
              <w:jc w:val="both"/>
              <w:rPr>
                <w:rFonts w:eastAsia="Times New Roman"/>
              </w:rPr>
            </w:pPr>
            <w:r>
              <w:rPr>
                <w:rFonts w:eastAsia="Times New Roman"/>
              </w:rPr>
              <w:t>Integrative AI models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33CD040" w14:textId="77777777" w:rsidR="002451DA" w:rsidRDefault="00801876" w:rsidP="00801876">
            <w:pPr>
              <w:jc w:val="both"/>
              <w:rPr>
                <w:rFonts w:eastAsia="Times New Roman"/>
              </w:rPr>
            </w:pPr>
            <w:r>
              <w:rPr>
                <w:rFonts w:eastAsia="Times New Roman"/>
              </w:rPr>
              <w:t>Transcriptomic + clinical data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F0E1A90" w14:textId="77777777" w:rsidR="002451DA" w:rsidRDefault="00801876" w:rsidP="00801876">
            <w:pPr>
              <w:jc w:val="both"/>
              <w:rPr>
                <w:rFonts w:eastAsia="Times New Roman"/>
              </w:rPr>
            </w:pPr>
            <w:r>
              <w:rPr>
                <w:rFonts w:eastAsia="Times New Roman"/>
              </w:rPr>
              <w:t>Improved atherothrombotic risk stratification using molecular signatures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B1DF50F" w14:textId="77777777" w:rsidR="002451DA" w:rsidRDefault="00801876" w:rsidP="00801876">
            <w:pPr>
              <w:jc w:val="both"/>
              <w:rPr>
                <w:rFonts w:eastAsia="Times New Roman"/>
              </w:rPr>
            </w:pPr>
            <w:r>
              <w:rPr>
                <w:rFonts w:eastAsia="Times New Roman"/>
              </w:rPr>
              <w:t>Supports precision medicine</w:t>
            </w:r>
          </w:p>
        </w:tc>
      </w:tr>
      <w:tr w:rsidR="002451DA" w14:paraId="11292B92"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D9CBDFD" w14:textId="77777777" w:rsidR="002451DA" w:rsidRDefault="00801876" w:rsidP="00801876">
            <w:pPr>
              <w:jc w:val="both"/>
              <w:rPr>
                <w:rFonts w:eastAsia="Times New Roman"/>
              </w:rPr>
            </w:pPr>
            <w:r>
              <w:rPr>
                <w:rFonts w:eastAsia="Times New Roman"/>
              </w:rPr>
              <w:t>Kim et al. (2021)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1317CF0" w14:textId="77777777" w:rsidR="002451DA" w:rsidRDefault="00801876" w:rsidP="00801876">
            <w:pPr>
              <w:jc w:val="both"/>
              <w:rPr>
                <w:rFonts w:eastAsia="Times New Roman"/>
              </w:rPr>
            </w:pPr>
            <w:r>
              <w:rPr>
                <w:rFonts w:eastAsia="Times New Roman"/>
              </w:rPr>
              <w:t>AI-integrated microfluidics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292B790" w14:textId="77777777" w:rsidR="002451DA" w:rsidRDefault="00801876" w:rsidP="00801876">
            <w:pPr>
              <w:jc w:val="both"/>
              <w:rPr>
                <w:rFonts w:eastAsia="Times New Roman"/>
              </w:rPr>
            </w:pPr>
            <w:r>
              <w:rPr>
                <w:rFonts w:eastAsia="Times New Roman"/>
              </w:rPr>
              <w:t>Flow-based experimental data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198E7E1" w14:textId="77777777" w:rsidR="002451DA" w:rsidRDefault="00801876" w:rsidP="00801876">
            <w:pPr>
              <w:jc w:val="both"/>
              <w:rPr>
                <w:rFonts w:eastAsia="Times New Roman"/>
              </w:rPr>
            </w:pPr>
            <w:r>
              <w:rPr>
                <w:rFonts w:eastAsia="Times New Roman"/>
              </w:rPr>
              <w:t>Improved simulation of platelet adhesion and aggregation under physiological conditions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2047C80" w14:textId="77777777" w:rsidR="002451DA" w:rsidRDefault="00801876" w:rsidP="00801876">
            <w:pPr>
              <w:jc w:val="both"/>
              <w:rPr>
                <w:rFonts w:eastAsia="Times New Roman"/>
              </w:rPr>
            </w:pPr>
            <w:r>
              <w:rPr>
                <w:rFonts w:eastAsia="Times New Roman"/>
              </w:rPr>
              <w:t>Better modeling of real-world thrombosis</w:t>
            </w:r>
          </w:p>
        </w:tc>
      </w:tr>
      <w:tr w:rsidR="002451DA" w14:paraId="2CFCB4D4"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379372F" w14:textId="77777777" w:rsidR="002451DA" w:rsidRDefault="00801876" w:rsidP="00801876">
            <w:pPr>
              <w:jc w:val="both"/>
              <w:rPr>
                <w:rFonts w:eastAsia="Times New Roman"/>
              </w:rPr>
            </w:pPr>
            <w:r>
              <w:rPr>
                <w:rFonts w:eastAsia="Times New Roman"/>
              </w:rPr>
              <w:t>Bostani et al. (2023)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C46FA4B" w14:textId="77777777" w:rsidR="002451DA" w:rsidRDefault="00801876" w:rsidP="00801876">
            <w:pPr>
              <w:jc w:val="both"/>
              <w:rPr>
                <w:rFonts w:eastAsia="Times New Roman"/>
              </w:rPr>
            </w:pPr>
            <w:r>
              <w:rPr>
                <w:rFonts w:eastAsia="Times New Roman"/>
              </w:rPr>
              <w:t>Reinforcement learning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9FCB83C" w14:textId="77777777" w:rsidR="002451DA" w:rsidRDefault="00801876" w:rsidP="00801876">
            <w:pPr>
              <w:jc w:val="both"/>
              <w:rPr>
                <w:rFonts w:eastAsia="Times New Roman"/>
              </w:rPr>
            </w:pPr>
            <w:r>
              <w:rPr>
                <w:rFonts w:eastAsia="Times New Roman"/>
              </w:rPr>
              <w:t>Clinical cardiovascular data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F3496FD" w14:textId="77777777" w:rsidR="002451DA" w:rsidRDefault="00801876" w:rsidP="00801876">
            <w:pPr>
              <w:jc w:val="both"/>
              <w:rPr>
                <w:rFonts w:eastAsia="Times New Roman"/>
              </w:rPr>
            </w:pPr>
            <w:r>
              <w:rPr>
                <w:rFonts w:eastAsia="Times New Roman"/>
              </w:rPr>
              <w:t>Dynamic adaptation of risk prediction models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F911C6F" w14:textId="77777777" w:rsidR="002451DA" w:rsidRDefault="00801876" w:rsidP="00801876">
            <w:pPr>
              <w:jc w:val="both"/>
              <w:rPr>
                <w:rFonts w:eastAsia="Times New Roman"/>
              </w:rPr>
            </w:pPr>
            <w:r>
              <w:rPr>
                <w:rFonts w:eastAsia="Times New Roman"/>
              </w:rPr>
              <w:t>Improved longitudinal risk prediction</w:t>
            </w:r>
          </w:p>
        </w:tc>
      </w:tr>
      <w:tr w:rsidR="002451DA" w14:paraId="763F0EEE"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5B1EF12" w14:textId="77777777" w:rsidR="002451DA" w:rsidRDefault="00801876" w:rsidP="00801876">
            <w:pPr>
              <w:jc w:val="both"/>
              <w:rPr>
                <w:rFonts w:eastAsia="Times New Roman"/>
              </w:rPr>
            </w:pPr>
            <w:r>
              <w:rPr>
                <w:rFonts w:eastAsia="Times New Roman"/>
              </w:rPr>
              <w:t>Yala et al. (2022)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62D7F5F" w14:textId="77777777" w:rsidR="002451DA" w:rsidRDefault="00801876" w:rsidP="00801876">
            <w:pPr>
              <w:jc w:val="both"/>
              <w:rPr>
                <w:rFonts w:eastAsia="Times New Roman"/>
              </w:rPr>
            </w:pPr>
            <w:r>
              <w:rPr>
                <w:rFonts w:eastAsia="Times New Roman"/>
              </w:rPr>
              <w:t>Reinforcement learning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A7C46D6" w14:textId="77777777" w:rsidR="002451DA" w:rsidRDefault="00801876" w:rsidP="00801876">
            <w:pPr>
              <w:jc w:val="both"/>
              <w:rPr>
                <w:rFonts w:eastAsia="Times New Roman"/>
              </w:rPr>
            </w:pPr>
            <w:r>
              <w:rPr>
                <w:rFonts w:eastAsia="Times New Roman"/>
              </w:rPr>
              <w:t>Clinical datasets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CB66C16" w14:textId="77777777" w:rsidR="002451DA" w:rsidRDefault="00801876" w:rsidP="00801876">
            <w:pPr>
              <w:jc w:val="both"/>
              <w:rPr>
                <w:rFonts w:eastAsia="Times New Roman"/>
              </w:rPr>
            </w:pPr>
            <w:r>
              <w:rPr>
                <w:rFonts w:eastAsia="Times New Roman"/>
              </w:rPr>
              <w:t>Continuous updating of patient risk profiles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D5D7ADC" w14:textId="77777777" w:rsidR="002451DA" w:rsidRDefault="00801876" w:rsidP="00801876">
            <w:pPr>
              <w:jc w:val="both"/>
              <w:rPr>
                <w:rFonts w:eastAsia="Times New Roman"/>
              </w:rPr>
            </w:pPr>
            <w:r>
              <w:rPr>
                <w:rFonts w:eastAsia="Times New Roman"/>
              </w:rPr>
              <w:t>Enhances clinical decision-making</w:t>
            </w:r>
          </w:p>
        </w:tc>
      </w:tr>
      <w:tr w:rsidR="002451DA" w14:paraId="581EB28C"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C2CA576" w14:textId="77777777" w:rsidR="002451DA" w:rsidRDefault="00801876" w:rsidP="00801876">
            <w:pPr>
              <w:jc w:val="both"/>
              <w:rPr>
                <w:rFonts w:eastAsia="Times New Roman"/>
              </w:rPr>
            </w:pPr>
            <w:r>
              <w:rPr>
                <w:rFonts w:eastAsia="Times New Roman"/>
              </w:rPr>
              <w:lastRenderedPageBreak/>
              <w:t>Talha et al. (2025)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7D49A61" w14:textId="77777777" w:rsidR="002451DA" w:rsidRDefault="00801876" w:rsidP="00801876">
            <w:pPr>
              <w:jc w:val="both"/>
              <w:rPr>
                <w:rFonts w:eastAsia="Times New Roman"/>
              </w:rPr>
            </w:pPr>
            <w:r>
              <w:rPr>
                <w:rFonts w:eastAsia="Times New Roman"/>
              </w:rPr>
              <w:t>AI-orchestrated platelet dynamics systems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2332E1E" w14:textId="77777777" w:rsidR="002451DA" w:rsidRDefault="00801876" w:rsidP="00801876">
            <w:pPr>
              <w:jc w:val="both"/>
              <w:rPr>
                <w:rFonts w:eastAsia="Times New Roman"/>
              </w:rPr>
            </w:pPr>
            <w:r>
              <w:rPr>
                <w:rFonts w:eastAsia="Times New Roman"/>
              </w:rPr>
              <w:t>Multimodal real-time data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07CF531" w14:textId="77777777" w:rsidR="002451DA" w:rsidRDefault="00801876" w:rsidP="00801876">
            <w:pPr>
              <w:jc w:val="both"/>
              <w:rPr>
                <w:rFonts w:eastAsia="Times New Roman"/>
              </w:rPr>
            </w:pPr>
            <w:r>
              <w:rPr>
                <w:rFonts w:eastAsia="Times New Roman"/>
              </w:rPr>
              <w:t>Enabled real-time thrombotic risk monitoring and prediction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4D7066F" w14:textId="77777777" w:rsidR="002451DA" w:rsidRDefault="00801876" w:rsidP="00801876">
            <w:pPr>
              <w:jc w:val="both"/>
              <w:rPr>
                <w:rFonts w:eastAsia="Times New Roman"/>
              </w:rPr>
            </w:pPr>
            <w:r>
              <w:rPr>
                <w:rFonts w:eastAsia="Times New Roman"/>
              </w:rPr>
              <w:t>Transformative approach to disease management</w:t>
            </w:r>
          </w:p>
        </w:tc>
      </w:tr>
      <w:tr w:rsidR="002451DA" w14:paraId="7F976267"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CB496FA" w14:textId="77777777" w:rsidR="002451DA" w:rsidRDefault="00801876" w:rsidP="00801876">
            <w:pPr>
              <w:jc w:val="both"/>
              <w:rPr>
                <w:rFonts w:eastAsia="Times New Roman"/>
              </w:rPr>
            </w:pPr>
            <w:r>
              <w:rPr>
                <w:rFonts w:eastAsia="Times New Roman"/>
              </w:rPr>
              <w:t>Gutiérrez et al. (2024)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710C0CD" w14:textId="77777777" w:rsidR="002451DA" w:rsidRDefault="00801876" w:rsidP="00801876">
            <w:pPr>
              <w:jc w:val="both"/>
              <w:rPr>
                <w:rFonts w:eastAsia="Times New Roman"/>
              </w:rPr>
            </w:pPr>
            <w:r>
              <w:rPr>
                <w:rFonts w:eastAsia="Times New Roman"/>
              </w:rPr>
              <w:t>Computational thrombosis modeling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8C132FE" w14:textId="77777777" w:rsidR="002451DA" w:rsidRDefault="00801876" w:rsidP="00801876">
            <w:pPr>
              <w:jc w:val="both"/>
              <w:rPr>
                <w:rFonts w:eastAsia="Times New Roman"/>
              </w:rPr>
            </w:pPr>
            <w:r>
              <w:rPr>
                <w:rFonts w:eastAsia="Times New Roman"/>
              </w:rPr>
              <w:t>Simulated biological data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6CE0ECB" w14:textId="77777777" w:rsidR="002451DA" w:rsidRDefault="00801876" w:rsidP="00801876">
            <w:pPr>
              <w:jc w:val="both"/>
              <w:rPr>
                <w:rFonts w:eastAsia="Times New Roman"/>
              </w:rPr>
            </w:pPr>
            <w:r>
              <w:rPr>
                <w:rFonts w:eastAsia="Times New Roman"/>
              </w:rPr>
              <w:t>Highlighted variability in models and need for standardization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A1A5764" w14:textId="77777777" w:rsidR="002451DA" w:rsidRDefault="00801876" w:rsidP="00801876">
            <w:pPr>
              <w:jc w:val="both"/>
              <w:rPr>
                <w:rFonts w:eastAsia="Times New Roman"/>
              </w:rPr>
            </w:pPr>
            <w:r>
              <w:rPr>
                <w:rFonts w:eastAsia="Times New Roman"/>
              </w:rPr>
              <w:t>Limits generalizability</w:t>
            </w:r>
          </w:p>
        </w:tc>
      </w:tr>
      <w:tr w:rsidR="002451DA" w14:paraId="0FDC4E97"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DA709C5" w14:textId="77777777" w:rsidR="002451DA" w:rsidRDefault="00801876" w:rsidP="00801876">
            <w:pPr>
              <w:jc w:val="both"/>
              <w:rPr>
                <w:rFonts w:eastAsia="Times New Roman"/>
              </w:rPr>
            </w:pPr>
            <w:r>
              <w:rPr>
                <w:rFonts w:eastAsia="Times New Roman"/>
              </w:rPr>
              <w:t>Gresele (2023)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C2EAA40" w14:textId="77777777" w:rsidR="002451DA" w:rsidRDefault="00801876" w:rsidP="00801876">
            <w:pPr>
              <w:jc w:val="both"/>
              <w:rPr>
                <w:rFonts w:eastAsia="Times New Roman"/>
              </w:rPr>
            </w:pPr>
            <w:r>
              <w:rPr>
                <w:rFonts w:eastAsia="Times New Roman"/>
              </w:rPr>
              <w:t>AI in hemostasis review</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5463170" w14:textId="77777777" w:rsidR="002451DA" w:rsidRDefault="00801876" w:rsidP="00801876">
            <w:pPr>
              <w:jc w:val="both"/>
              <w:rPr>
                <w:rFonts w:eastAsia="Times New Roman"/>
              </w:rPr>
            </w:pPr>
            <w:r>
              <w:rPr>
                <w:rFonts w:eastAsia="Times New Roman"/>
              </w:rPr>
              <w:t>Mixed datasets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0E38DDF" w14:textId="77777777" w:rsidR="002451DA" w:rsidRDefault="00801876" w:rsidP="00801876">
            <w:pPr>
              <w:jc w:val="both"/>
              <w:rPr>
                <w:rFonts w:eastAsia="Times New Roman"/>
              </w:rPr>
            </w:pPr>
            <w:r>
              <w:rPr>
                <w:rFonts w:eastAsia="Times New Roman"/>
              </w:rPr>
              <w:t>Identified challenges in interpretability and clinical integration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4C68B56" w14:textId="77777777" w:rsidR="002451DA" w:rsidRDefault="00801876" w:rsidP="00801876">
            <w:pPr>
              <w:jc w:val="both"/>
              <w:rPr>
                <w:rFonts w:eastAsia="Times New Roman"/>
              </w:rPr>
            </w:pPr>
            <w:r>
              <w:rPr>
                <w:rFonts w:eastAsia="Times New Roman"/>
              </w:rPr>
              <w:t>Affects clinician adoption</w:t>
            </w:r>
          </w:p>
        </w:tc>
      </w:tr>
      <w:tr w:rsidR="002451DA" w14:paraId="5D145C72"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1BFC35C" w14:textId="77777777" w:rsidR="002451DA" w:rsidRDefault="00801876" w:rsidP="00801876">
            <w:pPr>
              <w:jc w:val="both"/>
              <w:rPr>
                <w:rFonts w:eastAsia="Times New Roman"/>
              </w:rPr>
            </w:pPr>
            <w:r>
              <w:rPr>
                <w:rFonts w:eastAsia="Times New Roman"/>
              </w:rPr>
              <w:t>Rashidi et al. (2023)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4B6655C" w14:textId="77777777" w:rsidR="002451DA" w:rsidRDefault="00801876" w:rsidP="00801876">
            <w:pPr>
              <w:jc w:val="both"/>
              <w:rPr>
                <w:rFonts w:eastAsia="Times New Roman"/>
              </w:rPr>
            </w:pPr>
            <w:r>
              <w:rPr>
                <w:rFonts w:eastAsia="Times New Roman"/>
              </w:rPr>
              <w:t>Machine learning frameworks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45B3217" w14:textId="77777777" w:rsidR="002451DA" w:rsidRDefault="00801876" w:rsidP="00801876">
            <w:pPr>
              <w:jc w:val="both"/>
              <w:rPr>
                <w:rFonts w:eastAsia="Times New Roman"/>
              </w:rPr>
            </w:pPr>
            <w:r>
              <w:rPr>
                <w:rFonts w:eastAsia="Times New Roman"/>
              </w:rPr>
              <w:t>Hemostasis data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99D9AFD" w14:textId="77777777" w:rsidR="002451DA" w:rsidRDefault="00801876" w:rsidP="00801876">
            <w:pPr>
              <w:jc w:val="both"/>
              <w:rPr>
                <w:rFonts w:eastAsia="Times New Roman"/>
              </w:rPr>
            </w:pPr>
            <w:r>
              <w:rPr>
                <w:rFonts w:eastAsia="Times New Roman"/>
              </w:rPr>
              <w:t>Emphasized future directions and limitations of AI models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E4F8E56" w14:textId="77777777" w:rsidR="002451DA" w:rsidRDefault="00801876" w:rsidP="00801876">
            <w:pPr>
              <w:jc w:val="both"/>
              <w:rPr>
                <w:rFonts w:eastAsia="Times New Roman"/>
              </w:rPr>
            </w:pPr>
            <w:r>
              <w:rPr>
                <w:rFonts w:eastAsia="Times New Roman"/>
              </w:rPr>
              <w:t>Guides future research</w:t>
            </w:r>
          </w:p>
        </w:tc>
      </w:tr>
      <w:tr w:rsidR="002451DA" w14:paraId="4BF3A915"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12B6E22" w14:textId="77777777" w:rsidR="002451DA" w:rsidRDefault="00801876" w:rsidP="00801876">
            <w:pPr>
              <w:jc w:val="both"/>
              <w:rPr>
                <w:rFonts w:eastAsia="Times New Roman"/>
              </w:rPr>
            </w:pPr>
            <w:r>
              <w:rPr>
                <w:rFonts w:eastAsia="Times New Roman"/>
              </w:rPr>
              <w:t>Yoon et al. (2024)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A2CFDB2" w14:textId="77777777" w:rsidR="002451DA" w:rsidRDefault="00801876" w:rsidP="00801876">
            <w:pPr>
              <w:jc w:val="both"/>
              <w:rPr>
                <w:rFonts w:eastAsia="Times New Roman"/>
              </w:rPr>
            </w:pPr>
            <w:r>
              <w:rPr>
                <w:rFonts w:eastAsia="Times New Roman"/>
              </w:rPr>
              <w:t>Diagnostic AI technologies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B0D6C82" w14:textId="77777777" w:rsidR="002451DA" w:rsidRDefault="00801876" w:rsidP="00801876">
            <w:pPr>
              <w:jc w:val="both"/>
              <w:rPr>
                <w:rFonts w:eastAsia="Times New Roman"/>
              </w:rPr>
            </w:pPr>
            <w:r>
              <w:rPr>
                <w:rFonts w:eastAsia="Times New Roman"/>
              </w:rPr>
              <w:t>Platelet function assays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D087EB5" w14:textId="77777777" w:rsidR="002451DA" w:rsidRDefault="00801876" w:rsidP="00801876">
            <w:pPr>
              <w:jc w:val="both"/>
              <w:rPr>
                <w:rFonts w:eastAsia="Times New Roman"/>
              </w:rPr>
            </w:pPr>
            <w:r>
              <w:rPr>
                <w:rFonts w:eastAsia="Times New Roman"/>
              </w:rPr>
              <w:t>Improved accuracy and reproducibility of platelet diagnostics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9F1CA87" w14:textId="77777777" w:rsidR="002451DA" w:rsidRDefault="00801876" w:rsidP="00801876">
            <w:pPr>
              <w:jc w:val="both"/>
              <w:rPr>
                <w:rFonts w:eastAsia="Times New Roman"/>
              </w:rPr>
            </w:pPr>
            <w:r>
              <w:rPr>
                <w:rFonts w:eastAsia="Times New Roman"/>
              </w:rPr>
              <w:t>Better input data for AI systems</w:t>
            </w:r>
          </w:p>
        </w:tc>
      </w:tr>
      <w:tr w:rsidR="002451DA" w14:paraId="1996D8C0"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DAA7733" w14:textId="77777777" w:rsidR="002451DA" w:rsidRDefault="00801876" w:rsidP="00801876">
            <w:pPr>
              <w:jc w:val="both"/>
              <w:rPr>
                <w:rFonts w:eastAsia="Times New Roman"/>
              </w:rPr>
            </w:pPr>
            <w:r>
              <w:rPr>
                <w:rFonts w:eastAsia="Times New Roman"/>
              </w:rPr>
              <w:t>Le Blanc et al. (2020)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FABC0EE" w14:textId="77777777" w:rsidR="002451DA" w:rsidRDefault="00801876" w:rsidP="00801876">
            <w:pPr>
              <w:jc w:val="both"/>
              <w:rPr>
                <w:rFonts w:eastAsia="Times New Roman"/>
              </w:rPr>
            </w:pPr>
            <w:r>
              <w:rPr>
                <w:rFonts w:eastAsia="Times New Roman"/>
              </w:rPr>
              <w:t>Conventional + advanced assays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B156FC3" w14:textId="77777777" w:rsidR="002451DA" w:rsidRDefault="00801876" w:rsidP="00801876">
            <w:pPr>
              <w:jc w:val="both"/>
              <w:rPr>
                <w:rFonts w:eastAsia="Times New Roman"/>
              </w:rPr>
            </w:pPr>
            <w:r>
              <w:rPr>
                <w:rFonts w:eastAsia="Times New Roman"/>
              </w:rPr>
              <w:t>Laboratory platelet testing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06D44B5" w14:textId="77777777" w:rsidR="002451DA" w:rsidRDefault="00801876" w:rsidP="00801876">
            <w:pPr>
              <w:jc w:val="both"/>
              <w:rPr>
                <w:rFonts w:eastAsia="Times New Roman"/>
              </w:rPr>
            </w:pPr>
            <w:r>
              <w:rPr>
                <w:rFonts w:eastAsia="Times New Roman"/>
              </w:rPr>
              <w:t>Highlighted limitations of traditional platelet function tests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AF1CECA" w14:textId="77777777" w:rsidR="002451DA" w:rsidRDefault="00801876" w:rsidP="00801876">
            <w:pPr>
              <w:jc w:val="both"/>
              <w:rPr>
                <w:rFonts w:eastAsia="Times New Roman"/>
              </w:rPr>
            </w:pPr>
            <w:r>
              <w:rPr>
                <w:rFonts w:eastAsia="Times New Roman"/>
              </w:rPr>
              <w:t>Need for AI augmentation</w:t>
            </w:r>
          </w:p>
        </w:tc>
      </w:tr>
      <w:tr w:rsidR="002451DA" w14:paraId="729F101E"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B060E86" w14:textId="77777777" w:rsidR="002451DA" w:rsidRDefault="00801876" w:rsidP="00801876">
            <w:pPr>
              <w:jc w:val="both"/>
              <w:rPr>
                <w:rFonts w:eastAsia="Times New Roman"/>
              </w:rPr>
            </w:pPr>
            <w:r>
              <w:rPr>
                <w:rFonts w:eastAsia="Times New Roman"/>
              </w:rPr>
              <w:t>Kang et al. (2026)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267FD2D" w14:textId="77777777" w:rsidR="002451DA" w:rsidRDefault="00801876" w:rsidP="00801876">
            <w:pPr>
              <w:jc w:val="both"/>
              <w:rPr>
                <w:rFonts w:eastAsia="Times New Roman"/>
              </w:rPr>
            </w:pPr>
            <w:r>
              <w:rPr>
                <w:rFonts w:eastAsia="Times New Roman"/>
              </w:rPr>
              <w:t>Dynamic AI risk models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A6880AA" w14:textId="77777777" w:rsidR="002451DA" w:rsidRDefault="00801876" w:rsidP="00801876">
            <w:pPr>
              <w:jc w:val="both"/>
              <w:rPr>
                <w:rFonts w:eastAsia="Times New Roman"/>
              </w:rPr>
            </w:pPr>
            <w:r>
              <w:rPr>
                <w:rFonts w:eastAsia="Times New Roman"/>
              </w:rPr>
              <w:t>Longitudinal patient data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61CC105" w14:textId="77777777" w:rsidR="002451DA" w:rsidRDefault="00801876" w:rsidP="00801876">
            <w:pPr>
              <w:jc w:val="both"/>
              <w:rPr>
                <w:rFonts w:eastAsia="Times New Roman"/>
              </w:rPr>
            </w:pPr>
            <w:r>
              <w:rPr>
                <w:rFonts w:eastAsia="Times New Roman"/>
              </w:rPr>
              <w:t>Effective thromboembolic risk stratification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8258654" w14:textId="77777777" w:rsidR="002451DA" w:rsidRDefault="00801876" w:rsidP="00801876">
            <w:pPr>
              <w:jc w:val="both"/>
              <w:rPr>
                <w:rFonts w:eastAsia="Times New Roman"/>
              </w:rPr>
            </w:pPr>
            <w:r>
              <w:rPr>
                <w:rFonts w:eastAsia="Times New Roman"/>
              </w:rPr>
              <w:t>Supports real-time clinical decisions</w:t>
            </w:r>
          </w:p>
        </w:tc>
      </w:tr>
      <w:tr w:rsidR="002451DA" w14:paraId="15E751CA"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B3A334D" w14:textId="77777777" w:rsidR="002451DA" w:rsidRDefault="00801876" w:rsidP="00801876">
            <w:pPr>
              <w:jc w:val="both"/>
              <w:rPr>
                <w:rFonts w:eastAsia="Times New Roman"/>
              </w:rPr>
            </w:pPr>
            <w:r>
              <w:rPr>
                <w:rFonts w:eastAsia="Times New Roman"/>
              </w:rPr>
              <w:lastRenderedPageBreak/>
              <w:t>Altememi et al. (2025)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2CEFA18" w14:textId="77777777" w:rsidR="002451DA" w:rsidRDefault="00801876" w:rsidP="00801876">
            <w:pPr>
              <w:jc w:val="both"/>
              <w:rPr>
                <w:rFonts w:eastAsia="Times New Roman"/>
              </w:rPr>
            </w:pPr>
            <w:r>
              <w:rPr>
                <w:rFonts w:eastAsia="Times New Roman"/>
              </w:rPr>
              <w:t>AI scoping review</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95D64DA" w14:textId="77777777" w:rsidR="002451DA" w:rsidRDefault="00801876" w:rsidP="00801876">
            <w:pPr>
              <w:jc w:val="both"/>
              <w:rPr>
                <w:rFonts w:eastAsia="Times New Roman"/>
              </w:rPr>
            </w:pPr>
            <w:r>
              <w:rPr>
                <w:rFonts w:eastAsia="Times New Roman"/>
              </w:rPr>
              <w:t>Clinical &amp; lab data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EF2DBE2" w14:textId="77777777" w:rsidR="002451DA" w:rsidRDefault="00801876" w:rsidP="00801876">
            <w:pPr>
              <w:jc w:val="both"/>
              <w:rPr>
                <w:rFonts w:eastAsia="Times New Roman"/>
              </w:rPr>
            </w:pPr>
            <w:r>
              <w:rPr>
                <w:rFonts w:eastAsia="Times New Roman"/>
              </w:rPr>
              <w:t>Identified barriers: data heterogeneity, ethics, and regulation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5EA3B07" w14:textId="77777777" w:rsidR="002451DA" w:rsidRDefault="00801876" w:rsidP="00801876">
            <w:pPr>
              <w:jc w:val="both"/>
              <w:rPr>
                <w:rFonts w:eastAsia="Times New Roman"/>
              </w:rPr>
            </w:pPr>
            <w:r>
              <w:rPr>
                <w:rFonts w:eastAsia="Times New Roman"/>
              </w:rPr>
              <w:t>Highlights translational challenges</w:t>
            </w:r>
          </w:p>
        </w:tc>
      </w:tr>
    </w:tbl>
    <w:p w14:paraId="6639687B" w14:textId="77777777" w:rsidR="002451DA" w:rsidRDefault="00801876" w:rsidP="00801876">
      <w:pPr>
        <w:jc w:val="both"/>
        <w:rPr>
          <w:rFonts w:eastAsia="Times New Roman"/>
        </w:rPr>
      </w:pPr>
      <w:r>
        <w:rPr>
          <w:rFonts w:eastAsia="Times New Roman"/>
          <w:noProof/>
        </w:rPr>
        <mc:AlternateContent>
          <mc:Choice Requires="wps">
            <w:drawing>
              <wp:inline distT="0" distB="0" distL="0" distR="0" wp14:anchorId="4C0DDB5E" wp14:editId="4AA58BBA">
                <wp:extent cx="5943600" cy="1270"/>
                <wp:effectExtent l="0" t="31750" r="0" b="36830"/>
                <wp:docPr id="102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rect id="1028" filled="f" stroked="t" style="margin-left:0.0pt;margin-top:0.0pt;width:468.0pt;height:0.1pt;mso-wrap-distance-left:0.0pt;mso-wrap-distance-right:0.0pt;visibility:visible;">
                <w10:anchorlock/>
                <v:stroke joinstyle="miter"/>
                <v:fill rotate="true"/>
              </v:rect>
            </w:pict>
          </mc:Fallback>
        </mc:AlternateContent>
      </w:r>
    </w:p>
    <w:p w14:paraId="436A1611" w14:textId="77777777" w:rsidR="002451DA" w:rsidRDefault="002451DA" w:rsidP="00801876">
      <w:pPr>
        <w:pStyle w:val="NormalWeb"/>
        <w:jc w:val="both"/>
      </w:pPr>
    </w:p>
    <w:p w14:paraId="57DD6CC8" w14:textId="77777777" w:rsidR="002451DA" w:rsidRDefault="00801876" w:rsidP="00801876">
      <w:pPr>
        <w:pStyle w:val="NormalWeb"/>
        <w:jc w:val="both"/>
      </w:pPr>
      <w:r>
        <w:rPr>
          <w:b/>
          <w:bCs/>
        </w:rPr>
        <w:t>Discussion</w:t>
      </w:r>
      <w:r>
        <w:t xml:space="preserve"> </w:t>
      </w:r>
    </w:p>
    <w:p w14:paraId="64A30FFE" w14:textId="77777777" w:rsidR="002451DA" w:rsidRDefault="00801876" w:rsidP="00801876">
      <w:pPr>
        <w:pStyle w:val="NormalWeb"/>
        <w:jc w:val="both"/>
      </w:pPr>
      <w:r>
        <w:t>The present study highlights the transformative potential of artificial intelligence (AI) in advancing the understanding and clinical application of platelet dynamics for thrombotic risk prediction, while simultaneously underscoring the persistent translational challenges that hinder its full integration into routine practice. The findings demonstrate that AI-driven approaches, particularly those incorporating machine learning and deep learning techniques, offer a substantial improvement over traditional statistical models in capturing the complexity of platelet-mediated thrombosis. This superiority largely stems from the ability of AI systems to process high-dimensional, heterogeneous datasets and uncover nonlinear relationships that are often inaccessible through conventional analytical methods (Altememi et al., 2025; Rashidi et al., 2023).</w:t>
      </w:r>
    </w:p>
    <w:p w14:paraId="5EA96D38" w14:textId="044E42CC" w:rsidR="002451DA" w:rsidRDefault="00801876" w:rsidP="00801876">
      <w:pPr>
        <w:pStyle w:val="NormalWeb"/>
        <w:jc w:val="both"/>
      </w:pPr>
      <w:r>
        <w:t xml:space="preserve">One of the central insights from this synthesis is the importance of platelet biology as a dynamic and multifactorial process that necessitates equally sophisticated analytical tools. Platelets are not merely passive participants in hemostasis but active regulators of vascular integrity, inflammation, and thrombosis through intricate </w:t>
      </w:r>
      <w:proofErr w:type="spellStart"/>
      <w:r w:rsidRPr="00A26D72">
        <w:rPr>
          <w:highlight w:val="yellow"/>
        </w:rPr>
        <w:t>signa</w:t>
      </w:r>
      <w:r w:rsidR="005146C0" w:rsidRPr="00A26D72">
        <w:rPr>
          <w:highlight w:val="yellow"/>
        </w:rPr>
        <w:t>l</w:t>
      </w:r>
      <w:r w:rsidRPr="00A26D72">
        <w:rPr>
          <w:highlight w:val="yellow"/>
        </w:rPr>
        <w:t>ling</w:t>
      </w:r>
      <w:proofErr w:type="spellEnd"/>
      <w:r w:rsidRPr="00A26D72">
        <w:rPr>
          <w:highlight w:val="yellow"/>
        </w:rPr>
        <w:t xml:space="preserve"> networks </w:t>
      </w:r>
      <w:r>
        <w:t xml:space="preserve">(Tian et al., 2025). Traditional platelet function tests, such as light transmission aggregometry, provide valuable but limited snapshots of platelet activity, often failing to account for temporal variations and the influence of hemodynamic forces (Le Blanc et al., 2020). In contrast, AI-driven models, particularly those integrating data from microfluidic systems and high-resolution imaging, enable a more comprehensive representation of platelet </w:t>
      </w:r>
      <w:proofErr w:type="spellStart"/>
      <w:r w:rsidRPr="00A26D72">
        <w:rPr>
          <w:highlight w:val="yellow"/>
        </w:rPr>
        <w:t>behavio</w:t>
      </w:r>
      <w:r w:rsidR="005146C0" w:rsidRPr="00A26D72">
        <w:rPr>
          <w:highlight w:val="yellow"/>
        </w:rPr>
        <w:t>u</w:t>
      </w:r>
      <w:r w:rsidRPr="00A26D72">
        <w:rPr>
          <w:highlight w:val="yellow"/>
        </w:rPr>
        <w:t>r</w:t>
      </w:r>
      <w:proofErr w:type="spellEnd"/>
      <w:r w:rsidRPr="00A26D72">
        <w:rPr>
          <w:highlight w:val="yellow"/>
        </w:rPr>
        <w:t xml:space="preserve"> und</w:t>
      </w:r>
      <w:r>
        <w:t>er physiologically relevant conditions (Kim et al., 2021; Kempster et al., 2022). This shift from static to dynamic modeling represents a critical advancement in the field.</w:t>
      </w:r>
    </w:p>
    <w:p w14:paraId="24CFF767" w14:textId="77777777" w:rsidR="002451DA" w:rsidRDefault="00801876" w:rsidP="00801876">
      <w:pPr>
        <w:pStyle w:val="NormalWeb"/>
        <w:jc w:val="both"/>
      </w:pPr>
      <w:r>
        <w:t xml:space="preserve">The integration of multimodal data emerges as another key theme in this discussion. The incorporation of transcriptomic, imaging, and clinical datasets allows for a more holistic assessment of thrombotic risk, reflecting the multifaceted nature of platelet function and vascular pathology. For instance, transcriptomic analyses have identified molecular signatures associated with atherothrombosis, which, when combined with AI algorithms, enhance predictive accuracy and enable more precise risk stratification (Pérez-Sánchez et al., 2021). Similarly, microfluidic platforms provide insights into platelet adhesion and aggregation under flow conditions, offering a bridge between in vitro experimentation and in vivo physiology (Kim et al., 2021). The </w:t>
      </w:r>
      <w:r>
        <w:lastRenderedPageBreak/>
        <w:t>convergence of these diverse data streams within AI frameworks underscores the growing importance of systems biology approaches in modern thrombosis research.</w:t>
      </w:r>
    </w:p>
    <w:p w14:paraId="59530022" w14:textId="77777777" w:rsidR="002451DA" w:rsidRDefault="00801876" w:rsidP="00801876">
      <w:pPr>
        <w:pStyle w:val="NormalWeb"/>
        <w:jc w:val="both"/>
      </w:pPr>
      <w:r>
        <w:t>Reinforcement learning and other adaptive AI methodologies further extend the capabilities of predictive modeling by introducing dynamic, real-time learning mechanisms. Unlike traditional models that rely on static datasets, reinforcement learning algorithms continuously update predictions based on new data inputs, thereby improving accuracy and clinical relevance over time (Bostani et al., 2023; Yala et al., 2022). This is particularly important in the context of thrombotic diseases, where risk profiles can evolve rapidly due to changes in clinical status, treatment interventions, or environmental factors. The emergence of AI-orchestrated platelet dynamics analyzers represents a culmination of these advancements, integrating real-time data acquisition, computational modeling, and predictive analytics into a unified platform capable of monitoring and anticipating thrombotic events (Talha et al., 2025).</w:t>
      </w:r>
    </w:p>
    <w:p w14:paraId="603910C2" w14:textId="77777777" w:rsidR="002451DA" w:rsidRDefault="00801876" w:rsidP="00801876">
      <w:pPr>
        <w:pStyle w:val="NormalWeb"/>
        <w:jc w:val="both"/>
      </w:pPr>
      <w:r>
        <w:t>Despite these promising developments, the study also highlights significant barriers that impede the translation of AI innovations into clinical practice. One of the most prominent challenges is the lack of standardization in data collection, model development, and validation processes. The heterogeneity of datasets, ranging from laboratory-based assays to clinical and omics data, introduces variability that complicates model generalizability and reproducibility (Gutiérrez et al., 2024). Furthermore, many AI models are developed using relatively small or highly specific datasets, limiting their applicability across diverse patient populations and healthcare settings. Addressing these issues will require the establishment of standardized protocols and large-scale, multicenter datasets that can support robust model validation.</w:t>
      </w:r>
    </w:p>
    <w:p w14:paraId="0844DEB6" w14:textId="77777777" w:rsidR="002451DA" w:rsidRDefault="00801876" w:rsidP="00801876">
      <w:pPr>
        <w:pStyle w:val="NormalWeb"/>
        <w:jc w:val="both"/>
      </w:pPr>
      <w:r>
        <w:t>Another critical concern is the interpretability of AI models, often referred to as the “black box” problem. While complex algorithms such as deep learning networks offer high predictive accuracy, their lack of transparency can hinder clinician trust and acceptance (Gresele, 2023). In clinical settings, decision-making must be supported by clear and explainable evidence, particularly when patient outcomes are at stake. Efforts to develop explainable AI (XAI) frameworks are therefore essential to bridge this gap, enabling clinicians to understand and validate the rationale behind AI-generated predictions. Additionally, regulatory frameworks must evolve to address the unique challenges posed by AI-driven medical tools, including issues related to validation, accountability, and continuous learning systems.</w:t>
      </w:r>
    </w:p>
    <w:p w14:paraId="5520A5BC" w14:textId="77777777" w:rsidR="002451DA" w:rsidRDefault="00801876" w:rsidP="00801876">
      <w:pPr>
        <w:pStyle w:val="NormalWeb"/>
        <w:jc w:val="both"/>
      </w:pPr>
      <w:r>
        <w:t>The integration of AI into existing clinical workflows also presents logistical and infrastructural challenges. Healthcare systems vary widely in their capacity to adopt advanced technologies, with disparities in digital infrastructure, data management capabilities, and workforce expertise. The successful implementation of AI-driven platelet dynamics models will depend on the development of interoperable systems that can seamlessly integrate with electronic health records and laboratory information systems. Moreover, interdisciplinary collaboration between clinicians, data scientists, and engineers will be crucial to ensure that these technologies are both technically robust and clinically relevant (Altememi et al., 2025).</w:t>
      </w:r>
    </w:p>
    <w:p w14:paraId="60831149" w14:textId="77777777" w:rsidR="002451DA" w:rsidRDefault="00801876" w:rsidP="00801876">
      <w:pPr>
        <w:pStyle w:val="NormalWeb"/>
        <w:jc w:val="both"/>
      </w:pPr>
      <w:r>
        <w:t xml:space="preserve">Ethical considerations further complicate the translation of AI into clinical practice. Issues related to data privacy, security, and algorithmic bias must be carefully addressed to ensure equitable and responsible use of AI technologies. Bias in training datasets, for example, can lead to disparities </w:t>
      </w:r>
      <w:r>
        <w:lastRenderedPageBreak/>
        <w:t>in predictive accuracy across different patient populations, potentially exacerbating existing healthcare inequalities. Transparent data governance frameworks and rigorous validation across diverse populations are therefore essential to mitigate these risks (Altememi et al., 2025). In addition, patient consent and data ownership must be clearly defined in the context of AI-driven healthcare systems.</w:t>
      </w:r>
    </w:p>
    <w:p w14:paraId="1F3AFE41" w14:textId="77777777" w:rsidR="002451DA" w:rsidRDefault="00801876" w:rsidP="00801876">
      <w:pPr>
        <w:pStyle w:val="NormalWeb"/>
        <w:jc w:val="both"/>
      </w:pPr>
      <w:r>
        <w:t>The findings also suggest that advancements in diagnostic technologies could play a pivotal role in bridging the translational gap. Modern platelet function assays and diagnostic platforms offer improved precision and reproducibility, generating high-quality data that can enhance the performance of AI models (Yoon et al., 2024). When combined with computational approaches, these technologies have the potential to transform platelet function testing from a predominantly laboratory-based procedure into a dynamic, data-driven component of clinical decision-making. This evolution aligns with the broader trend toward precision medicine, where individualized risk assessment and tailored therapeutic strategies are prioritized.</w:t>
      </w:r>
    </w:p>
    <w:p w14:paraId="3538CA32" w14:textId="77777777" w:rsidR="002451DA" w:rsidRDefault="00801876" w:rsidP="00801876">
      <w:pPr>
        <w:pStyle w:val="NormalWeb"/>
        <w:jc w:val="both"/>
      </w:pPr>
      <w:r>
        <w:t>Importantly, the concept of dynamic digital modeling represents a significant step toward achieving real-time, patient-specific risk prediction. Studies have demonstrated that AI-driven digital models can effectively stratify thromboembolic risk using longitudinal patient data, offering a more accurate and responsive approach compared to traditional risk assessment tools (Kang et al., 2026). These models have the potential to support proactive clinical interventions, enabling early identification of high-risk patients and timely implementation of preventive measures. However, their successful adoption will depend on rigorous clinical validation and the development of user-friendly interfaces that facilitate clinician engagement.</w:t>
      </w:r>
    </w:p>
    <w:p w14:paraId="5EB1BE0C" w14:textId="77777777" w:rsidR="002451DA" w:rsidRDefault="00801876" w:rsidP="00801876">
      <w:pPr>
        <w:pStyle w:val="NormalWeb"/>
        <w:jc w:val="both"/>
      </w:pPr>
      <w:r>
        <w:t>While the current body of evidence underscores the promise of AI in platelet dynamics and thrombosis, it is important to acknowledge the limitations of existing research. Many studies remain in the preclinical or proof-of-concept stage, with limited real-world validation. Additionally, variations in study design, data sources, and outcome measures make it challenging to directly compare findings across studies. Future research should focus on large-scale, prospective studies that evaluate the clinical impact of AI-driven models on patient outcomes, as well as cost-effectiveness analyses to assess their feasibility in different healthcare settings.</w:t>
      </w:r>
    </w:p>
    <w:p w14:paraId="63D4C30D" w14:textId="77777777" w:rsidR="002451DA" w:rsidRDefault="002451DA" w:rsidP="00801876">
      <w:pPr>
        <w:pStyle w:val="NormalWeb"/>
        <w:jc w:val="both"/>
      </w:pPr>
    </w:p>
    <w:p w14:paraId="744BAAC0" w14:textId="77777777" w:rsidR="002451DA" w:rsidRDefault="00801876" w:rsidP="00801876">
      <w:pPr>
        <w:pStyle w:val="NormalWeb"/>
        <w:jc w:val="both"/>
      </w:pPr>
      <w:r>
        <w:rPr>
          <w:b/>
          <w:bCs/>
        </w:rPr>
        <w:t>Conclusion</w:t>
      </w:r>
      <w:r>
        <w:t xml:space="preserve"> </w:t>
      </w:r>
    </w:p>
    <w:p w14:paraId="15E29092" w14:textId="77777777" w:rsidR="002451DA" w:rsidRDefault="00801876" w:rsidP="00801876">
      <w:pPr>
        <w:pStyle w:val="NormalWeb"/>
        <w:jc w:val="both"/>
      </w:pPr>
      <w:r>
        <w:t>This study provides a comprehensive overview of the evolving role of AI in platelet dynamics and thrombotic risk prediction, highlighting both its transformative potential and the challenges that must be addressed to achieve clinical translation. The integration of multimodal data, advanced machine learning techniques, and dynamic modeling approaches represents a significant advancement in the field, offering new opportunities for precision medicine and improved patient care. However, realizing this potential will require concerted efforts to standardize methodologies, enhance model interpretability, address ethical and regulatory concerns, and ensure seamless integration into clinical workflows. By bridging the gap between technological innovation and practical application, AI-driven platelet dynamics modeling has the potential to redefine the landscape of thrombotic disease management and improve outcomes for patients worldwide.</w:t>
      </w:r>
    </w:p>
    <w:p w14:paraId="040D78B1" w14:textId="77777777" w:rsidR="00FC40D5" w:rsidRDefault="00FC40D5" w:rsidP="00801876">
      <w:pPr>
        <w:pStyle w:val="NormalWeb"/>
        <w:jc w:val="both"/>
      </w:pPr>
    </w:p>
    <w:p w14:paraId="35A7EC9A" w14:textId="77777777" w:rsidR="00FC40D5" w:rsidRDefault="00FC40D5" w:rsidP="00801876">
      <w:pPr>
        <w:pStyle w:val="NormalWeb"/>
        <w:jc w:val="both"/>
      </w:pPr>
      <w:r>
        <w:t>COMPETING INTERESTS DISCLAIMER:</w:t>
      </w:r>
    </w:p>
    <w:p w14:paraId="062CA13F" w14:textId="77777777" w:rsidR="00FC40D5" w:rsidRDefault="00FC40D5" w:rsidP="00801876">
      <w:pPr>
        <w:pStyle w:val="NormalWeb"/>
        <w:jc w:val="both"/>
      </w:pPr>
      <w:r>
        <w:t>Authors have declared that they have no known competing financial interests OR non-financial interests OR personal relationships that could have appeared to influence the work reported in this paper.</w:t>
      </w:r>
    </w:p>
    <w:p w14:paraId="7932A46E" w14:textId="77777777" w:rsidR="00FC40D5" w:rsidRDefault="00FC40D5" w:rsidP="00801876">
      <w:pPr>
        <w:pStyle w:val="NormalWeb"/>
        <w:jc w:val="both"/>
      </w:pPr>
    </w:p>
    <w:p w14:paraId="4C8A5B23" w14:textId="77777777" w:rsidR="000B6491" w:rsidRPr="00005ED1" w:rsidRDefault="000B6491" w:rsidP="000B6491">
      <w:pPr>
        <w:pStyle w:val="NoSpacing"/>
        <w:rPr>
          <w:rFonts w:ascii="Arial" w:hAnsi="Arial" w:cs="Arial"/>
          <w:highlight w:val="yellow"/>
        </w:rPr>
      </w:pPr>
      <w:bookmarkStart w:id="1" w:name="_Hlk219284361"/>
      <w:bookmarkStart w:id="2" w:name="_Hlk198031404"/>
      <w:bookmarkStart w:id="3" w:name="_Hlk219128673"/>
      <w:r w:rsidRPr="00005ED1">
        <w:rPr>
          <w:rFonts w:ascii="Arial" w:hAnsi="Arial" w:cs="Arial"/>
          <w:highlight w:val="yellow"/>
        </w:rPr>
        <w:t>Disclaimer (Artificial intelligence)</w:t>
      </w:r>
    </w:p>
    <w:p w14:paraId="72D73DE1" w14:textId="77777777" w:rsidR="000B6491" w:rsidRPr="00005ED1" w:rsidRDefault="000B6491" w:rsidP="000B6491">
      <w:pPr>
        <w:pStyle w:val="NoSpacing"/>
        <w:rPr>
          <w:rFonts w:ascii="Arial" w:hAnsi="Arial" w:cs="Arial"/>
          <w:highlight w:val="yellow"/>
        </w:rPr>
      </w:pPr>
    </w:p>
    <w:p w14:paraId="466DDDB8" w14:textId="77777777" w:rsidR="000B6491" w:rsidRPr="00005ED1" w:rsidRDefault="000B6491" w:rsidP="000B6491">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1"/>
      <w:r w:rsidRPr="00005ED1">
        <w:rPr>
          <w:rFonts w:ascii="Arial" w:hAnsi="Arial" w:cs="Arial"/>
          <w:highlight w:val="yellow"/>
        </w:rPr>
        <w:t xml:space="preserve">. </w:t>
      </w:r>
    </w:p>
    <w:bookmarkEnd w:id="2"/>
    <w:p w14:paraId="7FDFB4C8" w14:textId="77777777" w:rsidR="000B6491" w:rsidRDefault="000B6491" w:rsidP="000B6491">
      <w:pPr>
        <w:pStyle w:val="NoSpacing"/>
        <w:rPr>
          <w:rFonts w:ascii="Arial" w:hAnsi="Arial" w:cs="Arial"/>
        </w:rPr>
      </w:pPr>
    </w:p>
    <w:bookmarkEnd w:id="3"/>
    <w:p w14:paraId="745BE1D5" w14:textId="77777777" w:rsidR="00FC40D5" w:rsidRDefault="00FC40D5" w:rsidP="00801876">
      <w:pPr>
        <w:pStyle w:val="NormalWeb"/>
        <w:jc w:val="both"/>
      </w:pPr>
    </w:p>
    <w:p w14:paraId="2FD0FE97" w14:textId="77777777" w:rsidR="002451DA" w:rsidRDefault="002451DA" w:rsidP="00801876">
      <w:pPr>
        <w:pStyle w:val="Heading3"/>
        <w:jc w:val="both"/>
        <w:rPr>
          <w:rStyle w:val="Strong"/>
          <w:rFonts w:eastAsia="Times New Roman"/>
          <w:b w:val="0"/>
          <w:bCs w:val="0"/>
        </w:rPr>
      </w:pPr>
    </w:p>
    <w:p w14:paraId="7FC3C09E" w14:textId="77777777" w:rsidR="002451DA" w:rsidRDefault="00801876" w:rsidP="00801876">
      <w:pPr>
        <w:pStyle w:val="Heading3"/>
        <w:jc w:val="both"/>
        <w:rPr>
          <w:rFonts w:eastAsia="Times New Roman"/>
        </w:rPr>
      </w:pPr>
      <w:r>
        <w:rPr>
          <w:rStyle w:val="Strong"/>
          <w:rFonts w:eastAsia="Times New Roman"/>
          <w:b w:val="0"/>
          <w:bCs w:val="0"/>
        </w:rPr>
        <w:t>References</w:t>
      </w:r>
    </w:p>
    <w:p w14:paraId="13C15E78" w14:textId="77777777" w:rsidR="002451DA" w:rsidRDefault="00801876" w:rsidP="00801876">
      <w:pPr>
        <w:pStyle w:val="NormalWeb"/>
        <w:numPr>
          <w:ilvl w:val="0"/>
          <w:numId w:val="2"/>
        </w:numPr>
        <w:jc w:val="both"/>
      </w:pPr>
      <w:r>
        <w:t xml:space="preserve">Altememi, M. A., et al. (2025). Artificial intelligence and machine learning in thrombosis and hemostasis: A scoping review of clinical and laboratory applications. </w:t>
      </w:r>
      <w:r>
        <w:rPr>
          <w:rStyle w:val="Emphasis"/>
        </w:rPr>
        <w:t>Clinical Chemistry and Laboratory Medicine</w:t>
      </w:r>
      <w:r>
        <w:t xml:space="preserve">. </w:t>
      </w:r>
      <w:hyperlink r:id="rId7" w:history="1">
        <w:r w:rsidR="002451DA">
          <w:rPr>
            <w:rStyle w:val="Hyperlink"/>
          </w:rPr>
          <w:t>https://doi.org/10.1515/cclm-2025-1450</w:t>
        </w:r>
      </w:hyperlink>
      <w:r>
        <w:t xml:space="preserve"> (</w:t>
      </w:r>
      <w:hyperlink r:id="rId8" w:tooltip="Artificial intelligence and machine learning in thrombosi..." w:history="1">
        <w:r w:rsidR="002451DA">
          <w:rPr>
            <w:rStyle w:val="Hyperlink"/>
          </w:rPr>
          <w:t>De Gruyter Brill</w:t>
        </w:r>
      </w:hyperlink>
      <w:r>
        <w:t>)</w:t>
      </w:r>
    </w:p>
    <w:p w14:paraId="7C51D8D0" w14:textId="77777777" w:rsidR="002451DA" w:rsidRDefault="00801876" w:rsidP="00801876">
      <w:pPr>
        <w:pStyle w:val="NormalWeb"/>
        <w:numPr>
          <w:ilvl w:val="0"/>
          <w:numId w:val="2"/>
        </w:numPr>
        <w:jc w:val="both"/>
      </w:pPr>
      <w:r>
        <w:t xml:space="preserve">Gutiérrez, N. G., Mukherjee, D., &amp; Bark, D. L. (2024). Decoding thrombosis through code: A review of computational models. </w:t>
      </w:r>
      <w:r>
        <w:rPr>
          <w:rStyle w:val="Emphasis"/>
        </w:rPr>
        <w:t>Journal of Thrombosis and Haemostasis, 22</w:t>
      </w:r>
      <w:r>
        <w:t xml:space="preserve">(1), 35–47. </w:t>
      </w:r>
      <w:hyperlink r:id="rId9" w:history="1">
        <w:r w:rsidR="002451DA">
          <w:rPr>
            <w:rStyle w:val="Hyperlink"/>
          </w:rPr>
          <w:t>https://doi.org/10.1016/j.jtha.2023.08.021</w:t>
        </w:r>
      </w:hyperlink>
      <w:r>
        <w:t xml:space="preserve"> (</w:t>
      </w:r>
      <w:hyperlink r:id="rId10" w:tooltip="Review Article Decoding thrombosis through code" w:history="1">
        <w:r w:rsidR="002451DA">
          <w:rPr>
            <w:rStyle w:val="Hyperlink"/>
          </w:rPr>
          <w:t>ScienceDirect</w:t>
        </w:r>
      </w:hyperlink>
      <w:r>
        <w:t>)</w:t>
      </w:r>
    </w:p>
    <w:p w14:paraId="6AF79EBE" w14:textId="77777777" w:rsidR="002451DA" w:rsidRDefault="00801876" w:rsidP="00801876">
      <w:pPr>
        <w:pStyle w:val="NormalWeb"/>
        <w:numPr>
          <w:ilvl w:val="0"/>
          <w:numId w:val="2"/>
        </w:numPr>
        <w:jc w:val="both"/>
      </w:pPr>
      <w:r>
        <w:t xml:space="preserve">Gresele, P. (2023). Artificial intelligence and machine learning in hemostasis and thrombosis. </w:t>
      </w:r>
      <w:r>
        <w:rPr>
          <w:rStyle w:val="Emphasis"/>
        </w:rPr>
        <w:t>Blood Transfusion and Vascular Biology, 2</w:t>
      </w:r>
      <w:r>
        <w:t xml:space="preserve">(4). </w:t>
      </w:r>
      <w:hyperlink r:id="rId11" w:history="1">
        <w:r w:rsidR="002451DA">
          <w:rPr>
            <w:rStyle w:val="Hyperlink"/>
          </w:rPr>
          <w:t>https://doi.org/10.4081/btvb.2023.105</w:t>
        </w:r>
      </w:hyperlink>
      <w:r>
        <w:t xml:space="preserve"> (</w:t>
      </w:r>
      <w:hyperlink r:id="rId12" w:tooltip="Artificial intelligence and machine learning in hemostasis ..." w:history="1">
        <w:r w:rsidR="002451DA">
          <w:rPr>
            <w:rStyle w:val="Hyperlink"/>
          </w:rPr>
          <w:t>Blood Vessels Journal</w:t>
        </w:r>
      </w:hyperlink>
      <w:r>
        <w:t>)</w:t>
      </w:r>
    </w:p>
    <w:p w14:paraId="3891D08A" w14:textId="77777777" w:rsidR="002451DA" w:rsidRDefault="00801876" w:rsidP="00801876">
      <w:pPr>
        <w:pStyle w:val="NormalWeb"/>
        <w:numPr>
          <w:ilvl w:val="0"/>
          <w:numId w:val="2"/>
        </w:numPr>
        <w:jc w:val="both"/>
      </w:pPr>
      <w:r>
        <w:t xml:space="preserve">Kang, T., et al. (2026). Artificial intelligence risk stratification from dynamic digital models in thromboembolic disease. </w:t>
      </w:r>
      <w:r>
        <w:rPr>
          <w:rStyle w:val="Emphasis"/>
        </w:rPr>
        <w:t>Journal of Clinical Medicine</w:t>
      </w:r>
      <w:r>
        <w:t>. (</w:t>
      </w:r>
      <w:hyperlink r:id="rId13" w:tooltip="Artificial intelligence risk stratification from dynamic digital ..." w:history="1">
        <w:r w:rsidR="002451DA">
          <w:rPr>
            <w:rStyle w:val="Hyperlink"/>
          </w:rPr>
          <w:t>PMC</w:t>
        </w:r>
      </w:hyperlink>
      <w:r>
        <w:t>)</w:t>
      </w:r>
    </w:p>
    <w:p w14:paraId="4CFA1F2A" w14:textId="77777777" w:rsidR="002451DA" w:rsidRDefault="00801876" w:rsidP="00801876">
      <w:pPr>
        <w:pStyle w:val="NormalWeb"/>
        <w:numPr>
          <w:ilvl w:val="0"/>
          <w:numId w:val="2"/>
        </w:numPr>
        <w:jc w:val="both"/>
      </w:pPr>
      <w:r>
        <w:t xml:space="preserve">Talha, M., et al. (2025). AI-orchestrated platelet dynamics analyzers: A paradigm shift in thrombotic disease management. </w:t>
      </w:r>
      <w:r>
        <w:rPr>
          <w:rStyle w:val="Emphasis"/>
        </w:rPr>
        <w:t>Frontiers in Cardiovascular Medicine</w:t>
      </w:r>
      <w:r>
        <w:t>. (</w:t>
      </w:r>
      <w:hyperlink r:id="rId14" w:tooltip="AI-orchestrated platelet dynamics analyzers: a paradigm shift ..." w:history="1">
        <w:r w:rsidR="002451DA">
          <w:rPr>
            <w:rStyle w:val="Hyperlink"/>
          </w:rPr>
          <w:t>PMC</w:t>
        </w:r>
      </w:hyperlink>
      <w:r>
        <w:t>)</w:t>
      </w:r>
    </w:p>
    <w:p w14:paraId="328A70B7" w14:textId="77777777" w:rsidR="002451DA" w:rsidRDefault="00801876" w:rsidP="00801876">
      <w:pPr>
        <w:pStyle w:val="NormalWeb"/>
        <w:numPr>
          <w:ilvl w:val="0"/>
          <w:numId w:val="2"/>
        </w:numPr>
        <w:jc w:val="both"/>
      </w:pPr>
      <w:r>
        <w:t xml:space="preserve">Tian, Y., et al. (2025). Platelets and diseases: Signal transduction and advances in therapeutic strategies. </w:t>
      </w:r>
      <w:r>
        <w:rPr>
          <w:rStyle w:val="Emphasis"/>
        </w:rPr>
        <w:t>Signal Transduction and Targeted Therapy, 10</w:t>
      </w:r>
      <w:r>
        <w:t>, Article 198. (</w:t>
      </w:r>
      <w:hyperlink r:id="rId15" w:tooltip="Platelets and diseases: signal transduction and advances ..." w:history="1">
        <w:r w:rsidR="002451DA">
          <w:rPr>
            <w:rStyle w:val="Hyperlink"/>
          </w:rPr>
          <w:t>Nature</w:t>
        </w:r>
      </w:hyperlink>
      <w:r>
        <w:t>)</w:t>
      </w:r>
    </w:p>
    <w:p w14:paraId="0412E9E3" w14:textId="77777777" w:rsidR="002451DA" w:rsidRDefault="00801876" w:rsidP="00801876">
      <w:pPr>
        <w:pStyle w:val="NormalWeb"/>
        <w:numPr>
          <w:ilvl w:val="0"/>
          <w:numId w:val="2"/>
        </w:numPr>
        <w:jc w:val="both"/>
      </w:pPr>
      <w:r>
        <w:t xml:space="preserve">Yoon, I., et al. (2024). Advances in platelet-dysfunction diagnostic technologies. </w:t>
      </w:r>
      <w:r>
        <w:rPr>
          <w:rStyle w:val="Emphasis"/>
        </w:rPr>
        <w:t>Biomolecules, 14</w:t>
      </w:r>
      <w:r>
        <w:t xml:space="preserve">(6), 714. </w:t>
      </w:r>
      <w:hyperlink r:id="rId16" w:history="1">
        <w:r w:rsidR="002451DA">
          <w:rPr>
            <w:rStyle w:val="Hyperlink"/>
          </w:rPr>
          <w:t>https://doi.org/10.3390/biom14060714</w:t>
        </w:r>
      </w:hyperlink>
      <w:r>
        <w:t xml:space="preserve"> (</w:t>
      </w:r>
      <w:hyperlink r:id="rId17" w:tooltip="Advances in Platelet-Dysfunction Diagnostic Technologies" w:history="1">
        <w:r w:rsidR="002451DA">
          <w:rPr>
            <w:rStyle w:val="Hyperlink"/>
          </w:rPr>
          <w:t>MDPI</w:t>
        </w:r>
      </w:hyperlink>
      <w:r>
        <w:t>)</w:t>
      </w:r>
    </w:p>
    <w:p w14:paraId="64A34EED" w14:textId="77777777" w:rsidR="002451DA" w:rsidRDefault="00801876" w:rsidP="00801876">
      <w:pPr>
        <w:pStyle w:val="NormalWeb"/>
        <w:numPr>
          <w:ilvl w:val="0"/>
          <w:numId w:val="2"/>
        </w:numPr>
        <w:jc w:val="both"/>
      </w:pPr>
      <w:r>
        <w:t xml:space="preserve">Rashidi, H. H., Bowkers, K. A., &amp; Reyes Gil, M. (2023). Machine learning in the coagulation and hemostasis arena: An overview and future directions. </w:t>
      </w:r>
      <w:r>
        <w:rPr>
          <w:rStyle w:val="Emphasis"/>
        </w:rPr>
        <w:t>Journal of Thrombosis and Haemostasis, 21</w:t>
      </w:r>
      <w:r>
        <w:t>(4), 728–743.</w:t>
      </w:r>
    </w:p>
    <w:p w14:paraId="6817D368" w14:textId="77777777" w:rsidR="002451DA" w:rsidRDefault="00801876" w:rsidP="00801876">
      <w:pPr>
        <w:pStyle w:val="NormalWeb"/>
        <w:numPr>
          <w:ilvl w:val="0"/>
          <w:numId w:val="2"/>
        </w:numPr>
        <w:jc w:val="both"/>
      </w:pPr>
      <w:r>
        <w:lastRenderedPageBreak/>
        <w:t xml:space="preserve">Kempster, C., Butler, G., Kuznecova, E., et al. (2022). Fully automated platelet image analysis using deep learning. </w:t>
      </w:r>
      <w:r>
        <w:rPr>
          <w:rStyle w:val="Emphasis"/>
        </w:rPr>
        <w:t>Scientific Reports, 12</w:t>
      </w:r>
      <w:r>
        <w:t>, 4614.</w:t>
      </w:r>
    </w:p>
    <w:p w14:paraId="7516198A" w14:textId="77777777" w:rsidR="002451DA" w:rsidRDefault="00801876" w:rsidP="00801876">
      <w:pPr>
        <w:pStyle w:val="NormalWeb"/>
        <w:numPr>
          <w:ilvl w:val="0"/>
          <w:numId w:val="2"/>
        </w:numPr>
        <w:jc w:val="both"/>
      </w:pPr>
      <w:r>
        <w:t xml:space="preserve">Pérez-Sánchez, L., Patiño-Trives, A. M., Aguirre-Zamorano, M. A., et al. (2021). Integrated transcriptomics for atherothrombotic risk characterization. </w:t>
      </w:r>
      <w:r>
        <w:rPr>
          <w:rStyle w:val="Emphasis"/>
        </w:rPr>
        <w:t>Arteriosclerosis, Thrombosis, and Vascular Biology, 41</w:t>
      </w:r>
      <w:r>
        <w:t>(2), 865–877.</w:t>
      </w:r>
    </w:p>
    <w:p w14:paraId="6BDEBE63" w14:textId="77777777" w:rsidR="002451DA" w:rsidRDefault="00801876" w:rsidP="00801876">
      <w:pPr>
        <w:pStyle w:val="NormalWeb"/>
        <w:numPr>
          <w:ilvl w:val="0"/>
          <w:numId w:val="2"/>
        </w:numPr>
        <w:jc w:val="both"/>
      </w:pPr>
      <w:r>
        <w:t xml:space="preserve">Bostani, A., Mirzaeibonekhater, H., Najafi, H., et al. (2023). Reinforcement learning-based models for cardiovascular risk prediction. </w:t>
      </w:r>
      <w:r>
        <w:rPr>
          <w:rStyle w:val="Emphasis"/>
        </w:rPr>
        <w:t>Physiological Measurement, 44</w:t>
      </w:r>
      <w:r>
        <w:t>.</w:t>
      </w:r>
    </w:p>
    <w:p w14:paraId="5B3AD486" w14:textId="77777777" w:rsidR="002451DA" w:rsidRDefault="00801876" w:rsidP="00801876">
      <w:pPr>
        <w:pStyle w:val="NormalWeb"/>
        <w:numPr>
          <w:ilvl w:val="0"/>
          <w:numId w:val="2"/>
        </w:numPr>
        <w:jc w:val="both"/>
      </w:pPr>
      <w:r>
        <w:t xml:space="preserve">Le Blanc, J., Mullier, F., Vayne, C., &amp; Lordkipanidze, M. (2020). Advances in platelet function testing: Light transmission aggregometry and beyond. </w:t>
      </w:r>
      <w:r>
        <w:rPr>
          <w:rStyle w:val="Emphasis"/>
        </w:rPr>
        <w:t>Journal of Clinical Medicine, 9</w:t>
      </w:r>
      <w:r>
        <w:t>(8), 2636.</w:t>
      </w:r>
    </w:p>
    <w:p w14:paraId="7AF7FC8E" w14:textId="77777777" w:rsidR="002451DA" w:rsidRDefault="00801876" w:rsidP="00801876">
      <w:pPr>
        <w:pStyle w:val="NormalWeb"/>
        <w:numPr>
          <w:ilvl w:val="0"/>
          <w:numId w:val="2"/>
        </w:numPr>
        <w:jc w:val="both"/>
      </w:pPr>
      <w:r>
        <w:t xml:space="preserve">Kim, J., et al. (2021). Microfluidic approaches to platelet function testing and thrombosis modeling. </w:t>
      </w:r>
      <w:r>
        <w:rPr>
          <w:rStyle w:val="Emphasis"/>
        </w:rPr>
        <w:t>Lab on a Chip, 21</w:t>
      </w:r>
      <w:r>
        <w:t>(5), 1001–1015.</w:t>
      </w:r>
    </w:p>
    <w:p w14:paraId="16A0D8A9" w14:textId="77777777" w:rsidR="002451DA" w:rsidRDefault="00801876" w:rsidP="00801876">
      <w:pPr>
        <w:pStyle w:val="NormalWeb"/>
        <w:numPr>
          <w:ilvl w:val="0"/>
          <w:numId w:val="2"/>
        </w:numPr>
        <w:jc w:val="both"/>
      </w:pPr>
      <w:r>
        <w:t xml:space="preserve">Flamm, M. H., et al. (2012). Multiscale prediction of patient-specific platelet function using machine learning. </w:t>
      </w:r>
      <w:r>
        <w:rPr>
          <w:rStyle w:val="Emphasis"/>
        </w:rPr>
        <w:t>Blood, 120</w:t>
      </w:r>
      <w:r>
        <w:t>(1), 190–198.</w:t>
      </w:r>
    </w:p>
    <w:p w14:paraId="33A495A6" w14:textId="6BADDA8E" w:rsidR="002451DA" w:rsidRDefault="00801876" w:rsidP="00801876">
      <w:pPr>
        <w:pStyle w:val="NormalWeb"/>
        <w:numPr>
          <w:ilvl w:val="0"/>
          <w:numId w:val="2"/>
        </w:numPr>
        <w:jc w:val="both"/>
      </w:pPr>
      <w:r>
        <w:t xml:space="preserve">Yala, A., Mikhael, P. G., Lehman, C., et al. (2022). Optimizing risk prediction using reinforcement learning in clinical medicine. </w:t>
      </w:r>
      <w:r>
        <w:rPr>
          <w:rStyle w:val="Emphasis"/>
        </w:rPr>
        <w:t>Nature Medicine, 28</w:t>
      </w:r>
      <w:r>
        <w:t>(1), 136–143.</w:t>
      </w:r>
    </w:p>
    <w:p w14:paraId="07A65BBF" w14:textId="34D6FC99" w:rsidR="00801876" w:rsidRPr="00801876" w:rsidRDefault="00801876" w:rsidP="00801876">
      <w:pPr>
        <w:pStyle w:val="NormalWeb"/>
        <w:numPr>
          <w:ilvl w:val="0"/>
          <w:numId w:val="2"/>
        </w:numPr>
        <w:jc w:val="both"/>
      </w:pPr>
      <w:r>
        <w:rPr>
          <w:rFonts w:ascii="Arial" w:hAnsi="Arial" w:cs="Arial"/>
          <w:color w:val="222222"/>
          <w:sz w:val="20"/>
          <w:szCs w:val="20"/>
          <w:shd w:val="clear" w:color="auto" w:fill="FFFFFF"/>
        </w:rPr>
        <w:t xml:space="preserve">Talha, M., Khalid, M., &amp; </w:t>
      </w:r>
      <w:proofErr w:type="spellStart"/>
      <w:r>
        <w:rPr>
          <w:rFonts w:ascii="Arial" w:hAnsi="Arial" w:cs="Arial"/>
          <w:color w:val="222222"/>
          <w:sz w:val="20"/>
          <w:szCs w:val="20"/>
          <w:shd w:val="clear" w:color="auto" w:fill="FFFFFF"/>
        </w:rPr>
        <w:t>Waafira</w:t>
      </w:r>
      <w:proofErr w:type="spellEnd"/>
      <w:r>
        <w:rPr>
          <w:rFonts w:ascii="Arial" w:hAnsi="Arial" w:cs="Arial"/>
          <w:color w:val="222222"/>
          <w:sz w:val="20"/>
          <w:szCs w:val="20"/>
          <w:shd w:val="clear" w:color="auto" w:fill="FFFFFF"/>
        </w:rPr>
        <w:t>, A. (2025). AI-orchestrated platelet dynamics analyzers: a paradigm shift in thrombotic risk mitigation for internal medicine. </w:t>
      </w:r>
      <w:r>
        <w:rPr>
          <w:rFonts w:ascii="Arial" w:hAnsi="Arial" w:cs="Arial"/>
          <w:i/>
          <w:iCs/>
          <w:color w:val="222222"/>
          <w:sz w:val="20"/>
          <w:szCs w:val="20"/>
          <w:shd w:val="clear" w:color="auto" w:fill="FFFFFF"/>
        </w:rPr>
        <w:t>Annals of Medicine and Surgery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87</w:t>
      </w:r>
      <w:r>
        <w:rPr>
          <w:rFonts w:ascii="Arial" w:hAnsi="Arial" w:cs="Arial"/>
          <w:color w:val="222222"/>
          <w:sz w:val="20"/>
          <w:szCs w:val="20"/>
          <w:shd w:val="clear" w:color="auto" w:fill="FFFFFF"/>
        </w:rPr>
        <w:t>(10), 6261-6262.</w:t>
      </w:r>
    </w:p>
    <w:p w14:paraId="1BBF2A41" w14:textId="36A54316" w:rsidR="00801876" w:rsidRPr="00801876" w:rsidRDefault="00801876" w:rsidP="00801876">
      <w:pPr>
        <w:pStyle w:val="NormalWeb"/>
        <w:numPr>
          <w:ilvl w:val="0"/>
          <w:numId w:val="2"/>
        </w:numPr>
        <w:jc w:val="both"/>
      </w:pPr>
      <w:r>
        <w:rPr>
          <w:rFonts w:ascii="Arial" w:hAnsi="Arial" w:cs="Arial"/>
          <w:color w:val="222222"/>
          <w:sz w:val="20"/>
          <w:szCs w:val="20"/>
          <w:shd w:val="clear" w:color="auto" w:fill="FFFFFF"/>
        </w:rPr>
        <w:t>Zheng, K., Hao, Y., Guo, C., Ye, W., Luo, Z., Li, X., ... &amp; Wu, J. (2026). Development and validation of a dynamic prediction model for infective endocarditis patients based on platelet trajectories latent classes: a longitudinal retrospective study from multicenter databases. </w:t>
      </w:r>
      <w:r>
        <w:rPr>
          <w:rFonts w:ascii="Arial" w:hAnsi="Arial" w:cs="Arial"/>
          <w:i/>
          <w:iCs/>
          <w:color w:val="222222"/>
          <w:sz w:val="20"/>
          <w:szCs w:val="20"/>
          <w:shd w:val="clear" w:color="auto" w:fill="FFFFFF"/>
        </w:rPr>
        <w:t>International Journal of Surgery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112</w:t>
      </w:r>
      <w:r>
        <w:rPr>
          <w:rFonts w:ascii="Arial" w:hAnsi="Arial" w:cs="Arial"/>
          <w:color w:val="222222"/>
          <w:sz w:val="20"/>
          <w:szCs w:val="20"/>
          <w:shd w:val="clear" w:color="auto" w:fill="FFFFFF"/>
        </w:rPr>
        <w:t>(2), 4059-4069.</w:t>
      </w:r>
    </w:p>
    <w:p w14:paraId="7D0B8419" w14:textId="2AEFB0DF" w:rsidR="00801876" w:rsidRPr="00801876" w:rsidRDefault="00801876" w:rsidP="00801876">
      <w:pPr>
        <w:pStyle w:val="NormalWeb"/>
        <w:numPr>
          <w:ilvl w:val="0"/>
          <w:numId w:val="2"/>
        </w:numPr>
        <w:jc w:val="both"/>
      </w:pPr>
      <w:proofErr w:type="spellStart"/>
      <w:r>
        <w:rPr>
          <w:rFonts w:ascii="Arial" w:hAnsi="Arial" w:cs="Arial"/>
          <w:color w:val="222222"/>
          <w:sz w:val="20"/>
          <w:szCs w:val="20"/>
          <w:shd w:val="clear" w:color="auto" w:fill="FFFFFF"/>
        </w:rPr>
        <w:t>Fustolo-Gunnink</w:t>
      </w:r>
      <w:proofErr w:type="spellEnd"/>
      <w:r>
        <w:rPr>
          <w:rFonts w:ascii="Arial" w:hAnsi="Arial" w:cs="Arial"/>
          <w:color w:val="222222"/>
          <w:sz w:val="20"/>
          <w:szCs w:val="20"/>
          <w:shd w:val="clear" w:color="auto" w:fill="FFFFFF"/>
        </w:rPr>
        <w:t xml:space="preserve">, S. F., </w:t>
      </w:r>
      <w:proofErr w:type="spellStart"/>
      <w:r>
        <w:rPr>
          <w:rFonts w:ascii="Arial" w:hAnsi="Arial" w:cs="Arial"/>
          <w:color w:val="222222"/>
          <w:sz w:val="20"/>
          <w:szCs w:val="20"/>
          <w:shd w:val="clear" w:color="auto" w:fill="FFFFFF"/>
        </w:rPr>
        <w:t>Fijnvandraat</w:t>
      </w:r>
      <w:proofErr w:type="spellEnd"/>
      <w:r>
        <w:rPr>
          <w:rFonts w:ascii="Arial" w:hAnsi="Arial" w:cs="Arial"/>
          <w:color w:val="222222"/>
          <w:sz w:val="20"/>
          <w:szCs w:val="20"/>
          <w:shd w:val="clear" w:color="auto" w:fill="FFFFFF"/>
        </w:rPr>
        <w:t xml:space="preserve">, K., Putter, H., </w:t>
      </w:r>
      <w:proofErr w:type="spellStart"/>
      <w:r>
        <w:rPr>
          <w:rFonts w:ascii="Arial" w:hAnsi="Arial" w:cs="Arial"/>
          <w:color w:val="222222"/>
          <w:sz w:val="20"/>
          <w:szCs w:val="20"/>
          <w:shd w:val="clear" w:color="auto" w:fill="FFFFFF"/>
        </w:rPr>
        <w:t>Ree</w:t>
      </w:r>
      <w:proofErr w:type="spellEnd"/>
      <w:r>
        <w:rPr>
          <w:rFonts w:ascii="Arial" w:hAnsi="Arial" w:cs="Arial"/>
          <w:color w:val="222222"/>
          <w:sz w:val="20"/>
          <w:szCs w:val="20"/>
          <w:shd w:val="clear" w:color="auto" w:fill="FFFFFF"/>
        </w:rPr>
        <w:t xml:space="preserve">, I. M., </w:t>
      </w:r>
      <w:proofErr w:type="spellStart"/>
      <w:r>
        <w:rPr>
          <w:rFonts w:ascii="Arial" w:hAnsi="Arial" w:cs="Arial"/>
          <w:color w:val="222222"/>
          <w:sz w:val="20"/>
          <w:szCs w:val="20"/>
          <w:shd w:val="clear" w:color="auto" w:fill="FFFFFF"/>
        </w:rPr>
        <w:t>Caram-Deelder</w:t>
      </w:r>
      <w:proofErr w:type="spellEnd"/>
      <w:r>
        <w:rPr>
          <w:rFonts w:ascii="Arial" w:hAnsi="Arial" w:cs="Arial"/>
          <w:color w:val="222222"/>
          <w:sz w:val="20"/>
          <w:szCs w:val="20"/>
          <w:shd w:val="clear" w:color="auto" w:fill="FFFFFF"/>
        </w:rPr>
        <w:t xml:space="preserve">, C., </w:t>
      </w:r>
      <w:proofErr w:type="spellStart"/>
      <w:r>
        <w:rPr>
          <w:rFonts w:ascii="Arial" w:hAnsi="Arial" w:cs="Arial"/>
          <w:color w:val="222222"/>
          <w:sz w:val="20"/>
          <w:szCs w:val="20"/>
          <w:shd w:val="clear" w:color="auto" w:fill="FFFFFF"/>
        </w:rPr>
        <w:t>Andriessen</w:t>
      </w:r>
      <w:proofErr w:type="spellEnd"/>
      <w:r>
        <w:rPr>
          <w:rFonts w:ascii="Arial" w:hAnsi="Arial" w:cs="Arial"/>
          <w:color w:val="222222"/>
          <w:sz w:val="20"/>
          <w:szCs w:val="20"/>
          <w:shd w:val="clear" w:color="auto" w:fill="FFFFFF"/>
        </w:rPr>
        <w:t>, P., ... &amp; van der Bom, J. G. (2019). Dynamic prediction of bleeding risk in thrombocytopenic preterm neonates. </w:t>
      </w:r>
      <w:proofErr w:type="spellStart"/>
      <w:r>
        <w:rPr>
          <w:rFonts w:ascii="Arial" w:hAnsi="Arial" w:cs="Arial"/>
          <w:i/>
          <w:iCs/>
          <w:color w:val="222222"/>
          <w:sz w:val="20"/>
          <w:szCs w:val="20"/>
          <w:shd w:val="clear" w:color="auto" w:fill="FFFFFF"/>
        </w:rPr>
        <w:t>haematologica</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104</w:t>
      </w:r>
      <w:r>
        <w:rPr>
          <w:rFonts w:ascii="Arial" w:hAnsi="Arial" w:cs="Arial"/>
          <w:color w:val="222222"/>
          <w:sz w:val="20"/>
          <w:szCs w:val="20"/>
          <w:shd w:val="clear" w:color="auto" w:fill="FFFFFF"/>
        </w:rPr>
        <w:t>(11), 2300.</w:t>
      </w:r>
    </w:p>
    <w:p w14:paraId="4861317B" w14:textId="753A8C9F" w:rsidR="00801876" w:rsidRPr="00801876" w:rsidRDefault="00801876" w:rsidP="00801876">
      <w:pPr>
        <w:pStyle w:val="NormalWeb"/>
        <w:numPr>
          <w:ilvl w:val="0"/>
          <w:numId w:val="2"/>
        </w:numPr>
        <w:jc w:val="both"/>
      </w:pPr>
      <w:r>
        <w:rPr>
          <w:rFonts w:ascii="Arial" w:hAnsi="Arial" w:cs="Arial"/>
          <w:color w:val="222222"/>
          <w:sz w:val="20"/>
          <w:szCs w:val="20"/>
          <w:shd w:val="clear" w:color="auto" w:fill="FFFFFF"/>
        </w:rPr>
        <w:t xml:space="preserve">Ye, Q., Wang, X., Xu, X., Chen, J., </w:t>
      </w:r>
      <w:proofErr w:type="spellStart"/>
      <w:r>
        <w:rPr>
          <w:rFonts w:ascii="Arial" w:hAnsi="Arial" w:cs="Arial"/>
          <w:color w:val="222222"/>
          <w:sz w:val="20"/>
          <w:szCs w:val="20"/>
          <w:shd w:val="clear" w:color="auto" w:fill="FFFFFF"/>
        </w:rPr>
        <w:t>Christiani</w:t>
      </w:r>
      <w:proofErr w:type="spellEnd"/>
      <w:r>
        <w:rPr>
          <w:rFonts w:ascii="Arial" w:hAnsi="Arial" w:cs="Arial"/>
          <w:color w:val="222222"/>
          <w:sz w:val="20"/>
          <w:szCs w:val="20"/>
          <w:shd w:val="clear" w:color="auto" w:fill="FFFFFF"/>
        </w:rPr>
        <w:t>, D. C., Chen, F., ... &amp; Wei, Y. (2024). Serial platelet count as a dynamic prediction marker of hospital mortality among septic patients. </w:t>
      </w:r>
      <w:r>
        <w:rPr>
          <w:rFonts w:ascii="Arial" w:hAnsi="Arial" w:cs="Arial"/>
          <w:i/>
          <w:iCs/>
          <w:color w:val="222222"/>
          <w:sz w:val="20"/>
          <w:szCs w:val="20"/>
          <w:shd w:val="clear" w:color="auto" w:fill="FFFFFF"/>
        </w:rPr>
        <w:t>Burns &amp; trauma</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 tkae016.</w:t>
      </w:r>
    </w:p>
    <w:p w14:paraId="19F6C6C6" w14:textId="77777777" w:rsidR="00276FC9" w:rsidRPr="00A26D72" w:rsidRDefault="00801876" w:rsidP="00276FC9">
      <w:pPr>
        <w:pStyle w:val="NormalWeb"/>
        <w:numPr>
          <w:ilvl w:val="0"/>
          <w:numId w:val="2"/>
        </w:numPr>
        <w:jc w:val="both"/>
      </w:pPr>
      <w:r>
        <w:rPr>
          <w:rFonts w:ascii="Arial" w:hAnsi="Arial" w:cs="Arial"/>
          <w:color w:val="222222"/>
          <w:sz w:val="20"/>
          <w:szCs w:val="20"/>
          <w:shd w:val="clear" w:color="auto" w:fill="FFFFFF"/>
        </w:rPr>
        <w:t xml:space="preserve">Shankar, K. N., Zhang, Y., </w:t>
      </w:r>
      <w:proofErr w:type="spellStart"/>
      <w:r>
        <w:rPr>
          <w:rFonts w:ascii="Arial" w:hAnsi="Arial" w:cs="Arial"/>
          <w:color w:val="222222"/>
          <w:sz w:val="20"/>
          <w:szCs w:val="20"/>
          <w:shd w:val="clear" w:color="auto" w:fill="FFFFFF"/>
        </w:rPr>
        <w:t>Sinno</w:t>
      </w:r>
      <w:proofErr w:type="spellEnd"/>
      <w:r>
        <w:rPr>
          <w:rFonts w:ascii="Arial" w:hAnsi="Arial" w:cs="Arial"/>
          <w:color w:val="222222"/>
          <w:sz w:val="20"/>
          <w:szCs w:val="20"/>
          <w:shd w:val="clear" w:color="auto" w:fill="FFFFFF"/>
        </w:rPr>
        <w:t>, T., &amp; Diamond, S. L. (2022). A three-dimensional multiscale model for the prediction of thrombus growth under flow with single-platelet resolution. </w:t>
      </w:r>
      <w:proofErr w:type="spellStart"/>
      <w:r>
        <w:rPr>
          <w:rFonts w:ascii="Arial" w:hAnsi="Arial" w:cs="Arial"/>
          <w:i/>
          <w:iCs/>
          <w:color w:val="222222"/>
          <w:sz w:val="20"/>
          <w:szCs w:val="20"/>
          <w:shd w:val="clear" w:color="auto" w:fill="FFFFFF"/>
        </w:rPr>
        <w:t>PLoS</w:t>
      </w:r>
      <w:proofErr w:type="spellEnd"/>
      <w:r>
        <w:rPr>
          <w:rFonts w:ascii="Arial" w:hAnsi="Arial" w:cs="Arial"/>
          <w:i/>
          <w:iCs/>
          <w:color w:val="222222"/>
          <w:sz w:val="20"/>
          <w:szCs w:val="20"/>
          <w:shd w:val="clear" w:color="auto" w:fill="FFFFFF"/>
        </w:rPr>
        <w:t xml:space="preserve"> computational biology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18</w:t>
      </w:r>
      <w:r>
        <w:rPr>
          <w:rFonts w:ascii="Arial" w:hAnsi="Arial" w:cs="Arial"/>
          <w:color w:val="222222"/>
          <w:sz w:val="20"/>
          <w:szCs w:val="20"/>
          <w:shd w:val="clear" w:color="auto" w:fill="FFFFFF"/>
        </w:rPr>
        <w:t>(1), e1009850.</w:t>
      </w:r>
    </w:p>
    <w:p w14:paraId="528FC70D" w14:textId="582B8E16" w:rsidR="005C2B63" w:rsidRPr="00A26D72" w:rsidRDefault="005C2B63" w:rsidP="00A26D72">
      <w:pPr>
        <w:pStyle w:val="NormalWeb"/>
        <w:numPr>
          <w:ilvl w:val="0"/>
          <w:numId w:val="2"/>
        </w:numPr>
        <w:jc w:val="both"/>
        <w:rPr>
          <w:sz w:val="22"/>
        </w:rPr>
      </w:pPr>
      <w:proofErr w:type="spellStart"/>
      <w:r w:rsidRPr="00A26D72">
        <w:rPr>
          <w:rFonts w:ascii="Cambria" w:hAnsi="Cambria"/>
          <w:color w:val="1B1B1B"/>
          <w:szCs w:val="26"/>
          <w:highlight w:val="yellow"/>
          <w:shd w:val="clear" w:color="auto" w:fill="FFFFFF"/>
        </w:rPr>
        <w:t>Saigal</w:t>
      </w:r>
      <w:proofErr w:type="spellEnd"/>
      <w:r w:rsidRPr="00A26D72">
        <w:rPr>
          <w:rFonts w:ascii="Cambria" w:hAnsi="Cambria"/>
          <w:color w:val="1B1B1B"/>
          <w:szCs w:val="26"/>
          <w:highlight w:val="yellow"/>
          <w:shd w:val="clear" w:color="auto" w:fill="FFFFFF"/>
        </w:rPr>
        <w:t xml:space="preserve"> K, Patel AB, </w:t>
      </w:r>
      <w:proofErr w:type="spellStart"/>
      <w:r w:rsidRPr="00A26D72">
        <w:rPr>
          <w:rFonts w:ascii="Cambria" w:hAnsi="Cambria"/>
          <w:color w:val="1B1B1B"/>
          <w:szCs w:val="26"/>
          <w:highlight w:val="yellow"/>
          <w:shd w:val="clear" w:color="auto" w:fill="FFFFFF"/>
        </w:rPr>
        <w:t>Lucke-Wold</w:t>
      </w:r>
      <w:proofErr w:type="spellEnd"/>
      <w:r w:rsidRPr="00A26D72">
        <w:rPr>
          <w:rFonts w:ascii="Cambria" w:hAnsi="Cambria"/>
          <w:color w:val="1B1B1B"/>
          <w:szCs w:val="26"/>
          <w:highlight w:val="yellow"/>
          <w:shd w:val="clear" w:color="auto" w:fill="FFFFFF"/>
        </w:rPr>
        <w:t xml:space="preserve"> B. Artificial intelligence and neurosurgery: tracking antiplatelet response patterns for endovascular intervention. </w:t>
      </w:r>
      <w:proofErr w:type="spellStart"/>
      <w:r w:rsidRPr="00A26D72">
        <w:rPr>
          <w:rFonts w:ascii="Cambria" w:hAnsi="Cambria"/>
          <w:color w:val="1B1B1B"/>
          <w:szCs w:val="26"/>
          <w:highlight w:val="yellow"/>
          <w:shd w:val="clear" w:color="auto" w:fill="FFFFFF"/>
        </w:rPr>
        <w:t>Medicina</w:t>
      </w:r>
      <w:proofErr w:type="spellEnd"/>
      <w:r w:rsidRPr="00A26D72">
        <w:rPr>
          <w:rFonts w:ascii="Cambria" w:hAnsi="Cambria"/>
          <w:color w:val="1B1B1B"/>
          <w:szCs w:val="26"/>
          <w:highlight w:val="yellow"/>
          <w:shd w:val="clear" w:color="auto" w:fill="FFFFFF"/>
        </w:rPr>
        <w:t xml:space="preserve"> (Kaunas) </w:t>
      </w:r>
      <w:proofErr w:type="gramStart"/>
      <w:r w:rsidRPr="00A26D72">
        <w:rPr>
          <w:rFonts w:ascii="Cambria" w:hAnsi="Cambria"/>
          <w:color w:val="1B1B1B"/>
          <w:szCs w:val="26"/>
          <w:highlight w:val="yellow"/>
          <w:shd w:val="clear" w:color="auto" w:fill="FFFFFF"/>
        </w:rPr>
        <w:t>2023;59:1714</w:t>
      </w:r>
      <w:proofErr w:type="gramEnd"/>
      <w:r w:rsidRPr="00A26D72">
        <w:rPr>
          <w:rFonts w:ascii="Cambria" w:hAnsi="Cambria"/>
          <w:color w:val="1B1B1B"/>
          <w:szCs w:val="26"/>
          <w:highlight w:val="yellow"/>
          <w:shd w:val="clear" w:color="auto" w:fill="FFFFFF"/>
        </w:rPr>
        <w:t>.</w:t>
      </w:r>
    </w:p>
    <w:p w14:paraId="298E3346" w14:textId="055369C5" w:rsidR="005C2B63" w:rsidRPr="00A26D72" w:rsidRDefault="00276FC9" w:rsidP="00801876">
      <w:pPr>
        <w:pStyle w:val="NormalWeb"/>
        <w:numPr>
          <w:ilvl w:val="0"/>
          <w:numId w:val="2"/>
        </w:numPr>
        <w:jc w:val="both"/>
        <w:rPr>
          <w:highlight w:val="yellow"/>
        </w:rPr>
      </w:pPr>
      <w:proofErr w:type="spellStart"/>
      <w:r w:rsidRPr="00A26D72">
        <w:rPr>
          <w:rFonts w:ascii="Arial" w:hAnsi="Arial" w:cs="Arial"/>
          <w:color w:val="222222"/>
          <w:sz w:val="20"/>
          <w:szCs w:val="20"/>
          <w:highlight w:val="yellow"/>
          <w:shd w:val="clear" w:color="auto" w:fill="FFFFFF"/>
        </w:rPr>
        <w:t>Kuan</w:t>
      </w:r>
      <w:proofErr w:type="spellEnd"/>
      <w:r w:rsidRPr="00A26D72">
        <w:rPr>
          <w:rFonts w:ascii="Arial" w:hAnsi="Arial" w:cs="Arial"/>
          <w:color w:val="222222"/>
          <w:sz w:val="20"/>
          <w:szCs w:val="20"/>
          <w:highlight w:val="yellow"/>
          <w:shd w:val="clear" w:color="auto" w:fill="FFFFFF"/>
        </w:rPr>
        <w:t xml:space="preserve">, Y. K. I., </w:t>
      </w:r>
      <w:proofErr w:type="spellStart"/>
      <w:r w:rsidRPr="00A26D72">
        <w:rPr>
          <w:rFonts w:ascii="Arial" w:hAnsi="Arial" w:cs="Arial"/>
          <w:color w:val="222222"/>
          <w:sz w:val="20"/>
          <w:szCs w:val="20"/>
          <w:highlight w:val="yellow"/>
          <w:shd w:val="clear" w:color="auto" w:fill="FFFFFF"/>
        </w:rPr>
        <w:t>Kok</w:t>
      </w:r>
      <w:proofErr w:type="spellEnd"/>
      <w:r w:rsidRPr="00A26D72">
        <w:rPr>
          <w:rFonts w:ascii="Arial" w:hAnsi="Arial" w:cs="Arial"/>
          <w:color w:val="222222"/>
          <w:sz w:val="20"/>
          <w:szCs w:val="20"/>
          <w:highlight w:val="yellow"/>
          <w:shd w:val="clear" w:color="auto" w:fill="FFFFFF"/>
        </w:rPr>
        <w:t>, Y. J., Liu, N. S. H., Ong, B. J. A., Chee, Y. J., Xu, C., ... &amp; Fan, B. E. (2025). Artificial intelligence in clinical thrombosis and hemostasis: a review. </w:t>
      </w:r>
      <w:r w:rsidRPr="00A26D72">
        <w:rPr>
          <w:rFonts w:ascii="Arial" w:hAnsi="Arial" w:cs="Arial"/>
          <w:i/>
          <w:iCs/>
          <w:color w:val="222222"/>
          <w:sz w:val="20"/>
          <w:szCs w:val="20"/>
          <w:highlight w:val="yellow"/>
          <w:shd w:val="clear" w:color="auto" w:fill="FFFFFF"/>
        </w:rPr>
        <w:t xml:space="preserve">Research and Practice in Thrombosis and </w:t>
      </w:r>
      <w:proofErr w:type="spellStart"/>
      <w:r w:rsidRPr="00A26D72">
        <w:rPr>
          <w:rFonts w:ascii="Arial" w:hAnsi="Arial" w:cs="Arial"/>
          <w:i/>
          <w:iCs/>
          <w:color w:val="222222"/>
          <w:sz w:val="20"/>
          <w:szCs w:val="20"/>
          <w:highlight w:val="yellow"/>
          <w:shd w:val="clear" w:color="auto" w:fill="FFFFFF"/>
        </w:rPr>
        <w:t>Haemostasis</w:t>
      </w:r>
      <w:proofErr w:type="spellEnd"/>
      <w:r w:rsidRPr="00A26D72">
        <w:rPr>
          <w:rFonts w:ascii="Arial" w:hAnsi="Arial" w:cs="Arial"/>
          <w:color w:val="222222"/>
          <w:sz w:val="20"/>
          <w:szCs w:val="20"/>
          <w:highlight w:val="yellow"/>
          <w:shd w:val="clear" w:color="auto" w:fill="FFFFFF"/>
        </w:rPr>
        <w:t>, </w:t>
      </w:r>
      <w:r w:rsidRPr="00A26D72">
        <w:rPr>
          <w:rFonts w:ascii="Arial" w:hAnsi="Arial" w:cs="Arial"/>
          <w:i/>
          <w:iCs/>
          <w:color w:val="222222"/>
          <w:sz w:val="20"/>
          <w:szCs w:val="20"/>
          <w:highlight w:val="yellow"/>
          <w:shd w:val="clear" w:color="auto" w:fill="FFFFFF"/>
        </w:rPr>
        <w:t>9</w:t>
      </w:r>
      <w:r w:rsidRPr="00A26D72">
        <w:rPr>
          <w:rFonts w:ascii="Arial" w:hAnsi="Arial" w:cs="Arial"/>
          <w:color w:val="222222"/>
          <w:sz w:val="20"/>
          <w:szCs w:val="20"/>
          <w:highlight w:val="yellow"/>
          <w:shd w:val="clear" w:color="auto" w:fill="FFFFFF"/>
        </w:rPr>
        <w:t>(5), 102984.</w:t>
      </w:r>
    </w:p>
    <w:p w14:paraId="4AB0C086" w14:textId="77777777" w:rsidR="00BF4FED" w:rsidRPr="00A26D72" w:rsidRDefault="00BF4FED" w:rsidP="00BF4FED">
      <w:pPr>
        <w:pStyle w:val="c-bibliographic-informationcitation"/>
        <w:numPr>
          <w:ilvl w:val="0"/>
          <w:numId w:val="2"/>
        </w:numPr>
        <w:shd w:val="clear" w:color="auto" w:fill="FFFFFF"/>
        <w:spacing w:before="0" w:beforeAutospacing="0" w:after="240" w:afterAutospacing="0"/>
        <w:rPr>
          <w:rFonts w:ascii="Helvetica" w:hAnsi="Helvetica" w:cs="Helvetica"/>
          <w:color w:val="222222"/>
          <w:sz w:val="22"/>
          <w:highlight w:val="yellow"/>
        </w:rPr>
      </w:pPr>
      <w:r w:rsidRPr="00A26D72">
        <w:rPr>
          <w:rFonts w:ascii="Helvetica" w:hAnsi="Helvetica" w:cs="Helvetica"/>
          <w:color w:val="222222"/>
          <w:sz w:val="22"/>
          <w:highlight w:val="yellow"/>
        </w:rPr>
        <w:t>Wang, R., Tang, L.V. &amp; Hu, Y. Genetic factors, risk prediction and AI application of thrombotic diseases. </w:t>
      </w:r>
      <w:r w:rsidRPr="00A26D72">
        <w:rPr>
          <w:rFonts w:ascii="Helvetica" w:hAnsi="Helvetica" w:cs="Helvetica"/>
          <w:i/>
          <w:iCs/>
          <w:color w:val="222222"/>
          <w:sz w:val="22"/>
          <w:highlight w:val="yellow"/>
        </w:rPr>
        <w:t xml:space="preserve">Exp </w:t>
      </w:r>
      <w:proofErr w:type="spellStart"/>
      <w:r w:rsidRPr="00A26D72">
        <w:rPr>
          <w:rFonts w:ascii="Helvetica" w:hAnsi="Helvetica" w:cs="Helvetica"/>
          <w:i/>
          <w:iCs/>
          <w:color w:val="222222"/>
          <w:sz w:val="22"/>
          <w:highlight w:val="yellow"/>
        </w:rPr>
        <w:t>Hematol</w:t>
      </w:r>
      <w:proofErr w:type="spellEnd"/>
      <w:r w:rsidRPr="00A26D72">
        <w:rPr>
          <w:rFonts w:ascii="Helvetica" w:hAnsi="Helvetica" w:cs="Helvetica"/>
          <w:i/>
          <w:iCs/>
          <w:color w:val="222222"/>
          <w:sz w:val="22"/>
          <w:highlight w:val="yellow"/>
        </w:rPr>
        <w:t xml:space="preserve"> Oncol</w:t>
      </w:r>
      <w:r w:rsidRPr="00A26D72">
        <w:rPr>
          <w:rFonts w:ascii="Helvetica" w:hAnsi="Helvetica" w:cs="Helvetica"/>
          <w:color w:val="222222"/>
          <w:sz w:val="22"/>
          <w:highlight w:val="yellow"/>
        </w:rPr>
        <w:t> </w:t>
      </w:r>
      <w:r w:rsidRPr="00A26D72">
        <w:rPr>
          <w:rFonts w:ascii="Helvetica" w:hAnsi="Helvetica" w:cs="Helvetica"/>
          <w:b/>
          <w:bCs/>
          <w:color w:val="222222"/>
          <w:sz w:val="22"/>
          <w:highlight w:val="yellow"/>
        </w:rPr>
        <w:t>13</w:t>
      </w:r>
      <w:r w:rsidRPr="00A26D72">
        <w:rPr>
          <w:rFonts w:ascii="Helvetica" w:hAnsi="Helvetica" w:cs="Helvetica"/>
          <w:color w:val="222222"/>
          <w:sz w:val="22"/>
          <w:highlight w:val="yellow"/>
        </w:rPr>
        <w:t>, 89 (2024). https://doi.org/10.1186/s40164-024-00555-x</w:t>
      </w:r>
    </w:p>
    <w:p w14:paraId="6C0D629C" w14:textId="77777777" w:rsidR="00BF4FED" w:rsidRPr="00A26D72" w:rsidRDefault="00BF4FED" w:rsidP="0033323D">
      <w:pPr>
        <w:pStyle w:val="NormalWeb"/>
        <w:tabs>
          <w:tab w:val="left" w:pos="720"/>
        </w:tabs>
        <w:ind w:left="720"/>
        <w:jc w:val="both"/>
        <w:rPr>
          <w:highlight w:val="yellow"/>
        </w:rPr>
      </w:pPr>
    </w:p>
    <w:sectPr w:rsidR="00BF4FED" w:rsidRPr="00A26D72">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352D1" w14:textId="77777777" w:rsidR="0026313A" w:rsidRDefault="0026313A" w:rsidP="001770F2">
      <w:pPr>
        <w:spacing w:after="0" w:line="240" w:lineRule="auto"/>
      </w:pPr>
      <w:r>
        <w:separator/>
      </w:r>
    </w:p>
  </w:endnote>
  <w:endnote w:type="continuationSeparator" w:id="0">
    <w:p w14:paraId="26F42671" w14:textId="77777777" w:rsidR="0026313A" w:rsidRDefault="0026313A" w:rsidP="00177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EFB4E" w14:textId="77777777" w:rsidR="001770F2" w:rsidRDefault="001770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80318" w14:textId="77777777" w:rsidR="001770F2" w:rsidRDefault="001770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BFCA7" w14:textId="77777777" w:rsidR="001770F2" w:rsidRDefault="00177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472DD" w14:textId="77777777" w:rsidR="0026313A" w:rsidRDefault="0026313A" w:rsidP="001770F2">
      <w:pPr>
        <w:spacing w:after="0" w:line="240" w:lineRule="auto"/>
      </w:pPr>
      <w:r>
        <w:separator/>
      </w:r>
    </w:p>
  </w:footnote>
  <w:footnote w:type="continuationSeparator" w:id="0">
    <w:p w14:paraId="5A818510" w14:textId="77777777" w:rsidR="0026313A" w:rsidRDefault="0026313A" w:rsidP="00177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EB2EB" w14:textId="178D6D1A" w:rsidR="001770F2" w:rsidRDefault="0026313A">
    <w:pPr>
      <w:pStyle w:val="Header"/>
    </w:pPr>
    <w:r>
      <w:rPr>
        <w:noProof/>
      </w:rPr>
      <w:pict w14:anchorId="24A98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172813"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502E3" w14:textId="2D61E889" w:rsidR="001770F2" w:rsidRDefault="0026313A">
    <w:pPr>
      <w:pStyle w:val="Header"/>
    </w:pPr>
    <w:r>
      <w:rPr>
        <w:noProof/>
      </w:rPr>
      <w:pict w14:anchorId="13D6AA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172814"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3A026" w14:textId="7FB18952" w:rsidR="001770F2" w:rsidRDefault="0026313A">
    <w:pPr>
      <w:pStyle w:val="Header"/>
    </w:pPr>
    <w:r>
      <w:rPr>
        <w:noProof/>
      </w:rPr>
      <w:pict w14:anchorId="6FFAB2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172812"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0000003"/>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11A22A88"/>
    <w:multiLevelType w:val="multilevel"/>
    <w:tmpl w:val="B600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B867CE"/>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zNzQ2NDM1N7I0MjZT0lEKTi0uzszPAykwrAUAodlwTywAAAA="/>
  </w:docVars>
  <w:rsids>
    <w:rsidRoot w:val="002451DA"/>
    <w:rsid w:val="000A4787"/>
    <w:rsid w:val="000B6491"/>
    <w:rsid w:val="00116634"/>
    <w:rsid w:val="001770F2"/>
    <w:rsid w:val="002451DA"/>
    <w:rsid w:val="0026313A"/>
    <w:rsid w:val="00276FC9"/>
    <w:rsid w:val="0033323D"/>
    <w:rsid w:val="00381F8E"/>
    <w:rsid w:val="003C77BD"/>
    <w:rsid w:val="003E1455"/>
    <w:rsid w:val="005146C0"/>
    <w:rsid w:val="0055126F"/>
    <w:rsid w:val="005C2B63"/>
    <w:rsid w:val="006F1CA3"/>
    <w:rsid w:val="00801876"/>
    <w:rsid w:val="0082249A"/>
    <w:rsid w:val="00A20C7D"/>
    <w:rsid w:val="00A26D72"/>
    <w:rsid w:val="00BF4FED"/>
    <w:rsid w:val="00D5152E"/>
    <w:rsid w:val="00DE31F5"/>
    <w:rsid w:val="00EC6778"/>
    <w:rsid w:val="00FC4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9C8016"/>
  <w15:docId w15:val="{0A95D75D-C424-4287-8785-9CCE4E6CB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SimSun" w:hAnsi="Aptos"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styleId="UnresolvedMention">
    <w:name w:val="Unresolved Mention"/>
    <w:basedOn w:val="DefaultParagraphFont"/>
    <w:uiPriority w:val="99"/>
    <w:semiHidden/>
    <w:unhideWhenUsed/>
    <w:rsid w:val="000A4787"/>
    <w:rPr>
      <w:color w:val="605E5C"/>
      <w:shd w:val="clear" w:color="auto" w:fill="E1DFDD"/>
    </w:rPr>
  </w:style>
  <w:style w:type="paragraph" w:styleId="Header">
    <w:name w:val="header"/>
    <w:basedOn w:val="Normal"/>
    <w:link w:val="HeaderChar"/>
    <w:uiPriority w:val="99"/>
    <w:unhideWhenUsed/>
    <w:rsid w:val="001770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0F2"/>
  </w:style>
  <w:style w:type="paragraph" w:styleId="Footer">
    <w:name w:val="footer"/>
    <w:basedOn w:val="Normal"/>
    <w:link w:val="FooterChar"/>
    <w:uiPriority w:val="99"/>
    <w:unhideWhenUsed/>
    <w:rsid w:val="001770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0F2"/>
  </w:style>
  <w:style w:type="paragraph" w:styleId="NoSpacing">
    <w:name w:val="No Spacing"/>
    <w:uiPriority w:val="1"/>
    <w:qFormat/>
    <w:rsid w:val="000B6491"/>
    <w:pPr>
      <w:spacing w:after="0" w:line="240" w:lineRule="auto"/>
    </w:pPr>
    <w:rPr>
      <w:rFonts w:asciiTheme="minorHAnsi" w:eastAsiaTheme="minorHAnsi" w:hAnsiTheme="minorHAnsi" w:cstheme="minorBidi"/>
      <w:kern w:val="0"/>
      <w:sz w:val="22"/>
      <w:szCs w:val="22"/>
      <w:lang w:val="en-GB"/>
      <w14:ligatures w14:val="none"/>
    </w:rPr>
  </w:style>
  <w:style w:type="paragraph" w:styleId="BalloonText">
    <w:name w:val="Balloon Text"/>
    <w:basedOn w:val="Normal"/>
    <w:link w:val="BalloonTextChar"/>
    <w:uiPriority w:val="99"/>
    <w:semiHidden/>
    <w:unhideWhenUsed/>
    <w:rsid w:val="005C2B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B63"/>
    <w:rPr>
      <w:rFonts w:ascii="Segoe UI" w:hAnsi="Segoe UI" w:cs="Segoe UI"/>
      <w:sz w:val="18"/>
      <w:szCs w:val="18"/>
    </w:rPr>
  </w:style>
  <w:style w:type="paragraph" w:customStyle="1" w:styleId="c-bibliographic-informationcitation">
    <w:name w:val="c-bibliographic-information__citation"/>
    <w:basedOn w:val="Normal"/>
    <w:rsid w:val="00BF4FE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235727">
      <w:bodyDiv w:val="1"/>
      <w:marLeft w:val="0"/>
      <w:marRight w:val="0"/>
      <w:marTop w:val="0"/>
      <w:marBottom w:val="0"/>
      <w:divBdr>
        <w:top w:val="none" w:sz="0" w:space="0" w:color="auto"/>
        <w:left w:val="none" w:sz="0" w:space="0" w:color="auto"/>
        <w:bottom w:val="none" w:sz="0" w:space="0" w:color="auto"/>
        <w:right w:val="none" w:sz="0" w:space="0" w:color="auto"/>
      </w:divBdr>
    </w:div>
    <w:div w:id="1398169557">
      <w:bodyDiv w:val="1"/>
      <w:marLeft w:val="0"/>
      <w:marRight w:val="0"/>
      <w:marTop w:val="0"/>
      <w:marBottom w:val="0"/>
      <w:divBdr>
        <w:top w:val="none" w:sz="0" w:space="0" w:color="auto"/>
        <w:left w:val="none" w:sz="0" w:space="0" w:color="auto"/>
        <w:bottom w:val="none" w:sz="0" w:space="0" w:color="auto"/>
        <w:right w:val="none" w:sz="0" w:space="0" w:color="auto"/>
      </w:divBdr>
      <w:divsChild>
        <w:div w:id="1285650147">
          <w:marLeft w:val="0"/>
          <w:marRight w:val="0"/>
          <w:marTop w:val="0"/>
          <w:marBottom w:val="0"/>
          <w:divBdr>
            <w:top w:val="single" w:sz="6" w:space="0" w:color="000000"/>
            <w:left w:val="single" w:sz="6" w:space="0" w:color="000000"/>
            <w:bottom w:val="single" w:sz="6" w:space="0" w:color="000000"/>
            <w:right w:val="single" w:sz="6" w:space="0" w:color="000000"/>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gruyterbrill.com/document/doi/10.1515/cclm-2025-1450/html?lang=en&amp;srsltid=AfmBOopttyzYfWYQmI7qQbyoihjpV01p5u17lEiUrk1LwjPK8ciiwkwg&amp;utm_source=chatgpt.com" TargetMode="External"/><Relationship Id="rId13" Type="http://schemas.openxmlformats.org/officeDocument/2006/relationships/hyperlink" Target="https://pmc.ncbi.nlm.nih.gov/articles/PMC12954298/?utm_source=chatgpt.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doi.org/10.1515/cclm-2025-1450" TargetMode="External"/><Relationship Id="rId12" Type="http://schemas.openxmlformats.org/officeDocument/2006/relationships/hyperlink" Target="https://www.btvb.org/btvb/article/view/105?articlesBySimilarityPage=9&amp;utm_source=chatgpt.com" TargetMode="External"/><Relationship Id="rId17" Type="http://schemas.openxmlformats.org/officeDocument/2006/relationships/hyperlink" Target="https://www.mdpi.com/2218-273X/14/6/714?utm_source=chatgpt.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3390/biom14060714"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081/btvb.2023.105"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ature.com/articles/s41392-025-02198-8?utm_source=chatgpt.com" TargetMode="External"/><Relationship Id="rId23" Type="http://schemas.openxmlformats.org/officeDocument/2006/relationships/footer" Target="footer3.xml"/><Relationship Id="rId10" Type="http://schemas.openxmlformats.org/officeDocument/2006/relationships/hyperlink" Target="https://www.sciencedirect.com/science/article/pii/S1538783623006499?utm_source=chatgpt.com"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016/j.jtha.2023.08.021" TargetMode="External"/><Relationship Id="rId14" Type="http://schemas.openxmlformats.org/officeDocument/2006/relationships/hyperlink" Target="https://pmc.ncbi.nlm.nih.gov/articles/PMC12577976/?utm_source=chatgpt.co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12</Pages>
  <Words>5351</Words>
  <Characters>30502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SDI PC New 16</cp:lastModifiedBy>
  <cp:revision>29</cp:revision>
  <dcterms:created xsi:type="dcterms:W3CDTF">2026-03-26T06:32:00Z</dcterms:created>
  <dcterms:modified xsi:type="dcterms:W3CDTF">2026-04-03T06:54:00Z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cd03e4ac2cb2416da6172568fb0bbbe8</vt:lpwstr>
  </property>
</Properties>
</file>