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B445B" w14:textId="2B499A37" w:rsidR="002B73B2" w:rsidRPr="00163BC4" w:rsidRDefault="002B73B2" w:rsidP="00441B6F">
      <w:pPr>
        <w:pStyle w:val="Author"/>
        <w:spacing w:line="240" w:lineRule="auto"/>
        <w:rPr>
          <w:rFonts w:ascii="Arial" w:hAnsi="Arial" w:cs="Arial"/>
          <w:bCs/>
          <w:iCs/>
          <w:kern w:val="28"/>
          <w:sz w:val="36"/>
        </w:rPr>
      </w:pPr>
      <w:bookmarkStart w:id="0" w:name="_GoBack"/>
      <w:bookmarkEnd w:id="0"/>
      <w:r w:rsidRPr="0046513E">
        <w:rPr>
          <w:rFonts w:ascii="Arial" w:hAnsi="Arial" w:cs="Arial"/>
          <w:bCs/>
          <w:iCs/>
          <w:kern w:val="28"/>
          <w:sz w:val="36"/>
        </w:rPr>
        <w:t>Enhancing nutrient use efficiency in semi-arid lowland rice through deep placement of NPK briquettes</w:t>
      </w:r>
    </w:p>
    <w:p w14:paraId="1D8A3EFD" w14:textId="77777777" w:rsidR="002B73B2" w:rsidRPr="00790ADA" w:rsidRDefault="002B73B2" w:rsidP="00441B6F">
      <w:pPr>
        <w:pStyle w:val="Author"/>
        <w:spacing w:line="240" w:lineRule="auto"/>
        <w:jc w:val="both"/>
        <w:rPr>
          <w:rFonts w:ascii="Arial" w:hAnsi="Arial" w:cs="Arial"/>
          <w:sz w:val="36"/>
        </w:rPr>
      </w:pPr>
    </w:p>
    <w:p w14:paraId="5B9F20FD" w14:textId="77777777" w:rsidR="002B73B2" w:rsidRDefault="002B73B2" w:rsidP="0002751E">
      <w:pPr>
        <w:pStyle w:val="Affiliation"/>
        <w:spacing w:after="0" w:line="240" w:lineRule="auto"/>
        <w:rPr>
          <w:rFonts w:ascii="Arial" w:hAnsi="Arial" w:cs="Arial"/>
        </w:rPr>
      </w:pPr>
    </w:p>
    <w:p w14:paraId="02C162C7" w14:textId="1C5D052A" w:rsidR="002B73B2" w:rsidRPr="00FB3A86" w:rsidRDefault="000503C7" w:rsidP="00441B6F">
      <w:pPr>
        <w:pStyle w:val="Affiliation"/>
        <w:spacing w:after="0" w:line="240" w:lineRule="auto"/>
        <w:jc w:val="both"/>
        <w:rPr>
          <w:rFonts w:ascii="Arial" w:hAnsi="Arial" w:cs="Arial"/>
        </w:rPr>
      </w:pPr>
      <w:r w:rsidRPr="000503C7">
        <w:rPr>
          <w:rFonts w:ascii="Arial" w:hAnsi="Arial" w:cs="Arial"/>
        </w:rPr>
        <w:t>Original Research Article</w:t>
      </w:r>
    </w:p>
    <w:p w14:paraId="4FF7301A" w14:textId="77777777" w:rsidR="002B73B2" w:rsidRPr="00FB3A86" w:rsidRDefault="002B73B2" w:rsidP="00441B6F">
      <w:pPr>
        <w:pStyle w:val="Copyright"/>
        <w:spacing w:after="0" w:line="240" w:lineRule="auto"/>
        <w:jc w:val="both"/>
        <w:rPr>
          <w:rFonts w:ascii="Arial" w:hAnsi="Arial" w:cs="Arial"/>
        </w:rPr>
        <w:sectPr w:rsidR="002B73B2" w:rsidRPr="00FB3A86" w:rsidSect="002B73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E3D827" wp14:editId="53E8097D">
                <wp:extent cx="5303520" cy="635"/>
                <wp:effectExtent l="9525" t="16510" r="11430" b="12065"/>
                <wp:docPr id="7537400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A898D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58FD3E0C" w14:textId="77777777" w:rsidR="002B73B2" w:rsidRDefault="002B73B2"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64232B9" w14:textId="77777777" w:rsidR="002B73B2" w:rsidRPr="00FB3A86" w:rsidRDefault="002B73B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B73B2" w:rsidRPr="001E44FE" w14:paraId="1DD28ED0" w14:textId="77777777" w:rsidTr="001E44FE">
        <w:tc>
          <w:tcPr>
            <w:tcW w:w="9576" w:type="dxa"/>
            <w:shd w:val="clear" w:color="auto" w:fill="F2F2F2"/>
          </w:tcPr>
          <w:p w14:paraId="34A086F3" w14:textId="77777777" w:rsidR="002B73B2" w:rsidRDefault="002B73B2" w:rsidP="00441B6F">
            <w:pPr>
              <w:pStyle w:val="Body"/>
              <w:spacing w:after="0"/>
              <w:rPr>
                <w:rFonts w:ascii="Arial" w:eastAsia="Calibri" w:hAnsi="Arial" w:cs="Arial"/>
                <w:b/>
                <w:szCs w:val="22"/>
              </w:rPr>
            </w:pPr>
          </w:p>
          <w:p w14:paraId="0D65E468" w14:textId="77777777" w:rsidR="002B73B2" w:rsidRPr="00252D1B" w:rsidRDefault="002B73B2" w:rsidP="00FF027A">
            <w:pPr>
              <w:pStyle w:val="Body"/>
              <w:spacing w:after="0"/>
              <w:rPr>
                <w:rFonts w:ascii="Arial" w:hAnsi="Arial" w:cs="Arial"/>
                <w:sz w:val="22"/>
                <w:szCs w:val="22"/>
              </w:rPr>
            </w:pPr>
            <w:r w:rsidRPr="00252D1B">
              <w:rPr>
                <w:rFonts w:ascii="Arial" w:eastAsia="Calibri" w:hAnsi="Arial" w:cs="Arial"/>
                <w:b/>
                <w:sz w:val="22"/>
                <w:szCs w:val="22"/>
              </w:rPr>
              <w:t xml:space="preserve">Aims: </w:t>
            </w:r>
            <w:r w:rsidRPr="00F543D8">
              <w:rPr>
                <w:rFonts w:ascii="Arial" w:hAnsi="Arial" w:cs="Arial"/>
                <w:sz w:val="22"/>
                <w:szCs w:val="22"/>
              </w:rPr>
              <w:t>This study aimed to evaluate the effect of deep placement of NPK briquettes on nitrogen and phosphorus use efficiency in lowland rice systems under semi-arid conditions in Burkina Faso</w:t>
            </w:r>
          </w:p>
          <w:p w14:paraId="18F8323D" w14:textId="77777777" w:rsidR="002B73B2" w:rsidRPr="00252D1B" w:rsidRDefault="002B73B2" w:rsidP="00FF027A">
            <w:pPr>
              <w:pStyle w:val="Body"/>
              <w:spacing w:after="0"/>
              <w:rPr>
                <w:rFonts w:ascii="Arial" w:eastAsia="Calibri" w:hAnsi="Arial" w:cs="Arial"/>
                <w:sz w:val="22"/>
                <w:szCs w:val="22"/>
              </w:rPr>
            </w:pPr>
          </w:p>
          <w:p w14:paraId="04AC1A71" w14:textId="77777777" w:rsidR="002B73B2" w:rsidRPr="00252D1B" w:rsidRDefault="002B73B2" w:rsidP="00FF027A">
            <w:pPr>
              <w:pStyle w:val="Body"/>
              <w:spacing w:after="0"/>
              <w:rPr>
                <w:rFonts w:ascii="Arial" w:eastAsia="Calibri" w:hAnsi="Arial" w:cs="Arial"/>
                <w:sz w:val="22"/>
                <w:szCs w:val="22"/>
              </w:rPr>
            </w:pPr>
            <w:r w:rsidRPr="00252D1B">
              <w:rPr>
                <w:rFonts w:ascii="Arial" w:eastAsia="Calibri" w:hAnsi="Arial" w:cs="Arial"/>
                <w:b/>
                <w:sz w:val="22"/>
                <w:szCs w:val="22"/>
              </w:rPr>
              <w:t>Study design:</w:t>
            </w:r>
            <w:r w:rsidRPr="00252D1B">
              <w:rPr>
                <w:rFonts w:ascii="Arial" w:eastAsia="Calibri" w:hAnsi="Arial" w:cs="Arial"/>
                <w:sz w:val="22"/>
                <w:szCs w:val="22"/>
              </w:rPr>
              <w:t xml:space="preserve">  </w:t>
            </w:r>
            <w:r w:rsidRPr="00F543D8">
              <w:rPr>
                <w:rFonts w:ascii="Arial" w:hAnsi="Arial" w:cs="Arial"/>
                <w:sz w:val="22"/>
                <w:szCs w:val="22"/>
              </w:rPr>
              <w:t>A completely randomized experimental design with three replications was used to compare different fertilizer management practices</w:t>
            </w:r>
            <w:r w:rsidRPr="00252D1B">
              <w:rPr>
                <w:rFonts w:ascii="Arial" w:eastAsia="Calibri" w:hAnsi="Arial" w:cs="Arial"/>
                <w:sz w:val="22"/>
                <w:szCs w:val="22"/>
              </w:rPr>
              <w:t>.</w:t>
            </w:r>
          </w:p>
          <w:p w14:paraId="597F1114" w14:textId="77777777" w:rsidR="002B73B2" w:rsidRPr="00252D1B" w:rsidRDefault="002B73B2" w:rsidP="00FF027A">
            <w:pPr>
              <w:spacing w:after="160" w:line="278" w:lineRule="auto"/>
              <w:jc w:val="both"/>
              <w:rPr>
                <w:rFonts w:ascii="Arial" w:hAnsi="Arial" w:cs="Arial"/>
                <w:sz w:val="22"/>
                <w:szCs w:val="22"/>
              </w:rPr>
            </w:pPr>
            <w:r w:rsidRPr="00252D1B">
              <w:rPr>
                <w:rFonts w:ascii="Arial" w:eastAsia="Calibri" w:hAnsi="Arial" w:cs="Arial"/>
                <w:b/>
                <w:sz w:val="22"/>
                <w:szCs w:val="22"/>
              </w:rPr>
              <w:t>Place and Duration of the study:</w:t>
            </w:r>
            <w:r w:rsidRPr="00252D1B">
              <w:rPr>
                <w:rFonts w:ascii="Arial" w:eastAsia="Calibri" w:hAnsi="Arial" w:cs="Arial"/>
                <w:sz w:val="22"/>
                <w:szCs w:val="22"/>
              </w:rPr>
              <w:t xml:space="preserve"> </w:t>
            </w:r>
            <w:r w:rsidRPr="00F543D8">
              <w:rPr>
                <w:rFonts w:ascii="Arial" w:hAnsi="Arial" w:cs="Arial"/>
                <w:sz w:val="22"/>
                <w:szCs w:val="22"/>
              </w:rPr>
              <w:t xml:space="preserve">The experiment was conducted in a lowland rice production area in the semi-arid zone of Burkina Faso during </w:t>
            </w:r>
            <w:r w:rsidRPr="00252D1B">
              <w:rPr>
                <w:rFonts w:ascii="Arial" w:hAnsi="Arial" w:cs="Arial"/>
                <w:sz w:val="22"/>
                <w:szCs w:val="22"/>
              </w:rPr>
              <w:t xml:space="preserve">the 2022–2023 </w:t>
            </w:r>
            <w:r w:rsidRPr="00F543D8">
              <w:rPr>
                <w:rFonts w:ascii="Arial" w:hAnsi="Arial" w:cs="Arial"/>
                <w:sz w:val="22"/>
                <w:szCs w:val="22"/>
              </w:rPr>
              <w:t>cropping season.</w:t>
            </w:r>
          </w:p>
          <w:p w14:paraId="7ABF16A9" w14:textId="47FBC710" w:rsidR="002B73B2" w:rsidRPr="00F543D8" w:rsidRDefault="002B73B2" w:rsidP="00FF027A">
            <w:pPr>
              <w:spacing w:after="160" w:line="278" w:lineRule="auto"/>
              <w:jc w:val="both"/>
              <w:rPr>
                <w:rFonts w:ascii="Arial" w:hAnsi="Arial" w:cs="Arial"/>
                <w:sz w:val="22"/>
                <w:szCs w:val="22"/>
              </w:rPr>
            </w:pPr>
            <w:r w:rsidRPr="00252D1B">
              <w:rPr>
                <w:rFonts w:ascii="Arial" w:eastAsia="Calibri" w:hAnsi="Arial" w:cs="Arial"/>
                <w:b/>
                <w:bCs/>
                <w:sz w:val="22"/>
                <w:szCs w:val="22"/>
              </w:rPr>
              <w:t>Methodology:</w:t>
            </w:r>
            <w:r w:rsidRPr="00252D1B">
              <w:rPr>
                <w:rFonts w:ascii="Arial" w:eastAsia="Calibri" w:hAnsi="Arial" w:cs="Arial"/>
                <w:sz w:val="22"/>
                <w:szCs w:val="22"/>
              </w:rPr>
              <w:t xml:space="preserve"> </w:t>
            </w:r>
            <w:r w:rsidRPr="00F543D8">
              <w:rPr>
                <w:rFonts w:ascii="Arial" w:hAnsi="Arial" w:cs="Arial"/>
                <w:sz w:val="22"/>
                <w:szCs w:val="22"/>
              </w:rPr>
              <w:t>Five fertilizer treatments were tested: (</w:t>
            </w:r>
            <w:proofErr w:type="spellStart"/>
            <w:r w:rsidRPr="00F543D8">
              <w:rPr>
                <w:rFonts w:ascii="Arial" w:hAnsi="Arial" w:cs="Arial"/>
                <w:sz w:val="22"/>
                <w:szCs w:val="22"/>
              </w:rPr>
              <w:t>i</w:t>
            </w:r>
            <w:proofErr w:type="spellEnd"/>
            <w:r w:rsidRPr="00F543D8">
              <w:rPr>
                <w:rFonts w:ascii="Arial" w:hAnsi="Arial" w:cs="Arial"/>
                <w:sz w:val="22"/>
                <w:szCs w:val="22"/>
              </w:rPr>
              <w:t>) control without fertilizer; (ii) farmer’s practice (150 kg ha</w:t>
            </w:r>
            <w:r w:rsidRPr="00F543D8">
              <w:rPr>
                <w:rFonts w:ascii="Cambria Math" w:hAnsi="Cambria Math" w:cs="Cambria Math"/>
                <w:sz w:val="22"/>
                <w:szCs w:val="22"/>
              </w:rPr>
              <w:t>⁻</w:t>
            </w:r>
            <w:r w:rsidRPr="00F543D8">
              <w:rPr>
                <w:rFonts w:ascii="Arial" w:hAnsi="Arial" w:cs="Arial"/>
                <w:sz w:val="22"/>
                <w:szCs w:val="22"/>
              </w:rPr>
              <w:t>¹ NPK + 100 kg ha</w:t>
            </w:r>
            <w:r w:rsidRPr="00F543D8">
              <w:rPr>
                <w:rFonts w:ascii="Cambria Math" w:hAnsi="Cambria Math" w:cs="Cambria Math"/>
                <w:sz w:val="22"/>
                <w:szCs w:val="22"/>
              </w:rPr>
              <w:t>⁻</w:t>
            </w:r>
            <w:r w:rsidRPr="00F543D8">
              <w:rPr>
                <w:rFonts w:ascii="Arial" w:hAnsi="Arial" w:cs="Arial"/>
                <w:sz w:val="22"/>
                <w:szCs w:val="22"/>
              </w:rPr>
              <w:t xml:space="preserve">¹ </w:t>
            </w:r>
            <w:proofErr w:type="spellStart"/>
            <w:r w:rsidRPr="00F543D8">
              <w:rPr>
                <w:rFonts w:ascii="Arial" w:hAnsi="Arial" w:cs="Arial"/>
                <w:sz w:val="22"/>
                <w:szCs w:val="22"/>
              </w:rPr>
              <w:t>prilled</w:t>
            </w:r>
            <w:proofErr w:type="spellEnd"/>
            <w:r w:rsidRPr="00F543D8">
              <w:rPr>
                <w:rFonts w:ascii="Arial" w:hAnsi="Arial" w:cs="Arial"/>
                <w:sz w:val="22"/>
                <w:szCs w:val="22"/>
              </w:rPr>
              <w:t xml:space="preserve"> urea); (iii) 150 kg ha</w:t>
            </w:r>
            <w:r w:rsidRPr="00F543D8">
              <w:rPr>
                <w:rFonts w:ascii="Cambria Math" w:hAnsi="Cambria Math" w:cs="Cambria Math"/>
                <w:sz w:val="22"/>
                <w:szCs w:val="22"/>
              </w:rPr>
              <w:t>⁻</w:t>
            </w:r>
            <w:r w:rsidRPr="00F543D8">
              <w:rPr>
                <w:rFonts w:ascii="Arial" w:hAnsi="Arial" w:cs="Arial"/>
                <w:sz w:val="22"/>
                <w:szCs w:val="22"/>
              </w:rPr>
              <w:t>¹ NPK + 1.8 g urea super granule (USG); (iv) two 1.8 g NPK super granules (SG-NPK); and (v) two 1.8 g SG-NPK + 100 kg ha</w:t>
            </w:r>
            <w:r w:rsidRPr="00F543D8">
              <w:rPr>
                <w:rFonts w:ascii="Cambria Math" w:hAnsi="Cambria Math" w:cs="Cambria Math"/>
                <w:sz w:val="22"/>
                <w:szCs w:val="22"/>
              </w:rPr>
              <w:t>⁻</w:t>
            </w:r>
            <w:r w:rsidRPr="00F543D8">
              <w:rPr>
                <w:rFonts w:ascii="Arial" w:hAnsi="Arial" w:cs="Arial"/>
                <w:sz w:val="22"/>
                <w:szCs w:val="22"/>
              </w:rPr>
              <w:t xml:space="preserve">¹ </w:t>
            </w:r>
            <w:proofErr w:type="spellStart"/>
            <w:r w:rsidRPr="00F543D8">
              <w:rPr>
                <w:rFonts w:ascii="Arial" w:hAnsi="Arial" w:cs="Arial"/>
                <w:sz w:val="22"/>
                <w:szCs w:val="22"/>
              </w:rPr>
              <w:t>prilled</w:t>
            </w:r>
            <w:proofErr w:type="spellEnd"/>
            <w:r w:rsidRPr="00F543D8">
              <w:rPr>
                <w:rFonts w:ascii="Arial" w:hAnsi="Arial" w:cs="Arial"/>
                <w:sz w:val="22"/>
                <w:szCs w:val="22"/>
              </w:rPr>
              <w:t xml:space="preserve"> urea. </w:t>
            </w:r>
            <w:r w:rsidR="005D7BAA" w:rsidRPr="00F543D8">
              <w:rPr>
                <w:rFonts w:ascii="Arial" w:hAnsi="Arial" w:cs="Arial"/>
                <w:sz w:val="22"/>
                <w:szCs w:val="22"/>
              </w:rPr>
              <w:t>Agronomic efficiency (AE), internal efficiency (IE), physiological efficiency (PE), and partial factor productivity (PFP) were calculated for each treatment.</w:t>
            </w:r>
            <w:r w:rsidRPr="00F543D8">
              <w:rPr>
                <w:rFonts w:ascii="Arial" w:hAnsi="Arial" w:cs="Arial"/>
                <w:sz w:val="22"/>
                <w:szCs w:val="22"/>
              </w:rPr>
              <w:t xml:space="preserve"> Data were analyzed using ANOVA in GenStat (12th edition).</w:t>
            </w:r>
          </w:p>
          <w:p w14:paraId="0FD54EE7" w14:textId="77777777" w:rsidR="002B73B2" w:rsidRPr="00F543D8" w:rsidRDefault="002B73B2" w:rsidP="00FF027A">
            <w:pPr>
              <w:spacing w:after="160" w:line="278" w:lineRule="auto"/>
              <w:jc w:val="both"/>
              <w:rPr>
                <w:rFonts w:ascii="Arial" w:hAnsi="Arial" w:cs="Arial"/>
                <w:sz w:val="22"/>
                <w:szCs w:val="22"/>
              </w:rPr>
            </w:pPr>
            <w:r w:rsidRPr="00252D1B">
              <w:rPr>
                <w:rFonts w:ascii="Arial" w:eastAsia="Calibri" w:hAnsi="Arial" w:cs="Arial"/>
                <w:b/>
                <w:bCs/>
                <w:sz w:val="22"/>
                <w:szCs w:val="22"/>
              </w:rPr>
              <w:t>Results:</w:t>
            </w:r>
            <w:r w:rsidRPr="00252D1B">
              <w:rPr>
                <w:rFonts w:ascii="Arial" w:eastAsia="Calibri" w:hAnsi="Arial" w:cs="Arial"/>
                <w:sz w:val="22"/>
                <w:szCs w:val="22"/>
              </w:rPr>
              <w:t xml:space="preserve"> </w:t>
            </w:r>
            <w:r w:rsidRPr="00F543D8">
              <w:rPr>
                <w:rFonts w:ascii="Arial" w:hAnsi="Arial" w:cs="Arial"/>
                <w:sz w:val="22"/>
                <w:szCs w:val="22"/>
              </w:rPr>
              <w:t>The combination of two SG-NPK with 100 kg ha</w:t>
            </w:r>
            <w:r w:rsidRPr="00F543D8">
              <w:rPr>
                <w:rFonts w:ascii="Cambria Math" w:hAnsi="Cambria Math" w:cs="Cambria Math"/>
                <w:sz w:val="22"/>
                <w:szCs w:val="22"/>
              </w:rPr>
              <w:t>⁻</w:t>
            </w:r>
            <w:r w:rsidRPr="00F543D8">
              <w:rPr>
                <w:rFonts w:ascii="Arial" w:hAnsi="Arial" w:cs="Arial"/>
                <w:sz w:val="22"/>
                <w:szCs w:val="22"/>
              </w:rPr>
              <w:t xml:space="preserve">¹ </w:t>
            </w:r>
            <w:proofErr w:type="spellStart"/>
            <w:r w:rsidRPr="00F543D8">
              <w:rPr>
                <w:rFonts w:ascii="Arial" w:hAnsi="Arial" w:cs="Arial"/>
                <w:sz w:val="22"/>
                <w:szCs w:val="22"/>
              </w:rPr>
              <w:t>prilled</w:t>
            </w:r>
            <w:proofErr w:type="spellEnd"/>
            <w:r w:rsidRPr="00F543D8">
              <w:rPr>
                <w:rFonts w:ascii="Arial" w:hAnsi="Arial" w:cs="Arial"/>
                <w:sz w:val="22"/>
                <w:szCs w:val="22"/>
              </w:rPr>
              <w:t xml:space="preserve"> urea increased internal and physiological nitrogen use efficiency by 32.86% and 203.58%, respectively, compared with the farmer’s practice. The highest phosphorus agronomic efficiency (38.45 kg paddy kg</w:t>
            </w:r>
            <w:r w:rsidRPr="00F543D8">
              <w:rPr>
                <w:rFonts w:ascii="Cambria Math" w:hAnsi="Cambria Math" w:cs="Cambria Math"/>
                <w:sz w:val="22"/>
                <w:szCs w:val="22"/>
              </w:rPr>
              <w:t>⁻</w:t>
            </w:r>
            <w:r w:rsidRPr="00F543D8">
              <w:rPr>
                <w:rFonts w:ascii="Arial" w:hAnsi="Arial" w:cs="Arial"/>
                <w:sz w:val="22"/>
                <w:szCs w:val="22"/>
              </w:rPr>
              <w:t>¹ P applied) was obtained with 150 kg ha</w:t>
            </w:r>
            <w:r w:rsidRPr="00F543D8">
              <w:rPr>
                <w:rFonts w:ascii="Cambria Math" w:hAnsi="Cambria Math" w:cs="Cambria Math"/>
                <w:sz w:val="22"/>
                <w:szCs w:val="22"/>
              </w:rPr>
              <w:t>⁻</w:t>
            </w:r>
            <w:r w:rsidRPr="00F543D8">
              <w:rPr>
                <w:rFonts w:ascii="Arial" w:hAnsi="Arial" w:cs="Arial"/>
                <w:sz w:val="22"/>
                <w:szCs w:val="22"/>
              </w:rPr>
              <w:t>¹ NPK + 1.8 g USG. This treatment also produced the highest partial factor productivity (61.09 kg paddy kg</w:t>
            </w:r>
            <w:r w:rsidRPr="00F543D8">
              <w:rPr>
                <w:rFonts w:ascii="Cambria Math" w:hAnsi="Cambria Math" w:cs="Cambria Math"/>
                <w:sz w:val="22"/>
                <w:szCs w:val="22"/>
              </w:rPr>
              <w:t>⁻</w:t>
            </w:r>
            <w:r w:rsidRPr="00F543D8">
              <w:rPr>
                <w:rFonts w:ascii="Arial" w:hAnsi="Arial" w:cs="Arial"/>
                <w:sz w:val="22"/>
                <w:szCs w:val="22"/>
              </w:rPr>
              <w:t>¹ N and 119.03 kg paddy kg</w:t>
            </w:r>
            <w:r w:rsidRPr="00F543D8">
              <w:rPr>
                <w:rFonts w:ascii="Cambria Math" w:hAnsi="Cambria Math" w:cs="Cambria Math"/>
                <w:sz w:val="22"/>
                <w:szCs w:val="22"/>
              </w:rPr>
              <w:t>⁻</w:t>
            </w:r>
            <w:r w:rsidRPr="00F543D8">
              <w:rPr>
                <w:rFonts w:ascii="Arial" w:hAnsi="Arial" w:cs="Arial"/>
                <w:sz w:val="22"/>
                <w:szCs w:val="22"/>
              </w:rPr>
              <w:t>¹ P applied).</w:t>
            </w:r>
          </w:p>
          <w:p w14:paraId="0540B0FD" w14:textId="77777777" w:rsidR="002B73B2" w:rsidRPr="00264FEB" w:rsidRDefault="002B73B2" w:rsidP="00FF027A">
            <w:pPr>
              <w:spacing w:after="160" w:line="278" w:lineRule="auto"/>
              <w:jc w:val="both"/>
            </w:pPr>
            <w:r w:rsidRPr="00252D1B">
              <w:rPr>
                <w:rFonts w:ascii="Arial" w:eastAsia="Calibri" w:hAnsi="Arial" w:cs="Arial"/>
                <w:b/>
                <w:bCs/>
                <w:sz w:val="22"/>
                <w:szCs w:val="22"/>
              </w:rPr>
              <w:t>Conclusion:</w:t>
            </w:r>
            <w:r w:rsidRPr="00252D1B">
              <w:rPr>
                <w:rFonts w:ascii="Arial" w:eastAsia="Calibri" w:hAnsi="Arial" w:cs="Arial"/>
                <w:sz w:val="22"/>
                <w:szCs w:val="22"/>
              </w:rPr>
              <w:t xml:space="preserve"> </w:t>
            </w:r>
            <w:r w:rsidRPr="00F543D8">
              <w:rPr>
                <w:rFonts w:ascii="Arial" w:hAnsi="Arial" w:cs="Arial"/>
                <w:sz w:val="22"/>
                <w:szCs w:val="22"/>
              </w:rPr>
              <w:t>Deep placement of NPK briquettes significantly improves nutrient use efficiency in lowland rice under semi-arid conditions, suggesting its potential as an effective strategy for optimizing nitrogen and phosphorus management.</w:t>
            </w:r>
          </w:p>
        </w:tc>
      </w:tr>
    </w:tbl>
    <w:p w14:paraId="31BD7E2E" w14:textId="77777777" w:rsidR="002B73B2" w:rsidRDefault="002B73B2" w:rsidP="00441B6F">
      <w:pPr>
        <w:pStyle w:val="Body"/>
        <w:spacing w:after="0"/>
        <w:rPr>
          <w:rFonts w:ascii="Arial" w:hAnsi="Arial" w:cs="Arial"/>
          <w:i/>
        </w:rPr>
      </w:pPr>
    </w:p>
    <w:p w14:paraId="4D9E8287" w14:textId="3CE1036B" w:rsidR="002B73B2" w:rsidRDefault="00830B89" w:rsidP="00441B6F">
      <w:pPr>
        <w:pStyle w:val="Body"/>
        <w:spacing w:after="0"/>
        <w:rPr>
          <w:rFonts w:ascii="Arial" w:hAnsi="Arial" w:cs="Arial"/>
          <w:i/>
        </w:rPr>
      </w:pPr>
      <w:r>
        <w:rPr>
          <w:rFonts w:ascii="Arial" w:hAnsi="Arial" w:cs="Arial"/>
          <w:i/>
        </w:rPr>
        <w:t xml:space="preserve">Keywords: </w:t>
      </w:r>
      <w:r w:rsidRPr="003D7D7C">
        <w:rPr>
          <w:rFonts w:ascii="Arial" w:hAnsi="Arial" w:cs="Arial"/>
          <w:i/>
        </w:rPr>
        <w:t>NPK briquettes, deep placement, nutrient use efficiency, agronomic efficiency, lowland rice, Burkina Faso</w:t>
      </w:r>
    </w:p>
    <w:p w14:paraId="55024A63" w14:textId="77777777" w:rsidR="002B73B2" w:rsidRDefault="002B73B2" w:rsidP="00441B6F">
      <w:pPr>
        <w:pStyle w:val="Body"/>
        <w:spacing w:after="0"/>
        <w:rPr>
          <w:rFonts w:ascii="Arial" w:hAnsi="Arial" w:cs="Arial"/>
          <w:i/>
        </w:rPr>
      </w:pPr>
    </w:p>
    <w:p w14:paraId="53EC8D88" w14:textId="77777777" w:rsidR="002B73B2" w:rsidRDefault="002B73B2" w:rsidP="00441B6F">
      <w:pPr>
        <w:pStyle w:val="Body"/>
        <w:spacing w:after="0"/>
        <w:rPr>
          <w:rFonts w:ascii="Arial" w:hAnsi="Arial" w:cs="Arial"/>
          <w:i/>
          <w:sz w:val="18"/>
        </w:rPr>
      </w:pPr>
    </w:p>
    <w:p w14:paraId="34FE84E1" w14:textId="77777777" w:rsidR="002B73B2" w:rsidRPr="00A24E7E" w:rsidRDefault="002B73B2" w:rsidP="00441B6F">
      <w:pPr>
        <w:pStyle w:val="Body"/>
        <w:spacing w:after="0"/>
        <w:rPr>
          <w:rFonts w:ascii="Arial" w:hAnsi="Arial" w:cs="Arial"/>
          <w:i/>
        </w:rPr>
      </w:pPr>
    </w:p>
    <w:p w14:paraId="233C89DA" w14:textId="77777777" w:rsidR="002B73B2" w:rsidRDefault="002B73B2" w:rsidP="00441B6F">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64812910" w14:textId="77777777" w:rsidR="002B73B2" w:rsidRPr="00FB3A86" w:rsidRDefault="002B73B2" w:rsidP="00441B6F">
      <w:pPr>
        <w:pStyle w:val="AbstHead"/>
        <w:spacing w:after="0"/>
        <w:jc w:val="both"/>
        <w:rPr>
          <w:rFonts w:ascii="Arial" w:hAnsi="Arial" w:cs="Arial"/>
        </w:rPr>
      </w:pPr>
    </w:p>
    <w:p w14:paraId="13B1530D" w14:textId="5D8B69C1" w:rsidR="002B73B2" w:rsidRPr="00851759" w:rsidRDefault="002B73B2" w:rsidP="00851759">
      <w:pPr>
        <w:jc w:val="both"/>
        <w:rPr>
          <w:rFonts w:ascii="Arial" w:hAnsi="Arial" w:cs="Arial"/>
          <w:sz w:val="22"/>
          <w:szCs w:val="22"/>
        </w:rPr>
      </w:pPr>
      <w:r w:rsidRPr="00BA5459">
        <w:rPr>
          <w:rFonts w:ascii="Arial" w:hAnsi="Arial" w:cs="Arial"/>
          <w:sz w:val="22"/>
          <w:szCs w:val="22"/>
        </w:rPr>
        <w:t xml:space="preserve">Global food security remains a major challenge today, with a constantly growing world population and limited natural resources (FAO, 2020). </w:t>
      </w:r>
      <w:r w:rsidR="005D7BAA" w:rsidRPr="00B73C6C">
        <w:rPr>
          <w:rFonts w:ascii="Arial" w:hAnsi="Arial" w:cs="Arial"/>
          <w:sz w:val="22"/>
          <w:szCs w:val="22"/>
        </w:rPr>
        <w:t>Rice, a major staple crop, plays a critical role in providing calories and nutrients to millions worldwide</w:t>
      </w:r>
      <w:r w:rsidR="005D7BAA" w:rsidRPr="00BA5459">
        <w:rPr>
          <w:rFonts w:ascii="Arial" w:hAnsi="Arial" w:cs="Arial"/>
          <w:sz w:val="22"/>
          <w:szCs w:val="22"/>
        </w:rPr>
        <w:t xml:space="preserve"> (McDermid et al., 2023).</w:t>
      </w:r>
      <w:r w:rsidRPr="00BA5459">
        <w:rPr>
          <w:rFonts w:ascii="Arial" w:hAnsi="Arial" w:cs="Arial"/>
          <w:sz w:val="22"/>
          <w:szCs w:val="22"/>
        </w:rPr>
        <w:t xml:space="preserve"> </w:t>
      </w:r>
      <w:r w:rsidR="00B73C6C">
        <w:rPr>
          <w:rFonts w:ascii="Arial" w:hAnsi="Arial" w:cs="Arial"/>
          <w:sz w:val="22"/>
          <w:szCs w:val="22"/>
        </w:rPr>
        <w:t xml:space="preserve">In </w:t>
      </w:r>
      <w:r w:rsidRPr="00BA5459">
        <w:rPr>
          <w:rFonts w:ascii="Arial" w:hAnsi="Arial" w:cs="Arial"/>
          <w:sz w:val="22"/>
          <w:szCs w:val="22"/>
        </w:rPr>
        <w:t xml:space="preserve">Burkina Faso, a landlocked country in West Africa, </w:t>
      </w:r>
      <w:r w:rsidR="00084748" w:rsidRPr="00084748">
        <w:rPr>
          <w:rFonts w:ascii="Arial" w:hAnsi="Arial" w:cs="Arial"/>
          <w:sz w:val="22"/>
          <w:szCs w:val="22"/>
        </w:rPr>
        <w:t>agriculture remains the backbone of the economy and food supply</w:t>
      </w:r>
      <w:r w:rsidR="00084748">
        <w:rPr>
          <w:rFonts w:ascii="Arial" w:hAnsi="Arial" w:cs="Arial"/>
          <w:sz w:val="22"/>
          <w:szCs w:val="22"/>
        </w:rPr>
        <w:t xml:space="preserve">. </w:t>
      </w:r>
      <w:r w:rsidR="00830B89" w:rsidRPr="00084748">
        <w:rPr>
          <w:rFonts w:ascii="Arial" w:hAnsi="Arial" w:cs="Arial"/>
          <w:sz w:val="22"/>
          <w:szCs w:val="22"/>
        </w:rPr>
        <w:t>Rice production is particularly important for meeting the dietary needs of its growing population; however, domestic output still falls short of demand, leading to substantial imports</w:t>
      </w:r>
      <w:r w:rsidR="00830B89">
        <w:rPr>
          <w:rFonts w:ascii="Arial" w:hAnsi="Arial" w:cs="Arial"/>
          <w:sz w:val="22"/>
          <w:szCs w:val="22"/>
        </w:rPr>
        <w:t xml:space="preserve"> </w:t>
      </w:r>
      <w:r w:rsidR="00830B89" w:rsidRPr="00830B89">
        <w:rPr>
          <w:rFonts w:ascii="Arial" w:hAnsi="Arial" w:cs="Arial"/>
          <w:sz w:val="22"/>
          <w:szCs w:val="22"/>
        </w:rPr>
        <w:t>(AGRA, 2023</w:t>
      </w:r>
      <w:r w:rsidR="00830B89">
        <w:rPr>
          <w:rFonts w:ascii="Arial" w:hAnsi="Arial" w:cs="Arial"/>
          <w:sz w:val="22"/>
          <w:szCs w:val="22"/>
        </w:rPr>
        <w:t>).</w:t>
      </w:r>
      <w:r w:rsidRPr="00BA5459">
        <w:rPr>
          <w:rFonts w:ascii="Arial" w:hAnsi="Arial" w:cs="Arial"/>
          <w:sz w:val="22"/>
          <w:szCs w:val="22"/>
        </w:rPr>
        <w:t xml:space="preserve"> However, rice </w:t>
      </w:r>
      <w:r w:rsidR="00084748">
        <w:rPr>
          <w:rFonts w:ascii="Arial" w:hAnsi="Arial" w:cs="Arial"/>
          <w:sz w:val="22"/>
          <w:szCs w:val="22"/>
        </w:rPr>
        <w:t>cultivation</w:t>
      </w:r>
      <w:r w:rsidRPr="00BA5459">
        <w:rPr>
          <w:rFonts w:ascii="Arial" w:hAnsi="Arial" w:cs="Arial"/>
          <w:sz w:val="22"/>
          <w:szCs w:val="22"/>
        </w:rPr>
        <w:t xml:space="preserve"> in Burkina Faso</w:t>
      </w:r>
      <w:r w:rsidR="00084748">
        <w:rPr>
          <w:rFonts w:ascii="Arial" w:hAnsi="Arial" w:cs="Arial"/>
          <w:sz w:val="22"/>
          <w:szCs w:val="22"/>
        </w:rPr>
        <w:t xml:space="preserve">, </w:t>
      </w:r>
      <w:r w:rsidR="00084748" w:rsidRPr="00084748">
        <w:rPr>
          <w:rFonts w:ascii="Arial" w:hAnsi="Arial" w:cs="Arial"/>
          <w:sz w:val="22"/>
          <w:szCs w:val="22"/>
        </w:rPr>
        <w:t>especially in semi-arid lowland systems</w:t>
      </w:r>
      <w:r w:rsidR="00084748">
        <w:rPr>
          <w:rFonts w:ascii="Arial" w:hAnsi="Arial" w:cs="Arial"/>
          <w:sz w:val="22"/>
          <w:szCs w:val="22"/>
        </w:rPr>
        <w:t xml:space="preserve">, </w:t>
      </w:r>
      <w:r w:rsidR="00084748" w:rsidRPr="00084748">
        <w:rPr>
          <w:rFonts w:ascii="Arial" w:hAnsi="Arial" w:cs="Arial"/>
          <w:sz w:val="22"/>
          <w:szCs w:val="22"/>
        </w:rPr>
        <w:t>is constrained by</w:t>
      </w:r>
      <w:r w:rsidRPr="00BA5459">
        <w:rPr>
          <w:rFonts w:ascii="Arial" w:hAnsi="Arial" w:cs="Arial"/>
          <w:sz w:val="22"/>
          <w:szCs w:val="22"/>
        </w:rPr>
        <w:t xml:space="preserve"> </w:t>
      </w:r>
      <w:r w:rsidR="00084748" w:rsidRPr="00084748">
        <w:rPr>
          <w:rFonts w:ascii="Arial" w:hAnsi="Arial" w:cs="Arial"/>
          <w:sz w:val="22"/>
          <w:szCs w:val="22"/>
        </w:rPr>
        <w:t>several factors</w:t>
      </w:r>
      <w:r w:rsidRPr="00BA5459">
        <w:rPr>
          <w:rFonts w:ascii="Arial" w:hAnsi="Arial" w:cs="Arial"/>
          <w:sz w:val="22"/>
          <w:szCs w:val="22"/>
        </w:rPr>
        <w:t xml:space="preserve">, including </w:t>
      </w:r>
      <w:r w:rsidR="00084748" w:rsidRPr="00084748">
        <w:rPr>
          <w:rFonts w:ascii="Arial" w:hAnsi="Arial" w:cs="Arial"/>
          <w:sz w:val="22"/>
          <w:szCs w:val="22"/>
        </w:rPr>
        <w:t>inherently</w:t>
      </w:r>
      <w:r w:rsidR="00084748">
        <w:rPr>
          <w:rFonts w:ascii="Arial" w:hAnsi="Arial" w:cs="Arial"/>
          <w:sz w:val="22"/>
          <w:szCs w:val="22"/>
        </w:rPr>
        <w:t xml:space="preserve"> </w:t>
      </w:r>
      <w:r w:rsidRPr="00BA5459">
        <w:rPr>
          <w:rFonts w:ascii="Arial" w:hAnsi="Arial" w:cs="Arial"/>
          <w:sz w:val="22"/>
          <w:szCs w:val="22"/>
        </w:rPr>
        <w:t>low soil fertility, inefficient nutrient management</w:t>
      </w:r>
      <w:r w:rsidR="00084748">
        <w:rPr>
          <w:rFonts w:ascii="Arial" w:hAnsi="Arial" w:cs="Arial"/>
          <w:sz w:val="22"/>
          <w:szCs w:val="22"/>
        </w:rPr>
        <w:t xml:space="preserve"> practices</w:t>
      </w:r>
      <w:r w:rsidRPr="00BA5459">
        <w:rPr>
          <w:rFonts w:ascii="Arial" w:hAnsi="Arial" w:cs="Arial"/>
          <w:sz w:val="22"/>
          <w:szCs w:val="22"/>
        </w:rPr>
        <w:t xml:space="preserve">, </w:t>
      </w:r>
      <w:r w:rsidR="00084748" w:rsidRPr="00084748">
        <w:rPr>
          <w:rFonts w:ascii="Arial" w:hAnsi="Arial" w:cs="Arial"/>
          <w:sz w:val="22"/>
          <w:szCs w:val="22"/>
        </w:rPr>
        <w:t xml:space="preserve">inefficient nutrient management practices, irregular water availability, and the impacts of climate variability </w:t>
      </w:r>
      <w:r w:rsidRPr="00BA5459">
        <w:rPr>
          <w:rFonts w:ascii="Arial" w:hAnsi="Arial" w:cs="Arial"/>
          <w:sz w:val="22"/>
          <w:szCs w:val="22"/>
        </w:rPr>
        <w:t>(MAAHA, 2020</w:t>
      </w:r>
      <w:r w:rsidR="00084748">
        <w:rPr>
          <w:rFonts w:ascii="Arial" w:hAnsi="Arial" w:cs="Arial"/>
          <w:sz w:val="22"/>
          <w:szCs w:val="22"/>
        </w:rPr>
        <w:t xml:space="preserve">; </w:t>
      </w:r>
      <w:proofErr w:type="spellStart"/>
      <w:r w:rsidR="00084748" w:rsidRPr="00BA5459">
        <w:rPr>
          <w:rFonts w:ascii="Arial" w:hAnsi="Arial" w:cs="Arial"/>
          <w:sz w:val="22"/>
          <w:szCs w:val="22"/>
        </w:rPr>
        <w:t>Koutou</w:t>
      </w:r>
      <w:proofErr w:type="spellEnd"/>
      <w:r w:rsidR="00084748" w:rsidRPr="00BA5459">
        <w:rPr>
          <w:rFonts w:ascii="Arial" w:hAnsi="Arial" w:cs="Arial"/>
          <w:sz w:val="22"/>
          <w:szCs w:val="22"/>
        </w:rPr>
        <w:t xml:space="preserve"> et al., 2021</w:t>
      </w:r>
      <w:r w:rsidRPr="00BA5459">
        <w:rPr>
          <w:rFonts w:ascii="Arial" w:hAnsi="Arial" w:cs="Arial"/>
          <w:sz w:val="22"/>
          <w:szCs w:val="22"/>
        </w:rPr>
        <w:t xml:space="preserve">). </w:t>
      </w:r>
      <w:r w:rsidR="00084748" w:rsidRPr="00084748">
        <w:rPr>
          <w:rFonts w:ascii="Arial" w:hAnsi="Arial" w:cs="Arial"/>
          <w:sz w:val="22"/>
          <w:szCs w:val="22"/>
        </w:rPr>
        <w:t xml:space="preserve">Conventional fertilizer practices, which rely heavily on broadcast application of </w:t>
      </w:r>
      <w:proofErr w:type="spellStart"/>
      <w:r w:rsidR="00084748" w:rsidRPr="00084748">
        <w:rPr>
          <w:rFonts w:ascii="Arial" w:hAnsi="Arial" w:cs="Arial"/>
          <w:sz w:val="22"/>
          <w:szCs w:val="22"/>
        </w:rPr>
        <w:t>prilled</w:t>
      </w:r>
      <w:proofErr w:type="spellEnd"/>
      <w:r w:rsidR="00084748" w:rsidRPr="00084748">
        <w:rPr>
          <w:rFonts w:ascii="Arial" w:hAnsi="Arial" w:cs="Arial"/>
          <w:sz w:val="22"/>
          <w:szCs w:val="22"/>
        </w:rPr>
        <w:t xml:space="preserve"> urea and compound NPK fertilizers, result in low nutrient use efficiency. </w:t>
      </w:r>
      <w:r w:rsidR="005D7BAA" w:rsidRPr="00084748">
        <w:rPr>
          <w:rFonts w:ascii="Arial" w:hAnsi="Arial" w:cs="Arial"/>
          <w:sz w:val="22"/>
          <w:szCs w:val="22"/>
        </w:rPr>
        <w:t>Under such conditions, nitrogen recovery by rice plants is often only 30</w:t>
      </w:r>
      <w:r w:rsidR="005D7BAA">
        <w:rPr>
          <w:rFonts w:ascii="Arial" w:hAnsi="Arial" w:cs="Arial"/>
          <w:sz w:val="22"/>
          <w:szCs w:val="22"/>
        </w:rPr>
        <w:t>-</w:t>
      </w:r>
      <w:r w:rsidR="005D7BAA" w:rsidRPr="00084748">
        <w:rPr>
          <w:rFonts w:ascii="Arial" w:hAnsi="Arial" w:cs="Arial"/>
          <w:sz w:val="22"/>
          <w:szCs w:val="22"/>
        </w:rPr>
        <w:t>40 %, with losses reaching 60</w:t>
      </w:r>
      <w:r w:rsidR="005D7BAA">
        <w:rPr>
          <w:rFonts w:ascii="Arial" w:hAnsi="Arial" w:cs="Arial"/>
          <w:sz w:val="22"/>
          <w:szCs w:val="22"/>
        </w:rPr>
        <w:t>-</w:t>
      </w:r>
      <w:r w:rsidR="005D7BAA" w:rsidRPr="00084748">
        <w:rPr>
          <w:rFonts w:ascii="Arial" w:hAnsi="Arial" w:cs="Arial"/>
          <w:sz w:val="22"/>
          <w:szCs w:val="22"/>
        </w:rPr>
        <w:t xml:space="preserve">70 % through ammonia </w:t>
      </w:r>
      <w:r w:rsidR="00F4717A" w:rsidRPr="00084748">
        <w:rPr>
          <w:rFonts w:ascii="Arial" w:hAnsi="Arial" w:cs="Arial"/>
          <w:sz w:val="22"/>
          <w:szCs w:val="22"/>
        </w:rPr>
        <w:t>volatilization</w:t>
      </w:r>
      <w:r w:rsidR="005D7BAA" w:rsidRPr="00084748">
        <w:rPr>
          <w:rFonts w:ascii="Arial" w:hAnsi="Arial" w:cs="Arial"/>
          <w:sz w:val="22"/>
          <w:szCs w:val="22"/>
        </w:rPr>
        <w:t>, denitrification, leaching, and runoff (IFDC, 2017)</w:t>
      </w:r>
      <w:r w:rsidR="005D7BAA" w:rsidRPr="00BA5459">
        <w:rPr>
          <w:rFonts w:ascii="Arial" w:hAnsi="Arial" w:cs="Arial"/>
          <w:sz w:val="22"/>
          <w:szCs w:val="22"/>
        </w:rPr>
        <w:t>.</w:t>
      </w:r>
      <w:r w:rsidR="00A30CD9">
        <w:rPr>
          <w:rFonts w:ascii="Arial" w:hAnsi="Arial" w:cs="Arial"/>
          <w:sz w:val="22"/>
          <w:szCs w:val="22"/>
        </w:rPr>
        <w:t xml:space="preserve"> </w:t>
      </w:r>
      <w:r w:rsidR="005D7BAA" w:rsidRPr="00BA5459">
        <w:rPr>
          <w:rFonts w:ascii="Arial" w:hAnsi="Arial" w:cs="Arial"/>
          <w:sz w:val="22"/>
          <w:szCs w:val="22"/>
        </w:rPr>
        <w:t xml:space="preserve">Therefore, it would be worthwhile to consider a more efficient alternative by adopting deep </w:t>
      </w:r>
      <w:r w:rsidR="00F4717A" w:rsidRPr="00BA5459">
        <w:rPr>
          <w:rFonts w:ascii="Arial" w:hAnsi="Arial" w:cs="Arial"/>
          <w:sz w:val="22"/>
          <w:szCs w:val="22"/>
        </w:rPr>
        <w:t>fertilizer</w:t>
      </w:r>
      <w:r w:rsidR="005D7BAA" w:rsidRPr="00BA5459">
        <w:rPr>
          <w:rFonts w:ascii="Arial" w:hAnsi="Arial" w:cs="Arial"/>
          <w:sz w:val="22"/>
          <w:szCs w:val="22"/>
        </w:rPr>
        <w:t xml:space="preserve"> placement.</w:t>
      </w:r>
      <w:r w:rsidRPr="00BA5459">
        <w:rPr>
          <w:rFonts w:ascii="Arial" w:hAnsi="Arial" w:cs="Arial"/>
          <w:sz w:val="22"/>
          <w:szCs w:val="22"/>
        </w:rPr>
        <w:t xml:space="preserve">   </w:t>
      </w:r>
      <w:r w:rsidR="005D7BAA" w:rsidRPr="00BA5459">
        <w:rPr>
          <w:rFonts w:ascii="Arial" w:hAnsi="Arial" w:cs="Arial"/>
          <w:sz w:val="22"/>
          <w:szCs w:val="22"/>
        </w:rPr>
        <w:t>Studies conducted in Bangladesh, Senegal, and Benin have shown that deep placement of urea significantly reduces the amount used on rice and cotton, with an average efficiency of 24.50 kg paddy</w:t>
      </w:r>
      <w:r w:rsidR="005D7BAA">
        <w:rPr>
          <w:rFonts w:ascii="Arial" w:hAnsi="Arial" w:cs="Arial"/>
          <w:sz w:val="22"/>
          <w:szCs w:val="22"/>
        </w:rPr>
        <w:t xml:space="preserve"> </w:t>
      </w:r>
      <w:r w:rsidR="005D7BAA" w:rsidRPr="00BA5459">
        <w:rPr>
          <w:rFonts w:ascii="Arial" w:hAnsi="Arial" w:cs="Arial"/>
          <w:sz w:val="22"/>
          <w:szCs w:val="22"/>
        </w:rPr>
        <w:t>kg</w:t>
      </w:r>
      <w:r w:rsidR="005D7BAA" w:rsidRPr="00BA5459">
        <w:rPr>
          <w:rFonts w:ascii="Arial" w:hAnsi="Arial" w:cs="Arial"/>
          <w:sz w:val="22"/>
          <w:szCs w:val="22"/>
          <w:vertAlign w:val="superscript"/>
        </w:rPr>
        <w:t>-1</w:t>
      </w:r>
      <w:r w:rsidR="005D7BAA" w:rsidRPr="00BA5459">
        <w:rPr>
          <w:rFonts w:ascii="Arial" w:hAnsi="Arial" w:cs="Arial"/>
          <w:sz w:val="22"/>
          <w:szCs w:val="22"/>
        </w:rPr>
        <w:t xml:space="preserve"> of N.</w:t>
      </w:r>
      <w:r w:rsidRPr="00BA5459">
        <w:rPr>
          <w:rFonts w:ascii="Arial" w:hAnsi="Arial" w:cs="Arial"/>
          <w:sz w:val="22"/>
          <w:szCs w:val="22"/>
        </w:rPr>
        <w:t xml:space="preserve"> It also significantly improves nitrogen recovery rates by 70% for rice, increases paddy yields by 31.07%, and raises the marginal rate of return to over 100% for cotton and rice (</w:t>
      </w:r>
      <w:proofErr w:type="spellStart"/>
      <w:r w:rsidRPr="00BA5459">
        <w:rPr>
          <w:rFonts w:ascii="Arial" w:hAnsi="Arial" w:cs="Arial"/>
          <w:sz w:val="22"/>
          <w:szCs w:val="22"/>
        </w:rPr>
        <w:t>Aliou</w:t>
      </w:r>
      <w:proofErr w:type="spellEnd"/>
      <w:r w:rsidRPr="00BA5459">
        <w:rPr>
          <w:rFonts w:ascii="Arial" w:hAnsi="Arial" w:cs="Arial"/>
          <w:sz w:val="22"/>
          <w:szCs w:val="22"/>
        </w:rPr>
        <w:t xml:space="preserve"> et al., 2014; </w:t>
      </w:r>
      <w:proofErr w:type="spellStart"/>
      <w:r w:rsidRPr="00BA5459">
        <w:rPr>
          <w:rFonts w:ascii="Arial" w:hAnsi="Arial" w:cs="Arial"/>
          <w:sz w:val="22"/>
          <w:szCs w:val="22"/>
        </w:rPr>
        <w:t>Khalequzzaman</w:t>
      </w:r>
      <w:proofErr w:type="spellEnd"/>
      <w:r w:rsidRPr="00BA5459">
        <w:rPr>
          <w:rFonts w:ascii="Arial" w:hAnsi="Arial" w:cs="Arial"/>
          <w:sz w:val="22"/>
          <w:szCs w:val="22"/>
        </w:rPr>
        <w:t xml:space="preserve"> et al., 2014; Rahman et al., 2016; Faye et al., 2020). </w:t>
      </w:r>
      <w:r w:rsidR="005D7BAA" w:rsidRPr="00BA5459">
        <w:rPr>
          <w:rFonts w:ascii="Arial" w:hAnsi="Arial" w:cs="Arial"/>
          <w:sz w:val="22"/>
          <w:szCs w:val="22"/>
        </w:rPr>
        <w:t>In Burkina Faso, deep placement of urea has been tested for several years, particularly in rice plains and lowlands.</w:t>
      </w:r>
      <w:r w:rsidRPr="00BA5459">
        <w:rPr>
          <w:rFonts w:ascii="Arial" w:hAnsi="Arial" w:cs="Arial"/>
          <w:sz w:val="22"/>
          <w:szCs w:val="22"/>
        </w:rPr>
        <w:t xml:space="preserve"> </w:t>
      </w:r>
      <w:r w:rsidR="005D7BAA" w:rsidRPr="00BA5459">
        <w:rPr>
          <w:rFonts w:ascii="Arial" w:hAnsi="Arial" w:cs="Arial"/>
          <w:sz w:val="22"/>
          <w:szCs w:val="22"/>
        </w:rPr>
        <w:t xml:space="preserve">These studies have shown the agronomic superiority of super granules of urea over </w:t>
      </w:r>
      <w:proofErr w:type="spellStart"/>
      <w:r w:rsidR="005D7BAA" w:rsidRPr="00BA5459">
        <w:rPr>
          <w:rFonts w:ascii="Arial" w:hAnsi="Arial" w:cs="Arial"/>
          <w:sz w:val="22"/>
          <w:szCs w:val="22"/>
        </w:rPr>
        <w:t>p</w:t>
      </w:r>
      <w:r w:rsidR="005D7BAA">
        <w:rPr>
          <w:rFonts w:ascii="Arial" w:hAnsi="Arial" w:cs="Arial"/>
          <w:sz w:val="22"/>
          <w:szCs w:val="22"/>
        </w:rPr>
        <w:t>rill</w:t>
      </w:r>
      <w:r w:rsidR="005D7BAA" w:rsidRPr="00BA5459">
        <w:rPr>
          <w:rFonts w:ascii="Arial" w:hAnsi="Arial" w:cs="Arial"/>
          <w:sz w:val="22"/>
          <w:szCs w:val="22"/>
        </w:rPr>
        <w:t>ed</w:t>
      </w:r>
      <w:proofErr w:type="spellEnd"/>
      <w:r w:rsidR="005D7BAA" w:rsidRPr="00BA5459">
        <w:rPr>
          <w:rFonts w:ascii="Arial" w:hAnsi="Arial" w:cs="Arial"/>
          <w:sz w:val="22"/>
          <w:szCs w:val="22"/>
        </w:rPr>
        <w:t xml:space="preserve"> urea applied to smallholder plots, with yield gains of approximately 12–20% (</w:t>
      </w:r>
      <w:proofErr w:type="spellStart"/>
      <w:r w:rsidR="005D7BAA" w:rsidRPr="00BA5459">
        <w:rPr>
          <w:rFonts w:ascii="Arial" w:hAnsi="Arial" w:cs="Arial"/>
          <w:sz w:val="22"/>
          <w:szCs w:val="22"/>
        </w:rPr>
        <w:t>Yaméogo</w:t>
      </w:r>
      <w:proofErr w:type="spellEnd"/>
      <w:r w:rsidR="005D7BAA" w:rsidRPr="00BA5459">
        <w:rPr>
          <w:rFonts w:ascii="Arial" w:hAnsi="Arial" w:cs="Arial"/>
          <w:sz w:val="22"/>
          <w:szCs w:val="22"/>
        </w:rPr>
        <w:t xml:space="preserve"> et al., 2013; </w:t>
      </w:r>
      <w:proofErr w:type="spellStart"/>
      <w:r w:rsidR="005D7BAA" w:rsidRPr="00BA5459">
        <w:rPr>
          <w:rFonts w:ascii="Arial" w:hAnsi="Arial" w:cs="Arial"/>
          <w:sz w:val="22"/>
          <w:szCs w:val="22"/>
        </w:rPr>
        <w:t>Bandaogo</w:t>
      </w:r>
      <w:proofErr w:type="spellEnd"/>
      <w:r w:rsidR="005D7BAA" w:rsidRPr="00BA5459">
        <w:rPr>
          <w:rFonts w:ascii="Arial" w:hAnsi="Arial" w:cs="Arial"/>
          <w:sz w:val="22"/>
          <w:szCs w:val="22"/>
        </w:rPr>
        <w:t xml:space="preserve"> et al., 2015; </w:t>
      </w:r>
      <w:r w:rsidR="005D7BAA" w:rsidRPr="00BA5459">
        <w:rPr>
          <w:rFonts w:ascii="Arial" w:hAnsi="Arial" w:cs="Arial"/>
          <w:sz w:val="22"/>
          <w:szCs w:val="22"/>
        </w:rPr>
        <w:fldChar w:fldCharType="begin" w:fldLock="1"/>
      </w:r>
      <w:r w:rsidR="005D7BAA" w:rsidRPr="00BA5459">
        <w:rPr>
          <w:rFonts w:ascii="Arial" w:hAnsi="Arial" w:cs="Arial"/>
          <w:sz w:val="22"/>
          <w:szCs w:val="22"/>
        </w:rPr>
        <w:instrText>ADDIN CSL_CITATION {"citationItems":[{"id":"ITEM-1","itemData":{"author":[{"dropping-particle":"","family":"SAWADOGO","given":"Achille","non-dropping-particle":"","parse-names":false,"suffix":""},{"dropping-particle":"","family":"OUEDRAOGO","given":"Jean","non-dropping-particle":"","parse-names":false,"suffix":""},{"dropping-particle":"","family":"YE","given":"Lambiénou","non-dropping-particle":"","parse-names":false,"suffix":""},{"dropping-particle":"","family":"OUEDRAOGO","given":"Moctar","non-dropping-particle":"","parse-names":false,"suffix":""},{"dropping-particle":"","family":"COULIBALY","given":"Dofinita","non-dropping-particle":"","parse-names":false,"suffix":""},{"dropping-particle":"","family":"OUEDRAOGO, Adama SERME","given":"Idriss","non-dropping-particle":"","parse-names":false,"suffix":""}],"container-title":"Placement profond du NPK : une solution durable pour assurer la sécurité alimentaire et nutritionnelle des populations dans un contexte de crise sécuritaire.","id":"ITEM-1","issued":{"date-parts":[["2024"]]},"page":"197-211","publisher-place":"Maradi, Niger","title":"No Title","type":"paper-conference"},"uris":["http://www.mendeley.com/documents/?uuid=ad8f618c-6ee9-482e-ba56-f11c70f34668"]}],"mendeley":{"formattedCitation":"(SAWADOGO et al., 2024)","manualFormatting":"Sawadogo et al., 2024)","plainTextFormattedCitation":"(SAWADOGO et al., 2024)"},"properties":{"noteIndex":0},"schema":"https://github.com/citation-style-language/schema/raw/master/csl-citation.json"}</w:instrText>
      </w:r>
      <w:r w:rsidR="005D7BAA" w:rsidRPr="00BA5459">
        <w:rPr>
          <w:rFonts w:ascii="Arial" w:hAnsi="Arial" w:cs="Arial"/>
          <w:sz w:val="22"/>
          <w:szCs w:val="22"/>
        </w:rPr>
        <w:fldChar w:fldCharType="separate"/>
      </w:r>
      <w:r w:rsidR="005D7BAA" w:rsidRPr="00BA5459">
        <w:rPr>
          <w:rFonts w:ascii="Arial" w:hAnsi="Arial" w:cs="Arial"/>
          <w:noProof/>
          <w:sz w:val="22"/>
          <w:szCs w:val="22"/>
        </w:rPr>
        <w:t>Sawadogo et al., 2024)</w:t>
      </w:r>
      <w:r w:rsidR="005D7BAA" w:rsidRPr="00BA5459">
        <w:rPr>
          <w:rFonts w:ascii="Arial" w:hAnsi="Arial" w:cs="Arial"/>
          <w:sz w:val="22"/>
          <w:szCs w:val="22"/>
        </w:rPr>
        <w:fldChar w:fldCharType="end"/>
      </w:r>
      <w:r w:rsidR="005D7BAA" w:rsidRPr="00BA5459">
        <w:rPr>
          <w:rFonts w:ascii="Arial" w:hAnsi="Arial" w:cs="Arial"/>
          <w:sz w:val="22"/>
          <w:szCs w:val="22"/>
        </w:rPr>
        <w:t>.</w:t>
      </w:r>
      <w:r w:rsidRPr="00BA5459">
        <w:rPr>
          <w:rFonts w:ascii="Arial" w:hAnsi="Arial" w:cs="Arial"/>
          <w:sz w:val="22"/>
          <w:szCs w:val="22"/>
        </w:rPr>
        <w:t xml:space="preserve"> </w:t>
      </w:r>
      <w:r w:rsidR="005D7BAA" w:rsidRPr="00BA5459">
        <w:rPr>
          <w:rFonts w:ascii="Arial" w:hAnsi="Arial" w:cs="Arial"/>
          <w:sz w:val="22"/>
          <w:szCs w:val="22"/>
        </w:rPr>
        <w:t xml:space="preserve">These percentages indicate that nitrogen </w:t>
      </w:r>
      <w:r w:rsidR="00F4717A" w:rsidRPr="00BA5459">
        <w:rPr>
          <w:rFonts w:ascii="Arial" w:hAnsi="Arial" w:cs="Arial"/>
          <w:sz w:val="22"/>
          <w:szCs w:val="22"/>
        </w:rPr>
        <w:t>fertilization</w:t>
      </w:r>
      <w:r w:rsidR="005D7BAA" w:rsidRPr="00BA5459">
        <w:rPr>
          <w:rFonts w:ascii="Arial" w:hAnsi="Arial" w:cs="Arial"/>
          <w:sz w:val="22"/>
          <w:szCs w:val="22"/>
        </w:rPr>
        <w:t xml:space="preserve"> was well controlled.</w:t>
      </w:r>
      <w:r w:rsidRPr="00BA5459">
        <w:rPr>
          <w:rFonts w:ascii="Arial" w:hAnsi="Arial" w:cs="Arial"/>
          <w:sz w:val="22"/>
          <w:szCs w:val="22"/>
        </w:rPr>
        <w:t xml:space="preserve"> </w:t>
      </w:r>
      <w:r w:rsidR="005D7BAA" w:rsidRPr="00BA5459">
        <w:rPr>
          <w:rFonts w:ascii="Arial" w:hAnsi="Arial" w:cs="Arial"/>
          <w:sz w:val="22"/>
          <w:szCs w:val="22"/>
        </w:rPr>
        <w:t>However, this was not the case for the other major elements, particularly phosphorus (P) and potassium (K).</w:t>
      </w:r>
      <w:r w:rsidRPr="00BA5459">
        <w:rPr>
          <w:rFonts w:ascii="Arial" w:hAnsi="Arial" w:cs="Arial"/>
          <w:sz w:val="22"/>
          <w:szCs w:val="22"/>
        </w:rPr>
        <w:t xml:space="preserve"> </w:t>
      </w:r>
      <w:r w:rsidR="005D7BAA" w:rsidRPr="00BA5459">
        <w:rPr>
          <w:rFonts w:ascii="Arial" w:hAnsi="Arial" w:cs="Arial"/>
          <w:sz w:val="22"/>
          <w:szCs w:val="22"/>
        </w:rPr>
        <w:t>Deep placement of NPK can improve the efficiency of phosphorus use, which is one of the most limiting nutrients in rice production.</w:t>
      </w:r>
      <w:r w:rsidRPr="00BA5459">
        <w:rPr>
          <w:rFonts w:ascii="Arial" w:hAnsi="Arial" w:cs="Arial"/>
          <w:sz w:val="22"/>
          <w:szCs w:val="22"/>
        </w:rPr>
        <w:t xml:space="preserve"> It should also be noted that few studies have examined the effect of this technology on lowland rice cultivation. </w:t>
      </w:r>
      <w:r w:rsidR="00A30CD9" w:rsidRPr="00A30CD9">
        <w:rPr>
          <w:rFonts w:ascii="Arial" w:hAnsi="Arial" w:cs="Arial"/>
          <w:sz w:val="22"/>
          <w:szCs w:val="22"/>
        </w:rPr>
        <w:t>Therefore, this study aimed to assess the effects of deep placement of NPK briquettes on nitrogen and phosphorus use efficiency in lowland rice under semi-arid conditions in Burkina Faso</w:t>
      </w:r>
      <w:r w:rsidRPr="00BA5459">
        <w:rPr>
          <w:rFonts w:ascii="Arial" w:hAnsi="Arial" w:cs="Arial"/>
          <w:sz w:val="22"/>
          <w:szCs w:val="22"/>
        </w:rPr>
        <w:t xml:space="preserve">. </w:t>
      </w:r>
    </w:p>
    <w:p w14:paraId="14CBDC90" w14:textId="77777777" w:rsidR="002B73B2" w:rsidRPr="00FB3A86" w:rsidRDefault="002B73B2" w:rsidP="00441B6F">
      <w:pPr>
        <w:pStyle w:val="AbstHead"/>
        <w:spacing w:after="0"/>
        <w:jc w:val="both"/>
        <w:rPr>
          <w:rFonts w:ascii="Arial" w:hAnsi="Arial" w:cs="Arial"/>
        </w:rPr>
      </w:pPr>
    </w:p>
    <w:p w14:paraId="6BD934AF" w14:textId="77777777" w:rsidR="002B73B2" w:rsidRPr="00FF027A" w:rsidRDefault="002B73B2" w:rsidP="00FF027A">
      <w:pPr>
        <w:pStyle w:val="ListParagraph"/>
        <w:numPr>
          <w:ilvl w:val="0"/>
          <w:numId w:val="35"/>
        </w:numPr>
        <w:outlineLvl w:val="0"/>
        <w:rPr>
          <w:rFonts w:ascii="Arial" w:hAnsi="Arial" w:cs="Arial"/>
          <w:b/>
          <w:sz w:val="22"/>
          <w:szCs w:val="22"/>
        </w:rPr>
      </w:pPr>
      <w:bookmarkStart w:id="1" w:name="_Toc96605507"/>
      <w:bookmarkStart w:id="2" w:name="_Toc132793710"/>
      <w:r w:rsidRPr="00FF027A">
        <w:rPr>
          <w:rFonts w:ascii="Arial" w:hAnsi="Arial" w:cs="Arial"/>
          <w:b/>
          <w:sz w:val="22"/>
          <w:szCs w:val="22"/>
        </w:rPr>
        <w:t>MATERIAL AND METHODS</w:t>
      </w:r>
      <w:bookmarkEnd w:id="1"/>
      <w:bookmarkEnd w:id="2"/>
    </w:p>
    <w:p w14:paraId="06C71C82" w14:textId="77777777" w:rsidR="002B73B2" w:rsidRPr="00E86361" w:rsidRDefault="002B73B2" w:rsidP="0046513E">
      <w:pPr>
        <w:keepNext/>
        <w:keepLines/>
        <w:spacing w:before="40"/>
        <w:outlineLvl w:val="1"/>
        <w:rPr>
          <w:sz w:val="22"/>
          <w:szCs w:val="22"/>
        </w:rPr>
      </w:pPr>
      <w:bookmarkStart w:id="3" w:name="_Toc132793711"/>
      <w:r w:rsidRPr="00E86361">
        <w:rPr>
          <w:rFonts w:eastAsiaTheme="majorEastAsia"/>
          <w:b/>
          <w:sz w:val="22"/>
          <w:szCs w:val="22"/>
        </w:rPr>
        <w:t>2.1</w:t>
      </w:r>
      <w:r w:rsidRPr="00E86361">
        <w:rPr>
          <w:rFonts w:eastAsiaTheme="majorEastAsia"/>
          <w:b/>
          <w:sz w:val="22"/>
          <w:szCs w:val="22"/>
        </w:rPr>
        <w:tab/>
        <w:t xml:space="preserve">Presentation of the study </w:t>
      </w:r>
      <w:r>
        <w:rPr>
          <w:rFonts w:eastAsiaTheme="majorEastAsia"/>
          <w:b/>
          <w:sz w:val="22"/>
          <w:szCs w:val="22"/>
        </w:rPr>
        <w:t>area</w:t>
      </w:r>
      <w:r w:rsidRPr="00E86361">
        <w:rPr>
          <w:rFonts w:eastAsiaTheme="majorEastAsia"/>
          <w:b/>
          <w:sz w:val="22"/>
          <w:szCs w:val="22"/>
        </w:rPr>
        <w:t xml:space="preserve"> </w:t>
      </w:r>
      <w:bookmarkEnd w:id="3"/>
    </w:p>
    <w:p w14:paraId="1F9D4F51" w14:textId="23024E7C" w:rsidR="002B73B2" w:rsidRDefault="005D7BAA" w:rsidP="00BA5459">
      <w:pPr>
        <w:jc w:val="both"/>
        <w:rPr>
          <w:rFonts w:ascii="Arial" w:hAnsi="Arial" w:cs="Arial"/>
          <w:sz w:val="22"/>
          <w:szCs w:val="22"/>
        </w:rPr>
      </w:pPr>
      <w:r w:rsidRPr="00FF027A">
        <w:rPr>
          <w:rFonts w:ascii="Arial" w:hAnsi="Arial" w:cs="Arial"/>
          <w:sz w:val="22"/>
          <w:szCs w:val="22"/>
        </w:rPr>
        <w:t xml:space="preserve">This study was conducted in the rural commune of </w:t>
      </w:r>
      <w:proofErr w:type="spellStart"/>
      <w:r w:rsidRPr="00FF027A">
        <w:rPr>
          <w:rFonts w:ascii="Arial" w:hAnsi="Arial" w:cs="Arial"/>
          <w:sz w:val="22"/>
          <w:szCs w:val="22"/>
        </w:rPr>
        <w:t>Kindi</w:t>
      </w:r>
      <w:proofErr w:type="spellEnd"/>
      <w:r w:rsidRPr="00FF027A">
        <w:rPr>
          <w:rFonts w:ascii="Arial" w:hAnsi="Arial" w:cs="Arial"/>
          <w:sz w:val="22"/>
          <w:szCs w:val="22"/>
        </w:rPr>
        <w:t xml:space="preserve">, specifically in the village of </w:t>
      </w:r>
      <w:proofErr w:type="spellStart"/>
      <w:r w:rsidRPr="00FF027A">
        <w:rPr>
          <w:rFonts w:ascii="Arial" w:hAnsi="Arial" w:cs="Arial"/>
          <w:sz w:val="22"/>
          <w:szCs w:val="22"/>
        </w:rPr>
        <w:t>Nassoulou</w:t>
      </w:r>
      <w:proofErr w:type="spellEnd"/>
      <w:r w:rsidRPr="00FF027A">
        <w:rPr>
          <w:rFonts w:ascii="Arial" w:hAnsi="Arial" w:cs="Arial"/>
          <w:sz w:val="22"/>
          <w:szCs w:val="22"/>
        </w:rPr>
        <w:t>.</w:t>
      </w:r>
      <w:r w:rsidR="002B73B2" w:rsidRPr="00FF027A">
        <w:rPr>
          <w:rFonts w:ascii="Arial" w:hAnsi="Arial" w:cs="Arial"/>
          <w:sz w:val="22"/>
          <w:szCs w:val="22"/>
        </w:rPr>
        <w:t xml:space="preserve"> Located in the Centre-West region of Burkina Faso, the commune of </w:t>
      </w:r>
      <w:proofErr w:type="spellStart"/>
      <w:r w:rsidR="002B73B2" w:rsidRPr="00FF027A">
        <w:rPr>
          <w:rFonts w:ascii="Arial" w:hAnsi="Arial" w:cs="Arial"/>
          <w:sz w:val="22"/>
          <w:szCs w:val="22"/>
        </w:rPr>
        <w:t>Kindi</w:t>
      </w:r>
      <w:proofErr w:type="spellEnd"/>
      <w:r w:rsidR="002B73B2" w:rsidRPr="00FF027A">
        <w:rPr>
          <w:rFonts w:ascii="Arial" w:hAnsi="Arial" w:cs="Arial"/>
          <w:sz w:val="22"/>
          <w:szCs w:val="22"/>
        </w:rPr>
        <w:t xml:space="preserve"> covers an area of 282 km</w:t>
      </w:r>
      <w:r w:rsidR="002B73B2" w:rsidRPr="00FF027A">
        <w:rPr>
          <w:rFonts w:ascii="Arial" w:hAnsi="Arial" w:cs="Arial"/>
          <w:sz w:val="22"/>
          <w:szCs w:val="22"/>
          <w:vertAlign w:val="superscript"/>
        </w:rPr>
        <w:t>2</w:t>
      </w:r>
      <w:r w:rsidR="002B73B2" w:rsidRPr="00FF027A">
        <w:rPr>
          <w:rFonts w:ascii="Arial" w:hAnsi="Arial" w:cs="Arial"/>
          <w:sz w:val="22"/>
          <w:szCs w:val="22"/>
        </w:rPr>
        <w:t xml:space="preserve">, i.e. 6.8% of the province of </w:t>
      </w:r>
      <w:proofErr w:type="spellStart"/>
      <w:r w:rsidR="002B73B2" w:rsidRPr="00FF027A">
        <w:rPr>
          <w:rFonts w:ascii="Arial" w:hAnsi="Arial" w:cs="Arial"/>
          <w:sz w:val="22"/>
          <w:szCs w:val="22"/>
        </w:rPr>
        <w:t>Boulkiemdé</w:t>
      </w:r>
      <w:proofErr w:type="spellEnd"/>
      <w:r w:rsidR="002B73B2" w:rsidRPr="00FF027A">
        <w:rPr>
          <w:rFonts w:ascii="Arial" w:hAnsi="Arial" w:cs="Arial"/>
          <w:sz w:val="22"/>
          <w:szCs w:val="22"/>
        </w:rPr>
        <w:t xml:space="preserve"> to which it belongs. It is located 70 kilometers from Ouagadougou by the National Road (RN 2) and 45 kilometers from </w:t>
      </w:r>
      <w:proofErr w:type="spellStart"/>
      <w:r w:rsidR="002B73B2" w:rsidRPr="00FF027A">
        <w:rPr>
          <w:rFonts w:ascii="Arial" w:hAnsi="Arial" w:cs="Arial"/>
          <w:sz w:val="22"/>
          <w:szCs w:val="22"/>
        </w:rPr>
        <w:t>Koudougou</w:t>
      </w:r>
      <w:proofErr w:type="spellEnd"/>
      <w:r w:rsidR="002B73B2" w:rsidRPr="00FF027A">
        <w:rPr>
          <w:rFonts w:ascii="Arial" w:hAnsi="Arial" w:cs="Arial"/>
          <w:sz w:val="22"/>
          <w:szCs w:val="22"/>
        </w:rPr>
        <w:t xml:space="preserve"> by the Departmental Road. The village of </w:t>
      </w:r>
      <w:proofErr w:type="spellStart"/>
      <w:r w:rsidR="002B73B2" w:rsidRPr="00FF027A">
        <w:rPr>
          <w:rFonts w:ascii="Arial" w:hAnsi="Arial" w:cs="Arial"/>
          <w:sz w:val="22"/>
          <w:szCs w:val="22"/>
        </w:rPr>
        <w:t>Nassoulou</w:t>
      </w:r>
      <w:proofErr w:type="spellEnd"/>
      <w:r w:rsidR="002B73B2" w:rsidRPr="00FF027A">
        <w:rPr>
          <w:rFonts w:ascii="Arial" w:hAnsi="Arial" w:cs="Arial"/>
          <w:sz w:val="22"/>
          <w:szCs w:val="22"/>
        </w:rPr>
        <w:t xml:space="preserve"> is 15 km from </w:t>
      </w:r>
      <w:proofErr w:type="spellStart"/>
      <w:r w:rsidR="002B73B2" w:rsidRPr="00FF027A">
        <w:rPr>
          <w:rFonts w:ascii="Arial" w:hAnsi="Arial" w:cs="Arial"/>
          <w:sz w:val="22"/>
          <w:szCs w:val="22"/>
        </w:rPr>
        <w:t>Kindi</w:t>
      </w:r>
      <w:proofErr w:type="spellEnd"/>
      <w:r w:rsidR="002B73B2" w:rsidRPr="00FF027A">
        <w:rPr>
          <w:rFonts w:ascii="Arial" w:hAnsi="Arial" w:cs="Arial"/>
          <w:sz w:val="22"/>
          <w:szCs w:val="22"/>
        </w:rPr>
        <w:t xml:space="preserve">-Centre (capital of the commune) more precisely at 2° 10' west longitude and 12°19' north latitude. The climate is </w:t>
      </w:r>
      <w:proofErr w:type="spellStart"/>
      <w:r w:rsidR="002B73B2" w:rsidRPr="00FF027A">
        <w:rPr>
          <w:rFonts w:ascii="Arial" w:hAnsi="Arial" w:cs="Arial"/>
          <w:sz w:val="22"/>
          <w:szCs w:val="22"/>
        </w:rPr>
        <w:t>Sudano</w:t>
      </w:r>
      <w:proofErr w:type="spellEnd"/>
      <w:r w:rsidR="002B73B2" w:rsidRPr="00FF027A">
        <w:rPr>
          <w:rFonts w:ascii="Arial" w:hAnsi="Arial" w:cs="Arial"/>
          <w:sz w:val="22"/>
          <w:szCs w:val="22"/>
        </w:rPr>
        <w:t xml:space="preserve">-Sahelian with two predominant seasons: the wet season of 3 to 4 months and the dry season of 8 to 9 months. </w:t>
      </w:r>
      <w:r w:rsidR="00F4717A" w:rsidRPr="00FF027A">
        <w:rPr>
          <w:rFonts w:ascii="Arial" w:hAnsi="Arial" w:cs="Arial"/>
          <w:sz w:val="22"/>
          <w:szCs w:val="22"/>
        </w:rPr>
        <w:t xml:space="preserve">The </w:t>
      </w:r>
      <w:proofErr w:type="spellStart"/>
      <w:r w:rsidR="00F4717A" w:rsidRPr="00FF027A">
        <w:rPr>
          <w:rFonts w:ascii="Arial" w:hAnsi="Arial" w:cs="Arial"/>
          <w:sz w:val="22"/>
          <w:szCs w:val="22"/>
        </w:rPr>
        <w:t>Kindi</w:t>
      </w:r>
      <w:proofErr w:type="spellEnd"/>
      <w:r w:rsidR="00F4717A" w:rsidRPr="00FF027A">
        <w:rPr>
          <w:rFonts w:ascii="Arial" w:hAnsi="Arial" w:cs="Arial"/>
          <w:sz w:val="22"/>
          <w:szCs w:val="22"/>
        </w:rPr>
        <w:t xml:space="preserve"> relief is flat, with rocky outcrops </w:t>
      </w:r>
      <w:r w:rsidR="00F4717A" w:rsidRPr="00FF027A">
        <w:rPr>
          <w:rFonts w:ascii="Arial" w:hAnsi="Arial" w:cs="Arial"/>
          <w:sz w:val="22"/>
          <w:szCs w:val="22"/>
        </w:rPr>
        <w:fldChar w:fldCharType="begin" w:fldLock="1"/>
      </w:r>
      <w:r w:rsidR="00F4717A" w:rsidRPr="00FF027A">
        <w:rPr>
          <w:rFonts w:ascii="Arial" w:hAnsi="Arial" w:cs="Arial"/>
          <w:sz w:val="22"/>
          <w:szCs w:val="22"/>
        </w:rPr>
        <w:instrText>ADDIN CSL_CITATION {"citationItems":[{"id":"ITEM-1","itemData":{"author":[{"dropping-particle":"","family":"PCD","given":"","non-dropping-particle":"","parse-names":false,"suffix":""}],"id":"ITEM-1","issued":{"date-parts":[["2018"]]},"number-of-pages":"78p","publisher-place":"Koudougou","title":"PLAN DE DEVELOPPEMENT de KINDI","type":"book"},"uris":["http://www.mendeley.com/documents/?uuid=adc81774-0bdc-4d6a-b07d-6d95bb31981a"]}],"mendeley":{"formattedCitation":"(PCD, 2018)","plainTextFormattedCitation":"(PCD, 2018)","previouslyFormattedCitation":"(PCD, 2018)"},"properties":{"noteIndex":0},"schema":"https://github.com/citation-style-language/schema/raw/master/csl-citation.json"}</w:instrText>
      </w:r>
      <w:r w:rsidR="00F4717A" w:rsidRPr="00FF027A">
        <w:rPr>
          <w:rFonts w:ascii="Arial" w:hAnsi="Arial" w:cs="Arial"/>
          <w:sz w:val="22"/>
          <w:szCs w:val="22"/>
        </w:rPr>
        <w:fldChar w:fldCharType="separate"/>
      </w:r>
      <w:r w:rsidR="00F4717A" w:rsidRPr="00FF027A">
        <w:rPr>
          <w:rFonts w:ascii="Arial" w:hAnsi="Arial" w:cs="Arial"/>
          <w:noProof/>
          <w:sz w:val="22"/>
          <w:szCs w:val="22"/>
        </w:rPr>
        <w:t>(PCD, 2018)</w:t>
      </w:r>
      <w:r w:rsidR="00F4717A" w:rsidRPr="00FF027A">
        <w:rPr>
          <w:rFonts w:ascii="Arial" w:hAnsi="Arial" w:cs="Arial"/>
          <w:sz w:val="22"/>
          <w:szCs w:val="22"/>
        </w:rPr>
        <w:fldChar w:fldCharType="end"/>
      </w:r>
      <w:r w:rsidR="00F4717A" w:rsidRPr="00FF027A">
        <w:rPr>
          <w:rFonts w:ascii="Arial" w:hAnsi="Arial" w:cs="Arial"/>
          <w:sz w:val="22"/>
          <w:szCs w:val="22"/>
        </w:rPr>
        <w:t>.</w:t>
      </w:r>
      <w:r w:rsidR="002B73B2" w:rsidRPr="00FF027A">
        <w:rPr>
          <w:rFonts w:ascii="Arial" w:hAnsi="Arial" w:cs="Arial"/>
          <w:sz w:val="22"/>
          <w:szCs w:val="22"/>
        </w:rPr>
        <w:t xml:space="preserve"> </w:t>
      </w:r>
      <w:r w:rsidR="00F4717A" w:rsidRPr="00FF027A">
        <w:rPr>
          <w:rFonts w:ascii="Arial" w:hAnsi="Arial" w:cs="Arial"/>
          <w:sz w:val="22"/>
          <w:szCs w:val="22"/>
        </w:rPr>
        <w:t xml:space="preserve">There are three (3) </w:t>
      </w:r>
      <w:r w:rsidR="00F4717A" w:rsidRPr="00FF027A">
        <w:rPr>
          <w:rFonts w:ascii="Arial" w:hAnsi="Arial" w:cs="Arial"/>
          <w:sz w:val="22"/>
          <w:szCs w:val="22"/>
        </w:rPr>
        <w:lastRenderedPageBreak/>
        <w:t xml:space="preserve">categories of soils according to their texture in the commune of </w:t>
      </w:r>
      <w:proofErr w:type="spellStart"/>
      <w:r w:rsidR="00F4717A" w:rsidRPr="00FF027A">
        <w:rPr>
          <w:rFonts w:ascii="Arial" w:hAnsi="Arial" w:cs="Arial"/>
          <w:sz w:val="22"/>
          <w:szCs w:val="22"/>
        </w:rPr>
        <w:t>Kindi</w:t>
      </w:r>
      <w:proofErr w:type="spellEnd"/>
      <w:r w:rsidR="00F4717A" w:rsidRPr="00FF027A">
        <w:rPr>
          <w:rFonts w:ascii="Arial" w:hAnsi="Arial" w:cs="Arial"/>
          <w:sz w:val="22"/>
          <w:szCs w:val="22"/>
        </w:rPr>
        <w:t xml:space="preserve"> (PCD, 2018): sandy soils, approximately 60%; gravel soils, approximately 30%; and loamy soils located in the lowlands, approximately 10%.</w:t>
      </w:r>
      <w:r w:rsidR="002B73B2" w:rsidRPr="00FF027A">
        <w:rPr>
          <w:rFonts w:ascii="Arial" w:hAnsi="Arial" w:cs="Arial"/>
          <w:sz w:val="22"/>
          <w:szCs w:val="22"/>
        </w:rPr>
        <w:t xml:space="preserve"> </w:t>
      </w:r>
      <w:r w:rsidR="00F4717A" w:rsidRPr="00FF027A">
        <w:rPr>
          <w:rFonts w:ascii="Arial" w:hAnsi="Arial" w:cs="Arial"/>
          <w:sz w:val="22"/>
          <w:szCs w:val="22"/>
        </w:rPr>
        <w:t xml:space="preserve">The physicochemical parameters of the surface horizon (0–20 cm) are presented in Table </w:t>
      </w:r>
      <w:r w:rsidR="00771F85">
        <w:rPr>
          <w:rFonts w:ascii="Arial" w:hAnsi="Arial" w:cs="Arial"/>
          <w:sz w:val="22"/>
          <w:szCs w:val="22"/>
        </w:rPr>
        <w:t>1</w:t>
      </w:r>
      <w:r w:rsidR="00F4717A" w:rsidRPr="00FF027A">
        <w:rPr>
          <w:rFonts w:ascii="Arial" w:hAnsi="Arial" w:cs="Arial"/>
          <w:sz w:val="22"/>
          <w:szCs w:val="22"/>
        </w:rPr>
        <w:t>. The physicochemical parameters of the surface horizon (0</w:t>
      </w:r>
      <w:r w:rsidR="00F4717A">
        <w:rPr>
          <w:rFonts w:ascii="Arial" w:hAnsi="Arial" w:cs="Arial"/>
          <w:sz w:val="22"/>
          <w:szCs w:val="22"/>
        </w:rPr>
        <w:t>-</w:t>
      </w:r>
      <w:r w:rsidR="00F4717A" w:rsidRPr="00FF027A">
        <w:rPr>
          <w:rFonts w:ascii="Arial" w:hAnsi="Arial" w:cs="Arial"/>
          <w:sz w:val="22"/>
          <w:szCs w:val="22"/>
        </w:rPr>
        <w:t xml:space="preserve">20 cm) are summarized in table </w:t>
      </w:r>
      <w:r w:rsidR="00771F85">
        <w:rPr>
          <w:rFonts w:ascii="Arial" w:hAnsi="Arial" w:cs="Arial"/>
          <w:sz w:val="22"/>
          <w:szCs w:val="22"/>
        </w:rPr>
        <w:t>1</w:t>
      </w:r>
      <w:r w:rsidR="00F4717A" w:rsidRPr="00FF027A">
        <w:rPr>
          <w:rFonts w:ascii="Arial" w:hAnsi="Arial" w:cs="Arial"/>
          <w:sz w:val="22"/>
          <w:szCs w:val="22"/>
        </w:rPr>
        <w:t>.</w:t>
      </w:r>
    </w:p>
    <w:p w14:paraId="70F890B8" w14:textId="77777777" w:rsidR="002B73B2" w:rsidRPr="00FF027A" w:rsidRDefault="002B73B2" w:rsidP="00BA5459">
      <w:pPr>
        <w:jc w:val="both"/>
        <w:rPr>
          <w:rFonts w:ascii="Arial" w:hAnsi="Arial" w:cs="Arial"/>
          <w:sz w:val="22"/>
          <w:szCs w:val="22"/>
        </w:rPr>
      </w:pPr>
    </w:p>
    <w:p w14:paraId="0AD4C8D3" w14:textId="7E033BCB" w:rsidR="002B73B2" w:rsidRPr="00E86361" w:rsidRDefault="002B73B2" w:rsidP="0046513E">
      <w:pPr>
        <w:spacing w:after="200"/>
        <w:rPr>
          <w:iCs/>
          <w:sz w:val="22"/>
          <w:szCs w:val="22"/>
        </w:rPr>
      </w:pPr>
      <w:r w:rsidRPr="00E86361">
        <w:rPr>
          <w:b/>
          <w:iCs/>
          <w:sz w:val="22"/>
          <w:szCs w:val="22"/>
        </w:rPr>
        <w:t xml:space="preserve">Table </w:t>
      </w:r>
      <w:r w:rsidR="00771F85">
        <w:rPr>
          <w:b/>
          <w:iCs/>
          <w:sz w:val="22"/>
          <w:szCs w:val="22"/>
        </w:rPr>
        <w:t>1</w:t>
      </w:r>
      <w:r w:rsidRPr="00E86361">
        <w:rPr>
          <w:iCs/>
          <w:sz w:val="22"/>
          <w:szCs w:val="22"/>
        </w:rPr>
        <w:t>: Characteristics of the soil of the experimental site</w:t>
      </w:r>
    </w:p>
    <w:tbl>
      <w:tblPr>
        <w:tblW w:w="5000" w:type="pct"/>
        <w:tblLayout w:type="fixed"/>
        <w:tblLook w:val="04A0" w:firstRow="1" w:lastRow="0" w:firstColumn="1" w:lastColumn="0" w:noHBand="0" w:noVBand="1"/>
      </w:tblPr>
      <w:tblGrid>
        <w:gridCol w:w="965"/>
        <w:gridCol w:w="567"/>
        <w:gridCol w:w="1093"/>
        <w:gridCol w:w="1147"/>
        <w:gridCol w:w="2193"/>
        <w:gridCol w:w="758"/>
        <w:gridCol w:w="681"/>
        <w:gridCol w:w="804"/>
      </w:tblGrid>
      <w:tr w:rsidR="002B73B2" w:rsidRPr="00E86361" w14:paraId="348157AE" w14:textId="77777777" w:rsidTr="00D83D04">
        <w:trPr>
          <w:trHeight w:val="290"/>
        </w:trPr>
        <w:tc>
          <w:tcPr>
            <w:tcW w:w="587" w:type="pct"/>
            <w:tcBorders>
              <w:top w:val="single" w:sz="4" w:space="0" w:color="auto"/>
              <w:left w:val="nil"/>
              <w:bottom w:val="single" w:sz="4" w:space="0" w:color="auto"/>
              <w:right w:val="nil"/>
            </w:tcBorders>
            <w:noWrap/>
            <w:vAlign w:val="center"/>
            <w:hideMark/>
          </w:tcPr>
          <w:p w14:paraId="2029025F" w14:textId="77777777" w:rsidR="002B73B2" w:rsidRPr="00BF3C8A" w:rsidRDefault="002B73B2" w:rsidP="0047397D">
            <w:pPr>
              <w:jc w:val="center"/>
              <w:rPr>
                <w:b/>
                <w:bCs/>
                <w:sz w:val="22"/>
                <w:szCs w:val="22"/>
              </w:rPr>
            </w:pPr>
            <w:r w:rsidRPr="00BF3C8A">
              <w:rPr>
                <w:b/>
                <w:bCs/>
                <w:sz w:val="22"/>
                <w:szCs w:val="22"/>
              </w:rPr>
              <w:t>Parameters</w:t>
            </w:r>
          </w:p>
        </w:tc>
        <w:tc>
          <w:tcPr>
            <w:tcW w:w="345" w:type="pct"/>
            <w:tcBorders>
              <w:top w:val="single" w:sz="4" w:space="0" w:color="auto"/>
              <w:left w:val="nil"/>
              <w:bottom w:val="single" w:sz="4" w:space="0" w:color="auto"/>
              <w:right w:val="nil"/>
            </w:tcBorders>
            <w:noWrap/>
            <w:vAlign w:val="center"/>
            <w:hideMark/>
          </w:tcPr>
          <w:p w14:paraId="604CC76F" w14:textId="77777777" w:rsidR="002B73B2" w:rsidRPr="00BF3C8A" w:rsidRDefault="002B73B2" w:rsidP="0047397D">
            <w:pPr>
              <w:jc w:val="center"/>
              <w:rPr>
                <w:b/>
                <w:bCs/>
                <w:sz w:val="22"/>
                <w:szCs w:val="22"/>
              </w:rPr>
            </w:pPr>
            <w:r w:rsidRPr="00BF3C8A">
              <w:rPr>
                <w:b/>
                <w:bCs/>
                <w:sz w:val="22"/>
                <w:szCs w:val="22"/>
              </w:rPr>
              <w:t>pH</w:t>
            </w:r>
          </w:p>
        </w:tc>
        <w:tc>
          <w:tcPr>
            <w:tcW w:w="666" w:type="pct"/>
            <w:tcBorders>
              <w:top w:val="single" w:sz="4" w:space="0" w:color="auto"/>
              <w:left w:val="nil"/>
              <w:bottom w:val="single" w:sz="4" w:space="0" w:color="auto"/>
              <w:right w:val="nil"/>
            </w:tcBorders>
            <w:noWrap/>
            <w:vAlign w:val="center"/>
            <w:hideMark/>
          </w:tcPr>
          <w:p w14:paraId="7C8BCDC1" w14:textId="77777777" w:rsidR="002B73B2" w:rsidRPr="00BF3C8A" w:rsidRDefault="002B73B2" w:rsidP="0047397D">
            <w:pPr>
              <w:jc w:val="center"/>
              <w:rPr>
                <w:b/>
                <w:bCs/>
                <w:sz w:val="22"/>
                <w:szCs w:val="22"/>
              </w:rPr>
            </w:pPr>
            <w:r w:rsidRPr="00BF3C8A">
              <w:rPr>
                <w:b/>
                <w:bCs/>
                <w:sz w:val="22"/>
                <w:szCs w:val="22"/>
              </w:rPr>
              <w:t xml:space="preserve">Organic Carbon </w:t>
            </w:r>
          </w:p>
        </w:tc>
        <w:tc>
          <w:tcPr>
            <w:tcW w:w="699" w:type="pct"/>
            <w:tcBorders>
              <w:top w:val="single" w:sz="4" w:space="0" w:color="auto"/>
              <w:left w:val="nil"/>
              <w:bottom w:val="single" w:sz="4" w:space="0" w:color="auto"/>
              <w:right w:val="nil"/>
            </w:tcBorders>
            <w:noWrap/>
            <w:vAlign w:val="center"/>
            <w:hideMark/>
          </w:tcPr>
          <w:p w14:paraId="1A615C8D" w14:textId="77777777" w:rsidR="002B73B2" w:rsidRPr="00BF3C8A" w:rsidRDefault="002B73B2" w:rsidP="0047397D">
            <w:pPr>
              <w:jc w:val="center"/>
              <w:rPr>
                <w:b/>
                <w:bCs/>
                <w:sz w:val="22"/>
                <w:szCs w:val="22"/>
              </w:rPr>
            </w:pPr>
            <w:r w:rsidRPr="00BF3C8A">
              <w:rPr>
                <w:b/>
                <w:bCs/>
                <w:sz w:val="22"/>
                <w:szCs w:val="22"/>
              </w:rPr>
              <w:t>Total Nitrogen</w:t>
            </w:r>
          </w:p>
        </w:tc>
        <w:tc>
          <w:tcPr>
            <w:tcW w:w="1336" w:type="pct"/>
            <w:tcBorders>
              <w:top w:val="single" w:sz="4" w:space="0" w:color="auto"/>
              <w:left w:val="nil"/>
              <w:bottom w:val="single" w:sz="4" w:space="0" w:color="auto"/>
              <w:right w:val="nil"/>
            </w:tcBorders>
            <w:noWrap/>
            <w:vAlign w:val="center"/>
            <w:hideMark/>
          </w:tcPr>
          <w:p w14:paraId="24285561" w14:textId="5021C2DE" w:rsidR="002B73B2" w:rsidRPr="00BF3C8A" w:rsidRDefault="002B73B2" w:rsidP="0047397D">
            <w:pPr>
              <w:jc w:val="center"/>
              <w:rPr>
                <w:b/>
                <w:bCs/>
                <w:sz w:val="22"/>
                <w:szCs w:val="22"/>
              </w:rPr>
            </w:pPr>
            <w:r w:rsidRPr="00BF3C8A">
              <w:rPr>
                <w:b/>
                <w:bCs/>
                <w:sz w:val="22"/>
                <w:szCs w:val="22"/>
              </w:rPr>
              <w:t>Available Phosphorus (</w:t>
            </w:r>
            <w:r w:rsidR="00587769">
              <w:rPr>
                <w:b/>
                <w:bCs/>
                <w:sz w:val="22"/>
                <w:szCs w:val="22"/>
              </w:rPr>
              <w:t>m</w:t>
            </w:r>
            <w:r w:rsidR="00587769" w:rsidRPr="00587769">
              <w:rPr>
                <w:b/>
                <w:bCs/>
                <w:sz w:val="22"/>
                <w:szCs w:val="22"/>
              </w:rPr>
              <w:t>g kg</w:t>
            </w:r>
            <w:r w:rsidR="00587769" w:rsidRPr="00587769">
              <w:rPr>
                <w:rFonts w:ascii="Cambria Math" w:hAnsi="Cambria Math" w:cs="Cambria Math"/>
                <w:b/>
                <w:bCs/>
                <w:sz w:val="22"/>
                <w:szCs w:val="22"/>
              </w:rPr>
              <w:t>⁻</w:t>
            </w:r>
            <w:r w:rsidR="00587769" w:rsidRPr="00587769">
              <w:rPr>
                <w:rFonts w:cs="Helvetica"/>
                <w:b/>
                <w:bCs/>
                <w:sz w:val="22"/>
                <w:szCs w:val="22"/>
              </w:rPr>
              <w:t>¹</w:t>
            </w:r>
            <w:r w:rsidRPr="00BF3C8A">
              <w:rPr>
                <w:b/>
                <w:bCs/>
                <w:sz w:val="22"/>
                <w:szCs w:val="22"/>
              </w:rPr>
              <w:t>)</w:t>
            </w:r>
          </w:p>
        </w:tc>
        <w:tc>
          <w:tcPr>
            <w:tcW w:w="462" w:type="pct"/>
            <w:tcBorders>
              <w:top w:val="single" w:sz="4" w:space="0" w:color="auto"/>
              <w:left w:val="nil"/>
              <w:bottom w:val="single" w:sz="4" w:space="0" w:color="auto"/>
              <w:right w:val="nil"/>
            </w:tcBorders>
            <w:noWrap/>
            <w:vAlign w:val="center"/>
            <w:hideMark/>
          </w:tcPr>
          <w:p w14:paraId="3A604102" w14:textId="77777777" w:rsidR="002B73B2" w:rsidRPr="00BF3C8A" w:rsidRDefault="002B73B2" w:rsidP="0047397D">
            <w:pPr>
              <w:jc w:val="center"/>
              <w:rPr>
                <w:b/>
                <w:bCs/>
                <w:sz w:val="22"/>
                <w:szCs w:val="22"/>
              </w:rPr>
            </w:pPr>
            <w:r w:rsidRPr="00BF3C8A">
              <w:rPr>
                <w:b/>
                <w:bCs/>
                <w:sz w:val="22"/>
                <w:szCs w:val="22"/>
              </w:rPr>
              <w:t>Clay (%)</w:t>
            </w:r>
          </w:p>
        </w:tc>
        <w:tc>
          <w:tcPr>
            <w:tcW w:w="415" w:type="pct"/>
            <w:tcBorders>
              <w:top w:val="single" w:sz="4" w:space="0" w:color="auto"/>
              <w:left w:val="nil"/>
              <w:bottom w:val="single" w:sz="4" w:space="0" w:color="auto"/>
              <w:right w:val="nil"/>
            </w:tcBorders>
            <w:noWrap/>
            <w:vAlign w:val="center"/>
            <w:hideMark/>
          </w:tcPr>
          <w:p w14:paraId="19AAAA3E" w14:textId="77777777" w:rsidR="002B73B2" w:rsidRPr="00BF3C8A" w:rsidRDefault="002B73B2" w:rsidP="0047397D">
            <w:pPr>
              <w:jc w:val="center"/>
              <w:rPr>
                <w:b/>
                <w:bCs/>
                <w:sz w:val="22"/>
                <w:szCs w:val="22"/>
              </w:rPr>
            </w:pPr>
            <w:r w:rsidRPr="00BF3C8A">
              <w:rPr>
                <w:b/>
                <w:bCs/>
                <w:sz w:val="22"/>
                <w:szCs w:val="22"/>
              </w:rPr>
              <w:t>Silt (%)</w:t>
            </w:r>
          </w:p>
        </w:tc>
        <w:tc>
          <w:tcPr>
            <w:tcW w:w="490" w:type="pct"/>
            <w:tcBorders>
              <w:top w:val="single" w:sz="4" w:space="0" w:color="auto"/>
              <w:left w:val="nil"/>
              <w:bottom w:val="single" w:sz="4" w:space="0" w:color="auto"/>
              <w:right w:val="nil"/>
            </w:tcBorders>
            <w:noWrap/>
            <w:vAlign w:val="center"/>
            <w:hideMark/>
          </w:tcPr>
          <w:p w14:paraId="4351CF0F" w14:textId="77777777" w:rsidR="002B73B2" w:rsidRPr="00BF3C8A" w:rsidRDefault="002B73B2" w:rsidP="0047397D">
            <w:pPr>
              <w:jc w:val="center"/>
              <w:rPr>
                <w:b/>
                <w:bCs/>
                <w:sz w:val="22"/>
                <w:szCs w:val="22"/>
              </w:rPr>
            </w:pPr>
            <w:r w:rsidRPr="00BF3C8A">
              <w:rPr>
                <w:b/>
                <w:bCs/>
                <w:sz w:val="22"/>
                <w:szCs w:val="22"/>
              </w:rPr>
              <w:t>Sand (%)</w:t>
            </w:r>
          </w:p>
        </w:tc>
      </w:tr>
      <w:tr w:rsidR="002B73B2" w:rsidRPr="00E86361" w14:paraId="59BBED12" w14:textId="77777777" w:rsidTr="00D83D04">
        <w:trPr>
          <w:trHeight w:val="290"/>
        </w:trPr>
        <w:tc>
          <w:tcPr>
            <w:tcW w:w="587" w:type="pct"/>
            <w:tcBorders>
              <w:top w:val="nil"/>
              <w:left w:val="nil"/>
              <w:bottom w:val="single" w:sz="4" w:space="0" w:color="auto"/>
              <w:right w:val="nil"/>
            </w:tcBorders>
            <w:noWrap/>
            <w:vAlign w:val="center"/>
            <w:hideMark/>
          </w:tcPr>
          <w:p w14:paraId="610D70E5" w14:textId="77777777" w:rsidR="002B73B2" w:rsidRPr="00BF3C8A" w:rsidRDefault="002B73B2" w:rsidP="0047397D">
            <w:pPr>
              <w:jc w:val="center"/>
              <w:rPr>
                <w:b/>
                <w:bCs/>
                <w:sz w:val="22"/>
                <w:szCs w:val="22"/>
              </w:rPr>
            </w:pPr>
            <w:r w:rsidRPr="00BF3C8A">
              <w:rPr>
                <w:b/>
                <w:bCs/>
                <w:sz w:val="22"/>
                <w:szCs w:val="22"/>
              </w:rPr>
              <w:t>Values</w:t>
            </w:r>
          </w:p>
        </w:tc>
        <w:tc>
          <w:tcPr>
            <w:tcW w:w="345" w:type="pct"/>
            <w:tcBorders>
              <w:top w:val="nil"/>
              <w:left w:val="nil"/>
              <w:bottom w:val="single" w:sz="4" w:space="0" w:color="auto"/>
              <w:right w:val="nil"/>
            </w:tcBorders>
            <w:noWrap/>
            <w:vAlign w:val="center"/>
            <w:hideMark/>
          </w:tcPr>
          <w:p w14:paraId="5BB0F45B" w14:textId="77777777" w:rsidR="002B73B2" w:rsidRPr="00BF3C8A" w:rsidRDefault="002B73B2" w:rsidP="0047397D">
            <w:pPr>
              <w:jc w:val="center"/>
              <w:rPr>
                <w:sz w:val="22"/>
                <w:szCs w:val="22"/>
              </w:rPr>
            </w:pPr>
            <w:r w:rsidRPr="00BF3C8A">
              <w:rPr>
                <w:sz w:val="22"/>
                <w:szCs w:val="22"/>
              </w:rPr>
              <w:t>6.9</w:t>
            </w:r>
          </w:p>
        </w:tc>
        <w:tc>
          <w:tcPr>
            <w:tcW w:w="666" w:type="pct"/>
            <w:tcBorders>
              <w:top w:val="nil"/>
              <w:left w:val="nil"/>
              <w:bottom w:val="single" w:sz="4" w:space="0" w:color="auto"/>
              <w:right w:val="nil"/>
            </w:tcBorders>
            <w:noWrap/>
            <w:vAlign w:val="center"/>
            <w:hideMark/>
          </w:tcPr>
          <w:p w14:paraId="2E9B27DE" w14:textId="77777777" w:rsidR="002B73B2" w:rsidRPr="00BF3C8A" w:rsidRDefault="002B73B2" w:rsidP="0047397D">
            <w:pPr>
              <w:jc w:val="center"/>
              <w:rPr>
                <w:sz w:val="22"/>
                <w:szCs w:val="22"/>
              </w:rPr>
            </w:pPr>
            <w:r w:rsidRPr="00BF3C8A">
              <w:rPr>
                <w:sz w:val="22"/>
                <w:szCs w:val="22"/>
              </w:rPr>
              <w:t>0.53</w:t>
            </w:r>
          </w:p>
        </w:tc>
        <w:tc>
          <w:tcPr>
            <w:tcW w:w="699" w:type="pct"/>
            <w:tcBorders>
              <w:top w:val="nil"/>
              <w:left w:val="nil"/>
              <w:bottom w:val="single" w:sz="4" w:space="0" w:color="auto"/>
              <w:right w:val="nil"/>
            </w:tcBorders>
            <w:noWrap/>
            <w:vAlign w:val="center"/>
            <w:hideMark/>
          </w:tcPr>
          <w:p w14:paraId="11553D34" w14:textId="77777777" w:rsidR="002B73B2" w:rsidRPr="00BF3C8A" w:rsidRDefault="002B73B2" w:rsidP="0047397D">
            <w:pPr>
              <w:jc w:val="center"/>
              <w:rPr>
                <w:sz w:val="22"/>
                <w:szCs w:val="22"/>
              </w:rPr>
            </w:pPr>
            <w:r w:rsidRPr="00BF3C8A">
              <w:rPr>
                <w:sz w:val="22"/>
                <w:szCs w:val="22"/>
              </w:rPr>
              <w:t>0.046</w:t>
            </w:r>
          </w:p>
        </w:tc>
        <w:tc>
          <w:tcPr>
            <w:tcW w:w="1336" w:type="pct"/>
            <w:tcBorders>
              <w:top w:val="nil"/>
              <w:left w:val="nil"/>
              <w:bottom w:val="single" w:sz="4" w:space="0" w:color="auto"/>
              <w:right w:val="nil"/>
            </w:tcBorders>
            <w:noWrap/>
            <w:vAlign w:val="center"/>
            <w:hideMark/>
          </w:tcPr>
          <w:p w14:paraId="0E19A74B" w14:textId="77777777" w:rsidR="002B73B2" w:rsidRPr="00BF3C8A" w:rsidRDefault="002B73B2" w:rsidP="0047397D">
            <w:pPr>
              <w:jc w:val="center"/>
              <w:rPr>
                <w:sz w:val="22"/>
                <w:szCs w:val="22"/>
              </w:rPr>
            </w:pPr>
            <w:r w:rsidRPr="00BF3C8A">
              <w:rPr>
                <w:sz w:val="22"/>
                <w:szCs w:val="22"/>
              </w:rPr>
              <w:t>190</w:t>
            </w:r>
          </w:p>
        </w:tc>
        <w:tc>
          <w:tcPr>
            <w:tcW w:w="462" w:type="pct"/>
            <w:tcBorders>
              <w:top w:val="nil"/>
              <w:left w:val="nil"/>
              <w:bottom w:val="single" w:sz="4" w:space="0" w:color="auto"/>
              <w:right w:val="nil"/>
            </w:tcBorders>
            <w:noWrap/>
            <w:vAlign w:val="center"/>
            <w:hideMark/>
          </w:tcPr>
          <w:p w14:paraId="0933B2F4" w14:textId="77777777" w:rsidR="002B73B2" w:rsidRPr="00BF3C8A" w:rsidRDefault="002B73B2" w:rsidP="0047397D">
            <w:pPr>
              <w:jc w:val="center"/>
              <w:rPr>
                <w:sz w:val="22"/>
                <w:szCs w:val="22"/>
              </w:rPr>
            </w:pPr>
            <w:r w:rsidRPr="00BF3C8A">
              <w:rPr>
                <w:sz w:val="22"/>
                <w:szCs w:val="22"/>
              </w:rPr>
              <w:t>36.5</w:t>
            </w:r>
          </w:p>
        </w:tc>
        <w:tc>
          <w:tcPr>
            <w:tcW w:w="415" w:type="pct"/>
            <w:tcBorders>
              <w:top w:val="nil"/>
              <w:left w:val="nil"/>
              <w:bottom w:val="single" w:sz="4" w:space="0" w:color="auto"/>
              <w:right w:val="nil"/>
            </w:tcBorders>
            <w:noWrap/>
            <w:vAlign w:val="center"/>
            <w:hideMark/>
          </w:tcPr>
          <w:p w14:paraId="1F64F1CA" w14:textId="77777777" w:rsidR="002B73B2" w:rsidRPr="00BF3C8A" w:rsidRDefault="002B73B2" w:rsidP="0047397D">
            <w:pPr>
              <w:jc w:val="center"/>
              <w:rPr>
                <w:sz w:val="22"/>
                <w:szCs w:val="22"/>
              </w:rPr>
            </w:pPr>
            <w:r w:rsidRPr="00BF3C8A">
              <w:rPr>
                <w:sz w:val="22"/>
                <w:szCs w:val="22"/>
              </w:rPr>
              <w:t>34.75</w:t>
            </w:r>
          </w:p>
        </w:tc>
        <w:tc>
          <w:tcPr>
            <w:tcW w:w="490" w:type="pct"/>
            <w:tcBorders>
              <w:top w:val="nil"/>
              <w:left w:val="nil"/>
              <w:bottom w:val="single" w:sz="4" w:space="0" w:color="auto"/>
              <w:right w:val="nil"/>
            </w:tcBorders>
            <w:noWrap/>
            <w:vAlign w:val="center"/>
            <w:hideMark/>
          </w:tcPr>
          <w:p w14:paraId="7E9CA03B" w14:textId="77777777" w:rsidR="002B73B2" w:rsidRPr="00BF3C8A" w:rsidRDefault="002B73B2" w:rsidP="0047397D">
            <w:pPr>
              <w:jc w:val="center"/>
              <w:rPr>
                <w:sz w:val="22"/>
                <w:szCs w:val="22"/>
              </w:rPr>
            </w:pPr>
            <w:r w:rsidRPr="00BF3C8A">
              <w:rPr>
                <w:sz w:val="22"/>
                <w:szCs w:val="22"/>
              </w:rPr>
              <w:t>29</w:t>
            </w:r>
          </w:p>
        </w:tc>
      </w:tr>
    </w:tbl>
    <w:p w14:paraId="1982AC46" w14:textId="77777777" w:rsidR="002B73B2" w:rsidRPr="00E86361" w:rsidRDefault="002B73B2" w:rsidP="0046513E">
      <w:pPr>
        <w:spacing w:after="200"/>
        <w:rPr>
          <w:iCs/>
          <w:sz w:val="22"/>
          <w:szCs w:val="22"/>
        </w:rPr>
      </w:pPr>
    </w:p>
    <w:p w14:paraId="4517C003" w14:textId="77777777" w:rsidR="002B73B2" w:rsidRPr="00E86361" w:rsidRDefault="002B73B2" w:rsidP="0046513E">
      <w:pPr>
        <w:keepNext/>
        <w:keepLines/>
        <w:spacing w:before="40"/>
        <w:ind w:left="360"/>
        <w:outlineLvl w:val="1"/>
        <w:rPr>
          <w:rFonts w:eastAsiaTheme="majorEastAsia"/>
          <w:b/>
          <w:sz w:val="22"/>
          <w:szCs w:val="22"/>
          <w:lang w:eastAsia="fr-FR"/>
        </w:rPr>
      </w:pPr>
      <w:r w:rsidRPr="00E86361">
        <w:rPr>
          <w:rFonts w:eastAsiaTheme="majorEastAsia"/>
          <w:b/>
          <w:sz w:val="22"/>
          <w:szCs w:val="22"/>
        </w:rPr>
        <w:t>2.2</w:t>
      </w:r>
      <w:r w:rsidRPr="00E86361">
        <w:rPr>
          <w:rFonts w:eastAsiaTheme="majorEastAsia"/>
          <w:b/>
          <w:sz w:val="22"/>
          <w:szCs w:val="22"/>
        </w:rPr>
        <w:tab/>
      </w:r>
      <w:r w:rsidRPr="00E86361">
        <w:rPr>
          <w:rFonts w:eastAsiaTheme="majorEastAsia"/>
          <w:b/>
          <w:sz w:val="22"/>
          <w:szCs w:val="22"/>
          <w:lang w:eastAsia="fr-FR"/>
        </w:rPr>
        <w:t xml:space="preserve">Experimental design </w:t>
      </w:r>
    </w:p>
    <w:p w14:paraId="3B2E10FA" w14:textId="70E20691" w:rsidR="002B73B2" w:rsidRPr="00387D6B" w:rsidRDefault="002B73B2" w:rsidP="00FF027A">
      <w:pPr>
        <w:ind w:firstLine="709"/>
        <w:jc w:val="both"/>
        <w:rPr>
          <w:sz w:val="22"/>
          <w:szCs w:val="22"/>
        </w:rPr>
      </w:pPr>
      <w:r w:rsidRPr="00387D6B">
        <w:rPr>
          <w:sz w:val="22"/>
          <w:szCs w:val="22"/>
        </w:rPr>
        <w:t xml:space="preserve">The experimental design used was a completely </w:t>
      </w:r>
      <w:r w:rsidR="008A0D38" w:rsidRPr="00387D6B">
        <w:rPr>
          <w:sz w:val="22"/>
          <w:szCs w:val="22"/>
        </w:rPr>
        <w:t>randomized</w:t>
      </w:r>
      <w:r w:rsidRPr="00387D6B">
        <w:rPr>
          <w:sz w:val="22"/>
          <w:szCs w:val="22"/>
        </w:rPr>
        <w:t xml:space="preserve"> block with three repetitions and five treatments. The test measures 27 m x 14 m. </w:t>
      </w:r>
      <w:r w:rsidR="00F4717A" w:rsidRPr="00387D6B">
        <w:rPr>
          <w:sz w:val="22"/>
          <w:szCs w:val="22"/>
        </w:rPr>
        <w:t>The experimental unit was a plot measuring 5 m × 4 m.</w:t>
      </w:r>
      <w:r w:rsidRPr="00387D6B">
        <w:rPr>
          <w:sz w:val="22"/>
          <w:szCs w:val="22"/>
        </w:rPr>
        <w:t xml:space="preserve"> </w:t>
      </w:r>
      <w:r w:rsidR="00F4717A" w:rsidRPr="00387D6B">
        <w:rPr>
          <w:sz w:val="22"/>
          <w:szCs w:val="22"/>
        </w:rPr>
        <w:t>The plots were separated by boundary bunds to prevent the passage of nutrients from one plot to another plot.</w:t>
      </w:r>
      <w:r w:rsidRPr="00387D6B">
        <w:rPr>
          <w:sz w:val="22"/>
          <w:szCs w:val="22"/>
        </w:rPr>
        <w:t xml:space="preserve"> </w:t>
      </w:r>
      <w:r w:rsidR="00F4717A" w:rsidRPr="00387D6B">
        <w:rPr>
          <w:sz w:val="22"/>
          <w:szCs w:val="22"/>
        </w:rPr>
        <w:t>A 1 m aisle was left between repetitions and 0.5 m between treatments.</w:t>
      </w:r>
      <w:r w:rsidRPr="00387D6B">
        <w:rPr>
          <w:sz w:val="22"/>
          <w:szCs w:val="22"/>
        </w:rPr>
        <w:t xml:space="preserve"> </w:t>
      </w:r>
    </w:p>
    <w:p w14:paraId="714E1126" w14:textId="77777777" w:rsidR="002B73B2" w:rsidRPr="00387D6B" w:rsidRDefault="002B73B2" w:rsidP="00FF027A">
      <w:pPr>
        <w:jc w:val="both"/>
        <w:rPr>
          <w:sz w:val="22"/>
          <w:szCs w:val="22"/>
        </w:rPr>
      </w:pPr>
      <w:r w:rsidRPr="00387D6B">
        <w:rPr>
          <w:rFonts w:eastAsiaTheme="majorEastAsia"/>
          <w:b/>
          <w:sz w:val="22"/>
          <w:szCs w:val="22"/>
        </w:rPr>
        <w:t>2.3</w:t>
      </w:r>
      <w:r w:rsidRPr="00387D6B">
        <w:rPr>
          <w:rFonts w:eastAsiaTheme="majorEastAsia"/>
          <w:b/>
          <w:sz w:val="22"/>
          <w:szCs w:val="22"/>
        </w:rPr>
        <w:tab/>
        <w:t>Fertilizers used</w:t>
      </w:r>
    </w:p>
    <w:p w14:paraId="5AF4BFD6" w14:textId="123F5C63" w:rsidR="002B73B2" w:rsidRPr="00387D6B" w:rsidRDefault="00F4717A" w:rsidP="00FF027A">
      <w:pPr>
        <w:jc w:val="both"/>
        <w:rPr>
          <w:sz w:val="22"/>
          <w:szCs w:val="22"/>
        </w:rPr>
      </w:pPr>
      <w:bookmarkStart w:id="4" w:name="_Toc131521122"/>
      <w:bookmarkStart w:id="5" w:name="_Toc132663746"/>
      <w:bookmarkStart w:id="6" w:name="_Toc132793554"/>
      <w:bookmarkStart w:id="7" w:name="_Toc132793720"/>
      <w:bookmarkStart w:id="8" w:name="_Toc131521127"/>
      <w:bookmarkStart w:id="9" w:name="_Toc132663751"/>
      <w:bookmarkStart w:id="10" w:name="_Toc132793559"/>
      <w:bookmarkStart w:id="11" w:name="_Toc132793725"/>
      <w:bookmarkEnd w:id="4"/>
      <w:bookmarkEnd w:id="5"/>
      <w:bookmarkEnd w:id="6"/>
      <w:bookmarkEnd w:id="7"/>
      <w:bookmarkEnd w:id="8"/>
      <w:bookmarkEnd w:id="9"/>
      <w:bookmarkEnd w:id="10"/>
      <w:bookmarkEnd w:id="11"/>
      <w:r w:rsidRPr="00387D6B">
        <w:rPr>
          <w:sz w:val="22"/>
          <w:szCs w:val="22"/>
        </w:rPr>
        <w:t>For the plots with treatments, four types of mineral fertilizers were applied.</w:t>
      </w:r>
    </w:p>
    <w:p w14:paraId="7A705745" w14:textId="77777777" w:rsidR="002B73B2" w:rsidRPr="00387D6B" w:rsidRDefault="002B73B2" w:rsidP="00FF027A">
      <w:pPr>
        <w:numPr>
          <w:ilvl w:val="0"/>
          <w:numId w:val="31"/>
        </w:numPr>
        <w:spacing w:after="40"/>
        <w:contextualSpacing/>
        <w:jc w:val="both"/>
        <w:rPr>
          <w:b/>
          <w:sz w:val="22"/>
          <w:szCs w:val="22"/>
        </w:rPr>
      </w:pPr>
      <w:r w:rsidRPr="00387D6B">
        <w:rPr>
          <w:b/>
          <w:sz w:val="22"/>
          <w:szCs w:val="22"/>
        </w:rPr>
        <w:t xml:space="preserve">NPK 14-23-14-6S-1B </w:t>
      </w:r>
    </w:p>
    <w:p w14:paraId="42D0ECCD" w14:textId="419A3F53" w:rsidR="002B73B2" w:rsidRPr="00387D6B" w:rsidRDefault="00F4717A" w:rsidP="00FF027A">
      <w:pPr>
        <w:jc w:val="both"/>
        <w:rPr>
          <w:sz w:val="22"/>
          <w:szCs w:val="22"/>
        </w:rPr>
      </w:pPr>
      <w:r w:rsidRPr="00387D6B">
        <w:rPr>
          <w:sz w:val="22"/>
          <w:szCs w:val="22"/>
        </w:rPr>
        <w:t>The compound fertilizer was used as a basal application to supply nitrogen, phosphorus, and K.</w:t>
      </w:r>
      <w:r w:rsidR="002B73B2" w:rsidRPr="00387D6B">
        <w:rPr>
          <w:sz w:val="22"/>
          <w:szCs w:val="22"/>
        </w:rPr>
        <w:t xml:space="preserve"> </w:t>
      </w:r>
    </w:p>
    <w:p w14:paraId="64193C54" w14:textId="77777777" w:rsidR="002B73B2" w:rsidRPr="00387D6B" w:rsidRDefault="002B73B2" w:rsidP="00FF027A">
      <w:pPr>
        <w:numPr>
          <w:ilvl w:val="0"/>
          <w:numId w:val="31"/>
        </w:numPr>
        <w:spacing w:after="40"/>
        <w:contextualSpacing/>
        <w:jc w:val="both"/>
        <w:rPr>
          <w:b/>
          <w:sz w:val="22"/>
          <w:szCs w:val="22"/>
        </w:rPr>
      </w:pPr>
      <w:proofErr w:type="spellStart"/>
      <w:r w:rsidRPr="00387D6B">
        <w:rPr>
          <w:b/>
          <w:sz w:val="22"/>
          <w:szCs w:val="22"/>
        </w:rPr>
        <w:t>P</w:t>
      </w:r>
      <w:r>
        <w:rPr>
          <w:b/>
          <w:sz w:val="22"/>
          <w:szCs w:val="22"/>
        </w:rPr>
        <w:t>rilled</w:t>
      </w:r>
      <w:proofErr w:type="spellEnd"/>
      <w:r w:rsidRPr="00387D6B">
        <w:rPr>
          <w:b/>
          <w:sz w:val="22"/>
          <w:szCs w:val="22"/>
        </w:rPr>
        <w:t xml:space="preserve"> Urea (PU)</w:t>
      </w:r>
    </w:p>
    <w:p w14:paraId="372C43C6" w14:textId="77777777" w:rsidR="002B73B2" w:rsidRPr="00387D6B" w:rsidRDefault="002B73B2" w:rsidP="00FF027A">
      <w:pPr>
        <w:jc w:val="both"/>
        <w:rPr>
          <w:sz w:val="22"/>
          <w:szCs w:val="22"/>
        </w:rPr>
      </w:pPr>
      <w:proofErr w:type="spellStart"/>
      <w:r w:rsidRPr="00387D6B">
        <w:rPr>
          <w:sz w:val="22"/>
          <w:szCs w:val="22"/>
        </w:rPr>
        <w:t>P</w:t>
      </w:r>
      <w:r>
        <w:rPr>
          <w:sz w:val="22"/>
          <w:szCs w:val="22"/>
        </w:rPr>
        <w:t>rilled</w:t>
      </w:r>
      <w:proofErr w:type="spellEnd"/>
      <w:r w:rsidRPr="00387D6B">
        <w:rPr>
          <w:sz w:val="22"/>
          <w:szCs w:val="22"/>
        </w:rPr>
        <w:t xml:space="preserve"> urea containing 46% nitrogen (N) was used as a cover manure to supply nitrogen, depending on the treatment.</w:t>
      </w:r>
    </w:p>
    <w:p w14:paraId="3830D3EE" w14:textId="77777777" w:rsidR="002B73B2" w:rsidRPr="00387D6B" w:rsidRDefault="002B73B2" w:rsidP="00FF027A">
      <w:pPr>
        <w:numPr>
          <w:ilvl w:val="0"/>
          <w:numId w:val="32"/>
        </w:numPr>
        <w:spacing w:after="40"/>
        <w:contextualSpacing/>
        <w:jc w:val="both"/>
        <w:rPr>
          <w:b/>
          <w:sz w:val="22"/>
          <w:szCs w:val="22"/>
        </w:rPr>
      </w:pPr>
      <w:r w:rsidRPr="00387D6B">
        <w:rPr>
          <w:b/>
          <w:sz w:val="22"/>
          <w:szCs w:val="22"/>
        </w:rPr>
        <w:t>Super Granul</w:t>
      </w:r>
      <w:r>
        <w:rPr>
          <w:b/>
          <w:sz w:val="22"/>
          <w:szCs w:val="22"/>
        </w:rPr>
        <w:t>e</w:t>
      </w:r>
      <w:r w:rsidRPr="00387D6B">
        <w:rPr>
          <w:b/>
          <w:sz w:val="22"/>
          <w:szCs w:val="22"/>
        </w:rPr>
        <w:t xml:space="preserve"> Urea (USG)</w:t>
      </w:r>
    </w:p>
    <w:p w14:paraId="443F1280" w14:textId="44140E47" w:rsidR="002B73B2" w:rsidRPr="00387D6B" w:rsidRDefault="00F4717A" w:rsidP="00FF027A">
      <w:pPr>
        <w:jc w:val="both"/>
        <w:rPr>
          <w:sz w:val="22"/>
          <w:szCs w:val="22"/>
        </w:rPr>
      </w:pPr>
      <w:r w:rsidRPr="00387D6B">
        <w:rPr>
          <w:sz w:val="22"/>
          <w:szCs w:val="22"/>
        </w:rPr>
        <w:t xml:space="preserve">Super-granulated urea (SGU) is produced by physically modifying </w:t>
      </w:r>
      <w:proofErr w:type="spellStart"/>
      <w:r>
        <w:rPr>
          <w:sz w:val="22"/>
          <w:szCs w:val="22"/>
        </w:rPr>
        <w:t>prilled</w:t>
      </w:r>
      <w:proofErr w:type="spellEnd"/>
      <w:r w:rsidRPr="00387D6B">
        <w:rPr>
          <w:sz w:val="22"/>
          <w:szCs w:val="22"/>
        </w:rPr>
        <w:t xml:space="preserve"> urea.</w:t>
      </w:r>
      <w:r w:rsidR="002B73B2" w:rsidRPr="00387D6B">
        <w:rPr>
          <w:sz w:val="22"/>
          <w:szCs w:val="22"/>
        </w:rPr>
        <w:t xml:space="preserve"> </w:t>
      </w:r>
      <w:r w:rsidRPr="00387D6B">
        <w:rPr>
          <w:sz w:val="22"/>
          <w:szCs w:val="22"/>
        </w:rPr>
        <w:t xml:space="preserve">USG contained 46% N, similar to </w:t>
      </w:r>
      <w:proofErr w:type="spellStart"/>
      <w:r>
        <w:rPr>
          <w:sz w:val="22"/>
          <w:szCs w:val="22"/>
        </w:rPr>
        <w:t>prilled</w:t>
      </w:r>
      <w:proofErr w:type="spellEnd"/>
      <w:r w:rsidRPr="00387D6B">
        <w:rPr>
          <w:sz w:val="22"/>
          <w:szCs w:val="22"/>
        </w:rPr>
        <w:t xml:space="preserve"> urea.</w:t>
      </w:r>
      <w:r w:rsidR="002B73B2" w:rsidRPr="00387D6B">
        <w:rPr>
          <w:sz w:val="22"/>
          <w:szCs w:val="22"/>
        </w:rPr>
        <w:t xml:space="preserve"> </w:t>
      </w:r>
      <w:r w:rsidRPr="00387D6B">
        <w:rPr>
          <w:sz w:val="22"/>
          <w:szCs w:val="22"/>
        </w:rPr>
        <w:t xml:space="preserve">The weight of </w:t>
      </w:r>
      <w:r>
        <w:rPr>
          <w:sz w:val="22"/>
          <w:szCs w:val="22"/>
        </w:rPr>
        <w:t>each granule</w:t>
      </w:r>
      <w:r w:rsidRPr="00387D6B">
        <w:rPr>
          <w:sz w:val="22"/>
          <w:szCs w:val="22"/>
        </w:rPr>
        <w:t xml:space="preserve"> was 1.8 g.</w:t>
      </w:r>
      <w:r w:rsidR="002B73B2" w:rsidRPr="00387D6B">
        <w:rPr>
          <w:sz w:val="22"/>
          <w:szCs w:val="22"/>
        </w:rPr>
        <w:t xml:space="preserve"> </w:t>
      </w:r>
    </w:p>
    <w:p w14:paraId="42B58574" w14:textId="77777777" w:rsidR="002B73B2" w:rsidRPr="00387D6B" w:rsidRDefault="002B73B2" w:rsidP="00FF027A">
      <w:pPr>
        <w:numPr>
          <w:ilvl w:val="0"/>
          <w:numId w:val="31"/>
        </w:numPr>
        <w:spacing w:after="40"/>
        <w:contextualSpacing/>
        <w:jc w:val="both"/>
        <w:rPr>
          <w:b/>
          <w:sz w:val="22"/>
          <w:szCs w:val="22"/>
        </w:rPr>
      </w:pPr>
      <w:r w:rsidRPr="00387D6B">
        <w:rPr>
          <w:b/>
          <w:sz w:val="22"/>
          <w:szCs w:val="22"/>
        </w:rPr>
        <w:t xml:space="preserve">NPK Super </w:t>
      </w:r>
      <w:r>
        <w:rPr>
          <w:b/>
          <w:sz w:val="22"/>
          <w:szCs w:val="22"/>
        </w:rPr>
        <w:t>granule</w:t>
      </w:r>
      <w:r w:rsidRPr="00387D6B">
        <w:rPr>
          <w:b/>
          <w:sz w:val="22"/>
          <w:szCs w:val="22"/>
        </w:rPr>
        <w:t xml:space="preserve"> (SG-NPK)</w:t>
      </w:r>
    </w:p>
    <w:p w14:paraId="48CD7B85" w14:textId="3214EE50" w:rsidR="008A0D38" w:rsidRDefault="00F4717A" w:rsidP="00FF027A">
      <w:pPr>
        <w:jc w:val="both"/>
        <w:rPr>
          <w:sz w:val="22"/>
          <w:szCs w:val="22"/>
        </w:rPr>
      </w:pPr>
      <w:r w:rsidRPr="00387D6B">
        <w:rPr>
          <w:sz w:val="22"/>
          <w:szCs w:val="22"/>
        </w:rPr>
        <w:t>This is NPK 16-26-12 which has been compacted from a machine to form granules.</w:t>
      </w:r>
      <w:r w:rsidR="002B73B2" w:rsidRPr="00387D6B">
        <w:rPr>
          <w:sz w:val="22"/>
          <w:szCs w:val="22"/>
        </w:rPr>
        <w:t xml:space="preserve"> The weight of a pellet can vary from 1 to 3 g, but the experiment focused on 1.8 g pellets. </w:t>
      </w:r>
    </w:p>
    <w:p w14:paraId="53C32965" w14:textId="77777777" w:rsidR="008A0D38" w:rsidRDefault="008A0D38">
      <w:pPr>
        <w:rPr>
          <w:sz w:val="22"/>
          <w:szCs w:val="22"/>
        </w:rPr>
      </w:pPr>
      <w:r>
        <w:rPr>
          <w:sz w:val="22"/>
          <w:szCs w:val="22"/>
        </w:rPr>
        <w:br w:type="page"/>
      </w:r>
    </w:p>
    <w:p w14:paraId="0E0888FE" w14:textId="2DA53333" w:rsidR="002B73B2" w:rsidRPr="00E86361" w:rsidRDefault="002B73B2" w:rsidP="00BA5459">
      <w:pPr>
        <w:spacing w:before="240" w:after="120"/>
        <w:jc w:val="both"/>
        <w:rPr>
          <w:iCs/>
          <w:sz w:val="22"/>
          <w:szCs w:val="22"/>
        </w:rPr>
      </w:pPr>
      <w:bookmarkStart w:id="12" w:name="_Toc132790394"/>
      <w:r w:rsidRPr="00E86361">
        <w:rPr>
          <w:b/>
          <w:iCs/>
          <w:sz w:val="22"/>
          <w:szCs w:val="22"/>
        </w:rPr>
        <w:lastRenderedPageBreak/>
        <w:t xml:space="preserve">Table </w:t>
      </w:r>
      <w:r w:rsidR="00771F85">
        <w:rPr>
          <w:b/>
          <w:iCs/>
          <w:sz w:val="22"/>
          <w:szCs w:val="22"/>
        </w:rPr>
        <w:t>2</w:t>
      </w:r>
      <w:r w:rsidRPr="00E86361">
        <w:rPr>
          <w:b/>
          <w:iCs/>
          <w:sz w:val="22"/>
          <w:szCs w:val="22"/>
        </w:rPr>
        <w:t>:</w:t>
      </w:r>
      <w:r w:rsidRPr="00E86361">
        <w:rPr>
          <w:iCs/>
          <w:sz w:val="22"/>
          <w:szCs w:val="22"/>
        </w:rPr>
        <w:t xml:space="preserve"> Summary table of doses, types of fertili</w:t>
      </w:r>
      <w:r>
        <w:rPr>
          <w:iCs/>
          <w:sz w:val="22"/>
          <w:szCs w:val="22"/>
        </w:rPr>
        <w:t>z</w:t>
      </w:r>
      <w:r w:rsidRPr="00E86361">
        <w:rPr>
          <w:iCs/>
          <w:sz w:val="22"/>
          <w:szCs w:val="22"/>
        </w:rPr>
        <w:t>ation (g/elementary plot) the amount of nutrients (kg</w:t>
      </w:r>
      <w:r w:rsidR="00587769">
        <w:rPr>
          <w:iCs/>
          <w:sz w:val="22"/>
          <w:szCs w:val="22"/>
        </w:rPr>
        <w:t xml:space="preserve"> </w:t>
      </w:r>
      <w:r w:rsidRPr="00E86361">
        <w:rPr>
          <w:iCs/>
          <w:sz w:val="22"/>
          <w:szCs w:val="22"/>
        </w:rPr>
        <w:t>ha</w:t>
      </w:r>
      <w:r w:rsidRPr="00587769">
        <w:rPr>
          <w:iCs/>
          <w:sz w:val="22"/>
          <w:szCs w:val="22"/>
          <w:vertAlign w:val="superscript"/>
        </w:rPr>
        <w:t>-1</w:t>
      </w:r>
      <w:r w:rsidRPr="00E86361">
        <w:rPr>
          <w:iCs/>
          <w:sz w:val="22"/>
          <w:szCs w:val="22"/>
        </w:rPr>
        <w:t>) N, P and K provided by each treatment</w:t>
      </w:r>
      <w:bookmarkEnd w:id="12"/>
    </w:p>
    <w:tbl>
      <w:tblPr>
        <w:tblW w:w="8525" w:type="dxa"/>
        <w:tblLook w:val="04A0" w:firstRow="1" w:lastRow="0" w:firstColumn="1" w:lastColumn="0" w:noHBand="0" w:noVBand="1"/>
      </w:tblPr>
      <w:tblGrid>
        <w:gridCol w:w="1805"/>
        <w:gridCol w:w="960"/>
        <w:gridCol w:w="960"/>
        <w:gridCol w:w="960"/>
        <w:gridCol w:w="960"/>
        <w:gridCol w:w="960"/>
        <w:gridCol w:w="960"/>
        <w:gridCol w:w="960"/>
      </w:tblGrid>
      <w:tr w:rsidR="002B73B2" w:rsidRPr="00BF3C8A" w14:paraId="45251C82" w14:textId="77777777" w:rsidTr="00851759">
        <w:trPr>
          <w:trHeight w:val="290"/>
        </w:trPr>
        <w:tc>
          <w:tcPr>
            <w:tcW w:w="1805" w:type="dxa"/>
            <w:tcBorders>
              <w:top w:val="single" w:sz="4" w:space="0" w:color="auto"/>
              <w:left w:val="nil"/>
              <w:bottom w:val="single" w:sz="4" w:space="0" w:color="auto"/>
              <w:right w:val="nil"/>
            </w:tcBorders>
            <w:noWrap/>
            <w:vAlign w:val="center"/>
            <w:hideMark/>
          </w:tcPr>
          <w:p w14:paraId="787C2C6C" w14:textId="77777777" w:rsidR="002B73B2" w:rsidRPr="00587769" w:rsidRDefault="002B73B2" w:rsidP="00851759">
            <w:pPr>
              <w:jc w:val="center"/>
              <w:rPr>
                <w:b/>
                <w:bCs/>
                <w:sz w:val="18"/>
                <w:szCs w:val="18"/>
              </w:rPr>
            </w:pPr>
            <w:bookmarkStart w:id="13" w:name="_Hlk143885383"/>
            <w:r w:rsidRPr="00587769">
              <w:rPr>
                <w:b/>
                <w:bCs/>
                <w:sz w:val="18"/>
                <w:szCs w:val="18"/>
              </w:rPr>
              <w:t>Treatment</w:t>
            </w:r>
          </w:p>
        </w:tc>
        <w:tc>
          <w:tcPr>
            <w:tcW w:w="960" w:type="dxa"/>
            <w:tcBorders>
              <w:top w:val="single" w:sz="4" w:space="0" w:color="auto"/>
              <w:left w:val="nil"/>
              <w:bottom w:val="single" w:sz="4" w:space="0" w:color="auto"/>
              <w:right w:val="nil"/>
            </w:tcBorders>
            <w:noWrap/>
            <w:vAlign w:val="center"/>
            <w:hideMark/>
          </w:tcPr>
          <w:p w14:paraId="4EC11542" w14:textId="77777777" w:rsidR="002B73B2" w:rsidRPr="00587769" w:rsidRDefault="002B73B2" w:rsidP="00851759">
            <w:pPr>
              <w:jc w:val="center"/>
              <w:rPr>
                <w:b/>
                <w:bCs/>
                <w:sz w:val="18"/>
                <w:szCs w:val="18"/>
              </w:rPr>
            </w:pPr>
            <w:r w:rsidRPr="00587769">
              <w:rPr>
                <w:b/>
                <w:bCs/>
                <w:sz w:val="18"/>
                <w:szCs w:val="18"/>
              </w:rPr>
              <w:t>Urea Super Granule (USG)</w:t>
            </w:r>
          </w:p>
        </w:tc>
        <w:tc>
          <w:tcPr>
            <w:tcW w:w="960" w:type="dxa"/>
            <w:tcBorders>
              <w:top w:val="single" w:sz="4" w:space="0" w:color="auto"/>
              <w:left w:val="nil"/>
              <w:bottom w:val="single" w:sz="4" w:space="0" w:color="auto"/>
              <w:right w:val="nil"/>
            </w:tcBorders>
            <w:noWrap/>
            <w:vAlign w:val="center"/>
            <w:hideMark/>
          </w:tcPr>
          <w:p w14:paraId="60595FB7" w14:textId="77777777" w:rsidR="002B73B2" w:rsidRPr="00587769" w:rsidRDefault="002B73B2" w:rsidP="00851759">
            <w:pPr>
              <w:jc w:val="center"/>
              <w:rPr>
                <w:b/>
                <w:bCs/>
                <w:sz w:val="18"/>
                <w:szCs w:val="18"/>
              </w:rPr>
            </w:pPr>
            <w:proofErr w:type="spellStart"/>
            <w:r w:rsidRPr="00587769">
              <w:rPr>
                <w:b/>
                <w:bCs/>
                <w:sz w:val="18"/>
                <w:szCs w:val="18"/>
              </w:rPr>
              <w:t>Prilled</w:t>
            </w:r>
            <w:proofErr w:type="spellEnd"/>
            <w:r w:rsidRPr="00587769">
              <w:rPr>
                <w:b/>
                <w:bCs/>
                <w:sz w:val="18"/>
                <w:szCs w:val="18"/>
              </w:rPr>
              <w:t xml:space="preserve"> Urea (PU)</w:t>
            </w:r>
          </w:p>
        </w:tc>
        <w:tc>
          <w:tcPr>
            <w:tcW w:w="960" w:type="dxa"/>
            <w:tcBorders>
              <w:top w:val="single" w:sz="4" w:space="0" w:color="auto"/>
              <w:left w:val="nil"/>
              <w:bottom w:val="single" w:sz="4" w:space="0" w:color="auto"/>
              <w:right w:val="nil"/>
            </w:tcBorders>
            <w:noWrap/>
            <w:vAlign w:val="center"/>
            <w:hideMark/>
          </w:tcPr>
          <w:p w14:paraId="5FB9C80B" w14:textId="77777777" w:rsidR="002B73B2" w:rsidRPr="00587769" w:rsidRDefault="002B73B2" w:rsidP="00851759">
            <w:pPr>
              <w:jc w:val="center"/>
              <w:rPr>
                <w:b/>
                <w:bCs/>
                <w:sz w:val="18"/>
                <w:szCs w:val="18"/>
              </w:rPr>
            </w:pPr>
            <w:r w:rsidRPr="00587769">
              <w:rPr>
                <w:b/>
                <w:bCs/>
                <w:sz w:val="18"/>
                <w:szCs w:val="18"/>
              </w:rPr>
              <w:t>NPK Super Granule</w:t>
            </w:r>
          </w:p>
        </w:tc>
        <w:tc>
          <w:tcPr>
            <w:tcW w:w="960" w:type="dxa"/>
            <w:tcBorders>
              <w:top w:val="single" w:sz="4" w:space="0" w:color="auto"/>
              <w:left w:val="nil"/>
              <w:bottom w:val="single" w:sz="4" w:space="0" w:color="auto"/>
              <w:right w:val="nil"/>
            </w:tcBorders>
            <w:noWrap/>
            <w:vAlign w:val="center"/>
            <w:hideMark/>
          </w:tcPr>
          <w:p w14:paraId="753C42A8" w14:textId="77777777" w:rsidR="002B73B2" w:rsidRPr="00587769" w:rsidRDefault="002B73B2" w:rsidP="00851759">
            <w:pPr>
              <w:jc w:val="center"/>
              <w:rPr>
                <w:b/>
                <w:bCs/>
                <w:sz w:val="18"/>
                <w:szCs w:val="18"/>
              </w:rPr>
            </w:pPr>
            <w:proofErr w:type="spellStart"/>
            <w:r w:rsidRPr="00587769">
              <w:rPr>
                <w:b/>
                <w:bCs/>
                <w:sz w:val="18"/>
                <w:szCs w:val="18"/>
              </w:rPr>
              <w:t>Prilled</w:t>
            </w:r>
            <w:proofErr w:type="spellEnd"/>
            <w:r w:rsidRPr="00587769">
              <w:rPr>
                <w:b/>
                <w:bCs/>
                <w:sz w:val="18"/>
                <w:szCs w:val="18"/>
              </w:rPr>
              <w:t xml:space="preserve"> NPK</w:t>
            </w:r>
          </w:p>
        </w:tc>
        <w:tc>
          <w:tcPr>
            <w:tcW w:w="960" w:type="dxa"/>
            <w:tcBorders>
              <w:top w:val="single" w:sz="4" w:space="0" w:color="auto"/>
              <w:left w:val="nil"/>
              <w:bottom w:val="single" w:sz="4" w:space="0" w:color="auto"/>
              <w:right w:val="nil"/>
            </w:tcBorders>
            <w:noWrap/>
            <w:vAlign w:val="center"/>
            <w:hideMark/>
          </w:tcPr>
          <w:p w14:paraId="23D6201E" w14:textId="77777777" w:rsidR="002B73B2" w:rsidRPr="00587769" w:rsidRDefault="002B73B2" w:rsidP="00851759">
            <w:pPr>
              <w:jc w:val="center"/>
              <w:rPr>
                <w:b/>
                <w:bCs/>
                <w:sz w:val="18"/>
                <w:szCs w:val="18"/>
              </w:rPr>
            </w:pPr>
            <w:r w:rsidRPr="00587769">
              <w:rPr>
                <w:b/>
                <w:bCs/>
                <w:sz w:val="18"/>
                <w:szCs w:val="18"/>
              </w:rPr>
              <w:t>N rate (kg/ha)</w:t>
            </w:r>
          </w:p>
        </w:tc>
        <w:tc>
          <w:tcPr>
            <w:tcW w:w="960" w:type="dxa"/>
            <w:tcBorders>
              <w:top w:val="single" w:sz="4" w:space="0" w:color="auto"/>
              <w:left w:val="nil"/>
              <w:bottom w:val="single" w:sz="4" w:space="0" w:color="auto"/>
              <w:right w:val="nil"/>
            </w:tcBorders>
            <w:noWrap/>
            <w:vAlign w:val="center"/>
            <w:hideMark/>
          </w:tcPr>
          <w:p w14:paraId="689AE6C1" w14:textId="54499B5E" w:rsidR="002B73B2" w:rsidRPr="00587769" w:rsidRDefault="002B73B2" w:rsidP="00851759">
            <w:pPr>
              <w:jc w:val="center"/>
              <w:rPr>
                <w:b/>
                <w:bCs/>
                <w:sz w:val="18"/>
                <w:szCs w:val="18"/>
              </w:rPr>
            </w:pPr>
            <w:r w:rsidRPr="00587769">
              <w:rPr>
                <w:b/>
                <w:bCs/>
                <w:sz w:val="18"/>
                <w:szCs w:val="18"/>
              </w:rPr>
              <w:t>P</w:t>
            </w:r>
            <w:r w:rsidRPr="00851759">
              <w:rPr>
                <w:b/>
                <w:bCs/>
                <w:sz w:val="18"/>
                <w:szCs w:val="18"/>
                <w:vertAlign w:val="subscript"/>
              </w:rPr>
              <w:t>2</w:t>
            </w:r>
            <w:r w:rsidRPr="00587769">
              <w:rPr>
                <w:b/>
                <w:bCs/>
                <w:sz w:val="18"/>
                <w:szCs w:val="18"/>
              </w:rPr>
              <w:t>O</w:t>
            </w:r>
            <w:r w:rsidRPr="00851759">
              <w:rPr>
                <w:b/>
                <w:bCs/>
                <w:sz w:val="18"/>
                <w:szCs w:val="18"/>
                <w:vertAlign w:val="subscript"/>
              </w:rPr>
              <w:t>5</w:t>
            </w:r>
            <w:r w:rsidRPr="00587769">
              <w:rPr>
                <w:b/>
                <w:bCs/>
                <w:sz w:val="18"/>
                <w:szCs w:val="18"/>
              </w:rPr>
              <w:t xml:space="preserve"> dose (</w:t>
            </w:r>
            <w:r w:rsidR="00587769" w:rsidRPr="00587769">
              <w:rPr>
                <w:b/>
                <w:bCs/>
                <w:sz w:val="18"/>
                <w:szCs w:val="18"/>
              </w:rPr>
              <w:t>kg ha</w:t>
            </w:r>
            <w:r w:rsidR="00587769" w:rsidRPr="00587769">
              <w:rPr>
                <w:rFonts w:ascii="Cambria Math" w:hAnsi="Cambria Math" w:cs="Cambria Math"/>
                <w:b/>
                <w:bCs/>
                <w:sz w:val="18"/>
                <w:szCs w:val="18"/>
              </w:rPr>
              <w:t>⁻</w:t>
            </w:r>
            <w:r w:rsidR="00587769" w:rsidRPr="00587769">
              <w:rPr>
                <w:rFonts w:cs="Helvetica"/>
                <w:b/>
                <w:bCs/>
                <w:sz w:val="18"/>
                <w:szCs w:val="18"/>
              </w:rPr>
              <w:t>¹</w:t>
            </w:r>
            <w:r w:rsidRPr="00587769">
              <w:rPr>
                <w:b/>
                <w:bCs/>
                <w:sz w:val="18"/>
                <w:szCs w:val="18"/>
              </w:rPr>
              <w:t>)</w:t>
            </w:r>
          </w:p>
        </w:tc>
        <w:tc>
          <w:tcPr>
            <w:tcW w:w="960" w:type="dxa"/>
            <w:tcBorders>
              <w:top w:val="single" w:sz="4" w:space="0" w:color="auto"/>
              <w:left w:val="nil"/>
              <w:bottom w:val="single" w:sz="4" w:space="0" w:color="auto"/>
              <w:right w:val="nil"/>
            </w:tcBorders>
            <w:noWrap/>
            <w:vAlign w:val="center"/>
            <w:hideMark/>
          </w:tcPr>
          <w:p w14:paraId="19935B5F" w14:textId="5E95AB35" w:rsidR="002B73B2" w:rsidRPr="00587769" w:rsidRDefault="002B73B2" w:rsidP="00851759">
            <w:pPr>
              <w:jc w:val="center"/>
              <w:rPr>
                <w:b/>
                <w:bCs/>
                <w:sz w:val="18"/>
                <w:szCs w:val="18"/>
              </w:rPr>
            </w:pPr>
            <w:r w:rsidRPr="00587769">
              <w:rPr>
                <w:b/>
                <w:bCs/>
                <w:sz w:val="18"/>
                <w:szCs w:val="18"/>
              </w:rPr>
              <w:t>K</w:t>
            </w:r>
            <w:r w:rsidRPr="00851759">
              <w:rPr>
                <w:b/>
                <w:bCs/>
                <w:sz w:val="18"/>
                <w:szCs w:val="18"/>
                <w:vertAlign w:val="subscript"/>
              </w:rPr>
              <w:t>2</w:t>
            </w:r>
            <w:r w:rsidRPr="00587769">
              <w:rPr>
                <w:b/>
                <w:bCs/>
                <w:sz w:val="18"/>
                <w:szCs w:val="18"/>
              </w:rPr>
              <w:t>O rate (</w:t>
            </w:r>
            <w:r w:rsidR="00587769" w:rsidRPr="00587769">
              <w:rPr>
                <w:b/>
                <w:bCs/>
                <w:sz w:val="18"/>
                <w:szCs w:val="18"/>
              </w:rPr>
              <w:t>kg ha</w:t>
            </w:r>
            <w:r w:rsidR="00587769" w:rsidRPr="00587769">
              <w:rPr>
                <w:rFonts w:ascii="Cambria Math" w:hAnsi="Cambria Math" w:cs="Cambria Math"/>
                <w:b/>
                <w:bCs/>
                <w:sz w:val="18"/>
                <w:szCs w:val="18"/>
              </w:rPr>
              <w:t>⁻</w:t>
            </w:r>
            <w:r w:rsidR="00587769" w:rsidRPr="00587769">
              <w:rPr>
                <w:rFonts w:cs="Helvetica"/>
                <w:b/>
                <w:bCs/>
                <w:sz w:val="18"/>
                <w:szCs w:val="18"/>
              </w:rPr>
              <w:t>¹</w:t>
            </w:r>
            <w:r w:rsidR="00587769" w:rsidRPr="00587769">
              <w:rPr>
                <w:b/>
                <w:bCs/>
                <w:sz w:val="18"/>
                <w:szCs w:val="18"/>
              </w:rPr>
              <w:t>)</w:t>
            </w:r>
          </w:p>
        </w:tc>
      </w:tr>
      <w:tr w:rsidR="002B73B2" w:rsidRPr="00BF3C8A" w14:paraId="20828157" w14:textId="77777777" w:rsidTr="00851759">
        <w:trPr>
          <w:trHeight w:val="290"/>
        </w:trPr>
        <w:tc>
          <w:tcPr>
            <w:tcW w:w="1805" w:type="dxa"/>
            <w:tcBorders>
              <w:top w:val="nil"/>
              <w:left w:val="nil"/>
              <w:bottom w:val="nil"/>
              <w:right w:val="nil"/>
            </w:tcBorders>
            <w:noWrap/>
            <w:vAlign w:val="center"/>
            <w:hideMark/>
          </w:tcPr>
          <w:p w14:paraId="3BC38EA1" w14:textId="77777777" w:rsidR="002B73B2" w:rsidRPr="00BF3C8A" w:rsidRDefault="002B73B2" w:rsidP="00851759">
            <w:pPr>
              <w:jc w:val="center"/>
              <w:rPr>
                <w:b/>
                <w:bCs/>
                <w:sz w:val="22"/>
                <w:szCs w:val="22"/>
              </w:rPr>
            </w:pPr>
            <w:r w:rsidRPr="00BF3C8A">
              <w:rPr>
                <w:b/>
                <w:bCs/>
                <w:sz w:val="22"/>
                <w:szCs w:val="22"/>
              </w:rPr>
              <w:t>2 SG-NPK</w:t>
            </w:r>
          </w:p>
        </w:tc>
        <w:tc>
          <w:tcPr>
            <w:tcW w:w="960" w:type="dxa"/>
            <w:tcBorders>
              <w:top w:val="nil"/>
              <w:left w:val="nil"/>
              <w:bottom w:val="nil"/>
              <w:right w:val="nil"/>
            </w:tcBorders>
            <w:noWrap/>
            <w:vAlign w:val="center"/>
            <w:hideMark/>
          </w:tcPr>
          <w:p w14:paraId="58438370"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31164E6F"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3FCBBDA2" w14:textId="77777777" w:rsidR="002B73B2" w:rsidRPr="00851759" w:rsidRDefault="002B73B2" w:rsidP="00851759">
            <w:pPr>
              <w:jc w:val="center"/>
            </w:pPr>
            <w:r w:rsidRPr="00851759">
              <w:t>450</w:t>
            </w:r>
          </w:p>
        </w:tc>
        <w:tc>
          <w:tcPr>
            <w:tcW w:w="960" w:type="dxa"/>
            <w:tcBorders>
              <w:top w:val="nil"/>
              <w:left w:val="nil"/>
              <w:bottom w:val="nil"/>
              <w:right w:val="nil"/>
            </w:tcBorders>
            <w:noWrap/>
            <w:vAlign w:val="center"/>
            <w:hideMark/>
          </w:tcPr>
          <w:p w14:paraId="0636CA5E"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7EFE3BCE" w14:textId="77777777" w:rsidR="002B73B2" w:rsidRPr="00851759" w:rsidRDefault="002B73B2" w:rsidP="00851759">
            <w:pPr>
              <w:jc w:val="center"/>
            </w:pPr>
            <w:r w:rsidRPr="00851759">
              <w:t>36</w:t>
            </w:r>
          </w:p>
        </w:tc>
        <w:tc>
          <w:tcPr>
            <w:tcW w:w="960" w:type="dxa"/>
            <w:tcBorders>
              <w:top w:val="nil"/>
              <w:left w:val="nil"/>
              <w:bottom w:val="nil"/>
              <w:right w:val="nil"/>
            </w:tcBorders>
            <w:noWrap/>
            <w:vAlign w:val="center"/>
            <w:hideMark/>
          </w:tcPr>
          <w:p w14:paraId="7A494EDC" w14:textId="77777777" w:rsidR="002B73B2" w:rsidRPr="00851759" w:rsidRDefault="002B73B2" w:rsidP="00851759">
            <w:pPr>
              <w:jc w:val="center"/>
            </w:pPr>
            <w:r w:rsidRPr="00851759">
              <w:t>58.5</w:t>
            </w:r>
          </w:p>
        </w:tc>
        <w:tc>
          <w:tcPr>
            <w:tcW w:w="960" w:type="dxa"/>
            <w:tcBorders>
              <w:top w:val="nil"/>
              <w:left w:val="nil"/>
              <w:bottom w:val="nil"/>
              <w:right w:val="nil"/>
            </w:tcBorders>
            <w:noWrap/>
            <w:vAlign w:val="center"/>
            <w:hideMark/>
          </w:tcPr>
          <w:p w14:paraId="69634608" w14:textId="77777777" w:rsidR="002B73B2" w:rsidRPr="00851759" w:rsidRDefault="002B73B2" w:rsidP="00851759">
            <w:pPr>
              <w:jc w:val="center"/>
            </w:pPr>
            <w:r w:rsidRPr="00851759">
              <w:t>27</w:t>
            </w:r>
          </w:p>
        </w:tc>
      </w:tr>
      <w:tr w:rsidR="002B73B2" w:rsidRPr="00BF3C8A" w14:paraId="36B8F5C6" w14:textId="77777777" w:rsidTr="00851759">
        <w:trPr>
          <w:trHeight w:val="290"/>
        </w:trPr>
        <w:tc>
          <w:tcPr>
            <w:tcW w:w="1805" w:type="dxa"/>
            <w:tcBorders>
              <w:top w:val="nil"/>
              <w:left w:val="nil"/>
              <w:bottom w:val="nil"/>
              <w:right w:val="nil"/>
            </w:tcBorders>
            <w:noWrap/>
            <w:vAlign w:val="center"/>
            <w:hideMark/>
          </w:tcPr>
          <w:p w14:paraId="49A8B7AD" w14:textId="77777777" w:rsidR="002B73B2" w:rsidRPr="00BF3C8A" w:rsidRDefault="002B73B2" w:rsidP="00851759">
            <w:pPr>
              <w:jc w:val="center"/>
              <w:rPr>
                <w:b/>
                <w:bCs/>
                <w:sz w:val="22"/>
                <w:szCs w:val="22"/>
              </w:rPr>
            </w:pPr>
            <w:r w:rsidRPr="00E86361">
              <w:rPr>
                <w:b/>
                <w:bCs/>
                <w:sz w:val="22"/>
                <w:szCs w:val="22"/>
              </w:rPr>
              <w:t>FP</w:t>
            </w:r>
          </w:p>
        </w:tc>
        <w:tc>
          <w:tcPr>
            <w:tcW w:w="960" w:type="dxa"/>
            <w:tcBorders>
              <w:top w:val="nil"/>
              <w:left w:val="nil"/>
              <w:bottom w:val="nil"/>
              <w:right w:val="nil"/>
            </w:tcBorders>
            <w:noWrap/>
            <w:vAlign w:val="center"/>
            <w:hideMark/>
          </w:tcPr>
          <w:p w14:paraId="689B5637"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2A476B2D" w14:textId="77777777" w:rsidR="002B73B2" w:rsidRPr="00851759" w:rsidRDefault="002B73B2" w:rsidP="00851759">
            <w:pPr>
              <w:jc w:val="center"/>
            </w:pPr>
            <w:r w:rsidRPr="00851759">
              <w:t>200</w:t>
            </w:r>
          </w:p>
        </w:tc>
        <w:tc>
          <w:tcPr>
            <w:tcW w:w="960" w:type="dxa"/>
            <w:tcBorders>
              <w:top w:val="nil"/>
              <w:left w:val="nil"/>
              <w:bottom w:val="nil"/>
              <w:right w:val="nil"/>
            </w:tcBorders>
            <w:noWrap/>
            <w:vAlign w:val="center"/>
            <w:hideMark/>
          </w:tcPr>
          <w:p w14:paraId="10E7661B"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1844DB99" w14:textId="77777777" w:rsidR="002B73B2" w:rsidRPr="00851759" w:rsidRDefault="002B73B2" w:rsidP="00851759">
            <w:pPr>
              <w:jc w:val="center"/>
            </w:pPr>
            <w:r w:rsidRPr="00851759">
              <w:t>300</w:t>
            </w:r>
          </w:p>
        </w:tc>
        <w:tc>
          <w:tcPr>
            <w:tcW w:w="960" w:type="dxa"/>
            <w:tcBorders>
              <w:top w:val="nil"/>
              <w:left w:val="nil"/>
              <w:bottom w:val="nil"/>
              <w:right w:val="nil"/>
            </w:tcBorders>
            <w:noWrap/>
            <w:vAlign w:val="center"/>
            <w:hideMark/>
          </w:tcPr>
          <w:p w14:paraId="24A9427E" w14:textId="77777777" w:rsidR="002B73B2" w:rsidRPr="00851759" w:rsidRDefault="002B73B2" w:rsidP="00851759">
            <w:pPr>
              <w:jc w:val="center"/>
            </w:pPr>
            <w:r w:rsidRPr="00851759">
              <w:t>67</w:t>
            </w:r>
          </w:p>
        </w:tc>
        <w:tc>
          <w:tcPr>
            <w:tcW w:w="960" w:type="dxa"/>
            <w:tcBorders>
              <w:top w:val="nil"/>
              <w:left w:val="nil"/>
              <w:bottom w:val="nil"/>
              <w:right w:val="nil"/>
            </w:tcBorders>
            <w:noWrap/>
            <w:vAlign w:val="center"/>
            <w:hideMark/>
          </w:tcPr>
          <w:p w14:paraId="0C68A14F" w14:textId="77777777" w:rsidR="002B73B2" w:rsidRPr="00851759" w:rsidRDefault="002B73B2" w:rsidP="00851759">
            <w:pPr>
              <w:jc w:val="center"/>
            </w:pPr>
            <w:r w:rsidRPr="00851759">
              <w:t>34.5</w:t>
            </w:r>
          </w:p>
        </w:tc>
        <w:tc>
          <w:tcPr>
            <w:tcW w:w="960" w:type="dxa"/>
            <w:tcBorders>
              <w:top w:val="nil"/>
              <w:left w:val="nil"/>
              <w:bottom w:val="nil"/>
              <w:right w:val="nil"/>
            </w:tcBorders>
            <w:noWrap/>
            <w:vAlign w:val="center"/>
            <w:hideMark/>
          </w:tcPr>
          <w:p w14:paraId="25011CC2" w14:textId="77777777" w:rsidR="002B73B2" w:rsidRPr="00851759" w:rsidRDefault="002B73B2" w:rsidP="00851759">
            <w:pPr>
              <w:jc w:val="center"/>
            </w:pPr>
            <w:r w:rsidRPr="00851759">
              <w:t>21</w:t>
            </w:r>
          </w:p>
        </w:tc>
      </w:tr>
      <w:tr w:rsidR="002B73B2" w:rsidRPr="00BF3C8A" w14:paraId="0B5DF503" w14:textId="77777777" w:rsidTr="00851759">
        <w:trPr>
          <w:trHeight w:val="290"/>
        </w:trPr>
        <w:tc>
          <w:tcPr>
            <w:tcW w:w="1805" w:type="dxa"/>
            <w:tcBorders>
              <w:top w:val="nil"/>
              <w:left w:val="nil"/>
              <w:bottom w:val="nil"/>
              <w:right w:val="nil"/>
            </w:tcBorders>
            <w:noWrap/>
            <w:vAlign w:val="center"/>
            <w:hideMark/>
          </w:tcPr>
          <w:p w14:paraId="70B988B7" w14:textId="77777777" w:rsidR="002B73B2" w:rsidRPr="00BF3C8A" w:rsidRDefault="002B73B2" w:rsidP="00851759">
            <w:pPr>
              <w:jc w:val="center"/>
              <w:rPr>
                <w:b/>
                <w:bCs/>
                <w:sz w:val="22"/>
                <w:szCs w:val="22"/>
              </w:rPr>
            </w:pPr>
            <w:r w:rsidRPr="00BF3C8A">
              <w:rPr>
                <w:b/>
                <w:bCs/>
                <w:sz w:val="22"/>
                <w:szCs w:val="22"/>
              </w:rPr>
              <w:t>150 kg NPK + USG</w:t>
            </w:r>
          </w:p>
        </w:tc>
        <w:tc>
          <w:tcPr>
            <w:tcW w:w="960" w:type="dxa"/>
            <w:tcBorders>
              <w:top w:val="nil"/>
              <w:left w:val="nil"/>
              <w:bottom w:val="nil"/>
              <w:right w:val="nil"/>
            </w:tcBorders>
            <w:noWrap/>
            <w:vAlign w:val="center"/>
            <w:hideMark/>
          </w:tcPr>
          <w:p w14:paraId="18BEC1E1" w14:textId="77777777" w:rsidR="002B73B2" w:rsidRPr="00851759" w:rsidRDefault="002B73B2" w:rsidP="00851759">
            <w:pPr>
              <w:jc w:val="center"/>
            </w:pPr>
            <w:r w:rsidRPr="00851759">
              <w:t>225</w:t>
            </w:r>
          </w:p>
        </w:tc>
        <w:tc>
          <w:tcPr>
            <w:tcW w:w="960" w:type="dxa"/>
            <w:tcBorders>
              <w:top w:val="nil"/>
              <w:left w:val="nil"/>
              <w:bottom w:val="nil"/>
              <w:right w:val="nil"/>
            </w:tcBorders>
            <w:noWrap/>
            <w:vAlign w:val="center"/>
            <w:hideMark/>
          </w:tcPr>
          <w:p w14:paraId="69208FB4"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2135EAB9"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2C7A7820" w14:textId="77777777" w:rsidR="002B73B2" w:rsidRPr="00851759" w:rsidRDefault="002B73B2" w:rsidP="00851759">
            <w:pPr>
              <w:jc w:val="center"/>
            </w:pPr>
            <w:r w:rsidRPr="00851759">
              <w:t>300</w:t>
            </w:r>
          </w:p>
        </w:tc>
        <w:tc>
          <w:tcPr>
            <w:tcW w:w="960" w:type="dxa"/>
            <w:tcBorders>
              <w:top w:val="nil"/>
              <w:left w:val="nil"/>
              <w:bottom w:val="nil"/>
              <w:right w:val="nil"/>
            </w:tcBorders>
            <w:noWrap/>
            <w:vAlign w:val="center"/>
            <w:hideMark/>
          </w:tcPr>
          <w:p w14:paraId="715F30F3" w14:textId="77777777" w:rsidR="002B73B2" w:rsidRPr="00851759" w:rsidRDefault="002B73B2" w:rsidP="00851759">
            <w:pPr>
              <w:jc w:val="center"/>
            </w:pPr>
            <w:r w:rsidRPr="00851759">
              <w:t>72.98</w:t>
            </w:r>
          </w:p>
        </w:tc>
        <w:tc>
          <w:tcPr>
            <w:tcW w:w="960" w:type="dxa"/>
            <w:tcBorders>
              <w:top w:val="nil"/>
              <w:left w:val="nil"/>
              <w:bottom w:val="nil"/>
              <w:right w:val="nil"/>
            </w:tcBorders>
            <w:noWrap/>
            <w:vAlign w:val="center"/>
            <w:hideMark/>
          </w:tcPr>
          <w:p w14:paraId="6BE5C57F" w14:textId="77777777" w:rsidR="002B73B2" w:rsidRPr="00851759" w:rsidRDefault="002B73B2" w:rsidP="00851759">
            <w:pPr>
              <w:jc w:val="center"/>
            </w:pPr>
            <w:r w:rsidRPr="00851759">
              <w:t>34.5</w:t>
            </w:r>
          </w:p>
        </w:tc>
        <w:tc>
          <w:tcPr>
            <w:tcW w:w="960" w:type="dxa"/>
            <w:tcBorders>
              <w:top w:val="nil"/>
              <w:left w:val="nil"/>
              <w:bottom w:val="nil"/>
              <w:right w:val="nil"/>
            </w:tcBorders>
            <w:noWrap/>
            <w:vAlign w:val="center"/>
            <w:hideMark/>
          </w:tcPr>
          <w:p w14:paraId="68D696A4" w14:textId="77777777" w:rsidR="002B73B2" w:rsidRPr="00851759" w:rsidRDefault="002B73B2" w:rsidP="00851759">
            <w:pPr>
              <w:jc w:val="center"/>
            </w:pPr>
            <w:r w:rsidRPr="00851759">
              <w:t>21</w:t>
            </w:r>
          </w:p>
        </w:tc>
      </w:tr>
      <w:tr w:rsidR="002B73B2" w:rsidRPr="00BF3C8A" w14:paraId="6D810CC6" w14:textId="77777777" w:rsidTr="00851759">
        <w:trPr>
          <w:trHeight w:val="290"/>
        </w:trPr>
        <w:tc>
          <w:tcPr>
            <w:tcW w:w="1805" w:type="dxa"/>
            <w:tcBorders>
              <w:top w:val="nil"/>
              <w:left w:val="nil"/>
              <w:bottom w:val="nil"/>
              <w:right w:val="nil"/>
            </w:tcBorders>
            <w:noWrap/>
            <w:vAlign w:val="center"/>
            <w:hideMark/>
          </w:tcPr>
          <w:p w14:paraId="2E8D28FE" w14:textId="77777777" w:rsidR="002B73B2" w:rsidRPr="00BF3C8A" w:rsidRDefault="002B73B2" w:rsidP="00851759">
            <w:pPr>
              <w:jc w:val="center"/>
              <w:rPr>
                <w:b/>
                <w:bCs/>
                <w:sz w:val="22"/>
                <w:szCs w:val="22"/>
              </w:rPr>
            </w:pPr>
            <w:r w:rsidRPr="00BF3C8A">
              <w:rPr>
                <w:b/>
                <w:bCs/>
                <w:sz w:val="22"/>
                <w:szCs w:val="22"/>
              </w:rPr>
              <w:t>2 SG-NPK + PU</w:t>
            </w:r>
          </w:p>
        </w:tc>
        <w:tc>
          <w:tcPr>
            <w:tcW w:w="960" w:type="dxa"/>
            <w:tcBorders>
              <w:top w:val="nil"/>
              <w:left w:val="nil"/>
              <w:bottom w:val="nil"/>
              <w:right w:val="nil"/>
            </w:tcBorders>
            <w:noWrap/>
            <w:vAlign w:val="center"/>
            <w:hideMark/>
          </w:tcPr>
          <w:p w14:paraId="786A54E3"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224786A5" w14:textId="77777777" w:rsidR="002B73B2" w:rsidRPr="00851759" w:rsidRDefault="002B73B2" w:rsidP="00851759">
            <w:pPr>
              <w:jc w:val="center"/>
            </w:pPr>
            <w:r w:rsidRPr="00851759">
              <w:t>200</w:t>
            </w:r>
          </w:p>
        </w:tc>
        <w:tc>
          <w:tcPr>
            <w:tcW w:w="960" w:type="dxa"/>
            <w:tcBorders>
              <w:top w:val="nil"/>
              <w:left w:val="nil"/>
              <w:bottom w:val="nil"/>
              <w:right w:val="nil"/>
            </w:tcBorders>
            <w:noWrap/>
            <w:vAlign w:val="center"/>
            <w:hideMark/>
          </w:tcPr>
          <w:p w14:paraId="2D053D49" w14:textId="77777777" w:rsidR="002B73B2" w:rsidRPr="00851759" w:rsidRDefault="002B73B2" w:rsidP="00851759">
            <w:pPr>
              <w:jc w:val="center"/>
            </w:pPr>
            <w:r w:rsidRPr="00851759">
              <w:t>450</w:t>
            </w:r>
          </w:p>
        </w:tc>
        <w:tc>
          <w:tcPr>
            <w:tcW w:w="960" w:type="dxa"/>
            <w:tcBorders>
              <w:top w:val="nil"/>
              <w:left w:val="nil"/>
              <w:bottom w:val="nil"/>
              <w:right w:val="nil"/>
            </w:tcBorders>
            <w:noWrap/>
            <w:vAlign w:val="center"/>
            <w:hideMark/>
          </w:tcPr>
          <w:p w14:paraId="3D0CEF17" w14:textId="77777777" w:rsidR="002B73B2" w:rsidRPr="00851759" w:rsidRDefault="002B73B2" w:rsidP="00851759">
            <w:pPr>
              <w:jc w:val="center"/>
            </w:pPr>
            <w:r w:rsidRPr="00851759">
              <w:t>-</w:t>
            </w:r>
          </w:p>
        </w:tc>
        <w:tc>
          <w:tcPr>
            <w:tcW w:w="960" w:type="dxa"/>
            <w:tcBorders>
              <w:top w:val="nil"/>
              <w:left w:val="nil"/>
              <w:bottom w:val="nil"/>
              <w:right w:val="nil"/>
            </w:tcBorders>
            <w:noWrap/>
            <w:vAlign w:val="center"/>
            <w:hideMark/>
          </w:tcPr>
          <w:p w14:paraId="343D0977" w14:textId="77777777" w:rsidR="002B73B2" w:rsidRPr="00851759" w:rsidRDefault="002B73B2" w:rsidP="00851759">
            <w:pPr>
              <w:jc w:val="center"/>
            </w:pPr>
            <w:r w:rsidRPr="00851759">
              <w:t>82</w:t>
            </w:r>
          </w:p>
        </w:tc>
        <w:tc>
          <w:tcPr>
            <w:tcW w:w="960" w:type="dxa"/>
            <w:tcBorders>
              <w:top w:val="nil"/>
              <w:left w:val="nil"/>
              <w:bottom w:val="nil"/>
              <w:right w:val="nil"/>
            </w:tcBorders>
            <w:noWrap/>
            <w:vAlign w:val="center"/>
            <w:hideMark/>
          </w:tcPr>
          <w:p w14:paraId="24A0F858" w14:textId="77777777" w:rsidR="002B73B2" w:rsidRPr="00851759" w:rsidRDefault="002B73B2" w:rsidP="00851759">
            <w:pPr>
              <w:jc w:val="center"/>
            </w:pPr>
            <w:r w:rsidRPr="00851759">
              <w:t>58.5</w:t>
            </w:r>
          </w:p>
        </w:tc>
        <w:tc>
          <w:tcPr>
            <w:tcW w:w="960" w:type="dxa"/>
            <w:tcBorders>
              <w:top w:val="nil"/>
              <w:left w:val="nil"/>
              <w:bottom w:val="nil"/>
              <w:right w:val="nil"/>
            </w:tcBorders>
            <w:noWrap/>
            <w:vAlign w:val="center"/>
            <w:hideMark/>
          </w:tcPr>
          <w:p w14:paraId="4E6400D7" w14:textId="77777777" w:rsidR="002B73B2" w:rsidRPr="00851759" w:rsidRDefault="002B73B2" w:rsidP="00851759">
            <w:pPr>
              <w:jc w:val="center"/>
            </w:pPr>
            <w:r w:rsidRPr="00851759">
              <w:t>27</w:t>
            </w:r>
          </w:p>
        </w:tc>
      </w:tr>
      <w:tr w:rsidR="002B73B2" w:rsidRPr="00BF3C8A" w14:paraId="25BA6665" w14:textId="77777777" w:rsidTr="00851759">
        <w:trPr>
          <w:trHeight w:val="290"/>
        </w:trPr>
        <w:tc>
          <w:tcPr>
            <w:tcW w:w="1805" w:type="dxa"/>
            <w:tcBorders>
              <w:top w:val="nil"/>
              <w:left w:val="nil"/>
              <w:bottom w:val="single" w:sz="4" w:space="0" w:color="auto"/>
              <w:right w:val="nil"/>
            </w:tcBorders>
            <w:noWrap/>
            <w:vAlign w:val="center"/>
            <w:hideMark/>
          </w:tcPr>
          <w:p w14:paraId="0AD3EB83" w14:textId="77777777" w:rsidR="002B73B2" w:rsidRPr="00BF3C8A" w:rsidRDefault="002B73B2" w:rsidP="00851759">
            <w:pPr>
              <w:jc w:val="center"/>
              <w:rPr>
                <w:b/>
                <w:bCs/>
                <w:sz w:val="22"/>
                <w:szCs w:val="22"/>
              </w:rPr>
            </w:pPr>
            <w:r w:rsidRPr="00BF3C8A">
              <w:rPr>
                <w:b/>
                <w:bCs/>
                <w:sz w:val="22"/>
                <w:szCs w:val="22"/>
              </w:rPr>
              <w:t>Control</w:t>
            </w:r>
          </w:p>
        </w:tc>
        <w:tc>
          <w:tcPr>
            <w:tcW w:w="960" w:type="dxa"/>
            <w:tcBorders>
              <w:top w:val="nil"/>
              <w:left w:val="nil"/>
              <w:bottom w:val="single" w:sz="4" w:space="0" w:color="auto"/>
              <w:right w:val="nil"/>
            </w:tcBorders>
            <w:noWrap/>
            <w:vAlign w:val="center"/>
            <w:hideMark/>
          </w:tcPr>
          <w:p w14:paraId="7EFEC37F" w14:textId="77777777" w:rsidR="002B73B2" w:rsidRPr="00851759" w:rsidRDefault="002B73B2" w:rsidP="00851759">
            <w:pPr>
              <w:jc w:val="center"/>
            </w:pPr>
            <w:r w:rsidRPr="00851759">
              <w:t>-</w:t>
            </w:r>
          </w:p>
        </w:tc>
        <w:tc>
          <w:tcPr>
            <w:tcW w:w="960" w:type="dxa"/>
            <w:tcBorders>
              <w:top w:val="nil"/>
              <w:left w:val="nil"/>
              <w:bottom w:val="single" w:sz="4" w:space="0" w:color="auto"/>
              <w:right w:val="nil"/>
            </w:tcBorders>
            <w:noWrap/>
            <w:vAlign w:val="center"/>
            <w:hideMark/>
          </w:tcPr>
          <w:p w14:paraId="0E9EE736" w14:textId="77777777" w:rsidR="002B73B2" w:rsidRPr="00851759" w:rsidRDefault="002B73B2" w:rsidP="00851759">
            <w:pPr>
              <w:jc w:val="center"/>
            </w:pPr>
            <w:r w:rsidRPr="00851759">
              <w:t>-</w:t>
            </w:r>
          </w:p>
        </w:tc>
        <w:tc>
          <w:tcPr>
            <w:tcW w:w="960" w:type="dxa"/>
            <w:tcBorders>
              <w:top w:val="nil"/>
              <w:left w:val="nil"/>
              <w:bottom w:val="single" w:sz="4" w:space="0" w:color="auto"/>
              <w:right w:val="nil"/>
            </w:tcBorders>
            <w:noWrap/>
            <w:vAlign w:val="center"/>
            <w:hideMark/>
          </w:tcPr>
          <w:p w14:paraId="0118B0B4" w14:textId="77777777" w:rsidR="002B73B2" w:rsidRPr="00851759" w:rsidRDefault="002B73B2" w:rsidP="00851759">
            <w:pPr>
              <w:jc w:val="center"/>
            </w:pPr>
            <w:r w:rsidRPr="00851759">
              <w:t>-</w:t>
            </w:r>
          </w:p>
        </w:tc>
        <w:tc>
          <w:tcPr>
            <w:tcW w:w="960" w:type="dxa"/>
            <w:tcBorders>
              <w:top w:val="nil"/>
              <w:left w:val="nil"/>
              <w:bottom w:val="single" w:sz="4" w:space="0" w:color="auto"/>
              <w:right w:val="nil"/>
            </w:tcBorders>
            <w:noWrap/>
            <w:vAlign w:val="center"/>
            <w:hideMark/>
          </w:tcPr>
          <w:p w14:paraId="2B3F91B4" w14:textId="77777777" w:rsidR="002B73B2" w:rsidRPr="00851759" w:rsidRDefault="002B73B2" w:rsidP="00851759">
            <w:pPr>
              <w:jc w:val="center"/>
            </w:pPr>
            <w:r w:rsidRPr="00851759">
              <w:t>-</w:t>
            </w:r>
          </w:p>
        </w:tc>
        <w:tc>
          <w:tcPr>
            <w:tcW w:w="960" w:type="dxa"/>
            <w:tcBorders>
              <w:top w:val="nil"/>
              <w:left w:val="nil"/>
              <w:bottom w:val="single" w:sz="4" w:space="0" w:color="auto"/>
              <w:right w:val="nil"/>
            </w:tcBorders>
            <w:noWrap/>
            <w:vAlign w:val="center"/>
            <w:hideMark/>
          </w:tcPr>
          <w:p w14:paraId="40C57597" w14:textId="77777777" w:rsidR="002B73B2" w:rsidRPr="00851759" w:rsidRDefault="002B73B2" w:rsidP="00851759">
            <w:pPr>
              <w:jc w:val="center"/>
            </w:pPr>
            <w:r w:rsidRPr="00851759">
              <w:t>-</w:t>
            </w:r>
          </w:p>
        </w:tc>
        <w:tc>
          <w:tcPr>
            <w:tcW w:w="960" w:type="dxa"/>
            <w:tcBorders>
              <w:top w:val="nil"/>
              <w:left w:val="nil"/>
              <w:bottom w:val="single" w:sz="4" w:space="0" w:color="auto"/>
              <w:right w:val="nil"/>
            </w:tcBorders>
            <w:noWrap/>
            <w:vAlign w:val="center"/>
            <w:hideMark/>
          </w:tcPr>
          <w:p w14:paraId="723D06F8" w14:textId="77777777" w:rsidR="002B73B2" w:rsidRPr="00851759" w:rsidRDefault="002B73B2" w:rsidP="00851759">
            <w:pPr>
              <w:jc w:val="center"/>
            </w:pPr>
            <w:r w:rsidRPr="00851759">
              <w:t>-</w:t>
            </w:r>
          </w:p>
        </w:tc>
        <w:tc>
          <w:tcPr>
            <w:tcW w:w="960" w:type="dxa"/>
            <w:tcBorders>
              <w:top w:val="nil"/>
              <w:left w:val="nil"/>
              <w:bottom w:val="single" w:sz="4" w:space="0" w:color="auto"/>
              <w:right w:val="nil"/>
            </w:tcBorders>
            <w:noWrap/>
            <w:vAlign w:val="center"/>
            <w:hideMark/>
          </w:tcPr>
          <w:p w14:paraId="2A4149D6" w14:textId="77777777" w:rsidR="002B73B2" w:rsidRPr="00851759" w:rsidRDefault="002B73B2" w:rsidP="00851759">
            <w:pPr>
              <w:jc w:val="center"/>
            </w:pPr>
            <w:r w:rsidRPr="00851759">
              <w:t>-</w:t>
            </w:r>
          </w:p>
        </w:tc>
      </w:tr>
    </w:tbl>
    <w:p w14:paraId="7AF6E763" w14:textId="13DB6122" w:rsidR="002B73B2" w:rsidRPr="00BA5459" w:rsidRDefault="002B73B2" w:rsidP="0014591B">
      <w:pPr>
        <w:jc w:val="both"/>
        <w:rPr>
          <w:rFonts w:ascii="Arial" w:hAnsi="Arial" w:cs="Arial"/>
          <w:i/>
          <w:sz w:val="22"/>
          <w:szCs w:val="22"/>
        </w:rPr>
      </w:pPr>
      <w:r w:rsidRPr="00BA5459">
        <w:rPr>
          <w:rFonts w:ascii="Arial" w:hAnsi="Arial" w:cs="Arial"/>
          <w:i/>
          <w:sz w:val="22"/>
          <w:szCs w:val="22"/>
        </w:rPr>
        <w:t xml:space="preserve">SG-NPK: NPK Super Granule; USG: Super Granulated Urea; FP: Famer's practice; PU: </w:t>
      </w:r>
      <w:proofErr w:type="spellStart"/>
      <w:r w:rsidR="008A0D38">
        <w:rPr>
          <w:rFonts w:ascii="Arial" w:hAnsi="Arial" w:cs="Arial"/>
          <w:i/>
          <w:sz w:val="22"/>
          <w:szCs w:val="22"/>
        </w:rPr>
        <w:t>Prilled</w:t>
      </w:r>
      <w:proofErr w:type="spellEnd"/>
      <w:r w:rsidRPr="00BA5459">
        <w:rPr>
          <w:rFonts w:ascii="Arial" w:hAnsi="Arial" w:cs="Arial"/>
          <w:i/>
          <w:sz w:val="22"/>
          <w:szCs w:val="22"/>
        </w:rPr>
        <w:t xml:space="preserve"> Urea.</w:t>
      </w:r>
    </w:p>
    <w:p w14:paraId="6D17B1BB" w14:textId="77777777" w:rsidR="002B73B2" w:rsidRPr="00E86361" w:rsidRDefault="002B73B2" w:rsidP="0046513E">
      <w:pPr>
        <w:keepNext/>
        <w:keepLines/>
        <w:spacing w:before="240" w:after="240"/>
        <w:outlineLvl w:val="2"/>
        <w:rPr>
          <w:b/>
          <w:bCs/>
          <w:sz w:val="22"/>
          <w:szCs w:val="22"/>
        </w:rPr>
      </w:pPr>
      <w:bookmarkStart w:id="14" w:name="_Toc132793736"/>
      <w:bookmarkEnd w:id="13"/>
      <w:r w:rsidRPr="00E86361">
        <w:rPr>
          <w:b/>
          <w:bCs/>
          <w:sz w:val="22"/>
          <w:szCs w:val="22"/>
        </w:rPr>
        <w:t>2.4</w:t>
      </w:r>
      <w:r w:rsidRPr="00E86361">
        <w:rPr>
          <w:b/>
          <w:bCs/>
          <w:sz w:val="22"/>
          <w:szCs w:val="22"/>
        </w:rPr>
        <w:tab/>
        <w:t>Plant sampling and analysis</w:t>
      </w:r>
      <w:bookmarkEnd w:id="14"/>
    </w:p>
    <w:p w14:paraId="410A3B02" w14:textId="23D70FF6" w:rsidR="002B73B2" w:rsidRPr="00252D1B" w:rsidRDefault="00F4717A" w:rsidP="0014591B">
      <w:pPr>
        <w:spacing w:line="360" w:lineRule="auto"/>
        <w:jc w:val="both"/>
        <w:rPr>
          <w:rFonts w:ascii="Arial" w:hAnsi="Arial" w:cs="Arial"/>
          <w:sz w:val="22"/>
          <w:szCs w:val="22"/>
        </w:rPr>
      </w:pPr>
      <w:r w:rsidRPr="00252D1B">
        <w:rPr>
          <w:rFonts w:ascii="Arial" w:hAnsi="Arial" w:cs="Arial"/>
          <w:sz w:val="22"/>
          <w:szCs w:val="22"/>
        </w:rPr>
        <w:t>Grain and straw samples were collected from each elementary plot after harvest to analyze the N and P contents.</w:t>
      </w:r>
      <w:r w:rsidR="002B73B2" w:rsidRPr="00252D1B">
        <w:rPr>
          <w:rFonts w:ascii="Arial" w:hAnsi="Arial" w:cs="Arial"/>
          <w:sz w:val="22"/>
          <w:szCs w:val="22"/>
        </w:rPr>
        <w:t xml:space="preserve"> </w:t>
      </w:r>
      <w:r w:rsidRPr="00252D1B">
        <w:rPr>
          <w:rFonts w:ascii="Arial" w:hAnsi="Arial" w:cs="Arial"/>
          <w:sz w:val="22"/>
          <w:szCs w:val="22"/>
        </w:rPr>
        <w:t>This sampling was conducted in the same square used to evaluate the performance of the components.</w:t>
      </w:r>
      <w:r w:rsidR="002B73B2" w:rsidRPr="00252D1B">
        <w:rPr>
          <w:rFonts w:ascii="Arial" w:hAnsi="Arial" w:cs="Arial"/>
          <w:sz w:val="22"/>
          <w:szCs w:val="22"/>
        </w:rPr>
        <w:t xml:space="preserve"> </w:t>
      </w:r>
      <w:r w:rsidRPr="00252D1B">
        <w:rPr>
          <w:rFonts w:ascii="Arial" w:hAnsi="Arial" w:cs="Arial"/>
          <w:sz w:val="22"/>
          <w:szCs w:val="22"/>
        </w:rPr>
        <w:t>This biomass was dried in the shade under open air, and a 50 g sample was stored in labelled plastic bags for analysis.</w:t>
      </w:r>
      <w:r w:rsidR="002B73B2" w:rsidRPr="00252D1B">
        <w:rPr>
          <w:rFonts w:ascii="Arial" w:hAnsi="Arial" w:cs="Arial"/>
          <w:sz w:val="22"/>
          <w:szCs w:val="22"/>
        </w:rPr>
        <w:t xml:space="preserve"> Nitrogen is determined by the </w:t>
      </w:r>
      <w:proofErr w:type="spellStart"/>
      <w:r w:rsidR="002B73B2" w:rsidRPr="00252D1B">
        <w:rPr>
          <w:rFonts w:ascii="Arial" w:hAnsi="Arial" w:cs="Arial"/>
          <w:sz w:val="22"/>
          <w:szCs w:val="22"/>
        </w:rPr>
        <w:t>Kjeldhal</w:t>
      </w:r>
      <w:proofErr w:type="spellEnd"/>
      <w:r w:rsidR="002B73B2" w:rsidRPr="00252D1B">
        <w:rPr>
          <w:rFonts w:ascii="Arial" w:hAnsi="Arial" w:cs="Arial"/>
          <w:sz w:val="22"/>
          <w:szCs w:val="22"/>
        </w:rPr>
        <w:t xml:space="preserve"> method developed by Hillebrand et </w:t>
      </w:r>
      <w:r w:rsidR="002B73B2" w:rsidRPr="00252D1B">
        <w:rPr>
          <w:rFonts w:ascii="Arial" w:hAnsi="Arial" w:cs="Arial"/>
          <w:i/>
          <w:sz w:val="22"/>
          <w:szCs w:val="22"/>
        </w:rPr>
        <w:t>al.</w:t>
      </w:r>
      <w:r w:rsidR="002B73B2" w:rsidRPr="00252D1B">
        <w:rPr>
          <w:rFonts w:ascii="Arial" w:hAnsi="Arial" w:cs="Arial"/>
          <w:sz w:val="22"/>
          <w:szCs w:val="22"/>
        </w:rPr>
        <w:t xml:space="preserve"> (1953), phosphorus is assimilable by the Bray I method.</w:t>
      </w:r>
    </w:p>
    <w:p w14:paraId="4086A11B" w14:textId="77777777" w:rsidR="002B73B2" w:rsidRPr="0014591B" w:rsidRDefault="002B73B2" w:rsidP="0046513E">
      <w:pPr>
        <w:pStyle w:val="Heading2"/>
        <w:rPr>
          <w:rFonts w:ascii="Arial" w:hAnsi="Arial" w:cs="Arial"/>
          <w:b/>
          <w:bCs/>
          <w:color w:val="auto"/>
          <w:sz w:val="22"/>
          <w:szCs w:val="22"/>
        </w:rPr>
      </w:pPr>
      <w:bookmarkStart w:id="15" w:name="_Toc132793737"/>
      <w:r w:rsidRPr="0014591B">
        <w:rPr>
          <w:rFonts w:ascii="Arial" w:hAnsi="Arial" w:cs="Arial"/>
          <w:b/>
          <w:bCs/>
          <w:color w:val="auto"/>
          <w:sz w:val="22"/>
          <w:szCs w:val="22"/>
        </w:rPr>
        <w:t>2.5</w:t>
      </w:r>
      <w:r w:rsidRPr="0014591B">
        <w:rPr>
          <w:rFonts w:ascii="Arial" w:hAnsi="Arial" w:cs="Arial"/>
          <w:b/>
          <w:bCs/>
          <w:color w:val="auto"/>
          <w:sz w:val="22"/>
          <w:szCs w:val="22"/>
        </w:rPr>
        <w:tab/>
        <w:t xml:space="preserve">Agronomic indices for assessing nutrient efficiency  </w:t>
      </w:r>
      <w:bookmarkEnd w:id="15"/>
    </w:p>
    <w:p w14:paraId="07DF596F" w14:textId="04F54270" w:rsidR="002B73B2" w:rsidRPr="00252D1B" w:rsidRDefault="00F4717A" w:rsidP="0014591B">
      <w:pPr>
        <w:spacing w:line="360" w:lineRule="auto"/>
        <w:jc w:val="both"/>
        <w:rPr>
          <w:rFonts w:ascii="Arial" w:hAnsi="Arial" w:cs="Arial"/>
          <w:sz w:val="22"/>
          <w:szCs w:val="22"/>
        </w:rPr>
      </w:pPr>
      <w:r w:rsidRPr="00252D1B">
        <w:rPr>
          <w:rFonts w:ascii="Arial" w:hAnsi="Arial" w:cs="Arial"/>
          <w:sz w:val="22"/>
          <w:szCs w:val="22"/>
        </w:rPr>
        <w:t>Indices such as physiological efficiency (PE), internal nutrient use efficiency (EI), agronomic efficiency (EA), and partial applied nutrient productivity factor (PFP) were calculated for nutrient efficiency assessment.</w:t>
      </w:r>
      <w:r w:rsidR="002B73B2" w:rsidRPr="00252D1B">
        <w:rPr>
          <w:rFonts w:ascii="Arial" w:hAnsi="Arial" w:cs="Arial"/>
          <w:sz w:val="22"/>
          <w:szCs w:val="22"/>
        </w:rPr>
        <w:t xml:space="preserve"> </w:t>
      </w:r>
      <w:r w:rsidRPr="00252D1B">
        <w:rPr>
          <w:rFonts w:ascii="Arial" w:hAnsi="Arial" w:cs="Arial"/>
          <w:sz w:val="22"/>
          <w:szCs w:val="22"/>
        </w:rPr>
        <w:t xml:space="preserve">The formulas of </w:t>
      </w:r>
      <w:r w:rsidRPr="00252D1B">
        <w:rPr>
          <w:rFonts w:ascii="Arial" w:hAnsi="Arial" w:cs="Arial"/>
          <w:sz w:val="22"/>
          <w:szCs w:val="22"/>
        </w:rPr>
        <w:fldChar w:fldCharType="begin" w:fldLock="1"/>
      </w:r>
      <w:r w:rsidRPr="00252D1B">
        <w:rPr>
          <w:rFonts w:ascii="Arial" w:hAnsi="Arial" w:cs="Arial"/>
          <w:sz w:val="22"/>
          <w:szCs w:val="22"/>
        </w:rPr>
        <w:instrText>ADDIN CSL_CITATION {"citationItems":[{"id":"ITEM-1","itemData":{"abstract":"Mineral fertilizers have sustained world agriculture and thus global population and wealth growth for more than 100 years (Smil, 2001; Stewart et al., 2005). Th eir contribution to increasing crop yields has spared millions of hectares of natural ecosystems that otherwise would have been converted to agriculture (Balmford et al., 2005). However, lacking, imbalanced, inappropriate or excessive use of nutrients in agricultural systems remains a concern. Nutrient mining is a major cause for low crop yields in parts of the developing world, particularly Africa. In other situations, nutrients such as nitrogen (N) and phosphorus (P) often move beyond the bounds of the agricultural field because the management practices used fail to achieve good congruence between nutrient supply and crop nutrient demand (van Noordwijk and Cadisch, 2002). If left unchecked, such losses may bear significant costs to society (Mosier et al., 2001). Hence, increasing nutrient use efficiency continues to be a major challenge for world agriculture. This paper tries to summarize how the use efficiency of N, P and potassium (K) from mineral fertilizer is commonly defined and measured, what needs to be considered for interpreting such values, and how it can be improved through soil, crop and fertilizer management. It focuses on cereal systems because those consume the bulk of the world’s fertilizer, but the principles discussed are similar in all agricultural crops. Where possible, attempts are made to discuss differences between developed and developing countries. Two key messages emerge: (i) Nutrient use efficiencies measured under practical farming conditions are mostly lower than those reported from research experiments, but information on current levels of fertilizer use and nutrient use efficiency by different crops, cropping systems and world regions remains insufficient; (ii) Numerous technologies for increasing nutrient use efficiency exist. They have been evaluated thoroughly, but adoption by farmers is lagging behind.","author":[{"dropping-particle":"","family":"Dobermann","given":"Achim","non-dropping-particle":"","parse-names":false,"suffix":""}],"id":"ITEM-1","issued":{"date-parts":[["2007","1","1"]]},"title":"Nutrient use effi ciency - measurement and management","type":"article-journal"},"uris":["http://www.mendeley.com/documents/?uuid=3f6ed34e-d539-4426-bea8-638290d045c4"]}],"mendeley":{"formattedCitation":"(Dobermann, 2007)","manualFormatting":"Doberman (2007)","plainTextFormattedCitation":"(Dobermann, 2007)","previouslyFormattedCitation":"(Dobermann, 2007)"},"properties":{"noteIndex":0},"schema":"https://github.com/citation-style-language/schema/raw/master/csl-citation.json"}</w:instrText>
      </w:r>
      <w:r w:rsidRPr="00252D1B">
        <w:rPr>
          <w:rFonts w:ascii="Arial" w:hAnsi="Arial" w:cs="Arial"/>
          <w:sz w:val="22"/>
          <w:szCs w:val="22"/>
        </w:rPr>
        <w:fldChar w:fldCharType="separate"/>
      </w:r>
      <w:r w:rsidRPr="00252D1B">
        <w:rPr>
          <w:rFonts w:ascii="Arial" w:hAnsi="Arial" w:cs="Arial"/>
          <w:noProof/>
          <w:sz w:val="22"/>
          <w:szCs w:val="22"/>
        </w:rPr>
        <w:t>Doberman (2007)</w:t>
      </w:r>
      <w:r w:rsidRPr="00252D1B">
        <w:rPr>
          <w:rFonts w:ascii="Arial" w:hAnsi="Arial" w:cs="Arial"/>
          <w:sz w:val="22"/>
          <w:szCs w:val="22"/>
        </w:rPr>
        <w:fldChar w:fldCharType="end"/>
      </w:r>
      <w:r w:rsidRPr="00252D1B">
        <w:rPr>
          <w:rFonts w:ascii="Arial" w:hAnsi="Arial" w:cs="Arial"/>
          <w:sz w:val="22"/>
          <w:szCs w:val="22"/>
        </w:rPr>
        <w:t xml:space="preserve"> were used for this purpose:</w:t>
      </w:r>
      <w:r w:rsidR="002B73B2" w:rsidRPr="00252D1B">
        <w:rPr>
          <w:rFonts w:ascii="Arial" w:hAnsi="Arial" w:cs="Arial"/>
          <w:sz w:val="22"/>
          <w:szCs w:val="22"/>
        </w:rPr>
        <w:t xml:space="preserve"> </w:t>
      </w:r>
    </w:p>
    <w:p w14:paraId="1E76BBE3" w14:textId="19C7AFBB" w:rsidR="002B73B2" w:rsidRPr="00E86361" w:rsidRDefault="002B73B2" w:rsidP="0046513E">
      <w:pPr>
        <w:spacing w:after="200"/>
        <w:rPr>
          <w:iCs/>
          <w:sz w:val="22"/>
          <w:szCs w:val="22"/>
        </w:rPr>
      </w:pPr>
      <w:bookmarkStart w:id="16" w:name="_Toc132790395"/>
      <w:r w:rsidRPr="00E86361">
        <w:rPr>
          <w:b/>
          <w:iCs/>
          <w:sz w:val="22"/>
          <w:szCs w:val="22"/>
        </w:rPr>
        <w:t xml:space="preserve">Table </w:t>
      </w:r>
      <w:r w:rsidR="00771F85">
        <w:rPr>
          <w:b/>
          <w:iCs/>
          <w:sz w:val="22"/>
          <w:szCs w:val="22"/>
        </w:rPr>
        <w:t>3</w:t>
      </w:r>
      <w:r>
        <w:rPr>
          <w:b/>
          <w:iCs/>
          <w:sz w:val="22"/>
          <w:szCs w:val="22"/>
        </w:rPr>
        <w:t>.</w:t>
      </w:r>
      <w:r w:rsidRPr="00E86361">
        <w:rPr>
          <w:iCs/>
          <w:sz w:val="22"/>
          <w:szCs w:val="22"/>
        </w:rPr>
        <w:t xml:space="preserve"> Agronomic indices used to evaluate nutrient use efficiency</w:t>
      </w:r>
      <w:bookmarkEnd w:id="16"/>
    </w:p>
    <w:tbl>
      <w:tblPr>
        <w:tblW w:w="5000" w:type="pct"/>
        <w:tblLook w:val="04A0" w:firstRow="1" w:lastRow="0" w:firstColumn="1" w:lastColumn="0" w:noHBand="0" w:noVBand="1"/>
      </w:tblPr>
      <w:tblGrid>
        <w:gridCol w:w="4631"/>
        <w:gridCol w:w="3577"/>
      </w:tblGrid>
      <w:tr w:rsidR="002B73B2" w:rsidRPr="006B4A1E" w14:paraId="76DD27D5" w14:textId="77777777" w:rsidTr="0047397D">
        <w:trPr>
          <w:trHeight w:val="290"/>
        </w:trPr>
        <w:tc>
          <w:tcPr>
            <w:tcW w:w="2821" w:type="pct"/>
            <w:tcBorders>
              <w:top w:val="single" w:sz="4" w:space="0" w:color="auto"/>
              <w:left w:val="nil"/>
              <w:bottom w:val="single" w:sz="4" w:space="0" w:color="auto"/>
              <w:right w:val="nil"/>
            </w:tcBorders>
            <w:vAlign w:val="center"/>
            <w:hideMark/>
          </w:tcPr>
          <w:p w14:paraId="4C12AEA8" w14:textId="77777777" w:rsidR="002B73B2" w:rsidRPr="006B4A1E" w:rsidRDefault="002B73B2" w:rsidP="0047397D">
            <w:pPr>
              <w:rPr>
                <w:b/>
                <w:bCs/>
                <w:sz w:val="22"/>
                <w:szCs w:val="22"/>
              </w:rPr>
            </w:pPr>
            <w:r w:rsidRPr="006B4A1E">
              <w:rPr>
                <w:b/>
                <w:bCs/>
                <w:sz w:val="22"/>
                <w:szCs w:val="22"/>
              </w:rPr>
              <w:t>Agronomic index</w:t>
            </w:r>
          </w:p>
        </w:tc>
        <w:tc>
          <w:tcPr>
            <w:tcW w:w="2179" w:type="pct"/>
            <w:tcBorders>
              <w:top w:val="single" w:sz="4" w:space="0" w:color="auto"/>
              <w:left w:val="nil"/>
              <w:bottom w:val="single" w:sz="4" w:space="0" w:color="auto"/>
              <w:right w:val="nil"/>
            </w:tcBorders>
            <w:vAlign w:val="center"/>
            <w:hideMark/>
          </w:tcPr>
          <w:p w14:paraId="03C34FE8" w14:textId="77777777" w:rsidR="002B73B2" w:rsidRPr="006B4A1E" w:rsidRDefault="002B73B2" w:rsidP="0047397D">
            <w:pPr>
              <w:jc w:val="center"/>
              <w:rPr>
                <w:b/>
                <w:bCs/>
                <w:sz w:val="22"/>
                <w:szCs w:val="22"/>
              </w:rPr>
            </w:pPr>
            <w:r w:rsidRPr="006B4A1E">
              <w:rPr>
                <w:b/>
                <w:bCs/>
                <w:sz w:val="22"/>
                <w:szCs w:val="22"/>
              </w:rPr>
              <w:t>Formula</w:t>
            </w:r>
          </w:p>
        </w:tc>
      </w:tr>
      <w:tr w:rsidR="002B73B2" w:rsidRPr="006B4A1E" w14:paraId="472F495A" w14:textId="77777777" w:rsidTr="0047397D">
        <w:trPr>
          <w:trHeight w:val="290"/>
        </w:trPr>
        <w:tc>
          <w:tcPr>
            <w:tcW w:w="2821" w:type="pct"/>
            <w:tcBorders>
              <w:top w:val="nil"/>
              <w:left w:val="nil"/>
              <w:bottom w:val="nil"/>
              <w:right w:val="nil"/>
            </w:tcBorders>
            <w:vAlign w:val="center"/>
            <w:hideMark/>
          </w:tcPr>
          <w:p w14:paraId="1D4E0B32" w14:textId="77777777" w:rsidR="002B73B2" w:rsidRPr="006B4A1E" w:rsidRDefault="002B73B2" w:rsidP="0047397D">
            <w:pPr>
              <w:rPr>
                <w:b/>
                <w:bCs/>
                <w:sz w:val="22"/>
                <w:szCs w:val="22"/>
              </w:rPr>
            </w:pPr>
            <w:r w:rsidRPr="006B4A1E">
              <w:rPr>
                <w:b/>
                <w:bCs/>
                <w:sz w:val="22"/>
                <w:szCs w:val="22"/>
              </w:rPr>
              <w:t>Physiological efficiency (PE)</w:t>
            </w:r>
          </w:p>
        </w:tc>
        <w:tc>
          <w:tcPr>
            <w:tcW w:w="2179" w:type="pct"/>
            <w:tcBorders>
              <w:top w:val="nil"/>
              <w:left w:val="nil"/>
              <w:bottom w:val="nil"/>
              <w:right w:val="nil"/>
            </w:tcBorders>
            <w:vAlign w:val="center"/>
            <w:hideMark/>
          </w:tcPr>
          <w:p w14:paraId="56103788" w14:textId="77777777" w:rsidR="002B73B2" w:rsidRPr="006B4A1E" w:rsidRDefault="002B73B2" w:rsidP="0047397D">
            <w:pPr>
              <w:jc w:val="center"/>
              <w:rPr>
                <w:sz w:val="22"/>
                <w:szCs w:val="22"/>
              </w:rPr>
            </w:pPr>
            <w:r w:rsidRPr="006B4A1E">
              <w:rPr>
                <w:sz w:val="22"/>
                <w:szCs w:val="22"/>
              </w:rPr>
              <w:t>(</w:t>
            </w:r>
            <w:proofErr w:type="spellStart"/>
            <w:r w:rsidRPr="006B4A1E">
              <w:rPr>
                <w:sz w:val="22"/>
                <w:szCs w:val="22"/>
              </w:rPr>
              <w:t>GYi</w:t>
            </w:r>
            <w:proofErr w:type="spellEnd"/>
            <w:r w:rsidRPr="006B4A1E">
              <w:rPr>
                <w:sz w:val="22"/>
                <w:szCs w:val="22"/>
              </w:rPr>
              <w:t xml:space="preserve"> − GY</w:t>
            </w:r>
            <w:r w:rsidRPr="006B4A1E">
              <w:rPr>
                <w:rFonts w:ascii="Cambria Math" w:hAnsi="Cambria Math" w:cs="Cambria Math"/>
                <w:sz w:val="22"/>
                <w:szCs w:val="22"/>
              </w:rPr>
              <w:t>₀</w:t>
            </w:r>
            <w:r w:rsidRPr="006B4A1E">
              <w:rPr>
                <w:sz w:val="22"/>
                <w:szCs w:val="22"/>
              </w:rPr>
              <w:t>) / (U</w:t>
            </w:r>
            <w:r>
              <w:rPr>
                <w:sz w:val="22"/>
                <w:szCs w:val="22"/>
              </w:rPr>
              <w:t>i</w:t>
            </w:r>
            <w:r w:rsidRPr="006B4A1E">
              <w:rPr>
                <w:sz w:val="22"/>
                <w:szCs w:val="22"/>
              </w:rPr>
              <w:t xml:space="preserve"> − U</w:t>
            </w:r>
            <w:r w:rsidRPr="006B4A1E">
              <w:rPr>
                <w:rFonts w:ascii="Cambria Math" w:hAnsi="Cambria Math" w:cs="Cambria Math"/>
                <w:sz w:val="22"/>
                <w:szCs w:val="22"/>
              </w:rPr>
              <w:t>₀</w:t>
            </w:r>
            <w:r w:rsidRPr="006B4A1E">
              <w:rPr>
                <w:sz w:val="22"/>
                <w:szCs w:val="22"/>
              </w:rPr>
              <w:t>)</w:t>
            </w:r>
          </w:p>
        </w:tc>
      </w:tr>
      <w:tr w:rsidR="002B73B2" w:rsidRPr="006B4A1E" w14:paraId="0F6B668A" w14:textId="77777777" w:rsidTr="0047397D">
        <w:trPr>
          <w:trHeight w:val="290"/>
        </w:trPr>
        <w:tc>
          <w:tcPr>
            <w:tcW w:w="2821" w:type="pct"/>
            <w:tcBorders>
              <w:top w:val="nil"/>
              <w:left w:val="nil"/>
              <w:bottom w:val="nil"/>
              <w:right w:val="nil"/>
            </w:tcBorders>
            <w:vAlign w:val="center"/>
            <w:hideMark/>
          </w:tcPr>
          <w:p w14:paraId="7C1DDF94" w14:textId="77777777" w:rsidR="002B73B2" w:rsidRPr="006B4A1E" w:rsidRDefault="002B73B2" w:rsidP="0047397D">
            <w:pPr>
              <w:rPr>
                <w:b/>
                <w:bCs/>
                <w:sz w:val="22"/>
                <w:szCs w:val="22"/>
              </w:rPr>
            </w:pPr>
            <w:r w:rsidRPr="006B4A1E">
              <w:rPr>
                <w:b/>
                <w:bCs/>
                <w:sz w:val="22"/>
                <w:szCs w:val="22"/>
              </w:rPr>
              <w:t>Agronomic efficiency (AE)</w:t>
            </w:r>
          </w:p>
        </w:tc>
        <w:tc>
          <w:tcPr>
            <w:tcW w:w="2179" w:type="pct"/>
            <w:tcBorders>
              <w:top w:val="nil"/>
              <w:left w:val="nil"/>
              <w:bottom w:val="nil"/>
              <w:right w:val="nil"/>
            </w:tcBorders>
            <w:vAlign w:val="center"/>
            <w:hideMark/>
          </w:tcPr>
          <w:p w14:paraId="21172176" w14:textId="77777777" w:rsidR="002B73B2" w:rsidRPr="006B4A1E" w:rsidRDefault="002B73B2" w:rsidP="0047397D">
            <w:pPr>
              <w:jc w:val="center"/>
              <w:rPr>
                <w:sz w:val="22"/>
                <w:szCs w:val="22"/>
              </w:rPr>
            </w:pPr>
            <w:r w:rsidRPr="006B4A1E">
              <w:rPr>
                <w:sz w:val="22"/>
                <w:szCs w:val="22"/>
              </w:rPr>
              <w:t>(</w:t>
            </w:r>
            <w:proofErr w:type="spellStart"/>
            <w:r w:rsidRPr="006B4A1E">
              <w:rPr>
                <w:sz w:val="22"/>
                <w:szCs w:val="22"/>
              </w:rPr>
              <w:t>GYi</w:t>
            </w:r>
            <w:proofErr w:type="spellEnd"/>
            <w:r w:rsidRPr="006B4A1E">
              <w:rPr>
                <w:sz w:val="22"/>
                <w:szCs w:val="22"/>
              </w:rPr>
              <w:t xml:space="preserve"> − GY</w:t>
            </w:r>
            <w:r w:rsidRPr="006B4A1E">
              <w:rPr>
                <w:rFonts w:ascii="Cambria Math" w:hAnsi="Cambria Math" w:cs="Cambria Math"/>
                <w:sz w:val="22"/>
                <w:szCs w:val="22"/>
              </w:rPr>
              <w:t>₀</w:t>
            </w:r>
            <w:r w:rsidRPr="006B4A1E">
              <w:rPr>
                <w:sz w:val="22"/>
                <w:szCs w:val="22"/>
              </w:rPr>
              <w:t xml:space="preserve">) / F or AE = RE </w:t>
            </w:r>
            <w:r w:rsidRPr="006B4A1E">
              <w:rPr>
                <w:rFonts w:cs="Helvetica"/>
                <w:sz w:val="22"/>
                <w:szCs w:val="22"/>
              </w:rPr>
              <w:t>×</w:t>
            </w:r>
            <w:r w:rsidRPr="006B4A1E">
              <w:rPr>
                <w:sz w:val="22"/>
                <w:szCs w:val="22"/>
              </w:rPr>
              <w:t xml:space="preserve"> PE</w:t>
            </w:r>
          </w:p>
        </w:tc>
      </w:tr>
      <w:tr w:rsidR="002B73B2" w:rsidRPr="006B4A1E" w14:paraId="77E8EBC8" w14:textId="77777777" w:rsidTr="0047397D">
        <w:trPr>
          <w:trHeight w:val="290"/>
        </w:trPr>
        <w:tc>
          <w:tcPr>
            <w:tcW w:w="2821" w:type="pct"/>
            <w:tcBorders>
              <w:top w:val="nil"/>
              <w:left w:val="nil"/>
              <w:bottom w:val="nil"/>
              <w:right w:val="nil"/>
            </w:tcBorders>
            <w:vAlign w:val="center"/>
            <w:hideMark/>
          </w:tcPr>
          <w:p w14:paraId="2649783A" w14:textId="77777777" w:rsidR="002B73B2" w:rsidRPr="006B4A1E" w:rsidRDefault="002B73B2" w:rsidP="0047397D">
            <w:pPr>
              <w:rPr>
                <w:b/>
                <w:bCs/>
                <w:sz w:val="22"/>
                <w:szCs w:val="22"/>
              </w:rPr>
            </w:pPr>
            <w:r w:rsidRPr="006B4A1E">
              <w:rPr>
                <w:b/>
                <w:bCs/>
                <w:sz w:val="22"/>
                <w:szCs w:val="22"/>
              </w:rPr>
              <w:t>Internal efficiency (IE)</w:t>
            </w:r>
          </w:p>
        </w:tc>
        <w:tc>
          <w:tcPr>
            <w:tcW w:w="2179" w:type="pct"/>
            <w:tcBorders>
              <w:top w:val="nil"/>
              <w:left w:val="nil"/>
              <w:bottom w:val="nil"/>
              <w:right w:val="nil"/>
            </w:tcBorders>
            <w:vAlign w:val="center"/>
            <w:hideMark/>
          </w:tcPr>
          <w:p w14:paraId="6B961678" w14:textId="77777777" w:rsidR="002B73B2" w:rsidRPr="006B4A1E" w:rsidRDefault="002B73B2" w:rsidP="0047397D">
            <w:pPr>
              <w:jc w:val="center"/>
              <w:rPr>
                <w:sz w:val="22"/>
                <w:szCs w:val="22"/>
              </w:rPr>
            </w:pPr>
            <w:r w:rsidRPr="006B4A1E">
              <w:rPr>
                <w:sz w:val="22"/>
                <w:szCs w:val="22"/>
              </w:rPr>
              <w:t>GY / U</w:t>
            </w:r>
          </w:p>
        </w:tc>
      </w:tr>
      <w:tr w:rsidR="002B73B2" w:rsidRPr="006B4A1E" w14:paraId="3B49C68A" w14:textId="77777777" w:rsidTr="0047397D">
        <w:trPr>
          <w:trHeight w:val="290"/>
        </w:trPr>
        <w:tc>
          <w:tcPr>
            <w:tcW w:w="2821" w:type="pct"/>
            <w:tcBorders>
              <w:top w:val="nil"/>
              <w:left w:val="nil"/>
              <w:bottom w:val="single" w:sz="4" w:space="0" w:color="auto"/>
              <w:right w:val="nil"/>
            </w:tcBorders>
            <w:vAlign w:val="center"/>
            <w:hideMark/>
          </w:tcPr>
          <w:p w14:paraId="3DAA50F7" w14:textId="77777777" w:rsidR="002B73B2" w:rsidRPr="006B4A1E" w:rsidRDefault="002B73B2" w:rsidP="0047397D">
            <w:pPr>
              <w:rPr>
                <w:b/>
                <w:bCs/>
                <w:sz w:val="22"/>
                <w:szCs w:val="22"/>
              </w:rPr>
            </w:pPr>
            <w:r w:rsidRPr="006B4A1E">
              <w:rPr>
                <w:b/>
                <w:bCs/>
                <w:sz w:val="22"/>
                <w:szCs w:val="22"/>
              </w:rPr>
              <w:t>Partial factor productivity (PFP)</w:t>
            </w:r>
          </w:p>
        </w:tc>
        <w:tc>
          <w:tcPr>
            <w:tcW w:w="2179" w:type="pct"/>
            <w:tcBorders>
              <w:top w:val="nil"/>
              <w:left w:val="nil"/>
              <w:bottom w:val="single" w:sz="4" w:space="0" w:color="auto"/>
              <w:right w:val="nil"/>
            </w:tcBorders>
            <w:vAlign w:val="center"/>
            <w:hideMark/>
          </w:tcPr>
          <w:p w14:paraId="49F0F091" w14:textId="2C3D89B8" w:rsidR="002B73B2" w:rsidRPr="006B4A1E" w:rsidRDefault="002B73B2" w:rsidP="0047397D">
            <w:pPr>
              <w:jc w:val="center"/>
              <w:rPr>
                <w:sz w:val="22"/>
                <w:szCs w:val="22"/>
              </w:rPr>
            </w:pPr>
            <w:proofErr w:type="spellStart"/>
            <w:r w:rsidRPr="006B4A1E">
              <w:rPr>
                <w:sz w:val="22"/>
                <w:szCs w:val="22"/>
              </w:rPr>
              <w:t>GYi</w:t>
            </w:r>
            <w:proofErr w:type="spellEnd"/>
            <w:r w:rsidRPr="006B4A1E">
              <w:rPr>
                <w:sz w:val="22"/>
                <w:szCs w:val="22"/>
              </w:rPr>
              <w:t>/For (GY/U)</w:t>
            </w:r>
            <w:r w:rsidR="00851759">
              <w:rPr>
                <w:sz w:val="22"/>
                <w:szCs w:val="22"/>
              </w:rPr>
              <w:t xml:space="preserve"> </w:t>
            </w:r>
            <w:r w:rsidRPr="006B4A1E">
              <w:rPr>
                <w:sz w:val="22"/>
                <w:szCs w:val="22"/>
              </w:rPr>
              <w:t>+AE</w:t>
            </w:r>
          </w:p>
        </w:tc>
      </w:tr>
    </w:tbl>
    <w:p w14:paraId="18526A23" w14:textId="0C26C86B" w:rsidR="002B73B2" w:rsidRPr="0014591B" w:rsidRDefault="002B73B2" w:rsidP="0014591B">
      <w:pPr>
        <w:jc w:val="both"/>
        <w:rPr>
          <w:rFonts w:ascii="Arial" w:hAnsi="Arial" w:cs="Arial"/>
          <w:i/>
          <w:sz w:val="18"/>
          <w:szCs w:val="18"/>
        </w:rPr>
      </w:pPr>
      <w:r w:rsidRPr="0014591B">
        <w:rPr>
          <w:rFonts w:ascii="Arial" w:hAnsi="Arial" w:cs="Arial"/>
          <w:b/>
          <w:i/>
          <w:sz w:val="18"/>
          <w:szCs w:val="18"/>
        </w:rPr>
        <w:t>F</w:t>
      </w:r>
      <w:r w:rsidRPr="0014591B">
        <w:rPr>
          <w:rFonts w:ascii="Arial" w:hAnsi="Arial" w:cs="Arial"/>
          <w:i/>
          <w:sz w:val="18"/>
          <w:szCs w:val="18"/>
        </w:rPr>
        <w:t>: dose of the nutrient applied (</w:t>
      </w:r>
      <w:r w:rsidRPr="0014591B">
        <w:rPr>
          <w:rFonts w:ascii="Arial" w:hAnsi="Arial" w:cs="Arial"/>
          <w:bCs/>
          <w:i/>
          <w:sz w:val="18"/>
          <w:szCs w:val="18"/>
          <w:lang w:eastAsia="fr-FR"/>
        </w:rPr>
        <w:t>kg</w:t>
      </w:r>
      <w:r w:rsidR="00587769">
        <w:rPr>
          <w:rFonts w:ascii="Arial" w:hAnsi="Arial" w:cs="Arial"/>
          <w:bCs/>
          <w:i/>
          <w:sz w:val="18"/>
          <w:szCs w:val="18"/>
          <w:lang w:eastAsia="fr-FR"/>
        </w:rPr>
        <w:t xml:space="preserve"> </w:t>
      </w:r>
      <w:r w:rsidRPr="0014591B">
        <w:rPr>
          <w:rFonts w:ascii="Arial" w:hAnsi="Arial" w:cs="Arial"/>
          <w:bCs/>
          <w:i/>
          <w:sz w:val="18"/>
          <w:szCs w:val="18"/>
          <w:lang w:eastAsia="fr-FR"/>
        </w:rPr>
        <w:t>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proofErr w:type="spellStart"/>
      <w:r w:rsidRPr="0014591B">
        <w:rPr>
          <w:rFonts w:ascii="Arial" w:hAnsi="Arial" w:cs="Arial"/>
          <w:b/>
          <w:i/>
          <w:sz w:val="18"/>
          <w:szCs w:val="18"/>
        </w:rPr>
        <w:t>GYi</w:t>
      </w:r>
      <w:proofErr w:type="spellEnd"/>
      <w:r w:rsidRPr="0014591B">
        <w:rPr>
          <w:rFonts w:ascii="Arial" w:hAnsi="Arial" w:cs="Arial"/>
          <w:i/>
          <w:sz w:val="18"/>
          <w:szCs w:val="18"/>
        </w:rPr>
        <w:t xml:space="preserve">: Grain yield obtained for a dose </w:t>
      </w:r>
      <w:proofErr w:type="spellStart"/>
      <w:r w:rsidRPr="0014591B">
        <w:rPr>
          <w:rFonts w:ascii="Arial" w:hAnsi="Arial" w:cs="Arial"/>
          <w:b/>
          <w:i/>
          <w:sz w:val="18"/>
          <w:szCs w:val="18"/>
        </w:rPr>
        <w:t>i</w:t>
      </w:r>
      <w:proofErr w:type="spellEnd"/>
      <w:r w:rsidRPr="0014591B">
        <w:rPr>
          <w:rFonts w:ascii="Arial" w:hAnsi="Arial" w:cs="Arial"/>
          <w:i/>
          <w:sz w:val="18"/>
          <w:szCs w:val="18"/>
        </w:rPr>
        <w:t xml:space="preserve"> of nutrient applied (</w:t>
      </w:r>
      <w:r w:rsidRPr="0014591B">
        <w:rPr>
          <w:rFonts w:ascii="Arial" w:hAnsi="Arial" w:cs="Arial"/>
          <w:bCs/>
          <w:i/>
          <w:sz w:val="18"/>
          <w:szCs w:val="18"/>
          <w:lang w:eastAsia="fr-FR"/>
        </w:rPr>
        <w:t>kg</w:t>
      </w:r>
      <w:r w:rsidR="00587769">
        <w:rPr>
          <w:rFonts w:ascii="Arial" w:hAnsi="Arial" w:cs="Arial"/>
          <w:bCs/>
          <w:i/>
          <w:sz w:val="18"/>
          <w:szCs w:val="18"/>
          <w:lang w:eastAsia="fr-FR"/>
        </w:rPr>
        <w:t xml:space="preserve"> </w:t>
      </w:r>
      <w:r w:rsidRPr="0014591B">
        <w:rPr>
          <w:rFonts w:ascii="Arial" w:hAnsi="Arial" w:cs="Arial"/>
          <w:bCs/>
          <w:i/>
          <w:sz w:val="18"/>
          <w:szCs w:val="18"/>
          <w:lang w:eastAsia="fr-FR"/>
        </w:rPr>
        <w:t>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proofErr w:type="spellStart"/>
      <w:r w:rsidRPr="0014591B">
        <w:rPr>
          <w:rFonts w:ascii="Arial" w:hAnsi="Arial" w:cs="Arial"/>
          <w:b/>
          <w:i/>
          <w:sz w:val="18"/>
          <w:szCs w:val="18"/>
        </w:rPr>
        <w:t>GYo</w:t>
      </w:r>
      <w:proofErr w:type="spellEnd"/>
      <w:r w:rsidRPr="0014591B">
        <w:rPr>
          <w:rFonts w:ascii="Arial" w:hAnsi="Arial" w:cs="Arial"/>
          <w:i/>
          <w:sz w:val="18"/>
          <w:szCs w:val="18"/>
        </w:rPr>
        <w:t>: Grain yield obtained without fertilizer application (</w:t>
      </w:r>
      <w:r w:rsidRPr="0014591B">
        <w:rPr>
          <w:rFonts w:ascii="Arial" w:hAnsi="Arial" w:cs="Arial"/>
          <w:bCs/>
          <w:i/>
          <w:sz w:val="18"/>
          <w:szCs w:val="18"/>
          <w:lang w:eastAsia="fr-FR"/>
        </w:rPr>
        <w:t>kg</w:t>
      </w:r>
      <w:r w:rsidR="00587769">
        <w:rPr>
          <w:rFonts w:ascii="Arial" w:hAnsi="Arial" w:cs="Arial"/>
          <w:bCs/>
          <w:i/>
          <w:sz w:val="18"/>
          <w:szCs w:val="18"/>
          <w:lang w:eastAsia="fr-FR"/>
        </w:rPr>
        <w:t xml:space="preserve"> </w:t>
      </w:r>
      <w:r w:rsidRPr="0014591B">
        <w:rPr>
          <w:rFonts w:ascii="Arial" w:hAnsi="Arial" w:cs="Arial"/>
          <w:bCs/>
          <w:i/>
          <w:sz w:val="18"/>
          <w:szCs w:val="18"/>
          <w:lang w:eastAsia="fr-FR"/>
        </w:rPr>
        <w:t>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r w:rsidRPr="0014591B">
        <w:rPr>
          <w:rFonts w:ascii="Arial" w:hAnsi="Arial" w:cs="Arial"/>
          <w:b/>
          <w:i/>
          <w:sz w:val="18"/>
          <w:szCs w:val="18"/>
        </w:rPr>
        <w:t>Ui</w:t>
      </w:r>
      <w:r w:rsidRPr="0014591B">
        <w:rPr>
          <w:rFonts w:ascii="Arial" w:hAnsi="Arial" w:cs="Arial"/>
          <w:i/>
          <w:sz w:val="18"/>
          <w:szCs w:val="18"/>
        </w:rPr>
        <w:t xml:space="preserve">: Total export of the nutrient through grain and straw for a dose </w:t>
      </w:r>
      <w:proofErr w:type="spellStart"/>
      <w:r w:rsidRPr="0014591B">
        <w:rPr>
          <w:rFonts w:ascii="Arial" w:hAnsi="Arial" w:cs="Arial"/>
          <w:b/>
          <w:i/>
          <w:sz w:val="18"/>
          <w:szCs w:val="18"/>
        </w:rPr>
        <w:t>i</w:t>
      </w:r>
      <w:proofErr w:type="spellEnd"/>
      <w:r w:rsidRPr="0014591B">
        <w:rPr>
          <w:rFonts w:ascii="Arial" w:hAnsi="Arial" w:cs="Arial"/>
          <w:i/>
          <w:sz w:val="18"/>
          <w:szCs w:val="18"/>
        </w:rPr>
        <w:t xml:space="preserve"> of this nutrient applied (</w:t>
      </w:r>
      <w:r w:rsidRPr="0014591B">
        <w:rPr>
          <w:rFonts w:ascii="Arial" w:hAnsi="Arial" w:cs="Arial"/>
          <w:bCs/>
          <w:i/>
          <w:sz w:val="18"/>
          <w:szCs w:val="18"/>
          <w:lang w:eastAsia="fr-FR"/>
        </w:rPr>
        <w:t>kg</w:t>
      </w:r>
      <w:r w:rsidR="00587769">
        <w:rPr>
          <w:rFonts w:ascii="Arial" w:hAnsi="Arial" w:cs="Arial"/>
          <w:bCs/>
          <w:i/>
          <w:sz w:val="18"/>
          <w:szCs w:val="18"/>
          <w:lang w:eastAsia="fr-FR"/>
        </w:rPr>
        <w:t xml:space="preserve"> </w:t>
      </w:r>
      <w:r w:rsidRPr="0014591B">
        <w:rPr>
          <w:rFonts w:ascii="Arial" w:hAnsi="Arial" w:cs="Arial"/>
          <w:bCs/>
          <w:i/>
          <w:sz w:val="18"/>
          <w:szCs w:val="18"/>
          <w:lang w:eastAsia="fr-FR"/>
        </w:rPr>
        <w:t>ha</w:t>
      </w:r>
      <w:r w:rsidRPr="0014591B">
        <w:rPr>
          <w:rFonts w:ascii="Arial" w:hAnsi="Arial" w:cs="Arial"/>
          <w:bCs/>
          <w:i/>
          <w:sz w:val="18"/>
          <w:szCs w:val="18"/>
          <w:vertAlign w:val="superscript"/>
          <w:lang w:eastAsia="fr-FR"/>
        </w:rPr>
        <w:t>-1</w:t>
      </w:r>
      <w:r w:rsidRPr="0014591B">
        <w:rPr>
          <w:rFonts w:ascii="Arial" w:hAnsi="Arial" w:cs="Arial"/>
          <w:i/>
          <w:sz w:val="18"/>
          <w:szCs w:val="18"/>
        </w:rPr>
        <w:t xml:space="preserve">); </w:t>
      </w:r>
      <w:r w:rsidRPr="0014591B">
        <w:rPr>
          <w:rFonts w:ascii="Arial" w:hAnsi="Arial" w:cs="Arial"/>
          <w:b/>
          <w:i/>
          <w:sz w:val="18"/>
          <w:szCs w:val="18"/>
        </w:rPr>
        <w:t>U</w:t>
      </w:r>
      <w:r w:rsidRPr="0014591B">
        <w:rPr>
          <w:rFonts w:ascii="Arial" w:hAnsi="Arial" w:cs="Arial"/>
          <w:b/>
          <w:i/>
          <w:sz w:val="18"/>
          <w:szCs w:val="18"/>
          <w:vertAlign w:val="subscript"/>
        </w:rPr>
        <w:t>0</w:t>
      </w:r>
      <w:r w:rsidRPr="0014591B">
        <w:rPr>
          <w:rFonts w:ascii="Arial" w:hAnsi="Arial" w:cs="Arial"/>
          <w:i/>
          <w:sz w:val="18"/>
          <w:szCs w:val="18"/>
        </w:rPr>
        <w:t>: Total export (grain + straw) obtained without fertili</w:t>
      </w:r>
      <w:r>
        <w:rPr>
          <w:rFonts w:ascii="Arial" w:hAnsi="Arial" w:cs="Arial"/>
          <w:i/>
          <w:sz w:val="18"/>
          <w:szCs w:val="18"/>
        </w:rPr>
        <w:t>z</w:t>
      </w:r>
      <w:r w:rsidRPr="0014591B">
        <w:rPr>
          <w:rFonts w:ascii="Arial" w:hAnsi="Arial" w:cs="Arial"/>
          <w:i/>
          <w:sz w:val="18"/>
          <w:szCs w:val="18"/>
        </w:rPr>
        <w:t>er (</w:t>
      </w:r>
      <w:r w:rsidRPr="0014591B">
        <w:rPr>
          <w:rFonts w:ascii="Arial" w:hAnsi="Arial" w:cs="Arial"/>
          <w:bCs/>
          <w:i/>
          <w:sz w:val="18"/>
          <w:szCs w:val="18"/>
          <w:lang w:eastAsia="fr-FR"/>
        </w:rPr>
        <w:t>kg</w:t>
      </w:r>
      <w:r w:rsidR="00587769">
        <w:rPr>
          <w:rFonts w:ascii="Arial" w:hAnsi="Arial" w:cs="Arial"/>
          <w:bCs/>
          <w:i/>
          <w:sz w:val="18"/>
          <w:szCs w:val="18"/>
          <w:lang w:eastAsia="fr-FR"/>
        </w:rPr>
        <w:t xml:space="preserve"> </w:t>
      </w:r>
      <w:r w:rsidRPr="0014591B">
        <w:rPr>
          <w:rFonts w:ascii="Arial" w:hAnsi="Arial" w:cs="Arial"/>
          <w:bCs/>
          <w:i/>
          <w:sz w:val="18"/>
          <w:szCs w:val="18"/>
          <w:lang w:eastAsia="fr-FR"/>
        </w:rPr>
        <w:t>ha</w:t>
      </w:r>
      <w:r w:rsidRPr="0014591B">
        <w:rPr>
          <w:rFonts w:ascii="Arial" w:hAnsi="Arial" w:cs="Arial"/>
          <w:bCs/>
          <w:i/>
          <w:sz w:val="18"/>
          <w:szCs w:val="18"/>
          <w:vertAlign w:val="superscript"/>
          <w:lang w:eastAsia="fr-FR"/>
        </w:rPr>
        <w:t>-1</w:t>
      </w:r>
      <w:r w:rsidRPr="0014591B">
        <w:rPr>
          <w:rFonts w:ascii="Arial" w:hAnsi="Arial" w:cs="Arial"/>
          <w:i/>
          <w:sz w:val="18"/>
          <w:szCs w:val="18"/>
        </w:rPr>
        <w:t>).</w:t>
      </w:r>
    </w:p>
    <w:p w14:paraId="2CBE7790" w14:textId="77777777" w:rsidR="002B73B2" w:rsidRPr="00E86361" w:rsidRDefault="002B73B2" w:rsidP="0046513E">
      <w:pPr>
        <w:keepNext/>
        <w:keepLines/>
        <w:spacing w:before="40"/>
        <w:outlineLvl w:val="1"/>
        <w:rPr>
          <w:rFonts w:eastAsiaTheme="majorEastAsia"/>
          <w:b/>
          <w:sz w:val="22"/>
          <w:szCs w:val="22"/>
        </w:rPr>
      </w:pPr>
      <w:bookmarkStart w:id="17" w:name="_Toc96605524"/>
      <w:bookmarkStart w:id="18" w:name="_Toc132793741"/>
      <w:r w:rsidRPr="00E86361">
        <w:rPr>
          <w:rFonts w:eastAsiaTheme="majorEastAsia"/>
          <w:b/>
          <w:sz w:val="22"/>
          <w:szCs w:val="22"/>
        </w:rPr>
        <w:t>2.6</w:t>
      </w:r>
      <w:r w:rsidRPr="00E86361">
        <w:rPr>
          <w:rFonts w:eastAsiaTheme="majorEastAsia"/>
          <w:b/>
          <w:sz w:val="22"/>
          <w:szCs w:val="22"/>
        </w:rPr>
        <w:tab/>
        <w:t>Data processing and analysis</w:t>
      </w:r>
      <w:bookmarkEnd w:id="17"/>
      <w:bookmarkEnd w:id="18"/>
    </w:p>
    <w:p w14:paraId="21FDA7A8" w14:textId="49D3ABDC" w:rsidR="002B73B2" w:rsidRPr="00E86361" w:rsidRDefault="00F4717A" w:rsidP="0014591B">
      <w:pPr>
        <w:tabs>
          <w:tab w:val="left" w:pos="2340"/>
        </w:tabs>
        <w:ind w:firstLine="709"/>
        <w:jc w:val="both"/>
        <w:rPr>
          <w:sz w:val="22"/>
          <w:szCs w:val="22"/>
        </w:rPr>
      </w:pPr>
      <w:r w:rsidRPr="00E86361">
        <w:rPr>
          <w:sz w:val="22"/>
          <w:szCs w:val="22"/>
        </w:rPr>
        <w:t>The data collected were entered into the Excel spreadsheet version 20</w:t>
      </w:r>
      <w:r>
        <w:rPr>
          <w:sz w:val="22"/>
          <w:szCs w:val="22"/>
        </w:rPr>
        <w:t>19</w:t>
      </w:r>
      <w:r w:rsidRPr="00E86361">
        <w:rPr>
          <w:sz w:val="22"/>
          <w:szCs w:val="22"/>
        </w:rPr>
        <w:t xml:space="preserve"> and subjected to an analysis of variance at the 5% level using the statistical software </w:t>
      </w:r>
      <w:r w:rsidRPr="00E86361">
        <w:rPr>
          <w:sz w:val="22"/>
          <w:szCs w:val="22"/>
        </w:rPr>
        <w:lastRenderedPageBreak/>
        <w:t>GenStat 12</w:t>
      </w:r>
      <w:r w:rsidRPr="00E86361">
        <w:rPr>
          <w:sz w:val="22"/>
          <w:szCs w:val="22"/>
          <w:vertAlign w:val="superscript"/>
        </w:rPr>
        <w:t xml:space="preserve">th </w:t>
      </w:r>
      <w:r w:rsidRPr="00E86361">
        <w:rPr>
          <w:sz w:val="22"/>
          <w:szCs w:val="22"/>
        </w:rPr>
        <w:t>Edition.</w:t>
      </w:r>
      <w:r w:rsidR="002B73B2" w:rsidRPr="00E86361">
        <w:rPr>
          <w:sz w:val="22"/>
          <w:szCs w:val="22"/>
        </w:rPr>
        <w:t xml:space="preserve"> </w:t>
      </w:r>
      <w:r w:rsidRPr="00E86361">
        <w:rPr>
          <w:sz w:val="22"/>
          <w:szCs w:val="22"/>
        </w:rPr>
        <w:t>The Student–Newman–</w:t>
      </w:r>
      <w:proofErr w:type="spellStart"/>
      <w:r w:rsidRPr="00E86361">
        <w:rPr>
          <w:sz w:val="22"/>
          <w:szCs w:val="22"/>
        </w:rPr>
        <w:t>Keuls</w:t>
      </w:r>
      <w:proofErr w:type="spellEnd"/>
      <w:r w:rsidRPr="00E86361">
        <w:rPr>
          <w:sz w:val="22"/>
          <w:szCs w:val="22"/>
        </w:rPr>
        <w:t xml:space="preserve"> test was used to compare the means when the differences were significant.</w:t>
      </w:r>
    </w:p>
    <w:p w14:paraId="1B15916E" w14:textId="77777777" w:rsidR="002B73B2" w:rsidRPr="00FB3A86" w:rsidRDefault="002B73B2" w:rsidP="00441B6F">
      <w:pPr>
        <w:pStyle w:val="Body"/>
        <w:spacing w:after="0"/>
        <w:rPr>
          <w:rFonts w:ascii="Arial" w:hAnsi="Arial" w:cs="Arial"/>
        </w:rPr>
      </w:pPr>
    </w:p>
    <w:p w14:paraId="2578E1AF" w14:textId="77777777" w:rsidR="002B73B2" w:rsidRDefault="002B73B2" w:rsidP="00441B6F">
      <w:pPr>
        <w:pStyle w:val="Head1"/>
        <w:spacing w:after="0"/>
        <w:jc w:val="both"/>
        <w:rPr>
          <w:rFonts w:ascii="Arial" w:hAnsi="Arial" w:cs="Arial"/>
        </w:rPr>
      </w:pPr>
      <w:r>
        <w:rPr>
          <w:rFonts w:ascii="Arial" w:hAnsi="Arial" w:cs="Arial"/>
        </w:rPr>
        <w:t>3. results and discussion</w:t>
      </w:r>
    </w:p>
    <w:p w14:paraId="2976BD4F" w14:textId="77777777" w:rsidR="002B73B2" w:rsidRPr="00FB3A86" w:rsidRDefault="002B73B2" w:rsidP="00441B6F">
      <w:pPr>
        <w:pStyle w:val="Head1"/>
        <w:spacing w:after="0"/>
        <w:jc w:val="both"/>
        <w:rPr>
          <w:rFonts w:ascii="Arial" w:hAnsi="Arial" w:cs="Arial"/>
        </w:rPr>
      </w:pPr>
    </w:p>
    <w:p w14:paraId="4B494528" w14:textId="77777777" w:rsidR="002B73B2" w:rsidRPr="0014591B" w:rsidRDefault="002B73B2" w:rsidP="0014591B">
      <w:pPr>
        <w:pStyle w:val="Heading2"/>
        <w:numPr>
          <w:ilvl w:val="1"/>
          <w:numId w:val="36"/>
        </w:numPr>
        <w:jc w:val="both"/>
        <w:rPr>
          <w:rFonts w:ascii="Arial" w:hAnsi="Arial" w:cs="Arial"/>
          <w:b/>
          <w:bCs/>
          <w:color w:val="auto"/>
          <w:sz w:val="22"/>
          <w:szCs w:val="22"/>
        </w:rPr>
      </w:pPr>
      <w:bookmarkStart w:id="19" w:name="_Toc132793749"/>
      <w:r w:rsidRPr="0014591B">
        <w:rPr>
          <w:rFonts w:ascii="Arial" w:hAnsi="Arial" w:cs="Arial"/>
          <w:b/>
          <w:bCs/>
          <w:color w:val="auto"/>
          <w:sz w:val="22"/>
          <w:szCs w:val="22"/>
        </w:rPr>
        <w:t>Results</w:t>
      </w:r>
    </w:p>
    <w:p w14:paraId="54EEF7FB" w14:textId="77777777" w:rsidR="002B73B2" w:rsidRPr="0014591B" w:rsidRDefault="002B73B2" w:rsidP="0014591B">
      <w:pPr>
        <w:pStyle w:val="Heading4"/>
        <w:numPr>
          <w:ilvl w:val="2"/>
          <w:numId w:val="36"/>
        </w:numPr>
        <w:rPr>
          <w:rFonts w:ascii="Arial" w:hAnsi="Arial" w:cs="Arial"/>
          <w:b/>
          <w:bCs/>
          <w:color w:val="auto"/>
          <w:sz w:val="22"/>
        </w:rPr>
      </w:pPr>
      <w:bookmarkStart w:id="20" w:name="_Toc132793750"/>
      <w:bookmarkEnd w:id="19"/>
      <w:r w:rsidRPr="0014591B">
        <w:rPr>
          <w:rFonts w:ascii="Arial" w:hAnsi="Arial" w:cs="Arial"/>
          <w:b/>
          <w:bCs/>
          <w:color w:val="auto"/>
          <w:sz w:val="22"/>
        </w:rPr>
        <w:t>Effect of mineral fertilization types on nitrogen and phosphorus export</w:t>
      </w:r>
      <w:bookmarkEnd w:id="20"/>
    </w:p>
    <w:p w14:paraId="6EAC39F6" w14:textId="668BDD20" w:rsidR="002B73B2" w:rsidRPr="00E86361" w:rsidRDefault="00F4717A" w:rsidP="0046513E">
      <w:pPr>
        <w:ind w:firstLine="709"/>
        <w:rPr>
          <w:sz w:val="22"/>
          <w:szCs w:val="22"/>
        </w:rPr>
      </w:pPr>
      <w:r w:rsidRPr="00E86361">
        <w:rPr>
          <w:sz w:val="22"/>
          <w:szCs w:val="22"/>
        </w:rPr>
        <w:t xml:space="preserve">Table </w:t>
      </w:r>
      <w:r w:rsidR="00771F85">
        <w:rPr>
          <w:sz w:val="22"/>
          <w:szCs w:val="22"/>
        </w:rPr>
        <w:t>4</w:t>
      </w:r>
      <w:r w:rsidRPr="00E86361">
        <w:rPr>
          <w:sz w:val="22"/>
          <w:szCs w:val="22"/>
        </w:rPr>
        <w:t xml:space="preserve"> shows the effects of the treatments on nitrogen and phosphorus nutrient export.</w:t>
      </w:r>
    </w:p>
    <w:p w14:paraId="60389424" w14:textId="54B34E54" w:rsidR="002B73B2" w:rsidRPr="0014591B" w:rsidRDefault="002B73B2" w:rsidP="0046513E">
      <w:pPr>
        <w:pStyle w:val="Caption"/>
        <w:rPr>
          <w:rFonts w:ascii="Arial" w:hAnsi="Arial" w:cs="Arial"/>
          <w:i w:val="0"/>
          <w:color w:val="auto"/>
          <w:sz w:val="22"/>
          <w:szCs w:val="22"/>
        </w:rPr>
      </w:pPr>
      <w:bookmarkStart w:id="21" w:name="_Toc132790399"/>
      <w:r w:rsidRPr="0014591B">
        <w:rPr>
          <w:rFonts w:ascii="Arial" w:hAnsi="Arial" w:cs="Arial"/>
          <w:b/>
          <w:i w:val="0"/>
          <w:color w:val="auto"/>
          <w:sz w:val="22"/>
          <w:szCs w:val="22"/>
        </w:rPr>
        <w:t xml:space="preserve">Table </w:t>
      </w:r>
      <w:r w:rsidR="00771F85">
        <w:rPr>
          <w:rFonts w:ascii="Arial" w:hAnsi="Arial" w:cs="Arial"/>
          <w:b/>
          <w:i w:val="0"/>
          <w:color w:val="auto"/>
          <w:sz w:val="22"/>
          <w:szCs w:val="22"/>
        </w:rPr>
        <w:t>4</w:t>
      </w:r>
      <w:r w:rsidRPr="0014591B">
        <w:rPr>
          <w:rFonts w:ascii="Arial" w:hAnsi="Arial" w:cs="Arial"/>
          <w:i w:val="0"/>
          <w:color w:val="auto"/>
          <w:sz w:val="22"/>
          <w:szCs w:val="22"/>
        </w:rPr>
        <w:t>: Effect of mineral fertilization types on nitrogen and phosphorus export</w:t>
      </w:r>
      <w:bookmarkEnd w:id="21"/>
    </w:p>
    <w:tbl>
      <w:tblPr>
        <w:tblW w:w="5000" w:type="pct"/>
        <w:tblLook w:val="04A0" w:firstRow="1" w:lastRow="0" w:firstColumn="1" w:lastColumn="0" w:noHBand="0" w:noVBand="1"/>
      </w:tblPr>
      <w:tblGrid>
        <w:gridCol w:w="1539"/>
        <w:gridCol w:w="1587"/>
        <w:gridCol w:w="1549"/>
        <w:gridCol w:w="1770"/>
        <w:gridCol w:w="1763"/>
      </w:tblGrid>
      <w:tr w:rsidR="002B73B2" w:rsidRPr="00BF3C8A" w14:paraId="25965C28" w14:textId="77777777" w:rsidTr="00823F59">
        <w:trPr>
          <w:trHeight w:val="290"/>
        </w:trPr>
        <w:tc>
          <w:tcPr>
            <w:tcW w:w="1553" w:type="pct"/>
            <w:tcBorders>
              <w:top w:val="single" w:sz="4" w:space="0" w:color="auto"/>
              <w:left w:val="nil"/>
              <w:bottom w:val="single" w:sz="4" w:space="0" w:color="auto"/>
              <w:right w:val="nil"/>
            </w:tcBorders>
            <w:noWrap/>
            <w:vAlign w:val="bottom"/>
            <w:hideMark/>
          </w:tcPr>
          <w:p w14:paraId="759819FE" w14:textId="77777777" w:rsidR="002B73B2" w:rsidRPr="00BF3C8A" w:rsidRDefault="002B73B2" w:rsidP="0047397D">
            <w:pPr>
              <w:rPr>
                <w:b/>
                <w:bCs/>
                <w:sz w:val="22"/>
                <w:szCs w:val="22"/>
              </w:rPr>
            </w:pPr>
            <w:r w:rsidRPr="00BF3C8A">
              <w:rPr>
                <w:b/>
                <w:bCs/>
                <w:sz w:val="22"/>
                <w:szCs w:val="22"/>
              </w:rPr>
              <w:t>Treatment</w:t>
            </w:r>
          </w:p>
        </w:tc>
        <w:tc>
          <w:tcPr>
            <w:tcW w:w="1201" w:type="pct"/>
            <w:tcBorders>
              <w:top w:val="single" w:sz="4" w:space="0" w:color="auto"/>
              <w:left w:val="nil"/>
              <w:bottom w:val="single" w:sz="4" w:space="0" w:color="auto"/>
              <w:right w:val="nil"/>
            </w:tcBorders>
            <w:noWrap/>
            <w:vAlign w:val="bottom"/>
            <w:hideMark/>
          </w:tcPr>
          <w:p w14:paraId="672A1B35" w14:textId="59C55A1A" w:rsidR="002B73B2" w:rsidRPr="00BF3C8A" w:rsidRDefault="002B73B2" w:rsidP="0047397D">
            <w:pPr>
              <w:jc w:val="center"/>
              <w:rPr>
                <w:b/>
                <w:bCs/>
                <w:sz w:val="22"/>
                <w:szCs w:val="22"/>
              </w:rPr>
            </w:pPr>
            <w:r w:rsidRPr="00BF3C8A">
              <w:rPr>
                <w:b/>
                <w:bCs/>
                <w:sz w:val="22"/>
                <w:szCs w:val="22"/>
              </w:rPr>
              <w:t>Paddy Yield (</w:t>
            </w:r>
            <w:r w:rsidR="00587769" w:rsidRPr="00587769">
              <w:rPr>
                <w:b/>
                <w:bCs/>
                <w:sz w:val="22"/>
                <w:szCs w:val="22"/>
              </w:rPr>
              <w:t>kg ha</w:t>
            </w:r>
            <w:r w:rsidR="00587769" w:rsidRPr="00587769">
              <w:rPr>
                <w:rFonts w:ascii="Cambria Math" w:hAnsi="Cambria Math" w:cs="Cambria Math"/>
                <w:b/>
                <w:bCs/>
                <w:sz w:val="22"/>
                <w:szCs w:val="22"/>
              </w:rPr>
              <w:t>⁻</w:t>
            </w:r>
            <w:r w:rsidR="00587769" w:rsidRPr="00587769">
              <w:rPr>
                <w:rFonts w:cs="Helvetica"/>
                <w:b/>
                <w:bCs/>
                <w:sz w:val="22"/>
                <w:szCs w:val="22"/>
              </w:rPr>
              <w:t>¹</w:t>
            </w:r>
            <w:r w:rsidR="00587769" w:rsidRPr="00587769">
              <w:rPr>
                <w:b/>
                <w:bCs/>
                <w:sz w:val="22"/>
                <w:szCs w:val="22"/>
              </w:rPr>
              <w:t>)</w:t>
            </w:r>
          </w:p>
        </w:tc>
        <w:tc>
          <w:tcPr>
            <w:tcW w:w="749" w:type="pct"/>
            <w:tcBorders>
              <w:top w:val="single" w:sz="4" w:space="0" w:color="auto"/>
              <w:left w:val="nil"/>
              <w:bottom w:val="single" w:sz="4" w:space="0" w:color="auto"/>
              <w:right w:val="nil"/>
            </w:tcBorders>
            <w:noWrap/>
            <w:vAlign w:val="bottom"/>
            <w:hideMark/>
          </w:tcPr>
          <w:p w14:paraId="5562BCDC" w14:textId="4BE26F3E" w:rsidR="002B73B2" w:rsidRPr="00BF3C8A" w:rsidRDefault="002B73B2" w:rsidP="0047397D">
            <w:pPr>
              <w:jc w:val="center"/>
              <w:rPr>
                <w:b/>
                <w:bCs/>
                <w:sz w:val="22"/>
                <w:szCs w:val="22"/>
              </w:rPr>
            </w:pPr>
            <w:r w:rsidRPr="00BF3C8A">
              <w:rPr>
                <w:b/>
                <w:bCs/>
                <w:sz w:val="22"/>
                <w:szCs w:val="22"/>
              </w:rPr>
              <w:t>Straw Yield (</w:t>
            </w:r>
            <w:r w:rsidR="00587769" w:rsidRPr="00587769">
              <w:rPr>
                <w:b/>
                <w:bCs/>
                <w:sz w:val="22"/>
                <w:szCs w:val="22"/>
              </w:rPr>
              <w:t>kg ha</w:t>
            </w:r>
            <w:r w:rsidR="00587769" w:rsidRPr="00587769">
              <w:rPr>
                <w:rFonts w:ascii="Cambria Math" w:hAnsi="Cambria Math" w:cs="Cambria Math"/>
                <w:b/>
                <w:bCs/>
                <w:sz w:val="22"/>
                <w:szCs w:val="22"/>
              </w:rPr>
              <w:t>⁻</w:t>
            </w:r>
            <w:r w:rsidR="00587769" w:rsidRPr="00587769">
              <w:rPr>
                <w:rFonts w:cs="Helvetica"/>
                <w:b/>
                <w:bCs/>
                <w:sz w:val="22"/>
                <w:szCs w:val="22"/>
              </w:rPr>
              <w:t>¹</w:t>
            </w:r>
            <w:r w:rsidR="00587769" w:rsidRPr="00587769">
              <w:rPr>
                <w:b/>
                <w:bCs/>
                <w:sz w:val="22"/>
                <w:szCs w:val="22"/>
              </w:rPr>
              <w:t>)</w:t>
            </w:r>
          </w:p>
        </w:tc>
        <w:tc>
          <w:tcPr>
            <w:tcW w:w="749" w:type="pct"/>
            <w:tcBorders>
              <w:top w:val="single" w:sz="4" w:space="0" w:color="auto"/>
              <w:left w:val="nil"/>
              <w:bottom w:val="single" w:sz="4" w:space="0" w:color="auto"/>
              <w:right w:val="nil"/>
            </w:tcBorders>
            <w:noWrap/>
            <w:vAlign w:val="bottom"/>
            <w:hideMark/>
          </w:tcPr>
          <w:p w14:paraId="47F42062" w14:textId="2FDA70CD" w:rsidR="002B73B2" w:rsidRPr="00BF3C8A" w:rsidRDefault="002B73B2" w:rsidP="0047397D">
            <w:pPr>
              <w:jc w:val="center"/>
              <w:rPr>
                <w:b/>
                <w:bCs/>
                <w:sz w:val="22"/>
                <w:szCs w:val="22"/>
              </w:rPr>
            </w:pPr>
            <w:r w:rsidRPr="00BF3C8A">
              <w:rPr>
                <w:b/>
                <w:bCs/>
                <w:sz w:val="22"/>
                <w:szCs w:val="22"/>
              </w:rPr>
              <w:t>Total N Uptake (</w:t>
            </w:r>
            <w:r w:rsidR="00587769" w:rsidRPr="00587769">
              <w:rPr>
                <w:b/>
                <w:bCs/>
                <w:sz w:val="22"/>
                <w:szCs w:val="22"/>
              </w:rPr>
              <w:t>kg ha</w:t>
            </w:r>
            <w:r w:rsidR="00587769" w:rsidRPr="00587769">
              <w:rPr>
                <w:rFonts w:ascii="Cambria Math" w:hAnsi="Cambria Math" w:cs="Cambria Math"/>
                <w:b/>
                <w:bCs/>
                <w:sz w:val="22"/>
                <w:szCs w:val="22"/>
              </w:rPr>
              <w:t>⁻</w:t>
            </w:r>
            <w:r w:rsidR="00587769" w:rsidRPr="00587769">
              <w:rPr>
                <w:rFonts w:cs="Helvetica"/>
                <w:b/>
                <w:bCs/>
                <w:sz w:val="22"/>
                <w:szCs w:val="22"/>
              </w:rPr>
              <w:t>¹</w:t>
            </w:r>
            <w:r w:rsidR="00587769" w:rsidRPr="00587769">
              <w:rPr>
                <w:b/>
                <w:bCs/>
                <w:sz w:val="22"/>
                <w:szCs w:val="22"/>
              </w:rPr>
              <w:t>)</w:t>
            </w:r>
          </w:p>
        </w:tc>
        <w:tc>
          <w:tcPr>
            <w:tcW w:w="749" w:type="pct"/>
            <w:tcBorders>
              <w:top w:val="single" w:sz="4" w:space="0" w:color="auto"/>
              <w:left w:val="nil"/>
              <w:bottom w:val="single" w:sz="4" w:space="0" w:color="auto"/>
              <w:right w:val="nil"/>
            </w:tcBorders>
            <w:noWrap/>
            <w:vAlign w:val="bottom"/>
            <w:hideMark/>
          </w:tcPr>
          <w:p w14:paraId="7B8B2EFB" w14:textId="34D78205" w:rsidR="002B73B2" w:rsidRPr="00BF3C8A" w:rsidRDefault="002B73B2" w:rsidP="0047397D">
            <w:pPr>
              <w:jc w:val="center"/>
              <w:rPr>
                <w:b/>
                <w:bCs/>
                <w:sz w:val="22"/>
                <w:szCs w:val="22"/>
              </w:rPr>
            </w:pPr>
            <w:r w:rsidRPr="00BF3C8A">
              <w:rPr>
                <w:b/>
                <w:bCs/>
                <w:sz w:val="22"/>
                <w:szCs w:val="22"/>
              </w:rPr>
              <w:t>Total P Uptake (</w:t>
            </w:r>
            <w:r w:rsidR="00587769" w:rsidRPr="00587769">
              <w:rPr>
                <w:b/>
                <w:bCs/>
                <w:sz w:val="22"/>
                <w:szCs w:val="22"/>
              </w:rPr>
              <w:t>kg ha</w:t>
            </w:r>
            <w:r w:rsidR="00587769" w:rsidRPr="00587769">
              <w:rPr>
                <w:rFonts w:ascii="Cambria Math" w:hAnsi="Cambria Math" w:cs="Cambria Math"/>
                <w:b/>
                <w:bCs/>
                <w:sz w:val="22"/>
                <w:szCs w:val="22"/>
              </w:rPr>
              <w:t>⁻</w:t>
            </w:r>
            <w:r w:rsidR="00587769" w:rsidRPr="00587769">
              <w:rPr>
                <w:rFonts w:cs="Helvetica"/>
                <w:b/>
                <w:bCs/>
                <w:sz w:val="22"/>
                <w:szCs w:val="22"/>
              </w:rPr>
              <w:t>¹</w:t>
            </w:r>
            <w:r w:rsidR="00587769" w:rsidRPr="00587769">
              <w:rPr>
                <w:b/>
                <w:bCs/>
                <w:sz w:val="22"/>
                <w:szCs w:val="22"/>
              </w:rPr>
              <w:t>)</w:t>
            </w:r>
          </w:p>
        </w:tc>
      </w:tr>
      <w:tr w:rsidR="002B73B2" w:rsidRPr="00BF3C8A" w14:paraId="722C6EFB" w14:textId="77777777" w:rsidTr="00823F59">
        <w:trPr>
          <w:trHeight w:val="290"/>
        </w:trPr>
        <w:tc>
          <w:tcPr>
            <w:tcW w:w="1553" w:type="pct"/>
            <w:tcBorders>
              <w:top w:val="nil"/>
              <w:left w:val="nil"/>
              <w:bottom w:val="nil"/>
              <w:right w:val="nil"/>
            </w:tcBorders>
            <w:noWrap/>
            <w:vAlign w:val="bottom"/>
            <w:hideMark/>
          </w:tcPr>
          <w:p w14:paraId="145A1F82" w14:textId="77777777" w:rsidR="002B73B2" w:rsidRPr="00BF3C8A" w:rsidRDefault="002B73B2" w:rsidP="0047397D">
            <w:pPr>
              <w:rPr>
                <w:b/>
                <w:bCs/>
                <w:sz w:val="22"/>
                <w:szCs w:val="22"/>
              </w:rPr>
            </w:pPr>
            <w:r w:rsidRPr="00BF3C8A">
              <w:rPr>
                <w:b/>
                <w:bCs/>
                <w:sz w:val="22"/>
                <w:szCs w:val="22"/>
              </w:rPr>
              <w:t>2 SG-NPK</w:t>
            </w:r>
          </w:p>
        </w:tc>
        <w:tc>
          <w:tcPr>
            <w:tcW w:w="1201" w:type="pct"/>
            <w:tcBorders>
              <w:top w:val="nil"/>
              <w:left w:val="nil"/>
              <w:bottom w:val="nil"/>
              <w:right w:val="nil"/>
            </w:tcBorders>
            <w:noWrap/>
            <w:vAlign w:val="bottom"/>
            <w:hideMark/>
          </w:tcPr>
          <w:p w14:paraId="607781CF" w14:textId="77777777" w:rsidR="002B73B2" w:rsidRPr="00BF3C8A" w:rsidRDefault="002B73B2" w:rsidP="0047397D">
            <w:pPr>
              <w:jc w:val="center"/>
              <w:rPr>
                <w:sz w:val="22"/>
                <w:szCs w:val="22"/>
              </w:rPr>
            </w:pPr>
            <w:r w:rsidRPr="00BF3C8A">
              <w:rPr>
                <w:sz w:val="22"/>
                <w:szCs w:val="22"/>
              </w:rPr>
              <w:t>3683</w:t>
            </w:r>
            <w:r w:rsidRPr="00617F2C">
              <w:rPr>
                <w:sz w:val="22"/>
                <w:szCs w:val="22"/>
                <w:vertAlign w:val="superscript"/>
              </w:rPr>
              <w:t>c</w:t>
            </w:r>
          </w:p>
        </w:tc>
        <w:tc>
          <w:tcPr>
            <w:tcW w:w="749" w:type="pct"/>
            <w:tcBorders>
              <w:top w:val="nil"/>
              <w:left w:val="nil"/>
              <w:bottom w:val="nil"/>
              <w:right w:val="nil"/>
            </w:tcBorders>
            <w:noWrap/>
            <w:vAlign w:val="bottom"/>
            <w:hideMark/>
          </w:tcPr>
          <w:p w14:paraId="63BBDC41" w14:textId="77777777" w:rsidR="002B73B2" w:rsidRPr="00BF3C8A" w:rsidRDefault="002B73B2" w:rsidP="0047397D">
            <w:pPr>
              <w:jc w:val="center"/>
              <w:rPr>
                <w:sz w:val="22"/>
                <w:szCs w:val="22"/>
              </w:rPr>
            </w:pPr>
            <w:r w:rsidRPr="00BF3C8A">
              <w:rPr>
                <w:sz w:val="22"/>
                <w:szCs w:val="22"/>
              </w:rPr>
              <w:t>3550</w:t>
            </w:r>
            <w:r w:rsidRPr="00617F2C">
              <w:rPr>
                <w:sz w:val="22"/>
                <w:szCs w:val="22"/>
                <w:vertAlign w:val="superscript"/>
              </w:rPr>
              <w:t>b</w:t>
            </w:r>
          </w:p>
        </w:tc>
        <w:tc>
          <w:tcPr>
            <w:tcW w:w="749" w:type="pct"/>
            <w:tcBorders>
              <w:top w:val="nil"/>
              <w:left w:val="nil"/>
              <w:bottom w:val="nil"/>
              <w:right w:val="nil"/>
            </w:tcBorders>
            <w:noWrap/>
            <w:vAlign w:val="bottom"/>
            <w:hideMark/>
          </w:tcPr>
          <w:p w14:paraId="38FDA5B2" w14:textId="77777777" w:rsidR="002B73B2" w:rsidRPr="00BF3C8A" w:rsidRDefault="002B73B2" w:rsidP="0047397D">
            <w:pPr>
              <w:jc w:val="center"/>
              <w:rPr>
                <w:sz w:val="22"/>
                <w:szCs w:val="22"/>
              </w:rPr>
            </w:pPr>
            <w:r w:rsidRPr="00BF3C8A">
              <w:rPr>
                <w:sz w:val="22"/>
                <w:szCs w:val="22"/>
              </w:rPr>
              <w:t>70.80</w:t>
            </w:r>
            <w:r w:rsidRPr="00617F2C">
              <w:rPr>
                <w:sz w:val="22"/>
                <w:szCs w:val="22"/>
                <w:vertAlign w:val="superscript"/>
              </w:rPr>
              <w:t>b</w:t>
            </w:r>
          </w:p>
        </w:tc>
        <w:tc>
          <w:tcPr>
            <w:tcW w:w="749" w:type="pct"/>
            <w:tcBorders>
              <w:top w:val="nil"/>
              <w:left w:val="nil"/>
              <w:bottom w:val="nil"/>
              <w:right w:val="nil"/>
            </w:tcBorders>
            <w:noWrap/>
            <w:vAlign w:val="bottom"/>
            <w:hideMark/>
          </w:tcPr>
          <w:p w14:paraId="75CA6FB5" w14:textId="77777777" w:rsidR="002B73B2" w:rsidRPr="00BF3C8A" w:rsidRDefault="002B73B2" w:rsidP="0047397D">
            <w:pPr>
              <w:jc w:val="center"/>
              <w:rPr>
                <w:sz w:val="22"/>
                <w:szCs w:val="22"/>
              </w:rPr>
            </w:pPr>
            <w:r w:rsidRPr="00BF3C8A">
              <w:rPr>
                <w:sz w:val="22"/>
                <w:szCs w:val="22"/>
              </w:rPr>
              <w:t>13.71</w:t>
            </w:r>
            <w:r w:rsidRPr="00617F2C">
              <w:rPr>
                <w:sz w:val="22"/>
                <w:szCs w:val="22"/>
                <w:vertAlign w:val="superscript"/>
              </w:rPr>
              <w:t>b</w:t>
            </w:r>
          </w:p>
        </w:tc>
      </w:tr>
      <w:tr w:rsidR="002B73B2" w:rsidRPr="00BF3C8A" w14:paraId="00FBE72C" w14:textId="77777777" w:rsidTr="00823F59">
        <w:trPr>
          <w:trHeight w:val="290"/>
        </w:trPr>
        <w:tc>
          <w:tcPr>
            <w:tcW w:w="1553" w:type="pct"/>
            <w:tcBorders>
              <w:top w:val="nil"/>
              <w:left w:val="nil"/>
              <w:bottom w:val="nil"/>
              <w:right w:val="nil"/>
            </w:tcBorders>
            <w:noWrap/>
            <w:vAlign w:val="bottom"/>
            <w:hideMark/>
          </w:tcPr>
          <w:p w14:paraId="2DAA99AE" w14:textId="77777777" w:rsidR="002B73B2" w:rsidRPr="00BF3C8A" w:rsidRDefault="002B73B2" w:rsidP="0047397D">
            <w:pPr>
              <w:rPr>
                <w:b/>
                <w:bCs/>
                <w:sz w:val="22"/>
                <w:szCs w:val="22"/>
              </w:rPr>
            </w:pPr>
            <w:r>
              <w:rPr>
                <w:b/>
                <w:bCs/>
                <w:sz w:val="22"/>
                <w:szCs w:val="22"/>
              </w:rPr>
              <w:t>F</w:t>
            </w:r>
            <w:r w:rsidRPr="00BF3C8A">
              <w:rPr>
                <w:b/>
                <w:bCs/>
                <w:sz w:val="22"/>
                <w:szCs w:val="22"/>
              </w:rPr>
              <w:t>P</w:t>
            </w:r>
          </w:p>
        </w:tc>
        <w:tc>
          <w:tcPr>
            <w:tcW w:w="1201" w:type="pct"/>
            <w:tcBorders>
              <w:top w:val="nil"/>
              <w:left w:val="nil"/>
              <w:bottom w:val="nil"/>
              <w:right w:val="nil"/>
            </w:tcBorders>
            <w:noWrap/>
            <w:vAlign w:val="bottom"/>
            <w:hideMark/>
          </w:tcPr>
          <w:p w14:paraId="04D683DA" w14:textId="77777777" w:rsidR="002B73B2" w:rsidRPr="00BF3C8A" w:rsidRDefault="002B73B2" w:rsidP="0047397D">
            <w:pPr>
              <w:jc w:val="center"/>
              <w:rPr>
                <w:sz w:val="22"/>
                <w:szCs w:val="22"/>
              </w:rPr>
            </w:pPr>
            <w:r w:rsidRPr="00BF3C8A">
              <w:rPr>
                <w:sz w:val="22"/>
                <w:szCs w:val="22"/>
              </w:rPr>
              <w:t>4033</w:t>
            </w:r>
            <w:r w:rsidRPr="00617F2C">
              <w:rPr>
                <w:sz w:val="22"/>
                <w:szCs w:val="22"/>
                <w:vertAlign w:val="superscript"/>
              </w:rPr>
              <w:t>ac</w:t>
            </w:r>
          </w:p>
        </w:tc>
        <w:tc>
          <w:tcPr>
            <w:tcW w:w="749" w:type="pct"/>
            <w:tcBorders>
              <w:top w:val="nil"/>
              <w:left w:val="nil"/>
              <w:bottom w:val="nil"/>
              <w:right w:val="nil"/>
            </w:tcBorders>
            <w:noWrap/>
            <w:vAlign w:val="bottom"/>
            <w:hideMark/>
          </w:tcPr>
          <w:p w14:paraId="348CFB4B" w14:textId="77777777" w:rsidR="002B73B2" w:rsidRPr="00BF3C8A" w:rsidRDefault="002B73B2" w:rsidP="0047397D">
            <w:pPr>
              <w:jc w:val="center"/>
              <w:rPr>
                <w:sz w:val="22"/>
                <w:szCs w:val="22"/>
              </w:rPr>
            </w:pPr>
            <w:r w:rsidRPr="00BF3C8A">
              <w:rPr>
                <w:sz w:val="22"/>
                <w:szCs w:val="22"/>
              </w:rPr>
              <w:t>3992</w:t>
            </w:r>
            <w:r w:rsidRPr="00617F2C">
              <w:rPr>
                <w:sz w:val="22"/>
                <w:szCs w:val="22"/>
                <w:vertAlign w:val="superscript"/>
              </w:rPr>
              <w:t>ab</w:t>
            </w:r>
          </w:p>
        </w:tc>
        <w:tc>
          <w:tcPr>
            <w:tcW w:w="749" w:type="pct"/>
            <w:tcBorders>
              <w:top w:val="nil"/>
              <w:left w:val="nil"/>
              <w:bottom w:val="nil"/>
              <w:right w:val="nil"/>
            </w:tcBorders>
            <w:noWrap/>
            <w:vAlign w:val="bottom"/>
            <w:hideMark/>
          </w:tcPr>
          <w:p w14:paraId="1F912F76" w14:textId="77777777" w:rsidR="002B73B2" w:rsidRPr="00BF3C8A" w:rsidRDefault="002B73B2" w:rsidP="0047397D">
            <w:pPr>
              <w:jc w:val="center"/>
              <w:rPr>
                <w:sz w:val="22"/>
                <w:szCs w:val="22"/>
              </w:rPr>
            </w:pPr>
            <w:r w:rsidRPr="00BF3C8A">
              <w:rPr>
                <w:sz w:val="22"/>
                <w:szCs w:val="22"/>
              </w:rPr>
              <w:t>84.38</w:t>
            </w:r>
            <w:r w:rsidRPr="00617F2C">
              <w:rPr>
                <w:sz w:val="22"/>
                <w:szCs w:val="22"/>
                <w:vertAlign w:val="superscript"/>
              </w:rPr>
              <w:t>a</w:t>
            </w:r>
          </w:p>
        </w:tc>
        <w:tc>
          <w:tcPr>
            <w:tcW w:w="749" w:type="pct"/>
            <w:tcBorders>
              <w:top w:val="nil"/>
              <w:left w:val="nil"/>
              <w:bottom w:val="nil"/>
              <w:right w:val="nil"/>
            </w:tcBorders>
            <w:noWrap/>
            <w:vAlign w:val="bottom"/>
            <w:hideMark/>
          </w:tcPr>
          <w:p w14:paraId="1FD672B9" w14:textId="77777777" w:rsidR="002B73B2" w:rsidRPr="00BF3C8A" w:rsidRDefault="002B73B2" w:rsidP="0047397D">
            <w:pPr>
              <w:jc w:val="center"/>
              <w:rPr>
                <w:sz w:val="22"/>
                <w:szCs w:val="22"/>
              </w:rPr>
            </w:pPr>
            <w:r w:rsidRPr="00BF3C8A">
              <w:rPr>
                <w:sz w:val="22"/>
                <w:szCs w:val="22"/>
              </w:rPr>
              <w:t>14.68</w:t>
            </w:r>
            <w:r w:rsidRPr="00617F2C">
              <w:rPr>
                <w:sz w:val="22"/>
                <w:szCs w:val="22"/>
                <w:vertAlign w:val="superscript"/>
              </w:rPr>
              <w:t>b</w:t>
            </w:r>
          </w:p>
        </w:tc>
      </w:tr>
      <w:tr w:rsidR="002B73B2" w:rsidRPr="00BF3C8A" w14:paraId="1E354057" w14:textId="77777777" w:rsidTr="00823F59">
        <w:trPr>
          <w:trHeight w:val="290"/>
        </w:trPr>
        <w:tc>
          <w:tcPr>
            <w:tcW w:w="1553" w:type="pct"/>
            <w:tcBorders>
              <w:top w:val="nil"/>
              <w:left w:val="nil"/>
              <w:bottom w:val="nil"/>
              <w:right w:val="nil"/>
            </w:tcBorders>
            <w:noWrap/>
            <w:vAlign w:val="bottom"/>
            <w:hideMark/>
          </w:tcPr>
          <w:p w14:paraId="5AE02CCB" w14:textId="77777777" w:rsidR="002B73B2" w:rsidRPr="00BF3C8A" w:rsidRDefault="002B73B2" w:rsidP="0047397D">
            <w:pPr>
              <w:rPr>
                <w:b/>
                <w:bCs/>
                <w:sz w:val="22"/>
                <w:szCs w:val="22"/>
              </w:rPr>
            </w:pPr>
            <w:r w:rsidRPr="00BF3C8A">
              <w:rPr>
                <w:b/>
                <w:bCs/>
                <w:sz w:val="22"/>
                <w:szCs w:val="22"/>
              </w:rPr>
              <w:t>150 kg NPK + USG</w:t>
            </w:r>
          </w:p>
        </w:tc>
        <w:tc>
          <w:tcPr>
            <w:tcW w:w="1201" w:type="pct"/>
            <w:tcBorders>
              <w:top w:val="nil"/>
              <w:left w:val="nil"/>
              <w:bottom w:val="nil"/>
              <w:right w:val="nil"/>
            </w:tcBorders>
            <w:noWrap/>
            <w:vAlign w:val="bottom"/>
            <w:hideMark/>
          </w:tcPr>
          <w:p w14:paraId="65234F39" w14:textId="77777777" w:rsidR="002B73B2" w:rsidRPr="00BF3C8A" w:rsidRDefault="002B73B2" w:rsidP="0047397D">
            <w:pPr>
              <w:jc w:val="center"/>
              <w:rPr>
                <w:sz w:val="22"/>
                <w:szCs w:val="22"/>
              </w:rPr>
            </w:pPr>
            <w:r w:rsidRPr="00BF3C8A">
              <w:rPr>
                <w:sz w:val="22"/>
                <w:szCs w:val="22"/>
              </w:rPr>
              <w:t>4458</w:t>
            </w:r>
            <w:r w:rsidRPr="00617F2C">
              <w:rPr>
                <w:sz w:val="22"/>
                <w:szCs w:val="22"/>
                <w:vertAlign w:val="superscript"/>
              </w:rPr>
              <w:t>ab</w:t>
            </w:r>
          </w:p>
        </w:tc>
        <w:tc>
          <w:tcPr>
            <w:tcW w:w="749" w:type="pct"/>
            <w:tcBorders>
              <w:top w:val="nil"/>
              <w:left w:val="nil"/>
              <w:bottom w:val="nil"/>
              <w:right w:val="nil"/>
            </w:tcBorders>
            <w:noWrap/>
            <w:vAlign w:val="bottom"/>
            <w:hideMark/>
          </w:tcPr>
          <w:p w14:paraId="16A31D18" w14:textId="77777777" w:rsidR="002B73B2" w:rsidRPr="00BF3C8A" w:rsidRDefault="002B73B2" w:rsidP="0047397D">
            <w:pPr>
              <w:jc w:val="center"/>
              <w:rPr>
                <w:sz w:val="22"/>
                <w:szCs w:val="22"/>
              </w:rPr>
            </w:pPr>
            <w:r w:rsidRPr="00BF3C8A">
              <w:rPr>
                <w:sz w:val="22"/>
                <w:szCs w:val="22"/>
              </w:rPr>
              <w:t>3917</w:t>
            </w:r>
            <w:r w:rsidRPr="00617F2C">
              <w:rPr>
                <w:sz w:val="22"/>
                <w:szCs w:val="22"/>
                <w:vertAlign w:val="superscript"/>
              </w:rPr>
              <w:t>b</w:t>
            </w:r>
          </w:p>
        </w:tc>
        <w:tc>
          <w:tcPr>
            <w:tcW w:w="749" w:type="pct"/>
            <w:tcBorders>
              <w:top w:val="nil"/>
              <w:left w:val="nil"/>
              <w:bottom w:val="nil"/>
              <w:right w:val="nil"/>
            </w:tcBorders>
            <w:noWrap/>
            <w:vAlign w:val="bottom"/>
            <w:hideMark/>
          </w:tcPr>
          <w:p w14:paraId="0A9FDDF7" w14:textId="77777777" w:rsidR="002B73B2" w:rsidRPr="00BF3C8A" w:rsidRDefault="002B73B2" w:rsidP="0047397D">
            <w:pPr>
              <w:jc w:val="center"/>
              <w:rPr>
                <w:sz w:val="22"/>
                <w:szCs w:val="22"/>
              </w:rPr>
            </w:pPr>
            <w:r w:rsidRPr="00BF3C8A">
              <w:rPr>
                <w:sz w:val="22"/>
                <w:szCs w:val="22"/>
              </w:rPr>
              <w:t>80.77</w:t>
            </w:r>
            <w:r w:rsidRPr="00617F2C">
              <w:rPr>
                <w:sz w:val="22"/>
                <w:szCs w:val="22"/>
                <w:vertAlign w:val="superscript"/>
              </w:rPr>
              <w:t>ab</w:t>
            </w:r>
          </w:p>
        </w:tc>
        <w:tc>
          <w:tcPr>
            <w:tcW w:w="749" w:type="pct"/>
            <w:tcBorders>
              <w:top w:val="nil"/>
              <w:left w:val="nil"/>
              <w:bottom w:val="nil"/>
              <w:right w:val="nil"/>
            </w:tcBorders>
            <w:noWrap/>
            <w:vAlign w:val="bottom"/>
            <w:hideMark/>
          </w:tcPr>
          <w:p w14:paraId="321301B5" w14:textId="77777777" w:rsidR="002B73B2" w:rsidRPr="00BF3C8A" w:rsidRDefault="002B73B2" w:rsidP="0047397D">
            <w:pPr>
              <w:jc w:val="center"/>
              <w:rPr>
                <w:sz w:val="22"/>
                <w:szCs w:val="22"/>
              </w:rPr>
            </w:pPr>
            <w:r w:rsidRPr="00BF3C8A">
              <w:rPr>
                <w:sz w:val="22"/>
                <w:szCs w:val="22"/>
              </w:rPr>
              <w:t>16.64</w:t>
            </w:r>
            <w:r w:rsidRPr="00617F2C">
              <w:rPr>
                <w:sz w:val="22"/>
                <w:szCs w:val="22"/>
                <w:vertAlign w:val="superscript"/>
              </w:rPr>
              <w:t>a</w:t>
            </w:r>
          </w:p>
        </w:tc>
      </w:tr>
      <w:tr w:rsidR="002B73B2" w:rsidRPr="00BF3C8A" w14:paraId="47490F4A" w14:textId="77777777" w:rsidTr="00823F59">
        <w:trPr>
          <w:trHeight w:val="290"/>
        </w:trPr>
        <w:tc>
          <w:tcPr>
            <w:tcW w:w="1553" w:type="pct"/>
            <w:tcBorders>
              <w:top w:val="nil"/>
              <w:left w:val="nil"/>
              <w:bottom w:val="nil"/>
              <w:right w:val="nil"/>
            </w:tcBorders>
            <w:noWrap/>
            <w:vAlign w:val="bottom"/>
            <w:hideMark/>
          </w:tcPr>
          <w:p w14:paraId="7BF21D4C" w14:textId="77777777" w:rsidR="002B73B2" w:rsidRPr="00BF3C8A" w:rsidRDefault="002B73B2" w:rsidP="0047397D">
            <w:pPr>
              <w:rPr>
                <w:b/>
                <w:bCs/>
                <w:sz w:val="22"/>
                <w:szCs w:val="22"/>
              </w:rPr>
            </w:pPr>
            <w:r w:rsidRPr="00BF3C8A">
              <w:rPr>
                <w:b/>
                <w:bCs/>
                <w:sz w:val="22"/>
                <w:szCs w:val="22"/>
              </w:rPr>
              <w:t>2 SG-NPK + PU</w:t>
            </w:r>
          </w:p>
        </w:tc>
        <w:tc>
          <w:tcPr>
            <w:tcW w:w="1201" w:type="pct"/>
            <w:tcBorders>
              <w:top w:val="nil"/>
              <w:left w:val="nil"/>
              <w:bottom w:val="nil"/>
              <w:right w:val="nil"/>
            </w:tcBorders>
            <w:noWrap/>
            <w:vAlign w:val="bottom"/>
            <w:hideMark/>
          </w:tcPr>
          <w:p w14:paraId="125AE8B2" w14:textId="77777777" w:rsidR="002B73B2" w:rsidRPr="00BF3C8A" w:rsidRDefault="002B73B2" w:rsidP="0047397D">
            <w:pPr>
              <w:jc w:val="center"/>
              <w:rPr>
                <w:sz w:val="22"/>
                <w:szCs w:val="22"/>
              </w:rPr>
            </w:pPr>
            <w:r w:rsidRPr="00BF3C8A">
              <w:rPr>
                <w:sz w:val="22"/>
                <w:szCs w:val="22"/>
              </w:rPr>
              <w:t>4540</w:t>
            </w:r>
            <w:r w:rsidRPr="00617F2C">
              <w:rPr>
                <w:sz w:val="22"/>
                <w:szCs w:val="22"/>
                <w:vertAlign w:val="superscript"/>
              </w:rPr>
              <w:t>a</w:t>
            </w:r>
          </w:p>
        </w:tc>
        <w:tc>
          <w:tcPr>
            <w:tcW w:w="749" w:type="pct"/>
            <w:tcBorders>
              <w:top w:val="nil"/>
              <w:left w:val="nil"/>
              <w:bottom w:val="nil"/>
              <w:right w:val="nil"/>
            </w:tcBorders>
            <w:noWrap/>
            <w:vAlign w:val="bottom"/>
            <w:hideMark/>
          </w:tcPr>
          <w:p w14:paraId="449DA059" w14:textId="77777777" w:rsidR="002B73B2" w:rsidRPr="00BF3C8A" w:rsidRDefault="002B73B2" w:rsidP="0047397D">
            <w:pPr>
              <w:jc w:val="center"/>
              <w:rPr>
                <w:sz w:val="22"/>
                <w:szCs w:val="22"/>
              </w:rPr>
            </w:pPr>
            <w:r w:rsidRPr="00BF3C8A">
              <w:rPr>
                <w:sz w:val="22"/>
                <w:szCs w:val="22"/>
              </w:rPr>
              <w:t>4333</w:t>
            </w:r>
            <w:r w:rsidRPr="00617F2C">
              <w:rPr>
                <w:sz w:val="22"/>
                <w:szCs w:val="22"/>
                <w:vertAlign w:val="superscript"/>
              </w:rPr>
              <w:t>a</w:t>
            </w:r>
          </w:p>
        </w:tc>
        <w:tc>
          <w:tcPr>
            <w:tcW w:w="749" w:type="pct"/>
            <w:tcBorders>
              <w:top w:val="nil"/>
              <w:left w:val="nil"/>
              <w:bottom w:val="nil"/>
              <w:right w:val="nil"/>
            </w:tcBorders>
            <w:noWrap/>
            <w:vAlign w:val="bottom"/>
            <w:hideMark/>
          </w:tcPr>
          <w:p w14:paraId="6E1D4C33" w14:textId="77777777" w:rsidR="002B73B2" w:rsidRPr="00BF3C8A" w:rsidRDefault="002B73B2" w:rsidP="0047397D">
            <w:pPr>
              <w:jc w:val="center"/>
              <w:rPr>
                <w:sz w:val="22"/>
                <w:szCs w:val="22"/>
              </w:rPr>
            </w:pPr>
            <w:r w:rsidRPr="00BF3C8A">
              <w:rPr>
                <w:sz w:val="22"/>
                <w:szCs w:val="22"/>
              </w:rPr>
              <w:t>71.77</w:t>
            </w:r>
            <w:r w:rsidRPr="00617F2C">
              <w:rPr>
                <w:sz w:val="22"/>
                <w:szCs w:val="22"/>
                <w:vertAlign w:val="superscript"/>
              </w:rPr>
              <w:t>c</w:t>
            </w:r>
          </w:p>
        </w:tc>
        <w:tc>
          <w:tcPr>
            <w:tcW w:w="749" w:type="pct"/>
            <w:tcBorders>
              <w:top w:val="nil"/>
              <w:left w:val="nil"/>
              <w:bottom w:val="nil"/>
              <w:right w:val="nil"/>
            </w:tcBorders>
            <w:noWrap/>
            <w:vAlign w:val="bottom"/>
            <w:hideMark/>
          </w:tcPr>
          <w:p w14:paraId="75012082" w14:textId="77777777" w:rsidR="002B73B2" w:rsidRPr="00BF3C8A" w:rsidRDefault="002B73B2" w:rsidP="0047397D">
            <w:pPr>
              <w:jc w:val="center"/>
              <w:rPr>
                <w:sz w:val="22"/>
                <w:szCs w:val="22"/>
              </w:rPr>
            </w:pPr>
            <w:r w:rsidRPr="00BF3C8A">
              <w:rPr>
                <w:sz w:val="22"/>
                <w:szCs w:val="22"/>
              </w:rPr>
              <w:t>17.65</w:t>
            </w:r>
            <w:r w:rsidRPr="00617F2C">
              <w:rPr>
                <w:sz w:val="22"/>
                <w:szCs w:val="22"/>
                <w:vertAlign w:val="superscript"/>
              </w:rPr>
              <w:t>a</w:t>
            </w:r>
          </w:p>
        </w:tc>
      </w:tr>
      <w:tr w:rsidR="002B73B2" w:rsidRPr="00BF3C8A" w14:paraId="55B07F9D" w14:textId="77777777" w:rsidTr="00823F59">
        <w:trPr>
          <w:trHeight w:val="290"/>
        </w:trPr>
        <w:tc>
          <w:tcPr>
            <w:tcW w:w="1553" w:type="pct"/>
            <w:tcBorders>
              <w:top w:val="nil"/>
              <w:left w:val="nil"/>
              <w:bottom w:val="nil"/>
              <w:right w:val="nil"/>
            </w:tcBorders>
            <w:noWrap/>
            <w:vAlign w:val="bottom"/>
            <w:hideMark/>
          </w:tcPr>
          <w:p w14:paraId="58DC71A8" w14:textId="77777777" w:rsidR="002B73B2" w:rsidRPr="00BF3C8A" w:rsidRDefault="002B73B2" w:rsidP="0047397D">
            <w:pPr>
              <w:rPr>
                <w:b/>
                <w:bCs/>
                <w:sz w:val="22"/>
                <w:szCs w:val="22"/>
              </w:rPr>
            </w:pPr>
            <w:r w:rsidRPr="00BF3C8A">
              <w:rPr>
                <w:b/>
                <w:bCs/>
                <w:sz w:val="22"/>
                <w:szCs w:val="22"/>
              </w:rPr>
              <w:t>Control</w:t>
            </w:r>
          </w:p>
        </w:tc>
        <w:tc>
          <w:tcPr>
            <w:tcW w:w="1201" w:type="pct"/>
            <w:tcBorders>
              <w:top w:val="nil"/>
              <w:left w:val="nil"/>
              <w:bottom w:val="nil"/>
              <w:right w:val="nil"/>
            </w:tcBorders>
            <w:noWrap/>
            <w:vAlign w:val="bottom"/>
            <w:hideMark/>
          </w:tcPr>
          <w:p w14:paraId="1C0129D4" w14:textId="77777777" w:rsidR="002B73B2" w:rsidRPr="00BF3C8A" w:rsidRDefault="002B73B2" w:rsidP="0047397D">
            <w:pPr>
              <w:jc w:val="center"/>
              <w:rPr>
                <w:sz w:val="22"/>
                <w:szCs w:val="22"/>
              </w:rPr>
            </w:pPr>
            <w:r w:rsidRPr="00BF3C8A">
              <w:rPr>
                <w:sz w:val="22"/>
                <w:szCs w:val="22"/>
              </w:rPr>
              <w:t>3132</w:t>
            </w:r>
            <w:r w:rsidRPr="00617F2C">
              <w:rPr>
                <w:sz w:val="22"/>
                <w:szCs w:val="22"/>
                <w:vertAlign w:val="superscript"/>
              </w:rPr>
              <w:t>d</w:t>
            </w:r>
          </w:p>
        </w:tc>
        <w:tc>
          <w:tcPr>
            <w:tcW w:w="749" w:type="pct"/>
            <w:tcBorders>
              <w:top w:val="nil"/>
              <w:left w:val="nil"/>
              <w:bottom w:val="nil"/>
              <w:right w:val="nil"/>
            </w:tcBorders>
            <w:noWrap/>
            <w:vAlign w:val="bottom"/>
            <w:hideMark/>
          </w:tcPr>
          <w:p w14:paraId="73AE5DCA" w14:textId="77777777" w:rsidR="002B73B2" w:rsidRPr="00BF3C8A" w:rsidRDefault="002B73B2" w:rsidP="0047397D">
            <w:pPr>
              <w:jc w:val="center"/>
              <w:rPr>
                <w:sz w:val="22"/>
                <w:szCs w:val="22"/>
              </w:rPr>
            </w:pPr>
            <w:r w:rsidRPr="00BF3C8A">
              <w:rPr>
                <w:sz w:val="22"/>
                <w:szCs w:val="22"/>
              </w:rPr>
              <w:t>2650</w:t>
            </w:r>
            <w:r w:rsidRPr="00617F2C">
              <w:rPr>
                <w:sz w:val="22"/>
                <w:szCs w:val="22"/>
                <w:vertAlign w:val="superscript"/>
              </w:rPr>
              <w:t>c</w:t>
            </w:r>
          </w:p>
        </w:tc>
        <w:tc>
          <w:tcPr>
            <w:tcW w:w="749" w:type="pct"/>
            <w:tcBorders>
              <w:top w:val="nil"/>
              <w:left w:val="nil"/>
              <w:bottom w:val="nil"/>
              <w:right w:val="nil"/>
            </w:tcBorders>
            <w:noWrap/>
            <w:vAlign w:val="bottom"/>
            <w:hideMark/>
          </w:tcPr>
          <w:p w14:paraId="0350FBEF" w14:textId="77777777" w:rsidR="002B73B2" w:rsidRPr="00BF3C8A" w:rsidRDefault="002B73B2" w:rsidP="0047397D">
            <w:pPr>
              <w:jc w:val="center"/>
              <w:rPr>
                <w:sz w:val="22"/>
                <w:szCs w:val="22"/>
              </w:rPr>
            </w:pPr>
            <w:r w:rsidRPr="00BF3C8A">
              <w:rPr>
                <w:sz w:val="22"/>
                <w:szCs w:val="22"/>
              </w:rPr>
              <w:t>43.79</w:t>
            </w:r>
            <w:r w:rsidRPr="00617F2C">
              <w:rPr>
                <w:sz w:val="22"/>
                <w:szCs w:val="22"/>
                <w:vertAlign w:val="superscript"/>
              </w:rPr>
              <w:t>d</w:t>
            </w:r>
          </w:p>
        </w:tc>
        <w:tc>
          <w:tcPr>
            <w:tcW w:w="749" w:type="pct"/>
            <w:tcBorders>
              <w:top w:val="nil"/>
              <w:left w:val="nil"/>
              <w:bottom w:val="nil"/>
              <w:right w:val="nil"/>
            </w:tcBorders>
            <w:noWrap/>
            <w:vAlign w:val="bottom"/>
            <w:hideMark/>
          </w:tcPr>
          <w:p w14:paraId="54DDA284" w14:textId="77777777" w:rsidR="002B73B2" w:rsidRPr="00BF3C8A" w:rsidRDefault="002B73B2" w:rsidP="0047397D">
            <w:pPr>
              <w:jc w:val="center"/>
              <w:rPr>
                <w:sz w:val="22"/>
                <w:szCs w:val="22"/>
              </w:rPr>
            </w:pPr>
            <w:r w:rsidRPr="00BF3C8A">
              <w:rPr>
                <w:sz w:val="22"/>
                <w:szCs w:val="22"/>
              </w:rPr>
              <w:t>10.32</w:t>
            </w:r>
            <w:r w:rsidRPr="00617F2C">
              <w:rPr>
                <w:sz w:val="22"/>
                <w:szCs w:val="22"/>
                <w:vertAlign w:val="superscript"/>
              </w:rPr>
              <w:t>c</w:t>
            </w:r>
          </w:p>
        </w:tc>
      </w:tr>
      <w:tr w:rsidR="002B73B2" w:rsidRPr="00BF3C8A" w14:paraId="5E2BE36D" w14:textId="77777777" w:rsidTr="00823F59">
        <w:trPr>
          <w:trHeight w:val="290"/>
        </w:trPr>
        <w:tc>
          <w:tcPr>
            <w:tcW w:w="1553" w:type="pct"/>
            <w:tcBorders>
              <w:top w:val="single" w:sz="4" w:space="0" w:color="auto"/>
              <w:left w:val="nil"/>
              <w:bottom w:val="nil"/>
              <w:right w:val="nil"/>
            </w:tcBorders>
            <w:noWrap/>
            <w:vAlign w:val="bottom"/>
            <w:hideMark/>
          </w:tcPr>
          <w:p w14:paraId="6F1C9CD3" w14:textId="77777777" w:rsidR="002B73B2" w:rsidRPr="00BF3C8A" w:rsidRDefault="002B73B2" w:rsidP="0047397D">
            <w:pPr>
              <w:rPr>
                <w:b/>
                <w:bCs/>
                <w:sz w:val="22"/>
                <w:szCs w:val="22"/>
              </w:rPr>
            </w:pPr>
            <w:r w:rsidRPr="00BF3C8A">
              <w:rPr>
                <w:b/>
                <w:bCs/>
                <w:sz w:val="22"/>
                <w:szCs w:val="22"/>
              </w:rPr>
              <w:t>CV (%)</w:t>
            </w:r>
          </w:p>
        </w:tc>
        <w:tc>
          <w:tcPr>
            <w:tcW w:w="1201" w:type="pct"/>
            <w:tcBorders>
              <w:top w:val="single" w:sz="4" w:space="0" w:color="auto"/>
              <w:left w:val="nil"/>
              <w:bottom w:val="nil"/>
              <w:right w:val="nil"/>
            </w:tcBorders>
            <w:noWrap/>
            <w:vAlign w:val="bottom"/>
            <w:hideMark/>
          </w:tcPr>
          <w:p w14:paraId="37B92EFB" w14:textId="77777777" w:rsidR="002B73B2" w:rsidRPr="00BF3C8A" w:rsidRDefault="002B73B2" w:rsidP="0047397D">
            <w:pPr>
              <w:jc w:val="center"/>
              <w:rPr>
                <w:sz w:val="22"/>
                <w:szCs w:val="22"/>
              </w:rPr>
            </w:pPr>
            <w:r w:rsidRPr="00BF3C8A">
              <w:rPr>
                <w:sz w:val="22"/>
                <w:szCs w:val="22"/>
              </w:rPr>
              <w:t>5.5</w:t>
            </w:r>
          </w:p>
        </w:tc>
        <w:tc>
          <w:tcPr>
            <w:tcW w:w="749" w:type="pct"/>
            <w:tcBorders>
              <w:top w:val="single" w:sz="4" w:space="0" w:color="auto"/>
              <w:left w:val="nil"/>
              <w:bottom w:val="nil"/>
              <w:right w:val="nil"/>
            </w:tcBorders>
            <w:noWrap/>
            <w:vAlign w:val="bottom"/>
            <w:hideMark/>
          </w:tcPr>
          <w:p w14:paraId="564C356A" w14:textId="77777777" w:rsidR="002B73B2" w:rsidRPr="00BF3C8A" w:rsidRDefault="002B73B2" w:rsidP="0047397D">
            <w:pPr>
              <w:jc w:val="center"/>
              <w:rPr>
                <w:sz w:val="22"/>
                <w:szCs w:val="22"/>
              </w:rPr>
            </w:pPr>
            <w:r w:rsidRPr="00BF3C8A">
              <w:rPr>
                <w:sz w:val="22"/>
                <w:szCs w:val="22"/>
              </w:rPr>
              <w:t>6</w:t>
            </w:r>
          </w:p>
        </w:tc>
        <w:tc>
          <w:tcPr>
            <w:tcW w:w="749" w:type="pct"/>
            <w:tcBorders>
              <w:top w:val="single" w:sz="4" w:space="0" w:color="auto"/>
              <w:left w:val="nil"/>
              <w:bottom w:val="nil"/>
              <w:right w:val="nil"/>
            </w:tcBorders>
            <w:noWrap/>
            <w:vAlign w:val="bottom"/>
            <w:hideMark/>
          </w:tcPr>
          <w:p w14:paraId="44AA025E" w14:textId="77777777" w:rsidR="002B73B2" w:rsidRPr="00BF3C8A" w:rsidRDefault="002B73B2" w:rsidP="0047397D">
            <w:pPr>
              <w:jc w:val="center"/>
              <w:rPr>
                <w:sz w:val="22"/>
                <w:szCs w:val="22"/>
              </w:rPr>
            </w:pPr>
            <w:r w:rsidRPr="00BF3C8A">
              <w:rPr>
                <w:sz w:val="22"/>
                <w:szCs w:val="22"/>
              </w:rPr>
              <w:t>6.7</w:t>
            </w:r>
          </w:p>
        </w:tc>
        <w:tc>
          <w:tcPr>
            <w:tcW w:w="749" w:type="pct"/>
            <w:tcBorders>
              <w:top w:val="single" w:sz="4" w:space="0" w:color="auto"/>
              <w:left w:val="nil"/>
              <w:bottom w:val="nil"/>
              <w:right w:val="nil"/>
            </w:tcBorders>
            <w:noWrap/>
            <w:vAlign w:val="bottom"/>
            <w:hideMark/>
          </w:tcPr>
          <w:p w14:paraId="4929A857" w14:textId="77777777" w:rsidR="002B73B2" w:rsidRPr="00BF3C8A" w:rsidRDefault="002B73B2" w:rsidP="0047397D">
            <w:pPr>
              <w:jc w:val="center"/>
              <w:rPr>
                <w:sz w:val="22"/>
                <w:szCs w:val="22"/>
              </w:rPr>
            </w:pPr>
            <w:r w:rsidRPr="00BF3C8A">
              <w:rPr>
                <w:sz w:val="22"/>
                <w:szCs w:val="22"/>
              </w:rPr>
              <w:t>5.1</w:t>
            </w:r>
          </w:p>
        </w:tc>
      </w:tr>
      <w:tr w:rsidR="002B73B2" w:rsidRPr="00BF3C8A" w14:paraId="343DD6BF" w14:textId="77777777" w:rsidTr="00823F59">
        <w:trPr>
          <w:trHeight w:val="290"/>
        </w:trPr>
        <w:tc>
          <w:tcPr>
            <w:tcW w:w="1553" w:type="pct"/>
            <w:tcBorders>
              <w:top w:val="nil"/>
              <w:left w:val="nil"/>
              <w:bottom w:val="nil"/>
              <w:right w:val="nil"/>
            </w:tcBorders>
            <w:noWrap/>
            <w:vAlign w:val="bottom"/>
            <w:hideMark/>
          </w:tcPr>
          <w:p w14:paraId="54C0B3EC" w14:textId="77777777" w:rsidR="002B73B2" w:rsidRPr="00BF3C8A" w:rsidRDefault="002B73B2" w:rsidP="0047397D">
            <w:pPr>
              <w:rPr>
                <w:b/>
                <w:bCs/>
                <w:sz w:val="22"/>
                <w:szCs w:val="22"/>
              </w:rPr>
            </w:pPr>
            <w:r w:rsidRPr="00BF3C8A">
              <w:rPr>
                <w:b/>
                <w:bCs/>
                <w:sz w:val="22"/>
                <w:szCs w:val="22"/>
              </w:rPr>
              <w:t>Probability (p-value)</w:t>
            </w:r>
          </w:p>
        </w:tc>
        <w:tc>
          <w:tcPr>
            <w:tcW w:w="1201" w:type="pct"/>
            <w:tcBorders>
              <w:top w:val="nil"/>
              <w:left w:val="nil"/>
              <w:bottom w:val="nil"/>
              <w:right w:val="nil"/>
            </w:tcBorders>
            <w:noWrap/>
            <w:vAlign w:val="bottom"/>
            <w:hideMark/>
          </w:tcPr>
          <w:p w14:paraId="7FC35114" w14:textId="77777777" w:rsidR="002B73B2" w:rsidRPr="00BF3C8A" w:rsidRDefault="002B73B2" w:rsidP="0047397D">
            <w:pPr>
              <w:jc w:val="center"/>
              <w:rPr>
                <w:sz w:val="22"/>
                <w:szCs w:val="22"/>
              </w:rPr>
            </w:pPr>
            <w:r w:rsidRPr="00BF3C8A">
              <w:rPr>
                <w:sz w:val="22"/>
                <w:szCs w:val="22"/>
              </w:rPr>
              <w:t>&lt;0.001</w:t>
            </w:r>
          </w:p>
        </w:tc>
        <w:tc>
          <w:tcPr>
            <w:tcW w:w="749" w:type="pct"/>
            <w:tcBorders>
              <w:top w:val="nil"/>
              <w:left w:val="nil"/>
              <w:bottom w:val="nil"/>
              <w:right w:val="nil"/>
            </w:tcBorders>
            <w:noWrap/>
            <w:vAlign w:val="bottom"/>
            <w:hideMark/>
          </w:tcPr>
          <w:p w14:paraId="030A5F22" w14:textId="77777777" w:rsidR="002B73B2" w:rsidRPr="00BF3C8A" w:rsidRDefault="002B73B2" w:rsidP="0047397D">
            <w:pPr>
              <w:jc w:val="center"/>
              <w:rPr>
                <w:sz w:val="22"/>
                <w:szCs w:val="22"/>
              </w:rPr>
            </w:pPr>
            <w:r w:rsidRPr="00BF3C8A">
              <w:rPr>
                <w:sz w:val="22"/>
                <w:szCs w:val="22"/>
              </w:rPr>
              <w:t>&lt;0.001</w:t>
            </w:r>
          </w:p>
        </w:tc>
        <w:tc>
          <w:tcPr>
            <w:tcW w:w="749" w:type="pct"/>
            <w:tcBorders>
              <w:top w:val="nil"/>
              <w:left w:val="nil"/>
              <w:bottom w:val="nil"/>
              <w:right w:val="nil"/>
            </w:tcBorders>
            <w:noWrap/>
            <w:vAlign w:val="bottom"/>
            <w:hideMark/>
          </w:tcPr>
          <w:p w14:paraId="3FF0605C" w14:textId="77777777" w:rsidR="002B73B2" w:rsidRPr="00BF3C8A" w:rsidRDefault="002B73B2" w:rsidP="0047397D">
            <w:pPr>
              <w:jc w:val="center"/>
              <w:rPr>
                <w:sz w:val="22"/>
                <w:szCs w:val="22"/>
              </w:rPr>
            </w:pPr>
            <w:r w:rsidRPr="00BF3C8A">
              <w:rPr>
                <w:sz w:val="22"/>
                <w:szCs w:val="22"/>
              </w:rPr>
              <w:t>&lt;0.001</w:t>
            </w:r>
          </w:p>
        </w:tc>
        <w:tc>
          <w:tcPr>
            <w:tcW w:w="749" w:type="pct"/>
            <w:tcBorders>
              <w:top w:val="nil"/>
              <w:left w:val="nil"/>
              <w:bottom w:val="nil"/>
              <w:right w:val="nil"/>
            </w:tcBorders>
            <w:noWrap/>
            <w:vAlign w:val="bottom"/>
            <w:hideMark/>
          </w:tcPr>
          <w:p w14:paraId="03AD8E6E" w14:textId="77777777" w:rsidR="002B73B2" w:rsidRPr="00BF3C8A" w:rsidRDefault="002B73B2" w:rsidP="0047397D">
            <w:pPr>
              <w:jc w:val="center"/>
              <w:rPr>
                <w:sz w:val="22"/>
                <w:szCs w:val="22"/>
              </w:rPr>
            </w:pPr>
            <w:r w:rsidRPr="00BF3C8A">
              <w:rPr>
                <w:sz w:val="22"/>
                <w:szCs w:val="22"/>
              </w:rPr>
              <w:t>&lt;0.001</w:t>
            </w:r>
          </w:p>
        </w:tc>
      </w:tr>
      <w:tr w:rsidR="002B73B2" w:rsidRPr="00BF3C8A" w14:paraId="47761DC1" w14:textId="77777777" w:rsidTr="00823F59">
        <w:trPr>
          <w:trHeight w:val="290"/>
        </w:trPr>
        <w:tc>
          <w:tcPr>
            <w:tcW w:w="1553" w:type="pct"/>
            <w:tcBorders>
              <w:top w:val="nil"/>
              <w:left w:val="nil"/>
              <w:bottom w:val="single" w:sz="4" w:space="0" w:color="auto"/>
              <w:right w:val="nil"/>
            </w:tcBorders>
            <w:noWrap/>
            <w:vAlign w:val="bottom"/>
            <w:hideMark/>
          </w:tcPr>
          <w:p w14:paraId="43642D7C" w14:textId="77777777" w:rsidR="002B73B2" w:rsidRPr="00BF3C8A" w:rsidRDefault="002B73B2" w:rsidP="0047397D">
            <w:pPr>
              <w:rPr>
                <w:b/>
                <w:bCs/>
                <w:sz w:val="22"/>
                <w:szCs w:val="22"/>
              </w:rPr>
            </w:pPr>
            <w:r w:rsidRPr="00BF3C8A">
              <w:rPr>
                <w:b/>
                <w:bCs/>
                <w:sz w:val="22"/>
                <w:szCs w:val="22"/>
              </w:rPr>
              <w:t>Significance</w:t>
            </w:r>
          </w:p>
        </w:tc>
        <w:tc>
          <w:tcPr>
            <w:tcW w:w="1201" w:type="pct"/>
            <w:tcBorders>
              <w:top w:val="nil"/>
              <w:left w:val="nil"/>
              <w:bottom w:val="single" w:sz="4" w:space="0" w:color="auto"/>
              <w:right w:val="nil"/>
            </w:tcBorders>
            <w:noWrap/>
            <w:vAlign w:val="bottom"/>
            <w:hideMark/>
          </w:tcPr>
          <w:p w14:paraId="7531CE8D" w14:textId="77777777" w:rsidR="002B73B2" w:rsidRPr="00BF3C8A" w:rsidRDefault="002B73B2" w:rsidP="0047397D">
            <w:pPr>
              <w:jc w:val="center"/>
              <w:rPr>
                <w:sz w:val="22"/>
                <w:szCs w:val="22"/>
              </w:rPr>
            </w:pPr>
            <w:r>
              <w:rPr>
                <w:sz w:val="22"/>
                <w:szCs w:val="22"/>
              </w:rPr>
              <w:t>***</w:t>
            </w:r>
          </w:p>
        </w:tc>
        <w:tc>
          <w:tcPr>
            <w:tcW w:w="749" w:type="pct"/>
            <w:tcBorders>
              <w:top w:val="nil"/>
              <w:left w:val="nil"/>
              <w:bottom w:val="single" w:sz="4" w:space="0" w:color="auto"/>
              <w:right w:val="nil"/>
            </w:tcBorders>
            <w:noWrap/>
            <w:vAlign w:val="bottom"/>
            <w:hideMark/>
          </w:tcPr>
          <w:p w14:paraId="12CDF5A1" w14:textId="77777777" w:rsidR="002B73B2" w:rsidRPr="00BF3C8A" w:rsidRDefault="002B73B2" w:rsidP="0047397D">
            <w:pPr>
              <w:jc w:val="center"/>
              <w:rPr>
                <w:sz w:val="22"/>
                <w:szCs w:val="22"/>
              </w:rPr>
            </w:pPr>
            <w:r>
              <w:rPr>
                <w:sz w:val="22"/>
                <w:szCs w:val="22"/>
              </w:rPr>
              <w:t>***</w:t>
            </w:r>
          </w:p>
        </w:tc>
        <w:tc>
          <w:tcPr>
            <w:tcW w:w="749" w:type="pct"/>
            <w:tcBorders>
              <w:top w:val="nil"/>
              <w:left w:val="nil"/>
              <w:bottom w:val="single" w:sz="4" w:space="0" w:color="auto"/>
              <w:right w:val="nil"/>
            </w:tcBorders>
            <w:noWrap/>
            <w:vAlign w:val="bottom"/>
            <w:hideMark/>
          </w:tcPr>
          <w:p w14:paraId="0254E574" w14:textId="77777777" w:rsidR="002B73B2" w:rsidRPr="00BF3C8A" w:rsidRDefault="002B73B2" w:rsidP="0047397D">
            <w:pPr>
              <w:jc w:val="center"/>
              <w:rPr>
                <w:sz w:val="22"/>
                <w:szCs w:val="22"/>
              </w:rPr>
            </w:pPr>
            <w:r>
              <w:rPr>
                <w:sz w:val="22"/>
                <w:szCs w:val="22"/>
              </w:rPr>
              <w:t>***</w:t>
            </w:r>
          </w:p>
        </w:tc>
        <w:tc>
          <w:tcPr>
            <w:tcW w:w="749" w:type="pct"/>
            <w:tcBorders>
              <w:top w:val="nil"/>
              <w:left w:val="nil"/>
              <w:bottom w:val="single" w:sz="4" w:space="0" w:color="auto"/>
              <w:right w:val="nil"/>
            </w:tcBorders>
            <w:noWrap/>
            <w:vAlign w:val="bottom"/>
            <w:hideMark/>
          </w:tcPr>
          <w:p w14:paraId="0DF33CF4" w14:textId="77777777" w:rsidR="002B73B2" w:rsidRPr="00BF3C8A" w:rsidRDefault="002B73B2" w:rsidP="0047397D">
            <w:pPr>
              <w:jc w:val="center"/>
              <w:rPr>
                <w:sz w:val="22"/>
                <w:szCs w:val="22"/>
              </w:rPr>
            </w:pPr>
            <w:r w:rsidRPr="00BF3C8A">
              <w:rPr>
                <w:sz w:val="22"/>
                <w:szCs w:val="22"/>
              </w:rPr>
              <w:t>HS</w:t>
            </w:r>
          </w:p>
        </w:tc>
      </w:tr>
    </w:tbl>
    <w:p w14:paraId="1960600A" w14:textId="4B82F5B0" w:rsidR="002B73B2" w:rsidRPr="0014591B" w:rsidRDefault="002B73B2" w:rsidP="0046513E">
      <w:pPr>
        <w:jc w:val="both"/>
        <w:rPr>
          <w:i/>
          <w:sz w:val="18"/>
          <w:szCs w:val="18"/>
        </w:rPr>
      </w:pPr>
      <w:r w:rsidRPr="0014591B">
        <w:rPr>
          <w:i/>
          <w:sz w:val="18"/>
          <w:szCs w:val="18"/>
        </w:rPr>
        <w:t xml:space="preserve">The assigned values of the same letters in the same column are not significantly different at the 5% probability threshold.: SG-NPK: NPK Super Granule; FP: Farmer's Practice; USG: Super Granulated Urea; PU: </w:t>
      </w:r>
      <w:proofErr w:type="spellStart"/>
      <w:r w:rsidR="008A0D38">
        <w:rPr>
          <w:i/>
          <w:sz w:val="18"/>
          <w:szCs w:val="18"/>
        </w:rPr>
        <w:t>Prilled</w:t>
      </w:r>
      <w:proofErr w:type="spellEnd"/>
      <w:r w:rsidRPr="0014591B">
        <w:rPr>
          <w:i/>
          <w:sz w:val="18"/>
          <w:szCs w:val="18"/>
        </w:rPr>
        <w:t xml:space="preserve"> Urea; HS: Highly significant; CV: coefficient of variation.</w:t>
      </w:r>
    </w:p>
    <w:p w14:paraId="21511AD4" w14:textId="50667797" w:rsidR="002B73B2" w:rsidRPr="00252D1B" w:rsidRDefault="00F4717A" w:rsidP="00252D1B">
      <w:pPr>
        <w:spacing w:before="100" w:beforeAutospacing="1" w:after="100" w:afterAutospacing="1" w:line="360" w:lineRule="auto"/>
        <w:jc w:val="both"/>
        <w:rPr>
          <w:rFonts w:ascii="Arial" w:hAnsi="Arial" w:cs="Arial"/>
          <w:sz w:val="22"/>
          <w:szCs w:val="22"/>
        </w:rPr>
      </w:pPr>
      <w:r w:rsidRPr="00B82D01">
        <w:rPr>
          <w:rFonts w:ascii="Arial" w:hAnsi="Arial" w:cs="Arial"/>
          <w:sz w:val="22"/>
          <w:szCs w:val="22"/>
        </w:rPr>
        <w:t>The analysis of this table revealed that the total uptake (by rice grains and straw) was affected by the different treatments.</w:t>
      </w:r>
      <w:r w:rsidR="002B73B2" w:rsidRPr="00B82D01">
        <w:rPr>
          <w:rFonts w:ascii="Arial" w:hAnsi="Arial" w:cs="Arial"/>
          <w:sz w:val="22"/>
          <w:szCs w:val="22"/>
        </w:rPr>
        <w:t xml:space="preserve"> </w:t>
      </w:r>
      <w:r w:rsidRPr="00B82D01">
        <w:rPr>
          <w:rFonts w:ascii="Arial" w:hAnsi="Arial" w:cs="Arial"/>
          <w:sz w:val="22"/>
          <w:szCs w:val="22"/>
        </w:rPr>
        <w:t xml:space="preserve">The highest nitrogen uptake was recorded under </w:t>
      </w:r>
      <w:r w:rsidRPr="00252D1B">
        <w:rPr>
          <w:rFonts w:ascii="Arial" w:hAnsi="Arial" w:cs="Arial"/>
          <w:sz w:val="22"/>
          <w:szCs w:val="22"/>
        </w:rPr>
        <w:t>the farm</w:t>
      </w:r>
      <w:r w:rsidRPr="00B82D01">
        <w:rPr>
          <w:rFonts w:ascii="Arial" w:hAnsi="Arial" w:cs="Arial"/>
          <w:sz w:val="22"/>
          <w:szCs w:val="22"/>
        </w:rPr>
        <w:t>er's practice (84.38 kg</w:t>
      </w:r>
      <w:r w:rsidRPr="00B82D01">
        <w:rPr>
          <w:rFonts w:ascii="Cambria Math" w:hAnsi="Cambria Math" w:cs="Cambria Math"/>
          <w:sz w:val="22"/>
          <w:szCs w:val="22"/>
        </w:rPr>
        <w:t xml:space="preserve"> </w:t>
      </w:r>
      <w:r w:rsidRPr="00617F2C">
        <w:rPr>
          <w:rFonts w:ascii="Arial" w:hAnsi="Arial" w:cs="Arial"/>
          <w:sz w:val="22"/>
          <w:szCs w:val="22"/>
        </w:rPr>
        <w:t>ha</w:t>
      </w:r>
      <w:r w:rsidRPr="00617F2C">
        <w:rPr>
          <w:rFonts w:ascii="Arial" w:hAnsi="Arial" w:cs="Arial"/>
          <w:sz w:val="22"/>
          <w:szCs w:val="22"/>
          <w:vertAlign w:val="superscript"/>
        </w:rPr>
        <w:t>-1</w:t>
      </w:r>
      <w:r w:rsidRPr="00B82D01">
        <w:rPr>
          <w:rFonts w:ascii="Arial" w:hAnsi="Arial" w:cs="Arial"/>
          <w:sz w:val="22"/>
          <w:szCs w:val="22"/>
        </w:rPr>
        <w:t>), followed by the combination of 150 kg</w:t>
      </w:r>
      <w:r w:rsidRPr="00B82D01">
        <w:rPr>
          <w:rFonts w:ascii="Cambria Math" w:hAnsi="Cambria Math" w:cs="Cambria Math"/>
          <w:sz w:val="22"/>
          <w:szCs w:val="22"/>
        </w:rPr>
        <w:t xml:space="preserve"> </w:t>
      </w:r>
      <w:r w:rsidRPr="00617F2C">
        <w:rPr>
          <w:rFonts w:ascii="Arial" w:hAnsi="Arial" w:cs="Arial"/>
          <w:sz w:val="22"/>
          <w:szCs w:val="22"/>
        </w:rPr>
        <w:t>ha</w:t>
      </w:r>
      <w:r w:rsidRPr="00617F2C">
        <w:rPr>
          <w:rFonts w:ascii="Arial" w:hAnsi="Arial" w:cs="Arial"/>
          <w:sz w:val="22"/>
          <w:szCs w:val="22"/>
          <w:vertAlign w:val="superscript"/>
        </w:rPr>
        <w:t>-1</w:t>
      </w:r>
      <w:r w:rsidRPr="00B82D01">
        <w:rPr>
          <w:rFonts w:ascii="Arial" w:hAnsi="Arial" w:cs="Arial"/>
          <w:sz w:val="22"/>
          <w:szCs w:val="22"/>
        </w:rPr>
        <w:t xml:space="preserve"> NPK + USG (80.77 kg</w:t>
      </w:r>
      <w:r w:rsidRPr="00B82D01">
        <w:rPr>
          <w:rFonts w:ascii="Cambria Math" w:hAnsi="Cambria Math" w:cs="Cambria Math"/>
          <w:sz w:val="22"/>
          <w:szCs w:val="22"/>
        </w:rPr>
        <w:t xml:space="preserve"> </w:t>
      </w:r>
      <w:r w:rsidRPr="00617F2C">
        <w:rPr>
          <w:rFonts w:ascii="Arial" w:hAnsi="Arial" w:cs="Arial"/>
          <w:sz w:val="22"/>
          <w:szCs w:val="22"/>
        </w:rPr>
        <w:t>ha</w:t>
      </w:r>
      <w:r w:rsidRPr="00617F2C">
        <w:rPr>
          <w:rFonts w:ascii="Arial" w:hAnsi="Arial" w:cs="Arial"/>
          <w:sz w:val="22"/>
          <w:szCs w:val="22"/>
          <w:vertAlign w:val="superscript"/>
        </w:rPr>
        <w:t>-1</w:t>
      </w:r>
      <w:r w:rsidRPr="00B82D01">
        <w:rPr>
          <w:rFonts w:ascii="Arial" w:hAnsi="Arial" w:cs="Arial"/>
          <w:sz w:val="22"/>
          <w:szCs w:val="22"/>
        </w:rPr>
        <w:t>).</w:t>
      </w:r>
      <w:r w:rsidR="002B73B2" w:rsidRPr="00B82D01">
        <w:rPr>
          <w:rFonts w:ascii="Arial" w:hAnsi="Arial" w:cs="Arial"/>
          <w:sz w:val="22"/>
          <w:szCs w:val="22"/>
        </w:rPr>
        <w:t xml:space="preserve"> </w:t>
      </w:r>
      <w:r w:rsidRPr="00B82D01">
        <w:rPr>
          <w:rFonts w:ascii="Arial" w:hAnsi="Arial" w:cs="Arial"/>
          <w:sz w:val="22"/>
          <w:szCs w:val="22"/>
        </w:rPr>
        <w:t>The analysis of variance also showed a highly significant difference between the treatments.</w:t>
      </w:r>
      <w:r w:rsidR="002B73B2" w:rsidRPr="00252D1B">
        <w:rPr>
          <w:rFonts w:ascii="Arial" w:hAnsi="Arial" w:cs="Arial"/>
          <w:sz w:val="22"/>
          <w:szCs w:val="22"/>
        </w:rPr>
        <w:t xml:space="preserve"> </w:t>
      </w:r>
      <w:r w:rsidRPr="00B82D01">
        <w:rPr>
          <w:rFonts w:ascii="Arial" w:hAnsi="Arial" w:cs="Arial"/>
          <w:sz w:val="22"/>
          <w:szCs w:val="22"/>
        </w:rPr>
        <w:t>The highest total phosphorus uptake was recorded with the combination of 2 SG-NPK + PU combination.</w:t>
      </w:r>
      <w:r w:rsidR="002B73B2" w:rsidRPr="00B82D01">
        <w:rPr>
          <w:rFonts w:ascii="Arial" w:hAnsi="Arial" w:cs="Arial"/>
          <w:sz w:val="22"/>
          <w:szCs w:val="22"/>
        </w:rPr>
        <w:t xml:space="preserve"> This treatment increased phosphorus uptake by 20.23% compared with </w:t>
      </w:r>
      <w:r w:rsidR="009033BB">
        <w:rPr>
          <w:rFonts w:ascii="Arial" w:hAnsi="Arial" w:cs="Arial"/>
          <w:sz w:val="22"/>
          <w:szCs w:val="22"/>
        </w:rPr>
        <w:t>F</w:t>
      </w:r>
      <w:r w:rsidR="002B73B2" w:rsidRPr="00B82D01">
        <w:rPr>
          <w:rFonts w:ascii="Arial" w:hAnsi="Arial" w:cs="Arial"/>
          <w:sz w:val="22"/>
          <w:szCs w:val="22"/>
        </w:rPr>
        <w:t xml:space="preserve">P and by 6% compared with 150 kg NPK + USG. </w:t>
      </w:r>
      <w:r w:rsidRPr="00B82D01">
        <w:rPr>
          <w:rFonts w:ascii="Arial" w:hAnsi="Arial" w:cs="Arial"/>
          <w:sz w:val="22"/>
          <w:szCs w:val="22"/>
        </w:rPr>
        <w:t>Analysis of variance also revealed significant differences between the treatments.</w:t>
      </w:r>
      <w:r w:rsidR="002B73B2" w:rsidRPr="00B82D01">
        <w:rPr>
          <w:rFonts w:ascii="Arial" w:hAnsi="Arial" w:cs="Arial"/>
          <w:sz w:val="22"/>
          <w:szCs w:val="22"/>
        </w:rPr>
        <w:t xml:space="preserve"> </w:t>
      </w:r>
      <w:r w:rsidRPr="00B82D01">
        <w:rPr>
          <w:rFonts w:ascii="Arial" w:hAnsi="Arial" w:cs="Arial"/>
          <w:sz w:val="22"/>
          <w:szCs w:val="22"/>
        </w:rPr>
        <w:t>However, the Student Newman-</w:t>
      </w:r>
      <w:proofErr w:type="spellStart"/>
      <w:r w:rsidRPr="00B82D01">
        <w:rPr>
          <w:rFonts w:ascii="Arial" w:hAnsi="Arial" w:cs="Arial"/>
          <w:sz w:val="22"/>
          <w:szCs w:val="22"/>
        </w:rPr>
        <w:t>Keuls</w:t>
      </w:r>
      <w:proofErr w:type="spellEnd"/>
      <w:r w:rsidRPr="00B82D01">
        <w:rPr>
          <w:rFonts w:ascii="Arial" w:hAnsi="Arial" w:cs="Arial"/>
          <w:sz w:val="22"/>
          <w:szCs w:val="22"/>
        </w:rPr>
        <w:t xml:space="preserve"> test revealed that the treatments 2 SG-NPK + PU and 150</w:t>
      </w:r>
      <w:r>
        <w:rPr>
          <w:rFonts w:ascii="Arial" w:hAnsi="Arial" w:cs="Arial"/>
          <w:sz w:val="22"/>
          <w:szCs w:val="22"/>
        </w:rPr>
        <w:t xml:space="preserve"> </w:t>
      </w:r>
      <w:r w:rsidRPr="00B82D01">
        <w:rPr>
          <w:rFonts w:ascii="Arial" w:hAnsi="Arial" w:cs="Arial"/>
          <w:sz w:val="22"/>
          <w:szCs w:val="22"/>
        </w:rPr>
        <w:t>kg ha</w:t>
      </w:r>
      <w:r w:rsidRPr="00B82D01">
        <w:rPr>
          <w:rFonts w:ascii="Arial" w:hAnsi="Arial" w:cs="Arial"/>
          <w:sz w:val="22"/>
          <w:szCs w:val="22"/>
          <w:vertAlign w:val="superscript"/>
        </w:rPr>
        <w:t>-1</w:t>
      </w:r>
      <w:r w:rsidRPr="00B82D01">
        <w:rPr>
          <w:rFonts w:ascii="Arial" w:hAnsi="Arial" w:cs="Arial"/>
          <w:sz w:val="22"/>
          <w:szCs w:val="22"/>
        </w:rPr>
        <w:t xml:space="preserve"> NPK + USG were identical in terms of phosphorus uptake.</w:t>
      </w:r>
      <w:r w:rsidR="002B73B2" w:rsidRPr="00B82D01">
        <w:rPr>
          <w:rFonts w:ascii="Arial" w:hAnsi="Arial" w:cs="Arial"/>
          <w:sz w:val="22"/>
          <w:szCs w:val="22"/>
        </w:rPr>
        <w:t xml:space="preserve"> </w:t>
      </w:r>
      <w:r w:rsidR="002B73B2" w:rsidRPr="00252D1B">
        <w:rPr>
          <w:rFonts w:ascii="Arial" w:hAnsi="Arial" w:cs="Arial"/>
          <w:sz w:val="22"/>
          <w:szCs w:val="22"/>
        </w:rPr>
        <w:t xml:space="preserve"> </w:t>
      </w:r>
    </w:p>
    <w:p w14:paraId="3F7EFD86" w14:textId="77777777" w:rsidR="002B73B2" w:rsidRPr="0014591B" w:rsidRDefault="002B73B2" w:rsidP="0014591B">
      <w:pPr>
        <w:pStyle w:val="Heading4"/>
        <w:numPr>
          <w:ilvl w:val="2"/>
          <w:numId w:val="36"/>
        </w:numPr>
        <w:rPr>
          <w:rFonts w:ascii="Arial" w:hAnsi="Arial" w:cs="Arial"/>
          <w:b/>
          <w:bCs/>
          <w:color w:val="auto"/>
          <w:sz w:val="22"/>
        </w:rPr>
      </w:pPr>
      <w:bookmarkStart w:id="22" w:name="_Toc132793751"/>
      <w:r w:rsidRPr="0014591B">
        <w:rPr>
          <w:rFonts w:ascii="Arial" w:hAnsi="Arial" w:cs="Arial"/>
          <w:b/>
          <w:bCs/>
          <w:color w:val="auto"/>
          <w:sz w:val="22"/>
        </w:rPr>
        <w:lastRenderedPageBreak/>
        <w:t>Effect of different types of mineral fertilization on nitrogen and phosphorus use efficiency</w:t>
      </w:r>
      <w:bookmarkEnd w:id="22"/>
    </w:p>
    <w:p w14:paraId="05D0D49A" w14:textId="68D51C52" w:rsidR="002B73B2" w:rsidRPr="00BA5459" w:rsidRDefault="002B73B2" w:rsidP="008A0D38">
      <w:pPr>
        <w:spacing w:line="360" w:lineRule="auto"/>
        <w:jc w:val="both"/>
        <w:rPr>
          <w:rFonts w:ascii="Arial" w:hAnsi="Arial" w:cs="Arial"/>
          <w:sz w:val="22"/>
          <w:szCs w:val="22"/>
        </w:rPr>
      </w:pPr>
      <w:r w:rsidRPr="00B82D01">
        <w:rPr>
          <w:rFonts w:ascii="Arial" w:hAnsi="Arial" w:cs="Arial"/>
          <w:sz w:val="22"/>
          <w:szCs w:val="22"/>
        </w:rPr>
        <w:t xml:space="preserve">An analysis of Table </w:t>
      </w:r>
      <w:r w:rsidR="00771F85">
        <w:rPr>
          <w:rFonts w:ascii="Arial" w:hAnsi="Arial" w:cs="Arial"/>
          <w:sz w:val="22"/>
          <w:szCs w:val="22"/>
        </w:rPr>
        <w:t>5</w:t>
      </w:r>
      <w:r w:rsidRPr="00B82D01">
        <w:rPr>
          <w:rFonts w:ascii="Arial" w:hAnsi="Arial" w:cs="Arial"/>
          <w:sz w:val="22"/>
          <w:szCs w:val="22"/>
        </w:rPr>
        <w:t xml:space="preserve"> reveals that the highest internal nitrogen </w:t>
      </w:r>
      <w:proofErr w:type="gramStart"/>
      <w:r w:rsidRPr="00B82D01">
        <w:rPr>
          <w:rFonts w:ascii="Arial" w:hAnsi="Arial" w:cs="Arial"/>
          <w:sz w:val="22"/>
          <w:szCs w:val="22"/>
        </w:rPr>
        <w:t>use</w:t>
      </w:r>
      <w:proofErr w:type="gramEnd"/>
      <w:r w:rsidRPr="00B82D01">
        <w:rPr>
          <w:rFonts w:ascii="Arial" w:hAnsi="Arial" w:cs="Arial"/>
          <w:sz w:val="22"/>
          <w:szCs w:val="22"/>
        </w:rPr>
        <w:t xml:space="preserve"> efficiency (INUE) was recorded for the control (72.18 kg grain</w:t>
      </w:r>
      <w:r w:rsidR="00127FE6">
        <w:rPr>
          <w:rFonts w:ascii="Arial" w:hAnsi="Arial" w:cs="Arial"/>
          <w:sz w:val="22"/>
          <w:szCs w:val="22"/>
        </w:rPr>
        <w:t xml:space="preserve"> </w:t>
      </w:r>
      <w:r w:rsidRPr="00B82D01">
        <w:rPr>
          <w:rFonts w:ascii="Arial" w:hAnsi="Arial" w:cs="Arial"/>
          <w:sz w:val="22"/>
          <w:szCs w:val="22"/>
        </w:rPr>
        <w:t>kg</w:t>
      </w:r>
      <w:r w:rsidRPr="00B82D01">
        <w:rPr>
          <w:rFonts w:ascii="Arial" w:hAnsi="Arial" w:cs="Arial"/>
          <w:sz w:val="22"/>
          <w:szCs w:val="22"/>
          <w:vertAlign w:val="superscript"/>
        </w:rPr>
        <w:t>-1</w:t>
      </w:r>
      <w:r w:rsidRPr="00B82D01">
        <w:rPr>
          <w:rFonts w:ascii="Arial" w:hAnsi="Arial" w:cs="Arial"/>
          <w:sz w:val="22"/>
          <w:szCs w:val="22"/>
        </w:rPr>
        <w:t>N). Optimal values were recorded for the 150 NPK + USG (55.25 kg grain</w:t>
      </w:r>
      <w:r w:rsidR="00127FE6">
        <w:rPr>
          <w:rFonts w:ascii="Arial" w:hAnsi="Arial" w:cs="Arial"/>
          <w:sz w:val="22"/>
          <w:szCs w:val="22"/>
        </w:rPr>
        <w:t xml:space="preserve"> </w:t>
      </w:r>
      <w:r w:rsidRPr="00B82D01">
        <w:rPr>
          <w:rFonts w:ascii="Arial" w:hAnsi="Arial" w:cs="Arial"/>
          <w:sz w:val="22"/>
          <w:szCs w:val="22"/>
        </w:rPr>
        <w:t>kg</w:t>
      </w:r>
      <w:r w:rsidRPr="00B82D01">
        <w:rPr>
          <w:rFonts w:ascii="Arial" w:hAnsi="Arial" w:cs="Arial"/>
          <w:sz w:val="22"/>
          <w:szCs w:val="22"/>
          <w:vertAlign w:val="superscript"/>
        </w:rPr>
        <w:t>-1</w:t>
      </w:r>
      <w:r w:rsidRPr="00B82D01">
        <w:rPr>
          <w:rFonts w:ascii="Arial" w:hAnsi="Arial" w:cs="Arial"/>
          <w:sz w:val="22"/>
          <w:szCs w:val="22"/>
        </w:rPr>
        <w:t>N absorbed) and 2 SG-NPK + PU (63.64 kg grain</w:t>
      </w:r>
      <w:r w:rsidR="00127FE6">
        <w:rPr>
          <w:rFonts w:ascii="Arial" w:hAnsi="Arial" w:cs="Arial"/>
          <w:sz w:val="22"/>
          <w:szCs w:val="22"/>
        </w:rPr>
        <w:t xml:space="preserve"> </w:t>
      </w:r>
      <w:r w:rsidRPr="00B82D01">
        <w:rPr>
          <w:rFonts w:ascii="Arial" w:hAnsi="Arial" w:cs="Arial"/>
          <w:sz w:val="22"/>
          <w:szCs w:val="22"/>
        </w:rPr>
        <w:t>kg</w:t>
      </w:r>
      <w:r w:rsidRPr="00B82D01">
        <w:rPr>
          <w:rFonts w:ascii="Arial" w:hAnsi="Arial" w:cs="Arial"/>
          <w:sz w:val="22"/>
          <w:szCs w:val="22"/>
          <w:vertAlign w:val="superscript"/>
        </w:rPr>
        <w:t>-1</w:t>
      </w:r>
      <w:r w:rsidRPr="00B82D01">
        <w:rPr>
          <w:rFonts w:ascii="Arial" w:hAnsi="Arial" w:cs="Arial"/>
          <w:sz w:val="22"/>
          <w:szCs w:val="22"/>
        </w:rPr>
        <w:t xml:space="preserve">N absorbed) treatments. </w:t>
      </w:r>
      <w:r w:rsidR="00F4717A" w:rsidRPr="00B82D01">
        <w:rPr>
          <w:rFonts w:ascii="Arial" w:hAnsi="Arial" w:cs="Arial"/>
          <w:sz w:val="22"/>
          <w:szCs w:val="22"/>
        </w:rPr>
        <w:t>These values show a 15.18% improvement in IUE for NPK briquettes compared with USG.</w:t>
      </w:r>
      <w:r w:rsidRPr="00B82D01">
        <w:rPr>
          <w:rFonts w:ascii="Arial" w:hAnsi="Arial" w:cs="Arial"/>
          <w:sz w:val="22"/>
          <w:szCs w:val="22"/>
        </w:rPr>
        <w:t xml:space="preserve"> </w:t>
      </w:r>
      <w:r w:rsidR="00F4717A" w:rsidRPr="00B82D01">
        <w:rPr>
          <w:rFonts w:ascii="Arial" w:hAnsi="Arial" w:cs="Arial"/>
          <w:sz w:val="22"/>
          <w:szCs w:val="22"/>
        </w:rPr>
        <w:t>ANOVA also highlighted the significant effect of the treatments on NIE (P= 0.002).</w:t>
      </w:r>
      <w:r w:rsidRPr="00B82D01">
        <w:rPr>
          <w:rFonts w:ascii="Arial" w:hAnsi="Arial" w:cs="Arial"/>
          <w:sz w:val="22"/>
          <w:szCs w:val="22"/>
        </w:rPr>
        <w:t xml:space="preserve"> </w:t>
      </w:r>
      <w:r w:rsidR="00F4717A" w:rsidRPr="00B82D01">
        <w:rPr>
          <w:rFonts w:ascii="Arial" w:hAnsi="Arial" w:cs="Arial"/>
          <w:sz w:val="22"/>
          <w:szCs w:val="22"/>
        </w:rPr>
        <w:t xml:space="preserve">Furthermore, the treatments using SG-NPK were statistically different from USG and the </w:t>
      </w:r>
      <w:r w:rsidR="00F4717A">
        <w:rPr>
          <w:rFonts w:ascii="Arial" w:hAnsi="Arial" w:cs="Arial"/>
          <w:sz w:val="22"/>
          <w:szCs w:val="22"/>
        </w:rPr>
        <w:t>farmer</w:t>
      </w:r>
      <w:r w:rsidR="00F4717A" w:rsidRPr="00B82D01">
        <w:rPr>
          <w:rFonts w:ascii="Arial" w:hAnsi="Arial" w:cs="Arial"/>
          <w:sz w:val="22"/>
          <w:szCs w:val="22"/>
        </w:rPr>
        <w:t>'s practice.</w:t>
      </w:r>
      <w:r w:rsidRPr="00B82D01">
        <w:rPr>
          <w:rFonts w:ascii="Arial" w:hAnsi="Arial" w:cs="Arial"/>
          <w:sz w:val="22"/>
          <w:szCs w:val="22"/>
        </w:rPr>
        <w:t xml:space="preserve"> </w:t>
      </w:r>
      <w:r w:rsidRPr="0014591B">
        <w:rPr>
          <w:rFonts w:ascii="Arial" w:hAnsi="Arial" w:cs="Arial"/>
          <w:sz w:val="22"/>
          <w:szCs w:val="22"/>
        </w:rPr>
        <w:t xml:space="preserve"> </w:t>
      </w:r>
      <w:r w:rsidRPr="00B82D01">
        <w:rPr>
          <w:rFonts w:ascii="Arial" w:hAnsi="Arial" w:cs="Arial"/>
          <w:sz w:val="22"/>
          <w:szCs w:val="22"/>
        </w:rPr>
        <w:t>The table also shows that internal phosphorus use efficiencies (IPUE) ranging from 257.7 to 306.2 kg grain</w:t>
      </w:r>
      <w:r w:rsidR="00127FE6">
        <w:rPr>
          <w:rFonts w:ascii="Arial" w:hAnsi="Arial" w:cs="Arial"/>
          <w:sz w:val="22"/>
          <w:szCs w:val="22"/>
        </w:rPr>
        <w:t xml:space="preserve"> </w:t>
      </w:r>
      <w:r w:rsidRPr="00B82D01">
        <w:rPr>
          <w:rFonts w:ascii="Arial" w:hAnsi="Arial" w:cs="Arial"/>
          <w:sz w:val="22"/>
          <w:szCs w:val="22"/>
        </w:rPr>
        <w:t>kg</w:t>
      </w:r>
      <w:r w:rsidRPr="00B82D01">
        <w:rPr>
          <w:rFonts w:ascii="Arial" w:hAnsi="Arial" w:cs="Arial"/>
          <w:sz w:val="22"/>
          <w:szCs w:val="22"/>
          <w:vertAlign w:val="superscript"/>
        </w:rPr>
        <w:t>-1</w:t>
      </w:r>
      <w:r w:rsidRPr="00B82D01">
        <w:rPr>
          <w:rFonts w:ascii="Arial" w:hAnsi="Arial" w:cs="Arial"/>
          <w:sz w:val="22"/>
          <w:szCs w:val="22"/>
        </w:rPr>
        <w:t xml:space="preserve">P were obtained by the treatments. </w:t>
      </w:r>
      <w:r w:rsidR="00F4717A" w:rsidRPr="00B82D01">
        <w:rPr>
          <w:rFonts w:ascii="Arial" w:hAnsi="Arial" w:cs="Arial"/>
          <w:sz w:val="22"/>
          <w:szCs w:val="22"/>
        </w:rPr>
        <w:t>However, ANOVA did not reveal a significant effect of the type of mineral fertilization on IPUE.</w:t>
      </w:r>
      <w:r w:rsidRPr="0014591B">
        <w:rPr>
          <w:rFonts w:ascii="Arial" w:hAnsi="Arial" w:cs="Arial"/>
          <w:sz w:val="22"/>
          <w:szCs w:val="22"/>
        </w:rPr>
        <w:t xml:space="preserve"> </w:t>
      </w:r>
      <w:r w:rsidR="00F4717A" w:rsidRPr="00B82D01">
        <w:rPr>
          <w:rFonts w:ascii="Arial" w:hAnsi="Arial" w:cs="Arial"/>
          <w:sz w:val="22"/>
          <w:szCs w:val="22"/>
        </w:rPr>
        <w:t>Regarding physiological efficiency (PE), the results showed that treatment 2 (SG-NPK + PU) was the most efficient for nutrient N (100.79 kg</w:t>
      </w:r>
      <w:r w:rsidR="00F4717A">
        <w:rPr>
          <w:rFonts w:ascii="Arial" w:hAnsi="Arial" w:cs="Arial"/>
          <w:sz w:val="22"/>
          <w:szCs w:val="22"/>
        </w:rPr>
        <w:t xml:space="preserve"> </w:t>
      </w:r>
      <w:r w:rsidR="00F4717A" w:rsidRPr="00B82D01">
        <w:rPr>
          <w:rFonts w:ascii="Arial" w:hAnsi="Arial" w:cs="Arial"/>
          <w:sz w:val="22"/>
          <w:szCs w:val="22"/>
        </w:rPr>
        <w:t>kg</w:t>
      </w:r>
      <w:r w:rsidR="00F4717A" w:rsidRPr="00B82D01">
        <w:rPr>
          <w:rFonts w:ascii="Arial" w:hAnsi="Arial" w:cs="Arial"/>
          <w:sz w:val="22"/>
          <w:szCs w:val="22"/>
          <w:vertAlign w:val="superscript"/>
        </w:rPr>
        <w:t>-1</w:t>
      </w:r>
      <w:r w:rsidR="00F4717A" w:rsidRPr="00B82D01">
        <w:rPr>
          <w:rFonts w:ascii="Arial" w:hAnsi="Arial" w:cs="Arial"/>
          <w:sz w:val="22"/>
          <w:szCs w:val="22"/>
        </w:rPr>
        <w:t>N).</w:t>
      </w:r>
      <w:r w:rsidRPr="00B82D01">
        <w:rPr>
          <w:rFonts w:ascii="Arial" w:hAnsi="Arial" w:cs="Arial"/>
          <w:sz w:val="22"/>
          <w:szCs w:val="22"/>
        </w:rPr>
        <w:t xml:space="preserve"> The increase in PE due to this treatment was 203.58% compared with </w:t>
      </w:r>
      <w:r w:rsidR="009033BB">
        <w:rPr>
          <w:rFonts w:ascii="Arial" w:hAnsi="Arial" w:cs="Arial"/>
          <w:sz w:val="22"/>
          <w:szCs w:val="22"/>
        </w:rPr>
        <w:t>F</w:t>
      </w:r>
      <w:r w:rsidRPr="00B82D01">
        <w:rPr>
          <w:rFonts w:ascii="Arial" w:hAnsi="Arial" w:cs="Arial"/>
          <w:sz w:val="22"/>
          <w:szCs w:val="22"/>
        </w:rPr>
        <w:t xml:space="preserve">P and 72.67% compared with the 150 kg NPK + USG treatment. ANOVA showed a significant effect of the different treatments on the PE of N. </w:t>
      </w:r>
      <w:r w:rsidR="00F4717A" w:rsidRPr="00B82D01">
        <w:rPr>
          <w:rFonts w:ascii="Arial" w:hAnsi="Arial" w:cs="Arial"/>
          <w:sz w:val="22"/>
          <w:szCs w:val="22"/>
        </w:rPr>
        <w:t>Furthermore, the combination 2 SG-NPK + PU differed statistically from the other treatments, which were similar.</w:t>
      </w:r>
      <w:r w:rsidRPr="00B82D01">
        <w:rPr>
          <w:rFonts w:ascii="Arial" w:hAnsi="Arial" w:cs="Arial"/>
          <w:sz w:val="22"/>
          <w:szCs w:val="22"/>
        </w:rPr>
        <w:t xml:space="preserve"> </w:t>
      </w:r>
      <w:r w:rsidR="00F4717A" w:rsidRPr="00B82D01">
        <w:rPr>
          <w:rFonts w:ascii="Arial" w:hAnsi="Arial" w:cs="Arial"/>
          <w:sz w:val="22"/>
          <w:szCs w:val="22"/>
        </w:rPr>
        <w:t>However, the effect of these fertilizers was not significant for the EP of P.</w:t>
      </w:r>
    </w:p>
    <w:p w14:paraId="3778C008" w14:textId="77777777" w:rsidR="002B73B2" w:rsidRPr="00E86361" w:rsidRDefault="002B73B2" w:rsidP="0046513E">
      <w:pPr>
        <w:ind w:firstLine="709"/>
        <w:rPr>
          <w:sz w:val="22"/>
          <w:szCs w:val="22"/>
        </w:rPr>
      </w:pPr>
    </w:p>
    <w:p w14:paraId="2E6BD391" w14:textId="3C378E75" w:rsidR="002B73B2" w:rsidRPr="008A0D38" w:rsidRDefault="002B73B2" w:rsidP="0046513E">
      <w:pPr>
        <w:pStyle w:val="Caption"/>
        <w:rPr>
          <w:rFonts w:ascii="Arial" w:hAnsi="Arial" w:cs="Arial"/>
          <w:i w:val="0"/>
          <w:color w:val="auto"/>
          <w:sz w:val="22"/>
          <w:szCs w:val="22"/>
          <w:lang w:eastAsia="fr-FR"/>
        </w:rPr>
      </w:pPr>
      <w:bookmarkStart w:id="23" w:name="_Toc132790400"/>
      <w:r w:rsidRPr="008A0D38">
        <w:rPr>
          <w:rFonts w:ascii="Arial" w:hAnsi="Arial" w:cs="Arial"/>
          <w:b/>
          <w:color w:val="auto"/>
          <w:sz w:val="22"/>
          <w:szCs w:val="22"/>
        </w:rPr>
        <w:t xml:space="preserve">Table </w:t>
      </w:r>
      <w:r w:rsidR="00771F85">
        <w:rPr>
          <w:rFonts w:ascii="Arial" w:hAnsi="Arial" w:cs="Arial"/>
          <w:b/>
          <w:color w:val="auto"/>
          <w:sz w:val="22"/>
          <w:szCs w:val="22"/>
        </w:rPr>
        <w:t>5</w:t>
      </w:r>
      <w:r w:rsidRPr="008A0D38">
        <w:rPr>
          <w:rFonts w:ascii="Arial" w:hAnsi="Arial" w:cs="Arial"/>
          <w:color w:val="auto"/>
          <w:sz w:val="22"/>
          <w:szCs w:val="22"/>
        </w:rPr>
        <w:t xml:space="preserve">: Effects of </w:t>
      </w:r>
      <w:r w:rsidR="008A0D38" w:rsidRPr="008A0D38">
        <w:rPr>
          <w:rFonts w:ascii="Arial" w:hAnsi="Arial" w:cs="Arial"/>
          <w:color w:val="auto"/>
          <w:sz w:val="22"/>
          <w:szCs w:val="22"/>
        </w:rPr>
        <w:t>fertilizer</w:t>
      </w:r>
      <w:r w:rsidRPr="008A0D38">
        <w:rPr>
          <w:rFonts w:ascii="Arial" w:hAnsi="Arial" w:cs="Arial"/>
          <w:color w:val="auto"/>
          <w:sz w:val="22"/>
          <w:szCs w:val="22"/>
        </w:rPr>
        <w:t xml:space="preserve"> types on nitrogen and phosphorus uptake and use efficiency</w:t>
      </w:r>
      <w:bookmarkEnd w:id="23"/>
    </w:p>
    <w:tbl>
      <w:tblPr>
        <w:tblW w:w="5000" w:type="pct"/>
        <w:tblLook w:val="04A0" w:firstRow="1" w:lastRow="0" w:firstColumn="1" w:lastColumn="0" w:noHBand="0" w:noVBand="1"/>
      </w:tblPr>
      <w:tblGrid>
        <w:gridCol w:w="2154"/>
        <w:gridCol w:w="1284"/>
        <w:gridCol w:w="1500"/>
        <w:gridCol w:w="1635"/>
        <w:gridCol w:w="1635"/>
      </w:tblGrid>
      <w:tr w:rsidR="002B73B2" w:rsidRPr="009D558F" w14:paraId="1E5084F5" w14:textId="77777777" w:rsidTr="0047397D">
        <w:trPr>
          <w:trHeight w:val="760"/>
        </w:trPr>
        <w:tc>
          <w:tcPr>
            <w:tcW w:w="1181" w:type="pct"/>
            <w:tcBorders>
              <w:top w:val="single" w:sz="4" w:space="0" w:color="auto"/>
              <w:left w:val="nil"/>
              <w:bottom w:val="single" w:sz="4" w:space="0" w:color="auto"/>
              <w:right w:val="nil"/>
            </w:tcBorders>
            <w:noWrap/>
            <w:vAlign w:val="center"/>
            <w:hideMark/>
          </w:tcPr>
          <w:p w14:paraId="79A02149" w14:textId="77777777" w:rsidR="002B73B2" w:rsidRPr="009D558F" w:rsidRDefault="002B73B2" w:rsidP="0047397D">
            <w:pPr>
              <w:rPr>
                <w:b/>
                <w:bCs/>
                <w:sz w:val="22"/>
                <w:szCs w:val="22"/>
              </w:rPr>
            </w:pPr>
            <w:r w:rsidRPr="009D558F">
              <w:rPr>
                <w:b/>
                <w:bCs/>
                <w:sz w:val="22"/>
                <w:szCs w:val="22"/>
              </w:rPr>
              <w:t>Treatment</w:t>
            </w:r>
          </w:p>
        </w:tc>
        <w:tc>
          <w:tcPr>
            <w:tcW w:w="1070" w:type="pct"/>
            <w:tcBorders>
              <w:top w:val="single" w:sz="4" w:space="0" w:color="auto"/>
              <w:left w:val="nil"/>
              <w:bottom w:val="single" w:sz="4" w:space="0" w:color="auto"/>
              <w:right w:val="nil"/>
            </w:tcBorders>
            <w:vAlign w:val="center"/>
            <w:hideMark/>
          </w:tcPr>
          <w:p w14:paraId="0F29F5E4" w14:textId="31AFD7A7" w:rsidR="002B73B2" w:rsidRPr="009D558F" w:rsidRDefault="002B73B2" w:rsidP="0047397D">
            <w:pPr>
              <w:jc w:val="center"/>
              <w:rPr>
                <w:b/>
                <w:bCs/>
                <w:sz w:val="22"/>
                <w:szCs w:val="22"/>
              </w:rPr>
            </w:pPr>
            <w:r w:rsidRPr="009D558F">
              <w:rPr>
                <w:b/>
                <w:bCs/>
                <w:sz w:val="22"/>
                <w:szCs w:val="22"/>
              </w:rPr>
              <w:t>Internal Efficiency - Nitrogen (</w:t>
            </w:r>
            <w:r w:rsidR="00587769" w:rsidRPr="00587769">
              <w:rPr>
                <w:b/>
                <w:bCs/>
                <w:sz w:val="22"/>
                <w:szCs w:val="22"/>
              </w:rPr>
              <w:t>kg kg</w:t>
            </w:r>
            <w:r w:rsidR="00587769" w:rsidRPr="00587769">
              <w:rPr>
                <w:rFonts w:ascii="Cambria Math" w:hAnsi="Cambria Math" w:cs="Cambria Math"/>
                <w:b/>
                <w:bCs/>
                <w:sz w:val="22"/>
                <w:szCs w:val="22"/>
              </w:rPr>
              <w:t>⁻</w:t>
            </w:r>
            <w:r w:rsidR="00587769" w:rsidRPr="00587769">
              <w:rPr>
                <w:rFonts w:cs="Helvetica"/>
                <w:b/>
                <w:bCs/>
                <w:sz w:val="22"/>
                <w:szCs w:val="22"/>
              </w:rPr>
              <w:t>¹</w:t>
            </w:r>
            <w:r w:rsidRPr="009D558F">
              <w:rPr>
                <w:b/>
                <w:bCs/>
                <w:sz w:val="22"/>
                <w:szCs w:val="22"/>
              </w:rPr>
              <w:t>)</w:t>
            </w:r>
          </w:p>
        </w:tc>
        <w:tc>
          <w:tcPr>
            <w:tcW w:w="906" w:type="pct"/>
            <w:tcBorders>
              <w:top w:val="single" w:sz="4" w:space="0" w:color="auto"/>
              <w:left w:val="nil"/>
              <w:bottom w:val="single" w:sz="4" w:space="0" w:color="auto"/>
              <w:right w:val="nil"/>
            </w:tcBorders>
            <w:vAlign w:val="center"/>
            <w:hideMark/>
          </w:tcPr>
          <w:p w14:paraId="57CAF5C8" w14:textId="3D462A2F" w:rsidR="002B73B2" w:rsidRPr="009D558F" w:rsidRDefault="002B73B2" w:rsidP="0047397D">
            <w:pPr>
              <w:jc w:val="center"/>
              <w:rPr>
                <w:b/>
                <w:bCs/>
                <w:sz w:val="22"/>
                <w:szCs w:val="22"/>
              </w:rPr>
            </w:pPr>
            <w:r w:rsidRPr="009D558F">
              <w:rPr>
                <w:b/>
                <w:bCs/>
                <w:sz w:val="22"/>
                <w:szCs w:val="22"/>
              </w:rPr>
              <w:t>Internal Efficiency - Phosphorus (</w:t>
            </w:r>
            <w:r w:rsidR="00587769" w:rsidRPr="00587769">
              <w:rPr>
                <w:b/>
                <w:bCs/>
                <w:sz w:val="22"/>
                <w:szCs w:val="22"/>
              </w:rPr>
              <w:t>kg kg</w:t>
            </w:r>
            <w:r w:rsidR="00587769" w:rsidRPr="00587769">
              <w:rPr>
                <w:rFonts w:ascii="Cambria Math" w:hAnsi="Cambria Math" w:cs="Cambria Math"/>
                <w:b/>
                <w:bCs/>
                <w:sz w:val="22"/>
                <w:szCs w:val="22"/>
              </w:rPr>
              <w:t>⁻</w:t>
            </w:r>
            <w:r w:rsidR="00587769" w:rsidRPr="00587769">
              <w:rPr>
                <w:rFonts w:cs="Helvetica"/>
                <w:b/>
                <w:bCs/>
                <w:sz w:val="22"/>
                <w:szCs w:val="22"/>
              </w:rPr>
              <w:t>¹</w:t>
            </w:r>
            <w:r w:rsidRPr="009D558F">
              <w:rPr>
                <w:b/>
                <w:bCs/>
                <w:sz w:val="22"/>
                <w:szCs w:val="22"/>
              </w:rPr>
              <w:t>)</w:t>
            </w:r>
          </w:p>
        </w:tc>
        <w:tc>
          <w:tcPr>
            <w:tcW w:w="922" w:type="pct"/>
            <w:tcBorders>
              <w:top w:val="single" w:sz="4" w:space="0" w:color="auto"/>
              <w:left w:val="nil"/>
              <w:bottom w:val="single" w:sz="4" w:space="0" w:color="auto"/>
              <w:right w:val="nil"/>
            </w:tcBorders>
            <w:vAlign w:val="center"/>
            <w:hideMark/>
          </w:tcPr>
          <w:p w14:paraId="2043DE36" w14:textId="05340C22" w:rsidR="002B73B2" w:rsidRPr="009D558F" w:rsidRDefault="002B73B2" w:rsidP="0047397D">
            <w:pPr>
              <w:jc w:val="center"/>
              <w:rPr>
                <w:b/>
                <w:bCs/>
                <w:sz w:val="22"/>
                <w:szCs w:val="22"/>
              </w:rPr>
            </w:pPr>
            <w:r w:rsidRPr="009D558F">
              <w:rPr>
                <w:b/>
                <w:bCs/>
                <w:sz w:val="22"/>
                <w:szCs w:val="22"/>
              </w:rPr>
              <w:t>Physiological Efficiency - Nitrogen (</w:t>
            </w:r>
            <w:r w:rsidR="00587769" w:rsidRPr="00587769">
              <w:rPr>
                <w:b/>
                <w:bCs/>
                <w:sz w:val="22"/>
                <w:szCs w:val="22"/>
              </w:rPr>
              <w:t>kg kg</w:t>
            </w:r>
            <w:r w:rsidR="00587769" w:rsidRPr="00587769">
              <w:rPr>
                <w:rFonts w:ascii="Cambria Math" w:hAnsi="Cambria Math" w:cs="Cambria Math"/>
                <w:b/>
                <w:bCs/>
                <w:sz w:val="22"/>
                <w:szCs w:val="22"/>
              </w:rPr>
              <w:t>⁻</w:t>
            </w:r>
            <w:r w:rsidR="00587769" w:rsidRPr="00587769">
              <w:rPr>
                <w:rFonts w:cs="Helvetica"/>
                <w:b/>
                <w:bCs/>
                <w:sz w:val="22"/>
                <w:szCs w:val="22"/>
              </w:rPr>
              <w:t>¹</w:t>
            </w:r>
            <w:r w:rsidRPr="009D558F">
              <w:rPr>
                <w:b/>
                <w:bCs/>
                <w:sz w:val="22"/>
                <w:szCs w:val="22"/>
              </w:rPr>
              <w:t>)</w:t>
            </w:r>
          </w:p>
        </w:tc>
        <w:tc>
          <w:tcPr>
            <w:tcW w:w="921" w:type="pct"/>
            <w:tcBorders>
              <w:top w:val="single" w:sz="4" w:space="0" w:color="auto"/>
              <w:left w:val="nil"/>
              <w:bottom w:val="single" w:sz="4" w:space="0" w:color="auto"/>
              <w:right w:val="nil"/>
            </w:tcBorders>
            <w:vAlign w:val="center"/>
            <w:hideMark/>
          </w:tcPr>
          <w:p w14:paraId="66B08E50" w14:textId="1D4132C0" w:rsidR="002B73B2" w:rsidRPr="009D558F" w:rsidRDefault="002B73B2" w:rsidP="0047397D">
            <w:pPr>
              <w:jc w:val="center"/>
              <w:rPr>
                <w:b/>
                <w:bCs/>
                <w:sz w:val="22"/>
                <w:szCs w:val="22"/>
              </w:rPr>
            </w:pPr>
            <w:r w:rsidRPr="009D558F">
              <w:rPr>
                <w:b/>
                <w:bCs/>
                <w:sz w:val="22"/>
                <w:szCs w:val="22"/>
              </w:rPr>
              <w:t>Physiological Efficiency - Phosphorus (</w:t>
            </w:r>
            <w:r w:rsidR="00587769" w:rsidRPr="00587769">
              <w:rPr>
                <w:b/>
                <w:bCs/>
                <w:sz w:val="22"/>
                <w:szCs w:val="22"/>
              </w:rPr>
              <w:t>kg kg</w:t>
            </w:r>
            <w:r w:rsidR="00587769" w:rsidRPr="00587769">
              <w:rPr>
                <w:rFonts w:ascii="Cambria Math" w:hAnsi="Cambria Math" w:cs="Cambria Math"/>
                <w:b/>
                <w:bCs/>
                <w:sz w:val="22"/>
                <w:szCs w:val="22"/>
              </w:rPr>
              <w:t>⁻</w:t>
            </w:r>
            <w:r w:rsidR="00587769" w:rsidRPr="00587769">
              <w:rPr>
                <w:rFonts w:cs="Helvetica"/>
                <w:b/>
                <w:bCs/>
                <w:sz w:val="22"/>
                <w:szCs w:val="22"/>
              </w:rPr>
              <w:t>¹</w:t>
            </w:r>
            <w:r w:rsidRPr="009D558F">
              <w:rPr>
                <w:b/>
                <w:bCs/>
                <w:sz w:val="22"/>
                <w:szCs w:val="22"/>
              </w:rPr>
              <w:t>)</w:t>
            </w:r>
          </w:p>
        </w:tc>
      </w:tr>
      <w:tr w:rsidR="002B73B2" w:rsidRPr="009D558F" w14:paraId="77314C62" w14:textId="77777777" w:rsidTr="0047397D">
        <w:trPr>
          <w:trHeight w:val="290"/>
        </w:trPr>
        <w:tc>
          <w:tcPr>
            <w:tcW w:w="1181" w:type="pct"/>
            <w:tcBorders>
              <w:top w:val="nil"/>
              <w:left w:val="nil"/>
              <w:bottom w:val="nil"/>
              <w:right w:val="nil"/>
            </w:tcBorders>
            <w:noWrap/>
            <w:vAlign w:val="center"/>
            <w:hideMark/>
          </w:tcPr>
          <w:p w14:paraId="12096214" w14:textId="77777777" w:rsidR="002B73B2" w:rsidRPr="009D558F" w:rsidRDefault="002B73B2" w:rsidP="0047397D">
            <w:pPr>
              <w:rPr>
                <w:b/>
                <w:bCs/>
                <w:sz w:val="22"/>
                <w:szCs w:val="22"/>
              </w:rPr>
            </w:pPr>
            <w:r w:rsidRPr="009D558F">
              <w:rPr>
                <w:b/>
                <w:bCs/>
                <w:sz w:val="22"/>
                <w:szCs w:val="22"/>
              </w:rPr>
              <w:t>Control</w:t>
            </w:r>
          </w:p>
        </w:tc>
        <w:tc>
          <w:tcPr>
            <w:tcW w:w="1070" w:type="pct"/>
            <w:tcBorders>
              <w:top w:val="nil"/>
              <w:left w:val="nil"/>
              <w:bottom w:val="nil"/>
              <w:right w:val="nil"/>
            </w:tcBorders>
            <w:noWrap/>
            <w:vAlign w:val="center"/>
            <w:hideMark/>
          </w:tcPr>
          <w:p w14:paraId="0D046027" w14:textId="77777777" w:rsidR="002B73B2" w:rsidRPr="009D558F" w:rsidRDefault="002B73B2" w:rsidP="0047397D">
            <w:pPr>
              <w:jc w:val="center"/>
              <w:rPr>
                <w:sz w:val="22"/>
                <w:szCs w:val="22"/>
              </w:rPr>
            </w:pPr>
            <w:r w:rsidRPr="009D558F">
              <w:rPr>
                <w:sz w:val="22"/>
                <w:szCs w:val="22"/>
              </w:rPr>
              <w:t>72.18</w:t>
            </w:r>
            <w:r w:rsidRPr="00617F2C">
              <w:rPr>
                <w:sz w:val="22"/>
                <w:szCs w:val="22"/>
                <w:vertAlign w:val="superscript"/>
              </w:rPr>
              <w:t>a</w:t>
            </w:r>
          </w:p>
        </w:tc>
        <w:tc>
          <w:tcPr>
            <w:tcW w:w="906" w:type="pct"/>
            <w:tcBorders>
              <w:top w:val="nil"/>
              <w:left w:val="nil"/>
              <w:bottom w:val="nil"/>
              <w:right w:val="nil"/>
            </w:tcBorders>
            <w:noWrap/>
            <w:vAlign w:val="center"/>
            <w:hideMark/>
          </w:tcPr>
          <w:p w14:paraId="7BE96532" w14:textId="77777777" w:rsidR="002B73B2" w:rsidRPr="009D558F" w:rsidRDefault="002B73B2" w:rsidP="0047397D">
            <w:pPr>
              <w:jc w:val="center"/>
              <w:rPr>
                <w:sz w:val="22"/>
                <w:szCs w:val="22"/>
              </w:rPr>
            </w:pPr>
            <w:r w:rsidRPr="009D558F">
              <w:rPr>
                <w:sz w:val="22"/>
                <w:szCs w:val="22"/>
              </w:rPr>
              <w:t>306.2</w:t>
            </w:r>
          </w:p>
        </w:tc>
        <w:tc>
          <w:tcPr>
            <w:tcW w:w="922" w:type="pct"/>
            <w:tcBorders>
              <w:top w:val="nil"/>
              <w:left w:val="nil"/>
              <w:bottom w:val="nil"/>
              <w:right w:val="nil"/>
            </w:tcBorders>
            <w:noWrap/>
            <w:vAlign w:val="center"/>
            <w:hideMark/>
          </w:tcPr>
          <w:p w14:paraId="43DC35BC" w14:textId="77777777" w:rsidR="002B73B2" w:rsidRPr="009D558F" w:rsidRDefault="002B73B2" w:rsidP="0047397D">
            <w:pPr>
              <w:jc w:val="center"/>
              <w:rPr>
                <w:sz w:val="22"/>
                <w:szCs w:val="22"/>
              </w:rPr>
            </w:pPr>
          </w:p>
        </w:tc>
        <w:tc>
          <w:tcPr>
            <w:tcW w:w="921" w:type="pct"/>
            <w:tcBorders>
              <w:top w:val="nil"/>
              <w:left w:val="nil"/>
              <w:bottom w:val="nil"/>
              <w:right w:val="nil"/>
            </w:tcBorders>
            <w:noWrap/>
            <w:vAlign w:val="center"/>
            <w:hideMark/>
          </w:tcPr>
          <w:p w14:paraId="72064FD3" w14:textId="77777777" w:rsidR="002B73B2" w:rsidRPr="009D558F" w:rsidRDefault="002B73B2" w:rsidP="0047397D">
            <w:pPr>
              <w:jc w:val="center"/>
            </w:pPr>
          </w:p>
        </w:tc>
      </w:tr>
      <w:tr w:rsidR="002B73B2" w:rsidRPr="009D558F" w14:paraId="6B6F8889" w14:textId="77777777" w:rsidTr="0047397D">
        <w:trPr>
          <w:trHeight w:val="290"/>
        </w:trPr>
        <w:tc>
          <w:tcPr>
            <w:tcW w:w="1181" w:type="pct"/>
            <w:tcBorders>
              <w:top w:val="nil"/>
              <w:left w:val="nil"/>
              <w:bottom w:val="nil"/>
              <w:right w:val="nil"/>
            </w:tcBorders>
            <w:noWrap/>
            <w:vAlign w:val="center"/>
            <w:hideMark/>
          </w:tcPr>
          <w:p w14:paraId="394C39D2" w14:textId="77777777" w:rsidR="002B73B2" w:rsidRPr="009D558F" w:rsidRDefault="002B73B2" w:rsidP="0047397D">
            <w:pPr>
              <w:rPr>
                <w:b/>
                <w:bCs/>
                <w:sz w:val="22"/>
                <w:szCs w:val="22"/>
              </w:rPr>
            </w:pPr>
            <w:r w:rsidRPr="009D558F">
              <w:rPr>
                <w:b/>
                <w:bCs/>
                <w:sz w:val="22"/>
                <w:szCs w:val="22"/>
              </w:rPr>
              <w:t>2 SG-NPK</w:t>
            </w:r>
          </w:p>
        </w:tc>
        <w:tc>
          <w:tcPr>
            <w:tcW w:w="1070" w:type="pct"/>
            <w:tcBorders>
              <w:top w:val="nil"/>
              <w:left w:val="nil"/>
              <w:bottom w:val="nil"/>
              <w:right w:val="nil"/>
            </w:tcBorders>
            <w:noWrap/>
            <w:vAlign w:val="center"/>
            <w:hideMark/>
          </w:tcPr>
          <w:p w14:paraId="3C530E9F" w14:textId="77777777" w:rsidR="002B73B2" w:rsidRPr="009D558F" w:rsidRDefault="002B73B2" w:rsidP="0047397D">
            <w:pPr>
              <w:jc w:val="center"/>
              <w:rPr>
                <w:sz w:val="22"/>
                <w:szCs w:val="22"/>
              </w:rPr>
            </w:pPr>
            <w:r w:rsidRPr="009D558F">
              <w:rPr>
                <w:sz w:val="22"/>
                <w:szCs w:val="22"/>
              </w:rPr>
              <w:t>52.04</w:t>
            </w:r>
            <w:r w:rsidRPr="00617F2C">
              <w:rPr>
                <w:sz w:val="22"/>
                <w:szCs w:val="22"/>
                <w:vertAlign w:val="superscript"/>
              </w:rPr>
              <w:t>c</w:t>
            </w:r>
          </w:p>
        </w:tc>
        <w:tc>
          <w:tcPr>
            <w:tcW w:w="906" w:type="pct"/>
            <w:tcBorders>
              <w:top w:val="nil"/>
              <w:left w:val="nil"/>
              <w:bottom w:val="nil"/>
              <w:right w:val="nil"/>
            </w:tcBorders>
            <w:noWrap/>
            <w:vAlign w:val="center"/>
            <w:hideMark/>
          </w:tcPr>
          <w:p w14:paraId="5964C1BA" w14:textId="77777777" w:rsidR="002B73B2" w:rsidRPr="009D558F" w:rsidRDefault="002B73B2" w:rsidP="0047397D">
            <w:pPr>
              <w:jc w:val="center"/>
              <w:rPr>
                <w:sz w:val="22"/>
                <w:szCs w:val="22"/>
              </w:rPr>
            </w:pPr>
            <w:r w:rsidRPr="009D558F">
              <w:rPr>
                <w:sz w:val="22"/>
                <w:szCs w:val="22"/>
              </w:rPr>
              <w:t>269.4</w:t>
            </w:r>
          </w:p>
        </w:tc>
        <w:tc>
          <w:tcPr>
            <w:tcW w:w="922" w:type="pct"/>
            <w:tcBorders>
              <w:top w:val="nil"/>
              <w:left w:val="nil"/>
              <w:bottom w:val="nil"/>
              <w:right w:val="nil"/>
            </w:tcBorders>
            <w:noWrap/>
            <w:vAlign w:val="center"/>
            <w:hideMark/>
          </w:tcPr>
          <w:p w14:paraId="0968DFDB" w14:textId="77777777" w:rsidR="002B73B2" w:rsidRPr="009D558F" w:rsidRDefault="002B73B2" w:rsidP="0047397D">
            <w:pPr>
              <w:jc w:val="center"/>
              <w:rPr>
                <w:sz w:val="22"/>
                <w:szCs w:val="22"/>
              </w:rPr>
            </w:pPr>
            <w:r w:rsidRPr="009D558F">
              <w:rPr>
                <w:sz w:val="22"/>
                <w:szCs w:val="22"/>
              </w:rPr>
              <w:t>45.34</w:t>
            </w:r>
            <w:r w:rsidRPr="00617F2C">
              <w:rPr>
                <w:sz w:val="22"/>
                <w:szCs w:val="22"/>
                <w:vertAlign w:val="superscript"/>
              </w:rPr>
              <w:t>b</w:t>
            </w:r>
          </w:p>
        </w:tc>
        <w:tc>
          <w:tcPr>
            <w:tcW w:w="921" w:type="pct"/>
            <w:tcBorders>
              <w:top w:val="nil"/>
              <w:left w:val="nil"/>
              <w:bottom w:val="nil"/>
              <w:right w:val="nil"/>
            </w:tcBorders>
            <w:noWrap/>
            <w:vAlign w:val="center"/>
            <w:hideMark/>
          </w:tcPr>
          <w:p w14:paraId="17607B86" w14:textId="77777777" w:rsidR="002B73B2" w:rsidRPr="009D558F" w:rsidRDefault="002B73B2" w:rsidP="0047397D">
            <w:pPr>
              <w:jc w:val="center"/>
              <w:rPr>
                <w:sz w:val="22"/>
                <w:szCs w:val="22"/>
              </w:rPr>
            </w:pPr>
            <w:r w:rsidRPr="009D558F">
              <w:rPr>
                <w:sz w:val="22"/>
                <w:szCs w:val="22"/>
              </w:rPr>
              <w:t>218.8</w:t>
            </w:r>
          </w:p>
        </w:tc>
      </w:tr>
      <w:tr w:rsidR="002B73B2" w:rsidRPr="009D558F" w14:paraId="1A5DFDBA" w14:textId="77777777" w:rsidTr="0047397D">
        <w:trPr>
          <w:trHeight w:val="290"/>
        </w:trPr>
        <w:tc>
          <w:tcPr>
            <w:tcW w:w="1181" w:type="pct"/>
            <w:tcBorders>
              <w:top w:val="nil"/>
              <w:left w:val="nil"/>
              <w:bottom w:val="nil"/>
              <w:right w:val="nil"/>
            </w:tcBorders>
            <w:noWrap/>
            <w:vAlign w:val="center"/>
            <w:hideMark/>
          </w:tcPr>
          <w:p w14:paraId="30D5ED33" w14:textId="77777777" w:rsidR="002B73B2" w:rsidRPr="009D558F" w:rsidRDefault="002B73B2" w:rsidP="0047397D">
            <w:pPr>
              <w:rPr>
                <w:b/>
                <w:bCs/>
                <w:sz w:val="22"/>
                <w:szCs w:val="22"/>
              </w:rPr>
            </w:pPr>
            <w:r w:rsidRPr="00E86361">
              <w:rPr>
                <w:b/>
                <w:bCs/>
                <w:sz w:val="22"/>
                <w:szCs w:val="22"/>
              </w:rPr>
              <w:t>FP</w:t>
            </w:r>
          </w:p>
        </w:tc>
        <w:tc>
          <w:tcPr>
            <w:tcW w:w="1070" w:type="pct"/>
            <w:tcBorders>
              <w:top w:val="nil"/>
              <w:left w:val="nil"/>
              <w:bottom w:val="nil"/>
              <w:right w:val="nil"/>
            </w:tcBorders>
            <w:noWrap/>
            <w:vAlign w:val="center"/>
            <w:hideMark/>
          </w:tcPr>
          <w:p w14:paraId="19F99A11" w14:textId="77777777" w:rsidR="002B73B2" w:rsidRPr="009D558F" w:rsidRDefault="002B73B2" w:rsidP="0047397D">
            <w:pPr>
              <w:jc w:val="center"/>
              <w:rPr>
                <w:sz w:val="22"/>
                <w:szCs w:val="22"/>
              </w:rPr>
            </w:pPr>
            <w:r w:rsidRPr="009D558F">
              <w:rPr>
                <w:sz w:val="22"/>
                <w:szCs w:val="22"/>
              </w:rPr>
              <w:t>47.90</w:t>
            </w:r>
            <w:r w:rsidRPr="00617F2C">
              <w:rPr>
                <w:sz w:val="22"/>
                <w:szCs w:val="22"/>
                <w:vertAlign w:val="superscript"/>
              </w:rPr>
              <w:t>c</w:t>
            </w:r>
          </w:p>
        </w:tc>
        <w:tc>
          <w:tcPr>
            <w:tcW w:w="906" w:type="pct"/>
            <w:tcBorders>
              <w:top w:val="nil"/>
              <w:left w:val="nil"/>
              <w:bottom w:val="nil"/>
              <w:right w:val="nil"/>
            </w:tcBorders>
            <w:noWrap/>
            <w:vAlign w:val="center"/>
            <w:hideMark/>
          </w:tcPr>
          <w:p w14:paraId="17983E2B" w14:textId="77777777" w:rsidR="002B73B2" w:rsidRPr="009D558F" w:rsidRDefault="002B73B2" w:rsidP="0047397D">
            <w:pPr>
              <w:jc w:val="center"/>
              <w:rPr>
                <w:sz w:val="22"/>
                <w:szCs w:val="22"/>
              </w:rPr>
            </w:pPr>
            <w:r w:rsidRPr="009D558F">
              <w:rPr>
                <w:sz w:val="22"/>
                <w:szCs w:val="22"/>
              </w:rPr>
              <w:t>274.5</w:t>
            </w:r>
          </w:p>
        </w:tc>
        <w:tc>
          <w:tcPr>
            <w:tcW w:w="922" w:type="pct"/>
            <w:tcBorders>
              <w:top w:val="nil"/>
              <w:left w:val="nil"/>
              <w:bottom w:val="nil"/>
              <w:right w:val="nil"/>
            </w:tcBorders>
            <w:noWrap/>
            <w:vAlign w:val="center"/>
            <w:hideMark/>
          </w:tcPr>
          <w:p w14:paraId="4695AFBE" w14:textId="77777777" w:rsidR="002B73B2" w:rsidRPr="009D558F" w:rsidRDefault="002B73B2" w:rsidP="0047397D">
            <w:pPr>
              <w:jc w:val="center"/>
              <w:rPr>
                <w:sz w:val="22"/>
                <w:szCs w:val="22"/>
              </w:rPr>
            </w:pPr>
            <w:r w:rsidRPr="009D558F">
              <w:rPr>
                <w:sz w:val="22"/>
                <w:szCs w:val="22"/>
              </w:rPr>
              <w:t>33.20</w:t>
            </w:r>
            <w:r w:rsidRPr="00617F2C">
              <w:rPr>
                <w:sz w:val="22"/>
                <w:szCs w:val="22"/>
                <w:vertAlign w:val="superscript"/>
              </w:rPr>
              <w:t>b</w:t>
            </w:r>
          </w:p>
        </w:tc>
        <w:tc>
          <w:tcPr>
            <w:tcW w:w="921" w:type="pct"/>
            <w:tcBorders>
              <w:top w:val="nil"/>
              <w:left w:val="nil"/>
              <w:bottom w:val="nil"/>
              <w:right w:val="nil"/>
            </w:tcBorders>
            <w:noWrap/>
            <w:vAlign w:val="center"/>
            <w:hideMark/>
          </w:tcPr>
          <w:p w14:paraId="7783E7BC" w14:textId="77777777" w:rsidR="002B73B2" w:rsidRPr="009D558F" w:rsidRDefault="002B73B2" w:rsidP="0047397D">
            <w:pPr>
              <w:jc w:val="center"/>
              <w:rPr>
                <w:sz w:val="22"/>
                <w:szCs w:val="22"/>
              </w:rPr>
            </w:pPr>
            <w:r w:rsidRPr="009D558F">
              <w:rPr>
                <w:sz w:val="22"/>
                <w:szCs w:val="22"/>
              </w:rPr>
              <w:t>215</w:t>
            </w:r>
          </w:p>
        </w:tc>
      </w:tr>
      <w:tr w:rsidR="002B73B2" w:rsidRPr="009D558F" w14:paraId="4C1F6185" w14:textId="77777777" w:rsidTr="0047397D">
        <w:trPr>
          <w:trHeight w:val="290"/>
        </w:trPr>
        <w:tc>
          <w:tcPr>
            <w:tcW w:w="1181" w:type="pct"/>
            <w:tcBorders>
              <w:top w:val="nil"/>
              <w:left w:val="nil"/>
              <w:bottom w:val="nil"/>
              <w:right w:val="nil"/>
            </w:tcBorders>
            <w:noWrap/>
            <w:vAlign w:val="center"/>
            <w:hideMark/>
          </w:tcPr>
          <w:p w14:paraId="22DB87BD" w14:textId="77777777" w:rsidR="002B73B2" w:rsidRPr="009D558F" w:rsidRDefault="002B73B2" w:rsidP="0047397D">
            <w:pPr>
              <w:rPr>
                <w:b/>
                <w:bCs/>
                <w:sz w:val="22"/>
                <w:szCs w:val="22"/>
              </w:rPr>
            </w:pPr>
            <w:r w:rsidRPr="009D558F">
              <w:rPr>
                <w:b/>
                <w:bCs/>
                <w:sz w:val="22"/>
                <w:szCs w:val="22"/>
              </w:rPr>
              <w:t>150 kg NPK + USG</w:t>
            </w:r>
          </w:p>
        </w:tc>
        <w:tc>
          <w:tcPr>
            <w:tcW w:w="1070" w:type="pct"/>
            <w:tcBorders>
              <w:top w:val="nil"/>
              <w:left w:val="nil"/>
              <w:bottom w:val="nil"/>
              <w:right w:val="nil"/>
            </w:tcBorders>
            <w:noWrap/>
            <w:vAlign w:val="center"/>
            <w:hideMark/>
          </w:tcPr>
          <w:p w14:paraId="5AF315DB" w14:textId="77777777" w:rsidR="002B73B2" w:rsidRPr="009D558F" w:rsidRDefault="002B73B2" w:rsidP="0047397D">
            <w:pPr>
              <w:jc w:val="center"/>
              <w:rPr>
                <w:sz w:val="22"/>
                <w:szCs w:val="22"/>
              </w:rPr>
            </w:pPr>
            <w:r w:rsidRPr="009D558F">
              <w:rPr>
                <w:sz w:val="22"/>
                <w:szCs w:val="22"/>
              </w:rPr>
              <w:t>55.25</w:t>
            </w:r>
            <w:r w:rsidRPr="00617F2C">
              <w:rPr>
                <w:sz w:val="22"/>
                <w:szCs w:val="22"/>
                <w:vertAlign w:val="superscript"/>
              </w:rPr>
              <w:t>bc</w:t>
            </w:r>
          </w:p>
        </w:tc>
        <w:tc>
          <w:tcPr>
            <w:tcW w:w="906" w:type="pct"/>
            <w:tcBorders>
              <w:top w:val="nil"/>
              <w:left w:val="nil"/>
              <w:bottom w:val="nil"/>
              <w:right w:val="nil"/>
            </w:tcBorders>
            <w:noWrap/>
            <w:vAlign w:val="center"/>
            <w:hideMark/>
          </w:tcPr>
          <w:p w14:paraId="3A9A553D" w14:textId="77777777" w:rsidR="002B73B2" w:rsidRPr="009D558F" w:rsidRDefault="002B73B2" w:rsidP="0047397D">
            <w:pPr>
              <w:jc w:val="center"/>
              <w:rPr>
                <w:sz w:val="22"/>
                <w:szCs w:val="22"/>
              </w:rPr>
            </w:pPr>
            <w:r w:rsidRPr="009D558F">
              <w:rPr>
                <w:sz w:val="22"/>
                <w:szCs w:val="22"/>
              </w:rPr>
              <w:t>268.3</w:t>
            </w:r>
          </w:p>
        </w:tc>
        <w:tc>
          <w:tcPr>
            <w:tcW w:w="922" w:type="pct"/>
            <w:tcBorders>
              <w:top w:val="nil"/>
              <w:left w:val="nil"/>
              <w:bottom w:val="nil"/>
              <w:right w:val="nil"/>
            </w:tcBorders>
            <w:noWrap/>
            <w:vAlign w:val="center"/>
            <w:hideMark/>
          </w:tcPr>
          <w:p w14:paraId="4DC4E777" w14:textId="77777777" w:rsidR="002B73B2" w:rsidRPr="009D558F" w:rsidRDefault="002B73B2" w:rsidP="0047397D">
            <w:pPr>
              <w:jc w:val="center"/>
              <w:rPr>
                <w:sz w:val="22"/>
                <w:szCs w:val="22"/>
              </w:rPr>
            </w:pPr>
            <w:r w:rsidRPr="009D558F">
              <w:rPr>
                <w:sz w:val="22"/>
                <w:szCs w:val="22"/>
              </w:rPr>
              <w:t>58.37</w:t>
            </w:r>
            <w:r w:rsidRPr="00617F2C">
              <w:rPr>
                <w:sz w:val="22"/>
                <w:szCs w:val="22"/>
                <w:vertAlign w:val="superscript"/>
              </w:rPr>
              <w:t>b</w:t>
            </w:r>
          </w:p>
        </w:tc>
        <w:tc>
          <w:tcPr>
            <w:tcW w:w="921" w:type="pct"/>
            <w:tcBorders>
              <w:top w:val="nil"/>
              <w:left w:val="nil"/>
              <w:bottom w:val="nil"/>
              <w:right w:val="nil"/>
            </w:tcBorders>
            <w:noWrap/>
            <w:vAlign w:val="center"/>
            <w:hideMark/>
          </w:tcPr>
          <w:p w14:paraId="15F0A610" w14:textId="77777777" w:rsidR="002B73B2" w:rsidRPr="009D558F" w:rsidRDefault="002B73B2" w:rsidP="0047397D">
            <w:pPr>
              <w:jc w:val="center"/>
              <w:rPr>
                <w:sz w:val="22"/>
                <w:szCs w:val="22"/>
              </w:rPr>
            </w:pPr>
            <w:r w:rsidRPr="009D558F">
              <w:rPr>
                <w:sz w:val="22"/>
                <w:szCs w:val="22"/>
              </w:rPr>
              <w:t>211.8</w:t>
            </w:r>
          </w:p>
        </w:tc>
      </w:tr>
      <w:tr w:rsidR="002B73B2" w:rsidRPr="009D558F" w14:paraId="3B0A3252" w14:textId="77777777" w:rsidTr="0047397D">
        <w:trPr>
          <w:trHeight w:val="290"/>
        </w:trPr>
        <w:tc>
          <w:tcPr>
            <w:tcW w:w="1181" w:type="pct"/>
            <w:tcBorders>
              <w:top w:val="nil"/>
              <w:left w:val="nil"/>
              <w:bottom w:val="nil"/>
              <w:right w:val="nil"/>
            </w:tcBorders>
            <w:noWrap/>
            <w:vAlign w:val="center"/>
            <w:hideMark/>
          </w:tcPr>
          <w:p w14:paraId="6AECFD83" w14:textId="77777777" w:rsidR="002B73B2" w:rsidRPr="009D558F" w:rsidRDefault="002B73B2" w:rsidP="0047397D">
            <w:pPr>
              <w:rPr>
                <w:b/>
                <w:bCs/>
                <w:sz w:val="22"/>
                <w:szCs w:val="22"/>
              </w:rPr>
            </w:pPr>
            <w:r w:rsidRPr="009D558F">
              <w:rPr>
                <w:b/>
                <w:bCs/>
                <w:sz w:val="22"/>
                <w:szCs w:val="22"/>
              </w:rPr>
              <w:t>2 SG-NPK + PU</w:t>
            </w:r>
          </w:p>
        </w:tc>
        <w:tc>
          <w:tcPr>
            <w:tcW w:w="1070" w:type="pct"/>
            <w:tcBorders>
              <w:top w:val="nil"/>
              <w:left w:val="nil"/>
              <w:bottom w:val="nil"/>
              <w:right w:val="nil"/>
            </w:tcBorders>
            <w:noWrap/>
            <w:vAlign w:val="center"/>
            <w:hideMark/>
          </w:tcPr>
          <w:p w14:paraId="20C66E66" w14:textId="77777777" w:rsidR="002B73B2" w:rsidRPr="009D558F" w:rsidRDefault="002B73B2" w:rsidP="0047397D">
            <w:pPr>
              <w:jc w:val="center"/>
              <w:rPr>
                <w:sz w:val="22"/>
                <w:szCs w:val="22"/>
              </w:rPr>
            </w:pPr>
            <w:r w:rsidRPr="009D558F">
              <w:rPr>
                <w:sz w:val="22"/>
                <w:szCs w:val="22"/>
              </w:rPr>
              <w:t>63.64</w:t>
            </w:r>
            <w:r w:rsidRPr="00617F2C">
              <w:rPr>
                <w:sz w:val="22"/>
                <w:szCs w:val="22"/>
                <w:vertAlign w:val="superscript"/>
              </w:rPr>
              <w:t>de</w:t>
            </w:r>
          </w:p>
        </w:tc>
        <w:tc>
          <w:tcPr>
            <w:tcW w:w="906" w:type="pct"/>
            <w:tcBorders>
              <w:top w:val="nil"/>
              <w:left w:val="nil"/>
              <w:bottom w:val="nil"/>
              <w:right w:val="nil"/>
            </w:tcBorders>
            <w:noWrap/>
            <w:vAlign w:val="center"/>
            <w:hideMark/>
          </w:tcPr>
          <w:p w14:paraId="7785F06E" w14:textId="77777777" w:rsidR="002B73B2" w:rsidRPr="009D558F" w:rsidRDefault="002B73B2" w:rsidP="0047397D">
            <w:pPr>
              <w:jc w:val="center"/>
              <w:rPr>
                <w:sz w:val="22"/>
                <w:szCs w:val="22"/>
              </w:rPr>
            </w:pPr>
            <w:r w:rsidRPr="009D558F">
              <w:rPr>
                <w:sz w:val="22"/>
                <w:szCs w:val="22"/>
              </w:rPr>
              <w:t>257.7</w:t>
            </w:r>
          </w:p>
        </w:tc>
        <w:tc>
          <w:tcPr>
            <w:tcW w:w="922" w:type="pct"/>
            <w:tcBorders>
              <w:top w:val="nil"/>
              <w:left w:val="nil"/>
              <w:bottom w:val="nil"/>
              <w:right w:val="nil"/>
            </w:tcBorders>
            <w:noWrap/>
            <w:vAlign w:val="center"/>
            <w:hideMark/>
          </w:tcPr>
          <w:p w14:paraId="6865A0B2" w14:textId="77777777" w:rsidR="002B73B2" w:rsidRPr="009D558F" w:rsidRDefault="002B73B2" w:rsidP="0047397D">
            <w:pPr>
              <w:jc w:val="center"/>
              <w:rPr>
                <w:sz w:val="22"/>
                <w:szCs w:val="22"/>
              </w:rPr>
            </w:pPr>
            <w:r w:rsidRPr="009D558F">
              <w:rPr>
                <w:sz w:val="22"/>
                <w:szCs w:val="22"/>
              </w:rPr>
              <w:t>100.79</w:t>
            </w:r>
            <w:r w:rsidRPr="00617F2C">
              <w:rPr>
                <w:sz w:val="22"/>
                <w:szCs w:val="22"/>
                <w:vertAlign w:val="superscript"/>
              </w:rPr>
              <w:t>a</w:t>
            </w:r>
          </w:p>
        </w:tc>
        <w:tc>
          <w:tcPr>
            <w:tcW w:w="921" w:type="pct"/>
            <w:tcBorders>
              <w:top w:val="nil"/>
              <w:left w:val="nil"/>
              <w:bottom w:val="nil"/>
              <w:right w:val="nil"/>
            </w:tcBorders>
            <w:noWrap/>
            <w:vAlign w:val="center"/>
            <w:hideMark/>
          </w:tcPr>
          <w:p w14:paraId="1DD2CCDE" w14:textId="77777777" w:rsidR="002B73B2" w:rsidRPr="009D558F" w:rsidRDefault="002B73B2" w:rsidP="0047397D">
            <w:pPr>
              <w:jc w:val="center"/>
              <w:rPr>
                <w:sz w:val="22"/>
                <w:szCs w:val="22"/>
              </w:rPr>
            </w:pPr>
            <w:r w:rsidRPr="009D558F">
              <w:rPr>
                <w:sz w:val="22"/>
                <w:szCs w:val="22"/>
              </w:rPr>
              <w:t>203.7</w:t>
            </w:r>
          </w:p>
        </w:tc>
      </w:tr>
      <w:tr w:rsidR="002B73B2" w:rsidRPr="009D558F" w14:paraId="56737D9E" w14:textId="77777777" w:rsidTr="0047397D">
        <w:trPr>
          <w:trHeight w:val="290"/>
        </w:trPr>
        <w:tc>
          <w:tcPr>
            <w:tcW w:w="1181" w:type="pct"/>
            <w:tcBorders>
              <w:top w:val="single" w:sz="4" w:space="0" w:color="auto"/>
              <w:left w:val="nil"/>
              <w:bottom w:val="nil"/>
              <w:right w:val="nil"/>
            </w:tcBorders>
            <w:noWrap/>
            <w:vAlign w:val="center"/>
            <w:hideMark/>
          </w:tcPr>
          <w:p w14:paraId="11394D2F" w14:textId="77777777" w:rsidR="002B73B2" w:rsidRPr="009D558F" w:rsidRDefault="002B73B2" w:rsidP="0047397D">
            <w:pPr>
              <w:rPr>
                <w:b/>
                <w:bCs/>
                <w:sz w:val="22"/>
                <w:szCs w:val="22"/>
              </w:rPr>
            </w:pPr>
            <w:r w:rsidRPr="009D558F">
              <w:rPr>
                <w:b/>
                <w:bCs/>
                <w:sz w:val="22"/>
                <w:szCs w:val="22"/>
              </w:rPr>
              <w:t>CV (%)</w:t>
            </w:r>
          </w:p>
        </w:tc>
        <w:tc>
          <w:tcPr>
            <w:tcW w:w="1070" w:type="pct"/>
            <w:tcBorders>
              <w:top w:val="single" w:sz="4" w:space="0" w:color="auto"/>
              <w:left w:val="nil"/>
              <w:bottom w:val="nil"/>
              <w:right w:val="nil"/>
            </w:tcBorders>
            <w:noWrap/>
            <w:vAlign w:val="center"/>
            <w:hideMark/>
          </w:tcPr>
          <w:p w14:paraId="5E52ABEF" w14:textId="77777777" w:rsidR="002B73B2" w:rsidRPr="009D558F" w:rsidRDefault="002B73B2" w:rsidP="0047397D">
            <w:pPr>
              <w:jc w:val="center"/>
              <w:rPr>
                <w:sz w:val="22"/>
                <w:szCs w:val="22"/>
              </w:rPr>
            </w:pPr>
            <w:r w:rsidRPr="009D558F">
              <w:rPr>
                <w:sz w:val="22"/>
                <w:szCs w:val="22"/>
              </w:rPr>
              <w:t>8.5</w:t>
            </w:r>
          </w:p>
        </w:tc>
        <w:tc>
          <w:tcPr>
            <w:tcW w:w="906" w:type="pct"/>
            <w:tcBorders>
              <w:top w:val="single" w:sz="4" w:space="0" w:color="auto"/>
              <w:left w:val="nil"/>
              <w:bottom w:val="nil"/>
              <w:right w:val="nil"/>
            </w:tcBorders>
            <w:noWrap/>
            <w:vAlign w:val="center"/>
            <w:hideMark/>
          </w:tcPr>
          <w:p w14:paraId="249AE1F1" w14:textId="77777777" w:rsidR="002B73B2" w:rsidRPr="009D558F" w:rsidRDefault="002B73B2" w:rsidP="0047397D">
            <w:pPr>
              <w:jc w:val="center"/>
              <w:rPr>
                <w:sz w:val="22"/>
                <w:szCs w:val="22"/>
              </w:rPr>
            </w:pPr>
            <w:r w:rsidRPr="009D558F">
              <w:rPr>
                <w:sz w:val="22"/>
                <w:szCs w:val="22"/>
              </w:rPr>
              <w:t>9.9</w:t>
            </w:r>
          </w:p>
        </w:tc>
        <w:tc>
          <w:tcPr>
            <w:tcW w:w="922" w:type="pct"/>
            <w:tcBorders>
              <w:top w:val="single" w:sz="4" w:space="0" w:color="auto"/>
              <w:left w:val="nil"/>
              <w:bottom w:val="nil"/>
              <w:right w:val="nil"/>
            </w:tcBorders>
            <w:noWrap/>
            <w:vAlign w:val="center"/>
            <w:hideMark/>
          </w:tcPr>
          <w:p w14:paraId="64DAA687" w14:textId="77777777" w:rsidR="002B73B2" w:rsidRPr="009D558F" w:rsidRDefault="002B73B2" w:rsidP="0047397D">
            <w:pPr>
              <w:jc w:val="center"/>
              <w:rPr>
                <w:sz w:val="22"/>
                <w:szCs w:val="22"/>
              </w:rPr>
            </w:pPr>
            <w:r w:rsidRPr="009D558F">
              <w:rPr>
                <w:sz w:val="22"/>
                <w:szCs w:val="22"/>
              </w:rPr>
              <w:t>32.7</w:t>
            </w:r>
          </w:p>
        </w:tc>
        <w:tc>
          <w:tcPr>
            <w:tcW w:w="921" w:type="pct"/>
            <w:tcBorders>
              <w:top w:val="single" w:sz="4" w:space="0" w:color="auto"/>
              <w:left w:val="nil"/>
              <w:bottom w:val="nil"/>
              <w:right w:val="nil"/>
            </w:tcBorders>
            <w:noWrap/>
            <w:vAlign w:val="center"/>
            <w:hideMark/>
          </w:tcPr>
          <w:p w14:paraId="333369ED" w14:textId="77777777" w:rsidR="002B73B2" w:rsidRPr="009D558F" w:rsidRDefault="002B73B2" w:rsidP="0047397D">
            <w:pPr>
              <w:jc w:val="center"/>
              <w:rPr>
                <w:sz w:val="22"/>
                <w:szCs w:val="22"/>
              </w:rPr>
            </w:pPr>
            <w:r w:rsidRPr="009D558F">
              <w:rPr>
                <w:sz w:val="22"/>
                <w:szCs w:val="22"/>
              </w:rPr>
              <w:t>40</w:t>
            </w:r>
          </w:p>
        </w:tc>
      </w:tr>
      <w:tr w:rsidR="002B73B2" w:rsidRPr="009D558F" w14:paraId="1B6C86B8" w14:textId="77777777" w:rsidTr="0047397D">
        <w:trPr>
          <w:trHeight w:val="290"/>
        </w:trPr>
        <w:tc>
          <w:tcPr>
            <w:tcW w:w="1181" w:type="pct"/>
            <w:tcBorders>
              <w:top w:val="nil"/>
              <w:left w:val="nil"/>
              <w:bottom w:val="nil"/>
              <w:right w:val="nil"/>
            </w:tcBorders>
            <w:noWrap/>
            <w:vAlign w:val="center"/>
            <w:hideMark/>
          </w:tcPr>
          <w:p w14:paraId="27A6EC0B" w14:textId="77777777" w:rsidR="002B73B2" w:rsidRPr="009D558F" w:rsidRDefault="002B73B2" w:rsidP="0047397D">
            <w:pPr>
              <w:rPr>
                <w:b/>
                <w:bCs/>
                <w:sz w:val="22"/>
                <w:szCs w:val="22"/>
              </w:rPr>
            </w:pPr>
            <w:r w:rsidRPr="009D558F">
              <w:rPr>
                <w:b/>
                <w:bCs/>
                <w:sz w:val="22"/>
                <w:szCs w:val="22"/>
              </w:rPr>
              <w:t>p-value</w:t>
            </w:r>
          </w:p>
        </w:tc>
        <w:tc>
          <w:tcPr>
            <w:tcW w:w="1070" w:type="pct"/>
            <w:tcBorders>
              <w:top w:val="nil"/>
              <w:left w:val="nil"/>
              <w:bottom w:val="nil"/>
              <w:right w:val="nil"/>
            </w:tcBorders>
            <w:noWrap/>
            <w:vAlign w:val="center"/>
            <w:hideMark/>
          </w:tcPr>
          <w:p w14:paraId="49BA2D13" w14:textId="77777777" w:rsidR="002B73B2" w:rsidRPr="009D558F" w:rsidRDefault="002B73B2" w:rsidP="0047397D">
            <w:pPr>
              <w:jc w:val="center"/>
              <w:rPr>
                <w:sz w:val="22"/>
                <w:szCs w:val="22"/>
              </w:rPr>
            </w:pPr>
            <w:r w:rsidRPr="009D558F">
              <w:rPr>
                <w:sz w:val="22"/>
                <w:szCs w:val="22"/>
              </w:rPr>
              <w:t>0.002</w:t>
            </w:r>
          </w:p>
        </w:tc>
        <w:tc>
          <w:tcPr>
            <w:tcW w:w="906" w:type="pct"/>
            <w:tcBorders>
              <w:top w:val="nil"/>
              <w:left w:val="nil"/>
              <w:bottom w:val="nil"/>
              <w:right w:val="nil"/>
            </w:tcBorders>
            <w:noWrap/>
            <w:vAlign w:val="center"/>
            <w:hideMark/>
          </w:tcPr>
          <w:p w14:paraId="06600BE5" w14:textId="77777777" w:rsidR="002B73B2" w:rsidRPr="009D558F" w:rsidRDefault="002B73B2" w:rsidP="0047397D">
            <w:pPr>
              <w:jc w:val="center"/>
              <w:rPr>
                <w:sz w:val="22"/>
                <w:szCs w:val="22"/>
              </w:rPr>
            </w:pPr>
            <w:r w:rsidRPr="009D558F">
              <w:rPr>
                <w:sz w:val="22"/>
                <w:szCs w:val="22"/>
              </w:rPr>
              <w:t>0.32</w:t>
            </w:r>
          </w:p>
        </w:tc>
        <w:tc>
          <w:tcPr>
            <w:tcW w:w="922" w:type="pct"/>
            <w:tcBorders>
              <w:top w:val="nil"/>
              <w:left w:val="nil"/>
              <w:bottom w:val="nil"/>
              <w:right w:val="nil"/>
            </w:tcBorders>
            <w:noWrap/>
            <w:vAlign w:val="center"/>
            <w:hideMark/>
          </w:tcPr>
          <w:p w14:paraId="2DB50970" w14:textId="77777777" w:rsidR="002B73B2" w:rsidRPr="009D558F" w:rsidRDefault="002B73B2" w:rsidP="0047397D">
            <w:pPr>
              <w:jc w:val="center"/>
              <w:rPr>
                <w:sz w:val="22"/>
                <w:szCs w:val="22"/>
              </w:rPr>
            </w:pPr>
            <w:r w:rsidRPr="009D558F">
              <w:rPr>
                <w:sz w:val="22"/>
                <w:szCs w:val="22"/>
              </w:rPr>
              <w:t>0.023</w:t>
            </w:r>
          </w:p>
        </w:tc>
        <w:tc>
          <w:tcPr>
            <w:tcW w:w="921" w:type="pct"/>
            <w:tcBorders>
              <w:top w:val="nil"/>
              <w:left w:val="nil"/>
              <w:bottom w:val="nil"/>
              <w:right w:val="nil"/>
            </w:tcBorders>
            <w:noWrap/>
            <w:vAlign w:val="center"/>
            <w:hideMark/>
          </w:tcPr>
          <w:p w14:paraId="1537DED6" w14:textId="77777777" w:rsidR="002B73B2" w:rsidRPr="009D558F" w:rsidRDefault="002B73B2" w:rsidP="0047397D">
            <w:pPr>
              <w:jc w:val="center"/>
              <w:rPr>
                <w:sz w:val="22"/>
                <w:szCs w:val="22"/>
              </w:rPr>
            </w:pPr>
            <w:r w:rsidRPr="009D558F">
              <w:rPr>
                <w:sz w:val="22"/>
                <w:szCs w:val="22"/>
              </w:rPr>
              <w:t>0.99</w:t>
            </w:r>
          </w:p>
        </w:tc>
      </w:tr>
      <w:tr w:rsidR="002B73B2" w:rsidRPr="009D558F" w14:paraId="375E7967" w14:textId="77777777" w:rsidTr="0047397D">
        <w:trPr>
          <w:trHeight w:val="290"/>
        </w:trPr>
        <w:tc>
          <w:tcPr>
            <w:tcW w:w="1181" w:type="pct"/>
            <w:tcBorders>
              <w:top w:val="nil"/>
              <w:left w:val="nil"/>
              <w:bottom w:val="single" w:sz="4" w:space="0" w:color="auto"/>
              <w:right w:val="nil"/>
            </w:tcBorders>
            <w:noWrap/>
            <w:vAlign w:val="center"/>
            <w:hideMark/>
          </w:tcPr>
          <w:p w14:paraId="2D79058E" w14:textId="77777777" w:rsidR="002B73B2" w:rsidRPr="009D558F" w:rsidRDefault="002B73B2" w:rsidP="0047397D">
            <w:pPr>
              <w:rPr>
                <w:b/>
                <w:bCs/>
                <w:sz w:val="22"/>
                <w:szCs w:val="22"/>
              </w:rPr>
            </w:pPr>
            <w:r w:rsidRPr="009D558F">
              <w:rPr>
                <w:b/>
                <w:bCs/>
                <w:sz w:val="22"/>
                <w:szCs w:val="22"/>
              </w:rPr>
              <w:t>Significance</w:t>
            </w:r>
          </w:p>
        </w:tc>
        <w:tc>
          <w:tcPr>
            <w:tcW w:w="1070" w:type="pct"/>
            <w:tcBorders>
              <w:top w:val="nil"/>
              <w:left w:val="nil"/>
              <w:bottom w:val="single" w:sz="4" w:space="0" w:color="auto"/>
              <w:right w:val="nil"/>
            </w:tcBorders>
            <w:noWrap/>
            <w:vAlign w:val="center"/>
            <w:hideMark/>
          </w:tcPr>
          <w:p w14:paraId="16D6E1B8" w14:textId="77777777" w:rsidR="002B73B2" w:rsidRPr="009D558F" w:rsidRDefault="002B73B2" w:rsidP="0047397D">
            <w:pPr>
              <w:jc w:val="center"/>
              <w:rPr>
                <w:sz w:val="22"/>
                <w:szCs w:val="22"/>
              </w:rPr>
            </w:pPr>
            <w:r>
              <w:rPr>
                <w:sz w:val="22"/>
                <w:szCs w:val="22"/>
              </w:rPr>
              <w:t>**</w:t>
            </w:r>
          </w:p>
        </w:tc>
        <w:tc>
          <w:tcPr>
            <w:tcW w:w="906" w:type="pct"/>
            <w:tcBorders>
              <w:top w:val="nil"/>
              <w:left w:val="nil"/>
              <w:bottom w:val="single" w:sz="4" w:space="0" w:color="auto"/>
              <w:right w:val="nil"/>
            </w:tcBorders>
            <w:noWrap/>
            <w:vAlign w:val="center"/>
            <w:hideMark/>
          </w:tcPr>
          <w:p w14:paraId="4C9E0E1C" w14:textId="77777777" w:rsidR="002B73B2" w:rsidRPr="009D558F" w:rsidRDefault="002B73B2" w:rsidP="0047397D">
            <w:pPr>
              <w:jc w:val="center"/>
              <w:rPr>
                <w:sz w:val="22"/>
                <w:szCs w:val="22"/>
              </w:rPr>
            </w:pPr>
            <w:r w:rsidRPr="009D558F">
              <w:rPr>
                <w:sz w:val="22"/>
                <w:szCs w:val="22"/>
              </w:rPr>
              <w:t>NS</w:t>
            </w:r>
          </w:p>
        </w:tc>
        <w:tc>
          <w:tcPr>
            <w:tcW w:w="922" w:type="pct"/>
            <w:tcBorders>
              <w:top w:val="nil"/>
              <w:left w:val="nil"/>
              <w:bottom w:val="single" w:sz="4" w:space="0" w:color="auto"/>
              <w:right w:val="nil"/>
            </w:tcBorders>
            <w:noWrap/>
            <w:vAlign w:val="center"/>
            <w:hideMark/>
          </w:tcPr>
          <w:p w14:paraId="66901FD6" w14:textId="77777777" w:rsidR="002B73B2" w:rsidRPr="009D558F" w:rsidRDefault="002B73B2" w:rsidP="0047397D">
            <w:pPr>
              <w:jc w:val="center"/>
              <w:rPr>
                <w:sz w:val="22"/>
                <w:szCs w:val="22"/>
              </w:rPr>
            </w:pPr>
            <w:r>
              <w:rPr>
                <w:sz w:val="22"/>
                <w:szCs w:val="22"/>
              </w:rPr>
              <w:t>*</w:t>
            </w:r>
          </w:p>
        </w:tc>
        <w:tc>
          <w:tcPr>
            <w:tcW w:w="921" w:type="pct"/>
            <w:tcBorders>
              <w:top w:val="nil"/>
              <w:left w:val="nil"/>
              <w:bottom w:val="single" w:sz="4" w:space="0" w:color="auto"/>
              <w:right w:val="nil"/>
            </w:tcBorders>
            <w:noWrap/>
            <w:vAlign w:val="center"/>
            <w:hideMark/>
          </w:tcPr>
          <w:p w14:paraId="42224283" w14:textId="77777777" w:rsidR="002B73B2" w:rsidRPr="009D558F" w:rsidRDefault="002B73B2" w:rsidP="0047397D">
            <w:pPr>
              <w:jc w:val="center"/>
              <w:rPr>
                <w:sz w:val="22"/>
                <w:szCs w:val="22"/>
              </w:rPr>
            </w:pPr>
            <w:r w:rsidRPr="009D558F">
              <w:rPr>
                <w:sz w:val="22"/>
                <w:szCs w:val="22"/>
              </w:rPr>
              <w:t>NS</w:t>
            </w:r>
          </w:p>
        </w:tc>
      </w:tr>
    </w:tbl>
    <w:p w14:paraId="3E6427C7" w14:textId="17B04412" w:rsidR="002B73B2" w:rsidRDefault="00F4717A" w:rsidP="0046513E">
      <w:pPr>
        <w:jc w:val="both"/>
        <w:rPr>
          <w:rFonts w:ascii="Arial" w:hAnsi="Arial" w:cs="Arial"/>
          <w:i/>
        </w:rPr>
      </w:pPr>
      <w:bookmarkStart w:id="24" w:name="_Toc132793752"/>
      <w:r w:rsidRPr="0014591B">
        <w:rPr>
          <w:rFonts w:ascii="Arial" w:hAnsi="Arial" w:cs="Arial"/>
          <w:i/>
        </w:rPr>
        <w:t>The assigned values of the same letters in the same column are not significantly different at the 5% probability level.</w:t>
      </w:r>
      <w:r w:rsidR="002B73B2" w:rsidRPr="0014591B">
        <w:rPr>
          <w:rFonts w:ascii="Arial" w:hAnsi="Arial" w:cs="Arial"/>
          <w:i/>
        </w:rPr>
        <w:t xml:space="preserve"> SG-NPK: Super NPK Granule; FP: Farmer's Practice; USG: Super Granulated Urea; PU: </w:t>
      </w:r>
      <w:proofErr w:type="spellStart"/>
      <w:r w:rsidR="008A0D38">
        <w:rPr>
          <w:rFonts w:ascii="Arial" w:hAnsi="Arial" w:cs="Arial"/>
          <w:i/>
        </w:rPr>
        <w:t>Prilled</w:t>
      </w:r>
      <w:proofErr w:type="spellEnd"/>
      <w:r w:rsidR="002B73B2" w:rsidRPr="0014591B">
        <w:rPr>
          <w:rFonts w:ascii="Arial" w:hAnsi="Arial" w:cs="Arial"/>
          <w:i/>
        </w:rPr>
        <w:t xml:space="preserve"> Urea; HS: Highly significant; NS: Not significant; CV: coefficient of variation </w:t>
      </w:r>
    </w:p>
    <w:p w14:paraId="2356E273" w14:textId="77777777" w:rsidR="002B73B2" w:rsidRPr="0002751E" w:rsidRDefault="002B73B2" w:rsidP="0046513E">
      <w:pPr>
        <w:jc w:val="both"/>
        <w:rPr>
          <w:rFonts w:ascii="Arial" w:hAnsi="Arial" w:cs="Arial"/>
          <w:b/>
          <w:bCs/>
          <w:i/>
          <w:sz w:val="22"/>
          <w:szCs w:val="22"/>
        </w:rPr>
      </w:pPr>
    </w:p>
    <w:p w14:paraId="573A117E" w14:textId="77777777" w:rsidR="002B73B2" w:rsidRDefault="002B73B2" w:rsidP="0046513E">
      <w:pPr>
        <w:jc w:val="both"/>
        <w:rPr>
          <w:rFonts w:ascii="Arial" w:hAnsi="Arial" w:cs="Arial"/>
          <w:b/>
          <w:bCs/>
          <w:i/>
          <w:sz w:val="22"/>
          <w:szCs w:val="22"/>
        </w:rPr>
      </w:pPr>
      <w:r w:rsidRPr="0002751E">
        <w:rPr>
          <w:rFonts w:ascii="Arial" w:hAnsi="Arial" w:cs="Arial"/>
          <w:b/>
          <w:bCs/>
          <w:i/>
          <w:sz w:val="22"/>
          <w:szCs w:val="22"/>
        </w:rPr>
        <w:t>3.2.3. Correlation between rice yield, nutrient uptake, and nutrient use efficiency indicators</w:t>
      </w:r>
    </w:p>
    <w:p w14:paraId="69BE060F" w14:textId="77777777" w:rsidR="002B73B2" w:rsidRPr="0002751E" w:rsidRDefault="002B73B2" w:rsidP="0046513E">
      <w:pPr>
        <w:jc w:val="both"/>
        <w:rPr>
          <w:rFonts w:ascii="Arial" w:hAnsi="Arial" w:cs="Arial"/>
          <w:b/>
          <w:bCs/>
          <w:i/>
          <w:sz w:val="22"/>
          <w:szCs w:val="22"/>
        </w:rPr>
      </w:pPr>
    </w:p>
    <w:p w14:paraId="39FB4DE2" w14:textId="72E21824" w:rsidR="002B73B2" w:rsidRPr="0002751E" w:rsidRDefault="002B73B2" w:rsidP="00F74835">
      <w:pPr>
        <w:spacing w:line="360" w:lineRule="auto"/>
        <w:jc w:val="both"/>
        <w:rPr>
          <w:rFonts w:ascii="Arial" w:hAnsi="Arial" w:cs="Arial"/>
          <w:iCs/>
          <w:sz w:val="22"/>
          <w:szCs w:val="22"/>
        </w:rPr>
      </w:pPr>
      <w:r w:rsidRPr="0002751E">
        <w:rPr>
          <w:rFonts w:ascii="Arial" w:hAnsi="Arial" w:cs="Arial"/>
          <w:iCs/>
          <w:sz w:val="22"/>
          <w:szCs w:val="22"/>
        </w:rPr>
        <w:t>Correlation analysis</w:t>
      </w:r>
      <w:r>
        <w:rPr>
          <w:rFonts w:ascii="Arial" w:hAnsi="Arial" w:cs="Arial"/>
          <w:iCs/>
          <w:sz w:val="22"/>
          <w:szCs w:val="22"/>
        </w:rPr>
        <w:t xml:space="preserve"> (Figure 1)</w:t>
      </w:r>
      <w:r w:rsidRPr="0002751E">
        <w:rPr>
          <w:rFonts w:ascii="Arial" w:hAnsi="Arial" w:cs="Arial"/>
          <w:iCs/>
          <w:sz w:val="22"/>
          <w:szCs w:val="22"/>
        </w:rPr>
        <w:t xml:space="preserve"> revealed strong relationships among rice yield, nutrient uptake, and nutrient use efficiency indicators. </w:t>
      </w:r>
      <w:r w:rsidR="00F4717A" w:rsidRPr="0002751E">
        <w:rPr>
          <w:rFonts w:ascii="Arial" w:hAnsi="Arial" w:cs="Arial"/>
          <w:iCs/>
          <w:sz w:val="22"/>
          <w:szCs w:val="22"/>
        </w:rPr>
        <w:t>Paddy yield was strongly and positively correlated with straw yield (r = 0.87), total nitrogen uptake (r = 0.76), and total phosphorus uptake (r = 0.90), indicating that higher biomass production and nutrient acquisition contributed to increased grain yield.</w:t>
      </w:r>
      <w:r w:rsidRPr="0002751E">
        <w:rPr>
          <w:rFonts w:ascii="Arial" w:hAnsi="Arial" w:cs="Arial"/>
          <w:iCs/>
          <w:sz w:val="22"/>
          <w:szCs w:val="22"/>
        </w:rPr>
        <w:t xml:space="preserve"> </w:t>
      </w:r>
      <w:r w:rsidR="00F4717A" w:rsidRPr="0002751E">
        <w:rPr>
          <w:rFonts w:ascii="Arial" w:hAnsi="Arial" w:cs="Arial"/>
          <w:iCs/>
          <w:sz w:val="22"/>
          <w:szCs w:val="22"/>
        </w:rPr>
        <w:t>Straw yield was also strongly and positively correlated with total phosphorus (r = 0.92) and nitrogen (r = 0.78) uptake.</w:t>
      </w:r>
      <w:r w:rsidRPr="0002751E">
        <w:rPr>
          <w:rFonts w:ascii="Arial" w:hAnsi="Arial" w:cs="Arial"/>
          <w:iCs/>
          <w:sz w:val="22"/>
          <w:szCs w:val="22"/>
        </w:rPr>
        <w:t xml:space="preserve"> </w:t>
      </w:r>
      <w:r w:rsidR="00F4717A" w:rsidRPr="0002751E">
        <w:rPr>
          <w:rFonts w:ascii="Arial" w:hAnsi="Arial" w:cs="Arial"/>
          <w:iCs/>
          <w:sz w:val="22"/>
          <w:szCs w:val="22"/>
        </w:rPr>
        <w:t>In contrast, the internal efficiencies for nitrogen and phosphorus (IEN and IEP) were negatively correlated with yield and nutrient uptake variables (r = −0.83 between IEN and total N uptake), suggesting dilution effects with increasing nutrient uptake.</w:t>
      </w:r>
      <w:r w:rsidRPr="0002751E">
        <w:rPr>
          <w:rFonts w:ascii="Arial" w:hAnsi="Arial" w:cs="Arial"/>
          <w:iCs/>
          <w:sz w:val="22"/>
          <w:szCs w:val="22"/>
        </w:rPr>
        <w:t xml:space="preserve"> The physiological efficiency of nitrogen (PEN) was positively associated with paddy yield (r = 0.83) and straw yield (r = 0.80), highlighting the role of efficient nutrient conversion into biomass. </w:t>
      </w:r>
      <w:r w:rsidR="00F4717A" w:rsidRPr="0002751E">
        <w:rPr>
          <w:rFonts w:ascii="Arial" w:hAnsi="Arial" w:cs="Arial"/>
          <w:iCs/>
          <w:sz w:val="22"/>
          <w:szCs w:val="22"/>
        </w:rPr>
        <w:t>Overall, rice productivity in this system appears to be primarily driven by nutrient uptake and physiological efficiency, rather than internal efficiency alone.</w:t>
      </w:r>
    </w:p>
    <w:p w14:paraId="78E7A82C" w14:textId="77777777" w:rsidR="002B73B2" w:rsidRDefault="002B73B2" w:rsidP="0046513E">
      <w:pPr>
        <w:jc w:val="both"/>
        <w:rPr>
          <w:rFonts w:ascii="Arial" w:hAnsi="Arial" w:cs="Arial"/>
          <w:i/>
        </w:rPr>
      </w:pPr>
      <w:r>
        <w:rPr>
          <w:noProof/>
        </w:rPr>
        <w:drawing>
          <wp:anchor distT="0" distB="0" distL="114300" distR="114300" simplePos="0" relativeHeight="251659264" behindDoc="0" locked="0" layoutInCell="1" allowOverlap="1" wp14:anchorId="07C0D888" wp14:editId="0C3F7DE6">
            <wp:simplePos x="0" y="0"/>
            <wp:positionH relativeFrom="column">
              <wp:posOffset>0</wp:posOffset>
            </wp:positionH>
            <wp:positionV relativeFrom="paragraph">
              <wp:posOffset>142240</wp:posOffset>
            </wp:positionV>
            <wp:extent cx="4589780" cy="3594100"/>
            <wp:effectExtent l="0" t="0" r="1270" b="6350"/>
            <wp:wrapTopAndBottom/>
            <wp:docPr id="160958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2206"/>
                    <a:stretch/>
                  </pic:blipFill>
                  <pic:spPr bwMode="auto">
                    <a:xfrm>
                      <a:off x="0" y="0"/>
                      <a:ext cx="4589780" cy="3594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A2B8E5A" w14:textId="77777777" w:rsidR="002B73B2" w:rsidRDefault="002B73B2" w:rsidP="0046513E">
      <w:pPr>
        <w:jc w:val="both"/>
        <w:rPr>
          <w:rFonts w:ascii="Arial" w:hAnsi="Arial" w:cs="Arial"/>
          <w:i/>
        </w:rPr>
      </w:pPr>
    </w:p>
    <w:p w14:paraId="240101F7" w14:textId="77777777" w:rsidR="002B73B2" w:rsidRDefault="002B73B2" w:rsidP="0046513E">
      <w:pPr>
        <w:jc w:val="both"/>
        <w:rPr>
          <w:rFonts w:ascii="Arial" w:hAnsi="Arial" w:cs="Arial"/>
          <w:i/>
        </w:rPr>
      </w:pPr>
    </w:p>
    <w:p w14:paraId="55B53074" w14:textId="77777777" w:rsidR="002B73B2" w:rsidRPr="0014591B" w:rsidRDefault="002B73B2" w:rsidP="0046513E">
      <w:pPr>
        <w:jc w:val="both"/>
        <w:rPr>
          <w:rFonts w:ascii="Arial" w:hAnsi="Arial" w:cs="Arial"/>
          <w:i/>
        </w:rPr>
      </w:pPr>
    </w:p>
    <w:p w14:paraId="2310B62C" w14:textId="77777777" w:rsidR="002B73B2" w:rsidRPr="0014591B" w:rsidRDefault="002B73B2" w:rsidP="0046513E">
      <w:pPr>
        <w:pStyle w:val="Heading4"/>
        <w:rPr>
          <w:rFonts w:ascii="Helvetica" w:eastAsia="Times New Roman" w:hAnsi="Helvetica" w:cs="Times New Roman"/>
          <w:i w:val="0"/>
          <w:iCs w:val="0"/>
          <w:color w:val="auto"/>
        </w:rPr>
      </w:pPr>
      <w:r>
        <w:rPr>
          <w:rFonts w:ascii="Arial" w:hAnsi="Arial" w:cs="Arial"/>
          <w:b/>
          <w:bCs/>
          <w:color w:val="auto"/>
          <w:sz w:val="22"/>
        </w:rPr>
        <w:t xml:space="preserve">Figure 1. </w:t>
      </w:r>
      <w:r w:rsidRPr="0014591B">
        <w:rPr>
          <w:rFonts w:ascii="Arial" w:hAnsi="Arial" w:cs="Arial"/>
          <w:b/>
          <w:bCs/>
          <w:color w:val="auto"/>
          <w:sz w:val="22"/>
        </w:rPr>
        <w:t>Effect of mineral fertilization types on agronomic efficiency and partial nutrient productivity factor</w:t>
      </w:r>
      <w:r w:rsidRPr="0014591B">
        <w:rPr>
          <w:rFonts w:ascii="Helvetica" w:eastAsia="Times New Roman" w:hAnsi="Helvetica" w:cs="Times New Roman"/>
          <w:i w:val="0"/>
          <w:iCs w:val="0"/>
          <w:color w:val="auto"/>
        </w:rPr>
        <w:t xml:space="preserve"> </w:t>
      </w:r>
      <w:bookmarkEnd w:id="24"/>
    </w:p>
    <w:p w14:paraId="53297C44" w14:textId="1962AB8A" w:rsidR="002B73B2" w:rsidRPr="00252D1B" w:rsidRDefault="002B73B2" w:rsidP="0046513E">
      <w:pPr>
        <w:spacing w:before="100" w:beforeAutospacing="1" w:after="100" w:afterAutospacing="1" w:line="360" w:lineRule="auto"/>
        <w:jc w:val="both"/>
        <w:rPr>
          <w:rFonts w:ascii="Arial" w:hAnsi="Arial" w:cs="Arial"/>
          <w:sz w:val="22"/>
          <w:szCs w:val="22"/>
        </w:rPr>
      </w:pPr>
      <w:r w:rsidRPr="00B82D01">
        <w:rPr>
          <w:rFonts w:ascii="Arial" w:hAnsi="Arial" w:cs="Arial"/>
          <w:sz w:val="22"/>
          <w:szCs w:val="22"/>
        </w:rPr>
        <w:t xml:space="preserve">Table </w:t>
      </w:r>
      <w:r w:rsidR="00771F85">
        <w:rPr>
          <w:rFonts w:ascii="Arial" w:hAnsi="Arial" w:cs="Arial"/>
          <w:sz w:val="22"/>
          <w:szCs w:val="22"/>
        </w:rPr>
        <w:t>6</w:t>
      </w:r>
      <w:r w:rsidRPr="00B82D01">
        <w:rPr>
          <w:rFonts w:ascii="Arial" w:hAnsi="Arial" w:cs="Arial"/>
          <w:sz w:val="22"/>
          <w:szCs w:val="22"/>
        </w:rPr>
        <w:t xml:space="preserve"> presents the agronomic efficiency (AE) and partial productivity factor (PPF) of phosphorus and nitrogen according to the treatments. </w:t>
      </w:r>
      <w:r w:rsidR="00F4717A" w:rsidRPr="00B82D01">
        <w:rPr>
          <w:rFonts w:ascii="Arial" w:hAnsi="Arial" w:cs="Arial"/>
          <w:sz w:val="22"/>
          <w:szCs w:val="22"/>
        </w:rPr>
        <w:t>Analysis of this table revealed that the combinations 150 kg NPK + USG (18.18 kg</w:t>
      </w:r>
      <w:r w:rsidR="00F4717A">
        <w:rPr>
          <w:rFonts w:ascii="Arial" w:hAnsi="Arial" w:cs="Arial"/>
          <w:sz w:val="22"/>
          <w:szCs w:val="22"/>
        </w:rPr>
        <w:t xml:space="preserve"> </w:t>
      </w:r>
      <w:r w:rsidR="00F4717A" w:rsidRPr="00B82D01">
        <w:rPr>
          <w:rFonts w:ascii="Arial" w:hAnsi="Arial" w:cs="Arial"/>
          <w:sz w:val="22"/>
          <w:szCs w:val="22"/>
        </w:rPr>
        <w:t>kg</w:t>
      </w:r>
      <w:r w:rsidR="00F4717A" w:rsidRPr="00B82D01">
        <w:rPr>
          <w:rFonts w:ascii="Cambria Math" w:hAnsi="Cambria Math" w:cs="Cambria Math"/>
          <w:sz w:val="22"/>
          <w:szCs w:val="22"/>
        </w:rPr>
        <w:t>⁻</w:t>
      </w:r>
      <w:r w:rsidR="00F4717A" w:rsidRPr="00B82D01">
        <w:rPr>
          <w:rFonts w:ascii="Arial" w:hAnsi="Arial" w:cs="Arial"/>
          <w:sz w:val="22"/>
          <w:szCs w:val="22"/>
        </w:rPr>
        <w:t>¹ N) and 2 SG-NPK + PU (17.17 kg</w:t>
      </w:r>
      <w:r w:rsidR="00F4717A">
        <w:rPr>
          <w:rFonts w:ascii="Arial" w:hAnsi="Arial" w:cs="Arial"/>
          <w:sz w:val="22"/>
          <w:szCs w:val="22"/>
        </w:rPr>
        <w:t xml:space="preserve"> </w:t>
      </w:r>
      <w:r w:rsidR="00F4717A" w:rsidRPr="00B82D01">
        <w:rPr>
          <w:rFonts w:ascii="Arial" w:hAnsi="Arial" w:cs="Arial"/>
          <w:sz w:val="22"/>
          <w:szCs w:val="22"/>
        </w:rPr>
        <w:t>kg</w:t>
      </w:r>
      <w:r w:rsidR="00F4717A" w:rsidRPr="00B82D01">
        <w:rPr>
          <w:rFonts w:ascii="Cambria Math" w:hAnsi="Cambria Math" w:cs="Cambria Math"/>
          <w:sz w:val="22"/>
          <w:szCs w:val="22"/>
        </w:rPr>
        <w:t>⁻</w:t>
      </w:r>
      <w:r w:rsidR="00F4717A" w:rsidRPr="00B82D01">
        <w:rPr>
          <w:rFonts w:ascii="Arial" w:hAnsi="Arial" w:cs="Arial"/>
          <w:sz w:val="22"/>
          <w:szCs w:val="22"/>
        </w:rPr>
        <w:t>¹ N) yielded the best agronomic efficiencies of nitrogen fertilizer (AEN).</w:t>
      </w:r>
      <w:r w:rsidRPr="00B82D01">
        <w:rPr>
          <w:rFonts w:ascii="Arial" w:hAnsi="Arial" w:cs="Arial"/>
          <w:sz w:val="22"/>
          <w:szCs w:val="22"/>
        </w:rPr>
        <w:t xml:space="preserve"> </w:t>
      </w:r>
      <w:r w:rsidR="00F4717A" w:rsidRPr="00B82D01">
        <w:rPr>
          <w:rFonts w:ascii="Arial" w:hAnsi="Arial" w:cs="Arial"/>
          <w:sz w:val="22"/>
          <w:szCs w:val="22"/>
        </w:rPr>
        <w:t>However, statistical analysis showed that the treatments had no significant effect on the AEN.</w:t>
      </w:r>
      <w:r w:rsidRPr="00B82D01">
        <w:rPr>
          <w:rFonts w:ascii="Arial" w:hAnsi="Arial" w:cs="Arial"/>
          <w:sz w:val="22"/>
          <w:szCs w:val="22"/>
        </w:rPr>
        <w:t xml:space="preserve"> The agronomic efficiency of P (AEP) ranged from 9.43 to 38.45 kg</w:t>
      </w:r>
      <w:r w:rsidR="00127FE6">
        <w:rPr>
          <w:rFonts w:ascii="Arial" w:hAnsi="Arial" w:cs="Arial"/>
          <w:sz w:val="22"/>
          <w:szCs w:val="22"/>
        </w:rPr>
        <w:t xml:space="preserve"> </w:t>
      </w:r>
      <w:r w:rsidRPr="00B82D01">
        <w:rPr>
          <w:rFonts w:ascii="Arial" w:hAnsi="Arial" w:cs="Arial"/>
          <w:sz w:val="22"/>
          <w:szCs w:val="22"/>
        </w:rPr>
        <w:t>kg</w:t>
      </w:r>
      <w:r w:rsidRPr="00617F2C">
        <w:rPr>
          <w:rFonts w:ascii="Arial" w:hAnsi="Arial" w:cs="Arial"/>
          <w:sz w:val="22"/>
          <w:szCs w:val="22"/>
          <w:vertAlign w:val="superscript"/>
        </w:rPr>
        <w:t>-1</w:t>
      </w:r>
      <w:r w:rsidRPr="00B82D01">
        <w:rPr>
          <w:rFonts w:ascii="Arial" w:hAnsi="Arial" w:cs="Arial"/>
          <w:sz w:val="22"/>
          <w:szCs w:val="22"/>
        </w:rPr>
        <w:t>P. The most effective treatments were 150 kg NPK + USG (38.45 kg</w:t>
      </w:r>
      <w:r w:rsidR="00127FE6">
        <w:rPr>
          <w:rFonts w:ascii="Arial" w:hAnsi="Arial" w:cs="Arial"/>
          <w:sz w:val="22"/>
          <w:szCs w:val="22"/>
        </w:rPr>
        <w:t xml:space="preserve"> </w:t>
      </w:r>
      <w:r w:rsidRPr="00B82D01">
        <w:rPr>
          <w:rFonts w:ascii="Arial" w:hAnsi="Arial" w:cs="Arial"/>
          <w:sz w:val="22"/>
          <w:szCs w:val="22"/>
        </w:rPr>
        <w:t>kg</w:t>
      </w:r>
      <w:r w:rsidRPr="00617F2C">
        <w:rPr>
          <w:rFonts w:ascii="Arial" w:hAnsi="Arial" w:cs="Arial"/>
          <w:sz w:val="22"/>
          <w:szCs w:val="22"/>
          <w:vertAlign w:val="superscript"/>
        </w:rPr>
        <w:t>-1</w:t>
      </w:r>
      <w:r w:rsidRPr="00B82D01">
        <w:rPr>
          <w:rFonts w:ascii="Arial" w:hAnsi="Arial" w:cs="Arial"/>
          <w:sz w:val="22"/>
          <w:szCs w:val="22"/>
        </w:rPr>
        <w:t xml:space="preserve">P) and </w:t>
      </w:r>
      <w:r w:rsidR="007A10FF">
        <w:rPr>
          <w:rFonts w:ascii="Arial" w:hAnsi="Arial" w:cs="Arial"/>
          <w:sz w:val="22"/>
          <w:szCs w:val="22"/>
        </w:rPr>
        <w:t>F</w:t>
      </w:r>
      <w:r w:rsidRPr="00B82D01">
        <w:rPr>
          <w:rFonts w:ascii="Arial" w:hAnsi="Arial" w:cs="Arial"/>
          <w:sz w:val="22"/>
          <w:szCs w:val="22"/>
        </w:rPr>
        <w:t>P (26.14 kg</w:t>
      </w:r>
      <w:r w:rsidR="00127FE6">
        <w:rPr>
          <w:rFonts w:ascii="Arial" w:hAnsi="Arial" w:cs="Arial"/>
          <w:sz w:val="22"/>
          <w:szCs w:val="22"/>
        </w:rPr>
        <w:t xml:space="preserve"> </w:t>
      </w:r>
      <w:r w:rsidRPr="00B82D01">
        <w:rPr>
          <w:rFonts w:ascii="Arial" w:hAnsi="Arial" w:cs="Arial"/>
          <w:sz w:val="22"/>
          <w:szCs w:val="22"/>
        </w:rPr>
        <w:t>kg</w:t>
      </w:r>
      <w:r w:rsidRPr="00617F2C">
        <w:rPr>
          <w:rFonts w:ascii="Arial" w:hAnsi="Arial" w:cs="Arial"/>
          <w:sz w:val="22"/>
          <w:szCs w:val="22"/>
          <w:vertAlign w:val="superscript"/>
        </w:rPr>
        <w:t>-1</w:t>
      </w:r>
      <w:r w:rsidRPr="00B82D01">
        <w:rPr>
          <w:rFonts w:ascii="Arial" w:hAnsi="Arial" w:cs="Arial"/>
          <w:sz w:val="22"/>
          <w:szCs w:val="22"/>
        </w:rPr>
        <w:t>P).</w:t>
      </w:r>
      <w:r w:rsidRPr="00252D1B">
        <w:rPr>
          <w:rFonts w:ascii="Arial" w:hAnsi="Arial" w:cs="Arial"/>
          <w:sz w:val="22"/>
          <w:szCs w:val="22"/>
        </w:rPr>
        <w:t xml:space="preserve"> </w:t>
      </w:r>
      <w:r w:rsidRPr="00B82D01">
        <w:rPr>
          <w:rFonts w:ascii="Arial" w:hAnsi="Arial" w:cs="Arial"/>
          <w:sz w:val="22"/>
          <w:szCs w:val="22"/>
        </w:rPr>
        <w:t xml:space="preserve">Analysis of variance showed a significant effect of different types of mineral </w:t>
      </w:r>
      <w:r w:rsidR="00617F2C" w:rsidRPr="00B82D01">
        <w:rPr>
          <w:rFonts w:ascii="Arial" w:hAnsi="Arial" w:cs="Arial"/>
          <w:sz w:val="22"/>
          <w:szCs w:val="22"/>
        </w:rPr>
        <w:t>fertilization</w:t>
      </w:r>
      <w:r w:rsidRPr="00B82D01">
        <w:rPr>
          <w:rFonts w:ascii="Arial" w:hAnsi="Arial" w:cs="Arial"/>
          <w:sz w:val="22"/>
          <w:szCs w:val="22"/>
        </w:rPr>
        <w:t xml:space="preserve"> on EAP (P= 0.007). </w:t>
      </w:r>
      <w:r w:rsidR="00F4717A" w:rsidRPr="00B82D01">
        <w:rPr>
          <w:rFonts w:ascii="Arial" w:hAnsi="Arial" w:cs="Arial"/>
          <w:sz w:val="22"/>
          <w:szCs w:val="22"/>
        </w:rPr>
        <w:t>The Student–Newman–</w:t>
      </w:r>
      <w:proofErr w:type="spellStart"/>
      <w:r w:rsidR="00F4717A" w:rsidRPr="00B82D01">
        <w:rPr>
          <w:rFonts w:ascii="Arial" w:hAnsi="Arial" w:cs="Arial"/>
          <w:sz w:val="22"/>
          <w:szCs w:val="22"/>
        </w:rPr>
        <w:t>Keuls</w:t>
      </w:r>
      <w:proofErr w:type="spellEnd"/>
      <w:r w:rsidR="00F4717A" w:rsidRPr="00B82D01">
        <w:rPr>
          <w:rFonts w:ascii="Arial" w:hAnsi="Arial" w:cs="Arial"/>
          <w:sz w:val="22"/>
          <w:szCs w:val="22"/>
        </w:rPr>
        <w:t xml:space="preserve"> test also detected highly significant differences between the treatments.</w:t>
      </w:r>
      <w:r w:rsidRPr="00252D1B">
        <w:rPr>
          <w:rFonts w:ascii="Arial" w:hAnsi="Arial" w:cs="Arial"/>
          <w:sz w:val="22"/>
          <w:szCs w:val="22"/>
        </w:rPr>
        <w:t xml:space="preserve"> </w:t>
      </w:r>
      <w:r w:rsidR="00F4717A" w:rsidRPr="00B82D01">
        <w:rPr>
          <w:rFonts w:ascii="Arial" w:hAnsi="Arial" w:cs="Arial"/>
          <w:sz w:val="22"/>
          <w:szCs w:val="22"/>
        </w:rPr>
        <w:t xml:space="preserve">Table </w:t>
      </w:r>
      <w:r w:rsidR="00771F85">
        <w:rPr>
          <w:rFonts w:ascii="Arial" w:hAnsi="Arial" w:cs="Arial"/>
          <w:sz w:val="22"/>
          <w:szCs w:val="22"/>
        </w:rPr>
        <w:t>6</w:t>
      </w:r>
      <w:r w:rsidR="00F4717A" w:rsidRPr="00B82D01">
        <w:rPr>
          <w:rFonts w:ascii="Arial" w:hAnsi="Arial" w:cs="Arial"/>
          <w:sz w:val="22"/>
          <w:szCs w:val="22"/>
        </w:rPr>
        <w:t xml:space="preserve"> also shows the effects of the different treatments on the PFP of both phosphorus and nitrogen.</w:t>
      </w:r>
      <w:r w:rsidRPr="00B82D01">
        <w:rPr>
          <w:rFonts w:ascii="Arial" w:hAnsi="Arial" w:cs="Arial"/>
          <w:sz w:val="22"/>
          <w:szCs w:val="22"/>
        </w:rPr>
        <w:t xml:space="preserve"> </w:t>
      </w:r>
      <w:r w:rsidR="00F4717A" w:rsidRPr="00B82D01">
        <w:rPr>
          <w:rFonts w:ascii="Arial" w:hAnsi="Arial" w:cs="Arial"/>
          <w:sz w:val="22"/>
          <w:szCs w:val="22"/>
        </w:rPr>
        <w:t>This index highlights the improvement in the yield per kilogram of fertilizer applied.</w:t>
      </w:r>
      <w:r w:rsidRPr="00B82D01">
        <w:rPr>
          <w:rFonts w:ascii="Arial" w:hAnsi="Arial" w:cs="Arial"/>
          <w:sz w:val="22"/>
          <w:szCs w:val="22"/>
        </w:rPr>
        <w:t xml:space="preserve"> </w:t>
      </w:r>
      <w:r w:rsidR="00F4717A" w:rsidRPr="00B82D01">
        <w:rPr>
          <w:rFonts w:ascii="Arial" w:hAnsi="Arial" w:cs="Arial"/>
          <w:sz w:val="22"/>
          <w:szCs w:val="22"/>
        </w:rPr>
        <w:t xml:space="preserve">The analysis of this table revealed a decrease in the PFP of N (PFPN) as its application rate increased, except for </w:t>
      </w:r>
      <w:r w:rsidR="00F4717A">
        <w:rPr>
          <w:rFonts w:ascii="Arial" w:hAnsi="Arial" w:cs="Arial"/>
          <w:sz w:val="22"/>
          <w:szCs w:val="22"/>
        </w:rPr>
        <w:t>F</w:t>
      </w:r>
      <w:r w:rsidR="00F4717A" w:rsidRPr="00B82D01">
        <w:rPr>
          <w:rFonts w:ascii="Arial" w:hAnsi="Arial" w:cs="Arial"/>
          <w:sz w:val="22"/>
          <w:szCs w:val="22"/>
        </w:rPr>
        <w:t>P.</w:t>
      </w:r>
      <w:r w:rsidRPr="00B82D01">
        <w:rPr>
          <w:rFonts w:ascii="Arial" w:hAnsi="Arial" w:cs="Arial"/>
          <w:sz w:val="22"/>
          <w:szCs w:val="22"/>
        </w:rPr>
        <w:t xml:space="preserve"> The highest PFPN was recorded for treatment 2 SG-NPK (102.31 kg of grain</w:t>
      </w:r>
      <w:r w:rsidR="00127FE6">
        <w:rPr>
          <w:rFonts w:ascii="Arial" w:hAnsi="Arial" w:cs="Arial"/>
          <w:sz w:val="22"/>
          <w:szCs w:val="22"/>
        </w:rPr>
        <w:t xml:space="preserve"> </w:t>
      </w:r>
      <w:r w:rsidRPr="00B82D01">
        <w:rPr>
          <w:rFonts w:ascii="Arial" w:hAnsi="Arial" w:cs="Arial"/>
          <w:sz w:val="22"/>
          <w:szCs w:val="22"/>
        </w:rPr>
        <w:t>kg</w:t>
      </w:r>
      <w:r w:rsidRPr="00617F2C">
        <w:rPr>
          <w:rFonts w:ascii="Arial" w:hAnsi="Arial" w:cs="Arial"/>
          <w:sz w:val="22"/>
          <w:szCs w:val="22"/>
          <w:vertAlign w:val="superscript"/>
        </w:rPr>
        <w:t>-1</w:t>
      </w:r>
      <w:r w:rsidRPr="00B82D01">
        <w:rPr>
          <w:rFonts w:ascii="Arial" w:hAnsi="Arial" w:cs="Arial"/>
          <w:sz w:val="22"/>
          <w:szCs w:val="22"/>
        </w:rPr>
        <w:t>N applied), followed by 150 kg NPK + USG (61.09 kg of grain</w:t>
      </w:r>
      <w:r w:rsidR="00127FE6">
        <w:rPr>
          <w:rFonts w:ascii="Arial" w:hAnsi="Arial" w:cs="Arial"/>
          <w:sz w:val="22"/>
          <w:szCs w:val="22"/>
        </w:rPr>
        <w:t xml:space="preserve"> </w:t>
      </w:r>
      <w:r w:rsidRPr="00B82D01">
        <w:rPr>
          <w:rFonts w:ascii="Arial" w:hAnsi="Arial" w:cs="Arial"/>
          <w:sz w:val="22"/>
          <w:szCs w:val="22"/>
        </w:rPr>
        <w:t>kg</w:t>
      </w:r>
      <w:r w:rsidRPr="00617F2C">
        <w:rPr>
          <w:rFonts w:ascii="Arial" w:hAnsi="Arial" w:cs="Arial"/>
          <w:sz w:val="22"/>
          <w:szCs w:val="22"/>
          <w:vertAlign w:val="superscript"/>
        </w:rPr>
        <w:t>-1</w:t>
      </w:r>
      <w:r w:rsidRPr="00B82D01">
        <w:rPr>
          <w:rFonts w:ascii="Arial" w:hAnsi="Arial" w:cs="Arial"/>
          <w:sz w:val="22"/>
          <w:szCs w:val="22"/>
        </w:rPr>
        <w:t xml:space="preserve">N applied). ANOVA also revealed a significant effect of the treatments on PFPN. </w:t>
      </w:r>
      <w:r w:rsidR="00F4717A" w:rsidRPr="00252D1B">
        <w:rPr>
          <w:rFonts w:ascii="Arial" w:hAnsi="Arial" w:cs="Arial"/>
          <w:sz w:val="22"/>
          <w:szCs w:val="22"/>
        </w:rPr>
        <w:t>However, the treatments were similar, except for Treatment 2 (SG-NPK).</w:t>
      </w:r>
      <w:r w:rsidRPr="00252D1B">
        <w:rPr>
          <w:rFonts w:ascii="Arial" w:hAnsi="Arial" w:cs="Arial"/>
          <w:sz w:val="22"/>
          <w:szCs w:val="22"/>
        </w:rPr>
        <w:t xml:space="preserve"> The same trend was observed for P PFP (PFPP). The highest PFPP was obtained with the 150 kg NPK + USG treatment (119.03 kg grain</w:t>
      </w:r>
      <w:r w:rsidR="00127FE6">
        <w:rPr>
          <w:rFonts w:ascii="Arial" w:hAnsi="Arial" w:cs="Arial"/>
          <w:sz w:val="22"/>
          <w:szCs w:val="22"/>
        </w:rPr>
        <w:t xml:space="preserve"> </w:t>
      </w:r>
      <w:r w:rsidRPr="00252D1B">
        <w:rPr>
          <w:rFonts w:ascii="Arial" w:hAnsi="Arial" w:cs="Arial"/>
          <w:sz w:val="22"/>
          <w:szCs w:val="22"/>
        </w:rPr>
        <w:t>kg</w:t>
      </w:r>
      <w:r w:rsidRPr="00617F2C">
        <w:rPr>
          <w:rFonts w:ascii="Arial" w:hAnsi="Arial" w:cs="Arial"/>
          <w:sz w:val="22"/>
          <w:szCs w:val="22"/>
          <w:vertAlign w:val="superscript"/>
        </w:rPr>
        <w:t>-1</w:t>
      </w:r>
      <w:r w:rsidRPr="00252D1B">
        <w:rPr>
          <w:rFonts w:ascii="Arial" w:hAnsi="Arial" w:cs="Arial"/>
          <w:sz w:val="22"/>
          <w:szCs w:val="22"/>
        </w:rPr>
        <w:t xml:space="preserve"> P applied), and the lowest PFPP was recorded with 2 SG-NPK (68.55 kg grain</w:t>
      </w:r>
      <w:r w:rsidR="00127FE6">
        <w:rPr>
          <w:rFonts w:ascii="Arial" w:hAnsi="Arial" w:cs="Arial"/>
          <w:sz w:val="22"/>
          <w:szCs w:val="22"/>
        </w:rPr>
        <w:t xml:space="preserve"> </w:t>
      </w:r>
      <w:r w:rsidRPr="00252D1B">
        <w:rPr>
          <w:rFonts w:ascii="Arial" w:hAnsi="Arial" w:cs="Arial"/>
          <w:sz w:val="22"/>
          <w:szCs w:val="22"/>
        </w:rPr>
        <w:t>kg</w:t>
      </w:r>
      <w:r w:rsidRPr="00617F2C">
        <w:rPr>
          <w:rFonts w:ascii="Arial" w:hAnsi="Arial" w:cs="Arial"/>
          <w:sz w:val="22"/>
          <w:szCs w:val="22"/>
          <w:vertAlign w:val="superscript"/>
        </w:rPr>
        <w:t>-1</w:t>
      </w:r>
      <w:r w:rsidRPr="00252D1B">
        <w:rPr>
          <w:rFonts w:ascii="Arial" w:hAnsi="Arial" w:cs="Arial"/>
          <w:sz w:val="22"/>
          <w:szCs w:val="22"/>
        </w:rPr>
        <w:t xml:space="preserve"> P applied). Statistical analysis also showed a significant effect of the treatments on phosphorus PFP. Furthermore, NPK briquettes were statistically different from </w:t>
      </w:r>
      <w:r w:rsidR="007A10FF">
        <w:rPr>
          <w:rFonts w:ascii="Arial" w:hAnsi="Arial" w:cs="Arial"/>
          <w:sz w:val="22"/>
          <w:szCs w:val="22"/>
        </w:rPr>
        <w:t>F</w:t>
      </w:r>
      <w:r w:rsidRPr="00252D1B">
        <w:rPr>
          <w:rFonts w:ascii="Arial" w:hAnsi="Arial" w:cs="Arial"/>
          <w:sz w:val="22"/>
          <w:szCs w:val="22"/>
        </w:rPr>
        <w:t>P and 150 kg NPK + USG.</w:t>
      </w:r>
    </w:p>
    <w:p w14:paraId="79912513" w14:textId="1C767D2F" w:rsidR="002B73B2" w:rsidRPr="0014591B" w:rsidRDefault="002B73B2" w:rsidP="0046513E">
      <w:pPr>
        <w:pStyle w:val="Caption"/>
        <w:rPr>
          <w:rFonts w:ascii="Arial" w:hAnsi="Arial" w:cs="Arial"/>
          <w:i w:val="0"/>
          <w:color w:val="auto"/>
          <w:sz w:val="22"/>
          <w:szCs w:val="22"/>
          <w:lang w:eastAsia="fr-FR"/>
        </w:rPr>
      </w:pPr>
      <w:bookmarkStart w:id="25" w:name="_Toc132790401"/>
      <w:r w:rsidRPr="0014591B">
        <w:rPr>
          <w:rFonts w:ascii="Arial" w:hAnsi="Arial" w:cs="Arial"/>
          <w:b/>
          <w:i w:val="0"/>
          <w:color w:val="auto"/>
          <w:sz w:val="22"/>
          <w:szCs w:val="22"/>
        </w:rPr>
        <w:t xml:space="preserve">Table </w:t>
      </w:r>
      <w:r w:rsidR="00771F85">
        <w:rPr>
          <w:rFonts w:ascii="Arial" w:hAnsi="Arial" w:cs="Arial"/>
          <w:b/>
          <w:i w:val="0"/>
          <w:color w:val="auto"/>
          <w:sz w:val="22"/>
          <w:szCs w:val="22"/>
        </w:rPr>
        <w:t>6</w:t>
      </w:r>
      <w:r w:rsidRPr="0014591B">
        <w:rPr>
          <w:rFonts w:ascii="Arial" w:hAnsi="Arial" w:cs="Arial"/>
          <w:i w:val="0"/>
          <w:color w:val="auto"/>
          <w:sz w:val="22"/>
          <w:szCs w:val="22"/>
        </w:rPr>
        <w:t>: Effect of fertilizer types on agronomic efficiency and on the partial productivity factor of nitrogen and phosphorus</w:t>
      </w:r>
      <w:bookmarkEnd w:id="25"/>
    </w:p>
    <w:p w14:paraId="50484B14" w14:textId="77777777" w:rsidR="002B73B2" w:rsidRPr="00E86361" w:rsidRDefault="002B73B2" w:rsidP="0046513E">
      <w:pPr>
        <w:rPr>
          <w:i/>
          <w:sz w:val="22"/>
          <w:szCs w:val="22"/>
        </w:rPr>
      </w:pPr>
    </w:p>
    <w:tbl>
      <w:tblPr>
        <w:tblpPr w:leftFromText="180" w:rightFromText="180" w:vertAnchor="text" w:horzAnchor="margin" w:tblpY="-37"/>
        <w:tblW w:w="5000" w:type="pct"/>
        <w:tblLook w:val="04A0" w:firstRow="1" w:lastRow="0" w:firstColumn="1" w:lastColumn="0" w:noHBand="0" w:noVBand="1"/>
      </w:tblPr>
      <w:tblGrid>
        <w:gridCol w:w="1728"/>
        <w:gridCol w:w="1553"/>
        <w:gridCol w:w="1553"/>
        <w:gridCol w:w="1688"/>
        <w:gridCol w:w="1686"/>
      </w:tblGrid>
      <w:tr w:rsidR="002B73B2" w:rsidRPr="00EA353C" w14:paraId="22640553" w14:textId="77777777" w:rsidTr="0047397D">
        <w:trPr>
          <w:trHeight w:val="630"/>
        </w:trPr>
        <w:tc>
          <w:tcPr>
            <w:tcW w:w="1053" w:type="pct"/>
            <w:tcBorders>
              <w:top w:val="single" w:sz="4" w:space="0" w:color="auto"/>
              <w:left w:val="nil"/>
              <w:bottom w:val="single" w:sz="4" w:space="0" w:color="auto"/>
              <w:right w:val="nil"/>
            </w:tcBorders>
            <w:vAlign w:val="center"/>
            <w:hideMark/>
          </w:tcPr>
          <w:p w14:paraId="00751DCE" w14:textId="77777777" w:rsidR="002B73B2" w:rsidRPr="00EA353C" w:rsidRDefault="002B73B2" w:rsidP="0047397D">
            <w:pPr>
              <w:rPr>
                <w:b/>
                <w:bCs/>
                <w:sz w:val="22"/>
                <w:szCs w:val="22"/>
              </w:rPr>
            </w:pPr>
            <w:r w:rsidRPr="00EA353C">
              <w:rPr>
                <w:b/>
                <w:bCs/>
                <w:sz w:val="22"/>
                <w:szCs w:val="22"/>
              </w:rPr>
              <w:lastRenderedPageBreak/>
              <w:t>Treatment</w:t>
            </w:r>
          </w:p>
        </w:tc>
        <w:tc>
          <w:tcPr>
            <w:tcW w:w="946" w:type="pct"/>
            <w:tcBorders>
              <w:top w:val="single" w:sz="4" w:space="0" w:color="auto"/>
              <w:left w:val="nil"/>
              <w:bottom w:val="single" w:sz="4" w:space="0" w:color="auto"/>
              <w:right w:val="nil"/>
            </w:tcBorders>
            <w:vAlign w:val="center"/>
            <w:hideMark/>
          </w:tcPr>
          <w:p w14:paraId="28050BA7" w14:textId="77777777" w:rsidR="002B73B2" w:rsidRPr="00EA353C" w:rsidRDefault="002B73B2" w:rsidP="0047397D">
            <w:pPr>
              <w:jc w:val="center"/>
              <w:rPr>
                <w:b/>
                <w:bCs/>
                <w:sz w:val="22"/>
                <w:szCs w:val="22"/>
              </w:rPr>
            </w:pPr>
            <w:r w:rsidRPr="00EA353C">
              <w:rPr>
                <w:b/>
                <w:bCs/>
                <w:sz w:val="22"/>
                <w:szCs w:val="22"/>
              </w:rPr>
              <w:t>Agronomic efficiency N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c>
          <w:tcPr>
            <w:tcW w:w="946" w:type="pct"/>
            <w:tcBorders>
              <w:top w:val="single" w:sz="4" w:space="0" w:color="auto"/>
              <w:left w:val="nil"/>
              <w:bottom w:val="single" w:sz="4" w:space="0" w:color="auto"/>
              <w:right w:val="nil"/>
            </w:tcBorders>
            <w:vAlign w:val="center"/>
            <w:hideMark/>
          </w:tcPr>
          <w:p w14:paraId="649CD8C3" w14:textId="77777777" w:rsidR="002B73B2" w:rsidRPr="00EA353C" w:rsidRDefault="002B73B2" w:rsidP="0047397D">
            <w:pPr>
              <w:jc w:val="center"/>
              <w:rPr>
                <w:b/>
                <w:bCs/>
                <w:sz w:val="22"/>
                <w:szCs w:val="22"/>
              </w:rPr>
            </w:pPr>
            <w:r w:rsidRPr="00EA353C">
              <w:rPr>
                <w:b/>
                <w:bCs/>
                <w:sz w:val="22"/>
                <w:szCs w:val="22"/>
              </w:rPr>
              <w:t>Agronomic efficiency P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c>
          <w:tcPr>
            <w:tcW w:w="1028" w:type="pct"/>
            <w:tcBorders>
              <w:top w:val="single" w:sz="4" w:space="0" w:color="auto"/>
              <w:left w:val="nil"/>
              <w:bottom w:val="single" w:sz="4" w:space="0" w:color="auto"/>
              <w:right w:val="nil"/>
            </w:tcBorders>
            <w:vAlign w:val="center"/>
            <w:hideMark/>
          </w:tcPr>
          <w:p w14:paraId="7034A709" w14:textId="77777777" w:rsidR="002B73B2" w:rsidRPr="00EA353C" w:rsidRDefault="002B73B2" w:rsidP="0047397D">
            <w:pPr>
              <w:jc w:val="center"/>
              <w:rPr>
                <w:b/>
                <w:bCs/>
                <w:sz w:val="22"/>
                <w:szCs w:val="22"/>
              </w:rPr>
            </w:pPr>
            <w:r w:rsidRPr="00EA353C">
              <w:rPr>
                <w:b/>
                <w:bCs/>
                <w:sz w:val="22"/>
                <w:szCs w:val="22"/>
              </w:rPr>
              <w:t>Partial factor productivity N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c>
          <w:tcPr>
            <w:tcW w:w="1028" w:type="pct"/>
            <w:tcBorders>
              <w:top w:val="single" w:sz="4" w:space="0" w:color="auto"/>
              <w:left w:val="nil"/>
              <w:bottom w:val="single" w:sz="4" w:space="0" w:color="auto"/>
              <w:right w:val="nil"/>
            </w:tcBorders>
            <w:vAlign w:val="center"/>
            <w:hideMark/>
          </w:tcPr>
          <w:p w14:paraId="2EF905E6" w14:textId="77777777" w:rsidR="002B73B2" w:rsidRPr="00EA353C" w:rsidRDefault="002B73B2" w:rsidP="0047397D">
            <w:pPr>
              <w:jc w:val="center"/>
              <w:rPr>
                <w:b/>
                <w:bCs/>
                <w:sz w:val="22"/>
                <w:szCs w:val="22"/>
              </w:rPr>
            </w:pPr>
            <w:r w:rsidRPr="00EA353C">
              <w:rPr>
                <w:b/>
                <w:bCs/>
                <w:sz w:val="22"/>
                <w:szCs w:val="22"/>
              </w:rPr>
              <w:t>Partial factor productivity P (kg kg</w:t>
            </w:r>
            <w:r w:rsidRPr="00EA353C">
              <w:rPr>
                <w:rFonts w:ascii="Cambria Math" w:hAnsi="Cambria Math" w:cs="Cambria Math"/>
                <w:b/>
                <w:bCs/>
                <w:sz w:val="22"/>
                <w:szCs w:val="22"/>
              </w:rPr>
              <w:t>⁻</w:t>
            </w:r>
            <w:r w:rsidRPr="00EA353C">
              <w:rPr>
                <w:rFonts w:cs="Helvetica"/>
                <w:b/>
                <w:bCs/>
                <w:sz w:val="22"/>
                <w:szCs w:val="22"/>
              </w:rPr>
              <w:t>¹</w:t>
            </w:r>
            <w:r w:rsidRPr="00EA353C">
              <w:rPr>
                <w:b/>
                <w:bCs/>
                <w:sz w:val="22"/>
                <w:szCs w:val="22"/>
              </w:rPr>
              <w:t>)</w:t>
            </w:r>
          </w:p>
        </w:tc>
      </w:tr>
      <w:tr w:rsidR="002B73B2" w:rsidRPr="00EA353C" w14:paraId="35DE8862" w14:textId="77777777" w:rsidTr="0047397D">
        <w:trPr>
          <w:trHeight w:val="290"/>
        </w:trPr>
        <w:tc>
          <w:tcPr>
            <w:tcW w:w="1053" w:type="pct"/>
            <w:tcBorders>
              <w:top w:val="nil"/>
              <w:left w:val="nil"/>
              <w:bottom w:val="nil"/>
              <w:right w:val="nil"/>
            </w:tcBorders>
            <w:vAlign w:val="center"/>
            <w:hideMark/>
          </w:tcPr>
          <w:p w14:paraId="722D008A" w14:textId="77777777" w:rsidR="002B73B2" w:rsidRPr="00EA353C" w:rsidRDefault="002B73B2" w:rsidP="0047397D">
            <w:pPr>
              <w:rPr>
                <w:b/>
                <w:bCs/>
                <w:sz w:val="22"/>
                <w:szCs w:val="22"/>
              </w:rPr>
            </w:pPr>
            <w:r w:rsidRPr="00EA353C">
              <w:rPr>
                <w:b/>
                <w:bCs/>
                <w:sz w:val="22"/>
                <w:szCs w:val="22"/>
              </w:rPr>
              <w:t>Control</w:t>
            </w:r>
          </w:p>
        </w:tc>
        <w:tc>
          <w:tcPr>
            <w:tcW w:w="946" w:type="pct"/>
            <w:tcBorders>
              <w:top w:val="nil"/>
              <w:left w:val="nil"/>
              <w:bottom w:val="nil"/>
              <w:right w:val="nil"/>
            </w:tcBorders>
            <w:vAlign w:val="center"/>
            <w:hideMark/>
          </w:tcPr>
          <w:p w14:paraId="437AA199" w14:textId="77777777" w:rsidR="002B73B2" w:rsidRPr="00EA353C" w:rsidRDefault="002B73B2" w:rsidP="0047397D">
            <w:pPr>
              <w:jc w:val="center"/>
              <w:rPr>
                <w:sz w:val="22"/>
                <w:szCs w:val="22"/>
              </w:rPr>
            </w:pPr>
            <w:r w:rsidRPr="00EA353C">
              <w:rPr>
                <w:sz w:val="22"/>
                <w:szCs w:val="22"/>
              </w:rPr>
              <w:t>–</w:t>
            </w:r>
          </w:p>
        </w:tc>
        <w:tc>
          <w:tcPr>
            <w:tcW w:w="946" w:type="pct"/>
            <w:tcBorders>
              <w:top w:val="nil"/>
              <w:left w:val="nil"/>
              <w:bottom w:val="nil"/>
              <w:right w:val="nil"/>
            </w:tcBorders>
            <w:vAlign w:val="center"/>
            <w:hideMark/>
          </w:tcPr>
          <w:p w14:paraId="529640F9" w14:textId="77777777" w:rsidR="002B73B2" w:rsidRPr="00EA353C" w:rsidRDefault="002B73B2" w:rsidP="0047397D">
            <w:pPr>
              <w:jc w:val="center"/>
              <w:rPr>
                <w:sz w:val="22"/>
                <w:szCs w:val="22"/>
              </w:rPr>
            </w:pPr>
            <w:r w:rsidRPr="00EA353C">
              <w:rPr>
                <w:sz w:val="22"/>
                <w:szCs w:val="22"/>
              </w:rPr>
              <w:t>–</w:t>
            </w:r>
          </w:p>
        </w:tc>
        <w:tc>
          <w:tcPr>
            <w:tcW w:w="1028" w:type="pct"/>
            <w:tcBorders>
              <w:top w:val="nil"/>
              <w:left w:val="nil"/>
              <w:bottom w:val="nil"/>
              <w:right w:val="nil"/>
            </w:tcBorders>
            <w:vAlign w:val="center"/>
            <w:hideMark/>
          </w:tcPr>
          <w:p w14:paraId="69477ADA" w14:textId="77777777" w:rsidR="002B73B2" w:rsidRPr="00EA353C" w:rsidRDefault="002B73B2" w:rsidP="0047397D">
            <w:pPr>
              <w:jc w:val="center"/>
              <w:rPr>
                <w:sz w:val="22"/>
                <w:szCs w:val="22"/>
              </w:rPr>
            </w:pPr>
            <w:r w:rsidRPr="00EA353C">
              <w:rPr>
                <w:sz w:val="22"/>
                <w:szCs w:val="22"/>
              </w:rPr>
              <w:t>–</w:t>
            </w:r>
          </w:p>
        </w:tc>
        <w:tc>
          <w:tcPr>
            <w:tcW w:w="1028" w:type="pct"/>
            <w:tcBorders>
              <w:top w:val="nil"/>
              <w:left w:val="nil"/>
              <w:bottom w:val="nil"/>
              <w:right w:val="nil"/>
            </w:tcBorders>
            <w:vAlign w:val="center"/>
            <w:hideMark/>
          </w:tcPr>
          <w:p w14:paraId="7640FAB2" w14:textId="77777777" w:rsidR="002B73B2" w:rsidRPr="00EA353C" w:rsidRDefault="002B73B2" w:rsidP="0047397D">
            <w:pPr>
              <w:jc w:val="center"/>
              <w:rPr>
                <w:sz w:val="22"/>
                <w:szCs w:val="22"/>
              </w:rPr>
            </w:pPr>
            <w:r w:rsidRPr="00EA353C">
              <w:rPr>
                <w:sz w:val="22"/>
                <w:szCs w:val="22"/>
              </w:rPr>
              <w:t>–</w:t>
            </w:r>
          </w:p>
        </w:tc>
      </w:tr>
      <w:tr w:rsidR="002B73B2" w:rsidRPr="00EA353C" w14:paraId="270FA55B" w14:textId="77777777" w:rsidTr="0047397D">
        <w:trPr>
          <w:trHeight w:val="290"/>
        </w:trPr>
        <w:tc>
          <w:tcPr>
            <w:tcW w:w="1053" w:type="pct"/>
            <w:tcBorders>
              <w:top w:val="nil"/>
              <w:left w:val="nil"/>
              <w:bottom w:val="nil"/>
              <w:right w:val="nil"/>
            </w:tcBorders>
            <w:vAlign w:val="center"/>
            <w:hideMark/>
          </w:tcPr>
          <w:p w14:paraId="3522EC0C" w14:textId="77777777" w:rsidR="002B73B2" w:rsidRPr="00EA353C" w:rsidRDefault="002B73B2" w:rsidP="0047397D">
            <w:pPr>
              <w:rPr>
                <w:b/>
                <w:bCs/>
                <w:sz w:val="22"/>
                <w:szCs w:val="22"/>
              </w:rPr>
            </w:pPr>
            <w:r w:rsidRPr="00EA353C">
              <w:rPr>
                <w:b/>
                <w:bCs/>
                <w:sz w:val="22"/>
                <w:szCs w:val="22"/>
              </w:rPr>
              <w:t>2 SG-NPK</w:t>
            </w:r>
          </w:p>
        </w:tc>
        <w:tc>
          <w:tcPr>
            <w:tcW w:w="946" w:type="pct"/>
            <w:tcBorders>
              <w:top w:val="nil"/>
              <w:left w:val="nil"/>
              <w:bottom w:val="nil"/>
              <w:right w:val="nil"/>
            </w:tcBorders>
            <w:vAlign w:val="center"/>
            <w:hideMark/>
          </w:tcPr>
          <w:p w14:paraId="17C65709" w14:textId="77777777" w:rsidR="002B73B2" w:rsidRPr="00EA353C" w:rsidRDefault="002B73B2" w:rsidP="0047397D">
            <w:pPr>
              <w:jc w:val="center"/>
              <w:rPr>
                <w:sz w:val="22"/>
                <w:szCs w:val="22"/>
              </w:rPr>
            </w:pPr>
            <w:r w:rsidRPr="00EA353C">
              <w:rPr>
                <w:sz w:val="22"/>
                <w:szCs w:val="22"/>
              </w:rPr>
              <w:t>15.32</w:t>
            </w:r>
          </w:p>
        </w:tc>
        <w:tc>
          <w:tcPr>
            <w:tcW w:w="946" w:type="pct"/>
            <w:tcBorders>
              <w:top w:val="nil"/>
              <w:left w:val="nil"/>
              <w:bottom w:val="nil"/>
              <w:right w:val="nil"/>
            </w:tcBorders>
            <w:vAlign w:val="center"/>
            <w:hideMark/>
          </w:tcPr>
          <w:p w14:paraId="2F05C378" w14:textId="77777777" w:rsidR="002B73B2" w:rsidRPr="00EA353C" w:rsidRDefault="002B73B2" w:rsidP="0047397D">
            <w:pPr>
              <w:jc w:val="center"/>
              <w:rPr>
                <w:sz w:val="22"/>
                <w:szCs w:val="22"/>
              </w:rPr>
            </w:pPr>
            <w:r w:rsidRPr="00EA353C">
              <w:rPr>
                <w:sz w:val="22"/>
                <w:szCs w:val="22"/>
              </w:rPr>
              <w:t>9.43c</w:t>
            </w:r>
          </w:p>
        </w:tc>
        <w:tc>
          <w:tcPr>
            <w:tcW w:w="1028" w:type="pct"/>
            <w:tcBorders>
              <w:top w:val="nil"/>
              <w:left w:val="nil"/>
              <w:bottom w:val="nil"/>
              <w:right w:val="nil"/>
            </w:tcBorders>
            <w:vAlign w:val="center"/>
            <w:hideMark/>
          </w:tcPr>
          <w:p w14:paraId="0B28AC36" w14:textId="77777777" w:rsidR="002B73B2" w:rsidRPr="00EA353C" w:rsidRDefault="002B73B2" w:rsidP="0047397D">
            <w:pPr>
              <w:jc w:val="center"/>
              <w:rPr>
                <w:sz w:val="22"/>
                <w:szCs w:val="22"/>
              </w:rPr>
            </w:pPr>
            <w:r w:rsidRPr="00EA353C">
              <w:rPr>
                <w:sz w:val="22"/>
                <w:szCs w:val="22"/>
              </w:rPr>
              <w:t>102.31a</w:t>
            </w:r>
          </w:p>
        </w:tc>
        <w:tc>
          <w:tcPr>
            <w:tcW w:w="1028" w:type="pct"/>
            <w:tcBorders>
              <w:top w:val="nil"/>
              <w:left w:val="nil"/>
              <w:bottom w:val="nil"/>
              <w:right w:val="nil"/>
            </w:tcBorders>
            <w:vAlign w:val="center"/>
            <w:hideMark/>
          </w:tcPr>
          <w:p w14:paraId="32635063" w14:textId="77777777" w:rsidR="002B73B2" w:rsidRPr="00EA353C" w:rsidRDefault="002B73B2" w:rsidP="0047397D">
            <w:pPr>
              <w:jc w:val="center"/>
              <w:rPr>
                <w:sz w:val="22"/>
                <w:szCs w:val="22"/>
              </w:rPr>
            </w:pPr>
            <w:r w:rsidRPr="00EA353C">
              <w:rPr>
                <w:sz w:val="22"/>
                <w:szCs w:val="22"/>
              </w:rPr>
              <w:t>68.55b</w:t>
            </w:r>
          </w:p>
        </w:tc>
      </w:tr>
      <w:tr w:rsidR="002B73B2" w:rsidRPr="00EA353C" w14:paraId="5E9D2CD6" w14:textId="77777777" w:rsidTr="0047397D">
        <w:trPr>
          <w:trHeight w:val="290"/>
        </w:trPr>
        <w:tc>
          <w:tcPr>
            <w:tcW w:w="1053" w:type="pct"/>
            <w:tcBorders>
              <w:top w:val="nil"/>
              <w:left w:val="nil"/>
              <w:bottom w:val="nil"/>
              <w:right w:val="nil"/>
            </w:tcBorders>
            <w:vAlign w:val="center"/>
            <w:hideMark/>
          </w:tcPr>
          <w:p w14:paraId="1E47612A" w14:textId="77777777" w:rsidR="002B73B2" w:rsidRPr="00EA353C" w:rsidRDefault="002B73B2" w:rsidP="0047397D">
            <w:pPr>
              <w:rPr>
                <w:b/>
                <w:bCs/>
                <w:sz w:val="22"/>
                <w:szCs w:val="22"/>
              </w:rPr>
            </w:pPr>
            <w:r w:rsidRPr="00E86361">
              <w:rPr>
                <w:b/>
                <w:bCs/>
                <w:sz w:val="22"/>
                <w:szCs w:val="22"/>
              </w:rPr>
              <w:t>FP</w:t>
            </w:r>
          </w:p>
        </w:tc>
        <w:tc>
          <w:tcPr>
            <w:tcW w:w="946" w:type="pct"/>
            <w:tcBorders>
              <w:top w:val="nil"/>
              <w:left w:val="nil"/>
              <w:bottom w:val="nil"/>
              <w:right w:val="nil"/>
            </w:tcBorders>
            <w:vAlign w:val="center"/>
            <w:hideMark/>
          </w:tcPr>
          <w:p w14:paraId="33673837" w14:textId="77777777" w:rsidR="002B73B2" w:rsidRPr="00EA353C" w:rsidRDefault="002B73B2" w:rsidP="0047397D">
            <w:pPr>
              <w:jc w:val="center"/>
              <w:rPr>
                <w:sz w:val="22"/>
                <w:szCs w:val="22"/>
              </w:rPr>
            </w:pPr>
            <w:r w:rsidRPr="00EA353C">
              <w:rPr>
                <w:sz w:val="22"/>
                <w:szCs w:val="22"/>
              </w:rPr>
              <w:t>13.46</w:t>
            </w:r>
          </w:p>
        </w:tc>
        <w:tc>
          <w:tcPr>
            <w:tcW w:w="946" w:type="pct"/>
            <w:tcBorders>
              <w:top w:val="nil"/>
              <w:left w:val="nil"/>
              <w:bottom w:val="nil"/>
              <w:right w:val="nil"/>
            </w:tcBorders>
            <w:vAlign w:val="center"/>
            <w:hideMark/>
          </w:tcPr>
          <w:p w14:paraId="19E4530D" w14:textId="77777777" w:rsidR="002B73B2" w:rsidRPr="00EA353C" w:rsidRDefault="002B73B2" w:rsidP="0047397D">
            <w:pPr>
              <w:jc w:val="center"/>
              <w:rPr>
                <w:sz w:val="22"/>
                <w:szCs w:val="22"/>
              </w:rPr>
            </w:pPr>
            <w:r w:rsidRPr="00EA353C">
              <w:rPr>
                <w:sz w:val="22"/>
                <w:szCs w:val="22"/>
              </w:rPr>
              <w:t>26.14b</w:t>
            </w:r>
          </w:p>
        </w:tc>
        <w:tc>
          <w:tcPr>
            <w:tcW w:w="1028" w:type="pct"/>
            <w:tcBorders>
              <w:top w:val="nil"/>
              <w:left w:val="nil"/>
              <w:bottom w:val="nil"/>
              <w:right w:val="nil"/>
            </w:tcBorders>
            <w:vAlign w:val="center"/>
            <w:hideMark/>
          </w:tcPr>
          <w:p w14:paraId="6752CE9F" w14:textId="77777777" w:rsidR="002B73B2" w:rsidRPr="00EA353C" w:rsidRDefault="002B73B2" w:rsidP="0047397D">
            <w:pPr>
              <w:jc w:val="center"/>
              <w:rPr>
                <w:sz w:val="22"/>
                <w:szCs w:val="22"/>
              </w:rPr>
            </w:pPr>
            <w:r w:rsidRPr="00EA353C">
              <w:rPr>
                <w:sz w:val="22"/>
                <w:szCs w:val="22"/>
              </w:rPr>
              <w:t>60.20b</w:t>
            </w:r>
          </w:p>
        </w:tc>
        <w:tc>
          <w:tcPr>
            <w:tcW w:w="1028" w:type="pct"/>
            <w:tcBorders>
              <w:top w:val="nil"/>
              <w:left w:val="nil"/>
              <w:bottom w:val="nil"/>
              <w:right w:val="nil"/>
            </w:tcBorders>
            <w:vAlign w:val="center"/>
            <w:hideMark/>
          </w:tcPr>
          <w:p w14:paraId="6ECD8CBD" w14:textId="77777777" w:rsidR="002B73B2" w:rsidRPr="00EA353C" w:rsidRDefault="002B73B2" w:rsidP="0047397D">
            <w:pPr>
              <w:jc w:val="center"/>
              <w:rPr>
                <w:sz w:val="22"/>
                <w:szCs w:val="22"/>
              </w:rPr>
            </w:pPr>
            <w:r w:rsidRPr="00EA353C">
              <w:rPr>
                <w:sz w:val="22"/>
                <w:szCs w:val="22"/>
              </w:rPr>
              <w:t>116.91a</w:t>
            </w:r>
          </w:p>
        </w:tc>
      </w:tr>
      <w:tr w:rsidR="002B73B2" w:rsidRPr="00EA353C" w14:paraId="18E0E7BC" w14:textId="77777777" w:rsidTr="0047397D">
        <w:trPr>
          <w:trHeight w:val="290"/>
        </w:trPr>
        <w:tc>
          <w:tcPr>
            <w:tcW w:w="1053" w:type="pct"/>
            <w:tcBorders>
              <w:top w:val="nil"/>
              <w:left w:val="nil"/>
              <w:bottom w:val="nil"/>
              <w:right w:val="nil"/>
            </w:tcBorders>
            <w:vAlign w:val="center"/>
            <w:hideMark/>
          </w:tcPr>
          <w:p w14:paraId="4ECE0973" w14:textId="77777777" w:rsidR="002B73B2" w:rsidRPr="00EA353C" w:rsidRDefault="002B73B2" w:rsidP="0047397D">
            <w:pPr>
              <w:rPr>
                <w:b/>
                <w:bCs/>
                <w:sz w:val="22"/>
                <w:szCs w:val="22"/>
              </w:rPr>
            </w:pPr>
            <w:r w:rsidRPr="00EA353C">
              <w:rPr>
                <w:b/>
                <w:bCs/>
                <w:sz w:val="22"/>
                <w:szCs w:val="22"/>
              </w:rPr>
              <w:t>150 kg NPK + USG</w:t>
            </w:r>
          </w:p>
        </w:tc>
        <w:tc>
          <w:tcPr>
            <w:tcW w:w="946" w:type="pct"/>
            <w:tcBorders>
              <w:top w:val="nil"/>
              <w:left w:val="nil"/>
              <w:bottom w:val="nil"/>
              <w:right w:val="nil"/>
            </w:tcBorders>
            <w:vAlign w:val="center"/>
            <w:hideMark/>
          </w:tcPr>
          <w:p w14:paraId="514D5658" w14:textId="77777777" w:rsidR="002B73B2" w:rsidRPr="00EA353C" w:rsidRDefault="002B73B2" w:rsidP="0047397D">
            <w:pPr>
              <w:jc w:val="center"/>
              <w:rPr>
                <w:sz w:val="22"/>
                <w:szCs w:val="22"/>
              </w:rPr>
            </w:pPr>
            <w:r w:rsidRPr="00EA353C">
              <w:rPr>
                <w:sz w:val="22"/>
                <w:szCs w:val="22"/>
              </w:rPr>
              <w:t>18.18</w:t>
            </w:r>
          </w:p>
        </w:tc>
        <w:tc>
          <w:tcPr>
            <w:tcW w:w="946" w:type="pct"/>
            <w:tcBorders>
              <w:top w:val="nil"/>
              <w:left w:val="nil"/>
              <w:bottom w:val="nil"/>
              <w:right w:val="nil"/>
            </w:tcBorders>
            <w:vAlign w:val="center"/>
            <w:hideMark/>
          </w:tcPr>
          <w:p w14:paraId="1EF65872" w14:textId="77777777" w:rsidR="002B73B2" w:rsidRPr="00EA353C" w:rsidRDefault="002B73B2" w:rsidP="0047397D">
            <w:pPr>
              <w:jc w:val="center"/>
              <w:rPr>
                <w:sz w:val="22"/>
                <w:szCs w:val="22"/>
              </w:rPr>
            </w:pPr>
            <w:r w:rsidRPr="00EA353C">
              <w:rPr>
                <w:sz w:val="22"/>
                <w:szCs w:val="22"/>
              </w:rPr>
              <w:t>38.45</w:t>
            </w:r>
            <w:r>
              <w:rPr>
                <w:sz w:val="22"/>
                <w:szCs w:val="22"/>
              </w:rPr>
              <w:t>a</w:t>
            </w:r>
          </w:p>
        </w:tc>
        <w:tc>
          <w:tcPr>
            <w:tcW w:w="1028" w:type="pct"/>
            <w:tcBorders>
              <w:top w:val="nil"/>
              <w:left w:val="nil"/>
              <w:bottom w:val="nil"/>
              <w:right w:val="nil"/>
            </w:tcBorders>
            <w:vAlign w:val="center"/>
            <w:hideMark/>
          </w:tcPr>
          <w:p w14:paraId="6BABC529" w14:textId="77777777" w:rsidR="002B73B2" w:rsidRPr="00EA353C" w:rsidRDefault="002B73B2" w:rsidP="0047397D">
            <w:pPr>
              <w:jc w:val="center"/>
              <w:rPr>
                <w:sz w:val="22"/>
                <w:szCs w:val="22"/>
              </w:rPr>
            </w:pPr>
            <w:r w:rsidRPr="00EA353C">
              <w:rPr>
                <w:sz w:val="22"/>
                <w:szCs w:val="22"/>
              </w:rPr>
              <w:t>61.09b</w:t>
            </w:r>
          </w:p>
        </w:tc>
        <w:tc>
          <w:tcPr>
            <w:tcW w:w="1028" w:type="pct"/>
            <w:tcBorders>
              <w:top w:val="nil"/>
              <w:left w:val="nil"/>
              <w:bottom w:val="nil"/>
              <w:right w:val="nil"/>
            </w:tcBorders>
            <w:vAlign w:val="center"/>
            <w:hideMark/>
          </w:tcPr>
          <w:p w14:paraId="37B79521" w14:textId="77777777" w:rsidR="002B73B2" w:rsidRPr="00EA353C" w:rsidRDefault="002B73B2" w:rsidP="0047397D">
            <w:pPr>
              <w:jc w:val="center"/>
              <w:rPr>
                <w:sz w:val="22"/>
                <w:szCs w:val="22"/>
              </w:rPr>
            </w:pPr>
            <w:r w:rsidRPr="00EA353C">
              <w:rPr>
                <w:sz w:val="22"/>
                <w:szCs w:val="22"/>
              </w:rPr>
              <w:t>119.03a</w:t>
            </w:r>
          </w:p>
        </w:tc>
      </w:tr>
      <w:tr w:rsidR="002B73B2" w:rsidRPr="00EA353C" w14:paraId="22D75E73" w14:textId="77777777" w:rsidTr="0047397D">
        <w:trPr>
          <w:trHeight w:val="290"/>
        </w:trPr>
        <w:tc>
          <w:tcPr>
            <w:tcW w:w="1053" w:type="pct"/>
            <w:tcBorders>
              <w:top w:val="nil"/>
              <w:left w:val="nil"/>
              <w:bottom w:val="single" w:sz="4" w:space="0" w:color="auto"/>
              <w:right w:val="nil"/>
            </w:tcBorders>
            <w:vAlign w:val="center"/>
            <w:hideMark/>
          </w:tcPr>
          <w:p w14:paraId="0726DB7C" w14:textId="77777777" w:rsidR="002B73B2" w:rsidRPr="00EA353C" w:rsidRDefault="002B73B2" w:rsidP="0047397D">
            <w:pPr>
              <w:rPr>
                <w:b/>
                <w:bCs/>
                <w:sz w:val="22"/>
                <w:szCs w:val="22"/>
              </w:rPr>
            </w:pPr>
            <w:r w:rsidRPr="00EA353C">
              <w:rPr>
                <w:b/>
                <w:bCs/>
                <w:sz w:val="22"/>
                <w:szCs w:val="22"/>
              </w:rPr>
              <w:t>2 SG-NPK + PU</w:t>
            </w:r>
          </w:p>
        </w:tc>
        <w:tc>
          <w:tcPr>
            <w:tcW w:w="946" w:type="pct"/>
            <w:tcBorders>
              <w:top w:val="nil"/>
              <w:left w:val="nil"/>
              <w:bottom w:val="single" w:sz="4" w:space="0" w:color="auto"/>
              <w:right w:val="nil"/>
            </w:tcBorders>
            <w:vAlign w:val="center"/>
            <w:hideMark/>
          </w:tcPr>
          <w:p w14:paraId="78BEE2C2" w14:textId="77777777" w:rsidR="002B73B2" w:rsidRPr="00EA353C" w:rsidRDefault="002B73B2" w:rsidP="0047397D">
            <w:pPr>
              <w:jc w:val="center"/>
              <w:rPr>
                <w:sz w:val="22"/>
                <w:szCs w:val="22"/>
              </w:rPr>
            </w:pPr>
            <w:r w:rsidRPr="00EA353C">
              <w:rPr>
                <w:sz w:val="22"/>
                <w:szCs w:val="22"/>
              </w:rPr>
              <w:t>17.17</w:t>
            </w:r>
          </w:p>
        </w:tc>
        <w:tc>
          <w:tcPr>
            <w:tcW w:w="946" w:type="pct"/>
            <w:tcBorders>
              <w:top w:val="nil"/>
              <w:left w:val="nil"/>
              <w:bottom w:val="single" w:sz="4" w:space="0" w:color="auto"/>
              <w:right w:val="nil"/>
            </w:tcBorders>
            <w:vAlign w:val="center"/>
            <w:hideMark/>
          </w:tcPr>
          <w:p w14:paraId="4E0E2DF4" w14:textId="77777777" w:rsidR="002B73B2" w:rsidRPr="00EA353C" w:rsidRDefault="002B73B2" w:rsidP="0047397D">
            <w:pPr>
              <w:jc w:val="center"/>
              <w:rPr>
                <w:sz w:val="22"/>
                <w:szCs w:val="22"/>
              </w:rPr>
            </w:pPr>
            <w:r w:rsidRPr="00EA353C">
              <w:rPr>
                <w:sz w:val="22"/>
                <w:szCs w:val="22"/>
              </w:rPr>
              <w:t>24.07</w:t>
            </w:r>
          </w:p>
        </w:tc>
        <w:tc>
          <w:tcPr>
            <w:tcW w:w="1028" w:type="pct"/>
            <w:tcBorders>
              <w:top w:val="nil"/>
              <w:left w:val="nil"/>
              <w:bottom w:val="single" w:sz="4" w:space="0" w:color="auto"/>
              <w:right w:val="nil"/>
            </w:tcBorders>
            <w:vAlign w:val="center"/>
            <w:hideMark/>
          </w:tcPr>
          <w:p w14:paraId="1105BEB0" w14:textId="77777777" w:rsidR="002B73B2" w:rsidRPr="00EA353C" w:rsidRDefault="002B73B2" w:rsidP="0047397D">
            <w:pPr>
              <w:jc w:val="center"/>
              <w:rPr>
                <w:sz w:val="22"/>
                <w:szCs w:val="22"/>
              </w:rPr>
            </w:pPr>
            <w:r w:rsidRPr="00EA353C">
              <w:rPr>
                <w:sz w:val="22"/>
                <w:szCs w:val="22"/>
              </w:rPr>
              <w:t>55.37b</w:t>
            </w:r>
          </w:p>
        </w:tc>
        <w:tc>
          <w:tcPr>
            <w:tcW w:w="1028" w:type="pct"/>
            <w:tcBorders>
              <w:top w:val="nil"/>
              <w:left w:val="nil"/>
              <w:bottom w:val="single" w:sz="4" w:space="0" w:color="auto"/>
              <w:right w:val="nil"/>
            </w:tcBorders>
            <w:vAlign w:val="center"/>
            <w:hideMark/>
          </w:tcPr>
          <w:p w14:paraId="24711FA2" w14:textId="77777777" w:rsidR="002B73B2" w:rsidRPr="00EA353C" w:rsidRDefault="002B73B2" w:rsidP="0047397D">
            <w:pPr>
              <w:jc w:val="center"/>
              <w:rPr>
                <w:sz w:val="22"/>
                <w:szCs w:val="22"/>
              </w:rPr>
            </w:pPr>
            <w:r w:rsidRPr="00EA353C">
              <w:rPr>
                <w:sz w:val="22"/>
                <w:szCs w:val="22"/>
              </w:rPr>
              <w:t>72.93b</w:t>
            </w:r>
          </w:p>
        </w:tc>
      </w:tr>
      <w:tr w:rsidR="002B73B2" w:rsidRPr="00EA353C" w14:paraId="432409B8" w14:textId="77777777" w:rsidTr="0047397D">
        <w:trPr>
          <w:trHeight w:val="290"/>
        </w:trPr>
        <w:tc>
          <w:tcPr>
            <w:tcW w:w="1053" w:type="pct"/>
            <w:tcBorders>
              <w:top w:val="single" w:sz="4" w:space="0" w:color="auto"/>
              <w:left w:val="nil"/>
              <w:bottom w:val="nil"/>
              <w:right w:val="nil"/>
            </w:tcBorders>
            <w:vAlign w:val="center"/>
            <w:hideMark/>
          </w:tcPr>
          <w:p w14:paraId="3B4F1807" w14:textId="77777777" w:rsidR="002B73B2" w:rsidRPr="00EA353C" w:rsidRDefault="002B73B2" w:rsidP="0047397D">
            <w:pPr>
              <w:rPr>
                <w:b/>
                <w:bCs/>
                <w:sz w:val="22"/>
                <w:szCs w:val="22"/>
              </w:rPr>
            </w:pPr>
            <w:r w:rsidRPr="00EA353C">
              <w:rPr>
                <w:b/>
                <w:bCs/>
                <w:sz w:val="22"/>
                <w:szCs w:val="22"/>
              </w:rPr>
              <w:t>CV (%)</w:t>
            </w:r>
          </w:p>
        </w:tc>
        <w:tc>
          <w:tcPr>
            <w:tcW w:w="946" w:type="pct"/>
            <w:tcBorders>
              <w:top w:val="single" w:sz="4" w:space="0" w:color="auto"/>
              <w:left w:val="nil"/>
              <w:bottom w:val="nil"/>
              <w:right w:val="nil"/>
            </w:tcBorders>
            <w:vAlign w:val="center"/>
            <w:hideMark/>
          </w:tcPr>
          <w:p w14:paraId="64598B80" w14:textId="77777777" w:rsidR="002B73B2" w:rsidRPr="00EA353C" w:rsidRDefault="002B73B2" w:rsidP="0047397D">
            <w:pPr>
              <w:jc w:val="center"/>
              <w:rPr>
                <w:sz w:val="22"/>
                <w:szCs w:val="22"/>
              </w:rPr>
            </w:pPr>
            <w:r w:rsidRPr="00EA353C">
              <w:rPr>
                <w:sz w:val="22"/>
                <w:szCs w:val="22"/>
              </w:rPr>
              <w:t>20.5</w:t>
            </w:r>
          </w:p>
        </w:tc>
        <w:tc>
          <w:tcPr>
            <w:tcW w:w="946" w:type="pct"/>
            <w:tcBorders>
              <w:top w:val="single" w:sz="4" w:space="0" w:color="auto"/>
              <w:left w:val="nil"/>
              <w:bottom w:val="nil"/>
              <w:right w:val="nil"/>
            </w:tcBorders>
            <w:vAlign w:val="center"/>
            <w:hideMark/>
          </w:tcPr>
          <w:p w14:paraId="5A4987DD" w14:textId="77777777" w:rsidR="002B73B2" w:rsidRPr="00EA353C" w:rsidRDefault="002B73B2" w:rsidP="0047397D">
            <w:pPr>
              <w:jc w:val="center"/>
              <w:rPr>
                <w:sz w:val="22"/>
                <w:szCs w:val="22"/>
              </w:rPr>
            </w:pPr>
            <w:r w:rsidRPr="00EA353C">
              <w:rPr>
                <w:sz w:val="22"/>
                <w:szCs w:val="22"/>
              </w:rPr>
              <w:t>24.9</w:t>
            </w:r>
          </w:p>
        </w:tc>
        <w:tc>
          <w:tcPr>
            <w:tcW w:w="1028" w:type="pct"/>
            <w:tcBorders>
              <w:top w:val="single" w:sz="4" w:space="0" w:color="auto"/>
              <w:left w:val="nil"/>
              <w:bottom w:val="nil"/>
              <w:right w:val="nil"/>
            </w:tcBorders>
            <w:vAlign w:val="center"/>
            <w:hideMark/>
          </w:tcPr>
          <w:p w14:paraId="51EE055F" w14:textId="77777777" w:rsidR="002B73B2" w:rsidRPr="00EA353C" w:rsidRDefault="002B73B2" w:rsidP="0047397D">
            <w:pPr>
              <w:jc w:val="center"/>
              <w:rPr>
                <w:sz w:val="22"/>
                <w:szCs w:val="22"/>
              </w:rPr>
            </w:pPr>
            <w:r w:rsidRPr="00EA353C">
              <w:rPr>
                <w:sz w:val="22"/>
                <w:szCs w:val="22"/>
              </w:rPr>
              <w:t>5.1</w:t>
            </w:r>
          </w:p>
        </w:tc>
        <w:tc>
          <w:tcPr>
            <w:tcW w:w="1028" w:type="pct"/>
            <w:tcBorders>
              <w:top w:val="single" w:sz="4" w:space="0" w:color="auto"/>
              <w:left w:val="nil"/>
              <w:bottom w:val="nil"/>
              <w:right w:val="nil"/>
            </w:tcBorders>
            <w:vAlign w:val="center"/>
            <w:hideMark/>
          </w:tcPr>
          <w:p w14:paraId="3350F06B" w14:textId="77777777" w:rsidR="002B73B2" w:rsidRPr="00EA353C" w:rsidRDefault="002B73B2" w:rsidP="0047397D">
            <w:pPr>
              <w:jc w:val="center"/>
              <w:rPr>
                <w:sz w:val="22"/>
                <w:szCs w:val="22"/>
              </w:rPr>
            </w:pPr>
            <w:r w:rsidRPr="00EA353C">
              <w:rPr>
                <w:sz w:val="22"/>
                <w:szCs w:val="22"/>
              </w:rPr>
              <w:t>5.6</w:t>
            </w:r>
          </w:p>
        </w:tc>
      </w:tr>
      <w:tr w:rsidR="002B73B2" w:rsidRPr="00EA353C" w14:paraId="1BD321C9" w14:textId="77777777" w:rsidTr="0047397D">
        <w:trPr>
          <w:trHeight w:val="290"/>
        </w:trPr>
        <w:tc>
          <w:tcPr>
            <w:tcW w:w="1053" w:type="pct"/>
            <w:tcBorders>
              <w:top w:val="nil"/>
              <w:left w:val="nil"/>
              <w:bottom w:val="nil"/>
              <w:right w:val="nil"/>
            </w:tcBorders>
            <w:vAlign w:val="center"/>
            <w:hideMark/>
          </w:tcPr>
          <w:p w14:paraId="5895B14F" w14:textId="77777777" w:rsidR="002B73B2" w:rsidRPr="00EA353C" w:rsidRDefault="002B73B2" w:rsidP="0047397D">
            <w:pPr>
              <w:rPr>
                <w:b/>
                <w:bCs/>
                <w:sz w:val="22"/>
                <w:szCs w:val="22"/>
              </w:rPr>
            </w:pPr>
            <w:r w:rsidRPr="00EA353C">
              <w:rPr>
                <w:b/>
                <w:bCs/>
                <w:sz w:val="22"/>
                <w:szCs w:val="22"/>
              </w:rPr>
              <w:t>p-value</w:t>
            </w:r>
          </w:p>
        </w:tc>
        <w:tc>
          <w:tcPr>
            <w:tcW w:w="946" w:type="pct"/>
            <w:tcBorders>
              <w:top w:val="nil"/>
              <w:left w:val="nil"/>
              <w:bottom w:val="nil"/>
              <w:right w:val="nil"/>
            </w:tcBorders>
            <w:vAlign w:val="center"/>
            <w:hideMark/>
          </w:tcPr>
          <w:p w14:paraId="01BFF8E6" w14:textId="77777777" w:rsidR="002B73B2" w:rsidRPr="00EA353C" w:rsidRDefault="002B73B2" w:rsidP="0014591B">
            <w:pPr>
              <w:jc w:val="center"/>
              <w:rPr>
                <w:sz w:val="22"/>
                <w:szCs w:val="22"/>
              </w:rPr>
            </w:pPr>
            <w:r w:rsidRPr="00EA353C">
              <w:rPr>
                <w:sz w:val="22"/>
                <w:szCs w:val="22"/>
              </w:rPr>
              <w:t>0.38</w:t>
            </w:r>
          </w:p>
        </w:tc>
        <w:tc>
          <w:tcPr>
            <w:tcW w:w="946" w:type="pct"/>
            <w:tcBorders>
              <w:top w:val="nil"/>
              <w:left w:val="nil"/>
              <w:bottom w:val="nil"/>
              <w:right w:val="nil"/>
            </w:tcBorders>
            <w:vAlign w:val="center"/>
            <w:hideMark/>
          </w:tcPr>
          <w:p w14:paraId="3CBC30D3" w14:textId="77777777" w:rsidR="002B73B2" w:rsidRPr="00EA353C" w:rsidRDefault="002B73B2" w:rsidP="0014591B">
            <w:pPr>
              <w:jc w:val="center"/>
              <w:rPr>
                <w:sz w:val="22"/>
                <w:szCs w:val="22"/>
              </w:rPr>
            </w:pPr>
            <w:r w:rsidRPr="00EA353C">
              <w:rPr>
                <w:sz w:val="22"/>
                <w:szCs w:val="22"/>
              </w:rPr>
              <w:t>0.007</w:t>
            </w:r>
          </w:p>
        </w:tc>
        <w:tc>
          <w:tcPr>
            <w:tcW w:w="1028" w:type="pct"/>
            <w:tcBorders>
              <w:top w:val="nil"/>
              <w:left w:val="nil"/>
              <w:bottom w:val="nil"/>
              <w:right w:val="nil"/>
            </w:tcBorders>
            <w:vAlign w:val="center"/>
            <w:hideMark/>
          </w:tcPr>
          <w:p w14:paraId="1AA9DB02" w14:textId="77777777" w:rsidR="002B73B2" w:rsidRPr="00EA353C" w:rsidRDefault="002B73B2" w:rsidP="0014591B">
            <w:pPr>
              <w:jc w:val="center"/>
              <w:rPr>
                <w:sz w:val="22"/>
                <w:szCs w:val="22"/>
              </w:rPr>
            </w:pPr>
            <w:r w:rsidRPr="00EA353C">
              <w:rPr>
                <w:sz w:val="22"/>
                <w:szCs w:val="22"/>
              </w:rPr>
              <w:t>&lt;0.001</w:t>
            </w:r>
          </w:p>
        </w:tc>
        <w:tc>
          <w:tcPr>
            <w:tcW w:w="1028" w:type="pct"/>
            <w:tcBorders>
              <w:top w:val="nil"/>
              <w:left w:val="nil"/>
              <w:bottom w:val="nil"/>
              <w:right w:val="nil"/>
            </w:tcBorders>
            <w:vAlign w:val="center"/>
            <w:hideMark/>
          </w:tcPr>
          <w:p w14:paraId="0143A9BB" w14:textId="77777777" w:rsidR="002B73B2" w:rsidRPr="00EA353C" w:rsidRDefault="002B73B2" w:rsidP="0014591B">
            <w:pPr>
              <w:jc w:val="center"/>
              <w:rPr>
                <w:sz w:val="22"/>
                <w:szCs w:val="22"/>
              </w:rPr>
            </w:pPr>
            <w:r w:rsidRPr="00EA353C">
              <w:rPr>
                <w:sz w:val="22"/>
                <w:szCs w:val="22"/>
              </w:rPr>
              <w:t>&lt;0.001</w:t>
            </w:r>
          </w:p>
        </w:tc>
      </w:tr>
      <w:tr w:rsidR="002B73B2" w:rsidRPr="00EA353C" w14:paraId="00C8CACF" w14:textId="77777777" w:rsidTr="0047397D">
        <w:trPr>
          <w:trHeight w:val="290"/>
        </w:trPr>
        <w:tc>
          <w:tcPr>
            <w:tcW w:w="1053" w:type="pct"/>
            <w:tcBorders>
              <w:top w:val="nil"/>
              <w:left w:val="nil"/>
              <w:bottom w:val="single" w:sz="4" w:space="0" w:color="auto"/>
              <w:right w:val="nil"/>
            </w:tcBorders>
            <w:vAlign w:val="center"/>
            <w:hideMark/>
          </w:tcPr>
          <w:p w14:paraId="0DC3CE00" w14:textId="77777777" w:rsidR="002B73B2" w:rsidRPr="00EA353C" w:rsidRDefault="002B73B2" w:rsidP="0047397D">
            <w:pPr>
              <w:rPr>
                <w:b/>
                <w:bCs/>
                <w:sz w:val="22"/>
                <w:szCs w:val="22"/>
              </w:rPr>
            </w:pPr>
            <w:r w:rsidRPr="00EA353C">
              <w:rPr>
                <w:b/>
                <w:bCs/>
                <w:sz w:val="22"/>
                <w:szCs w:val="22"/>
              </w:rPr>
              <w:t>Significance</w:t>
            </w:r>
          </w:p>
        </w:tc>
        <w:tc>
          <w:tcPr>
            <w:tcW w:w="946" w:type="pct"/>
            <w:tcBorders>
              <w:top w:val="nil"/>
              <w:left w:val="nil"/>
              <w:bottom w:val="single" w:sz="4" w:space="0" w:color="auto"/>
              <w:right w:val="nil"/>
            </w:tcBorders>
            <w:vAlign w:val="center"/>
            <w:hideMark/>
          </w:tcPr>
          <w:p w14:paraId="2BC29AE6" w14:textId="77777777" w:rsidR="002B73B2" w:rsidRPr="00EA353C" w:rsidRDefault="002B73B2" w:rsidP="0047397D">
            <w:pPr>
              <w:jc w:val="center"/>
              <w:rPr>
                <w:sz w:val="22"/>
                <w:szCs w:val="22"/>
              </w:rPr>
            </w:pPr>
            <w:r w:rsidRPr="00EA353C">
              <w:rPr>
                <w:sz w:val="22"/>
                <w:szCs w:val="22"/>
              </w:rPr>
              <w:t>NS</w:t>
            </w:r>
          </w:p>
        </w:tc>
        <w:tc>
          <w:tcPr>
            <w:tcW w:w="946" w:type="pct"/>
            <w:tcBorders>
              <w:top w:val="nil"/>
              <w:left w:val="nil"/>
              <w:bottom w:val="single" w:sz="4" w:space="0" w:color="auto"/>
              <w:right w:val="nil"/>
            </w:tcBorders>
            <w:vAlign w:val="center"/>
            <w:hideMark/>
          </w:tcPr>
          <w:p w14:paraId="63BD30EC" w14:textId="77777777" w:rsidR="002B73B2" w:rsidRPr="00EA353C" w:rsidRDefault="002B73B2" w:rsidP="0047397D">
            <w:pPr>
              <w:jc w:val="center"/>
              <w:rPr>
                <w:sz w:val="22"/>
                <w:szCs w:val="22"/>
              </w:rPr>
            </w:pPr>
            <w:r>
              <w:rPr>
                <w:sz w:val="22"/>
                <w:szCs w:val="22"/>
              </w:rPr>
              <w:t>***</w:t>
            </w:r>
          </w:p>
        </w:tc>
        <w:tc>
          <w:tcPr>
            <w:tcW w:w="1028" w:type="pct"/>
            <w:tcBorders>
              <w:top w:val="nil"/>
              <w:left w:val="nil"/>
              <w:bottom w:val="single" w:sz="4" w:space="0" w:color="auto"/>
              <w:right w:val="nil"/>
            </w:tcBorders>
            <w:vAlign w:val="center"/>
            <w:hideMark/>
          </w:tcPr>
          <w:p w14:paraId="6C0ABB3D" w14:textId="77777777" w:rsidR="002B73B2" w:rsidRPr="00EA353C" w:rsidRDefault="002B73B2" w:rsidP="0047397D">
            <w:pPr>
              <w:jc w:val="center"/>
              <w:rPr>
                <w:sz w:val="22"/>
                <w:szCs w:val="22"/>
              </w:rPr>
            </w:pPr>
            <w:r>
              <w:rPr>
                <w:sz w:val="22"/>
                <w:szCs w:val="22"/>
              </w:rPr>
              <w:t>***</w:t>
            </w:r>
          </w:p>
        </w:tc>
        <w:tc>
          <w:tcPr>
            <w:tcW w:w="1028" w:type="pct"/>
            <w:tcBorders>
              <w:top w:val="nil"/>
              <w:left w:val="nil"/>
              <w:bottom w:val="single" w:sz="4" w:space="0" w:color="auto"/>
              <w:right w:val="nil"/>
            </w:tcBorders>
            <w:vAlign w:val="center"/>
            <w:hideMark/>
          </w:tcPr>
          <w:p w14:paraId="72BE1216" w14:textId="77777777" w:rsidR="002B73B2" w:rsidRPr="00EA353C" w:rsidRDefault="002B73B2" w:rsidP="0047397D">
            <w:pPr>
              <w:jc w:val="center"/>
              <w:rPr>
                <w:sz w:val="22"/>
                <w:szCs w:val="22"/>
              </w:rPr>
            </w:pPr>
            <w:r>
              <w:rPr>
                <w:sz w:val="22"/>
                <w:szCs w:val="22"/>
              </w:rPr>
              <w:t>***</w:t>
            </w:r>
          </w:p>
        </w:tc>
      </w:tr>
    </w:tbl>
    <w:p w14:paraId="32192192" w14:textId="002112BB" w:rsidR="002B73B2" w:rsidRPr="0014591B" w:rsidRDefault="002B73B2" w:rsidP="0014591B">
      <w:pPr>
        <w:jc w:val="both"/>
        <w:rPr>
          <w:rFonts w:ascii="Arial" w:hAnsi="Arial" w:cs="Arial"/>
          <w:i/>
        </w:rPr>
      </w:pPr>
      <w:r w:rsidRPr="0014591B">
        <w:rPr>
          <w:rFonts w:ascii="Arial" w:hAnsi="Arial" w:cs="Arial"/>
          <w:i/>
        </w:rPr>
        <w:t xml:space="preserve">The assigned values of the same letters in the same column are not significantly different at the 5% probability threshold. SG-NPK: Super NPK Granule; FP: Farmer's Practice; USG: Super Granulated Urea; PU: </w:t>
      </w:r>
      <w:proofErr w:type="spellStart"/>
      <w:r w:rsidR="008A0D38">
        <w:rPr>
          <w:rFonts w:ascii="Arial" w:hAnsi="Arial" w:cs="Arial"/>
          <w:i/>
        </w:rPr>
        <w:t>Prilled</w:t>
      </w:r>
      <w:proofErr w:type="spellEnd"/>
      <w:r w:rsidRPr="0014591B">
        <w:rPr>
          <w:rFonts w:ascii="Arial" w:hAnsi="Arial" w:cs="Arial"/>
          <w:i/>
        </w:rPr>
        <w:t xml:space="preserve"> Urea; HS: Highly significant; NS: Not significant; CV: coefficient of variation </w:t>
      </w:r>
    </w:p>
    <w:p w14:paraId="0929A4A0" w14:textId="77777777" w:rsidR="002B73B2" w:rsidRPr="00E86361" w:rsidRDefault="002B73B2" w:rsidP="0046513E">
      <w:pPr>
        <w:rPr>
          <w:sz w:val="22"/>
          <w:szCs w:val="22"/>
        </w:rPr>
      </w:pPr>
    </w:p>
    <w:p w14:paraId="1D9D5127" w14:textId="77777777" w:rsidR="002B73B2" w:rsidRPr="0014591B" w:rsidRDefault="002B73B2" w:rsidP="0046513E">
      <w:pPr>
        <w:pStyle w:val="ListParagraph"/>
        <w:numPr>
          <w:ilvl w:val="0"/>
          <w:numId w:val="34"/>
        </w:numPr>
        <w:spacing w:line="240" w:lineRule="auto"/>
        <w:rPr>
          <w:rFonts w:ascii="Arial" w:hAnsi="Arial" w:cs="Arial"/>
          <w:b/>
          <w:bCs/>
          <w:sz w:val="22"/>
          <w:szCs w:val="22"/>
        </w:rPr>
      </w:pPr>
      <w:r w:rsidRPr="0014591B">
        <w:rPr>
          <w:rFonts w:ascii="Arial" w:hAnsi="Arial" w:cs="Arial"/>
          <w:b/>
          <w:bCs/>
          <w:sz w:val="22"/>
          <w:szCs w:val="22"/>
        </w:rPr>
        <w:t>Discussion</w:t>
      </w:r>
    </w:p>
    <w:p w14:paraId="373EF7C8" w14:textId="2F158ADF" w:rsidR="002B73B2" w:rsidRPr="0014591B" w:rsidRDefault="002B73B2" w:rsidP="0014591B">
      <w:pPr>
        <w:spacing w:line="360" w:lineRule="auto"/>
        <w:ind w:firstLine="709"/>
        <w:jc w:val="both"/>
        <w:rPr>
          <w:rFonts w:ascii="Arial" w:hAnsi="Arial" w:cs="Arial"/>
          <w:sz w:val="22"/>
          <w:szCs w:val="22"/>
          <w:lang w:eastAsia="fr-FR"/>
        </w:rPr>
      </w:pPr>
      <w:r w:rsidRPr="0014591B">
        <w:rPr>
          <w:rFonts w:ascii="Arial" w:hAnsi="Arial" w:cs="Arial"/>
          <w:sz w:val="22"/>
          <w:szCs w:val="22"/>
        </w:rPr>
        <w:t xml:space="preserve">The analysis of the results on nutrient uptake showed that the technology of deep placement of the briquette fertilizer is not statistically superior to the </w:t>
      </w:r>
      <w:r w:rsidR="00A77C8B">
        <w:rPr>
          <w:rFonts w:ascii="Arial" w:hAnsi="Arial" w:cs="Arial"/>
          <w:sz w:val="22"/>
          <w:szCs w:val="22"/>
        </w:rPr>
        <w:t>farmer</w:t>
      </w:r>
      <w:r w:rsidRPr="0014591B">
        <w:rPr>
          <w:rFonts w:ascii="Arial" w:hAnsi="Arial" w:cs="Arial"/>
          <w:sz w:val="22"/>
          <w:szCs w:val="22"/>
        </w:rPr>
        <w:t xml:space="preserve">'s practice for the nutrient N. However, the combination of 2 SG-NPK + PU resulted in better absorption of the nutrient P. </w:t>
      </w:r>
      <w:r w:rsidRPr="0014591B">
        <w:rPr>
          <w:rFonts w:ascii="Arial" w:hAnsi="Arial" w:cs="Arial"/>
          <w:sz w:val="22"/>
          <w:szCs w:val="22"/>
          <w:lang w:eastAsia="fr-FR"/>
        </w:rPr>
        <w:t xml:space="preserve">Our results partially confirm the conclusions drawn by </w:t>
      </w:r>
      <w:proofErr w:type="spellStart"/>
      <w:r w:rsidRPr="0014591B">
        <w:rPr>
          <w:rFonts w:ascii="Arial" w:hAnsi="Arial" w:cs="Arial"/>
          <w:sz w:val="22"/>
          <w:szCs w:val="22"/>
          <w:lang w:eastAsia="fr-FR"/>
        </w:rPr>
        <w:t>Bandaogo</w:t>
      </w:r>
      <w:proofErr w:type="spellEnd"/>
      <w:r w:rsidRPr="0014591B">
        <w:rPr>
          <w:rFonts w:ascii="Arial" w:hAnsi="Arial" w:cs="Arial"/>
          <w:sz w:val="22"/>
          <w:szCs w:val="22"/>
          <w:lang w:eastAsia="fr-FR"/>
        </w:rPr>
        <w:t xml:space="preserve"> </w:t>
      </w:r>
      <w:r w:rsidR="00617F2C">
        <w:rPr>
          <w:rFonts w:ascii="Arial" w:hAnsi="Arial" w:cs="Arial"/>
          <w:sz w:val="22"/>
          <w:szCs w:val="22"/>
          <w:lang w:eastAsia="fr-FR"/>
        </w:rPr>
        <w:t>et</w:t>
      </w:r>
      <w:r w:rsidRPr="0014591B">
        <w:rPr>
          <w:rFonts w:ascii="Arial" w:hAnsi="Arial" w:cs="Arial"/>
          <w:sz w:val="22"/>
          <w:szCs w:val="22"/>
          <w:lang w:eastAsia="fr-FR"/>
        </w:rPr>
        <w:t xml:space="preserve"> </w:t>
      </w:r>
      <w:r w:rsidRPr="0014591B">
        <w:rPr>
          <w:rFonts w:ascii="Arial" w:hAnsi="Arial" w:cs="Arial"/>
          <w:i/>
          <w:sz w:val="22"/>
          <w:szCs w:val="22"/>
          <w:lang w:eastAsia="fr-FR"/>
        </w:rPr>
        <w:t>al.</w:t>
      </w:r>
      <w:r w:rsidRPr="0014591B">
        <w:rPr>
          <w:rFonts w:ascii="Arial" w:hAnsi="Arial" w:cs="Arial"/>
          <w:sz w:val="22"/>
          <w:szCs w:val="22"/>
          <w:lang w:eastAsia="fr-FR"/>
        </w:rPr>
        <w:t xml:space="preserve"> (2015) ; </w:t>
      </w:r>
      <w:r w:rsidRPr="0014591B">
        <w:rPr>
          <w:rFonts w:ascii="Arial" w:hAnsi="Arial" w:cs="Arial"/>
          <w:sz w:val="22"/>
          <w:szCs w:val="22"/>
          <w:lang w:eastAsia="fr-FR"/>
        </w:rPr>
        <w:fldChar w:fldCharType="begin" w:fldLock="1"/>
      </w:r>
      <w:r w:rsidR="00617F2C">
        <w:rPr>
          <w:rFonts w:ascii="Arial" w:hAnsi="Arial" w:cs="Arial"/>
          <w:sz w:val="22"/>
          <w:szCs w:val="22"/>
          <w:lang w:eastAsia="fr-FR"/>
        </w:rPr>
        <w:instrText>ADDIN CSL_CITATION {"citationItems":[{"id":"ITEM-1","itemData":{"DOI":"10.2134/agronj2015.0170","ISSN":"14350645","abstract":"Efficient use of fertilizer is needed to meet the increasing food demand, minimize negative environmental impacts, and maximize farmers’ profits. Fertilizer deep placement (FDP)could be one of the best management techniques to achieve these multiple benefits. Experiments were conducted in 115 farmers’ fields spread over 35 upazilas across eight districts over nine contiguous rice (Oryza sativa L.) growing seasons during 2009 to 2012 in southern Bangladesh to compare the effects of deep placement of urea briquettes (UB) and nitrogen–phosphorus–potassium briquettes (NPK), with farmers’ broadcast prilled urea (PU) on rice yield and net economic return. Deep placement of either UB or NPK significantly increased grain yields and net economic return across all the rice-growing seasons and years compared to PU. Across the years, average yield increase in UB and NPK over PU was higher during the Aus and Aman (wet) seasons (21–31%) than in the Boro (dry) season (11–17%). In addition to increase in grain yield, deep placement of UB and NPK saved urea by 33 and 44%, respectively, during the Aus–Aman seasons, and by 35 and 28% during the Boro season. The deep placement of one 2.4 g NPK (</w:instrText>
      </w:r>
      <w:r w:rsidR="00617F2C">
        <w:rPr>
          <w:rFonts w:ascii="Cambria Math" w:hAnsi="Cambria Math" w:cs="Cambria Math"/>
          <w:sz w:val="22"/>
          <w:szCs w:val="22"/>
          <w:lang w:eastAsia="fr-FR"/>
        </w:rPr>
        <w:instrText>∼</w:instrText>
      </w:r>
      <w:r w:rsidR="00617F2C">
        <w:rPr>
          <w:rFonts w:ascii="Arial" w:hAnsi="Arial" w:cs="Arial"/>
          <w:sz w:val="22"/>
          <w:szCs w:val="22"/>
          <w:lang w:eastAsia="fr-FR"/>
        </w:rPr>
        <w:instrText>44 kg N ha–1) for the Aus–Aman season and two NPK (87 kg N ha–1) for the Boro season would be more profitable for southern Bangladesh. The FDP also provides the greatest benefits under rainfed wet season conditions where farmers have little control of water management and timing of N application.","author":[{"dropping-particle":"","family":"Miah","given":"Md Abdul Mazid","non-dropping-particle":"","parse-names":false,"suffix":""},{"dropping-particle":"","family":"Gaihre","given":"Yam Kanta","non-dropping-particle":"","parse-names":false,"suffix":""},{"dropping-particle":"","family":"Hunter","given":"Grahame","non-dropping-particle":"","parse-names":false,"suffix":""},{"dropping-particle":"","family":"Singh","given":"Upendra","non-dropping-particle":"","parse-names":false,"suffix":""},{"dropping-particle":"","family":"Hossain","given":"Syed Afzal","non-dropping-particle":"","parse-names":false,"suffix":""}],"container-title":"Agronomy Journal","id":"ITEM-1","issue":"2","issued":{"date-parts":[["2016"]]},"page":"805-812","title":"Fertilizer deep placement increases rice production: Evidence from farmers’ fields in southern Bangladesh","type":"article-journal","volume":"108"},"uris":["http://www.mendeley.com/documents/?uuid=e9b1b56f-7986-4372-8114-8b693f0692b4"]}],"mendeley":{"formattedCitation":"(Miah et al., 2016)","manualFormatting":"Miah et al. (2016)","plainTextFormattedCitation":"(Miah et al., 2016)","previouslyFormattedCitation":"(Miah et al., 2016)"},"properties":{"noteIndex":0},"schema":"https://github.com/citation-style-language/schema/raw/master/csl-citation.json"}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 xml:space="preserve">Miah </w:t>
      </w:r>
      <w:r w:rsidR="00617F2C">
        <w:rPr>
          <w:rFonts w:ascii="Arial" w:hAnsi="Arial" w:cs="Arial"/>
          <w:noProof/>
          <w:sz w:val="22"/>
          <w:szCs w:val="22"/>
          <w:lang w:eastAsia="fr-FR"/>
        </w:rPr>
        <w:t>et</w:t>
      </w:r>
      <w:r w:rsidRPr="0014591B">
        <w:rPr>
          <w:rFonts w:ascii="Arial" w:hAnsi="Arial" w:cs="Arial"/>
          <w:noProof/>
          <w:sz w:val="22"/>
          <w:szCs w:val="22"/>
          <w:lang w:eastAsia="fr-FR"/>
        </w:rPr>
        <w:t xml:space="preserve"> </w:t>
      </w:r>
      <w:r w:rsidRPr="0014591B">
        <w:rPr>
          <w:rFonts w:ascii="Arial" w:hAnsi="Arial" w:cs="Arial"/>
          <w:i/>
          <w:noProof/>
          <w:sz w:val="22"/>
          <w:szCs w:val="22"/>
          <w:lang w:eastAsia="fr-FR"/>
        </w:rPr>
        <w:t>al.</w:t>
      </w:r>
      <w:r w:rsidRPr="0014591B">
        <w:rPr>
          <w:rFonts w:ascii="Arial" w:hAnsi="Arial" w:cs="Arial"/>
          <w:noProof/>
          <w:sz w:val="22"/>
          <w:szCs w:val="22"/>
          <w:lang w:eastAsia="fr-FR"/>
        </w:rPr>
        <w:t xml:space="preserve"> (2016)</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{"citationItems":[{"id":"ITEM-1","itemData":{"DOI":"10.9734/AJSSPN/2021/v7i330114","author":[{"dropping-particle":"","family":"Sharna","given":"S B Z","non-dropping-particle":"","parse-names":false,"suffix":""},{"dropping-particle":"","family":"Islam","given":"S","non-dropping-particle":"","parse-names":false,"suffix":""},{"dropping-particle":"","family":"Huda","given":"A","non-dropping-particle":"","parse-names":false,"suffix":""},{"dropping-particle":"","family":"Jahiruddin","given":"M","non-dropping-particle":"","parse-names":false,"suffix":""},{"dropping-particle":"","family":"Islam","given":"M R","non-dropping-particle":"","parse-names":false,"suffix":""}],"container-title":"Asian Journal of Soil Science and Plant Nutrition","id":"ITEM-1","issue":"3","issued":{"date-parts":[["2021"]]},"page":"19-27","title":"Effects of Prilled Urea , Urea Briquettes and NPK Briquettes on the Growth , Yield and Nitrogen use Efficiency of BRRI Dhan48","type":"article-journal","volume":"7"},"uris":["http://www.mendeley.com/documents/?uuid=0d5d0f14-9076-4301-94b1-b4879bfb1069"]}],"mendeley":{"formattedCitation":"(Sharna et al., 2021)","manualFormatting":"Sharna and al. (2021)","plainTextFormattedCitation":"(Sharna et al., 2021)","previouslyFormattedCitation":"(Sharna et al., 2021)"},"properties":{"noteIndex":0},"schema":"https://github.com/citation-style-language/schema/raw/master/csl-citation.json"}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 xml:space="preserve">Sharna </w:t>
      </w:r>
      <w:r w:rsidR="00617F2C">
        <w:rPr>
          <w:rFonts w:ascii="Arial" w:hAnsi="Arial" w:cs="Arial"/>
          <w:noProof/>
          <w:sz w:val="22"/>
          <w:szCs w:val="22"/>
          <w:lang w:eastAsia="fr-FR"/>
        </w:rPr>
        <w:t>et</w:t>
      </w:r>
      <w:r w:rsidRPr="0014591B">
        <w:rPr>
          <w:rFonts w:ascii="Arial" w:hAnsi="Arial" w:cs="Arial"/>
          <w:noProof/>
          <w:sz w:val="22"/>
          <w:szCs w:val="22"/>
          <w:lang w:eastAsia="fr-FR"/>
        </w:rPr>
        <w:t xml:space="preserve"> </w:t>
      </w:r>
      <w:r w:rsidRPr="0014591B">
        <w:rPr>
          <w:rFonts w:ascii="Arial" w:hAnsi="Arial" w:cs="Arial"/>
          <w:i/>
          <w:noProof/>
          <w:sz w:val="22"/>
          <w:szCs w:val="22"/>
          <w:lang w:eastAsia="fr-FR"/>
        </w:rPr>
        <w:t>al.</w:t>
      </w:r>
      <w:r w:rsidRPr="0014591B">
        <w:rPr>
          <w:rFonts w:ascii="Arial" w:hAnsi="Arial" w:cs="Arial"/>
          <w:noProof/>
          <w:sz w:val="22"/>
          <w:szCs w:val="22"/>
          <w:lang w:eastAsia="fr-FR"/>
        </w:rPr>
        <w:t xml:space="preserve"> (2021)</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r w:rsidRPr="0014591B">
        <w:rPr>
          <w:rFonts w:ascii="Arial" w:hAnsi="Arial" w:cs="Arial"/>
          <w:sz w:val="22"/>
          <w:szCs w:val="22"/>
        </w:rPr>
        <w:t xml:space="preserve">These authors showed that deep placement of briquettes significantly improved nutrient uptake compared to the application of </w:t>
      </w:r>
      <w:proofErr w:type="spellStart"/>
      <w:r w:rsidR="008A0D38">
        <w:rPr>
          <w:rFonts w:ascii="Arial" w:hAnsi="Arial" w:cs="Arial"/>
          <w:sz w:val="22"/>
          <w:szCs w:val="22"/>
        </w:rPr>
        <w:t>Prilled</w:t>
      </w:r>
      <w:proofErr w:type="spellEnd"/>
      <w:r w:rsidRPr="0014591B">
        <w:rPr>
          <w:rFonts w:ascii="Arial" w:hAnsi="Arial" w:cs="Arial"/>
          <w:sz w:val="22"/>
          <w:szCs w:val="22"/>
        </w:rPr>
        <w:t xml:space="preserve"> urea. Lack of water control in lowland rice cultivation could slightly affect the performance of urea granules. </w:t>
      </w:r>
      <w:r w:rsidRPr="0014591B">
        <w:rPr>
          <w:rFonts w:ascii="Arial" w:hAnsi="Arial" w:cs="Arial"/>
          <w:sz w:val="22"/>
          <w:szCs w:val="22"/>
        </w:rPr>
        <w:fldChar w:fldCharType="begin" w:fldLock="1"/>
      </w:r>
      <w:r w:rsidR="00617F2C">
        <w:rPr>
          <w:rFonts w:ascii="Arial" w:hAnsi="Arial" w:cs="Arial"/>
          <w:sz w:val="22"/>
          <w:szCs w:val="22"/>
        </w:rPr>
        <w:instrText>ADDIN CSL_CITATION {"citationItems":[{"id":"ITEM-1","itemData":{"DOI":"10.3390/agronomy10060852","ISSN":"20734395","abstract":"NPK fertilizer briquettes (NPKBriq) and organically enhanced N fertilizer (OENF), as newly developed fertilizer products, are reported to increase maize (Zea mays L.) yield and N use efficiency, but their effects on maize grain composition are unknown. The objective of this study was to determine the effects of NPKBriq and OENF on the protein, oil, fiber, ash, and starch of maize grain. A field study was conducted at Jackson and Grand Junction, TN, during 2012 and 2013, with NPKBriq, OENF, ammonium sulfate ((NH4)2SO4) (+P and K), and urea (+P and K) as the main treatments and 0, 85, 128, and 170 kg N ha−1 as the sub treatments under a randomized complete block split plot design with four replicates. The fiber concentration was more responsive to the fertilizer source than the protein, oil, ash, and starch concentrations. OENF resulted in a higher fiber concentration than NPKBriq at 85 kg N ha−1 in 2013, averaged over the two sites. Both OENF and NPKBriq had nearly no significant effects on the concentrations of the quality attributes compared with ammonium sulfate and urea. In conclusion, the nutrient-balanced NPKBriq exerts the same or greater effects on maize grain quality relative to the commonly used nutrient management practices of urea (+P and K) and ammonium sulfate (+P and K) under normal weather conditions. OENF is an alternate N source to urea and ammonium sulfate for similar to higher maize grain quality.","author":[{"dropping-particle":"","family":"Wang","given":"Xiaohui","non-dropping-particle":"","parse-names":false,"suffix":""},{"dropping-particle":"","family":"Liu","given":"Shuangli","non-dropping-particle":"","parse-names":false,"suffix":""},{"dropping-particle":"","family":"Yin","given":"Xinhua","non-dropping-particle":"","parse-names":false,"suffix":""},{"dropping-particle":"","family":"Bellaloui","given":"Nacer","non-dropping-particle":"","parse-names":false,"suffix":""},{"dropping-particle":"","family":"Winings","given":"John H.","non-dropping-particle":"","parse-names":false,"suffix":""},{"dropping-particle":"","family":"Agyin-Birikorang","given":"Sampson","non-dropping-particle":"","parse-names":false,"suffix":""},{"dropping-particle":"","family":"Singh","given":"Upendra","non-dropping-particle":"","parse-names":false,"suffix":""},{"dropping-particle":"","family":"Sanabria","given":"Joaquin","non-dropping-particle":"","parse-names":false,"suffix":""},{"dropping-particle":"","family":"Mengistu","given":"Alemu","non-dropping-particle":"","parse-names":false,"suffix":""}],"container-title":"Agronomy","id":"ITEM-1","issue":"6","issued":{"date-parts":[["2020"]]},"title":"Maize Grain Composition with Additions of NPK Briquette and Organically Enhanced N Fertilizer","type":"article-journal","volume":"10"},"uris":["http://www.mendeley.com/documents/?uuid=0257865d-6056-4aed-8b14-1bc2155d0a30"]}],"mendeley":{"formattedCitation":"(X. Wang et al., 2020)","manualFormatting":"Wang et al. (2020)","plainTextFormattedCitation":"(X. Wang et al., 2020)","previouslyFormattedCitation":"(X. Wang et al., 2020)"},"properties":{"noteIndex":0},"schema":"https://github.com/citation-style-language/schema/raw/master/csl-citation.json"}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Wang </w:t>
      </w:r>
      <w:r w:rsidR="00617F2C">
        <w:rPr>
          <w:rFonts w:ascii="Arial" w:hAnsi="Arial" w:cs="Arial"/>
          <w:noProof/>
          <w:sz w:val="22"/>
          <w:szCs w:val="22"/>
        </w:rPr>
        <w:t>et</w:t>
      </w:r>
      <w:r w:rsidRPr="0014591B">
        <w:rPr>
          <w:rFonts w:ascii="Arial" w:hAnsi="Arial" w:cs="Arial"/>
          <w:noProof/>
          <w:sz w:val="22"/>
          <w:szCs w:val="22"/>
        </w:rPr>
        <w:t xml:space="preserve"> </w:t>
      </w:r>
      <w:r w:rsidRPr="0014591B">
        <w:rPr>
          <w:rFonts w:ascii="Arial" w:hAnsi="Arial" w:cs="Arial"/>
          <w:i/>
          <w:noProof/>
          <w:sz w:val="22"/>
          <w:szCs w:val="22"/>
        </w:rPr>
        <w:t>al.</w:t>
      </w:r>
      <w:r w:rsidRPr="0014591B">
        <w:rPr>
          <w:rFonts w:ascii="Arial" w:hAnsi="Arial" w:cs="Arial"/>
          <w:noProof/>
          <w:sz w:val="22"/>
          <w:szCs w:val="22"/>
        </w:rPr>
        <w:t xml:space="preserve"> (2020)</w:t>
      </w:r>
      <w:r w:rsidRPr="0014591B">
        <w:rPr>
          <w:rFonts w:ascii="Arial" w:hAnsi="Arial" w:cs="Arial"/>
          <w:sz w:val="22"/>
          <w:szCs w:val="22"/>
        </w:rPr>
        <w:fldChar w:fldCharType="end"/>
      </w:r>
      <w:r w:rsidRPr="0014591B">
        <w:rPr>
          <w:rFonts w:ascii="Arial" w:hAnsi="Arial" w:cs="Arial"/>
          <w:sz w:val="22"/>
          <w:szCs w:val="22"/>
        </w:rPr>
        <w:t xml:space="preserve"> also reported the effect of SG-NPKs on P uptake by corn kernels</w:t>
      </w:r>
      <w:r w:rsidRPr="0014591B">
        <w:rPr>
          <w:rFonts w:ascii="Arial" w:hAnsi="Arial" w:cs="Arial"/>
          <w:sz w:val="22"/>
          <w:szCs w:val="22"/>
          <w:lang w:eastAsia="fr-FR"/>
        </w:rPr>
        <w:t xml:space="preserve">. This absorption of P could be explained by its availability by NPK briquettes according to the needs of the rice plants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{"citationItems":[{"id":"ITEM-1","itemData":{"DOI":"10.19044/esj.2017.v13n36p432","ISSN":"18577881","abstract":"N-nitrogen is the most limiting element in rice-growing on lowland soils in the central part of Côte d'Ivoire. In addition to its direct effect, poor management of P and K fertilizers in basic manure can induce low yields and losses of currencies. However, inappropriate use of these nutrients (P and K) in these shallows can induce other adverse effects on crops and even on the environment. So, for the eficient management of lowland ricegrowing fertiliszation, three agronomic trials have been set up in the Central part of Côte d'Ivoire to determine the optimum P and K doses to improve fertilizer efficiency in the relevant agroecology. Three rates of PCa(H2PO4)2H2O [30, 60 and 90 kgPha-1 ] as well as three of K-KCl [25, 50 and 75kgKha-1 ] and their recommended rates (13kgPha-1 and 25kgKha-1 ) in the humid forest zone were the treatments. A total of 80kgNha-1 (urea) was applied in three splits to each of the micro-plots except in the control including no fertilizer. The rice variety named NERICA L19 was transplanted.An agronomic trial including eleven (11) treatments in three replications was laid out in a complete randomized blocks design The highest K recovery rate is obtained with the 25kgKha -1 rates, while the lowest rate is with 50kgKha-1 in the three trials. There is a gradual decrease in P-level recovery as rates increase, regardless of the test. Increased rates of P and K induce a decrease in agronomic efficiency. The partial productivity factor (PFP) of nutrients P and K decreases with increasing rates for all three trials. The highest grains and straw yields are obtained for 75kgKha-1 doses regardless of the dose of P. However, it should be noted that the different efficiencies obtained are better for the lower rates of P and K","author":[{"dropping-particle":"","family":"Akassimadou","given":"Fulgence E.","non-dropping-particle":"","parse-names":false,"suffix":""},{"dropping-particle":"","family":"Hien","given":"Marie P.","non-dropping-particle":"","parse-names":false,"suffix":""},{"dropping-particle":"","family":"Bouadou Oi","given":"Felix B.","non-dropping-particle":"","parse-names":false,"suffix":""},{"dropping-particle":"","family":"Bolou Bi","given":"Emile B.","non-dropping-particle":"","parse-names":false,"suffix":""},{"dropping-particle":"","family":"Bongoua","given":"Jeanne A.","non-dropping-particle":"","parse-names":false,"suffix":""},{"dropping-particle":"","family":"Ettien","given":"Jean-Baptiste D.","non-dropping-particle":"","parse-names":false,"suffix":""},{"dropping-particle":"","family":"Yao-kouame","given":"Albert","non-dropping-particle":"","parse-names":false,"suffix":""}],"container-title":"European Scientific Journal, ESJ","id":"ITEM-1","issue":"36","issued":{"date-parts":[["2017"]]},"page":"432-453","title":"Efficiences Des Nutriments P Et K En Riziculture Irriguée Dans Un Bas-Fond Secondaire En Zone De Savane Guinéenne De La Côte d’Ivoire","type":"article-journal","volume":"13"},"uris":["http://www.mendeley.com/documents/?uuid=8da9ef60-cbdd-4f9c-bf6c-8bc422afa765"]}],"mendeley":{"formattedCitation":"(Akassimadou et al., 2017)","plainTextFormattedCitation":"(Akassimadou et al., 2017)","previouslyFormattedCitation":"(Akassimadou et al., 2017)"},"properties":{"noteIndex":0},"schema":"https://github.com/citation-style-language/schema/raw/master/csl-citation.json"}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 xml:space="preserve">(Akassimadou et </w:t>
      </w:r>
      <w:r w:rsidRPr="00617F2C">
        <w:rPr>
          <w:rFonts w:ascii="Arial" w:hAnsi="Arial" w:cs="Arial"/>
          <w:i/>
          <w:iCs/>
          <w:noProof/>
          <w:sz w:val="22"/>
          <w:szCs w:val="22"/>
          <w:lang w:eastAsia="fr-FR"/>
        </w:rPr>
        <w:t>al</w:t>
      </w:r>
      <w:r w:rsidRPr="0014591B">
        <w:rPr>
          <w:rFonts w:ascii="Arial" w:hAnsi="Arial" w:cs="Arial"/>
          <w:noProof/>
          <w:sz w:val="22"/>
          <w:szCs w:val="22"/>
          <w:lang w:eastAsia="fr-FR"/>
        </w:rPr>
        <w:t>., 2017)</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thus reducing its fixation by aluminum and iron oxides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Keywords:","author":[{"dropping-particle":"","family":"Ebbisa","given":"Addisu","non-dropping-particle":"","parse-names":false,"suffix":""}],"chapter-number":"..","container-title":"in Sustainable Crop Production - Recent Advances","id":"ITEM-1","issued":{"date-parts":[["2022"]]},"page":"225 - 240","title":"Toward the Recent Advances in Nutrient Use Efficiency (NUE): Strategies to Improve Phosphorus Availability to Plants","type":"chapter"},"uris":["http://www.mendeley.com/documents/?uuid=64571328-75c5-4d43-a7bd-cceb5dc2f29c"]}],"mendeley":{"formattedCitation":"(Ebbisa, 2022)","plainTextFormattedCitation":"(Ebbisa, 2022)","previouslyFormattedCitation":"(Ebbisa, 2022)"},"properties":{"noteIndex":0},"schema":"https://github.com/citation-style-language/schema/raw/master/csl-citation.json"}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(Ebbisa, 2022)</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r w:rsidRPr="0014591B">
        <w:rPr>
          <w:rFonts w:ascii="Arial" w:hAnsi="Arial" w:cs="Arial"/>
          <w:sz w:val="22"/>
          <w:szCs w:val="22"/>
        </w:rPr>
        <w:t xml:space="preserve">The results of P uptake show a relationship between phosphorus content at maturity and grain yield. This relationship is stronger than that between the uptake of P by the straw and the straw yield; effectively confirming the migration of P from the oldest to the youngest leaves, and its accumulation, ultimately, in the grains. </w:t>
      </w:r>
      <w:r w:rsidRPr="0014591B">
        <w:rPr>
          <w:rFonts w:ascii="Arial" w:hAnsi="Arial" w:cs="Arial"/>
          <w:sz w:val="22"/>
          <w:szCs w:val="22"/>
          <w:lang w:eastAsia="fr-FR"/>
        </w:rPr>
        <w:t>These results confirm the findings of omission trials that a good dose of N increases P uptake (</w:t>
      </w:r>
      <w:proofErr w:type="spellStart"/>
      <w:r w:rsidRPr="0014591B">
        <w:rPr>
          <w:rFonts w:ascii="Arial" w:hAnsi="Arial" w:cs="Arial"/>
          <w:sz w:val="22"/>
          <w:szCs w:val="22"/>
          <w:lang w:eastAsia="fr-FR"/>
        </w:rPr>
        <w:t>Akassimadou</w:t>
      </w:r>
      <w:proofErr w:type="spellEnd"/>
      <w:r w:rsidRPr="0014591B">
        <w:rPr>
          <w:rFonts w:ascii="Arial" w:hAnsi="Arial" w:cs="Arial"/>
          <w:sz w:val="22"/>
          <w:szCs w:val="22"/>
          <w:lang w:eastAsia="fr-FR"/>
        </w:rPr>
        <w:t xml:space="preserve"> </w:t>
      </w:r>
      <w:r w:rsidR="00617F2C">
        <w:rPr>
          <w:rFonts w:ascii="Arial" w:hAnsi="Arial" w:cs="Arial"/>
          <w:sz w:val="22"/>
          <w:szCs w:val="22"/>
          <w:lang w:eastAsia="fr-FR"/>
        </w:rPr>
        <w:t>et</w:t>
      </w:r>
      <w:r w:rsidRPr="0014591B">
        <w:rPr>
          <w:rFonts w:ascii="Arial" w:hAnsi="Arial" w:cs="Arial"/>
          <w:sz w:val="22"/>
          <w:szCs w:val="22"/>
          <w:lang w:eastAsia="fr-FR"/>
        </w:rPr>
        <w:t xml:space="preserve"> </w:t>
      </w:r>
      <w:r w:rsidRPr="0014591B">
        <w:rPr>
          <w:rFonts w:ascii="Arial" w:hAnsi="Arial" w:cs="Arial"/>
          <w:i/>
          <w:sz w:val="22"/>
          <w:szCs w:val="22"/>
          <w:lang w:eastAsia="fr-FR"/>
        </w:rPr>
        <w:t>al.,</w:t>
      </w:r>
      <w:r w:rsidRPr="0014591B">
        <w:rPr>
          <w:rFonts w:ascii="Arial" w:hAnsi="Arial" w:cs="Arial"/>
          <w:sz w:val="22"/>
          <w:szCs w:val="22"/>
          <w:lang w:eastAsia="fr-FR"/>
        </w:rPr>
        <w:t xml:space="preserve"> 2017 ; </w:t>
      </w:r>
      <w:r w:rsidRPr="0014591B">
        <w:rPr>
          <w:rFonts w:ascii="Arial" w:hAnsi="Arial" w:cs="Arial"/>
          <w:sz w:val="22"/>
          <w:szCs w:val="22"/>
          <w:lang w:eastAsia="fr-FR"/>
        </w:rPr>
        <w:fldChar w:fldCharType="begin" w:fldLock="1"/>
      </w:r>
      <w:r w:rsidR="00617F2C">
        <w:rPr>
          <w:rFonts w:ascii="Arial" w:hAnsi="Arial" w:cs="Arial"/>
          <w:sz w:val="22"/>
          <w:szCs w:val="22"/>
          <w:lang w:eastAsia="fr-FR"/>
        </w:rPr>
        <w:instrText>ADDIN CSL_CITATION {"citationItems":[{"id":"ITEM-1","itemData":{"DOI":"https://doi.org/10.21203/rs.3.rs-107471/v1 License:","author":[{"dropping-particle":"","family":"Lu","given":"Dianjun","non-dropping-particle":"","parse-names":false,"suffix":""},{"dropping-particle":"","family":"Song","given":"Hang","non-dropping-particle":"","parse-names":false,"suffix":""},{"dropping-particle":"","family":"Chen","given":"Xiaoqin","non-dropping-particle":"","parse-names":false,"suffix":""},{"dropping-particle":"","family":"Wang","given":"Huoyan","non-dropping-particle":"","parse-names":false,"suffix":""},{"dropping-particle":"","family":"Zhou","given":"Jianmin","non-dropping-particle":"","parse-names":false,"suffix":""}],"container-title":"This is a preprint; it has not been peer reviewed by a journal.","id":"ITEM-1","issued":{"date-parts":[["2020"]]},"page":"1-18","title":"Manipulation of Localised Nutrient Placement to Enhance Synergistic Effects of Nitrogen and Phosphorus for Rice","type":"article-journal"},"uris":["http://www.mendeley.com/documents/?uuid=1e9dacae-0e8a-43d8-9a0e-1057e44373b7"]}],"mendeley":{"formattedCitation":"(Lu et al., 2020)","manualFormatting":"Read et al., 2020","plainTextFormattedCitation":"(Lu et al., 2020)","previouslyFormattedCitation":"(Lu et al., 2020)"},"properties":{"noteIndex":0},"schema":"https://github.com/citation-style-language/schema/raw/master/csl-citation.json"}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 xml:space="preserve">Read </w:t>
      </w:r>
      <w:r w:rsidR="00617F2C">
        <w:rPr>
          <w:rFonts w:ascii="Arial" w:hAnsi="Arial" w:cs="Arial"/>
          <w:noProof/>
          <w:sz w:val="22"/>
          <w:szCs w:val="22"/>
          <w:lang w:eastAsia="fr-FR"/>
        </w:rPr>
        <w:t>et</w:t>
      </w:r>
      <w:r w:rsidRPr="0014591B">
        <w:rPr>
          <w:rFonts w:ascii="Arial" w:hAnsi="Arial" w:cs="Arial"/>
          <w:noProof/>
          <w:sz w:val="22"/>
          <w:szCs w:val="22"/>
          <w:lang w:eastAsia="fr-FR"/>
        </w:rPr>
        <w:t xml:space="preserve"> </w:t>
      </w:r>
      <w:r w:rsidRPr="0014591B">
        <w:rPr>
          <w:rFonts w:ascii="Arial" w:hAnsi="Arial" w:cs="Arial"/>
          <w:i/>
          <w:noProof/>
          <w:sz w:val="22"/>
          <w:szCs w:val="22"/>
          <w:lang w:eastAsia="fr-FR"/>
        </w:rPr>
        <w:t>al.</w:t>
      </w:r>
      <w:r w:rsidRPr="0014591B">
        <w:rPr>
          <w:rFonts w:ascii="Arial" w:hAnsi="Arial" w:cs="Arial"/>
          <w:noProof/>
          <w:sz w:val="22"/>
          <w:szCs w:val="22"/>
          <w:lang w:eastAsia="fr-FR"/>
        </w:rPr>
        <w:t>, 2020</w:t>
      </w:r>
      <w:r w:rsidRPr="0014591B">
        <w:rPr>
          <w:rFonts w:ascii="Arial" w:hAnsi="Arial" w:cs="Arial"/>
          <w:sz w:val="22"/>
          <w:szCs w:val="22"/>
          <w:lang w:eastAsia="fr-FR"/>
        </w:rPr>
        <w:fldChar w:fldCharType="end"/>
      </w:r>
      <w:r w:rsidRPr="0014591B">
        <w:rPr>
          <w:rFonts w:ascii="Arial" w:hAnsi="Arial" w:cs="Arial"/>
          <w:sz w:val="22"/>
          <w:szCs w:val="22"/>
          <w:lang w:eastAsia="fr-FR"/>
        </w:rPr>
        <w:t> </w:t>
      </w:r>
      <w:r w:rsidRPr="0014591B">
        <w:rPr>
          <w:rFonts w:ascii="Arial" w:hAnsi="Arial" w:cs="Arial"/>
          <w:sz w:val="22"/>
          <w:szCs w:val="22"/>
          <w:lang w:eastAsia="fr-FR"/>
        </w:rPr>
        <w:fldChar w:fldCharType="begin" w:fldLock="1"/>
      </w:r>
      <w:r w:rsidRPr="0014591B">
        <w:rPr>
          <w:rFonts w:ascii="Arial" w:hAnsi="Arial" w:cs="Arial"/>
          <w:sz w:val="22"/>
          <w:szCs w:val="22"/>
          <w:lang w:eastAsia="fr-FR"/>
        </w:rPr>
        <w:instrText>ADDIN CSL_CITATION {"citationItems":[{"id":"ITEM-1","itemData":{"DOI":"10.19044/esj.2017.v13n36p432","ISSN":"18577881","abstract":"N-nitrogen is the most limiting element in rice-growing on lowland soils in the central part of Côte d'Ivoire. In addition to its direct effect, poor management of P and K fertilizers in basic manure can induce low yields and losses of currencies. However, inappropriate use of these nutrients (P and K) in these shallows can induce other adverse effects on crops and even on the environment. So, for the eficient management of lowland ricegrowing fertiliszation, three agronomic trials have been set up in the Central part of Côte d'Ivoire to determine the optimum P and K doses to improve fertilizer efficiency in the relevant agroecology. Three rates of PCa(H2PO4)2H2O [30, 60 and 90 kgPha-1 ] as well as three of K-KCl [25, 50 and 75kgKha-1 ] and their recommended rates (13kgPha-1 and 25kgKha-1 ) in the humid forest zone were the treatments. A total of 80kgNha-1 (urea) was applied in three splits to each of the micro-plots except in the control including no fertilizer. The rice variety named NERICA L19 was transplanted.An agronomic trial including eleven (11) treatments in three replications was laid out in a complete randomized blocks design The highest K recovery rate is obtained with the 25kgKha -1 rates, while the lowest rate is with 50kgKha-1 in the three trials. There is a gradual decrease in P-level recovery as rates increase, regardless of the test. Increased rates of P and K induce a decrease in agronomic efficiency. The partial productivity factor (PFP) of nutrients P and K decreases with increasing rates for all three trials. The highest grains and straw yields are obtained for 75kgKha-1 doses regardless of the dose of P. However, it should be noted that the different efficiencies obtained are better for the lower rates of P and K","author":[{"dropping-particle":"","family":"Akassimadou","given":"Fulgence E.","non-dropping-particle":"","parse-names":false,"suffix":""},{"dropping-particle":"","family":"Hien","given":"Marie P.","non-dropping-particle":"","parse-names":false,"suffix":""},{"dropping-particle":"","family":"Bouadou Oi","given":"Felix B.","non-dropping-particle":"","parse-names":false,"suffix":""},{"dropping-particle":"","family":"Bolou Bi","given":"Emile B.","non-dropping-particle":"","parse-names":false,"suffix":""},{"dropping-particle":"","family":"Bongoua","given":"Jeanne A.","non-dropping-particle":"","parse-names":false,"suffix":""},{"dropping-particle":"","family":"Ettien","given":"Jean-Baptiste D.","non-dropping-particle":"","parse-names":false,"suffix":""},{"dropping-particle":"","family":"Yao-kouame","given":"Albert","non-dropping-particle":"","parse-names":false,"suffix":""}],"container-title":"European Scientific Journal, ESJ","id":"ITEM-1","issue":"36","issued":{"date-parts":[["2017"]]},"page":"432-453","title":"Efficiences Des Nutriments P Et K En Riziculture Irriguée Dans Un Bas-Fond Secondaire En Zone De Savane Guinéenne De La Côte d’Ivoire","type":"article-journal","volume":"13"},"uris":["http://www.mendeley.com/documents/?uuid=8da9ef60-cbdd-4f9c-bf6c-8bc422afa765"]}],"mendeley":{"formattedCitation":"(Akassimadou et al., 2017)","manualFormatting":")","plainTextFormattedCitation":"(Akassimadou et al., 2017)","previouslyFormattedCitation":"(Akassimadou et al., 2017)"},"properties":{"noteIndex":0},"schema":"https://github.com/citation-style-language/schema/raw/master/csl-citation.json"}</w:instrText>
      </w:r>
      <w:r w:rsidRPr="0014591B">
        <w:rPr>
          <w:rFonts w:ascii="Arial" w:hAnsi="Arial" w:cs="Arial"/>
          <w:sz w:val="22"/>
          <w:szCs w:val="22"/>
          <w:lang w:eastAsia="fr-FR"/>
        </w:rPr>
        <w:fldChar w:fldCharType="separate"/>
      </w:r>
      <w:r w:rsidRPr="0014591B">
        <w:rPr>
          <w:rFonts w:ascii="Arial" w:hAnsi="Arial" w:cs="Arial"/>
          <w:noProof/>
          <w:sz w:val="22"/>
          <w:szCs w:val="22"/>
          <w:lang w:eastAsia="fr-FR"/>
        </w:rPr>
        <w:t>)</w:t>
      </w:r>
      <w:r w:rsidRPr="0014591B">
        <w:rPr>
          <w:rFonts w:ascii="Arial" w:hAnsi="Arial" w:cs="Arial"/>
          <w:sz w:val="22"/>
          <w:szCs w:val="22"/>
          <w:lang w:eastAsia="fr-FR"/>
        </w:rPr>
        <w:fldChar w:fldCharType="end"/>
      </w:r>
      <w:r w:rsidRPr="0014591B">
        <w:rPr>
          <w:rFonts w:ascii="Arial" w:hAnsi="Arial" w:cs="Arial"/>
          <w:sz w:val="22"/>
          <w:szCs w:val="22"/>
          <w:lang w:eastAsia="fr-FR"/>
        </w:rPr>
        <w:t xml:space="preserve">. </w:t>
      </w:r>
    </w:p>
    <w:p w14:paraId="05B4951B" w14:textId="7A61F29D" w:rsidR="002B73B2" w:rsidRPr="0014591B" w:rsidRDefault="002B73B2" w:rsidP="0014591B">
      <w:pPr>
        <w:spacing w:line="360" w:lineRule="auto"/>
        <w:ind w:firstLine="709"/>
        <w:jc w:val="both"/>
        <w:rPr>
          <w:rFonts w:ascii="Arial" w:hAnsi="Arial" w:cs="Arial"/>
          <w:sz w:val="22"/>
          <w:szCs w:val="22"/>
        </w:rPr>
      </w:pPr>
      <w:r w:rsidRPr="0014591B">
        <w:rPr>
          <w:rFonts w:ascii="Arial" w:hAnsi="Arial" w:cs="Arial"/>
          <w:sz w:val="22"/>
          <w:szCs w:val="22"/>
        </w:rPr>
        <w:t xml:space="preserve">The treatments also had a significant impact on the internal and physiological use efficacy of N. The highest internal nitrogen efficiency was recorded by the control </w:t>
      </w:r>
      <w:r w:rsidRPr="0014591B">
        <w:rPr>
          <w:rFonts w:ascii="Arial" w:hAnsi="Arial" w:cs="Arial"/>
          <w:sz w:val="22"/>
          <w:szCs w:val="22"/>
        </w:rPr>
        <w:lastRenderedPageBreak/>
        <w:t>(72.18 kg grain</w:t>
      </w:r>
      <w:r w:rsidR="00127FE6">
        <w:rPr>
          <w:rFonts w:ascii="Arial" w:hAnsi="Arial" w:cs="Arial"/>
          <w:sz w:val="22"/>
          <w:szCs w:val="22"/>
        </w:rPr>
        <w:t xml:space="preserve"> </w:t>
      </w:r>
      <w:r w:rsidRPr="0014591B">
        <w:rPr>
          <w:rFonts w:ascii="Arial" w:hAnsi="Arial" w:cs="Arial"/>
          <w:sz w:val="22"/>
          <w:szCs w:val="22"/>
        </w:rPr>
        <w:t>kg</w:t>
      </w:r>
      <w:r w:rsidRPr="0014591B">
        <w:rPr>
          <w:rFonts w:ascii="Arial" w:hAnsi="Arial" w:cs="Arial"/>
          <w:sz w:val="22"/>
          <w:szCs w:val="22"/>
          <w:vertAlign w:val="superscript"/>
        </w:rPr>
        <w:t>-1</w:t>
      </w:r>
      <w:r w:rsidRPr="00617F2C">
        <w:rPr>
          <w:rFonts w:ascii="Arial" w:hAnsi="Arial" w:cs="Arial"/>
          <w:sz w:val="22"/>
          <w:szCs w:val="22"/>
        </w:rPr>
        <w:t>N</w:t>
      </w:r>
      <w:r w:rsidRPr="0014591B">
        <w:rPr>
          <w:rFonts w:ascii="Arial" w:hAnsi="Arial" w:cs="Arial"/>
          <w:sz w:val="22"/>
          <w:szCs w:val="22"/>
          <w:vertAlign w:val="superscript"/>
        </w:rPr>
        <w:t xml:space="preserve"> </w:t>
      </w:r>
      <w:r w:rsidRPr="0014591B">
        <w:rPr>
          <w:rFonts w:ascii="Arial" w:hAnsi="Arial" w:cs="Arial"/>
          <w:sz w:val="22"/>
          <w:szCs w:val="22"/>
        </w:rPr>
        <w:t>absorbed). This result could be explained by a deficiency of this macro</w:t>
      </w:r>
      <w:r w:rsidR="00617F2C">
        <w:rPr>
          <w:rFonts w:ascii="Arial" w:hAnsi="Arial" w:cs="Arial"/>
          <w:sz w:val="22"/>
          <w:szCs w:val="22"/>
        </w:rPr>
        <w:t>-</w:t>
      </w:r>
      <w:r w:rsidRPr="0014591B">
        <w:rPr>
          <w:rFonts w:ascii="Arial" w:hAnsi="Arial" w:cs="Arial"/>
          <w:sz w:val="22"/>
          <w:szCs w:val="22"/>
        </w:rPr>
        <w:t xml:space="preserve">element in the soil </w:t>
      </w:r>
      <w:r w:rsidRPr="0014591B">
        <w:rPr>
          <w:rFonts w:ascii="Arial" w:hAnsi="Arial" w:cs="Arial"/>
          <w:sz w:val="22"/>
          <w:szCs w:val="22"/>
        </w:rPr>
        <w:fldChar w:fldCharType="begin" w:fldLock="1"/>
      </w:r>
      <w:r w:rsidR="00617F2C">
        <w:rPr>
          <w:rFonts w:ascii="Arial" w:hAnsi="Arial" w:cs="Arial"/>
          <w:sz w:val="22"/>
          <w:szCs w:val="22"/>
        </w:rPr>
        <w:instrText>ADDIN CSL_CITATION {"citationItems":[{"id":"ITEM-1","itemData":{"DOI":"10.1080/01904167.2021.1943674","ISSN":"15324087","abstract":"Nutrient efficiency concept is used to increase the overall performance of cropping system by providing economically optimum nutrition to the crop and at same time minimizing nutrient losses from the crop yield. The study was undertaken on the AICRP-IFS experiment located at BAU, Sabour having twelve treatments replicated four times in randomized block design. The data were taken after 34th cropping cycle. In this study, a modest initiative has been undertaken to assess the various nutrient use efficiencies for N, P, and K in rice-wheat under different integrated nutrient management (INM) treatments involving substitution of N by farm yard manure, wheat straw, and green manure along with levels of recommended doses of fertilizers and farmers’ practice. The results revealed that the overall AE, PE, APE, PFP, IUE, ARE, and partial nutrient balance (PNB) of N, P, and K for wheat crop was comparatively lower than that of rice crop which reflects that the residual effect of applied organic manures and fertilizers was more than the direct effect. PNB of crops for both the crops was near to 1 in INM plots which indicates that the yields and fertility status of soil is being sustained with respect N and P. However, K mining is being indicated through higher values of PNB for K. Overall, the results indicated that the integrated use of organic manures and inorganic fertilizers for last 34 years likely improved soil fertility, increased sustainable crop yield and uptake thereby led to increased nutrient use efficiency of applied nutrients and crops.","author":[{"dropping-particle":"","family":"Bihari","given":"Bipin","non-dropping-particle":"","parse-names":false,"suffix":""},{"dropping-particle":"","family":"Singh","given":"Yanendra Kumar","non-dropping-particle":"","parse-names":false,"suffix":""},{"dropping-particle":"","family":"Shambhavi","given":"Shweta","non-dropping-particle":"","parse-names":false,"suffix":""},{"dropping-particle":"","family":"Mandal","given":"Jajati","non-dropping-particle":"","parse-names":false,"suffix":""},{"dropping-particle":"","family":"Kumar","given":"Sanjay","non-dropping-particle":"","parse-names":false,"suffix":""},{"dropping-particle":"","family":"Kumar","given":"Rakesh","non-dropping-particle":"","parse-names":false,"suffix":""}],"container-title":"Journal of Plant Nutrition","id":"ITEM-1","issue":"1","issued":{"date-parts":[["2022"]]},"page":"123-140","publisher":"Taylor &amp; Francis","title":"Nutrient use efficiency indices of N, P, and K under rice-wheat cropping system in LTFE after 34th crop cycle","type":"article-journal","volume":"45"},"uris":["http://www.mendeley.com/documents/?uuid=7bd7a9fd-7d40-44f0-a9f5-e83d444a73d7"]},{"id":"ITEM-2","itemData":{"DOI":"10.1007/978-81-322-2169-2","ISBN":"9788132221692","author":[{"dropping-particle":"","family":"Baligar","given":"V C","non-dropping-particle":"","parse-names":false,"suffix":""},{"dropping-particle":"","family":"Fageria","given":"N K","non-dropping-particle":"","parse-names":false,"suffix":""}],"container-title":"Springer","id":"ITEM-2","issue":"in Nutrient Use Efficienecy: froms basic to Advances","issued":{"date-parts":[["2015"]]},"page":"1-14","title":"Nutrient Use Efficiency in Plants : An Overview","type":"article-journal"},"uris":["http://www.mendeley.com/documents/?uuid=f542b63a-4f9a-419c-825d-65a98d86aef1"]},{"id":"ITEM-3","itemData":{"ISBN":"979-10-92366-02-0","author":[{"dropping-particle":"","family":"Fixen","given":"Paul","non-dropping-particle":"","parse-names":false,"suffix":""},{"dropping-particle":"","family":"Brentrup","given":"Frank","non-dropping-particle":"","parse-names":false,"suffix":""},{"dropping-particle":"","family":"Bruulsema","given":"Tom","non-dropping-particle":"","parse-names":false,"suffix":""},{"dropping-particle":"","family":"Garcia","given":"Fernando","non-dropping-particle":"","parse-names":false,"suffix":""},{"dropping-particle":"","family":"Norton","given":"Rob","non-dropping-particle":"","parse-names":false,"suffix":""},{"dropping-particle":"","family":"Zingore","given":"Shamie","non-dropping-particle":"","parse-names":false,"suffix":""}],"chapter-number":"Chapter 1.","container-title":"in Managing Water and Fertilizer for Sustainable Agricultural Intensification","editor":[{"dropping-particle":"","family":"IFA IWMI IPNI and IPI","given":"","non-dropping-particle":"","parse-names":false,"suffix":""}],"id":"ITEM-3","issued":{"date-parts":[["2014"]]},"page":"1-30","publisher":"due to be published during the fourth quarter of 2014","title":"Nutrient / fertilizer use efficiency : measurement , current situation and trends","type":"chapter","volume":"3400"},"uris":["http://www.mendeley.com/documents/?uuid=a5a80cd9-d8ba-47b3-80b1-f56159deacc2"]},{"id":"ITEM-4","itemData":{"abstract":"Mineral fertilizers have sustained world agriculture and thus global population and wealth growth for more than 100 years (Smil, 2001; Stewart et al., 2005). Th eir contribution to increasing crop yields has spared millions of hectares of natural ecosystems that otherwise would have been converted to agriculture (Balmford et al., 2005). However, lacking, imbalanced, inappropriate or excessive use of nutrients in agricultural systems remains a concern. Nutrient mining is a major cause for low crop yields in parts of the developing world, particularly Africa. In other situations, nutrients such as nitrogen (N) and phosphorus (P) often move beyond the bounds of the agricultural field because the management practices used fail to achieve good congruence between nutrient supply and crop nutrient demand (van Noordwijk and Cadisch, 2002). If left unchecked, such losses may bear significant costs to society (Mosier et al., 2001). Hence, increasing nutrient use efficiency continues to be a major challenge for world agriculture. This paper tries to summarize how the use efficiency of N, P and potassium (K) from mineral fertilizer is commonly defined and measured, what needs to be considered for interpreting such values, and how it can be improved through soil, crop and fertilizer management. It focuses on cereal systems because those consume the bulk of the world’s fertilizer, but the principles discussed are similar in all agricultural crops. Where possible, attempts are made to discuss differences between developed and developing countries. Two key messages emerge: (i) Nutrient use efficiencies measured under practical farming conditions are mostly lower than those reported from research experiments, but information on current levels of fertilizer use and nutrient use efficiency by different crops, cropping systems and world regions remains insufficient; (ii) Numerous technologies for increasing nutrient use efficiency exist. They have been evaluated thoroughly, but adoption by farmers is lagging behind.","author":[{"dropping-particle":"","family":"Dobermann","given":"Achim","non-dropping-particle":"","parse-names":false,"suffix":""}],"id":"ITEM-4","issued":{"date-parts":[["2007","1","1"]]},"title":"Nutrient use effi ciency - measurement and management","type":"article-journal"},"uris":["http://www.mendeley.com/documents/?uuid=3f6ed34e-d539-4426-bea8-638290d045c4"]}],"mendeley":{"formattedCitation":"(Baligar &amp; Fageria, 2015; Bihari et al., 2022; Dobermann, 2007; Fixen et al., 2014)","manualFormatting":"( Dobermann, 2007; Fixen et al., 2014; Baligar  &amp; Fageria, 2015; Bihari et al., 2022)","plainTextFormattedCitation":"(Baligar &amp; Fageria, 2015; Bihari et al., 2022; Dobermann, 2007; Fixen et al., 2014)","previouslyFormattedCitation":"(Baligar &amp; Fageria, 2015; Bihari et al., 2022; Dobermann, 2007; Fixen et al., 2014)"},"properties":{"noteIndex":0},"schema":"https://github.com/citation-style-language/schema/raw/master/csl-citation.json"}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 Dobermann, 2007; Fixen et </w:t>
      </w:r>
      <w:r w:rsidRPr="0014591B">
        <w:rPr>
          <w:rFonts w:ascii="Arial" w:hAnsi="Arial" w:cs="Arial"/>
          <w:i/>
          <w:noProof/>
          <w:sz w:val="22"/>
          <w:szCs w:val="22"/>
        </w:rPr>
        <w:t>al.</w:t>
      </w:r>
      <w:r w:rsidRPr="0014591B">
        <w:rPr>
          <w:rFonts w:ascii="Arial" w:hAnsi="Arial" w:cs="Arial"/>
          <w:noProof/>
          <w:sz w:val="22"/>
          <w:szCs w:val="22"/>
        </w:rPr>
        <w:t xml:space="preserve">, 2014; Baligar </w:t>
      </w:r>
      <w:r w:rsidR="00617F2C" w:rsidRPr="0014591B">
        <w:rPr>
          <w:rFonts w:ascii="Arial" w:hAnsi="Arial" w:cs="Arial"/>
          <w:noProof/>
          <w:sz w:val="22"/>
          <w:szCs w:val="22"/>
        </w:rPr>
        <w:t xml:space="preserve"> &amp;</w:t>
      </w:r>
      <w:r w:rsidRPr="0014591B">
        <w:rPr>
          <w:rFonts w:ascii="Arial" w:hAnsi="Arial" w:cs="Arial"/>
          <w:noProof/>
          <w:sz w:val="22"/>
          <w:szCs w:val="22"/>
        </w:rPr>
        <w:t xml:space="preserve"> Fageria, 2015; Bihari et </w:t>
      </w:r>
      <w:r w:rsidRPr="0014591B">
        <w:rPr>
          <w:rFonts w:ascii="Arial" w:hAnsi="Arial" w:cs="Arial"/>
          <w:i/>
          <w:noProof/>
          <w:sz w:val="22"/>
          <w:szCs w:val="22"/>
        </w:rPr>
        <w:t>al.,</w:t>
      </w:r>
      <w:r w:rsidRPr="0014591B">
        <w:rPr>
          <w:rFonts w:ascii="Arial" w:hAnsi="Arial" w:cs="Arial"/>
          <w:noProof/>
          <w:sz w:val="22"/>
          <w:szCs w:val="22"/>
        </w:rPr>
        <w:t xml:space="preserve"> 2022)</w:t>
      </w:r>
      <w:r w:rsidRPr="0014591B">
        <w:rPr>
          <w:rFonts w:ascii="Arial" w:hAnsi="Arial" w:cs="Arial"/>
          <w:sz w:val="22"/>
          <w:szCs w:val="22"/>
        </w:rPr>
        <w:fldChar w:fldCharType="end"/>
      </w:r>
      <w:r w:rsidRPr="0014591B">
        <w:rPr>
          <w:rFonts w:ascii="Arial" w:hAnsi="Arial" w:cs="Arial"/>
          <w:sz w:val="22"/>
          <w:szCs w:val="22"/>
        </w:rPr>
        <w:t>. Optimal internal nitrogen efficiencies were achieved by the 150 kg NPK + USG treatment (55.25 kg pa</w:t>
      </w:r>
      <w:r w:rsidR="00127FE6">
        <w:rPr>
          <w:rFonts w:ascii="Arial" w:hAnsi="Arial" w:cs="Arial"/>
          <w:sz w:val="22"/>
          <w:szCs w:val="22"/>
        </w:rPr>
        <w:t>d</w:t>
      </w:r>
      <w:r w:rsidRPr="0014591B">
        <w:rPr>
          <w:rFonts w:ascii="Arial" w:hAnsi="Arial" w:cs="Arial"/>
          <w:sz w:val="22"/>
          <w:szCs w:val="22"/>
        </w:rPr>
        <w:t>dy</w:t>
      </w:r>
      <w:r w:rsidR="00127FE6">
        <w:rPr>
          <w:rFonts w:ascii="Arial" w:hAnsi="Arial" w:cs="Arial"/>
          <w:sz w:val="22"/>
          <w:szCs w:val="22"/>
        </w:rPr>
        <w:t xml:space="preserve"> </w:t>
      </w:r>
      <w:r w:rsidRPr="0014591B">
        <w:rPr>
          <w:rFonts w:ascii="Arial" w:hAnsi="Arial" w:cs="Arial"/>
          <w:sz w:val="22"/>
          <w:szCs w:val="22"/>
        </w:rPr>
        <w:t>kg</w:t>
      </w:r>
      <w:r w:rsidRPr="0014591B">
        <w:rPr>
          <w:rFonts w:ascii="Arial" w:hAnsi="Arial" w:cs="Arial"/>
          <w:sz w:val="22"/>
          <w:szCs w:val="22"/>
          <w:vertAlign w:val="superscript"/>
        </w:rPr>
        <w:t>-1</w:t>
      </w:r>
      <w:r w:rsidRPr="00617F2C">
        <w:rPr>
          <w:rFonts w:ascii="Arial" w:hAnsi="Arial" w:cs="Arial"/>
          <w:sz w:val="22"/>
          <w:szCs w:val="22"/>
        </w:rPr>
        <w:t>N</w:t>
      </w:r>
      <w:r w:rsidRPr="0014591B">
        <w:rPr>
          <w:rFonts w:ascii="Arial" w:hAnsi="Arial" w:cs="Arial"/>
          <w:sz w:val="22"/>
          <w:szCs w:val="22"/>
          <w:vertAlign w:val="superscript"/>
        </w:rPr>
        <w:t xml:space="preserve"> </w:t>
      </w:r>
      <w:r w:rsidRPr="0014591B">
        <w:rPr>
          <w:rFonts w:ascii="Arial" w:hAnsi="Arial" w:cs="Arial"/>
          <w:sz w:val="22"/>
          <w:szCs w:val="22"/>
        </w:rPr>
        <w:t>absorbed) and 2 SG-NPK + PU (63.64 kg grain</w:t>
      </w:r>
      <w:r w:rsidR="00127FE6">
        <w:rPr>
          <w:rFonts w:ascii="Arial" w:hAnsi="Arial" w:cs="Arial"/>
          <w:sz w:val="22"/>
          <w:szCs w:val="22"/>
        </w:rPr>
        <w:t xml:space="preserve"> </w:t>
      </w:r>
      <w:r w:rsidRPr="0014591B">
        <w:rPr>
          <w:rFonts w:ascii="Arial" w:hAnsi="Arial" w:cs="Arial"/>
          <w:sz w:val="22"/>
          <w:szCs w:val="22"/>
        </w:rPr>
        <w:t>kg</w:t>
      </w:r>
      <w:r w:rsidRPr="0014591B">
        <w:rPr>
          <w:rFonts w:ascii="Arial" w:hAnsi="Arial" w:cs="Arial"/>
          <w:sz w:val="22"/>
          <w:szCs w:val="22"/>
          <w:vertAlign w:val="superscript"/>
        </w:rPr>
        <w:t>-1</w:t>
      </w:r>
      <w:r w:rsidRPr="00617F2C">
        <w:rPr>
          <w:rFonts w:ascii="Arial" w:hAnsi="Arial" w:cs="Arial"/>
          <w:sz w:val="22"/>
          <w:szCs w:val="22"/>
        </w:rPr>
        <w:t>N</w:t>
      </w:r>
      <w:r w:rsidRPr="0014591B">
        <w:rPr>
          <w:rFonts w:ascii="Arial" w:hAnsi="Arial" w:cs="Arial"/>
          <w:sz w:val="22"/>
          <w:szCs w:val="22"/>
          <w:vertAlign w:val="superscript"/>
        </w:rPr>
        <w:t xml:space="preserve"> </w:t>
      </w:r>
      <w:r w:rsidRPr="0014591B">
        <w:rPr>
          <w:rFonts w:ascii="Arial" w:hAnsi="Arial" w:cs="Arial"/>
          <w:sz w:val="22"/>
          <w:szCs w:val="22"/>
        </w:rPr>
        <w:t xml:space="preserve">absorbed), according to the range established by </w:t>
      </w:r>
      <w:proofErr w:type="spellStart"/>
      <w:r w:rsidRPr="0014591B">
        <w:rPr>
          <w:rFonts w:ascii="Arial" w:hAnsi="Arial" w:cs="Arial"/>
          <w:sz w:val="22"/>
          <w:szCs w:val="22"/>
        </w:rPr>
        <w:t>Fixen</w:t>
      </w:r>
      <w:proofErr w:type="spellEnd"/>
      <w:r w:rsidRPr="0014591B">
        <w:rPr>
          <w:rFonts w:ascii="Arial" w:hAnsi="Arial" w:cs="Arial"/>
          <w:sz w:val="22"/>
          <w:szCs w:val="22"/>
        </w:rPr>
        <w:t xml:space="preserve"> et </w:t>
      </w:r>
      <w:r w:rsidRPr="0014591B">
        <w:rPr>
          <w:rFonts w:ascii="Arial" w:hAnsi="Arial" w:cs="Arial"/>
          <w:i/>
          <w:sz w:val="22"/>
          <w:szCs w:val="22"/>
        </w:rPr>
        <w:t>al.</w:t>
      </w:r>
      <w:r w:rsidRPr="0014591B">
        <w:rPr>
          <w:rFonts w:ascii="Arial" w:hAnsi="Arial" w:cs="Arial"/>
          <w:sz w:val="22"/>
          <w:szCs w:val="22"/>
        </w:rPr>
        <w:t xml:space="preserve"> (2014) and Dobermann (2007).  Observations made by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{"citationItems":[{"id":"ITEM-1","itemData":{"DOI":"10.1007/s10705-014-9653-6","ISSN":"15730867","abstract":"The loss of nitrogen (N) can be very high in rice (Oryza sativa L.) fields, particularly in the irrigated rice cropping systems with very poor water control. Previous studies have reported very low (30 %) fertilizer N use efficiency by broadcasting in irrigated cropping systems. The effect of fertilizer N (prilled urea—PU) and briquettes—urea supergranules (USG) on rice yield performance and nutrient uptake was investigated in West Africa. Field experiments were carried out in Sourou valley in Burkina Faso in the wet season of 2012 and dry season of 2013. PU was broadcast applied and USG were point-placed deeply into the soil at 5–7 cm using the same fertilizer N rates (52 kg N ha&lt;sup&gt;−1&lt;/sup&gt;) and two different rice varieties (FKR 19 and NERICA 62N). The results indicate that Fertilizer Deep Placement (FDP) significantly increased grain yields, particularly in the wet season as compared with broadcasting. The FDP applied to NERICA 62N produced the highest tillers and panicles numbers, leading to more yields. In wet season, FDP significantly increased agronomic efficiency by 39.43 % over PU and physiological efficiency by 24.23 %. In the dry season, differences in the average nitrogen use efficiency (NUE) between FDP and PU were not significant. The studies suggest that FDP is genotype and season-specific, and that it can be used by farmers to improve NUE and increase grain yields in the irrigated rice cropping system. Further investigations are underway to understand seasonal and genetic effect on FDP performance.","author":[{"dropping-particle":"","family":"Bandaogo","given":"Alimata","non-dropping-particle":"","parse-names":false,"suffix":""},{"dropping-particle":"","family":"Bidjokazo","given":"Fofana","non-dropping-particle":"","parse-names":false,"suffix":""},{"dropping-particle":"","family":"Youl","given":"Sansan","non-dropping-particle":"","parse-names":false,"suffix":""},{"dropping-particle":"","family":"Safo","given":"Ebenezer","non-dropping-particle":"","parse-names":false,"suffix":""},{"dropping-particle":"","family":"Abaidoo","given":"Robert","non-dropping-particle":"","parse-names":false,"suffix":""},{"dropping-particle":"","family":"Andrews","given":"Opoku","non-dropping-particle":"","parse-names":false,"suffix":""}],"container-title":"Nutrient Cycling in Agroecosystems","id":"ITEM-1","issue":"1","issued":{"date-parts":[["2015"]]},"page":"79-89","title":"Effect of fertilizer deep placement with urea supergranule on nitrogen use efficiency of irrigated rice in Sourou Valley (Burkina Faso)","type":"article-journal","volume":"102"},"uris":["http://www.mendeley.com/documents/?uuid=74154132-3a63-4a57-a3ad-848f920e820a"]}],"mendeley":{"formattedCitation":"(Bandaogo et al., 2015)","manualFormatting":"Bandaogo and al. (2015)","plainTextFormattedCitation":"(Bandaogo et al., 2015)","previouslyFormattedCitation":"(Bandaogo et al., 2015)"},"properties":{"noteIndex":0},"schema":"https://github.com/citation-style-language/schema/raw/master/csl-citation.json"}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Bandaogo et</w:t>
      </w:r>
      <w:r w:rsidRPr="0014591B">
        <w:rPr>
          <w:rFonts w:ascii="Arial" w:hAnsi="Arial" w:cs="Arial"/>
          <w:i/>
          <w:noProof/>
          <w:sz w:val="22"/>
          <w:szCs w:val="22"/>
        </w:rPr>
        <w:t xml:space="preserve"> al.</w:t>
      </w:r>
      <w:r w:rsidRPr="0014591B">
        <w:rPr>
          <w:rFonts w:ascii="Arial" w:hAnsi="Arial" w:cs="Arial"/>
          <w:noProof/>
          <w:sz w:val="22"/>
          <w:szCs w:val="22"/>
        </w:rPr>
        <w:t xml:space="preserve"> (2015)</w:t>
      </w:r>
      <w:r w:rsidRPr="0014591B">
        <w:rPr>
          <w:rFonts w:ascii="Arial" w:hAnsi="Arial" w:cs="Arial"/>
          <w:sz w:val="22"/>
          <w:szCs w:val="22"/>
        </w:rPr>
        <w:fldChar w:fldCharType="end"/>
      </w:r>
      <w:r w:rsidRPr="0014591B">
        <w:rPr>
          <w:rFonts w:ascii="Arial" w:hAnsi="Arial" w:cs="Arial"/>
          <w:sz w:val="22"/>
          <w:szCs w:val="22"/>
        </w:rPr>
        <w:t xml:space="preserve"> have also shown significant results of briquettes on the internal and physiological efficiency of nitrogen. </w:t>
      </w:r>
      <w:r w:rsidR="00F4717A" w:rsidRPr="0014591B">
        <w:rPr>
          <w:rFonts w:ascii="Arial" w:hAnsi="Arial" w:cs="Arial"/>
          <w:sz w:val="22"/>
          <w:szCs w:val="22"/>
        </w:rPr>
        <w:t>However, multi</w:t>
      </w:r>
      <w:r w:rsidR="00F4717A">
        <w:rPr>
          <w:rFonts w:ascii="Arial" w:hAnsi="Arial" w:cs="Arial"/>
          <w:sz w:val="22"/>
          <w:szCs w:val="22"/>
        </w:rPr>
        <w:t>-</w:t>
      </w:r>
      <w:r w:rsidR="00F4717A" w:rsidRPr="0014591B">
        <w:rPr>
          <w:rFonts w:ascii="Arial" w:hAnsi="Arial" w:cs="Arial"/>
          <w:sz w:val="22"/>
          <w:szCs w:val="22"/>
        </w:rPr>
        <w:t>nutrient briquettes did not significantly affect the internal use efficiency of P.</w:t>
      </w:r>
      <w:r w:rsidRPr="0014591B">
        <w:rPr>
          <w:rFonts w:ascii="Arial" w:hAnsi="Arial" w:cs="Arial"/>
          <w:sz w:val="22"/>
          <w:szCs w:val="22"/>
        </w:rPr>
        <w:t xml:space="preserve"> </w:t>
      </w:r>
      <w:r w:rsidR="00F4717A" w:rsidRPr="0014591B">
        <w:rPr>
          <w:rFonts w:ascii="Arial" w:hAnsi="Arial" w:cs="Arial"/>
          <w:sz w:val="22"/>
          <w:szCs w:val="22"/>
        </w:rPr>
        <w:t>These results can be explained by their wide availability, which also leads to luxury consumption.</w:t>
      </w:r>
      <w:r w:rsidRPr="0014591B">
        <w:rPr>
          <w:rFonts w:ascii="Arial" w:hAnsi="Arial" w:cs="Arial"/>
          <w:sz w:val="22"/>
          <w:szCs w:val="22"/>
        </w:rPr>
        <w:t xml:space="preserve"> </w:t>
      </w:r>
      <w:r w:rsidR="00F4717A" w:rsidRPr="0014591B">
        <w:rPr>
          <w:rFonts w:ascii="Arial" w:hAnsi="Arial" w:cs="Arial"/>
          <w:sz w:val="22"/>
          <w:szCs w:val="22"/>
        </w:rPr>
        <w:t xml:space="preserve">Similar results were obtained by </w:t>
      </w:r>
      <w:r w:rsidR="00F4717A" w:rsidRPr="0014591B">
        <w:rPr>
          <w:rFonts w:ascii="Arial" w:hAnsi="Arial" w:cs="Arial"/>
          <w:sz w:val="22"/>
          <w:szCs w:val="22"/>
        </w:rPr>
        <w:fldChar w:fldCharType="begin" w:fldLock="1"/>
      </w:r>
      <w:r w:rsidR="00F4717A">
        <w:rPr>
          <w:rFonts w:ascii="Arial" w:hAnsi="Arial" w:cs="Arial"/>
          <w:sz w:val="22"/>
          <w:szCs w:val="22"/>
        </w:rPr>
        <w:instrText>ADDIN CSL_CITATION {"citationItems":[{"id":"ITEM-1","itemData":{"author":[{"dropping-particle":"","family":"Ouédraogo","given":"Jean","non-dropping-particle":"","parse-names":false,"suffix":""},{"dropping-particle":"","family":"Kpoda","given":"Constantin Kpierouhib","non-dropping-particle":"","parse-names":false,"suffix":""},{"dropping-particle":"","family":"Pouya","given":"Mathias Bouinzemwendé","non-dropping-particle":"","parse-names":false,"suffix":""},{"dropping-particle":"","family":"Sermé","given":"Idriss","non-dropping-particle":"","parse-names":false,"suffix":""},{"dropping-particle":"","family":"Youl","given":"Sansan","non-dropping-particle":"","parse-names":false,"suffix":""}],"container-title":"International Journal of Innovation and Applied Studies","id":"ITEM-1","issue":"2","issued":{"date-parts":[["2022"]]},"page":"pp 470-480","title":"Diagnostic de la fertilité chimique des principaux sols rizicoles de la Vallée du Sourou au Burkina Faso [ Diagnosis of the chemical fertility of the main rice- growing soils of the ... Diagnostic de la fertilité chimique des principaux sols rizicoles de","type":"article-journal","volume":"38"},"uris":["http://www.mendeley.com/documents/?uuid=4880d859-70f3-4400-9a5c-a8c91ed664d0"]}],"mendeley":{"formattedCitation":"(Ouédraogo et al., 2022)","manualFormatting":"Ouédraogo et al. (2022)","plainTextFormattedCitation":"(Ouédraogo et al., 2022)","previouslyFormattedCitation":"(Ouédraogo et al., 2022)"},"properties":{"noteIndex":0},"schema":"https://github.com/citation-style-language/schema/raw/master/csl-citation.json"}</w:instrText>
      </w:r>
      <w:r w:rsidR="00F4717A" w:rsidRPr="0014591B">
        <w:rPr>
          <w:rFonts w:ascii="Arial" w:hAnsi="Arial" w:cs="Arial"/>
          <w:sz w:val="22"/>
          <w:szCs w:val="22"/>
        </w:rPr>
        <w:fldChar w:fldCharType="separate"/>
      </w:r>
      <w:r w:rsidR="00F4717A" w:rsidRPr="0014591B">
        <w:rPr>
          <w:rFonts w:ascii="Arial" w:hAnsi="Arial" w:cs="Arial"/>
          <w:noProof/>
          <w:sz w:val="22"/>
          <w:szCs w:val="22"/>
        </w:rPr>
        <w:t xml:space="preserve">Ouédraogo </w:t>
      </w:r>
      <w:r w:rsidR="00F4717A">
        <w:rPr>
          <w:rFonts w:ascii="Arial" w:hAnsi="Arial" w:cs="Arial"/>
          <w:noProof/>
          <w:sz w:val="22"/>
          <w:szCs w:val="22"/>
        </w:rPr>
        <w:t>et</w:t>
      </w:r>
      <w:r w:rsidR="00F4717A" w:rsidRPr="0014591B">
        <w:rPr>
          <w:rFonts w:ascii="Arial" w:hAnsi="Arial" w:cs="Arial"/>
          <w:i/>
          <w:noProof/>
          <w:sz w:val="22"/>
          <w:szCs w:val="22"/>
        </w:rPr>
        <w:t xml:space="preserve"> al.</w:t>
      </w:r>
      <w:r w:rsidR="00F4717A" w:rsidRPr="0014591B">
        <w:rPr>
          <w:rFonts w:ascii="Arial" w:hAnsi="Arial" w:cs="Arial"/>
          <w:noProof/>
          <w:sz w:val="22"/>
          <w:szCs w:val="22"/>
        </w:rPr>
        <w:t xml:space="preserve"> (2022)</w:t>
      </w:r>
      <w:r w:rsidR="00F4717A" w:rsidRPr="0014591B">
        <w:rPr>
          <w:rFonts w:ascii="Arial" w:hAnsi="Arial" w:cs="Arial"/>
          <w:sz w:val="22"/>
          <w:szCs w:val="22"/>
        </w:rPr>
        <w:fldChar w:fldCharType="end"/>
      </w:r>
      <w:r w:rsidR="00F4717A" w:rsidRPr="0014591B">
        <w:rPr>
          <w:rFonts w:ascii="Arial" w:hAnsi="Arial" w:cs="Arial"/>
          <w:sz w:val="22"/>
          <w:szCs w:val="22"/>
        </w:rPr>
        <w:t>.</w:t>
      </w:r>
      <w:r w:rsidRPr="0014591B">
        <w:rPr>
          <w:rFonts w:ascii="Arial" w:hAnsi="Arial" w:cs="Arial"/>
          <w:sz w:val="22"/>
          <w:szCs w:val="22"/>
        </w:rPr>
        <w:t xml:space="preserve"> </w:t>
      </w:r>
    </w:p>
    <w:p w14:paraId="7BC8D5B7" w14:textId="32762B6F" w:rsidR="002B73B2" w:rsidRPr="0014591B" w:rsidRDefault="002B73B2" w:rsidP="0014591B">
      <w:pPr>
        <w:spacing w:line="360" w:lineRule="auto"/>
        <w:ind w:firstLine="709"/>
        <w:jc w:val="both"/>
        <w:rPr>
          <w:rFonts w:ascii="Arial" w:hAnsi="Arial" w:cs="Arial"/>
          <w:sz w:val="22"/>
          <w:szCs w:val="22"/>
        </w:rPr>
      </w:pPr>
      <w:r w:rsidRPr="0014591B">
        <w:rPr>
          <w:rFonts w:ascii="Arial" w:hAnsi="Arial" w:cs="Arial"/>
          <w:sz w:val="22"/>
          <w:szCs w:val="22"/>
        </w:rPr>
        <w:t>The highest agronomic efficiency of N was recorded with the 150 kg NPK + USG treatment (18.18 kg kg</w:t>
      </w:r>
      <w:r w:rsidRPr="00985038">
        <w:rPr>
          <w:rFonts w:ascii="Arial" w:hAnsi="Arial" w:cs="Arial"/>
          <w:sz w:val="22"/>
          <w:szCs w:val="22"/>
          <w:vertAlign w:val="superscript"/>
        </w:rPr>
        <w:t>-1</w:t>
      </w:r>
      <w:r w:rsidRPr="0014591B">
        <w:rPr>
          <w:rFonts w:ascii="Arial" w:hAnsi="Arial" w:cs="Arial"/>
          <w:sz w:val="22"/>
          <w:szCs w:val="22"/>
        </w:rPr>
        <w:t xml:space="preserve"> N), followed by the 2 SG-NPK + PU treatment (17.17 kg kg</w:t>
      </w:r>
      <w:r w:rsidRPr="00985038">
        <w:rPr>
          <w:rFonts w:ascii="Arial" w:hAnsi="Arial" w:cs="Arial"/>
          <w:sz w:val="22"/>
          <w:szCs w:val="22"/>
          <w:vertAlign w:val="superscript"/>
        </w:rPr>
        <w:t>-1</w:t>
      </w:r>
      <w:r w:rsidRPr="0014591B">
        <w:rPr>
          <w:rFonts w:ascii="Arial" w:hAnsi="Arial" w:cs="Arial"/>
          <w:sz w:val="22"/>
          <w:szCs w:val="22"/>
        </w:rPr>
        <w:t xml:space="preserve"> N). </w:t>
      </w:r>
      <w:proofErr w:type="spellStart"/>
      <w:r w:rsidRPr="0014591B">
        <w:rPr>
          <w:rFonts w:ascii="Arial" w:hAnsi="Arial" w:cs="Arial"/>
          <w:sz w:val="22"/>
          <w:szCs w:val="22"/>
        </w:rPr>
        <w:t>Yaméogo</w:t>
      </w:r>
      <w:proofErr w:type="spellEnd"/>
      <w:r w:rsidRPr="0014591B">
        <w:rPr>
          <w:rFonts w:ascii="Arial" w:hAnsi="Arial" w:cs="Arial"/>
          <w:sz w:val="22"/>
          <w:szCs w:val="22"/>
        </w:rPr>
        <w:t xml:space="preserve"> et al. (2013) and </w:t>
      </w:r>
      <w:proofErr w:type="spellStart"/>
      <w:r w:rsidRPr="0014591B">
        <w:rPr>
          <w:rFonts w:ascii="Arial" w:hAnsi="Arial" w:cs="Arial"/>
          <w:sz w:val="22"/>
          <w:szCs w:val="22"/>
        </w:rPr>
        <w:t>Bandaogo</w:t>
      </w:r>
      <w:proofErr w:type="spellEnd"/>
      <w:r w:rsidRPr="0014591B">
        <w:rPr>
          <w:rFonts w:ascii="Arial" w:hAnsi="Arial" w:cs="Arial"/>
          <w:sz w:val="22"/>
          <w:szCs w:val="22"/>
        </w:rPr>
        <w:t xml:space="preserve"> et </w:t>
      </w:r>
      <w:r w:rsidRPr="00617F2C">
        <w:rPr>
          <w:rFonts w:ascii="Arial" w:hAnsi="Arial" w:cs="Arial"/>
          <w:i/>
          <w:iCs/>
          <w:sz w:val="22"/>
          <w:szCs w:val="22"/>
        </w:rPr>
        <w:t>al</w:t>
      </w:r>
      <w:r w:rsidRPr="0014591B">
        <w:rPr>
          <w:rFonts w:ascii="Arial" w:hAnsi="Arial" w:cs="Arial"/>
          <w:sz w:val="22"/>
          <w:szCs w:val="22"/>
        </w:rPr>
        <w:t>. (2015; 2016) observed different results</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{"citationItems":[{"id":"ITEM-1","itemData":{"abstract":"Nitrogen and phosphorus deficiencies are some of the main factors restricting irrigated rice (Oryza sativa L.) productivity in Burkina Faso. Urea supergranules (USG) have been proven to increase rice yield but this increased productivity is likely to be constrained because P is becoming limiting in irrigated rice systems. Field experiments were carried out with rice variety Nerica 62N in Sourou valley in the wet season of 2012 and in the dry season of 2013. The effect of two sizes (1.8 and 2.7 g) of USG and five levels of phosphorus (0, 20, 30, 40 and 50 kg P ha-1) were studied in a split plot design on rice yields. The use of USG 2.7 g did not significantly increase rice yields compare with USG 1.8 g in both seasons. P application significantly increased rice yields. The 1.8 g USG significantly increased the agronomic efficiency (AE) by 48.9% over the USG 2.7 g in the 2012 wet season while the increase in AE was 24.4% in the 2013 dry season. The best AE 42 kg kg-1 in 2012 and 25 kg kg-1 in 2013 were obtained with 50P and 30P. This study suggests that USG can be used by farmers in small rate (USG 1.8 g) to improve nitrogen use efficiency and the application of 30 kg P kg-1 seems to be adequate to increase yield in irrigated rice cropping system.","author":[{"dropping-particle":"","family":"Bandaogo","given":"Alimata","non-dropping-particle":"","parse-names":false,"suffix":""},{"dropping-particle":"","family":"Andrews","given":"Opoku","non-dropping-particle":"","parse-names":false,"suffix":""},{"dropping-particle":"","family":"Bidjokazo","given":"Fofana","non-dropping-particle":"","parse-names":false,"suffix":""},{"dropping-particle":"","family":"Youl","given":"Sansan","non-dropping-particle":"","parse-names":false,"suffix":""},{"dropping-particle":"","family":"Ebenezer","given":"Safo","non-dropping-particle":"","parse-names":false,"suffix":""},{"dropping-particle":"","family":"Abaidoo","given":"Robert","non-dropping-particle":"","parse-names":false,"suffix":""}],"container-title":"International Journal of Agronomy and Agricultural Research (IJAAR)","id":"ITEM-1","issue":"4","issued":{"date-parts":[["2016"]]},"page":"35-43","title":"Urea-supergranules and phosphorus application increases irrigated rice yields and agronomic use efficiency in Burkina Faso","type":"article-journal","volume":"8"},"uris":["http://www.mendeley.com/documents/?uuid=3ae4eec7-25df-4fc6-a6c8-ba1196f17ed4"]},{"id":"ITEM-2","itemData":{"DOI":"10.4314/jab.v70i1.98749","author":[{"dropping-particle":"","family":"Yaméogo","given":"Poulouma Louis","non-dropping-particle":"","parse-names":false,"suffix":""},{"dropping-particle":"","family":"Traoré","given":"Moumouni","non-dropping-particle":"","parse-names":false,"suffix":""},{"dropping-particle":"","family":"Segda","given":"Zacharie","non-dropping-particle":"","parse-names":false,"suffix":""},{"dropping-particle":"","family":"Mando","given":"Abdoulaye","non-dropping-particle":"","parse-names":false,"suffix":""},{"dropping-particle":"","family":"Dakouo","given":"Dona","non-dropping-particle":"","parse-names":false,"suffix":""},{"dropping-particle":"","family":"Sedogo","given":"Michel P","non-dropping-particle":"","parse-names":false,"suffix":""}],"container-title":"Journal of Applied Biosciences 70:5523– 5530","id":"ITEM-2","issued":{"date-parts":[["2013"]]},"page":"85-95","title":"Placement profond de l'urée (PPU) et amélioration de l'efficacité d'utilisation de l'azote en riziculture irriguée dans le périmètre rizicole de Karfiguela au Burkina Faso.","type":"article-journal"},"uris":["http://www.mendeley.com/documents/?uuid=0f9ec45d-2c0d-4433-8b87-69ba2f644bd6"]}],"mendeley":{"formattedCitation":"(Bandaogo et al., 2016; Yaméogo et al., 2013)","manualFormatting":"Bandaogo and al. (2015; 2016b) ","plainTextFormattedCitation":"(Bandaogo et al., 2016; Yaméogo et al., 2013)","previouslyFormattedCitation":"(Bandaogo et al., 2016; Yaméogo et al., 2013)"},"properties":{"noteIndex":0},"schema":"https://github.com/citation-style-language/schema/raw/master/csl-citation.json"}</w:instrText>
      </w:r>
      <w:r w:rsidRPr="0014591B">
        <w:rPr>
          <w:rFonts w:ascii="Arial" w:hAnsi="Arial" w:cs="Arial"/>
          <w:sz w:val="22"/>
          <w:szCs w:val="22"/>
        </w:rPr>
        <w:fldChar w:fldCharType="end"/>
      </w:r>
      <w:r w:rsidRPr="0014591B">
        <w:rPr>
          <w:rFonts w:ascii="Arial" w:hAnsi="Arial" w:cs="Arial"/>
          <w:sz w:val="22"/>
          <w:szCs w:val="22"/>
        </w:rPr>
        <w:t xml:space="preserve">. These authors obtained significant effects of super granules on the agronomic efficacy of N. </w:t>
      </w:r>
      <w:r w:rsidR="00F4717A" w:rsidRPr="0014591B">
        <w:rPr>
          <w:rFonts w:ascii="Arial" w:hAnsi="Arial" w:cs="Arial"/>
          <w:sz w:val="22"/>
          <w:szCs w:val="22"/>
        </w:rPr>
        <w:t>This divergence can be attributed to differences in rice ecology.</w:t>
      </w:r>
      <w:r w:rsidRPr="0014591B">
        <w:rPr>
          <w:rFonts w:ascii="Arial" w:hAnsi="Arial" w:cs="Arial"/>
          <w:sz w:val="22"/>
          <w:szCs w:val="22"/>
        </w:rPr>
        <w:t xml:space="preserve"> According to </w:t>
      </w:r>
      <w:proofErr w:type="spellStart"/>
      <w:r w:rsidRPr="0014591B">
        <w:rPr>
          <w:rFonts w:ascii="Arial" w:hAnsi="Arial" w:cs="Arial"/>
          <w:sz w:val="22"/>
          <w:szCs w:val="22"/>
        </w:rPr>
        <w:t>Nishigaki</w:t>
      </w:r>
      <w:proofErr w:type="spellEnd"/>
      <w:r w:rsidRPr="0014591B">
        <w:rPr>
          <w:rFonts w:ascii="Arial" w:hAnsi="Arial" w:cs="Arial"/>
          <w:sz w:val="22"/>
          <w:szCs w:val="22"/>
        </w:rPr>
        <w:t xml:space="preserve"> et</w:t>
      </w:r>
      <w:r w:rsidRPr="0014591B">
        <w:rPr>
          <w:rFonts w:ascii="Arial" w:hAnsi="Arial" w:cs="Arial"/>
          <w:i/>
          <w:sz w:val="22"/>
          <w:szCs w:val="22"/>
        </w:rPr>
        <w:t xml:space="preserve"> al.</w:t>
      </w:r>
      <w:r w:rsidRPr="0014591B">
        <w:rPr>
          <w:rFonts w:ascii="Arial" w:hAnsi="Arial" w:cs="Arial"/>
          <w:sz w:val="22"/>
          <w:szCs w:val="22"/>
        </w:rPr>
        <w:t xml:space="preserve"> (2019), in rainfed production systems, the instability of hydrology limits grain yield and the response of rice to </w:t>
      </w:r>
      <w:r w:rsidR="00617F2C" w:rsidRPr="0014591B">
        <w:rPr>
          <w:rFonts w:ascii="Arial" w:hAnsi="Arial" w:cs="Arial"/>
          <w:sz w:val="22"/>
          <w:szCs w:val="22"/>
        </w:rPr>
        <w:t>fertilizer</w:t>
      </w:r>
      <w:r w:rsidRPr="0014591B">
        <w:rPr>
          <w:rFonts w:ascii="Arial" w:hAnsi="Arial" w:cs="Arial"/>
          <w:sz w:val="22"/>
          <w:szCs w:val="22"/>
        </w:rPr>
        <w:t xml:space="preserve"> input, thus impacting the agronomic efficiency of N.</w:t>
      </w:r>
    </w:p>
    <w:p w14:paraId="62BBD46D" w14:textId="67D41DD1" w:rsidR="002B73B2" w:rsidRPr="0014591B" w:rsidRDefault="00F4717A" w:rsidP="0014591B">
      <w:pPr>
        <w:spacing w:line="360" w:lineRule="auto"/>
        <w:ind w:firstLine="709"/>
        <w:jc w:val="both"/>
        <w:rPr>
          <w:rFonts w:ascii="Arial" w:hAnsi="Arial" w:cs="Arial"/>
          <w:sz w:val="22"/>
          <w:szCs w:val="22"/>
        </w:rPr>
      </w:pPr>
      <w:r w:rsidRPr="0014591B">
        <w:rPr>
          <w:rFonts w:ascii="Arial" w:hAnsi="Arial" w:cs="Arial"/>
          <w:sz w:val="22"/>
          <w:szCs w:val="22"/>
        </w:rPr>
        <w:t>The highest partial productivity factor for N was obtained with the 2 SG-NPK treatment (102.31 kg of grains</w:t>
      </w:r>
      <w:r>
        <w:rPr>
          <w:rFonts w:ascii="Arial" w:hAnsi="Arial" w:cs="Arial"/>
          <w:sz w:val="22"/>
          <w:szCs w:val="22"/>
        </w:rPr>
        <w:t xml:space="preserve"> </w:t>
      </w:r>
      <w:r w:rsidRPr="0014591B">
        <w:rPr>
          <w:rFonts w:ascii="Arial" w:hAnsi="Arial" w:cs="Arial"/>
          <w:sz w:val="22"/>
          <w:szCs w:val="22"/>
        </w:rPr>
        <w:t>kg</w:t>
      </w:r>
      <w:r w:rsidRPr="0014591B">
        <w:rPr>
          <w:rFonts w:ascii="Arial" w:hAnsi="Arial" w:cs="Arial"/>
          <w:sz w:val="22"/>
          <w:szCs w:val="22"/>
          <w:vertAlign w:val="superscript"/>
        </w:rPr>
        <w:t>-1</w:t>
      </w:r>
      <w:r w:rsidRPr="0014591B">
        <w:rPr>
          <w:rFonts w:ascii="Arial" w:hAnsi="Arial" w:cs="Arial"/>
          <w:sz w:val="22"/>
          <w:szCs w:val="22"/>
        </w:rPr>
        <w:t xml:space="preserve"> N applied), while the highest agronomic efficiency of P and the partial productivity factor of P were observed with the 150 kg NPK + USG treatment (38.45 kg</w:t>
      </w:r>
      <w:r>
        <w:rPr>
          <w:rFonts w:ascii="Arial" w:hAnsi="Arial" w:cs="Arial"/>
          <w:sz w:val="22"/>
          <w:szCs w:val="22"/>
        </w:rPr>
        <w:t xml:space="preserve"> </w:t>
      </w:r>
      <w:r w:rsidRPr="0014591B">
        <w:rPr>
          <w:rFonts w:ascii="Arial" w:hAnsi="Arial" w:cs="Arial"/>
          <w:sz w:val="22"/>
          <w:szCs w:val="22"/>
        </w:rPr>
        <w:t>kg</w:t>
      </w:r>
      <w:r w:rsidRPr="00985038">
        <w:rPr>
          <w:rFonts w:ascii="Arial" w:hAnsi="Arial" w:cs="Arial"/>
          <w:sz w:val="22"/>
          <w:szCs w:val="22"/>
          <w:vertAlign w:val="superscript"/>
        </w:rPr>
        <w:t>-1</w:t>
      </w:r>
      <w:r w:rsidRPr="0014591B">
        <w:rPr>
          <w:rFonts w:ascii="Arial" w:hAnsi="Arial" w:cs="Arial"/>
          <w:sz w:val="22"/>
          <w:szCs w:val="22"/>
        </w:rPr>
        <w:t xml:space="preserve"> P and 119.06 kg of grains</w:t>
      </w:r>
      <w:r>
        <w:rPr>
          <w:rFonts w:ascii="Arial" w:hAnsi="Arial" w:cs="Arial"/>
          <w:sz w:val="22"/>
          <w:szCs w:val="22"/>
        </w:rPr>
        <w:t xml:space="preserve"> </w:t>
      </w:r>
      <w:r w:rsidRPr="0014591B">
        <w:rPr>
          <w:rFonts w:ascii="Arial" w:hAnsi="Arial" w:cs="Arial"/>
          <w:sz w:val="22"/>
          <w:szCs w:val="22"/>
        </w:rPr>
        <w:t>kg</w:t>
      </w:r>
      <w:r w:rsidRPr="0014591B">
        <w:rPr>
          <w:rFonts w:ascii="Arial" w:hAnsi="Arial" w:cs="Arial"/>
          <w:sz w:val="22"/>
          <w:szCs w:val="22"/>
          <w:vertAlign w:val="superscript"/>
        </w:rPr>
        <w:t>-1</w:t>
      </w:r>
      <w:r w:rsidRPr="0014591B">
        <w:rPr>
          <w:rFonts w:ascii="Arial" w:hAnsi="Arial" w:cs="Arial"/>
          <w:sz w:val="22"/>
          <w:szCs w:val="22"/>
        </w:rPr>
        <w:t xml:space="preserve"> P applied, respectively).</w:t>
      </w:r>
      <w:r w:rsidR="002B73B2" w:rsidRPr="0014591B">
        <w:rPr>
          <w:rFonts w:ascii="Arial" w:hAnsi="Arial" w:cs="Arial"/>
          <w:sz w:val="22"/>
          <w:szCs w:val="22"/>
        </w:rPr>
        <w:t xml:space="preserve"> According to </w:t>
      </w:r>
      <w:proofErr w:type="spellStart"/>
      <w:r w:rsidR="002B73B2" w:rsidRPr="0014591B">
        <w:rPr>
          <w:rFonts w:ascii="Arial" w:hAnsi="Arial" w:cs="Arial"/>
          <w:sz w:val="22"/>
          <w:szCs w:val="22"/>
        </w:rPr>
        <w:t>Fixen</w:t>
      </w:r>
      <w:proofErr w:type="spellEnd"/>
      <w:r w:rsidR="002B73B2" w:rsidRPr="0014591B">
        <w:rPr>
          <w:rFonts w:ascii="Arial" w:hAnsi="Arial" w:cs="Arial"/>
          <w:sz w:val="22"/>
          <w:szCs w:val="22"/>
        </w:rPr>
        <w:t xml:space="preserve"> et</w:t>
      </w:r>
      <w:r w:rsidR="002B73B2" w:rsidRPr="0014591B">
        <w:rPr>
          <w:rFonts w:ascii="Arial" w:hAnsi="Arial" w:cs="Arial"/>
          <w:i/>
          <w:sz w:val="22"/>
          <w:szCs w:val="22"/>
        </w:rPr>
        <w:t xml:space="preserve"> al.</w:t>
      </w:r>
      <w:r w:rsidR="002B73B2" w:rsidRPr="0014591B">
        <w:rPr>
          <w:rFonts w:ascii="Arial" w:hAnsi="Arial" w:cs="Arial"/>
          <w:sz w:val="22"/>
          <w:szCs w:val="22"/>
        </w:rPr>
        <w:t xml:space="preserve"> (2014), it is desirable to have higher efficiencies so that more grain yield can be produced per unit of its application, which not only contributes to food safety but also reduces the environmental risks associated with excess nutrients. </w:t>
      </w:r>
      <w:r w:rsidRPr="0014591B">
        <w:rPr>
          <w:rFonts w:ascii="Arial" w:hAnsi="Arial" w:cs="Arial"/>
          <w:sz w:val="22"/>
          <w:szCs w:val="22"/>
        </w:rPr>
        <w:t xml:space="preserve">The high values of the partial productivity factor of N held by the SG-NPKs and the partial productivity factor of P and its agronomic efficiency held by the USGs can be attributed to a reduction in the loss of these nutrients in different forms, which usually occurs with the diffusion of </w:t>
      </w:r>
      <w:proofErr w:type="spellStart"/>
      <w:r>
        <w:rPr>
          <w:rFonts w:ascii="Arial" w:hAnsi="Arial" w:cs="Arial"/>
          <w:sz w:val="22"/>
          <w:szCs w:val="22"/>
        </w:rPr>
        <w:t>prilled</w:t>
      </w:r>
      <w:proofErr w:type="spellEnd"/>
      <w:r w:rsidRPr="0014591B">
        <w:rPr>
          <w:rFonts w:ascii="Arial" w:hAnsi="Arial" w:cs="Arial"/>
          <w:sz w:val="22"/>
          <w:szCs w:val="22"/>
        </w:rPr>
        <w:t xml:space="preserve"> fertilizers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{"citationItems":[{"id":"ITEM-1","itemData":{"DOI":"10.1080/14735903.2017.1398627","ISSN":"1747762X","abstract":"Overuse of nitrogen fertilizer represents a considerable environmental problem globally, but especially in China. Recently, a recent approach on an experimental scale based on the diffusion of the so-called Three-Control Technology (TCT) successfully alleviated the overuse of nitrogen fertilizer in southern China villages in the Guangdong Province, serving as a reference point for other rice-producing countries tackling similar challenges. Here, we assessed the correlation between rice yields and reduction in the use of nitrogen fertilizer following the introduction of TCT. Our study was based on the collection of primary data from 248 households randomly selected from four rice-growing areas of Guangdong Province, China. Our results show that TCT significantly improved the efficiency in the use of nitrogen. Crucially, participating farmers, including both full adopters and partial adopters, were found to fundamentally change their application practices of nitrogen fertilizer, resulting in major improvements in the local soil and water systems.","author":[{"dropping-particle":"","family":"Wang","given":"Huaiyu","non-dropping-particle":"","parse-names":false,"suffix":""},{"dropping-particle":"","family":"Hu","given":"Ruifa","non-dropping-particle":"","parse-names":false,"suffix":""},{"dropping-particle":"","family":"Chen","given":"Xiaoxue","non-dropping-particle":"","parse-names":false,"suffix":""},{"dropping-particle":"","family":"Zhong","given":"Xuhua","non-dropping-particle":"","parse-names":false,"suffix":""},{"dropping-particle":"","family":"Zheng","given":"Zuting","non-dropping-particle":"","parse-names":false,"suffix":""},{"dropping-particle":"","family":"Huang","given":"Nongrong","non-dropping-particle":"","parse-names":false,"suffix":""},{"dropping-particle":"","family":"Xue","given":"Chunling","non-dropping-particle":"","parse-names":false,"suffix":""}],"container-title":"International Journal of Agricultural Sustainability","id":"ITEM-1","issue":"6","issued":{"date-parts":[["2017"]]},"page":"681-692","publisher":"Taylor &amp; Francis","title":"Reduction in nitrogen fertilizer use results in increased rice yields and improved environmental protection","type":"article-journal","volume":"15"},"uris":["http://www.mendeley.com/documents/?uuid=6a280cfb-8963-4e21-a983-a18a8e404e1d"]}],"mendeley":{"formattedCitation":"(H. Wang et al., 2017)","manualFormatting":"(Wang and al., 2017)","plainTextFormattedCitation":"(H. Wang et al., 2017)","previouslyFormattedCitation":"(H. Wang et al., 2017)"},"properties":{"noteIndex":0},"schema":"https://github.com/citation-style-language/schema/raw/master/csl-citation.json"}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(Wang et </w:t>
      </w:r>
      <w:r w:rsidRPr="0014591B">
        <w:rPr>
          <w:rFonts w:ascii="Arial" w:hAnsi="Arial" w:cs="Arial"/>
          <w:i/>
          <w:noProof/>
          <w:sz w:val="22"/>
          <w:szCs w:val="22"/>
        </w:rPr>
        <w:t>al.</w:t>
      </w:r>
      <w:r w:rsidRPr="0014591B">
        <w:rPr>
          <w:rFonts w:ascii="Arial" w:hAnsi="Arial" w:cs="Arial"/>
          <w:noProof/>
          <w:sz w:val="22"/>
          <w:szCs w:val="22"/>
        </w:rPr>
        <w:t>, 2017)</w:t>
      </w:r>
      <w:r w:rsidRPr="0014591B">
        <w:rPr>
          <w:rFonts w:ascii="Arial" w:hAnsi="Arial" w:cs="Arial"/>
          <w:sz w:val="22"/>
          <w:szCs w:val="22"/>
        </w:rPr>
        <w:fldChar w:fldCharType="end"/>
      </w:r>
      <w:r w:rsidRPr="0014591B">
        <w:rPr>
          <w:rFonts w:ascii="Arial" w:hAnsi="Arial" w:cs="Arial"/>
          <w:sz w:val="22"/>
          <w:szCs w:val="22"/>
        </w:rPr>
        <w:t>.</w:t>
      </w:r>
      <w:r w:rsidR="002B73B2" w:rsidRPr="0014591B">
        <w:rPr>
          <w:rFonts w:ascii="Arial" w:hAnsi="Arial" w:cs="Arial"/>
          <w:sz w:val="22"/>
          <w:szCs w:val="22"/>
        </w:rPr>
        <w:t xml:space="preserve"> </w:t>
      </w:r>
      <w:r w:rsidRPr="0014591B">
        <w:rPr>
          <w:rFonts w:ascii="Arial" w:hAnsi="Arial" w:cs="Arial"/>
          <w:sz w:val="22"/>
          <w:szCs w:val="22"/>
        </w:rPr>
        <w:t xml:space="preserve">This efficiency can also be explained by synchronization in time and space with the contribution of N and P from soil labile reserves and treatment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{"citationItems":[{"id":"ITEM-1","itemData":{"abstract":"Nitrogen use efficiency (NUE) in field crops rarely exceeds 40% and its enhancement continues to be a major challenge. Studies undertaken so far on enhancing the NUE have converged around the use of modified urea materials, nitrification inhibitors, integrated nutrient management (INM), and management practices involving right source, time, rate and method of application. Whereas INM (conjoint use of fertilisers and organics/green manuring/ biofertilisers) is an attractive option for enhancing the NUE, the fact remains that most of the nutrient packages for high yielding systems continue to be fertiliser-driven. Competitive uses of important organic resources, lack of efficient technologies for waste recycling, lack of appropriate policies, and poor technology transfer are the major deterrents for large scale adoption of INM. The present article analyzes the possibilities of enhancing NUE through different INM approaches.","author":[{"dropping-particle":"","family":"Dwivedi","given":"Brahma S","non-dropping-particle":"","parse-names":false,"suffix":""},{"dropping-particle":"","family":"Singh","given":"Vinod K","non-dropping-particle":"","parse-names":false,"suffix":""},{"dropping-particle":"","family":"Meena","given":"Mahesh C","non-dropping-particle":"","parse-names":false,"suffix":""},{"dropping-particle":"","family":"Dwivedi","given":"B S","non-dropping-particle":"","parse-names":false,"suffix":""},{"dropping-particle":"","family":"Singh","given":"V K","non-dropping-particle":"","parse-names":false,"suffix":""},{"dropping-particle":"","family":"Meena","given":"M C","non-dropping-particle":"","parse-names":false,"suffix":""},{"dropping-particle":"","family":"Datta","given":"S P","non-dropping-particle":"","parse-names":false,"suffix":""}],"container-title":"Indian Journal of Fertilisers","id":"ITEM-1","issue":"4","issued":{"date-parts":[["2016"]]},"page":"62-71","title":"Integrated Nutrient Management for Enhancing Nitrogen Use Efficiency Restoration and Improvement of Soil Health View project Sustainable Cropping systems View project Integrated Nutrient Management for Enhancing Nitrogen Use Efficiency","type":"article-journal","volume":"12"},"uris":["http://www.mendeley.com/documents/?uuid=60d8a823-f39a-479b-9784-08f79ce09479"]}],"mendeley":{"formattedCitation":"(Dwivedi et al., 2016)","plainTextFormattedCitation":"(Dwivedi et al., 2016)","previouslyFormattedCitation":"(Dwivedi et al., 2016)"},"properties":{"noteIndex":0},"schema":"https://github.com/citation-style-language/schema/raw/master/csl-citation.json"}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(Dwivedi et</w:t>
      </w:r>
      <w:r w:rsidRPr="0014591B">
        <w:rPr>
          <w:rFonts w:ascii="Arial" w:hAnsi="Arial" w:cs="Arial"/>
          <w:i/>
          <w:noProof/>
          <w:sz w:val="22"/>
          <w:szCs w:val="22"/>
        </w:rPr>
        <w:t xml:space="preserve"> al.,</w:t>
      </w:r>
      <w:r w:rsidRPr="0014591B">
        <w:rPr>
          <w:rFonts w:ascii="Arial" w:hAnsi="Arial" w:cs="Arial"/>
          <w:noProof/>
          <w:sz w:val="22"/>
          <w:szCs w:val="22"/>
        </w:rPr>
        <w:t xml:space="preserve"> 2016)</w:t>
      </w:r>
      <w:r w:rsidRPr="0014591B">
        <w:rPr>
          <w:rFonts w:ascii="Arial" w:hAnsi="Arial" w:cs="Arial"/>
          <w:sz w:val="22"/>
          <w:szCs w:val="22"/>
        </w:rPr>
        <w:fldChar w:fldCharType="end"/>
      </w:r>
      <w:r w:rsidRPr="0014591B">
        <w:rPr>
          <w:rFonts w:ascii="Arial" w:hAnsi="Arial" w:cs="Arial"/>
          <w:sz w:val="22"/>
          <w:szCs w:val="22"/>
        </w:rPr>
        <w:t>.</w:t>
      </w:r>
      <w:r w:rsidR="002B73B2" w:rsidRPr="0014591B">
        <w:rPr>
          <w:rFonts w:ascii="Arial" w:hAnsi="Arial" w:cs="Arial"/>
          <w:sz w:val="22"/>
          <w:szCs w:val="22"/>
        </w:rPr>
        <w:t xml:space="preserve"> </w:t>
      </w:r>
      <w:r w:rsidRPr="0014591B">
        <w:rPr>
          <w:rFonts w:ascii="Arial" w:hAnsi="Arial" w:cs="Arial"/>
          <w:sz w:val="22"/>
          <w:szCs w:val="22"/>
        </w:rPr>
        <w:t xml:space="preserve">Consistent with these </w:t>
      </w:r>
      <w:r w:rsidRPr="0014591B">
        <w:rPr>
          <w:rFonts w:ascii="Arial" w:hAnsi="Arial" w:cs="Arial"/>
          <w:sz w:val="22"/>
          <w:szCs w:val="22"/>
        </w:rPr>
        <w:lastRenderedPageBreak/>
        <w:t>findings, previous studies have reported a higher agronomic use efficiency of P (25</w:t>
      </w:r>
      <w:r>
        <w:rPr>
          <w:rFonts w:ascii="Arial" w:hAnsi="Arial" w:cs="Arial"/>
          <w:sz w:val="22"/>
          <w:szCs w:val="22"/>
        </w:rPr>
        <w:t>-</w:t>
      </w:r>
      <w:r w:rsidRPr="0014591B">
        <w:rPr>
          <w:rFonts w:ascii="Arial" w:hAnsi="Arial" w:cs="Arial"/>
          <w:sz w:val="22"/>
          <w:szCs w:val="22"/>
        </w:rPr>
        <w:t>42 kg</w:t>
      </w:r>
      <w:r>
        <w:rPr>
          <w:rFonts w:ascii="Arial" w:hAnsi="Arial" w:cs="Arial"/>
          <w:sz w:val="22"/>
          <w:szCs w:val="22"/>
        </w:rPr>
        <w:t xml:space="preserve"> </w:t>
      </w:r>
      <w:r w:rsidRPr="0014591B">
        <w:rPr>
          <w:rFonts w:ascii="Arial" w:hAnsi="Arial" w:cs="Arial"/>
          <w:sz w:val="22"/>
          <w:szCs w:val="22"/>
        </w:rPr>
        <w:t>kg</w:t>
      </w:r>
      <w:r w:rsidRPr="0014591B">
        <w:rPr>
          <w:rFonts w:ascii="Arial" w:hAnsi="Arial" w:cs="Arial"/>
          <w:sz w:val="22"/>
          <w:szCs w:val="22"/>
          <w:vertAlign w:val="superscript"/>
        </w:rPr>
        <w:t>-1</w:t>
      </w:r>
      <w:r w:rsidRPr="0014591B">
        <w:rPr>
          <w:rFonts w:ascii="Arial" w:hAnsi="Arial" w:cs="Arial"/>
          <w:sz w:val="22"/>
          <w:szCs w:val="22"/>
        </w:rPr>
        <w:t>P</w:t>
      </w:r>
      <w:r w:rsidRPr="0014591B">
        <w:rPr>
          <w:rFonts w:ascii="Arial" w:hAnsi="Arial" w:cs="Arial"/>
          <w:sz w:val="22"/>
          <w:szCs w:val="22"/>
          <w:vertAlign w:val="superscript"/>
        </w:rPr>
        <w:t xml:space="preserve">) </w:t>
      </w:r>
      <w:r w:rsidRPr="0014591B">
        <w:rPr>
          <w:rFonts w:ascii="Arial" w:hAnsi="Arial" w:cs="Arial"/>
          <w:sz w:val="22"/>
          <w:szCs w:val="22"/>
        </w:rPr>
        <w:t xml:space="preserve">compared to the </w:t>
      </w:r>
      <w:r>
        <w:rPr>
          <w:rFonts w:ascii="Arial" w:hAnsi="Arial" w:cs="Arial"/>
          <w:sz w:val="22"/>
          <w:szCs w:val="22"/>
        </w:rPr>
        <w:t>farmer</w:t>
      </w:r>
      <w:r w:rsidRPr="0014591B">
        <w:rPr>
          <w:rFonts w:ascii="Arial" w:hAnsi="Arial" w:cs="Arial"/>
          <w:sz w:val="22"/>
          <w:szCs w:val="22"/>
        </w:rPr>
        <w:t xml:space="preserve">'s practice using a combination of USG and increasing doses of P </w:t>
      </w:r>
      <w:r w:rsidRPr="0014591B">
        <w:rPr>
          <w:rFonts w:ascii="Arial" w:hAnsi="Arial" w:cs="Arial"/>
          <w:sz w:val="22"/>
          <w:szCs w:val="22"/>
        </w:rPr>
        <w:fldChar w:fldCharType="begin" w:fldLock="1"/>
      </w:r>
      <w:r>
        <w:rPr>
          <w:rFonts w:ascii="Arial" w:hAnsi="Arial" w:cs="Arial"/>
          <w:sz w:val="22"/>
          <w:szCs w:val="22"/>
        </w:rPr>
        <w:instrText>ADDIN CSL_CITATION {"citationItems":[{"id":"ITEM-1","itemData":{"abstract":"Nitrogen and phosphorus deficiencies are some of the main factors restricting irrigated rice (Oryza sativa L.) productivity in Burkina Faso. Urea supergranules (USG) have been proven to increase rice yield but this increased productivity is likely to be constrained because P is becoming limiting in irrigated rice systems. Field experiments were carried out with rice variety Nerica 62N in Sourou valley in the wet season of 2012 and in the dry season of 2013. The effect of two sizes (1.8 and 2.7 g) of USG and five levels of phosphorus (0, 20, 30, 40 and 50 kg P ha-1) were studied in a split plot design on rice yields. The use of USG 2.7 g did not significantly increase rice yields compare with USG 1.8 g in both seasons. P application significantly increased rice yields. The 1.8 g USG significantly increased the agronomic efficiency (AE) by 48.9% over the USG 2.7 g in the 2012 wet season while the increase in AE was 24.4% in the 2013 dry season. The best AE 42 kg kg-1 in 2012 and 25 kg kg-1 in 2013 were obtained with 50P and 30P. This study suggests that USG can be used by farmers in small rate (USG 1.8 g) to improve nitrogen use efficiency and the application of 30 kg P kg-1 seems to be adequate to increase yield in irrigated rice cropping system.","author":[{"dropping-particle":"","family":"Bandaogo Alimata1*, Andrews Opoku2, Fofana Bidjokazo3, Sansan Youl4","given":"Safo","non-dropping-particle":"","parse-names":false,"suffix":""},{"dropping-particle":"","family":"Ebenezer2","given":"Abaidoo Robert5","non-dropping-particle":"","parse-names":false,"suffix":""}],"container-title":"International Journal of Agronomy and Agricultural Research (IJAAR)","id":"ITEM-1","issue":"4","issued":{"date-parts":[["2016"]]},"page":"35-43","title":"Urea-supergranules and phosphorus application increases irrigated rice yields and agronomic use efficiency in Burkina Faso","type":"article-journal","volume":"8"},"uris":["http://www.mendeley.com/documents/?uuid=0674094b-4f15-4202-945b-bcef3a87315c"]}],"mendeley":{"formattedCitation":"(Bandaogo Alimata1*, Andrews Opoku2, Fofana Bidjokazo3, Sansan Youl4 &amp; Ebenezer2, 2016)","manualFormatting":"(Bandaogo et al., 2016)","plainTextFormattedCitation":"(Bandaogo Alimata1*, Andrews Opoku2, Fofana Bidjokazo3, Sansan Youl4 &amp; Ebenezer2, 2016)","previouslyFormattedCitation":"(Bandaogo Alimata1*, Andrews Opoku2, Fofana Bidjokazo3, Sansan Youl4 &amp; Ebenezer2, 2016)"},"properties":{"noteIndex":0},"schema":"https://github.com/citation-style-language/schema/raw/master/csl-citation.json"}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(Bandaogo et </w:t>
      </w:r>
      <w:r w:rsidRPr="0014591B">
        <w:rPr>
          <w:rFonts w:ascii="Arial" w:hAnsi="Arial" w:cs="Arial"/>
          <w:i/>
          <w:noProof/>
          <w:sz w:val="22"/>
          <w:szCs w:val="22"/>
        </w:rPr>
        <w:t>al.,</w:t>
      </w:r>
      <w:r w:rsidRPr="0014591B">
        <w:rPr>
          <w:rFonts w:ascii="Arial" w:hAnsi="Arial" w:cs="Arial"/>
          <w:noProof/>
          <w:sz w:val="22"/>
          <w:szCs w:val="22"/>
        </w:rPr>
        <w:t xml:space="preserve"> 2016)</w:t>
      </w:r>
      <w:r w:rsidRPr="0014591B">
        <w:rPr>
          <w:rFonts w:ascii="Arial" w:hAnsi="Arial" w:cs="Arial"/>
          <w:sz w:val="22"/>
          <w:szCs w:val="22"/>
        </w:rPr>
        <w:fldChar w:fldCharType="end"/>
      </w:r>
      <w:r w:rsidRPr="0014591B">
        <w:rPr>
          <w:rFonts w:ascii="Arial" w:hAnsi="Arial" w:cs="Arial"/>
          <w:sz w:val="22"/>
          <w:szCs w:val="22"/>
        </w:rPr>
        <w:t>.</w:t>
      </w:r>
      <w:r w:rsidR="002B73B2" w:rsidRPr="0014591B">
        <w:rPr>
          <w:rFonts w:ascii="Arial" w:hAnsi="Arial" w:cs="Arial"/>
          <w:sz w:val="22"/>
          <w:szCs w:val="22"/>
        </w:rPr>
        <w:t xml:space="preserve"> </w:t>
      </w:r>
      <w:r w:rsidRPr="0014591B">
        <w:rPr>
          <w:rFonts w:ascii="Arial" w:hAnsi="Arial" w:cs="Arial"/>
          <w:sz w:val="22"/>
          <w:szCs w:val="22"/>
        </w:rPr>
        <w:t>Several scales have been established for the interpretation of partial productivity factors.</w:t>
      </w:r>
      <w:r w:rsidR="002B73B2" w:rsidRPr="0014591B">
        <w:rPr>
          <w:rFonts w:ascii="Arial" w:hAnsi="Arial" w:cs="Arial"/>
          <w:sz w:val="22"/>
          <w:szCs w:val="22"/>
        </w:rPr>
        <w:t xml:space="preserve"> </w:t>
      </w:r>
      <w:r w:rsidRPr="0014591B">
        <w:rPr>
          <w:rFonts w:ascii="Arial" w:hAnsi="Arial" w:cs="Arial"/>
          <w:sz w:val="22"/>
          <w:szCs w:val="22"/>
        </w:rPr>
        <w:t xml:space="preserve">A higher partial factor value in plots treated with mineral fertilizers suggests suboptimal use of this element in these treatments or nutrient supply that likely limits productivity, whereas a lower level suggests less reactive or excessive nutrient application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ISBN":"979-10-92366-02-0","author":[{"dropping-particle":"","family":"Fixen","given":"Paul","non-dropping-particle":"","parse-names":false,"suffix":""},{"dropping-particle":"","family":"Brentrup","given":"Frank","non-dropping-particle":"","parse-names":false,"suffix":""},{"dropping-particle":"","family":"Bruulsema","given":"Tom","non-dropping-particle":"","parse-names":false,"suffix":""},{"dropping-particle":"","family":"Garcia","given":"Fernando","non-dropping-particle":"","parse-names":false,"suffix":""},{"dropping-particle":"","family":"Norton","given":"Rob","non-dropping-particle":"","parse-names":false,"suffix":""},{"dropping-particle":"","family":"Zingore","given":"Shamie","non-dropping-particle":"","parse-names":false,"suffix":""}],"chapter-number":"Chapter 1.","container-title":"in Managing Water and Fertilizer for Sustainable Agricultural Intensification","editor":[{"dropping-particle":"","family":"IFA IWMI IPNI and IPI","given":"","non-dropping-particle":"","parse-names":false,"suffix":""}],"id":"ITEM-1","issued":{"date-parts":[["2014"]]},"page":"1-30","publisher":"due to be published during the fourth quarter of 2014","title":"Nutrient / fertilizer use efficiency : measurement , current situation and trends","type":"chapter","volume":"3400"},"uris":["http://www.mendeley.com/documents/?uuid=a5a80cd9-d8ba-47b3-80b1-f56159deacc2"]},{"id":"ITEM-2","itemData":{"abstract":"Mineral fertilizers have sustained world agriculture and thus global population and wealth growth for more than 100 years (Smil, 2001; Stewart et al., 2005). Th eir contribution to increasing crop yields has spared millions of hectares of natural ecosystems that otherwise would have been converted to agriculture (Balmford et al., 2005). However, lacking, imbalanced, inappropriate or excessive use of nutrients in agricultural systems remains a concern. Nutrient mining is a major cause for low crop yields in parts of the developing world, particularly Africa. In other situations, nutrients such as nitrogen (N) and phosphorus (P) often move beyond the bounds of the agricultural field because the management practices used fail to achieve good congruence between nutrient supply and crop nutrient demand (van Noordwijk and Cadisch, 2002). If left unchecked, such losses may bear significant costs to society (Mosier et al., 2001). Hence, increasing nutrient use efficiency continues to be a major challenge for world agriculture. This paper tries to summarize how the use efficiency of N, P and potassium (K) from mineral fertilizer is commonly defined and measured, what needs to be considered for interpreting such values, and how it can be improved through soil, crop and fertilizer management. It focuses on cereal systems because those consume the bulk of the world’s fertilizer, but the principles discussed are similar in all agricultural crops. Where possible, attempts are made to discuss differences between developed and developing countries. Two key messages emerge: (i) Nutrient use efficiencies measured under practical farming conditions are mostly lower than those reported from research experiments, but information on current levels of fertilizer use and nutrient use efficiency by different crops, cropping systems and world regions remains insufficient; (ii) Numerous technologies for increasing nutrient use efficiency exist. They have been evaluated thoroughly, but adoption by farmers is lagging behind.","author":[{"dropping-particle":"","family":"Dobermann","given":"Achim","non-dropping-particle":"","parse-names":false,"suffix":""}],"id":"ITEM-2","issued":{"date-parts":[["2007","1","1"]]},"title":"Nutrient use effi ciency - measurement and management","type":"article-journal"},"uris":["http://www.mendeley.com/documents/?uuid=3f6ed34e-d539-4426-bea8-638290d045c4"]}],"mendeley":{"formattedCitation":"(Dobermann, 2007; Fixen et al., 2014)","manualFormatting":"(Dobermann, 2007; Fixen and al., 2014). ","plainTextFormattedCitation":"(Dobermann, 2007; Fixen et al., 2014)","previouslyFormattedCitation":"(Dobermann, 2007; Fixen et al., 2014)"},"properties":{"noteIndex":0},"schema":"https://github.com/citation-style-language/schema/raw/master/csl-citation.json"}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(Dobermann, 2007; Fixen et </w:t>
      </w:r>
      <w:r w:rsidRPr="0014591B">
        <w:rPr>
          <w:rFonts w:ascii="Arial" w:hAnsi="Arial" w:cs="Arial"/>
          <w:i/>
          <w:noProof/>
          <w:sz w:val="22"/>
          <w:szCs w:val="22"/>
        </w:rPr>
        <w:t>al.,</w:t>
      </w:r>
      <w:r w:rsidRPr="0014591B">
        <w:rPr>
          <w:rFonts w:ascii="Arial" w:hAnsi="Arial" w:cs="Arial"/>
          <w:noProof/>
          <w:sz w:val="22"/>
          <w:szCs w:val="22"/>
        </w:rPr>
        <w:t xml:space="preserve"> 2014). </w:t>
      </w:r>
      <w:r w:rsidRPr="0014591B">
        <w:rPr>
          <w:rFonts w:ascii="Arial" w:hAnsi="Arial" w:cs="Arial"/>
          <w:sz w:val="22"/>
          <w:szCs w:val="22"/>
        </w:rPr>
        <w:fldChar w:fldCharType="end"/>
      </w:r>
      <w:r>
        <w:rPr>
          <w:rFonts w:ascii="Arial" w:hAnsi="Arial" w:cs="Arial"/>
          <w:sz w:val="22"/>
          <w:szCs w:val="22"/>
        </w:rPr>
        <w:t>Our</w:t>
      </w:r>
      <w:r w:rsidRPr="0014591B">
        <w:rPr>
          <w:rFonts w:ascii="Arial" w:hAnsi="Arial" w:cs="Arial"/>
          <w:sz w:val="22"/>
          <w:szCs w:val="22"/>
        </w:rPr>
        <w:t xml:space="preserve"> results, and in accordance with the range established by </w:t>
      </w:r>
      <w:r w:rsidRPr="0014591B">
        <w:rPr>
          <w:rFonts w:ascii="Arial" w:hAnsi="Arial" w:cs="Arial"/>
          <w:sz w:val="22"/>
          <w:szCs w:val="22"/>
        </w:rPr>
        <w:fldChar w:fldCharType="begin" w:fldLock="1"/>
      </w:r>
      <w:r>
        <w:rPr>
          <w:rFonts w:ascii="Arial" w:hAnsi="Arial" w:cs="Arial"/>
          <w:sz w:val="22"/>
          <w:szCs w:val="22"/>
        </w:rPr>
        <w:instrText>ADDIN CSL_CITATION {"citationItems":[{"id":"ITEM-1","itemData":{"ISBN":"979-10-92366-02-0","author":[{"dropping-particle":"","family":"Fixen","given":"Paul","non-dropping-particle":"","parse-names":false,"suffix":""},{"dropping-particle":"","family":"Brentrup","given":"Frank","non-dropping-particle":"","parse-names":false,"suffix":""},{"dropping-particle":"","family":"Bruulsema","given":"Tom","non-dropping-particle":"","parse-names":false,"suffix":""},{"dropping-particle":"","family":"Garcia","given":"Fernando","non-dropping-particle":"","parse-names":false,"suffix":""},{"dropping-particle":"","family":"Norton","given":"Rob","non-dropping-particle":"","parse-names":false,"suffix":""},{"dropping-particle":"","family":"Zingore","given":"Shamie","non-dropping-particle":"","parse-names":false,"suffix":""}],"chapter-number":"Chapter 1.","container-title":"in Managing Water and Fertilizer for Sustainable Agricultural Intensification","editor":[{"dropping-particle":"","family":"IFA IWMI IPNI and IPI","given":"","non-dropping-particle":"","parse-names":false,"suffix":""}],"id":"ITEM-1","issued":{"date-parts":[["2014"]]},"page":"1-30","publisher":"due to be published during the fourth quarter of 2014","title":"Nutrient / fertilizer use efficiency : measurement , current situation and trends","type":"chapter","volume":"3400"},"uris":["http://www.mendeley.com/documents/?uuid=a5a80cd9-d8ba-47b3-80b1-f56159deacc2"]}],"mendeley":{"formattedCitation":"(Fixen et al., 2014)","manualFormatting":"Fixen et al. (2014)","plainTextFormattedCitation":"(Fixen et al., 2014)","previouslyFormattedCitation":"(Fixen et al., 2014)"},"properties":{"noteIndex":0},"schema":"https://github.com/citation-style-language/schema/raw/master/csl-citation.json"}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Fixen </w:t>
      </w:r>
      <w:r>
        <w:rPr>
          <w:rFonts w:ascii="Arial" w:hAnsi="Arial" w:cs="Arial"/>
          <w:noProof/>
          <w:sz w:val="22"/>
          <w:szCs w:val="22"/>
        </w:rPr>
        <w:t>et</w:t>
      </w:r>
      <w:r w:rsidRPr="0014591B">
        <w:rPr>
          <w:rFonts w:ascii="Arial" w:hAnsi="Arial" w:cs="Arial"/>
          <w:noProof/>
          <w:sz w:val="22"/>
          <w:szCs w:val="22"/>
        </w:rPr>
        <w:t xml:space="preserve"> </w:t>
      </w:r>
      <w:r w:rsidRPr="0014591B">
        <w:rPr>
          <w:rFonts w:ascii="Arial" w:hAnsi="Arial" w:cs="Arial"/>
          <w:i/>
          <w:noProof/>
          <w:sz w:val="22"/>
          <w:szCs w:val="22"/>
        </w:rPr>
        <w:t>al.</w:t>
      </w:r>
      <w:r w:rsidRPr="0014591B">
        <w:rPr>
          <w:rFonts w:ascii="Arial" w:hAnsi="Arial" w:cs="Arial"/>
          <w:noProof/>
          <w:sz w:val="22"/>
          <w:szCs w:val="22"/>
        </w:rPr>
        <w:t xml:space="preserve"> (2014)</w:t>
      </w:r>
      <w:r w:rsidRPr="0014591B">
        <w:rPr>
          <w:rFonts w:ascii="Arial" w:hAnsi="Arial" w:cs="Arial"/>
          <w:sz w:val="22"/>
          <w:szCs w:val="22"/>
        </w:rPr>
        <w:fldChar w:fldCharType="end"/>
      </w:r>
      <w:r>
        <w:rPr>
          <w:rFonts w:ascii="Arial" w:hAnsi="Arial" w:cs="Arial"/>
          <w:sz w:val="22"/>
          <w:szCs w:val="22"/>
        </w:rPr>
        <w:t>, indicate that t</w:t>
      </w:r>
      <w:r w:rsidRPr="0014591B">
        <w:rPr>
          <w:rFonts w:ascii="Arial" w:hAnsi="Arial" w:cs="Arial"/>
          <w:sz w:val="22"/>
          <w:szCs w:val="22"/>
        </w:rPr>
        <w:t>he 150 kg NPK + USG treatment is the best management practice for N and P element.</w:t>
      </w:r>
      <w:r w:rsidR="002B73B2" w:rsidRPr="0014591B">
        <w:rPr>
          <w:rFonts w:ascii="Arial" w:hAnsi="Arial" w:cs="Arial"/>
          <w:sz w:val="22"/>
          <w:szCs w:val="22"/>
        </w:rPr>
        <w:t xml:space="preserve"> </w:t>
      </w:r>
      <w:r w:rsidRPr="0014591B">
        <w:rPr>
          <w:rFonts w:ascii="Arial" w:hAnsi="Arial" w:cs="Arial"/>
          <w:sz w:val="22"/>
          <w:szCs w:val="22"/>
        </w:rPr>
        <w:t xml:space="preserve">However, this treatment was not statistically better than the 2 SG-NPK+PU for N management or the </w:t>
      </w:r>
      <w:r>
        <w:rPr>
          <w:rFonts w:ascii="Arial" w:hAnsi="Arial" w:cs="Arial"/>
          <w:sz w:val="22"/>
          <w:szCs w:val="22"/>
        </w:rPr>
        <w:t>farmer</w:t>
      </w:r>
      <w:r w:rsidRPr="0014591B">
        <w:rPr>
          <w:rFonts w:ascii="Arial" w:hAnsi="Arial" w:cs="Arial"/>
          <w:sz w:val="22"/>
          <w:szCs w:val="22"/>
        </w:rPr>
        <w:t>'s practice for P management.</w:t>
      </w:r>
      <w:r w:rsidR="002B73B2" w:rsidRPr="0014591B">
        <w:rPr>
          <w:rFonts w:ascii="Arial" w:hAnsi="Arial" w:cs="Arial"/>
          <w:sz w:val="22"/>
          <w:szCs w:val="22"/>
        </w:rPr>
        <w:t xml:space="preserve"> </w:t>
      </w:r>
      <w:r w:rsidRPr="0014591B">
        <w:rPr>
          <w:rFonts w:ascii="Arial" w:hAnsi="Arial" w:cs="Arial"/>
          <w:sz w:val="22"/>
          <w:szCs w:val="22"/>
        </w:rPr>
        <w:t xml:space="preserve">However, according to </w:t>
      </w:r>
      <w:r w:rsidRPr="0014591B">
        <w:rPr>
          <w:rFonts w:ascii="Arial" w:hAnsi="Arial" w:cs="Arial"/>
          <w:sz w:val="22"/>
          <w:szCs w:val="22"/>
        </w:rPr>
        <w:fldChar w:fldCharType="begin" w:fldLock="1"/>
      </w:r>
      <w:r>
        <w:rPr>
          <w:rFonts w:ascii="Arial" w:hAnsi="Arial" w:cs="Arial"/>
          <w:sz w:val="22"/>
          <w:szCs w:val="22"/>
        </w:rPr>
        <w:instrText>ADDIN CSL_CITATION {"citationItems":[{"id":"ITEM-1","itemData":{"DOI":"10.1016/j.ecolind.2019.05.029","ISSN":"1470160X","abstract":"Quantifying and comparing sustainability indicators are essential to improve the sustainability of smallholder rice cropping systems. The sustainability of rice production systems can be measured based on economic, environmental, social, and institutional indicators. In this paper, we restrict our assessment to economic and environmental indicators. During 2012–2015, farmers were interviewed from 847 households from intensively irrigated rice production regions in Vietnam, Thailand, Indonesia, Myanmar, Sri Lanka, and China. We assessed the sustainability of their farming practices using economic and environmental indicators, i.e., eight of the 12 performance indicators (PIs), as defined by the Sustainable Rice Platform (SRP). Across the six sites, there was a yield gap of 24–42% and a profit gap of 36–82% between the 10% highest-performing farms (mean of top decile) and the mean-performing farms. In addition, there was a labor productivity gap of 12–32%, a nitrogen use efficiency (NUE) gap of 11–20%, a phosphorus use efficiency (PUE) gap of 1–29%, and a water productivity gap of 12–42%. Deliberate modification of conventional practices, including not flooding the field for &gt;30 days before rice planting, incorporating pre-rice crop residue &gt;30 days before planting, and adoption of mid-season drainage or alternate wetting and drying irrigation rather than continuous flood irrigation during the rice growing period, could substantially reduce the greenhouse gas (GHG) emission in irrigated rice fields without yield penalty. There is an urgent need to adopt improved management strategies for nitrogen (N), phosphorus (P), potassium (K) fertilizer, irrigation water-use efficiency, as well as for decreasing pesticide use frequency, without sacrificing profitability and yield. We identified the following priority interventions for each site: a) increasing fertilizer use and adopting higher-yielding varieties in Bago, Myanmar; b) reducing pesticide application rates in Can Tho, Vietnam; c) reducing fertilizer use in Guangdong, China; d) reducing nitrogen and labor use in Yogyakarta, Indonesia; e) reducing fertilizer and water use in Polonnaruwa, Sri Lanka and; f) reducing fertilizer use in Nakhon Sawan, Thailand. Additional uses of the PI analysis clearly demonstrated that rice yield and profit gaps can sustainably be closed by increasing efficiencies that will also lead to reduced environmental footprint.","author":[{"dropping-particle":"","family":"Devkota","given":"Krishna Prasad","non-dropping-particle":"","parse-names":false,"suffix":""},{"dropping-particle":"","family":"Pasuquin","given":"Estela","non-dropping-particle":"","parse-names":false,"suffix":""},{"dropping-particle":"","family":"Elmido-Mabilangan","given":"Abigail","non-dropping-particle":"","parse-names":false,"suffix":""},{"dropping-particle":"","family":"Dikitanan","given":"Rowell","non-dropping-particle":"","parse-names":false,"suffix":""},{"dropping-particle":"","family":"Singleton","given":"Grant R.","non-dropping-particle":"","parse-names":false,"suffix":""},{"dropping-particle":"","family":"Stuart","given":"Alexander M.","non-dropping-particle":"","parse-names":false,"suffix":""},{"dropping-particle":"","family":"Vithoonjit","given":"Duangporn","non-dropping-particle":"","parse-names":false,"suffix":""},{"dropping-particle":"","family":"Vidiyangkura","given":"Ladda","non-dropping-particle":"","parse-names":false,"suffix":""},{"dropping-particle":"","family":"Pustika","given":"Arlyna Budi","non-dropping-particle":"","parse-names":false,"suffix":""},{"dropping-particle":"","family":"Afriani","given":"Riefna","non-dropping-particle":"","parse-names":false,"suffix":""},{"dropping-particle":"","family":"Listyowati","given":"Charisma Lia","non-dropping-particle":"","parse-names":false,"suffix":""},{"dropping-particle":"","family":"Keerthisena","given":"R. S.K.","non-dropping-particle":"","parse-names":false,"suffix":""},{"dropping-particle":"","family":"Kieu","given":"Nguyen Thi","non-dropping-particle":"","parse-names":false,"suffix":""},{"dropping-particle":"","family":"Malabayabas","given":"Arelene Julia","non-dropping-particle":"","parse-names":false,"suffix":""},{"dropping-particle":"","family":"Hu","given":"Ruifa","non-dropping-particle":"","parse-names":false,"suffix":""},{"dropping-particle":"","family":"Pan","given":"Junfeng","non-dropping-particle":"","parse-names":false,"suffix":""},{"dropping-particle":"","family":"Beebout","given":"Sarah E.J.","non-dropping-particle":"","parse-names":false,"suffix":""}],"container-title":"Ecological Indicators","id":"ITEM-1","issue":"October 2018","issued":{"date-parts":[["2019"]]},"page":"199-214","publisher":"Elsevier","title":"Economic and environmental indicators of sustainable rice cultivation: A comparison across intensive irrigated rice cropping systems in six Asian countries","type":"article-journal","volume":"105"},"uris":["http://www.mendeley.com/documents/?uuid=82870e0c-c618-4d36-85bd-8bf187295277"]}],"mendeley":{"formattedCitation":"(Devkota et al., 2019)","manualFormatting":"Devkota et al. (2019)","plainTextFormattedCitation":"(Devkota et al., 2019)","previouslyFormattedCitation":"(Devkota et al., 2019)"},"properties":{"noteIndex":0},"schema":"https://github.com/citation-style-language/schema/raw/master/csl-citation.json"}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 xml:space="preserve">Devkota </w:t>
      </w:r>
      <w:r>
        <w:rPr>
          <w:rFonts w:ascii="Arial" w:hAnsi="Arial" w:cs="Arial"/>
          <w:noProof/>
          <w:sz w:val="22"/>
          <w:szCs w:val="22"/>
        </w:rPr>
        <w:t>et</w:t>
      </w:r>
      <w:r w:rsidRPr="0014591B">
        <w:rPr>
          <w:rFonts w:ascii="Arial" w:hAnsi="Arial" w:cs="Arial"/>
          <w:noProof/>
          <w:sz w:val="22"/>
          <w:szCs w:val="22"/>
        </w:rPr>
        <w:t xml:space="preserve"> </w:t>
      </w:r>
      <w:r w:rsidRPr="0014591B">
        <w:rPr>
          <w:rFonts w:ascii="Arial" w:hAnsi="Arial" w:cs="Arial"/>
          <w:i/>
          <w:noProof/>
          <w:sz w:val="22"/>
          <w:szCs w:val="22"/>
        </w:rPr>
        <w:t>al.</w:t>
      </w:r>
      <w:r w:rsidRPr="0014591B">
        <w:rPr>
          <w:rFonts w:ascii="Arial" w:hAnsi="Arial" w:cs="Arial"/>
          <w:noProof/>
          <w:sz w:val="22"/>
          <w:szCs w:val="22"/>
        </w:rPr>
        <w:t xml:space="preserve"> (2019)</w:t>
      </w:r>
      <w:r w:rsidRPr="0014591B">
        <w:rPr>
          <w:rFonts w:ascii="Arial" w:hAnsi="Arial" w:cs="Arial"/>
          <w:sz w:val="22"/>
          <w:szCs w:val="22"/>
        </w:rPr>
        <w:fldChar w:fldCharType="end"/>
      </w:r>
      <w:r w:rsidRPr="0014591B">
        <w:rPr>
          <w:rFonts w:ascii="Arial" w:hAnsi="Arial" w:cs="Arial"/>
          <w:sz w:val="22"/>
          <w:szCs w:val="22"/>
        </w:rPr>
        <w:t>, P fertilization was not required because the partial productivity factor of P was less than 150 kg of grain per kg of phosphorus applied.</w:t>
      </w:r>
      <w:r w:rsidR="002B73B2" w:rsidRPr="0014591B">
        <w:rPr>
          <w:rFonts w:ascii="Arial" w:hAnsi="Arial" w:cs="Arial"/>
          <w:sz w:val="22"/>
          <w:szCs w:val="22"/>
        </w:rPr>
        <w:t xml:space="preserve"> </w:t>
      </w:r>
      <w:r w:rsidRPr="0014591B">
        <w:rPr>
          <w:rFonts w:ascii="Arial" w:hAnsi="Arial" w:cs="Arial"/>
          <w:sz w:val="22"/>
          <w:szCs w:val="22"/>
        </w:rPr>
        <w:t xml:space="preserve">Therefore, there is an imbalance between inputs and outputs, which can lead to excessive enrichment of soil P </w:t>
      </w:r>
      <w:r w:rsidRPr="0014591B">
        <w:rPr>
          <w:rFonts w:ascii="Arial" w:hAnsi="Arial" w:cs="Arial"/>
          <w:sz w:val="22"/>
          <w:szCs w:val="22"/>
        </w:rPr>
        <w:fldChar w:fldCharType="begin" w:fldLock="1"/>
      </w:r>
      <w:r w:rsidRPr="0014591B">
        <w:rPr>
          <w:rFonts w:ascii="Arial" w:hAnsi="Arial" w:cs="Arial"/>
          <w:sz w:val="22"/>
          <w:szCs w:val="22"/>
        </w:rPr>
        <w:instrText>ADDIN CSL_CITATION {"citationItems":[{"id":"ITEM-1","itemData":{"DOI":"10.1007/978-3-319-47516-5","ISBN":"9783319475165","author":[{"dropping-particle":"","family":"Singh","given":"Bijay","non-dropping-particle":"","parse-names":false,"suffix":""},{"dropping-particle":"","family":"Singh","given":"V.K.","non-dropping-particle":"","parse-names":false,"suffix":""}],"chapter-number":"10","container-title":"in Rice Production Worldwide","editor":[{"dropping-particle":"","family":"Chauhan","given":"Bhagirath S.","non-dropping-particle":"","parse-names":false,"suffix":""},{"dropping-particle":"","family":"Jabran","given":"Khawar","non-dropping-particle":"","parse-names":false,"suffix":""},{"dropping-particle":"","family":"Mahajan","given":"Gulshan","non-dropping-particle":"","parse-names":false,"suffix":""}],"id":"ITEM-1","issued":{"date-parts":[["2017"]]},"page":"217-253","publisher":"Springer International","publisher-place":"India","title":"Fertilizer Management in Rice","type":"chapter"},"uris":["http://www.mendeley.com/documents/?uuid=4f632972-b3c4-43a7-b31b-e066d586470b"]}],"mendeley":{"formattedCitation":"(Singh &amp; Singh, 2017)","manualFormatting":"(Singh &amp; Singh, 2017)","plainTextFormattedCitation":"(Singh &amp; Singh, 2017)","previouslyFormattedCitation":"(Singh &amp; Singh, 2017)"},"properties":{"noteIndex":0},"schema":"https://github.com/citation-style-language/schema/raw/master/csl-citation.json"}</w:instrText>
      </w:r>
      <w:r w:rsidRPr="0014591B">
        <w:rPr>
          <w:rFonts w:ascii="Arial" w:hAnsi="Arial" w:cs="Arial"/>
          <w:sz w:val="22"/>
          <w:szCs w:val="22"/>
        </w:rPr>
        <w:fldChar w:fldCharType="separate"/>
      </w:r>
      <w:r w:rsidRPr="0014591B">
        <w:rPr>
          <w:rFonts w:ascii="Arial" w:hAnsi="Arial" w:cs="Arial"/>
          <w:noProof/>
          <w:sz w:val="22"/>
          <w:szCs w:val="22"/>
        </w:rPr>
        <w:t>(Singh &amp; Singh, 2017)</w:t>
      </w:r>
      <w:r w:rsidRPr="0014591B">
        <w:rPr>
          <w:rFonts w:ascii="Arial" w:hAnsi="Arial" w:cs="Arial"/>
          <w:sz w:val="22"/>
          <w:szCs w:val="22"/>
        </w:rPr>
        <w:fldChar w:fldCharType="end"/>
      </w:r>
      <w:r w:rsidRPr="0014591B">
        <w:rPr>
          <w:rFonts w:ascii="Arial" w:hAnsi="Arial" w:cs="Arial"/>
          <w:sz w:val="22"/>
          <w:szCs w:val="22"/>
        </w:rPr>
        <w:t>.</w:t>
      </w:r>
      <w:r w:rsidR="002B73B2" w:rsidRPr="0014591B">
        <w:rPr>
          <w:rFonts w:ascii="Arial" w:hAnsi="Arial" w:cs="Arial"/>
          <w:sz w:val="22"/>
          <w:szCs w:val="22"/>
        </w:rPr>
        <w:t xml:space="preserve"> This variation in results is due to the fact that the partial productivity factor varies between cropping systems, as crops differ in their nutrient and water requirements </w:t>
      </w:r>
      <w:r w:rsidR="002B73B2" w:rsidRPr="0014591B">
        <w:rPr>
          <w:rFonts w:ascii="Arial" w:hAnsi="Arial" w:cs="Arial"/>
          <w:sz w:val="22"/>
          <w:szCs w:val="22"/>
        </w:rPr>
        <w:fldChar w:fldCharType="begin" w:fldLock="1"/>
      </w:r>
      <w:r w:rsidR="002B73B2" w:rsidRPr="0014591B">
        <w:rPr>
          <w:rFonts w:ascii="Arial" w:hAnsi="Arial" w:cs="Arial"/>
          <w:sz w:val="22"/>
          <w:szCs w:val="22"/>
        </w:rPr>
        <w:instrText>ADDIN CSL_CITATION {"citationItems":[{"id":"ITEM-1","itemData":{"DOI":"10.1007/978-81-322-2169-2","ISBN":"9788132221692","author":[{"dropping-particle":"","family":"Baligar","given":"V C","non-dropping-particle":"","parse-names":false,"suffix":""},{"dropping-particle":"","family":"Fageria","given":"N K","non-dropping-particle":"","parse-names":false,"suffix":""}],"container-title":"Springer","id":"ITEM-1","issue":"in Nutrient Use Efficienecy: froms basic to Advances","issued":{"date-parts":[["2015"]]},"page":"1-14","title":"Nutrient Use Efficiency in Plants : An Overview","type":"article-journal"},"uris":["http://www.mendeley.com/documents/?uuid=f542b63a-4f9a-419c-825d-65a98d86aef1"]}],"mendeley":{"formattedCitation":"(Baligar &amp; Fageria, 2015)","manualFormatting":"(Baligar and Fageria, 2015)","plainTextFormattedCitation":"(Baligar &amp; Fageria, 2015)","previouslyFormattedCitation":"(Baligar &amp; Fageria, 2015)"},"properties":{"noteIndex":0},"schema":"https://github.com/citation-style-language/schema/raw/master/csl-citation.json"}</w:instrText>
      </w:r>
      <w:r w:rsidR="002B73B2" w:rsidRPr="0014591B">
        <w:rPr>
          <w:rFonts w:ascii="Arial" w:hAnsi="Arial" w:cs="Arial"/>
          <w:sz w:val="22"/>
          <w:szCs w:val="22"/>
        </w:rPr>
        <w:fldChar w:fldCharType="separate"/>
      </w:r>
      <w:r w:rsidR="002B73B2" w:rsidRPr="0014591B">
        <w:rPr>
          <w:rFonts w:ascii="Arial" w:hAnsi="Arial" w:cs="Arial"/>
          <w:noProof/>
          <w:sz w:val="22"/>
          <w:szCs w:val="22"/>
        </w:rPr>
        <w:t>(Baligar</w:t>
      </w:r>
      <w:r w:rsidR="00617F2C" w:rsidRPr="0014591B">
        <w:rPr>
          <w:rFonts w:ascii="Arial" w:hAnsi="Arial" w:cs="Arial"/>
          <w:noProof/>
          <w:sz w:val="22"/>
          <w:szCs w:val="22"/>
        </w:rPr>
        <w:t xml:space="preserve"> &amp;</w:t>
      </w:r>
      <w:r w:rsidR="002B73B2" w:rsidRPr="0014591B">
        <w:rPr>
          <w:rFonts w:ascii="Arial" w:hAnsi="Arial" w:cs="Arial"/>
          <w:noProof/>
          <w:sz w:val="22"/>
          <w:szCs w:val="22"/>
        </w:rPr>
        <w:t xml:space="preserve"> Fageria, 2015)</w:t>
      </w:r>
      <w:r w:rsidR="002B73B2" w:rsidRPr="0014591B">
        <w:rPr>
          <w:rFonts w:ascii="Arial" w:hAnsi="Arial" w:cs="Arial"/>
          <w:sz w:val="22"/>
          <w:szCs w:val="22"/>
        </w:rPr>
        <w:fldChar w:fldCharType="end"/>
      </w:r>
    </w:p>
    <w:p w14:paraId="5AD138AE" w14:textId="77777777" w:rsidR="002B73B2" w:rsidRDefault="002B73B2" w:rsidP="00441B6F">
      <w:pPr>
        <w:pStyle w:val="Body"/>
        <w:spacing w:after="0"/>
        <w:rPr>
          <w:rFonts w:ascii="Arial" w:hAnsi="Arial" w:cs="Arial"/>
        </w:rPr>
      </w:pPr>
    </w:p>
    <w:p w14:paraId="2778584F" w14:textId="77777777" w:rsidR="002B73B2" w:rsidRPr="00FB3A86" w:rsidRDefault="002B73B2" w:rsidP="00441B6F">
      <w:pPr>
        <w:pStyle w:val="Body"/>
        <w:spacing w:after="0"/>
        <w:rPr>
          <w:rFonts w:ascii="Arial" w:hAnsi="Arial" w:cs="Arial"/>
        </w:rPr>
      </w:pPr>
    </w:p>
    <w:p w14:paraId="4EE09428" w14:textId="77777777" w:rsidR="002B73B2" w:rsidRDefault="002B73B2" w:rsidP="00441B6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8A0AAFC" w14:textId="77777777" w:rsidR="002B73B2" w:rsidRPr="00FB3A86" w:rsidRDefault="002B73B2" w:rsidP="00441B6F">
      <w:pPr>
        <w:pStyle w:val="ConcHead"/>
        <w:spacing w:after="0"/>
        <w:jc w:val="both"/>
        <w:rPr>
          <w:rFonts w:ascii="Arial" w:hAnsi="Arial" w:cs="Arial"/>
        </w:rPr>
      </w:pPr>
    </w:p>
    <w:p w14:paraId="66CC40F7" w14:textId="6B2DE26F" w:rsidR="002B73B2" w:rsidRPr="00252D1B" w:rsidRDefault="00F4717A" w:rsidP="00BA5459">
      <w:pPr>
        <w:spacing w:before="100" w:beforeAutospacing="1" w:after="100" w:afterAutospacing="1" w:line="360" w:lineRule="auto"/>
        <w:jc w:val="both"/>
        <w:rPr>
          <w:rFonts w:ascii="Arial" w:hAnsi="Arial" w:cs="Arial"/>
          <w:sz w:val="22"/>
          <w:szCs w:val="22"/>
        </w:rPr>
      </w:pPr>
      <w:r w:rsidRPr="00B82D01">
        <w:rPr>
          <w:rFonts w:ascii="Arial" w:hAnsi="Arial" w:cs="Arial"/>
          <w:sz w:val="22"/>
          <w:szCs w:val="22"/>
        </w:rPr>
        <w:t>A study on the impact of different fertilization approaches on nitrogen and phosphorus use efficiency in lowland rice cultivation in the semi-arid zone of Burkina Faso highlights the crucial importance of choosing appropriate fertilization strategies to maximize crop yields while minimizing nutrient losses.</w:t>
      </w:r>
      <w:r w:rsidR="002B73B2" w:rsidRPr="00B82D01">
        <w:rPr>
          <w:rFonts w:ascii="Arial" w:hAnsi="Arial" w:cs="Arial"/>
          <w:sz w:val="22"/>
          <w:szCs w:val="22"/>
        </w:rPr>
        <w:t xml:space="preserve"> </w:t>
      </w:r>
      <w:r w:rsidRPr="00B82D01">
        <w:rPr>
          <w:rFonts w:ascii="Arial" w:hAnsi="Arial" w:cs="Arial"/>
          <w:sz w:val="22"/>
          <w:szCs w:val="22"/>
        </w:rPr>
        <w:t>The results showed that the combination of two Super Granules of NPK at 1.8 g (SG-NPK) + 100 kg ha</w:t>
      </w:r>
      <w:r w:rsidRPr="00127FE6">
        <w:rPr>
          <w:rFonts w:ascii="Arial" w:hAnsi="Arial" w:cs="Arial"/>
          <w:sz w:val="22"/>
          <w:szCs w:val="22"/>
          <w:vertAlign w:val="superscript"/>
        </w:rPr>
        <w:t>-1</w:t>
      </w:r>
      <w:r w:rsidRPr="00B82D01">
        <w:rPr>
          <w:rFonts w:ascii="Arial" w:hAnsi="Arial" w:cs="Arial"/>
          <w:sz w:val="22"/>
          <w:szCs w:val="22"/>
        </w:rPr>
        <w:t xml:space="preserve"> of </w:t>
      </w:r>
      <w:proofErr w:type="spellStart"/>
      <w:r>
        <w:rPr>
          <w:rFonts w:ascii="Arial" w:hAnsi="Arial" w:cs="Arial"/>
          <w:sz w:val="22"/>
          <w:szCs w:val="22"/>
        </w:rPr>
        <w:t>prilled</w:t>
      </w:r>
      <w:proofErr w:type="spellEnd"/>
      <w:r w:rsidRPr="00B82D01">
        <w:rPr>
          <w:rFonts w:ascii="Arial" w:hAnsi="Arial" w:cs="Arial"/>
          <w:sz w:val="22"/>
          <w:szCs w:val="22"/>
        </w:rPr>
        <w:t xml:space="preserve"> </w:t>
      </w:r>
      <w:r>
        <w:rPr>
          <w:rFonts w:ascii="Arial" w:hAnsi="Arial" w:cs="Arial"/>
          <w:sz w:val="22"/>
          <w:szCs w:val="22"/>
        </w:rPr>
        <w:t>urea</w:t>
      </w:r>
      <w:r w:rsidRPr="00B82D01">
        <w:rPr>
          <w:rFonts w:ascii="Arial" w:hAnsi="Arial" w:cs="Arial"/>
          <w:sz w:val="22"/>
          <w:szCs w:val="22"/>
        </w:rPr>
        <w:t xml:space="preserve"> improved internal and physiological nitrogen use efficiency by 32.86% and 203.58%, respectively, compared to the </w:t>
      </w:r>
      <w:r>
        <w:rPr>
          <w:rFonts w:ascii="Arial" w:hAnsi="Arial" w:cs="Arial"/>
          <w:sz w:val="22"/>
          <w:szCs w:val="22"/>
        </w:rPr>
        <w:t>farme</w:t>
      </w:r>
      <w:r w:rsidRPr="00B82D01">
        <w:rPr>
          <w:rFonts w:ascii="Arial" w:hAnsi="Arial" w:cs="Arial"/>
          <w:sz w:val="22"/>
          <w:szCs w:val="22"/>
        </w:rPr>
        <w:t>r's practice.</w:t>
      </w:r>
      <w:r w:rsidR="002B73B2" w:rsidRPr="00B82D01">
        <w:rPr>
          <w:rFonts w:ascii="Arial" w:hAnsi="Arial" w:cs="Arial"/>
          <w:sz w:val="22"/>
          <w:szCs w:val="22"/>
        </w:rPr>
        <w:t xml:space="preserve"> The best agronomic efficiency of phosphorus (38.45 kg paddy kg</w:t>
      </w:r>
      <w:r w:rsidR="002B73B2" w:rsidRPr="00127FE6">
        <w:rPr>
          <w:rFonts w:ascii="Arial" w:hAnsi="Arial" w:cs="Arial"/>
          <w:sz w:val="22"/>
          <w:szCs w:val="22"/>
          <w:vertAlign w:val="superscript"/>
        </w:rPr>
        <w:t>-1</w:t>
      </w:r>
      <w:r w:rsidR="002B73B2" w:rsidRPr="00B82D01">
        <w:rPr>
          <w:rFonts w:ascii="Arial" w:hAnsi="Arial" w:cs="Arial"/>
          <w:sz w:val="22"/>
          <w:szCs w:val="22"/>
        </w:rPr>
        <w:t>P applied) was recorded with the combination of 150 kg</w:t>
      </w:r>
      <w:r w:rsidR="002B73B2" w:rsidRPr="00B82D01">
        <w:rPr>
          <w:rFonts w:ascii="Cambria Math" w:hAnsi="Cambria Math" w:cs="Cambria Math"/>
          <w:sz w:val="22"/>
          <w:szCs w:val="22"/>
        </w:rPr>
        <w:t xml:space="preserve"> </w:t>
      </w:r>
      <w:r w:rsidR="002B73B2" w:rsidRPr="00127FE6">
        <w:rPr>
          <w:rFonts w:ascii="Arial" w:hAnsi="Arial" w:cs="Arial"/>
          <w:sz w:val="22"/>
          <w:szCs w:val="22"/>
        </w:rPr>
        <w:t>ha</w:t>
      </w:r>
      <w:r w:rsidR="002B73B2" w:rsidRPr="00127FE6">
        <w:rPr>
          <w:rFonts w:ascii="Arial" w:hAnsi="Arial" w:cs="Arial"/>
          <w:sz w:val="22"/>
          <w:szCs w:val="22"/>
          <w:vertAlign w:val="superscript"/>
        </w:rPr>
        <w:t>-1</w:t>
      </w:r>
      <w:r w:rsidR="002B73B2" w:rsidRPr="00B82D01">
        <w:rPr>
          <w:rFonts w:ascii="Arial" w:hAnsi="Arial" w:cs="Arial"/>
          <w:sz w:val="22"/>
          <w:szCs w:val="22"/>
        </w:rPr>
        <w:t xml:space="preserve"> NPK + 1.8 g Super Granulated Urea (USG). </w:t>
      </w:r>
      <w:r w:rsidRPr="00B82D01">
        <w:rPr>
          <w:rFonts w:ascii="Arial" w:hAnsi="Arial" w:cs="Arial"/>
          <w:sz w:val="22"/>
          <w:szCs w:val="22"/>
        </w:rPr>
        <w:t>This combination also allowed for optimal nitrogen and phosphorus management (61.09 kg paddy</w:t>
      </w:r>
      <w:r>
        <w:rPr>
          <w:rFonts w:ascii="Arial" w:hAnsi="Arial" w:cs="Arial"/>
          <w:sz w:val="22"/>
          <w:szCs w:val="22"/>
        </w:rPr>
        <w:t xml:space="preserve"> </w:t>
      </w:r>
      <w:r w:rsidRPr="00B82D01">
        <w:rPr>
          <w:rFonts w:ascii="Arial" w:hAnsi="Arial" w:cs="Arial"/>
          <w:sz w:val="22"/>
          <w:szCs w:val="22"/>
        </w:rPr>
        <w:t>kg</w:t>
      </w:r>
      <w:r w:rsidRPr="00127FE6">
        <w:rPr>
          <w:rFonts w:ascii="Arial" w:hAnsi="Arial" w:cs="Arial"/>
          <w:sz w:val="22"/>
          <w:szCs w:val="22"/>
          <w:vertAlign w:val="superscript"/>
        </w:rPr>
        <w:t>-1</w:t>
      </w:r>
      <w:r w:rsidRPr="00B82D01">
        <w:rPr>
          <w:rFonts w:ascii="Arial" w:hAnsi="Arial" w:cs="Arial"/>
          <w:sz w:val="22"/>
          <w:szCs w:val="22"/>
        </w:rPr>
        <w:t>N and 119.03 kg paddy</w:t>
      </w:r>
      <w:r>
        <w:rPr>
          <w:rFonts w:ascii="Arial" w:hAnsi="Arial" w:cs="Arial"/>
          <w:sz w:val="22"/>
          <w:szCs w:val="22"/>
        </w:rPr>
        <w:t xml:space="preserve"> </w:t>
      </w:r>
      <w:r w:rsidRPr="00B82D01">
        <w:rPr>
          <w:rFonts w:ascii="Arial" w:hAnsi="Arial" w:cs="Arial"/>
          <w:sz w:val="22"/>
          <w:szCs w:val="22"/>
        </w:rPr>
        <w:t>kg</w:t>
      </w:r>
      <w:r w:rsidRPr="00127FE6">
        <w:rPr>
          <w:rFonts w:ascii="Arial" w:hAnsi="Arial" w:cs="Arial"/>
          <w:sz w:val="22"/>
          <w:szCs w:val="22"/>
          <w:vertAlign w:val="superscript"/>
        </w:rPr>
        <w:t>-1</w:t>
      </w:r>
      <w:r w:rsidRPr="00B82D01">
        <w:rPr>
          <w:rFonts w:ascii="Arial" w:hAnsi="Arial" w:cs="Arial"/>
          <w:sz w:val="22"/>
          <w:szCs w:val="22"/>
        </w:rPr>
        <w:t>P, respectively).</w:t>
      </w:r>
      <w:r w:rsidR="002B73B2" w:rsidRPr="00B82D01">
        <w:rPr>
          <w:rFonts w:ascii="Arial" w:hAnsi="Arial" w:cs="Arial"/>
          <w:sz w:val="22"/>
          <w:szCs w:val="22"/>
        </w:rPr>
        <w:t xml:space="preserve"> </w:t>
      </w:r>
      <w:r w:rsidRPr="00B82D01">
        <w:rPr>
          <w:rFonts w:ascii="Arial" w:hAnsi="Arial" w:cs="Arial"/>
          <w:sz w:val="22"/>
          <w:szCs w:val="22"/>
        </w:rPr>
        <w:t xml:space="preserve">Despite these promising results, further investigation is required to refine these strategies and assess their </w:t>
      </w:r>
      <w:r w:rsidRPr="00B82D01">
        <w:rPr>
          <w:rFonts w:ascii="Arial" w:hAnsi="Arial" w:cs="Arial"/>
          <w:sz w:val="22"/>
          <w:szCs w:val="22"/>
        </w:rPr>
        <w:lastRenderedPageBreak/>
        <w:t>economic viability on a larger scale.</w:t>
      </w:r>
      <w:r w:rsidR="002B73B2" w:rsidRPr="00B82D01">
        <w:rPr>
          <w:rFonts w:ascii="Arial" w:hAnsi="Arial" w:cs="Arial"/>
          <w:sz w:val="22"/>
          <w:szCs w:val="22"/>
        </w:rPr>
        <w:t xml:space="preserve"> In conclusion, this study provides valuable insights to guide resource management decisions in the specific context of lowland rice cultivation in semi-arid areas.</w:t>
      </w:r>
    </w:p>
    <w:p w14:paraId="44E51F25" w14:textId="77777777" w:rsidR="002B73B2" w:rsidRPr="00FB3A86" w:rsidRDefault="002B73B2" w:rsidP="00441B6F">
      <w:pPr>
        <w:pStyle w:val="Body"/>
        <w:spacing w:after="0"/>
        <w:rPr>
          <w:rFonts w:ascii="Arial" w:hAnsi="Arial" w:cs="Arial"/>
        </w:rPr>
      </w:pPr>
    </w:p>
    <w:p w14:paraId="24E898FF" w14:textId="77777777" w:rsidR="002B73B2" w:rsidRPr="00315186" w:rsidRDefault="002B73B2" w:rsidP="00441B6F"/>
    <w:p w14:paraId="0A423E37" w14:textId="77777777" w:rsidR="002B73B2" w:rsidRPr="00315186" w:rsidRDefault="002B73B2" w:rsidP="00441B6F"/>
    <w:p w14:paraId="2A5973B6" w14:textId="77777777" w:rsidR="002B73B2" w:rsidRPr="00315186" w:rsidRDefault="002B73B2" w:rsidP="00441B6F"/>
    <w:p w14:paraId="44B8DBA4" w14:textId="77777777" w:rsidR="002B73B2" w:rsidRPr="00315186" w:rsidRDefault="002B73B2" w:rsidP="00441B6F"/>
    <w:p w14:paraId="02CF0A35" w14:textId="77777777" w:rsidR="002B73B2" w:rsidRDefault="002B73B2" w:rsidP="00441B6F">
      <w:pPr>
        <w:pStyle w:val="ReferHead"/>
        <w:spacing w:after="0"/>
        <w:jc w:val="both"/>
        <w:rPr>
          <w:rFonts w:ascii="Arial" w:hAnsi="Arial" w:cs="Arial"/>
          <w:b w:val="0"/>
          <w:caps w:val="0"/>
          <w:sz w:val="20"/>
        </w:rPr>
      </w:pPr>
    </w:p>
    <w:p w14:paraId="5BC74EBF" w14:textId="77777777" w:rsidR="002B73B2" w:rsidRDefault="002B73B2" w:rsidP="00441B6F">
      <w:pPr>
        <w:pStyle w:val="ReferHead"/>
        <w:spacing w:after="0"/>
        <w:jc w:val="both"/>
        <w:rPr>
          <w:rFonts w:ascii="Arial" w:hAnsi="Arial" w:cs="Arial"/>
          <w:b w:val="0"/>
          <w:caps w:val="0"/>
          <w:sz w:val="20"/>
          <w:u w:val="single"/>
        </w:rPr>
      </w:pPr>
    </w:p>
    <w:p w14:paraId="0824D7C6" w14:textId="77777777" w:rsidR="002B73B2" w:rsidRPr="007D145A" w:rsidRDefault="002B73B2" w:rsidP="007D145A">
      <w:pPr>
        <w:spacing w:after="200" w:line="276" w:lineRule="auto"/>
        <w:rPr>
          <w:rFonts w:ascii="Arial" w:eastAsiaTheme="minorEastAsia" w:hAnsi="Arial" w:cs="Arial"/>
          <w:b/>
          <w:bCs/>
          <w:sz w:val="22"/>
          <w:szCs w:val="22"/>
          <w:lang w:val="en-GB" w:eastAsia="en-GB"/>
        </w:rPr>
      </w:pPr>
      <w:r w:rsidRPr="007D145A">
        <w:rPr>
          <w:rFonts w:ascii="Arial" w:eastAsiaTheme="minorEastAsia" w:hAnsi="Arial" w:cs="Arial"/>
          <w:b/>
          <w:bCs/>
          <w:sz w:val="22"/>
          <w:szCs w:val="22"/>
          <w:lang w:val="en-GB" w:eastAsia="en-GB"/>
        </w:rPr>
        <w:t>COMPETING INTERESTS DISCLAIMER:</w:t>
      </w:r>
    </w:p>
    <w:p w14:paraId="08767E01" w14:textId="77777777" w:rsidR="002B73B2" w:rsidRPr="007D145A" w:rsidRDefault="002B73B2" w:rsidP="007D145A">
      <w:pPr>
        <w:spacing w:after="200" w:line="276" w:lineRule="auto"/>
        <w:rPr>
          <w:rFonts w:asciiTheme="minorHAnsi" w:eastAsiaTheme="minorEastAsia" w:hAnsiTheme="minorHAnsi" w:cstheme="minorBidi"/>
          <w:sz w:val="22"/>
          <w:szCs w:val="22"/>
          <w:lang w:val="en-GB" w:eastAsia="en-GB"/>
        </w:rPr>
      </w:pPr>
      <w:r w:rsidRPr="007D145A">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4CCB33F" w14:textId="77777777" w:rsidR="002B73B2" w:rsidRPr="00AE6078" w:rsidRDefault="002B73B2" w:rsidP="00AE6078">
      <w:pPr>
        <w:rPr>
          <w:rFonts w:ascii="Times New Roman" w:eastAsia="Calibri" w:hAnsi="Times New Roman"/>
          <w:kern w:val="2"/>
          <w:sz w:val="22"/>
          <w:szCs w:val="22"/>
          <w:highlight w:val="yellow"/>
        </w:rPr>
      </w:pPr>
      <w:bookmarkStart w:id="26" w:name="_Hlk198031404"/>
      <w:bookmarkStart w:id="27" w:name="_Hlk219125673"/>
      <w:r w:rsidRPr="00AE6078">
        <w:rPr>
          <w:rFonts w:ascii="Times New Roman" w:eastAsia="Calibri" w:hAnsi="Times New Roman"/>
          <w:kern w:val="2"/>
          <w:sz w:val="22"/>
          <w:szCs w:val="22"/>
          <w:highlight w:val="yellow"/>
        </w:rPr>
        <w:t>Disclaimer (Artificial intelligence)</w:t>
      </w:r>
    </w:p>
    <w:p w14:paraId="7C054B47" w14:textId="77777777" w:rsidR="002B73B2" w:rsidRPr="00AE6078" w:rsidRDefault="002B73B2" w:rsidP="00AE6078">
      <w:pPr>
        <w:rPr>
          <w:rFonts w:ascii="Times New Roman" w:eastAsia="Calibri" w:hAnsi="Times New Roman"/>
          <w:kern w:val="2"/>
          <w:sz w:val="22"/>
          <w:szCs w:val="22"/>
          <w:highlight w:val="yellow"/>
        </w:rPr>
      </w:pPr>
    </w:p>
    <w:p w14:paraId="7225E95D" w14:textId="77777777" w:rsidR="002B73B2" w:rsidRPr="00AE6078" w:rsidRDefault="002B73B2" w:rsidP="00AE6078">
      <w:pPr>
        <w:rPr>
          <w:rFonts w:ascii="Times New Roman" w:eastAsia="Calibri" w:hAnsi="Times New Roman"/>
          <w:kern w:val="2"/>
          <w:sz w:val="22"/>
          <w:szCs w:val="22"/>
          <w:highlight w:val="yellow"/>
        </w:rPr>
      </w:pPr>
      <w:r w:rsidRPr="00AE6078">
        <w:rPr>
          <w:rFonts w:ascii="Times New Roman" w:eastAsia="Calibri" w:hAnsi="Times New Roman"/>
          <w:kern w:val="2"/>
          <w:sz w:val="22"/>
          <w:szCs w:val="22"/>
          <w:highlight w:val="yellow"/>
        </w:rPr>
        <w:t>Author(s) hereby declare that NO generative AI technologies such as Large Language Models (</w:t>
      </w:r>
      <w:proofErr w:type="spellStart"/>
      <w:r w:rsidRPr="00AE6078">
        <w:rPr>
          <w:rFonts w:ascii="Times New Roman" w:eastAsia="Calibri" w:hAnsi="Times New Roman"/>
          <w:kern w:val="2"/>
          <w:sz w:val="22"/>
          <w:szCs w:val="22"/>
          <w:highlight w:val="yellow"/>
        </w:rPr>
        <w:t>ChatGPT</w:t>
      </w:r>
      <w:proofErr w:type="spellEnd"/>
      <w:r w:rsidRPr="00AE6078">
        <w:rPr>
          <w:rFonts w:ascii="Times New Roman" w:eastAsia="Calibri" w:hAnsi="Times New Roman"/>
          <w:kern w:val="2"/>
          <w:sz w:val="22"/>
          <w:szCs w:val="22"/>
          <w:highlight w:val="yellow"/>
        </w:rPr>
        <w:t xml:space="preserve">, COPILOT, etc.) and text-to-image generators have been used during the writing or editing of this manuscript. </w:t>
      </w:r>
    </w:p>
    <w:bookmarkEnd w:id="26"/>
    <w:p w14:paraId="33767751" w14:textId="77777777" w:rsidR="002B73B2" w:rsidRPr="00AE6078" w:rsidRDefault="002B73B2" w:rsidP="00AE6078">
      <w:pPr>
        <w:spacing w:after="200" w:line="276" w:lineRule="auto"/>
        <w:rPr>
          <w:rFonts w:asciiTheme="minorHAnsi" w:eastAsiaTheme="minorHAnsi" w:hAnsiTheme="minorHAnsi" w:cstheme="minorBidi"/>
          <w:sz w:val="28"/>
          <w:szCs w:val="22"/>
        </w:rPr>
      </w:pPr>
    </w:p>
    <w:bookmarkEnd w:id="27"/>
    <w:p w14:paraId="62CC32DE" w14:textId="77777777" w:rsidR="002B73B2" w:rsidRPr="00F469F0" w:rsidRDefault="002B73B2" w:rsidP="00441B6F">
      <w:pPr>
        <w:pStyle w:val="ReferHead"/>
        <w:spacing w:after="0"/>
        <w:jc w:val="both"/>
        <w:rPr>
          <w:rFonts w:ascii="Arial" w:hAnsi="Arial" w:cs="Arial"/>
          <w:b w:val="0"/>
          <w:caps w:val="0"/>
          <w:sz w:val="20"/>
          <w:u w:val="single"/>
        </w:rPr>
      </w:pPr>
    </w:p>
    <w:p w14:paraId="4EC863B0" w14:textId="77777777" w:rsidR="002B73B2" w:rsidRDefault="002B73B2" w:rsidP="00441B6F">
      <w:pPr>
        <w:pStyle w:val="ReferHead"/>
        <w:spacing w:after="0"/>
        <w:jc w:val="both"/>
        <w:rPr>
          <w:rFonts w:ascii="Arial" w:hAnsi="Arial" w:cs="Arial"/>
          <w:b w:val="0"/>
          <w:caps w:val="0"/>
          <w:sz w:val="20"/>
        </w:rPr>
      </w:pPr>
    </w:p>
    <w:p w14:paraId="78A52622" w14:textId="77777777" w:rsidR="002B73B2" w:rsidRDefault="002B73B2" w:rsidP="00441B6F">
      <w:pPr>
        <w:pStyle w:val="ReferHead"/>
        <w:spacing w:after="0"/>
        <w:jc w:val="both"/>
        <w:rPr>
          <w:rFonts w:ascii="Arial" w:hAnsi="Arial" w:cs="Arial"/>
          <w:b w:val="0"/>
          <w:caps w:val="0"/>
          <w:sz w:val="20"/>
        </w:rPr>
      </w:pPr>
    </w:p>
    <w:p w14:paraId="72B4E654" w14:textId="77777777" w:rsidR="002B73B2" w:rsidRDefault="002B73B2" w:rsidP="00441B6F">
      <w:pPr>
        <w:pStyle w:val="ReferHead"/>
        <w:spacing w:after="0"/>
        <w:jc w:val="both"/>
        <w:rPr>
          <w:rFonts w:ascii="Arial" w:hAnsi="Arial" w:cs="Arial"/>
        </w:rPr>
      </w:pPr>
    </w:p>
    <w:p w14:paraId="20F507A6" w14:textId="77777777" w:rsidR="002B73B2" w:rsidRPr="00AE6078" w:rsidRDefault="002B73B2" w:rsidP="00441B6F">
      <w:pPr>
        <w:pStyle w:val="ReferHead"/>
        <w:spacing w:after="0"/>
        <w:jc w:val="both"/>
        <w:rPr>
          <w:rFonts w:ascii="Arial" w:hAnsi="Arial" w:cs="Arial"/>
          <w:lang w:val="fr-FR"/>
        </w:rPr>
      </w:pPr>
      <w:r w:rsidRPr="00AE6078">
        <w:rPr>
          <w:rFonts w:ascii="Arial" w:hAnsi="Arial" w:cs="Arial"/>
          <w:lang w:val="fr-FR"/>
        </w:rPr>
        <w:t>References</w:t>
      </w:r>
    </w:p>
    <w:p w14:paraId="73332AC4" w14:textId="77777777" w:rsidR="002B73B2" w:rsidRPr="00AE6078" w:rsidRDefault="002B73B2" w:rsidP="00441B6F">
      <w:pPr>
        <w:pStyle w:val="ReferHead"/>
        <w:spacing w:after="0"/>
        <w:jc w:val="both"/>
        <w:rPr>
          <w:rFonts w:ascii="Arial" w:hAnsi="Arial" w:cs="Arial"/>
          <w:lang w:val="fr-FR"/>
        </w:rPr>
      </w:pPr>
    </w:p>
    <w:p w14:paraId="5EF6D04C" w14:textId="12B6F565" w:rsidR="00830B89" w:rsidRPr="00771F85" w:rsidRDefault="00830B89" w:rsidP="00771F85">
      <w:pPr>
        <w:pStyle w:val="ListParagraph"/>
        <w:widowControl w:val="0"/>
        <w:numPr>
          <w:ilvl w:val="0"/>
          <w:numId w:val="37"/>
        </w:numPr>
        <w:autoSpaceDE w:val="0"/>
        <w:autoSpaceDN w:val="0"/>
        <w:adjustRightInd w:val="0"/>
        <w:rPr>
          <w:rFonts w:ascii="Arial" w:hAnsi="Arial" w:cs="Arial"/>
          <w:noProof/>
          <w:sz w:val="22"/>
          <w:lang w:val="fr-FR"/>
        </w:rPr>
      </w:pPr>
      <w:r w:rsidRPr="00771F85">
        <w:rPr>
          <w:rFonts w:ascii="Arial" w:hAnsi="Arial" w:cs="Arial"/>
          <w:noProof/>
          <w:sz w:val="22"/>
          <w:lang w:val="fr-FR"/>
        </w:rPr>
        <w:t xml:space="preserve">AGRA (2023). Policy Options for Rice Import Substitution in Burkina Faso. Alliance for a Green Revolution in Africa (AGRA). </w:t>
      </w:r>
      <w:hyperlink r:id="rId15" w:history="1">
        <w:r w:rsidRPr="00771F85">
          <w:rPr>
            <w:rStyle w:val="Hyperlink"/>
            <w:rFonts w:ascii="Arial" w:hAnsi="Arial" w:cs="Arial"/>
            <w:noProof/>
            <w:sz w:val="22"/>
            <w:lang w:val="fr-FR"/>
          </w:rPr>
          <w:t>https://agra.org/wp-content/uploads/2023/09/HAPA-05-Burkina-Faso-Rice-Import-Substitution.pdf</w:t>
        </w:r>
      </w:hyperlink>
      <w:r w:rsidRPr="00771F85">
        <w:rPr>
          <w:rFonts w:ascii="Arial" w:hAnsi="Arial" w:cs="Arial"/>
          <w:noProof/>
          <w:sz w:val="22"/>
          <w:lang w:val="fr-FR"/>
        </w:rPr>
        <w:t xml:space="preserve"> </w:t>
      </w:r>
    </w:p>
    <w:p w14:paraId="0CFC9BA4" w14:textId="3F41EB90"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lang w:val="fr-FR"/>
        </w:rPr>
      </w:pPr>
      <w:r w:rsidRPr="00771F85">
        <w:rPr>
          <w:rFonts w:ascii="Arial" w:hAnsi="Arial" w:cs="Arial"/>
          <w:noProof/>
          <w:sz w:val="22"/>
          <w:lang w:val="fr-FR"/>
        </w:rPr>
        <w:t xml:space="preserve">Akassimadou, F. E., Hien, M. P., Bouadou Oi, F. B., Bolou Bi, E. B., Bongoua, J. A., Ettien, J.-B. D., &amp; Yao-kouame, A. (2017). </w:t>
      </w:r>
      <w:r w:rsidRPr="00771F85">
        <w:rPr>
          <w:rFonts w:ascii="Arial" w:hAnsi="Arial" w:cs="Arial"/>
          <w:noProof/>
          <w:sz w:val="22"/>
        </w:rPr>
        <w:t xml:space="preserve">Efficiencies of Nutrients P and K in Irrigated Rice Farming in a Secondary Lowland in the Guinean Savanna Zone of Ivory Coast. </w:t>
      </w:r>
      <w:r w:rsidRPr="00771F85">
        <w:rPr>
          <w:rFonts w:ascii="Arial" w:hAnsi="Arial" w:cs="Arial"/>
          <w:noProof/>
          <w:sz w:val="22"/>
          <w:lang w:val="fr-FR"/>
        </w:rPr>
        <w:t>European Scientific Journal, ESJ, 13(36), 432–453. https://doi.org/10.19044/esj.2017.v13n36p432</w:t>
      </w:r>
    </w:p>
    <w:p w14:paraId="51EB8E8F"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lang w:val="fr-FR"/>
        </w:rPr>
        <w:t xml:space="preserve">Baligar, V. C., &amp; Fageria, N. K. (2015). </w:t>
      </w:r>
      <w:r w:rsidRPr="00771F85">
        <w:rPr>
          <w:rFonts w:ascii="Arial" w:hAnsi="Arial" w:cs="Arial"/>
          <w:noProof/>
          <w:sz w:val="22"/>
        </w:rPr>
        <w:t>Nutrient Use Efficiency in Plants: An Overview. Springer, in Nutrient Use Efficiencies: from basics to Advances, 1–14. https://doi.org/10.1007/978-81-322-2169-2</w:t>
      </w:r>
    </w:p>
    <w:p w14:paraId="54C8F5B0" w14:textId="1058043E"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lastRenderedPageBreak/>
        <w:t xml:space="preserve">Bandaogo, A., Andrews, O., Bidjokazo, F., Youl, S., Ebenezer, S., &amp; Abaidoo, R. (2016). Urea-supergranules and phosphorus application increases irrigated rice yields and agronomic use efficiency in Burkina Faso. International Journal of Agronomy and Agricultural Research (IJAAR), 8(4), 35–43. </w:t>
      </w:r>
      <w:hyperlink r:id="rId16" w:history="1">
        <w:r w:rsidR="00830B89" w:rsidRPr="00771F85">
          <w:rPr>
            <w:rStyle w:val="Hyperlink"/>
            <w:rFonts w:ascii="Arial" w:hAnsi="Arial" w:cs="Arial"/>
            <w:noProof/>
            <w:sz w:val="22"/>
          </w:rPr>
          <w:t>http://www.innspub.net/ijaar/urea-supergranules-and-phosphorus-application-increases-irrigated-rice-yields-and-agronomic-use-efficiency-in-burkina-faso/</w:t>
        </w:r>
      </w:hyperlink>
      <w:r w:rsidR="00830B89" w:rsidRPr="00771F85">
        <w:rPr>
          <w:rFonts w:ascii="Arial" w:hAnsi="Arial" w:cs="Arial"/>
          <w:noProof/>
          <w:sz w:val="22"/>
        </w:rPr>
        <w:t xml:space="preserve"> </w:t>
      </w:r>
    </w:p>
    <w:p w14:paraId="3C8656CD" w14:textId="5BA2D8DA"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 xml:space="preserve">Bandaogo, A., Bidjokazo, F., Youl, S., Safo, E., Abaidoo, R., &amp; Andrews, O. (2015). Effect of fertilizer deep placement with urea supergranule on nitrogen use efficiency of irrigated rice in Sourou Valley (Burkina Faso). Nutrient Cycling in Agroecosystems, 102(1), 79–89. </w:t>
      </w:r>
      <w:hyperlink r:id="rId17" w:history="1">
        <w:r w:rsidR="00830B89" w:rsidRPr="00771F85">
          <w:rPr>
            <w:rStyle w:val="Hyperlink"/>
            <w:rFonts w:ascii="Arial" w:hAnsi="Arial" w:cs="Arial"/>
            <w:noProof/>
            <w:sz w:val="22"/>
          </w:rPr>
          <w:t>https://doi.org/10.1007/s10705-014-9653-6</w:t>
        </w:r>
      </w:hyperlink>
      <w:r w:rsidR="00830B89" w:rsidRPr="00771F85">
        <w:rPr>
          <w:rFonts w:ascii="Arial" w:hAnsi="Arial" w:cs="Arial"/>
          <w:noProof/>
          <w:sz w:val="22"/>
        </w:rPr>
        <w:t xml:space="preserve"> </w:t>
      </w:r>
    </w:p>
    <w:p w14:paraId="4CF5513A" w14:textId="50AFA7D2"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 xml:space="preserve">Bihari, B., Singh, Y. K., Shambhavi, S., Mandal, J., Kumar, S., &amp; Kumar, R. (2022). Nutrient use efficiency indices of N, P, and K under rice-wheat cropping system in LTFE after 34th crop cycle. Journal of Plant Nutrition, 45(1), 123–140. </w:t>
      </w:r>
      <w:hyperlink r:id="rId18" w:history="1">
        <w:r w:rsidR="00830B89" w:rsidRPr="00771F85">
          <w:rPr>
            <w:rStyle w:val="Hyperlink"/>
            <w:rFonts w:ascii="Arial" w:hAnsi="Arial" w:cs="Arial"/>
            <w:noProof/>
            <w:sz w:val="22"/>
          </w:rPr>
          <w:t>https://doi.org/10.1080/01904167.2021.1943674</w:t>
        </w:r>
      </w:hyperlink>
      <w:r w:rsidR="00830B89" w:rsidRPr="00771F85">
        <w:rPr>
          <w:rFonts w:ascii="Arial" w:hAnsi="Arial" w:cs="Arial"/>
          <w:noProof/>
          <w:sz w:val="22"/>
        </w:rPr>
        <w:t xml:space="preserve"> </w:t>
      </w:r>
    </w:p>
    <w:p w14:paraId="7A3A0551"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 xml:space="preserve">Devkota, K. P., Pasuquin, E., Elmido-Mabilangan, A., Dikitanan, R., Singleton, G. R., Stuart, A. M., Vithoonjit, D., Vidiyangkura, L., Pustika, A. B., Afriani, R., Listyowati, C. L., Keerthisena, R. S. K., Kieu, N. T., Malabayabas, A. J., Hu, R., Pan, J., &amp; Beebout, S. E. J. (2019). Economic and environmental indicators of sustainable rice cultivation: A comparison across intensive irrigated rice cropping systems in six Asian countries. Ecological Indicators, 105(October 2018), 199–214. </w:t>
      </w:r>
      <w:hyperlink r:id="rId19" w:history="1">
        <w:r w:rsidRPr="00771F85">
          <w:rPr>
            <w:rStyle w:val="Hyperlink"/>
            <w:rFonts w:ascii="Arial" w:hAnsi="Arial" w:cs="Arial"/>
            <w:noProof/>
            <w:sz w:val="22"/>
          </w:rPr>
          <w:t>https://doi.org/10.1016/j.ecolind.2019.05.029</w:t>
        </w:r>
      </w:hyperlink>
    </w:p>
    <w:p w14:paraId="1EEB002B"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Dobermann, A. (2007). Nutrient use efficiency: Measurement and management.</w:t>
      </w:r>
    </w:p>
    <w:p w14:paraId="38724252"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Dwivedi, B. S., Singh, V. K., Meena, M. C., Dwivedi, B. S., Singh, V. K., Meena, M. C., &amp; Datta, S. P. (2016). Integrated Nutrient Management for Enhancing Nitrogen Use Efficiency Restoration and Improvement of Soil Health View project Sustainable Cropping systems View project Integrated Nutrient Management for Enhancing Nitrogen Use Efficiency. Indian Journal of Fertilizers, 12(4), 62–71. https://www.researchgate.net/publication/301348770</w:t>
      </w:r>
    </w:p>
    <w:p w14:paraId="12670F52"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lastRenderedPageBreak/>
        <w:t>Ebbisa, A. (2022). Toward the Recent Advances in Nutrient Use Efficiency (NUE): Strategies to Improve Phosphorus Availability to Plants. In Sustainable Crop Production - Recent Advances (pp. 225–240). https://www.intechopen.com/books/advanced-biometric-technologies/liveness-detection-in-biometrics</w:t>
      </w:r>
    </w:p>
    <w:p w14:paraId="16C373DD"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Fixen, P., Brentrup, F., Bruulsema, T., Garcia, F., Norton, R., &amp; Zingore, S. (2014). Nutrient/fertilizer use efficiency: measurement, current situation and trends. In IFA IWMI IPNI and IPI (Ed.), in Managing Water and Fertilizer for Sustainable Agricultural Intensification (Vol. 3400, pp. 1–30). due to be published during the fourth quarter of 2014. www.fertilizer.org/library</w:t>
      </w:r>
    </w:p>
    <w:p w14:paraId="6340AC2A"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Lu, D., Song, H., Chen, X., Wang, H., &amp; Zhou, J. (2020). Manipulation of Localized Nutrient Placement to Enhance Synergistic Effects of Nitrogen and Phosphorus for Rice. This Is a Preprint; It Has Not Been Peer Reviewed by a Journal., 1–18. https://doi.org/https://doi.org/10.21203/rs.3.rs-107471/v1 License:</w:t>
      </w:r>
    </w:p>
    <w:p w14:paraId="4319C104"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Miah, M. A. M., Gaihre, Y. K., Hunter, G., Singh, U., &amp; Hossain, S. A. (2016). Fertilizer deep placement increases rice production: Evidence from farmers’ fields in southern Bangladesh. Agronomy Journal, 108(2), 805–812. https://doi.org/10.2134/agronj2015.0170</w:t>
      </w:r>
    </w:p>
    <w:p w14:paraId="4E0E96A9" w14:textId="6A51C5B6"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 xml:space="preserve">Ouédraogo, J., Kpoda, C. K., Pouya, M. B., Sermé, I., &amp; Youl, S. (2022). Diagnostic de la fertilité chimique des principaux sols rizicoles de la Vallée du Sourou au Burkina Faso [ </w:t>
      </w:r>
      <w:r w:rsidR="00830B89" w:rsidRPr="00771F85">
        <w:rPr>
          <w:rFonts w:ascii="Arial" w:hAnsi="Arial" w:cs="Arial"/>
          <w:noProof/>
          <w:sz w:val="22"/>
        </w:rPr>
        <w:t>Chemical fertility assessment of the main rice-growing soils in the Sourou Valley, Burkina Faso</w:t>
      </w:r>
      <w:r w:rsidRPr="00771F85">
        <w:rPr>
          <w:rFonts w:ascii="Arial" w:hAnsi="Arial" w:cs="Arial"/>
          <w:noProof/>
          <w:sz w:val="22"/>
        </w:rPr>
        <w:t>]. International Journal of Innovation and Applied Studies, 38(2), pp 470-480. https://www.researchgate.net/publication/365805820%0ADiagnostic</w:t>
      </w:r>
    </w:p>
    <w:p w14:paraId="20B6B3ED"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lang w:val="fr-FR"/>
        </w:rPr>
        <w:t xml:space="preserve">PCD. (2018). Plan communal de développement de Kindi 2018 [Kindi Communal Development Plan 2018]. </w:t>
      </w:r>
      <w:r w:rsidRPr="00771F85">
        <w:rPr>
          <w:rFonts w:ascii="Arial" w:hAnsi="Arial" w:cs="Arial"/>
          <w:noProof/>
          <w:sz w:val="22"/>
        </w:rPr>
        <w:t>26p.</w:t>
      </w:r>
    </w:p>
    <w:p w14:paraId="1C215F78"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lang w:val="fr-FR"/>
        </w:rPr>
      </w:pPr>
      <w:r w:rsidRPr="00771F85">
        <w:rPr>
          <w:rFonts w:ascii="Arial" w:hAnsi="Arial" w:cs="Arial"/>
          <w:noProof/>
          <w:sz w:val="22"/>
        </w:rPr>
        <w:t xml:space="preserve">Sawadogo, A., Ouedraogo, J., YE, L., Ouedraogo, M., Coulibaly, D., Ouedraogo, A., &amp; Serme, I. (2024). </w:t>
      </w:r>
      <w:r w:rsidRPr="00771F85">
        <w:rPr>
          <w:rFonts w:ascii="Arial" w:hAnsi="Arial" w:cs="Arial"/>
          <w:noProof/>
          <w:sz w:val="22"/>
          <w:lang w:val="fr-FR"/>
        </w:rPr>
        <w:t xml:space="preserve">Proceedings of the International Scientific Colloquium, REUNIR. Placement Profond Du NPK : Une Solution Durable Pour Assurer La Sécurité Alimentaire et Nutritionnelle Des Populations Dans Un Contexte de Crise Sécuritaire [Deep Placement of NPK: A Sustainable </w:t>
      </w:r>
      <w:r w:rsidRPr="00771F85">
        <w:rPr>
          <w:rFonts w:ascii="Arial" w:hAnsi="Arial" w:cs="Arial"/>
          <w:noProof/>
          <w:sz w:val="22"/>
          <w:lang w:val="fr-FR"/>
        </w:rPr>
        <w:lastRenderedPageBreak/>
        <w:t>Solution to Ensure Food and Nutritional Security for Populations in a Context of Security Crisis], 197–211.</w:t>
      </w:r>
    </w:p>
    <w:p w14:paraId="4758464D" w14:textId="4FCD9AA5"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 xml:space="preserve">Sharna, S. B. Z., Islam, S., Huda, A., Jahiruddin, M., &amp; Islam, M. R. (2021). Effects of Prilled Urea, Urea Briquettes and NPK Briquettes on the Growth, Yield and Nitrogen use Efficiency of BRRI Dhan48. Asian Journal of Soil Science and Plant Nutrition, 7(3), 19–27. </w:t>
      </w:r>
      <w:hyperlink r:id="rId20" w:history="1">
        <w:r w:rsidR="00830B89" w:rsidRPr="00771F85">
          <w:rPr>
            <w:rStyle w:val="Hyperlink"/>
            <w:rFonts w:ascii="Arial" w:hAnsi="Arial" w:cs="Arial"/>
            <w:noProof/>
            <w:sz w:val="22"/>
          </w:rPr>
          <w:t>https://doi.org/10.9734/AJSSPN/2021/v7i330114</w:t>
        </w:r>
      </w:hyperlink>
      <w:r w:rsidR="00830B89" w:rsidRPr="00771F85">
        <w:rPr>
          <w:rFonts w:ascii="Arial" w:hAnsi="Arial" w:cs="Arial"/>
          <w:noProof/>
          <w:sz w:val="22"/>
        </w:rPr>
        <w:t xml:space="preserve"> </w:t>
      </w:r>
    </w:p>
    <w:p w14:paraId="208DCB4C" w14:textId="2425721D"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 xml:space="preserve">Singh, B., &amp; Singh, V. K. (2017). Fertilizer Management in Rice. In B. S. Chauhan, K. Jabran, &amp; G. Mahajan (Eds.), in Rice Production Worldwide (pp. 217–253). Springer International. </w:t>
      </w:r>
      <w:hyperlink r:id="rId21" w:history="1">
        <w:r w:rsidR="00830B89" w:rsidRPr="00771F85">
          <w:rPr>
            <w:rStyle w:val="Hyperlink"/>
            <w:rFonts w:ascii="Arial" w:hAnsi="Arial" w:cs="Arial"/>
            <w:noProof/>
            <w:sz w:val="22"/>
          </w:rPr>
          <w:t>https://doi.org/10.1007/978-3-319-47516-5</w:t>
        </w:r>
      </w:hyperlink>
      <w:r w:rsidR="00830B89" w:rsidRPr="00771F85">
        <w:rPr>
          <w:rFonts w:ascii="Arial" w:hAnsi="Arial" w:cs="Arial"/>
          <w:noProof/>
          <w:sz w:val="22"/>
        </w:rPr>
        <w:t xml:space="preserve"> </w:t>
      </w:r>
    </w:p>
    <w:p w14:paraId="7ABCD57C" w14:textId="29131944"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 xml:space="preserve">Wang, H., Hu, R., Chen, X., Zhong, X., Zheng, Z., Huang, N., &amp; Xue, C. (2017). Reduction in nitrogen fertilizer use results in increased rice yields and improved environmental protection. International Journal of Agricultural Sustainability, 15(6), 681–692. </w:t>
      </w:r>
      <w:hyperlink r:id="rId22" w:history="1">
        <w:r w:rsidR="00830B89" w:rsidRPr="00771F85">
          <w:rPr>
            <w:rStyle w:val="Hyperlink"/>
            <w:rFonts w:ascii="Arial" w:hAnsi="Arial" w:cs="Arial"/>
            <w:noProof/>
            <w:sz w:val="22"/>
          </w:rPr>
          <w:t>https://doi.org/10.1080/14735903.2017.1398627</w:t>
        </w:r>
      </w:hyperlink>
      <w:r w:rsidR="00830B89" w:rsidRPr="00771F85">
        <w:rPr>
          <w:rFonts w:ascii="Arial" w:hAnsi="Arial" w:cs="Arial"/>
          <w:noProof/>
          <w:sz w:val="22"/>
        </w:rPr>
        <w:t xml:space="preserve"> </w:t>
      </w:r>
    </w:p>
    <w:p w14:paraId="3956DCB3" w14:textId="77777777" w:rsidR="002B73B2" w:rsidRPr="00771F85" w:rsidRDefault="002B73B2" w:rsidP="00771F85">
      <w:pPr>
        <w:pStyle w:val="ListParagraph"/>
        <w:widowControl w:val="0"/>
        <w:numPr>
          <w:ilvl w:val="0"/>
          <w:numId w:val="37"/>
        </w:numPr>
        <w:autoSpaceDE w:val="0"/>
        <w:autoSpaceDN w:val="0"/>
        <w:adjustRightInd w:val="0"/>
        <w:rPr>
          <w:rFonts w:ascii="Arial" w:hAnsi="Arial" w:cs="Arial"/>
          <w:noProof/>
          <w:sz w:val="22"/>
        </w:rPr>
      </w:pPr>
      <w:r w:rsidRPr="00771F85">
        <w:rPr>
          <w:rFonts w:ascii="Arial" w:hAnsi="Arial" w:cs="Arial"/>
          <w:noProof/>
          <w:sz w:val="22"/>
        </w:rPr>
        <w:t>Wang, X., Liu, S., Yin, Maize Grain Composition with Additions of NPK Briquette and Organically Enhanced N Fertilizer. Agronomy, 10(6). https://doi.org/10.3390/agronomy10060852</w:t>
      </w:r>
    </w:p>
    <w:p w14:paraId="545D932C" w14:textId="30C84296" w:rsidR="002B73B2" w:rsidRPr="00771F85" w:rsidRDefault="002B73B2" w:rsidP="00771F85">
      <w:pPr>
        <w:pStyle w:val="ListParagraph"/>
        <w:widowControl w:val="0"/>
        <w:numPr>
          <w:ilvl w:val="0"/>
          <w:numId w:val="37"/>
        </w:numPr>
        <w:autoSpaceDE w:val="0"/>
        <w:autoSpaceDN w:val="0"/>
        <w:adjustRightInd w:val="0"/>
        <w:rPr>
          <w:rFonts w:ascii="Arial" w:hAnsi="Arial" w:cs="Arial"/>
          <w:b/>
        </w:rPr>
      </w:pPr>
      <w:r w:rsidRPr="00771F85">
        <w:rPr>
          <w:rFonts w:ascii="Arial" w:hAnsi="Arial" w:cs="Arial"/>
          <w:noProof/>
          <w:sz w:val="22"/>
        </w:rPr>
        <w:t xml:space="preserve">Yaméogo, P. L., Traoré, M., Segda, Z., Mando, A., Dakouo, D., &amp; Sedogo, M. P. (2013). Deep Placement of Urea (DPU) and Improvement of Nitrogen Use Efficiency in Irrigated Rice Cultivation in the Karfiguela Rice Scheme, Burkina Faso. Journal of Applied Biosciences 70:5523–5530, 85–95. </w:t>
      </w:r>
      <w:hyperlink r:id="rId23" w:history="1">
        <w:r w:rsidR="00830B89" w:rsidRPr="00771F85">
          <w:rPr>
            <w:rStyle w:val="Hyperlink"/>
            <w:rFonts w:ascii="Arial" w:hAnsi="Arial" w:cs="Arial"/>
            <w:noProof/>
            <w:sz w:val="22"/>
          </w:rPr>
          <w:t>https://doi.org/10.4314/jab.v70i1.98749</w:t>
        </w:r>
      </w:hyperlink>
      <w:r w:rsidR="00830B89" w:rsidRPr="00771F85">
        <w:rPr>
          <w:rFonts w:ascii="Arial" w:hAnsi="Arial" w:cs="Arial"/>
          <w:noProof/>
          <w:sz w:val="22"/>
        </w:rPr>
        <w:t xml:space="preserve"> </w:t>
      </w:r>
    </w:p>
    <w:sectPr w:rsidR="002B73B2" w:rsidRPr="00771F85" w:rsidSect="005D5D39">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64437" w14:textId="77777777" w:rsidR="006D0772" w:rsidRDefault="006D0772" w:rsidP="00C37E61">
      <w:r>
        <w:separator/>
      </w:r>
    </w:p>
  </w:endnote>
  <w:endnote w:type="continuationSeparator" w:id="0">
    <w:p w14:paraId="764A4E47" w14:textId="77777777" w:rsidR="006D0772" w:rsidRDefault="006D077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5C9E6" w14:textId="77777777" w:rsidR="002B73B2" w:rsidRDefault="002B7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BD3B" w14:textId="77777777" w:rsidR="002B73B2" w:rsidRPr="000D2A2F" w:rsidRDefault="002B73B2" w:rsidP="000D2A2F">
    <w:pPr>
      <w:pStyle w:val="Footer"/>
    </w:pPr>
    <w:r w:rsidRPr="000D2A2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BD04D" w14:textId="77777777" w:rsidR="002B73B2" w:rsidRPr="005D5D39" w:rsidRDefault="002B73B2" w:rsidP="005D5D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801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8FC1B" w14:textId="77777777" w:rsidR="006D0772" w:rsidRDefault="006D0772" w:rsidP="00C37E61">
      <w:r>
        <w:separator/>
      </w:r>
    </w:p>
  </w:footnote>
  <w:footnote w:type="continuationSeparator" w:id="0">
    <w:p w14:paraId="2F205327" w14:textId="77777777" w:rsidR="006D0772" w:rsidRDefault="006D077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FDF47" w14:textId="77777777" w:rsidR="002B73B2" w:rsidRDefault="006D0772">
    <w:pPr>
      <w:pStyle w:val="Header"/>
    </w:pPr>
    <w:r>
      <w:rPr>
        <w:noProof/>
      </w:rPr>
      <w:pict w14:anchorId="7ACDA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19" o:spid="_x0000_s2056" type="#_x0000_t136" style="position:absolute;margin-left:0;margin-top:0;width:520.65pt;height:57.8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F9BA1" w14:textId="77777777" w:rsidR="002B73B2" w:rsidRDefault="006D0772">
    <w:pPr>
      <w:pStyle w:val="Header"/>
    </w:pPr>
    <w:r>
      <w:rPr>
        <w:noProof/>
      </w:rPr>
      <w:pict w14:anchorId="3E584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0" o:spid="_x0000_s2057"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D828B" w14:textId="77777777" w:rsidR="002B73B2" w:rsidRPr="00296529" w:rsidRDefault="006D0772" w:rsidP="00296529">
    <w:pPr>
      <w:ind w:left="2160"/>
      <w:jc w:val="center"/>
      <w:rPr>
        <w:rFonts w:ascii="Times New Roman" w:eastAsia="Calibri" w:hAnsi="Times New Roman"/>
        <w:i/>
        <w:sz w:val="18"/>
        <w:szCs w:val="22"/>
      </w:rPr>
    </w:pPr>
    <w:r>
      <w:rPr>
        <w:noProof/>
      </w:rPr>
      <w:pict w14:anchorId="5C22E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18" o:spid="_x0000_s2055" type="#_x0000_t136" style="position:absolute;left:0;text-align:left;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945CF2A" w14:textId="77777777" w:rsidR="002B73B2" w:rsidRPr="00296529" w:rsidRDefault="002B73B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629285E" w14:textId="77777777" w:rsidR="002B73B2" w:rsidRPr="00296529" w:rsidRDefault="002B73B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FE7B23" w14:textId="77777777" w:rsidR="002B73B2" w:rsidRPr="00296529" w:rsidRDefault="002B73B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C6B126" w14:textId="77777777" w:rsidR="002B73B2" w:rsidRDefault="002B73B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86EAED" w14:textId="77777777" w:rsidR="002B73B2" w:rsidRDefault="002B73B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3EF6410" w14:textId="77777777" w:rsidR="002B73B2" w:rsidRDefault="002B73B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FF01" w14:textId="30AEB561" w:rsidR="005D5D39" w:rsidRDefault="006D0772">
    <w:pPr>
      <w:pStyle w:val="Header"/>
    </w:pPr>
    <w:r>
      <w:rPr>
        <w:noProof/>
      </w:rPr>
      <w:pict w14:anchorId="4C31E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E2DE" w14:textId="35619A0D" w:rsidR="005D5D39" w:rsidRDefault="006D0772">
    <w:pPr>
      <w:pStyle w:val="Header"/>
    </w:pPr>
    <w:r>
      <w:rPr>
        <w:noProof/>
      </w:rPr>
      <w:pict w14:anchorId="0165B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579ED" w14:textId="10F50C61" w:rsidR="005D5D39" w:rsidRDefault="006D0772">
    <w:pPr>
      <w:pStyle w:val="Header"/>
    </w:pPr>
    <w:r>
      <w:rPr>
        <w:noProof/>
      </w:rPr>
      <w:pict w14:anchorId="2F70A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29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D7591C"/>
    <w:multiLevelType w:val="hybridMultilevel"/>
    <w:tmpl w:val="AB7AE2CA"/>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40015D4"/>
    <w:multiLevelType w:val="hybridMultilevel"/>
    <w:tmpl w:val="189C75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2B7D18"/>
    <w:multiLevelType w:val="hybridMultilevel"/>
    <w:tmpl w:val="78220E8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1D5811"/>
    <w:multiLevelType w:val="hybridMultilevel"/>
    <w:tmpl w:val="B06EF1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5F7D81"/>
    <w:multiLevelType w:val="hybridMultilevel"/>
    <w:tmpl w:val="78220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572670E"/>
    <w:multiLevelType w:val="hybridMultilevel"/>
    <w:tmpl w:val="824C3A9C"/>
    <w:lvl w:ilvl="0" w:tplc="D93C80D4">
      <w:start w:val="1"/>
      <w:numFmt w:val="bullet"/>
      <w:lvlText w:val=""/>
      <w:lvlJc w:val="left"/>
      <w:pPr>
        <w:ind w:left="780" w:hanging="360"/>
      </w:pPr>
      <w:rPr>
        <w:rFonts w:ascii="Wingdings" w:hAnsi="Wingdings" w:hint="default"/>
        <w:vertAlign w:val="baseline"/>
      </w:rPr>
    </w:lvl>
    <w:lvl w:ilvl="1" w:tplc="040C0003" w:tentative="1">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711ED"/>
    <w:multiLevelType w:val="multilevel"/>
    <w:tmpl w:val="B47EB6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1"/>
  </w:num>
  <w:num w:numId="10">
    <w:abstractNumId w:val="2"/>
  </w:num>
  <w:num w:numId="11">
    <w:abstractNumId w:val="22"/>
  </w:num>
  <w:num w:numId="12">
    <w:abstractNumId w:val="3"/>
  </w:num>
  <w:num w:numId="13">
    <w:abstractNumId w:val="20"/>
  </w:num>
  <w:num w:numId="14">
    <w:abstractNumId w:val="9"/>
  </w:num>
  <w:num w:numId="15">
    <w:abstractNumId w:val="26"/>
  </w:num>
  <w:num w:numId="16">
    <w:abstractNumId w:val="5"/>
  </w:num>
  <w:num w:numId="17">
    <w:abstractNumId w:val="27"/>
  </w:num>
  <w:num w:numId="18">
    <w:abstractNumId w:val="15"/>
  </w:num>
  <w:num w:numId="19">
    <w:abstractNumId w:val="35"/>
  </w:num>
  <w:num w:numId="20">
    <w:abstractNumId w:val="12"/>
  </w:num>
  <w:num w:numId="21">
    <w:abstractNumId w:val="10"/>
  </w:num>
  <w:num w:numId="22">
    <w:abstractNumId w:val="14"/>
  </w:num>
  <w:num w:numId="23">
    <w:abstractNumId w:val="23"/>
  </w:num>
  <w:num w:numId="24">
    <w:abstractNumId w:val="32"/>
  </w:num>
  <w:num w:numId="25">
    <w:abstractNumId w:val="4"/>
  </w:num>
  <w:num w:numId="26">
    <w:abstractNumId w:val="19"/>
  </w:num>
  <w:num w:numId="27">
    <w:abstractNumId w:val="25"/>
  </w:num>
  <w:num w:numId="28">
    <w:abstractNumId w:val="34"/>
  </w:num>
  <w:num w:numId="29">
    <w:abstractNumId w:val="30"/>
  </w:num>
  <w:num w:numId="30">
    <w:abstractNumId w:val="11"/>
  </w:num>
  <w:num w:numId="31">
    <w:abstractNumId w:val="29"/>
  </w:num>
  <w:num w:numId="32">
    <w:abstractNumId w:val="16"/>
  </w:num>
  <w:num w:numId="33">
    <w:abstractNumId w:val="17"/>
  </w:num>
  <w:num w:numId="34">
    <w:abstractNumId w:val="24"/>
  </w:num>
  <w:num w:numId="35">
    <w:abstractNumId w:val="7"/>
  </w:num>
  <w:num w:numId="36">
    <w:abstractNumId w:val="3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751E"/>
    <w:rsid w:val="00030174"/>
    <w:rsid w:val="0004579C"/>
    <w:rsid w:val="000503C7"/>
    <w:rsid w:val="00084748"/>
    <w:rsid w:val="000A47FA"/>
    <w:rsid w:val="000A65D3"/>
    <w:rsid w:val="000B1E33"/>
    <w:rsid w:val="000D2A2F"/>
    <w:rsid w:val="000D689F"/>
    <w:rsid w:val="000E4E01"/>
    <w:rsid w:val="000E7B7B"/>
    <w:rsid w:val="000E7D62"/>
    <w:rsid w:val="00101917"/>
    <w:rsid w:val="00103357"/>
    <w:rsid w:val="00123C9F"/>
    <w:rsid w:val="00126190"/>
    <w:rsid w:val="00127FE6"/>
    <w:rsid w:val="00130F17"/>
    <w:rsid w:val="001320BF"/>
    <w:rsid w:val="0014591B"/>
    <w:rsid w:val="0014604B"/>
    <w:rsid w:val="00163BC4"/>
    <w:rsid w:val="00182336"/>
    <w:rsid w:val="00191062"/>
    <w:rsid w:val="00192B72"/>
    <w:rsid w:val="001952EA"/>
    <w:rsid w:val="001A29D8"/>
    <w:rsid w:val="001A5CAA"/>
    <w:rsid w:val="001B0427"/>
    <w:rsid w:val="001D3A51"/>
    <w:rsid w:val="001E10D2"/>
    <w:rsid w:val="001E25B4"/>
    <w:rsid w:val="001E44FE"/>
    <w:rsid w:val="00200595"/>
    <w:rsid w:val="00204835"/>
    <w:rsid w:val="00205DB0"/>
    <w:rsid w:val="00231920"/>
    <w:rsid w:val="0023195C"/>
    <w:rsid w:val="0024055F"/>
    <w:rsid w:val="0024282C"/>
    <w:rsid w:val="002460DC"/>
    <w:rsid w:val="00250985"/>
    <w:rsid w:val="00252D1B"/>
    <w:rsid w:val="002556F6"/>
    <w:rsid w:val="00264FEB"/>
    <w:rsid w:val="0027360C"/>
    <w:rsid w:val="00283105"/>
    <w:rsid w:val="00284C4C"/>
    <w:rsid w:val="00287E68"/>
    <w:rsid w:val="00296529"/>
    <w:rsid w:val="002B27FB"/>
    <w:rsid w:val="002B685A"/>
    <w:rsid w:val="002B73B2"/>
    <w:rsid w:val="002C57D2"/>
    <w:rsid w:val="002C7A3E"/>
    <w:rsid w:val="002D79A5"/>
    <w:rsid w:val="002E0D56"/>
    <w:rsid w:val="00315186"/>
    <w:rsid w:val="0033192A"/>
    <w:rsid w:val="0033343E"/>
    <w:rsid w:val="003512C2"/>
    <w:rsid w:val="00356979"/>
    <w:rsid w:val="00371FB6"/>
    <w:rsid w:val="003763C1"/>
    <w:rsid w:val="00376BBE"/>
    <w:rsid w:val="0039224F"/>
    <w:rsid w:val="003A43A4"/>
    <w:rsid w:val="003A7E18"/>
    <w:rsid w:val="003C1D4E"/>
    <w:rsid w:val="003C4C86"/>
    <w:rsid w:val="003C6258"/>
    <w:rsid w:val="003D7D7C"/>
    <w:rsid w:val="003E2904"/>
    <w:rsid w:val="004008FD"/>
    <w:rsid w:val="00401927"/>
    <w:rsid w:val="0041027F"/>
    <w:rsid w:val="00412475"/>
    <w:rsid w:val="00423789"/>
    <w:rsid w:val="00430A7D"/>
    <w:rsid w:val="00440F43"/>
    <w:rsid w:val="00441B6F"/>
    <w:rsid w:val="00446221"/>
    <w:rsid w:val="00450E62"/>
    <w:rsid w:val="004539DB"/>
    <w:rsid w:val="0046513E"/>
    <w:rsid w:val="00471A80"/>
    <w:rsid w:val="004D305E"/>
    <w:rsid w:val="004D4277"/>
    <w:rsid w:val="00502516"/>
    <w:rsid w:val="00505F06"/>
    <w:rsid w:val="00506828"/>
    <w:rsid w:val="0053056E"/>
    <w:rsid w:val="00550231"/>
    <w:rsid w:val="00554FDA"/>
    <w:rsid w:val="00583B6C"/>
    <w:rsid w:val="00587769"/>
    <w:rsid w:val="005C784C"/>
    <w:rsid w:val="005D17F6"/>
    <w:rsid w:val="005D5D39"/>
    <w:rsid w:val="005D7BAA"/>
    <w:rsid w:val="005E5539"/>
    <w:rsid w:val="00602BF5"/>
    <w:rsid w:val="00617F2C"/>
    <w:rsid w:val="00617FDD"/>
    <w:rsid w:val="00633614"/>
    <w:rsid w:val="00633F68"/>
    <w:rsid w:val="00636EB2"/>
    <w:rsid w:val="006375B8"/>
    <w:rsid w:val="0066510A"/>
    <w:rsid w:val="00673F9F"/>
    <w:rsid w:val="00686953"/>
    <w:rsid w:val="00687DEA"/>
    <w:rsid w:val="00687E67"/>
    <w:rsid w:val="006967F7"/>
    <w:rsid w:val="006A250C"/>
    <w:rsid w:val="006A4528"/>
    <w:rsid w:val="006B21D3"/>
    <w:rsid w:val="006B57D0"/>
    <w:rsid w:val="006D0772"/>
    <w:rsid w:val="006D30FF"/>
    <w:rsid w:val="006D6940"/>
    <w:rsid w:val="006E55CE"/>
    <w:rsid w:val="006F11EC"/>
    <w:rsid w:val="0070082C"/>
    <w:rsid w:val="007369E6"/>
    <w:rsid w:val="00742537"/>
    <w:rsid w:val="00746E59"/>
    <w:rsid w:val="00754C9A"/>
    <w:rsid w:val="0075599A"/>
    <w:rsid w:val="00761D52"/>
    <w:rsid w:val="00771F85"/>
    <w:rsid w:val="0077749E"/>
    <w:rsid w:val="00790ADA"/>
    <w:rsid w:val="00791AD2"/>
    <w:rsid w:val="007A10FF"/>
    <w:rsid w:val="007B56D2"/>
    <w:rsid w:val="007D145A"/>
    <w:rsid w:val="007D2288"/>
    <w:rsid w:val="007E088F"/>
    <w:rsid w:val="007F7B32"/>
    <w:rsid w:val="00804BC2"/>
    <w:rsid w:val="00806D1C"/>
    <w:rsid w:val="0081431A"/>
    <w:rsid w:val="00823F59"/>
    <w:rsid w:val="00830B89"/>
    <w:rsid w:val="0083216F"/>
    <w:rsid w:val="00851759"/>
    <w:rsid w:val="00860000"/>
    <w:rsid w:val="00863BD3"/>
    <w:rsid w:val="008641ED"/>
    <w:rsid w:val="00866D66"/>
    <w:rsid w:val="008671C6"/>
    <w:rsid w:val="00875803"/>
    <w:rsid w:val="008A0D38"/>
    <w:rsid w:val="008B30A0"/>
    <w:rsid w:val="008B459E"/>
    <w:rsid w:val="008E13AE"/>
    <w:rsid w:val="008E1506"/>
    <w:rsid w:val="008E710C"/>
    <w:rsid w:val="008F69D6"/>
    <w:rsid w:val="00902823"/>
    <w:rsid w:val="009033BB"/>
    <w:rsid w:val="00915CA6"/>
    <w:rsid w:val="00927834"/>
    <w:rsid w:val="009450E8"/>
    <w:rsid w:val="009500A6"/>
    <w:rsid w:val="00957C18"/>
    <w:rsid w:val="009659BA"/>
    <w:rsid w:val="00983040"/>
    <w:rsid w:val="00985038"/>
    <w:rsid w:val="009853BC"/>
    <w:rsid w:val="009B3FB9"/>
    <w:rsid w:val="009C2465"/>
    <w:rsid w:val="009D35A0"/>
    <w:rsid w:val="009D7953"/>
    <w:rsid w:val="009D7EB7"/>
    <w:rsid w:val="009E048A"/>
    <w:rsid w:val="009E08E9"/>
    <w:rsid w:val="009E3DB9"/>
    <w:rsid w:val="009E6E35"/>
    <w:rsid w:val="009F0EDA"/>
    <w:rsid w:val="00A03B96"/>
    <w:rsid w:val="00A05B19"/>
    <w:rsid w:val="00A1134E"/>
    <w:rsid w:val="00A16666"/>
    <w:rsid w:val="00A24E7E"/>
    <w:rsid w:val="00A258C3"/>
    <w:rsid w:val="00A27F8B"/>
    <w:rsid w:val="00A30CD9"/>
    <w:rsid w:val="00A347C0"/>
    <w:rsid w:val="00A51431"/>
    <w:rsid w:val="00A539AD"/>
    <w:rsid w:val="00A55D0C"/>
    <w:rsid w:val="00A77C8B"/>
    <w:rsid w:val="00A83EE4"/>
    <w:rsid w:val="00A94063"/>
    <w:rsid w:val="00AA6219"/>
    <w:rsid w:val="00AA74E0"/>
    <w:rsid w:val="00AB1D0F"/>
    <w:rsid w:val="00AB703F"/>
    <w:rsid w:val="00AC6BB8"/>
    <w:rsid w:val="00AE008F"/>
    <w:rsid w:val="00AE6078"/>
    <w:rsid w:val="00B01FCD"/>
    <w:rsid w:val="00B1776C"/>
    <w:rsid w:val="00B52583"/>
    <w:rsid w:val="00B52896"/>
    <w:rsid w:val="00B73C6C"/>
    <w:rsid w:val="00B86454"/>
    <w:rsid w:val="00B95236"/>
    <w:rsid w:val="00B96BD9"/>
    <w:rsid w:val="00BA1B01"/>
    <w:rsid w:val="00BA2641"/>
    <w:rsid w:val="00BA5459"/>
    <w:rsid w:val="00BB37AA"/>
    <w:rsid w:val="00BB49B0"/>
    <w:rsid w:val="00BC53A0"/>
    <w:rsid w:val="00BE62AD"/>
    <w:rsid w:val="00BF121F"/>
    <w:rsid w:val="00BF1F80"/>
    <w:rsid w:val="00C11A34"/>
    <w:rsid w:val="00C166EF"/>
    <w:rsid w:val="00C17EB0"/>
    <w:rsid w:val="00C2765A"/>
    <w:rsid w:val="00C27F5F"/>
    <w:rsid w:val="00C30A0F"/>
    <w:rsid w:val="00C37E61"/>
    <w:rsid w:val="00C5091C"/>
    <w:rsid w:val="00C70F1B"/>
    <w:rsid w:val="00C71A47"/>
    <w:rsid w:val="00C7464C"/>
    <w:rsid w:val="00C85588"/>
    <w:rsid w:val="00C901C9"/>
    <w:rsid w:val="00CD6755"/>
    <w:rsid w:val="00CD6856"/>
    <w:rsid w:val="00CE0089"/>
    <w:rsid w:val="00CE793C"/>
    <w:rsid w:val="00CF193C"/>
    <w:rsid w:val="00D1207A"/>
    <w:rsid w:val="00D173F1"/>
    <w:rsid w:val="00D74CB0"/>
    <w:rsid w:val="00D8295D"/>
    <w:rsid w:val="00D83D04"/>
    <w:rsid w:val="00DC2A65"/>
    <w:rsid w:val="00DE15F0"/>
    <w:rsid w:val="00DE5663"/>
    <w:rsid w:val="00DE78AA"/>
    <w:rsid w:val="00DF5FB6"/>
    <w:rsid w:val="00E053D0"/>
    <w:rsid w:val="00E15994"/>
    <w:rsid w:val="00E3114E"/>
    <w:rsid w:val="00E31A70"/>
    <w:rsid w:val="00E35B02"/>
    <w:rsid w:val="00E638FB"/>
    <w:rsid w:val="00E63E6F"/>
    <w:rsid w:val="00E66496"/>
    <w:rsid w:val="00E66B35"/>
    <w:rsid w:val="00E66E10"/>
    <w:rsid w:val="00E769F6"/>
    <w:rsid w:val="00E8407C"/>
    <w:rsid w:val="00E84F3C"/>
    <w:rsid w:val="00EA012C"/>
    <w:rsid w:val="00EC43DC"/>
    <w:rsid w:val="00EC6A55"/>
    <w:rsid w:val="00ED0288"/>
    <w:rsid w:val="00EE52CB"/>
    <w:rsid w:val="00EF1CA2"/>
    <w:rsid w:val="00EF581D"/>
    <w:rsid w:val="00EF7FD8"/>
    <w:rsid w:val="00F001B0"/>
    <w:rsid w:val="00F06F59"/>
    <w:rsid w:val="00F17988"/>
    <w:rsid w:val="00F469F0"/>
    <w:rsid w:val="00F4717A"/>
    <w:rsid w:val="00F53273"/>
    <w:rsid w:val="00F74835"/>
    <w:rsid w:val="00F755E4"/>
    <w:rsid w:val="00F77D02"/>
    <w:rsid w:val="00FB3A86"/>
    <w:rsid w:val="00FB447C"/>
    <w:rsid w:val="00FD36C8"/>
    <w:rsid w:val="00FF027A"/>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5F442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651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46513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6513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6513E"/>
    <w:pPr>
      <w:spacing w:after="40" w:line="360" w:lineRule="auto"/>
      <w:ind w:left="720"/>
      <w:contextualSpacing/>
      <w:jc w:val="both"/>
    </w:pPr>
    <w:rPr>
      <w:rFonts w:ascii="Times New Roman" w:eastAsiaTheme="minorHAnsi" w:hAnsi="Times New Roman" w:cs="Source Sans Pro"/>
      <w:color w:val="000000"/>
      <w:sz w:val="24"/>
      <w:szCs w:val="24"/>
    </w:rPr>
  </w:style>
  <w:style w:type="character" w:customStyle="1" w:styleId="Heading4Char">
    <w:name w:val="Heading 4 Char"/>
    <w:basedOn w:val="DefaultParagraphFont"/>
    <w:link w:val="Heading4"/>
    <w:semiHidden/>
    <w:rsid w:val="0046513E"/>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46513E"/>
    <w:pPr>
      <w:spacing w:after="200"/>
      <w:jc w:val="both"/>
    </w:pPr>
    <w:rPr>
      <w:rFonts w:ascii="Times New Roman" w:eastAsiaTheme="minorHAnsi" w:hAnsi="Times New Roman" w:cs="Source Sans Pro"/>
      <w:i/>
      <w:iCs/>
      <w:color w:val="1F497D" w:themeColor="text2"/>
      <w:sz w:val="18"/>
      <w:szCs w:val="18"/>
    </w:rPr>
  </w:style>
  <w:style w:type="paragraph" w:styleId="NormalWeb">
    <w:name w:val="Normal (Web)"/>
    <w:basedOn w:val="Normal"/>
    <w:semiHidden/>
    <w:unhideWhenUsed/>
    <w:rsid w:val="0002751E"/>
    <w:rPr>
      <w:rFonts w:ascii="Times New Roman" w:hAnsi="Times New Roman"/>
      <w:sz w:val="24"/>
      <w:szCs w:val="24"/>
    </w:rPr>
  </w:style>
  <w:style w:type="character" w:styleId="PlaceholderText">
    <w:name w:val="Placeholder Text"/>
    <w:basedOn w:val="DefaultParagraphFont"/>
    <w:uiPriority w:val="99"/>
    <w:semiHidden/>
    <w:rsid w:val="00806D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523898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0571287">
      <w:bodyDiv w:val="1"/>
      <w:marLeft w:val="0"/>
      <w:marRight w:val="0"/>
      <w:marTop w:val="0"/>
      <w:marBottom w:val="0"/>
      <w:divBdr>
        <w:top w:val="none" w:sz="0" w:space="0" w:color="auto"/>
        <w:left w:val="none" w:sz="0" w:space="0" w:color="auto"/>
        <w:bottom w:val="none" w:sz="0" w:space="0" w:color="auto"/>
        <w:right w:val="none" w:sz="0" w:space="0" w:color="auto"/>
      </w:divBdr>
    </w:div>
    <w:div w:id="94360976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0001767">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1733819">
      <w:bodyDiv w:val="1"/>
      <w:marLeft w:val="0"/>
      <w:marRight w:val="0"/>
      <w:marTop w:val="0"/>
      <w:marBottom w:val="0"/>
      <w:divBdr>
        <w:top w:val="none" w:sz="0" w:space="0" w:color="auto"/>
        <w:left w:val="none" w:sz="0" w:space="0" w:color="auto"/>
        <w:bottom w:val="none" w:sz="0" w:space="0" w:color="auto"/>
        <w:right w:val="none" w:sz="0" w:space="0" w:color="auto"/>
      </w:divBdr>
    </w:div>
    <w:div w:id="126533597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3212393">
      <w:bodyDiv w:val="1"/>
      <w:marLeft w:val="0"/>
      <w:marRight w:val="0"/>
      <w:marTop w:val="0"/>
      <w:marBottom w:val="0"/>
      <w:divBdr>
        <w:top w:val="none" w:sz="0" w:space="0" w:color="auto"/>
        <w:left w:val="none" w:sz="0" w:space="0" w:color="auto"/>
        <w:bottom w:val="none" w:sz="0" w:space="0" w:color="auto"/>
        <w:right w:val="none" w:sz="0" w:space="0" w:color="auto"/>
      </w:divBdr>
    </w:div>
    <w:div w:id="1893271061">
      <w:bodyDiv w:val="1"/>
      <w:marLeft w:val="0"/>
      <w:marRight w:val="0"/>
      <w:marTop w:val="0"/>
      <w:marBottom w:val="0"/>
      <w:divBdr>
        <w:top w:val="none" w:sz="0" w:space="0" w:color="auto"/>
        <w:left w:val="none" w:sz="0" w:space="0" w:color="auto"/>
        <w:bottom w:val="none" w:sz="0" w:space="0" w:color="auto"/>
        <w:right w:val="none" w:sz="0" w:space="0" w:color="auto"/>
      </w:divBdr>
    </w:div>
    <w:div w:id="195864164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80/01904167.2021.1943674"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07/978-3-319-4751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10705-014-9653-6"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innspub.net/ijaar/urea-supergranules-and-phosphorus-application-increases-irrigated-rice-yields-and-agronomic-use-efficiency-in-burkina-faso/" TargetMode="External"/><Relationship Id="rId20" Type="http://schemas.openxmlformats.org/officeDocument/2006/relationships/hyperlink" Target="https://doi.org/10.9734/AJSSPN/2021/v7i3301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agra.org/wp-content/uploads/2023/09/HAPA-05-Burkina-Faso-Rice-Import-Substitution.pdf" TargetMode="External"/><Relationship Id="rId23" Type="http://schemas.openxmlformats.org/officeDocument/2006/relationships/hyperlink" Target="https://doi.org/10.4314/jab.v70i1.98749"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ecolind.2019.05.02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80/14735903.2017.139862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B051B9-CC29-425C-8112-CA28C70B6D59}">
  <we:reference id="wa200001361" version="2.129.3.0" store="en-US" storeType="OMEX"/>
  <we:alternateReferences>
    <we:reference id="WA200001361" version="2.129.3.0" store="" storeType="OMEX"/>
  </we:alternateReferences>
  <we:properties>
    <we:property name="paperpal-document-id" value="&quot;abcc37ad-928c-4c18-8497-4d196a705c9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EFA8E-10FC-456A-987A-43B4CF039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1213</TotalTime>
  <Pages>15</Pages>
  <Words>14096</Words>
  <Characters>80348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94256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60</cp:revision>
  <cp:lastPrinted>1999-07-06T11:00:00Z</cp:lastPrinted>
  <dcterms:created xsi:type="dcterms:W3CDTF">2026-03-11T23:18:00Z</dcterms:created>
  <dcterms:modified xsi:type="dcterms:W3CDTF">2026-04-01T08:09:00Z</dcterms:modified>
</cp:coreProperties>
</file>