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2C95F" w14:textId="6399F443" w:rsidR="000A508F" w:rsidRPr="00D80375" w:rsidRDefault="004C1329" w:rsidP="00962B52">
      <w:pPr>
        <w:pStyle w:val="NoSpacing"/>
        <w:spacing w:line="360" w:lineRule="auto"/>
        <w:rPr>
          <w:rFonts w:ascii="Times New Roman" w:hAnsi="Times New Roman" w:cs="Times New Roman"/>
          <w:b/>
          <w:bCs/>
          <w:sz w:val="24"/>
          <w:szCs w:val="24"/>
        </w:rPr>
      </w:pPr>
      <w:r w:rsidRPr="00D80375">
        <w:rPr>
          <w:rFonts w:ascii="Times New Roman" w:hAnsi="Times New Roman" w:cs="Times New Roman"/>
          <w:b/>
          <w:bCs/>
          <w:sz w:val="24"/>
          <w:szCs w:val="24"/>
        </w:rPr>
        <w:t xml:space="preserve">Effect </w:t>
      </w:r>
      <w:r w:rsidR="00E50D87">
        <w:rPr>
          <w:rFonts w:ascii="Times New Roman" w:hAnsi="Times New Roman" w:cs="Times New Roman"/>
          <w:b/>
          <w:bCs/>
          <w:sz w:val="24"/>
          <w:szCs w:val="24"/>
        </w:rPr>
        <w:t>o</w:t>
      </w:r>
      <w:r w:rsidR="00E50D87" w:rsidRPr="00D80375">
        <w:rPr>
          <w:rFonts w:ascii="Times New Roman" w:hAnsi="Times New Roman" w:cs="Times New Roman"/>
          <w:b/>
          <w:bCs/>
          <w:sz w:val="24"/>
          <w:szCs w:val="24"/>
        </w:rPr>
        <w:t xml:space="preserve">f Gamma Radiation </w:t>
      </w:r>
      <w:r w:rsidR="00E50D87">
        <w:rPr>
          <w:rFonts w:ascii="Times New Roman" w:hAnsi="Times New Roman" w:cs="Times New Roman"/>
          <w:b/>
          <w:bCs/>
          <w:sz w:val="24"/>
          <w:szCs w:val="24"/>
        </w:rPr>
        <w:t>o</w:t>
      </w:r>
      <w:r w:rsidR="00E50D87" w:rsidRPr="00D80375">
        <w:rPr>
          <w:rFonts w:ascii="Times New Roman" w:hAnsi="Times New Roman" w:cs="Times New Roman"/>
          <w:b/>
          <w:bCs/>
          <w:sz w:val="24"/>
          <w:szCs w:val="24"/>
        </w:rPr>
        <w:t xml:space="preserve">n </w:t>
      </w:r>
      <w:r w:rsidR="00BF5BC9" w:rsidRPr="00D80375">
        <w:rPr>
          <w:rFonts w:ascii="Times New Roman" w:hAnsi="Times New Roman" w:cs="Times New Roman"/>
          <w:b/>
          <w:bCs/>
          <w:sz w:val="24"/>
          <w:szCs w:val="24"/>
        </w:rPr>
        <w:t xml:space="preserve">M1 </w:t>
      </w:r>
      <w:r w:rsidR="00E50D87" w:rsidRPr="00D80375">
        <w:rPr>
          <w:rFonts w:ascii="Times New Roman" w:hAnsi="Times New Roman" w:cs="Times New Roman"/>
          <w:b/>
          <w:bCs/>
          <w:sz w:val="24"/>
          <w:szCs w:val="24"/>
        </w:rPr>
        <w:t xml:space="preserve">Generation </w:t>
      </w:r>
      <w:r w:rsidR="00E50D87">
        <w:rPr>
          <w:rFonts w:ascii="Times New Roman" w:hAnsi="Times New Roman" w:cs="Times New Roman"/>
          <w:b/>
          <w:bCs/>
          <w:sz w:val="24"/>
          <w:szCs w:val="24"/>
        </w:rPr>
        <w:t>o</w:t>
      </w:r>
      <w:r w:rsidR="00E50D87" w:rsidRPr="00D80375">
        <w:rPr>
          <w:rFonts w:ascii="Times New Roman" w:hAnsi="Times New Roman" w:cs="Times New Roman"/>
          <w:b/>
          <w:bCs/>
          <w:sz w:val="24"/>
          <w:szCs w:val="24"/>
        </w:rPr>
        <w:t xml:space="preserve">f Two Aromatic Rice Varieties </w:t>
      </w:r>
      <w:r w:rsidR="00E50D87">
        <w:rPr>
          <w:rFonts w:ascii="Times New Roman" w:hAnsi="Times New Roman" w:cs="Times New Roman"/>
          <w:b/>
          <w:bCs/>
          <w:sz w:val="24"/>
          <w:szCs w:val="24"/>
        </w:rPr>
        <w:t>a</w:t>
      </w:r>
      <w:r w:rsidR="00E50D87" w:rsidRPr="00D80375">
        <w:rPr>
          <w:rFonts w:ascii="Times New Roman" w:hAnsi="Times New Roman" w:cs="Times New Roman"/>
          <w:b/>
          <w:bCs/>
          <w:sz w:val="24"/>
          <w:szCs w:val="24"/>
        </w:rPr>
        <w:t xml:space="preserve">nd Determination </w:t>
      </w:r>
      <w:r w:rsidR="00E50D87">
        <w:rPr>
          <w:rFonts w:ascii="Times New Roman" w:hAnsi="Times New Roman" w:cs="Times New Roman"/>
          <w:b/>
          <w:bCs/>
          <w:sz w:val="24"/>
          <w:szCs w:val="24"/>
        </w:rPr>
        <w:t>o</w:t>
      </w:r>
      <w:r w:rsidR="00E50D87" w:rsidRPr="00D80375">
        <w:rPr>
          <w:rFonts w:ascii="Times New Roman" w:hAnsi="Times New Roman" w:cs="Times New Roman"/>
          <w:b/>
          <w:bCs/>
          <w:sz w:val="24"/>
          <w:szCs w:val="24"/>
        </w:rPr>
        <w:t xml:space="preserve">f Their Lethal Dose  </w:t>
      </w:r>
    </w:p>
    <w:p w14:paraId="3CA0DCF5" w14:textId="38FF9EA4" w:rsidR="001955C4" w:rsidRPr="00D80375" w:rsidRDefault="001955C4" w:rsidP="00506F76">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C390929" w14:textId="77777777" w:rsidR="00D42746" w:rsidRPr="00D80375" w:rsidRDefault="00D42746" w:rsidP="00506F76">
      <w:pPr>
        <w:pStyle w:val="NoSpacing"/>
        <w:spacing w:line="360" w:lineRule="auto"/>
        <w:jc w:val="both"/>
        <w:rPr>
          <w:rFonts w:ascii="Times New Roman" w:hAnsi="Times New Roman" w:cs="Times New Roman"/>
          <w:b/>
          <w:bCs/>
          <w:sz w:val="24"/>
          <w:szCs w:val="24"/>
        </w:rPr>
      </w:pPr>
    </w:p>
    <w:p w14:paraId="60CEA8AB" w14:textId="77777777" w:rsidR="00A95D34" w:rsidRPr="00D80375" w:rsidRDefault="00A95D34" w:rsidP="00506F76">
      <w:pPr>
        <w:pStyle w:val="NoSpacing"/>
        <w:spacing w:line="360" w:lineRule="auto"/>
        <w:jc w:val="both"/>
        <w:rPr>
          <w:rFonts w:ascii="Times New Roman" w:hAnsi="Times New Roman" w:cs="Times New Roman"/>
          <w:b/>
          <w:bCs/>
          <w:sz w:val="24"/>
          <w:szCs w:val="24"/>
        </w:rPr>
      </w:pPr>
      <w:r w:rsidRPr="00D80375">
        <w:rPr>
          <w:rFonts w:ascii="Times New Roman" w:hAnsi="Times New Roman" w:cs="Times New Roman"/>
          <w:b/>
          <w:bCs/>
          <w:sz w:val="24"/>
          <w:szCs w:val="24"/>
        </w:rPr>
        <w:t>Abstract</w:t>
      </w:r>
    </w:p>
    <w:p w14:paraId="45E1C817" w14:textId="6B9933EF" w:rsidR="003935BF" w:rsidRPr="003935BF" w:rsidRDefault="003935BF" w:rsidP="003935BF">
      <w:pPr>
        <w:pStyle w:val="NoSpacing"/>
        <w:spacing w:line="360" w:lineRule="auto"/>
        <w:jc w:val="both"/>
        <w:rPr>
          <w:rFonts w:ascii="Times New Roman" w:hAnsi="Times New Roman" w:cs="Times New Roman"/>
          <w:sz w:val="24"/>
          <w:szCs w:val="24"/>
        </w:rPr>
      </w:pPr>
      <w:r w:rsidRPr="003935BF">
        <w:rPr>
          <w:rFonts w:ascii="Times New Roman" w:hAnsi="Times New Roman" w:cs="Times New Roman"/>
          <w:sz w:val="24"/>
          <w:szCs w:val="24"/>
        </w:rPr>
        <w:t xml:space="preserve">Gamma irradiation is a potent tool for inducing genetic variation in aromatic rice. This study evaluated the effects of gamma radiation on the M₁ generation of two aromatic rice varieties, </w:t>
      </w:r>
      <w:proofErr w:type="spellStart"/>
      <w:r w:rsidRPr="003935BF">
        <w:rPr>
          <w:rFonts w:ascii="Times New Roman" w:hAnsi="Times New Roman" w:cs="Times New Roman"/>
          <w:sz w:val="24"/>
          <w:szCs w:val="24"/>
        </w:rPr>
        <w:t>Chinigura</w:t>
      </w:r>
      <w:proofErr w:type="spellEnd"/>
      <w:r w:rsidRPr="003935BF">
        <w:rPr>
          <w:rFonts w:ascii="Times New Roman" w:hAnsi="Times New Roman" w:cs="Times New Roman"/>
          <w:sz w:val="24"/>
          <w:szCs w:val="24"/>
        </w:rPr>
        <w:t xml:space="preserve"> (local) and </w:t>
      </w:r>
      <w:proofErr w:type="spellStart"/>
      <w:r w:rsidRPr="003935BF">
        <w:rPr>
          <w:rFonts w:ascii="Times New Roman" w:hAnsi="Times New Roman" w:cs="Times New Roman"/>
          <w:sz w:val="24"/>
          <w:szCs w:val="24"/>
        </w:rPr>
        <w:t>Banglamati</w:t>
      </w:r>
      <w:proofErr w:type="spellEnd"/>
      <w:r w:rsidRPr="003935BF">
        <w:rPr>
          <w:rFonts w:ascii="Times New Roman" w:hAnsi="Times New Roman" w:cs="Times New Roman"/>
          <w:sz w:val="24"/>
          <w:szCs w:val="24"/>
        </w:rPr>
        <w:t xml:space="preserve"> (released), and determined their lethal dose (LD₅₀) based on plant survival. One hundred grams of seeds from each variety were irradiated at 0, 100, 200, 250, 300, and 400 </w:t>
      </w:r>
      <w:proofErr w:type="spellStart"/>
      <w:r w:rsidRPr="003935BF">
        <w:rPr>
          <w:rFonts w:ascii="Times New Roman" w:hAnsi="Times New Roman" w:cs="Times New Roman"/>
          <w:sz w:val="24"/>
          <w:szCs w:val="24"/>
        </w:rPr>
        <w:t>Gy</w:t>
      </w:r>
      <w:proofErr w:type="spellEnd"/>
      <w:r w:rsidRPr="003935BF">
        <w:rPr>
          <w:rFonts w:ascii="Times New Roman" w:hAnsi="Times New Roman" w:cs="Times New Roman"/>
          <w:sz w:val="24"/>
          <w:szCs w:val="24"/>
        </w:rPr>
        <w:t xml:space="preserve"> at the laboratory of the Bangladesh Institute of Nuclear Agriculture (BINA). The experiment followed a split-plot design with three replications and was conducted at the BINA Sub-station, </w:t>
      </w:r>
      <w:proofErr w:type="spellStart"/>
      <w:r w:rsidRPr="003935BF">
        <w:rPr>
          <w:rFonts w:ascii="Times New Roman" w:hAnsi="Times New Roman" w:cs="Times New Roman"/>
          <w:sz w:val="24"/>
          <w:szCs w:val="24"/>
        </w:rPr>
        <w:t>Sunamganj</w:t>
      </w:r>
      <w:proofErr w:type="spellEnd"/>
      <w:r w:rsidRPr="003935BF">
        <w:rPr>
          <w:rFonts w:ascii="Times New Roman" w:hAnsi="Times New Roman" w:cs="Times New Roman"/>
          <w:sz w:val="24"/>
          <w:szCs w:val="24"/>
        </w:rPr>
        <w:t xml:space="preserve">, Bangladesh. </w:t>
      </w:r>
      <w:r w:rsidR="00DA2C10">
        <w:rPr>
          <w:rFonts w:ascii="Times New Roman" w:hAnsi="Times New Roman" w:cs="Times New Roman"/>
          <w:sz w:val="24"/>
          <w:szCs w:val="24"/>
        </w:rPr>
        <w:t>Before</w:t>
      </w:r>
      <w:r w:rsidRPr="003935BF">
        <w:rPr>
          <w:rFonts w:ascii="Times New Roman" w:hAnsi="Times New Roman" w:cs="Times New Roman"/>
          <w:sz w:val="24"/>
          <w:szCs w:val="24"/>
        </w:rPr>
        <w:t xml:space="preserve"> irradiation, germination tests were performed under laboratory conditions (27 ± 2°C). Increasing radiation doses caused marked reductions in germination percentage, seedling height, fresh and dry biomass, tiller number, and survival. At 400 </w:t>
      </w:r>
      <w:proofErr w:type="spellStart"/>
      <w:r w:rsidRPr="003935BF">
        <w:rPr>
          <w:rFonts w:ascii="Times New Roman" w:hAnsi="Times New Roman" w:cs="Times New Roman"/>
          <w:sz w:val="24"/>
          <w:szCs w:val="24"/>
        </w:rPr>
        <w:t>Gy</w:t>
      </w:r>
      <w:proofErr w:type="spellEnd"/>
      <w:r w:rsidRPr="003935BF">
        <w:rPr>
          <w:rFonts w:ascii="Times New Roman" w:hAnsi="Times New Roman" w:cs="Times New Roman"/>
          <w:sz w:val="24"/>
          <w:szCs w:val="24"/>
        </w:rPr>
        <w:t xml:space="preserve">, germination declined from 100% in the control to 87.0% in </w:t>
      </w:r>
      <w:proofErr w:type="spellStart"/>
      <w:r w:rsidRPr="003935BF">
        <w:rPr>
          <w:rFonts w:ascii="Times New Roman" w:hAnsi="Times New Roman" w:cs="Times New Roman"/>
          <w:sz w:val="24"/>
          <w:szCs w:val="24"/>
        </w:rPr>
        <w:t>Chinigura</w:t>
      </w:r>
      <w:proofErr w:type="spellEnd"/>
      <w:r w:rsidRPr="003935BF">
        <w:rPr>
          <w:rFonts w:ascii="Times New Roman" w:hAnsi="Times New Roman" w:cs="Times New Roman"/>
          <w:sz w:val="24"/>
          <w:szCs w:val="24"/>
        </w:rPr>
        <w:t xml:space="preserve"> and 81.3% in </w:t>
      </w:r>
      <w:proofErr w:type="spellStart"/>
      <w:r w:rsidRPr="003935BF">
        <w:rPr>
          <w:rFonts w:ascii="Times New Roman" w:hAnsi="Times New Roman" w:cs="Times New Roman"/>
          <w:sz w:val="24"/>
          <w:szCs w:val="24"/>
        </w:rPr>
        <w:t>Banglamati</w:t>
      </w:r>
      <w:proofErr w:type="spellEnd"/>
      <w:r w:rsidRPr="003935BF">
        <w:rPr>
          <w:rFonts w:ascii="Times New Roman" w:hAnsi="Times New Roman" w:cs="Times New Roman"/>
          <w:sz w:val="24"/>
          <w:szCs w:val="24"/>
        </w:rPr>
        <w:t>. By 21 DAS, seedling height decreased by 16.7% and 19.4%, fresh weight by 51.0% and 45.6%, and dry matter by 48% in both varieties. Tiller number was reduced by nearly 50% at the highest dose. Survival declined linearly with increasing doses, and regression analysis estimated LD₅₀ values of 205.74 </w:t>
      </w:r>
      <w:proofErr w:type="spellStart"/>
      <w:r w:rsidRPr="003935BF">
        <w:rPr>
          <w:rFonts w:ascii="Times New Roman" w:hAnsi="Times New Roman" w:cs="Times New Roman"/>
          <w:sz w:val="24"/>
          <w:szCs w:val="24"/>
        </w:rPr>
        <w:t>Gy</w:t>
      </w:r>
      <w:proofErr w:type="spellEnd"/>
      <w:r w:rsidRPr="003935BF">
        <w:rPr>
          <w:rFonts w:ascii="Times New Roman" w:hAnsi="Times New Roman" w:cs="Times New Roman"/>
          <w:sz w:val="24"/>
          <w:szCs w:val="24"/>
        </w:rPr>
        <w:t xml:space="preserve"> for </w:t>
      </w:r>
      <w:proofErr w:type="spellStart"/>
      <w:r w:rsidRPr="003935BF">
        <w:rPr>
          <w:rFonts w:ascii="Times New Roman" w:hAnsi="Times New Roman" w:cs="Times New Roman"/>
          <w:sz w:val="24"/>
          <w:szCs w:val="24"/>
        </w:rPr>
        <w:t>Chinigura</w:t>
      </w:r>
      <w:proofErr w:type="spellEnd"/>
      <w:r w:rsidRPr="003935BF">
        <w:rPr>
          <w:rFonts w:ascii="Times New Roman" w:hAnsi="Times New Roman" w:cs="Times New Roman"/>
          <w:sz w:val="24"/>
          <w:szCs w:val="24"/>
        </w:rPr>
        <w:t xml:space="preserve"> and 325.92 </w:t>
      </w:r>
      <w:proofErr w:type="spellStart"/>
      <w:r w:rsidRPr="003935BF">
        <w:rPr>
          <w:rFonts w:ascii="Times New Roman" w:hAnsi="Times New Roman" w:cs="Times New Roman"/>
          <w:sz w:val="24"/>
          <w:szCs w:val="24"/>
        </w:rPr>
        <w:t>Gy</w:t>
      </w:r>
      <w:proofErr w:type="spellEnd"/>
      <w:r w:rsidRPr="003935BF">
        <w:rPr>
          <w:rFonts w:ascii="Times New Roman" w:hAnsi="Times New Roman" w:cs="Times New Roman"/>
          <w:sz w:val="24"/>
          <w:szCs w:val="24"/>
        </w:rPr>
        <w:t xml:space="preserve"> for </w:t>
      </w:r>
      <w:proofErr w:type="spellStart"/>
      <w:r w:rsidRPr="003935BF">
        <w:rPr>
          <w:rFonts w:ascii="Times New Roman" w:hAnsi="Times New Roman" w:cs="Times New Roman"/>
          <w:sz w:val="24"/>
          <w:szCs w:val="24"/>
        </w:rPr>
        <w:t>Banglamati</w:t>
      </w:r>
      <w:proofErr w:type="spellEnd"/>
      <w:r w:rsidRPr="003935BF">
        <w:rPr>
          <w:rFonts w:ascii="Times New Roman" w:hAnsi="Times New Roman" w:cs="Times New Roman"/>
          <w:sz w:val="24"/>
          <w:szCs w:val="24"/>
        </w:rPr>
        <w:t xml:space="preserve">, indicating greater </w:t>
      </w:r>
      <w:proofErr w:type="spellStart"/>
      <w:r w:rsidRPr="003935BF">
        <w:rPr>
          <w:rFonts w:ascii="Times New Roman" w:hAnsi="Times New Roman" w:cs="Times New Roman"/>
          <w:sz w:val="24"/>
          <w:szCs w:val="24"/>
        </w:rPr>
        <w:t>radiosensitivity</w:t>
      </w:r>
      <w:proofErr w:type="spellEnd"/>
      <w:r w:rsidRPr="003935BF">
        <w:rPr>
          <w:rFonts w:ascii="Times New Roman" w:hAnsi="Times New Roman" w:cs="Times New Roman"/>
          <w:sz w:val="24"/>
          <w:szCs w:val="24"/>
        </w:rPr>
        <w:t xml:space="preserve"> in </w:t>
      </w:r>
      <w:proofErr w:type="spellStart"/>
      <w:r w:rsidRPr="003935BF">
        <w:rPr>
          <w:rFonts w:ascii="Times New Roman" w:hAnsi="Times New Roman" w:cs="Times New Roman"/>
          <w:sz w:val="24"/>
          <w:szCs w:val="24"/>
        </w:rPr>
        <w:t>Chinigura</w:t>
      </w:r>
      <w:proofErr w:type="spellEnd"/>
      <w:r w:rsidRPr="003935BF">
        <w:rPr>
          <w:rFonts w:ascii="Times New Roman" w:hAnsi="Times New Roman" w:cs="Times New Roman"/>
          <w:sz w:val="24"/>
          <w:szCs w:val="24"/>
        </w:rPr>
        <w:t xml:space="preserve"> and higher tolerance in </w:t>
      </w:r>
      <w:proofErr w:type="spellStart"/>
      <w:r w:rsidRPr="003935BF">
        <w:rPr>
          <w:rFonts w:ascii="Times New Roman" w:hAnsi="Times New Roman" w:cs="Times New Roman"/>
          <w:sz w:val="24"/>
          <w:szCs w:val="24"/>
        </w:rPr>
        <w:t>Banglamati</w:t>
      </w:r>
      <w:proofErr w:type="spellEnd"/>
      <w:r w:rsidRPr="003935BF">
        <w:rPr>
          <w:rFonts w:ascii="Times New Roman" w:hAnsi="Times New Roman" w:cs="Times New Roman"/>
          <w:sz w:val="24"/>
          <w:szCs w:val="24"/>
        </w:rPr>
        <w:t>. These LD₅₀ values provide a key reference for mutation breeding and varietal improvement in aromatic rice.</w:t>
      </w:r>
    </w:p>
    <w:p w14:paraId="62BCF71D" w14:textId="77777777" w:rsidR="003935BF" w:rsidRDefault="003935BF" w:rsidP="00506F76">
      <w:pPr>
        <w:pStyle w:val="NoSpacing"/>
        <w:spacing w:line="360" w:lineRule="auto"/>
        <w:jc w:val="both"/>
        <w:rPr>
          <w:rFonts w:ascii="Times New Roman" w:hAnsi="Times New Roman" w:cs="Times New Roman"/>
          <w:sz w:val="24"/>
          <w:szCs w:val="24"/>
        </w:rPr>
      </w:pPr>
    </w:p>
    <w:p w14:paraId="09330317" w14:textId="17D85EE3" w:rsidR="0070569F" w:rsidRPr="00F13BE9" w:rsidRDefault="0070569F" w:rsidP="00506F76">
      <w:pPr>
        <w:pStyle w:val="NoSpacing"/>
        <w:spacing w:line="360" w:lineRule="auto"/>
        <w:jc w:val="both"/>
        <w:rPr>
          <w:rFonts w:ascii="Times New Roman" w:hAnsi="Times New Roman" w:cs="Times New Roman"/>
          <w:sz w:val="24"/>
          <w:szCs w:val="24"/>
        </w:rPr>
      </w:pPr>
      <w:r w:rsidRPr="00D80375">
        <w:rPr>
          <w:rFonts w:ascii="Times New Roman" w:hAnsi="Times New Roman" w:cs="Times New Roman"/>
          <w:b/>
          <w:bCs/>
          <w:sz w:val="24"/>
          <w:szCs w:val="24"/>
        </w:rPr>
        <w:t xml:space="preserve">Keywords: </w:t>
      </w:r>
      <w:r w:rsidRPr="00F13BE9">
        <w:rPr>
          <w:rFonts w:ascii="Times New Roman" w:hAnsi="Times New Roman" w:cs="Times New Roman"/>
          <w:sz w:val="24"/>
          <w:szCs w:val="24"/>
        </w:rPr>
        <w:t>Mutation, Gamma Rays, Aromatic rice, M1 generation, lethal dose</w:t>
      </w:r>
      <w:r w:rsidR="00F13BE9">
        <w:rPr>
          <w:rFonts w:ascii="Times New Roman" w:hAnsi="Times New Roman" w:cs="Times New Roman"/>
          <w:sz w:val="24"/>
          <w:szCs w:val="24"/>
        </w:rPr>
        <w:t xml:space="preserve"> </w:t>
      </w:r>
      <w:r w:rsidRPr="00F13BE9">
        <w:rPr>
          <w:rFonts w:ascii="Times New Roman" w:hAnsi="Times New Roman" w:cs="Times New Roman"/>
          <w:sz w:val="24"/>
          <w:szCs w:val="24"/>
        </w:rPr>
        <w:t xml:space="preserve">(LD₅₀) </w:t>
      </w:r>
    </w:p>
    <w:p w14:paraId="17A7070C" w14:textId="77777777" w:rsidR="0070569F" w:rsidRPr="00D80375" w:rsidRDefault="0070569F" w:rsidP="00506F76">
      <w:pPr>
        <w:pStyle w:val="NoSpacing"/>
        <w:spacing w:line="360" w:lineRule="auto"/>
        <w:jc w:val="both"/>
        <w:rPr>
          <w:rFonts w:ascii="Times New Roman" w:hAnsi="Times New Roman" w:cs="Times New Roman"/>
          <w:b/>
          <w:bCs/>
          <w:sz w:val="24"/>
          <w:szCs w:val="24"/>
        </w:rPr>
      </w:pPr>
    </w:p>
    <w:p w14:paraId="763EB3DA" w14:textId="314B197B" w:rsidR="0070569F" w:rsidRPr="00A66850" w:rsidRDefault="00A66850" w:rsidP="00A66850">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662C1E">
        <w:rPr>
          <w:rFonts w:ascii="Times New Roman" w:hAnsi="Times New Roman" w:cs="Times New Roman"/>
          <w:b/>
          <w:sz w:val="24"/>
          <w:szCs w:val="24"/>
        </w:rPr>
        <w:t xml:space="preserve"> </w:t>
      </w:r>
      <w:r w:rsidR="00AB3022" w:rsidRPr="00A66850">
        <w:rPr>
          <w:rFonts w:ascii="Times New Roman" w:hAnsi="Times New Roman" w:cs="Times New Roman"/>
          <w:b/>
          <w:sz w:val="24"/>
          <w:szCs w:val="24"/>
        </w:rPr>
        <w:t>Introduction</w:t>
      </w:r>
      <w:r w:rsidR="00310B93" w:rsidRPr="00A66850">
        <w:rPr>
          <w:rFonts w:ascii="Times New Roman" w:hAnsi="Times New Roman" w:cs="Times New Roman"/>
          <w:b/>
          <w:sz w:val="24"/>
          <w:szCs w:val="24"/>
        </w:rPr>
        <w:t xml:space="preserve"> </w:t>
      </w:r>
    </w:p>
    <w:p w14:paraId="56F11CBD" w14:textId="77777777" w:rsidR="00BF325D" w:rsidRPr="00BF325D" w:rsidRDefault="00BF325D" w:rsidP="00BF325D">
      <w:pPr>
        <w:spacing w:line="360" w:lineRule="auto"/>
        <w:jc w:val="both"/>
        <w:rPr>
          <w:rFonts w:ascii="Times New Roman" w:hAnsi="Times New Roman" w:cs="Times New Roman"/>
          <w:bCs/>
          <w:sz w:val="24"/>
          <w:szCs w:val="24"/>
        </w:rPr>
      </w:pPr>
      <w:r w:rsidRPr="00BF325D">
        <w:rPr>
          <w:rFonts w:ascii="Times New Roman" w:hAnsi="Times New Roman" w:cs="Times New Roman"/>
          <w:bCs/>
          <w:sz w:val="24"/>
          <w:szCs w:val="24"/>
        </w:rPr>
        <w:t>Rice (</w:t>
      </w:r>
      <w:r w:rsidRPr="00BF325D">
        <w:rPr>
          <w:rFonts w:ascii="Times New Roman" w:hAnsi="Times New Roman" w:cs="Times New Roman"/>
          <w:bCs/>
          <w:i/>
          <w:iCs/>
          <w:sz w:val="24"/>
          <w:szCs w:val="24"/>
        </w:rPr>
        <w:t>Oryza sativa</w:t>
      </w:r>
      <w:r w:rsidRPr="00BF325D">
        <w:rPr>
          <w:rFonts w:ascii="Times New Roman" w:hAnsi="Times New Roman" w:cs="Times New Roman"/>
          <w:bCs/>
          <w:sz w:val="24"/>
          <w:szCs w:val="24"/>
        </w:rPr>
        <w:t xml:space="preserve"> L.) is a staple cereal crop that sustains nearly half of the world’s population (</w:t>
      </w:r>
      <w:proofErr w:type="spellStart"/>
      <w:r w:rsidRPr="00BF325D">
        <w:rPr>
          <w:rFonts w:ascii="Times New Roman" w:hAnsi="Times New Roman" w:cs="Times New Roman"/>
          <w:bCs/>
          <w:sz w:val="24"/>
          <w:szCs w:val="24"/>
        </w:rPr>
        <w:t>Golestan</w:t>
      </w:r>
      <w:proofErr w:type="spellEnd"/>
      <w:r w:rsidRPr="00BF325D">
        <w:rPr>
          <w:rFonts w:ascii="Times New Roman" w:hAnsi="Times New Roman" w:cs="Times New Roman"/>
          <w:bCs/>
          <w:sz w:val="24"/>
          <w:szCs w:val="24"/>
        </w:rPr>
        <w:t xml:space="preserve"> Hashemi et al., 2013; </w:t>
      </w:r>
      <w:proofErr w:type="spellStart"/>
      <w:r w:rsidRPr="00BF325D">
        <w:rPr>
          <w:rFonts w:ascii="Times New Roman" w:hAnsi="Times New Roman" w:cs="Times New Roman"/>
          <w:bCs/>
          <w:sz w:val="24"/>
          <w:szCs w:val="24"/>
        </w:rPr>
        <w:t>Fukagawa</w:t>
      </w:r>
      <w:proofErr w:type="spellEnd"/>
      <w:r w:rsidRPr="00BF325D">
        <w:rPr>
          <w:rFonts w:ascii="Times New Roman" w:hAnsi="Times New Roman" w:cs="Times New Roman"/>
          <w:bCs/>
          <w:sz w:val="24"/>
          <w:szCs w:val="24"/>
        </w:rPr>
        <w:t xml:space="preserve"> et al., 2019). Global production has steadily increased, currently reaching around 795–820 million metric tons annually (FAO, 2024). Bangladesh ranks third globally in both rice cultivation area and production (BRRI, 2025), with approximately 75% of its cropped area devoted to rice. In 2023–24, the country produced 40.69 million metric tons from 11.66 million hectares (BBS, 2025). Although aromatic rice is highly prized for its superior </w:t>
      </w:r>
      <w:r w:rsidRPr="00BF325D">
        <w:rPr>
          <w:rFonts w:ascii="Times New Roman" w:hAnsi="Times New Roman" w:cs="Times New Roman"/>
          <w:bCs/>
          <w:sz w:val="24"/>
          <w:szCs w:val="24"/>
        </w:rPr>
        <w:lastRenderedPageBreak/>
        <w:t>quality and commands a higher market price (</w:t>
      </w:r>
      <w:proofErr w:type="spellStart"/>
      <w:r w:rsidRPr="00BF325D">
        <w:rPr>
          <w:rFonts w:ascii="Times New Roman" w:hAnsi="Times New Roman" w:cs="Times New Roman"/>
          <w:bCs/>
          <w:sz w:val="24"/>
          <w:szCs w:val="24"/>
        </w:rPr>
        <w:t>Hasibuzzaman</w:t>
      </w:r>
      <w:proofErr w:type="spellEnd"/>
      <w:r w:rsidRPr="00BF325D">
        <w:rPr>
          <w:rFonts w:ascii="Times New Roman" w:hAnsi="Times New Roman" w:cs="Times New Roman"/>
          <w:bCs/>
          <w:sz w:val="24"/>
          <w:szCs w:val="24"/>
        </w:rPr>
        <w:t xml:space="preserve"> et al., 2025), it occupies only a small fraction of Bangladesh’s rice area, with production reaching just 1.023 million </w:t>
      </w:r>
      <w:proofErr w:type="spellStart"/>
      <w:r w:rsidRPr="00BF325D">
        <w:rPr>
          <w:rFonts w:ascii="Times New Roman" w:hAnsi="Times New Roman" w:cs="Times New Roman"/>
          <w:bCs/>
          <w:sz w:val="24"/>
          <w:szCs w:val="24"/>
        </w:rPr>
        <w:t>tonnes</w:t>
      </w:r>
      <w:proofErr w:type="spellEnd"/>
      <w:r w:rsidRPr="00BF325D">
        <w:rPr>
          <w:rFonts w:ascii="Times New Roman" w:hAnsi="Times New Roman" w:cs="Times New Roman"/>
          <w:bCs/>
          <w:sz w:val="24"/>
          <w:szCs w:val="24"/>
        </w:rPr>
        <w:t xml:space="preserve"> in 2023–24 (The Daily Star, 2024). Its limited cultivation is attributed to low yield, lodging susceptibility, and longer growth duration compared to non-aromatic released varieties (Imam &amp; Chakraborty, 2018). To enhance yield and shorten cultivation periods, mutation breeding has emerged as an effective approach (</w:t>
      </w:r>
      <w:proofErr w:type="spellStart"/>
      <w:r w:rsidRPr="00BF325D">
        <w:rPr>
          <w:rFonts w:ascii="Times New Roman" w:hAnsi="Times New Roman" w:cs="Times New Roman"/>
          <w:bCs/>
          <w:sz w:val="24"/>
          <w:szCs w:val="24"/>
        </w:rPr>
        <w:t>Solim</w:t>
      </w:r>
      <w:proofErr w:type="spellEnd"/>
      <w:r w:rsidRPr="00BF325D">
        <w:rPr>
          <w:rFonts w:ascii="Times New Roman" w:hAnsi="Times New Roman" w:cs="Times New Roman"/>
          <w:bCs/>
          <w:sz w:val="24"/>
          <w:szCs w:val="24"/>
        </w:rPr>
        <w:t xml:space="preserve"> &amp; </w:t>
      </w:r>
      <w:proofErr w:type="spellStart"/>
      <w:r w:rsidRPr="00BF325D">
        <w:rPr>
          <w:rFonts w:ascii="Times New Roman" w:hAnsi="Times New Roman" w:cs="Times New Roman"/>
          <w:bCs/>
          <w:sz w:val="24"/>
          <w:szCs w:val="24"/>
        </w:rPr>
        <w:t>Rahayu</w:t>
      </w:r>
      <w:proofErr w:type="spellEnd"/>
      <w:r w:rsidRPr="00BF325D">
        <w:rPr>
          <w:rFonts w:ascii="Times New Roman" w:hAnsi="Times New Roman" w:cs="Times New Roman"/>
          <w:bCs/>
          <w:sz w:val="24"/>
          <w:szCs w:val="24"/>
        </w:rPr>
        <w:t>, 2021).</w:t>
      </w:r>
    </w:p>
    <w:p w14:paraId="7AE855E0" w14:textId="77777777" w:rsidR="00BF325D" w:rsidRPr="00BF325D" w:rsidRDefault="00BF325D" w:rsidP="00BF325D">
      <w:pPr>
        <w:spacing w:line="360" w:lineRule="auto"/>
        <w:jc w:val="both"/>
        <w:rPr>
          <w:rFonts w:ascii="Times New Roman" w:hAnsi="Times New Roman" w:cs="Times New Roman"/>
          <w:bCs/>
          <w:sz w:val="24"/>
          <w:szCs w:val="24"/>
        </w:rPr>
      </w:pPr>
      <w:r w:rsidRPr="00BF325D">
        <w:rPr>
          <w:rFonts w:ascii="Times New Roman" w:hAnsi="Times New Roman" w:cs="Times New Roman"/>
          <w:bCs/>
          <w:sz w:val="24"/>
          <w:szCs w:val="24"/>
        </w:rPr>
        <w:t xml:space="preserve">Mutation is a sudden, heritable change in genetic material at the gene or chromosome level (Chahal &amp; </w:t>
      </w:r>
      <w:proofErr w:type="spellStart"/>
      <w:r w:rsidRPr="00BF325D">
        <w:rPr>
          <w:rFonts w:ascii="Times New Roman" w:hAnsi="Times New Roman" w:cs="Times New Roman"/>
          <w:bCs/>
          <w:sz w:val="24"/>
          <w:szCs w:val="24"/>
        </w:rPr>
        <w:t>Gosal</w:t>
      </w:r>
      <w:proofErr w:type="spellEnd"/>
      <w:r w:rsidRPr="00BF325D">
        <w:rPr>
          <w:rFonts w:ascii="Times New Roman" w:hAnsi="Times New Roman" w:cs="Times New Roman"/>
          <w:bCs/>
          <w:sz w:val="24"/>
          <w:szCs w:val="24"/>
        </w:rPr>
        <w:t>, 2002). It generates genetic diversity, enabling breeders to select desirable traits (Mohamad et al., 2005) and improve seedling height, survival, and tiller production (Mohamad et al., 2002a). Mutation breeding can also shorten crop duration by 30–35 days (Azad et al., 2012). Mutations can be induced using physical mutagens such as alpha, beta, gamma, and X-rays, or chemical mutagens like EMS, MMS, 5-bromouracil, and 5-chlorouracil. Among these, gamma rays are one of the most widely used mutagens (</w:t>
      </w:r>
      <w:proofErr w:type="spellStart"/>
      <w:r w:rsidRPr="00BF325D">
        <w:rPr>
          <w:rFonts w:ascii="Times New Roman" w:hAnsi="Times New Roman" w:cs="Times New Roman"/>
          <w:bCs/>
          <w:sz w:val="24"/>
          <w:szCs w:val="24"/>
        </w:rPr>
        <w:t>Bordoloi</w:t>
      </w:r>
      <w:proofErr w:type="spellEnd"/>
      <w:r w:rsidRPr="00BF325D">
        <w:rPr>
          <w:rFonts w:ascii="Times New Roman" w:hAnsi="Times New Roman" w:cs="Times New Roman"/>
          <w:bCs/>
          <w:sz w:val="24"/>
          <w:szCs w:val="24"/>
        </w:rPr>
        <w:t xml:space="preserve"> et al., 2023).</w:t>
      </w:r>
    </w:p>
    <w:p w14:paraId="53780F46" w14:textId="00D13B80" w:rsidR="00BF325D" w:rsidRPr="00BF325D" w:rsidRDefault="00BF325D" w:rsidP="00BF325D">
      <w:pPr>
        <w:spacing w:line="360" w:lineRule="auto"/>
        <w:jc w:val="both"/>
        <w:rPr>
          <w:rFonts w:ascii="Times New Roman" w:hAnsi="Times New Roman" w:cs="Times New Roman"/>
          <w:bCs/>
          <w:sz w:val="24"/>
          <w:szCs w:val="24"/>
        </w:rPr>
      </w:pPr>
      <w:r w:rsidRPr="00BF325D">
        <w:rPr>
          <w:rFonts w:ascii="Times New Roman" w:hAnsi="Times New Roman" w:cs="Times New Roman"/>
          <w:bCs/>
          <w:sz w:val="24"/>
          <w:szCs w:val="24"/>
        </w:rPr>
        <w:t>Gamma rays are electromagnetic radiation capable of interacting with cellular molecules and modifying or damaging cell structures (</w:t>
      </w:r>
      <w:proofErr w:type="spellStart"/>
      <w:r w:rsidRPr="00BF325D">
        <w:rPr>
          <w:rFonts w:ascii="Times New Roman" w:hAnsi="Times New Roman" w:cs="Times New Roman"/>
          <w:bCs/>
          <w:sz w:val="24"/>
          <w:szCs w:val="24"/>
        </w:rPr>
        <w:t>Minisi</w:t>
      </w:r>
      <w:proofErr w:type="spellEnd"/>
      <w:r w:rsidRPr="00BF325D">
        <w:rPr>
          <w:rFonts w:ascii="Times New Roman" w:hAnsi="Times New Roman" w:cs="Times New Roman"/>
          <w:bCs/>
          <w:sz w:val="24"/>
          <w:szCs w:val="24"/>
        </w:rPr>
        <w:t xml:space="preserve"> et al., 2013). They induce cytological, genetic, biochemical, and physiological changes in plant cells, thereby affecting development and improvement (Ashraf et al., 2003; </w:t>
      </w:r>
      <w:proofErr w:type="spellStart"/>
      <w:r w:rsidRPr="00BF325D">
        <w:rPr>
          <w:rFonts w:ascii="Times New Roman" w:hAnsi="Times New Roman" w:cs="Times New Roman"/>
          <w:bCs/>
          <w:sz w:val="24"/>
          <w:szCs w:val="24"/>
        </w:rPr>
        <w:t>Akshatha</w:t>
      </w:r>
      <w:proofErr w:type="spellEnd"/>
      <w:r w:rsidRPr="00BF325D">
        <w:rPr>
          <w:rFonts w:ascii="Times New Roman" w:hAnsi="Times New Roman" w:cs="Times New Roman"/>
          <w:bCs/>
          <w:sz w:val="24"/>
          <w:szCs w:val="24"/>
        </w:rPr>
        <w:t xml:space="preserve"> et al., 2013). Determining the lethal dose (LD₅₀) is essential for applying gamma rays in crop improvement, as it helps identify doses that maximize genetic variation (Harding et al., 2012). Several studies have investigated effective gamma doses for inducing desirable traits in rice (Ray et al., 2022; </w:t>
      </w:r>
      <w:proofErr w:type="spellStart"/>
      <w:r w:rsidRPr="00BF325D">
        <w:rPr>
          <w:rFonts w:ascii="Times New Roman" w:hAnsi="Times New Roman" w:cs="Times New Roman"/>
          <w:bCs/>
          <w:sz w:val="24"/>
          <w:szCs w:val="24"/>
        </w:rPr>
        <w:t>Solim</w:t>
      </w:r>
      <w:proofErr w:type="spellEnd"/>
      <w:r w:rsidRPr="00BF325D">
        <w:rPr>
          <w:rFonts w:ascii="Times New Roman" w:hAnsi="Times New Roman" w:cs="Times New Roman"/>
          <w:bCs/>
          <w:sz w:val="24"/>
          <w:szCs w:val="24"/>
        </w:rPr>
        <w:t xml:space="preserve"> &amp; </w:t>
      </w:r>
      <w:proofErr w:type="spellStart"/>
      <w:r w:rsidRPr="00BF325D">
        <w:rPr>
          <w:rFonts w:ascii="Times New Roman" w:hAnsi="Times New Roman" w:cs="Times New Roman"/>
          <w:bCs/>
          <w:sz w:val="24"/>
          <w:szCs w:val="24"/>
        </w:rPr>
        <w:t>Rahayu</w:t>
      </w:r>
      <w:proofErr w:type="spellEnd"/>
      <w:r w:rsidRPr="00BF325D">
        <w:rPr>
          <w:rFonts w:ascii="Times New Roman" w:hAnsi="Times New Roman" w:cs="Times New Roman"/>
          <w:bCs/>
          <w:sz w:val="24"/>
          <w:szCs w:val="24"/>
        </w:rPr>
        <w:t xml:space="preserve">, 2021; Sharma et al., 2020; </w:t>
      </w:r>
      <w:proofErr w:type="spellStart"/>
      <w:r w:rsidRPr="00BF325D">
        <w:rPr>
          <w:rFonts w:ascii="Times New Roman" w:hAnsi="Times New Roman" w:cs="Times New Roman"/>
          <w:bCs/>
          <w:sz w:val="24"/>
          <w:szCs w:val="24"/>
        </w:rPr>
        <w:t>Gowthami</w:t>
      </w:r>
      <w:proofErr w:type="spellEnd"/>
      <w:r w:rsidRPr="00BF325D">
        <w:rPr>
          <w:rFonts w:ascii="Times New Roman" w:hAnsi="Times New Roman" w:cs="Times New Roman"/>
          <w:bCs/>
          <w:sz w:val="24"/>
          <w:szCs w:val="24"/>
        </w:rPr>
        <w:t xml:space="preserve"> et al., 2016).</w:t>
      </w:r>
      <w:r w:rsidR="002540EB">
        <w:rPr>
          <w:rFonts w:ascii="Times New Roman" w:hAnsi="Times New Roman" w:cs="Times New Roman"/>
          <w:bCs/>
          <w:sz w:val="24"/>
          <w:szCs w:val="24"/>
        </w:rPr>
        <w:t xml:space="preserve"> </w:t>
      </w:r>
      <w:r w:rsidRPr="00BF325D">
        <w:rPr>
          <w:rFonts w:ascii="Times New Roman" w:hAnsi="Times New Roman" w:cs="Times New Roman"/>
          <w:bCs/>
          <w:sz w:val="24"/>
          <w:szCs w:val="24"/>
        </w:rPr>
        <w:t>Therefore, the present study aimed to evaluate the effects of gamma irradiation on two aromatic rice varieties—one local and one released—and to determine the effective gamma doses for generating genetic variation to support varietal improvement programs.</w:t>
      </w:r>
    </w:p>
    <w:p w14:paraId="25B6CD22" w14:textId="6C8123E6" w:rsidR="0079120F" w:rsidRPr="00D80375" w:rsidRDefault="00A66850" w:rsidP="00506F76">
      <w:pPr>
        <w:pStyle w:val="Default"/>
        <w:spacing w:before="240" w:after="240" w:line="360" w:lineRule="auto"/>
        <w:jc w:val="both"/>
      </w:pPr>
      <w:r>
        <w:rPr>
          <w:b/>
          <w:bCs/>
        </w:rPr>
        <w:t>2.</w:t>
      </w:r>
      <w:r w:rsidR="00662C1E">
        <w:rPr>
          <w:b/>
          <w:bCs/>
        </w:rPr>
        <w:t xml:space="preserve"> </w:t>
      </w:r>
      <w:r w:rsidR="00654E85" w:rsidRPr="00D80375">
        <w:rPr>
          <w:b/>
          <w:bCs/>
        </w:rPr>
        <w:t>Materials and Methods</w:t>
      </w:r>
    </w:p>
    <w:p w14:paraId="373F9C18" w14:textId="77777777" w:rsidR="00BF325D" w:rsidRPr="00BF325D" w:rsidRDefault="00BF325D" w:rsidP="00BF325D">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 xml:space="preserve">The experiment was conducted at the Bangladesh Institute of Nuclear Agriculture (BINA), Sub-station, </w:t>
      </w:r>
      <w:proofErr w:type="spellStart"/>
      <w:r w:rsidRPr="00BF325D">
        <w:rPr>
          <w:rFonts w:ascii="Times New Roman" w:hAnsi="Times New Roman" w:cs="Times New Roman"/>
          <w:color w:val="000000"/>
          <w:sz w:val="24"/>
          <w:szCs w:val="24"/>
        </w:rPr>
        <w:t>Sunamganj</w:t>
      </w:r>
      <w:proofErr w:type="spellEnd"/>
      <w:r w:rsidRPr="00BF325D">
        <w:rPr>
          <w:rFonts w:ascii="Times New Roman" w:hAnsi="Times New Roman" w:cs="Times New Roman"/>
          <w:color w:val="000000"/>
          <w:sz w:val="24"/>
          <w:szCs w:val="24"/>
        </w:rPr>
        <w:t xml:space="preserve">, Bangladesh, from July to October 2020. Two aromatic rice cultivars, </w:t>
      </w:r>
      <w:proofErr w:type="spellStart"/>
      <w:r w:rsidRPr="00BF325D">
        <w:rPr>
          <w:rFonts w:ascii="Times New Roman" w:hAnsi="Times New Roman" w:cs="Times New Roman"/>
          <w:color w:val="000000"/>
          <w:sz w:val="24"/>
          <w:szCs w:val="24"/>
        </w:rPr>
        <w:t>Chinigura</w:t>
      </w:r>
      <w:proofErr w:type="spellEnd"/>
      <w:r w:rsidRPr="00BF325D">
        <w:rPr>
          <w:rFonts w:ascii="Times New Roman" w:hAnsi="Times New Roman" w:cs="Times New Roman"/>
          <w:color w:val="000000"/>
          <w:sz w:val="24"/>
          <w:szCs w:val="24"/>
        </w:rPr>
        <w:t xml:space="preserve"> (local) and </w:t>
      </w:r>
      <w:proofErr w:type="spellStart"/>
      <w:r w:rsidRPr="00BF325D">
        <w:rPr>
          <w:rFonts w:ascii="Times New Roman" w:hAnsi="Times New Roman" w:cs="Times New Roman"/>
          <w:color w:val="000000"/>
          <w:sz w:val="24"/>
          <w:szCs w:val="24"/>
        </w:rPr>
        <w:t>Banglamati</w:t>
      </w:r>
      <w:proofErr w:type="spellEnd"/>
      <w:r w:rsidRPr="00BF325D">
        <w:rPr>
          <w:rFonts w:ascii="Times New Roman" w:hAnsi="Times New Roman" w:cs="Times New Roman"/>
          <w:color w:val="000000"/>
          <w:sz w:val="24"/>
          <w:szCs w:val="24"/>
        </w:rPr>
        <w:t xml:space="preserve"> (released), were used in the study. </w:t>
      </w:r>
      <w:proofErr w:type="spellStart"/>
      <w:r w:rsidRPr="00BF325D">
        <w:rPr>
          <w:rFonts w:ascii="Times New Roman" w:hAnsi="Times New Roman" w:cs="Times New Roman"/>
          <w:color w:val="000000"/>
          <w:sz w:val="24"/>
          <w:szCs w:val="24"/>
        </w:rPr>
        <w:t>Chinigura</w:t>
      </w:r>
      <w:proofErr w:type="spellEnd"/>
      <w:r w:rsidRPr="00BF325D">
        <w:rPr>
          <w:rFonts w:ascii="Times New Roman" w:hAnsi="Times New Roman" w:cs="Times New Roman"/>
          <w:color w:val="000000"/>
          <w:sz w:val="24"/>
          <w:szCs w:val="24"/>
        </w:rPr>
        <w:t xml:space="preserve"> is a photosensitive, tall, long-duration, and low-yielding variety, whereas </w:t>
      </w:r>
      <w:proofErr w:type="spellStart"/>
      <w:r w:rsidRPr="00BF325D">
        <w:rPr>
          <w:rFonts w:ascii="Times New Roman" w:hAnsi="Times New Roman" w:cs="Times New Roman"/>
          <w:color w:val="000000"/>
          <w:sz w:val="24"/>
          <w:szCs w:val="24"/>
        </w:rPr>
        <w:t>Banglamati</w:t>
      </w:r>
      <w:proofErr w:type="spellEnd"/>
      <w:r w:rsidRPr="00BF325D">
        <w:rPr>
          <w:rFonts w:ascii="Times New Roman" w:hAnsi="Times New Roman" w:cs="Times New Roman"/>
          <w:color w:val="000000"/>
          <w:sz w:val="24"/>
          <w:szCs w:val="24"/>
        </w:rPr>
        <w:t xml:space="preserve"> is a photo-insensitive, dwarf, long-duration, and medium-yielding variety.</w:t>
      </w:r>
    </w:p>
    <w:p w14:paraId="1E542681" w14:textId="77777777" w:rsidR="00BF325D" w:rsidRPr="00BF325D" w:rsidRDefault="00BF325D" w:rsidP="00BF325D">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lastRenderedPageBreak/>
        <w:t>Prior to irradiation, a germination test was performed to determine the germination percentage and seed viability. Thirty seeds from each genotype were placed in Petri dishes lined with water-soaked filter paper and kept at normal room temperature and in a growth chamber.</w:t>
      </w:r>
    </w:p>
    <w:p w14:paraId="1D55D7EA" w14:textId="77777777" w:rsidR="00BF325D" w:rsidRPr="00BF325D" w:rsidRDefault="00BF325D" w:rsidP="00BF325D">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One hundred pure, healthy, dry seeds from each cultivar were irradiated with gamma rays at doses of 0, 100, 200, 250, 300, and 400 </w:t>
      </w:r>
      <w:proofErr w:type="spellStart"/>
      <w:r w:rsidRPr="00BF325D">
        <w:rPr>
          <w:rFonts w:ascii="Times New Roman" w:hAnsi="Times New Roman" w:cs="Times New Roman"/>
          <w:color w:val="000000"/>
          <w:sz w:val="24"/>
          <w:szCs w:val="24"/>
        </w:rPr>
        <w:t>Gy</w:t>
      </w:r>
      <w:proofErr w:type="spellEnd"/>
      <w:r w:rsidRPr="00BF325D">
        <w:rPr>
          <w:rFonts w:ascii="Times New Roman" w:hAnsi="Times New Roman" w:cs="Times New Roman"/>
          <w:color w:val="000000"/>
          <w:sz w:val="24"/>
          <w:szCs w:val="24"/>
        </w:rPr>
        <w:t>. After irradiation, the seeds were soaked and placed on moist blotting paper in Petri dishes to assess germination under laboratory conditions (27 ± 2°C). The filter paper was kept moist with distilled water as needed. Germination percentage was recorded after seven days.</w:t>
      </w:r>
    </w:p>
    <w:p w14:paraId="0148F691" w14:textId="77777777" w:rsidR="00BF325D" w:rsidRPr="00BF325D" w:rsidRDefault="00BF325D" w:rsidP="00BF325D">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The germinated seeds were then transferred to trays containing soil. Plant height was measured at 14 and 21 days after sowing (DAS), and plant survival percentage was recorded at 21 DAS. At 21 DAS, five plants from each radiation dose were carefully uprooted, washed to remove soil, and their fresh weight recorded. The samples were then oven-dried at 90°C for more than 48 hours and weighed again to determine dry weight.</w:t>
      </w:r>
    </w:p>
    <w:p w14:paraId="06F41A79" w14:textId="57476D23" w:rsidR="004B1353" w:rsidRPr="00BF325D" w:rsidRDefault="00BF325D" w:rsidP="00506F76">
      <w:pPr>
        <w:autoSpaceDE w:val="0"/>
        <w:autoSpaceDN w:val="0"/>
        <w:adjustRightInd w:val="0"/>
        <w:spacing w:after="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Seedlings that survived after 21 days were transplanted to the field following a randomized complete block design (RCBD) with three replications for each radiation dose. Transplanting was done in rows at a spacing of 15 × 20 cm, with one seedling per hill. At flowering, the total number of tillers per hill was counted for each replication at each dose.</w:t>
      </w:r>
      <w:r w:rsidR="005C0FD3">
        <w:rPr>
          <w:rFonts w:ascii="Times New Roman" w:hAnsi="Times New Roman" w:cs="Times New Roman"/>
          <w:color w:val="000000"/>
          <w:sz w:val="24"/>
          <w:szCs w:val="24"/>
        </w:rPr>
        <w:t xml:space="preserve"> </w:t>
      </w:r>
      <w:r w:rsidR="004B1353" w:rsidRPr="00BF325D">
        <w:rPr>
          <w:rFonts w:ascii="Times New Roman" w:hAnsi="Times New Roman" w:cs="Times New Roman"/>
          <w:spacing w:val="-2"/>
          <w:sz w:val="24"/>
          <w:szCs w:val="24"/>
        </w:rPr>
        <w:t xml:space="preserve">Data were analyzed using Microsoft Office Excel 2007. Plant survival percentage was calculated using the </w:t>
      </w:r>
      <w:r w:rsidR="00DA023D" w:rsidRPr="00BF325D">
        <w:rPr>
          <w:rFonts w:ascii="Times New Roman" w:hAnsi="Times New Roman" w:cs="Times New Roman"/>
          <w:spacing w:val="-2"/>
          <w:sz w:val="24"/>
          <w:szCs w:val="24"/>
        </w:rPr>
        <w:t>following formula:</w:t>
      </w:r>
    </w:p>
    <w:p w14:paraId="7D27610A" w14:textId="6208C477" w:rsidR="00421A7F" w:rsidRPr="00BF325D" w:rsidRDefault="00206969" w:rsidP="00506F76">
      <w:pPr>
        <w:autoSpaceDE w:val="0"/>
        <w:autoSpaceDN w:val="0"/>
        <w:adjustRightInd w:val="0"/>
        <w:spacing w:after="24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 xml:space="preserve"> </m:t>
          </m:r>
          <m:r>
            <m:rPr>
              <m:sty m:val="p"/>
            </m:rPr>
            <w:rPr>
              <w:rFonts w:ascii="Cambria Math" w:hAnsi="Cambria Math" w:cs="Times New Roman"/>
              <w:color w:val="000000"/>
              <w:sz w:val="24"/>
              <w:szCs w:val="24"/>
            </w:rPr>
            <m:t xml:space="preserve">Plant survival  </m:t>
          </m:r>
          <m:r>
            <w:rPr>
              <w:rFonts w:ascii="Cambria Math" w:hAnsi="Cambria Math" w:cs="Times New Roman"/>
              <w:color w:val="000000"/>
              <w:sz w:val="24"/>
              <w:szCs w:val="24"/>
            </w:rPr>
            <m:t>%</m:t>
          </m:r>
          <m:r>
            <m:rPr>
              <m:sty m:val="p"/>
            </m:rP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r>
                <m:rPr>
                  <m:sty m:val="p"/>
                </m:rPr>
                <w:rPr>
                  <w:rFonts w:ascii="Cambria Math" w:hAnsi="Cambria Math" w:cs="Times New Roman"/>
                  <w:color w:val="000000"/>
                  <w:sz w:val="24"/>
                  <w:szCs w:val="24"/>
                </w:rPr>
                <m:t>No. of survived seedlings at 21 DAS</m:t>
              </m:r>
            </m:num>
            <m:den>
              <m:r>
                <m:rPr>
                  <m:sty m:val="p"/>
                </m:rPr>
                <w:rPr>
                  <w:rFonts w:ascii="Cambria Math" w:hAnsi="Cambria Math" w:cs="Times New Roman"/>
                  <w:color w:val="000000"/>
                  <w:sz w:val="24"/>
                  <w:szCs w:val="24"/>
                </w:rPr>
                <m:t>Total number of germinated seeds transferred to tray at 7 DAS</m:t>
              </m:r>
            </m:den>
          </m:f>
          <m:r>
            <w:rPr>
              <w:rFonts w:ascii="Cambria Math" w:hAnsi="Cambria Math" w:cs="Times New Roman"/>
              <w:color w:val="000000"/>
              <w:sz w:val="24"/>
              <w:szCs w:val="24"/>
            </w:rPr>
            <m:t xml:space="preserve"> ×100</m:t>
          </m:r>
        </m:oMath>
      </m:oMathPara>
    </w:p>
    <w:p w14:paraId="72FECEB3" w14:textId="24B27E95" w:rsidR="00421A7F" w:rsidRPr="00BF325D" w:rsidRDefault="0099365C" w:rsidP="00506F76">
      <w:p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LD50 were calculated</w:t>
      </w:r>
      <w:r w:rsidR="00AD0E45" w:rsidRPr="00BF325D">
        <w:rPr>
          <w:rFonts w:ascii="Times New Roman" w:hAnsi="Times New Roman" w:cs="Times New Roman"/>
          <w:color w:val="000000"/>
          <w:sz w:val="24"/>
          <w:szCs w:val="24"/>
        </w:rPr>
        <w:t xml:space="preserve"> at </w:t>
      </w:r>
      <w:r w:rsidR="00AD0E45" w:rsidRPr="00BF325D">
        <w:rPr>
          <w:rFonts w:ascii="Times New Roman" w:hAnsi="Times New Roman" w:cs="Times New Roman"/>
          <w:sz w:val="24"/>
          <w:szCs w:val="24"/>
        </w:rPr>
        <w:t>21 DAS</w:t>
      </w:r>
      <w:r w:rsidRPr="00BF325D">
        <w:rPr>
          <w:rFonts w:ascii="Times New Roman" w:hAnsi="Times New Roman" w:cs="Times New Roman"/>
          <w:color w:val="000000"/>
          <w:sz w:val="24"/>
          <w:szCs w:val="24"/>
        </w:rPr>
        <w:t xml:space="preserve"> by regression analysis.</w:t>
      </w:r>
      <w:r w:rsidR="00421A7F" w:rsidRPr="00BF325D">
        <w:rPr>
          <w:rFonts w:ascii="Times New Roman" w:hAnsi="Times New Roman" w:cs="Times New Roman"/>
          <w:color w:val="000000"/>
          <w:sz w:val="24"/>
          <w:szCs w:val="24"/>
        </w:rPr>
        <w:t xml:space="preserve"> </w:t>
      </w:r>
    </w:p>
    <w:p w14:paraId="6B47FFC8" w14:textId="4096C48B" w:rsidR="00FA6802" w:rsidRPr="00BF325D" w:rsidRDefault="000C2B58" w:rsidP="00506F76">
      <w:p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 xml:space="preserve">Specific regression model used: </w:t>
      </w:r>
      <w:r w:rsidR="00FA6802" w:rsidRPr="00BF325D">
        <w:rPr>
          <w:rFonts w:ascii="Times New Roman" w:hAnsi="Times New Roman" w:cs="Times New Roman"/>
          <w:color w:val="000000"/>
          <w:sz w:val="24"/>
          <w:szCs w:val="24"/>
        </w:rPr>
        <w:t>Y=</w:t>
      </w:r>
      <w:proofErr w:type="spellStart"/>
      <w:r w:rsidR="00FA6802" w:rsidRPr="00BF325D">
        <w:rPr>
          <w:rFonts w:ascii="Times New Roman" w:hAnsi="Times New Roman" w:cs="Times New Roman"/>
          <w:color w:val="000000"/>
          <w:sz w:val="24"/>
          <w:szCs w:val="24"/>
        </w:rPr>
        <w:t>a+bX</w:t>
      </w:r>
      <w:proofErr w:type="spellEnd"/>
      <w:r w:rsidR="00FA6802" w:rsidRPr="00BF325D">
        <w:rPr>
          <w:rFonts w:ascii="Times New Roman" w:hAnsi="Times New Roman" w:cs="Times New Roman"/>
          <w:color w:val="000000"/>
          <w:sz w:val="24"/>
          <w:szCs w:val="24"/>
        </w:rPr>
        <w:t xml:space="preserve"> </w:t>
      </w:r>
    </w:p>
    <w:p w14:paraId="442C79C4" w14:textId="77777777" w:rsidR="00FA6802" w:rsidRPr="00BF325D" w:rsidRDefault="00FA6802" w:rsidP="00506F76">
      <w:p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Where:</w:t>
      </w:r>
    </w:p>
    <w:p w14:paraId="7948336F" w14:textId="77777777" w:rsidR="00FA6802" w:rsidRPr="00BF325D" w:rsidRDefault="00FA6802" w:rsidP="00F13BE9">
      <w:pPr>
        <w:numPr>
          <w:ilvl w:val="0"/>
          <w:numId w:val="4"/>
        </w:num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Y = plant survival percentage</w:t>
      </w:r>
    </w:p>
    <w:p w14:paraId="61EA245B" w14:textId="77777777" w:rsidR="00FA6802" w:rsidRPr="00BF325D" w:rsidRDefault="00FA6802" w:rsidP="00F13BE9">
      <w:pPr>
        <w:numPr>
          <w:ilvl w:val="0"/>
          <w:numId w:val="4"/>
        </w:numPr>
        <w:autoSpaceDE w:val="0"/>
        <w:autoSpaceDN w:val="0"/>
        <w:adjustRightInd w:val="0"/>
        <w:spacing w:after="240" w:line="360" w:lineRule="auto"/>
        <w:jc w:val="both"/>
        <w:rPr>
          <w:rFonts w:ascii="Times New Roman" w:hAnsi="Times New Roman" w:cs="Times New Roman"/>
          <w:color w:val="000000"/>
          <w:sz w:val="24"/>
          <w:szCs w:val="24"/>
          <w:lang w:val="it-IT"/>
        </w:rPr>
      </w:pPr>
      <w:r w:rsidRPr="00BF325D">
        <w:rPr>
          <w:rFonts w:ascii="Times New Roman" w:hAnsi="Times New Roman" w:cs="Times New Roman"/>
          <w:color w:val="000000"/>
          <w:sz w:val="24"/>
          <w:szCs w:val="24"/>
          <w:lang w:val="it-IT"/>
        </w:rPr>
        <w:t>X = gamma radiation dose (Gy)</w:t>
      </w:r>
    </w:p>
    <w:p w14:paraId="6E819AC9" w14:textId="77777777" w:rsidR="00FA6802" w:rsidRPr="00BF325D" w:rsidRDefault="00FA6802" w:rsidP="00F13BE9">
      <w:pPr>
        <w:numPr>
          <w:ilvl w:val="0"/>
          <w:numId w:val="4"/>
        </w:num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 xml:space="preserve">a = intercept (survival percentage at 0 </w:t>
      </w:r>
      <w:proofErr w:type="spellStart"/>
      <w:r w:rsidRPr="00BF325D">
        <w:rPr>
          <w:rFonts w:ascii="Times New Roman" w:hAnsi="Times New Roman" w:cs="Times New Roman"/>
          <w:color w:val="000000"/>
          <w:sz w:val="24"/>
          <w:szCs w:val="24"/>
        </w:rPr>
        <w:t>Gy</w:t>
      </w:r>
      <w:proofErr w:type="spellEnd"/>
      <w:r w:rsidRPr="00BF325D">
        <w:rPr>
          <w:rFonts w:ascii="Times New Roman" w:hAnsi="Times New Roman" w:cs="Times New Roman"/>
          <w:color w:val="000000"/>
          <w:sz w:val="24"/>
          <w:szCs w:val="24"/>
        </w:rPr>
        <w:t>)</w:t>
      </w:r>
    </w:p>
    <w:p w14:paraId="66124988" w14:textId="6135F1E5" w:rsidR="00FA6802" w:rsidRPr="00BF325D" w:rsidRDefault="00FA6802" w:rsidP="00F13BE9">
      <w:pPr>
        <w:numPr>
          <w:ilvl w:val="0"/>
          <w:numId w:val="4"/>
        </w:numPr>
        <w:autoSpaceDE w:val="0"/>
        <w:autoSpaceDN w:val="0"/>
        <w:adjustRightInd w:val="0"/>
        <w:spacing w:after="240" w:line="360" w:lineRule="auto"/>
        <w:jc w:val="both"/>
        <w:rPr>
          <w:rFonts w:ascii="Times New Roman" w:hAnsi="Times New Roman" w:cs="Times New Roman"/>
          <w:color w:val="000000"/>
          <w:sz w:val="24"/>
          <w:szCs w:val="24"/>
        </w:rPr>
      </w:pPr>
      <w:r w:rsidRPr="00BF325D">
        <w:rPr>
          <w:rFonts w:ascii="Times New Roman" w:hAnsi="Times New Roman" w:cs="Times New Roman"/>
          <w:color w:val="000000"/>
          <w:sz w:val="24"/>
          <w:szCs w:val="24"/>
        </w:rPr>
        <w:t>b = regression coefficient (rate of change in survival percentage per unit increase in dose)</w:t>
      </w:r>
    </w:p>
    <w:p w14:paraId="635C1E57" w14:textId="73750D03" w:rsidR="007E4C01" w:rsidRDefault="00A66850" w:rsidP="00F13BE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662C1E">
        <w:rPr>
          <w:rFonts w:ascii="Times New Roman" w:hAnsi="Times New Roman" w:cs="Times New Roman"/>
          <w:b/>
          <w:sz w:val="24"/>
          <w:szCs w:val="24"/>
        </w:rPr>
        <w:t xml:space="preserve"> </w:t>
      </w:r>
      <w:r w:rsidR="00E02056" w:rsidRPr="00D80375">
        <w:rPr>
          <w:rFonts w:ascii="Times New Roman" w:hAnsi="Times New Roman" w:cs="Times New Roman"/>
          <w:b/>
          <w:sz w:val="24"/>
          <w:szCs w:val="24"/>
        </w:rPr>
        <w:t>Results and discussion</w:t>
      </w:r>
    </w:p>
    <w:p w14:paraId="0DDB601E" w14:textId="77777777" w:rsidR="00F13BE9" w:rsidRPr="00D80375" w:rsidRDefault="00F13BE9" w:rsidP="00F13BE9">
      <w:pPr>
        <w:autoSpaceDE w:val="0"/>
        <w:autoSpaceDN w:val="0"/>
        <w:adjustRightInd w:val="0"/>
        <w:spacing w:after="0" w:line="360" w:lineRule="auto"/>
        <w:jc w:val="both"/>
        <w:rPr>
          <w:rFonts w:ascii="Times New Roman" w:hAnsi="Times New Roman" w:cs="Times New Roman"/>
          <w:b/>
          <w:sz w:val="24"/>
          <w:szCs w:val="24"/>
        </w:rPr>
      </w:pPr>
    </w:p>
    <w:p w14:paraId="6004D9B4" w14:textId="37F60044" w:rsidR="001D2C14" w:rsidRPr="00D80375" w:rsidRDefault="00A66850" w:rsidP="00F13BE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662C1E">
        <w:rPr>
          <w:rFonts w:ascii="Times New Roman" w:hAnsi="Times New Roman" w:cs="Times New Roman"/>
          <w:b/>
          <w:bCs/>
          <w:sz w:val="24"/>
          <w:szCs w:val="24"/>
        </w:rPr>
        <w:t xml:space="preserve"> </w:t>
      </w:r>
      <w:r w:rsidR="001D2C14" w:rsidRPr="00D80375">
        <w:rPr>
          <w:rFonts w:ascii="Times New Roman" w:hAnsi="Times New Roman" w:cs="Times New Roman"/>
          <w:b/>
          <w:bCs/>
          <w:sz w:val="24"/>
          <w:szCs w:val="24"/>
        </w:rPr>
        <w:t>Germination percentage</w:t>
      </w:r>
    </w:p>
    <w:p w14:paraId="1B0FF7DC" w14:textId="62FB2809" w:rsidR="001E1800" w:rsidRPr="005103F2" w:rsidRDefault="001E1800" w:rsidP="00506F76">
      <w:pPr>
        <w:autoSpaceDE w:val="0"/>
        <w:autoSpaceDN w:val="0"/>
        <w:adjustRightInd w:val="0"/>
        <w:spacing w:line="360" w:lineRule="auto"/>
        <w:jc w:val="both"/>
        <w:rPr>
          <w:rFonts w:ascii="Times New Roman" w:hAnsi="Times New Roman" w:cs="Times New Roman"/>
          <w:sz w:val="24"/>
          <w:szCs w:val="24"/>
        </w:rPr>
      </w:pPr>
      <w:r w:rsidRPr="001E1800">
        <w:rPr>
          <w:rFonts w:ascii="Times New Roman" w:hAnsi="Times New Roman" w:cs="Times New Roman"/>
          <w:sz w:val="24"/>
          <w:szCs w:val="24"/>
        </w:rPr>
        <w:t xml:space="preserve">Germination was 100% at 0 </w:t>
      </w:r>
      <w:proofErr w:type="spellStart"/>
      <w:r w:rsidRPr="001E1800">
        <w:rPr>
          <w:rFonts w:ascii="Times New Roman" w:hAnsi="Times New Roman" w:cs="Times New Roman"/>
          <w:sz w:val="24"/>
          <w:szCs w:val="24"/>
        </w:rPr>
        <w:t>Gy</w:t>
      </w:r>
      <w:proofErr w:type="spellEnd"/>
      <w:r w:rsidRPr="001E1800">
        <w:rPr>
          <w:rFonts w:ascii="Times New Roman" w:hAnsi="Times New Roman" w:cs="Times New Roman"/>
          <w:sz w:val="24"/>
          <w:szCs w:val="24"/>
        </w:rPr>
        <w:t xml:space="preserve"> for both </w:t>
      </w:r>
      <w:proofErr w:type="spellStart"/>
      <w:r w:rsidRPr="001E1800">
        <w:rPr>
          <w:rFonts w:ascii="Times New Roman" w:hAnsi="Times New Roman" w:cs="Times New Roman"/>
          <w:sz w:val="24"/>
          <w:szCs w:val="24"/>
        </w:rPr>
        <w:t>Chinigura</w:t>
      </w:r>
      <w:proofErr w:type="spellEnd"/>
      <w:r w:rsidRPr="001E1800">
        <w:rPr>
          <w:rFonts w:ascii="Times New Roman" w:hAnsi="Times New Roman" w:cs="Times New Roman"/>
          <w:sz w:val="24"/>
          <w:szCs w:val="24"/>
        </w:rPr>
        <w:t xml:space="preserve"> and </w:t>
      </w:r>
      <w:proofErr w:type="spellStart"/>
      <w:r w:rsidRPr="001E1800">
        <w:rPr>
          <w:rFonts w:ascii="Times New Roman" w:hAnsi="Times New Roman" w:cs="Times New Roman"/>
          <w:sz w:val="24"/>
          <w:szCs w:val="24"/>
        </w:rPr>
        <w:t>Banglamati</w:t>
      </w:r>
      <w:proofErr w:type="spellEnd"/>
      <w:r w:rsidRPr="001E1800">
        <w:rPr>
          <w:rFonts w:ascii="Times New Roman" w:hAnsi="Times New Roman" w:cs="Times New Roman"/>
          <w:sz w:val="24"/>
          <w:szCs w:val="24"/>
        </w:rPr>
        <w:t xml:space="preserve">, declining progressively with higher gamma doses. In </w:t>
      </w:r>
      <w:proofErr w:type="spellStart"/>
      <w:r w:rsidRPr="001E1800">
        <w:rPr>
          <w:rFonts w:ascii="Times New Roman" w:hAnsi="Times New Roman" w:cs="Times New Roman"/>
          <w:sz w:val="24"/>
          <w:szCs w:val="24"/>
        </w:rPr>
        <w:t>Chinigura</w:t>
      </w:r>
      <w:proofErr w:type="spellEnd"/>
      <w:r w:rsidRPr="001E1800">
        <w:rPr>
          <w:rFonts w:ascii="Times New Roman" w:hAnsi="Times New Roman" w:cs="Times New Roman"/>
          <w:sz w:val="24"/>
          <w:szCs w:val="24"/>
        </w:rPr>
        <w:t xml:space="preserve">, it decreased from 95.67% (100 </w:t>
      </w:r>
      <w:proofErr w:type="spellStart"/>
      <w:r w:rsidRPr="001E1800">
        <w:rPr>
          <w:rFonts w:ascii="Times New Roman" w:hAnsi="Times New Roman" w:cs="Times New Roman"/>
          <w:sz w:val="24"/>
          <w:szCs w:val="24"/>
        </w:rPr>
        <w:t>Gy</w:t>
      </w:r>
      <w:proofErr w:type="spellEnd"/>
      <w:r w:rsidRPr="001E1800">
        <w:rPr>
          <w:rFonts w:ascii="Times New Roman" w:hAnsi="Times New Roman" w:cs="Times New Roman"/>
          <w:sz w:val="24"/>
          <w:szCs w:val="24"/>
        </w:rPr>
        <w:t xml:space="preserve">) to 87.00% (400 </w:t>
      </w:r>
      <w:proofErr w:type="spellStart"/>
      <w:r w:rsidRPr="001E1800">
        <w:rPr>
          <w:rFonts w:ascii="Times New Roman" w:hAnsi="Times New Roman" w:cs="Times New Roman"/>
          <w:sz w:val="24"/>
          <w:szCs w:val="24"/>
        </w:rPr>
        <w:t>Gy</w:t>
      </w:r>
      <w:proofErr w:type="spellEnd"/>
      <w:r w:rsidRPr="001E1800">
        <w:rPr>
          <w:rFonts w:ascii="Times New Roman" w:hAnsi="Times New Roman" w:cs="Times New Roman"/>
          <w:sz w:val="24"/>
          <w:szCs w:val="24"/>
        </w:rPr>
        <w:t xml:space="preserve">), while </w:t>
      </w:r>
      <w:proofErr w:type="spellStart"/>
      <w:r w:rsidRPr="001E1800">
        <w:rPr>
          <w:rFonts w:ascii="Times New Roman" w:hAnsi="Times New Roman" w:cs="Times New Roman"/>
          <w:sz w:val="24"/>
          <w:szCs w:val="24"/>
        </w:rPr>
        <w:t>Banglamati</w:t>
      </w:r>
      <w:proofErr w:type="spellEnd"/>
      <w:r w:rsidRPr="001E1800">
        <w:rPr>
          <w:rFonts w:ascii="Times New Roman" w:hAnsi="Times New Roman" w:cs="Times New Roman"/>
          <w:sz w:val="24"/>
          <w:szCs w:val="24"/>
        </w:rPr>
        <w:t xml:space="preserve"> declined from 96.00% to 81.33%, showing sharper reductions. Mean germination was slightly higher in </w:t>
      </w:r>
      <w:proofErr w:type="spellStart"/>
      <w:r w:rsidRPr="001E1800">
        <w:rPr>
          <w:rFonts w:ascii="Times New Roman" w:hAnsi="Times New Roman" w:cs="Times New Roman"/>
          <w:sz w:val="24"/>
          <w:szCs w:val="24"/>
        </w:rPr>
        <w:t>Chinigura</w:t>
      </w:r>
      <w:proofErr w:type="spellEnd"/>
      <w:r w:rsidRPr="001E1800">
        <w:rPr>
          <w:rFonts w:ascii="Times New Roman" w:hAnsi="Times New Roman" w:cs="Times New Roman"/>
          <w:sz w:val="24"/>
          <w:szCs w:val="24"/>
        </w:rPr>
        <w:t xml:space="preserve"> (93.00%) than </w:t>
      </w:r>
      <w:proofErr w:type="spellStart"/>
      <w:r w:rsidRPr="001E1800">
        <w:rPr>
          <w:rFonts w:ascii="Times New Roman" w:hAnsi="Times New Roman" w:cs="Times New Roman"/>
          <w:sz w:val="24"/>
          <w:szCs w:val="24"/>
        </w:rPr>
        <w:t>Banglamati</w:t>
      </w:r>
      <w:proofErr w:type="spellEnd"/>
      <w:r w:rsidRPr="001E1800">
        <w:rPr>
          <w:rFonts w:ascii="Times New Roman" w:hAnsi="Times New Roman" w:cs="Times New Roman"/>
          <w:sz w:val="24"/>
          <w:szCs w:val="24"/>
        </w:rPr>
        <w:t xml:space="preserve"> (91.94%), with greater variability in </w:t>
      </w:r>
      <w:proofErr w:type="spellStart"/>
      <w:r w:rsidRPr="001E1800">
        <w:rPr>
          <w:rFonts w:ascii="Times New Roman" w:hAnsi="Times New Roman" w:cs="Times New Roman"/>
          <w:sz w:val="24"/>
          <w:szCs w:val="24"/>
        </w:rPr>
        <w:t>Banglamati</w:t>
      </w:r>
      <w:proofErr w:type="spellEnd"/>
      <w:r w:rsidRPr="001E1800">
        <w:rPr>
          <w:rFonts w:ascii="Times New Roman" w:hAnsi="Times New Roman" w:cs="Times New Roman"/>
          <w:sz w:val="24"/>
          <w:szCs w:val="24"/>
        </w:rPr>
        <w:t xml:space="preserve"> (SD 6.77 vs 4.52). Similar dose-dependent declines were reported in </w:t>
      </w:r>
      <w:proofErr w:type="spellStart"/>
      <w:r w:rsidRPr="001E1800">
        <w:rPr>
          <w:rFonts w:ascii="Times New Roman" w:hAnsi="Times New Roman" w:cs="Times New Roman"/>
          <w:sz w:val="24"/>
          <w:szCs w:val="24"/>
        </w:rPr>
        <w:t>Kalanamak</w:t>
      </w:r>
      <w:proofErr w:type="spellEnd"/>
      <w:r w:rsidRPr="001E1800">
        <w:rPr>
          <w:rFonts w:ascii="Times New Roman" w:hAnsi="Times New Roman" w:cs="Times New Roman"/>
          <w:sz w:val="24"/>
          <w:szCs w:val="24"/>
        </w:rPr>
        <w:t xml:space="preserve"> rice (Mishra et al., 2023) and prior studies (Harding et al., 2012; Taher et al., 2011; Cheema &amp; Atta, 2003).</w:t>
      </w:r>
    </w:p>
    <w:p w14:paraId="420DA3A8" w14:textId="36086C5D" w:rsidR="001D2C14" w:rsidRPr="005103F2" w:rsidRDefault="001D2C14" w:rsidP="00506F76">
      <w:pPr>
        <w:autoSpaceDE w:val="0"/>
        <w:autoSpaceDN w:val="0"/>
        <w:adjustRightInd w:val="0"/>
        <w:spacing w:line="360" w:lineRule="auto"/>
        <w:jc w:val="both"/>
        <w:rPr>
          <w:rFonts w:ascii="Times New Roman" w:hAnsi="Times New Roman" w:cs="Times New Roman"/>
          <w:b/>
          <w:sz w:val="24"/>
          <w:szCs w:val="24"/>
        </w:rPr>
      </w:pPr>
      <w:r w:rsidRPr="005103F2">
        <w:rPr>
          <w:rFonts w:ascii="Times New Roman" w:hAnsi="Times New Roman" w:cs="Times New Roman"/>
          <w:b/>
          <w:bCs/>
          <w:sz w:val="24"/>
          <w:szCs w:val="24"/>
        </w:rPr>
        <w:t xml:space="preserve">Table 1. Effect of gamma ray irradiation on germination of </w:t>
      </w:r>
      <w:proofErr w:type="spellStart"/>
      <w:r w:rsidRPr="005103F2">
        <w:rPr>
          <w:rFonts w:ascii="Times New Roman" w:eastAsia="Times New Roman" w:hAnsi="Times New Roman" w:cs="Times New Roman"/>
          <w:b/>
          <w:bCs/>
          <w:color w:val="000000"/>
          <w:sz w:val="24"/>
          <w:szCs w:val="24"/>
        </w:rPr>
        <w:t>Chinigura</w:t>
      </w:r>
      <w:proofErr w:type="spellEnd"/>
      <w:r w:rsidRPr="005103F2">
        <w:rPr>
          <w:rFonts w:ascii="Times New Roman" w:hAnsi="Times New Roman" w:cs="Times New Roman"/>
          <w:b/>
          <w:bCs/>
          <w:sz w:val="24"/>
          <w:szCs w:val="24"/>
        </w:rPr>
        <w:t xml:space="preserve"> and </w:t>
      </w:r>
      <w:proofErr w:type="spellStart"/>
      <w:r w:rsidRPr="005103F2">
        <w:rPr>
          <w:rFonts w:ascii="Times New Roman" w:eastAsia="Times New Roman" w:hAnsi="Times New Roman" w:cs="Times New Roman"/>
          <w:b/>
          <w:color w:val="000000"/>
          <w:sz w:val="24"/>
          <w:szCs w:val="24"/>
        </w:rPr>
        <w:t>Banglamati</w:t>
      </w:r>
      <w:proofErr w:type="spellEnd"/>
      <w:r w:rsidRPr="005103F2">
        <w:rPr>
          <w:rFonts w:ascii="Times New Roman" w:eastAsia="Times New Roman" w:hAnsi="Times New Roman" w:cs="Times New Roman"/>
          <w:b/>
          <w:color w:val="000000"/>
          <w:sz w:val="24"/>
          <w:szCs w:val="24"/>
        </w:rPr>
        <w:t xml:space="preserve"> </w:t>
      </w:r>
    </w:p>
    <w:p w14:paraId="204C36D4" w14:textId="77777777" w:rsidR="00E02056" w:rsidRPr="007C5E88" w:rsidRDefault="00E02056" w:rsidP="00506F76">
      <w:pPr>
        <w:autoSpaceDE w:val="0"/>
        <w:autoSpaceDN w:val="0"/>
        <w:adjustRightInd w:val="0"/>
        <w:spacing w:after="0" w:line="360" w:lineRule="auto"/>
        <w:jc w:val="both"/>
        <w:rPr>
          <w:rFonts w:ascii="Times New Roman" w:hAnsi="Times New Roman" w:cs="Times New Roman"/>
          <w:b/>
          <w:sz w:val="24"/>
          <w:szCs w:val="24"/>
        </w:rPr>
      </w:pPr>
    </w:p>
    <w:tbl>
      <w:tblPr>
        <w:tblW w:w="7477" w:type="dxa"/>
        <w:jc w:val="center"/>
        <w:tblBorders>
          <w:insideH w:val="single" w:sz="4" w:space="0" w:color="auto"/>
        </w:tblBorders>
        <w:tblLook w:val="04A0" w:firstRow="1" w:lastRow="0" w:firstColumn="1" w:lastColumn="0" w:noHBand="0" w:noVBand="1"/>
      </w:tblPr>
      <w:tblGrid>
        <w:gridCol w:w="1106"/>
        <w:gridCol w:w="1463"/>
        <w:gridCol w:w="1692"/>
        <w:gridCol w:w="1548"/>
        <w:gridCol w:w="1668"/>
      </w:tblGrid>
      <w:tr w:rsidR="001D2C14" w:rsidRPr="005103F2" w14:paraId="4FC87613" w14:textId="77777777" w:rsidTr="00D94698">
        <w:trPr>
          <w:trHeight w:val="305"/>
          <w:jc w:val="center"/>
        </w:trPr>
        <w:tc>
          <w:tcPr>
            <w:tcW w:w="1106" w:type="dxa"/>
            <w:vMerge w:val="restart"/>
            <w:tcBorders>
              <w:top w:val="single" w:sz="4" w:space="0" w:color="auto"/>
              <w:bottom w:val="single" w:sz="4" w:space="0" w:color="auto"/>
            </w:tcBorders>
            <w:vAlign w:val="center"/>
            <w:hideMark/>
          </w:tcPr>
          <w:p w14:paraId="26E031D8" w14:textId="77777777" w:rsidR="001D2C14" w:rsidRPr="005103F2" w:rsidRDefault="001D2C14" w:rsidP="00506F76">
            <w:pPr>
              <w:spacing w:after="0" w:line="360" w:lineRule="auto"/>
              <w:jc w:val="both"/>
              <w:rPr>
                <w:rFonts w:ascii="Times New Roman" w:eastAsia="Times New Roman" w:hAnsi="Times New Roman" w:cs="Times New Roman"/>
                <w:bCs/>
                <w:color w:val="000000"/>
                <w:sz w:val="20"/>
                <w:szCs w:val="20"/>
              </w:rPr>
            </w:pPr>
            <w:r w:rsidRPr="005103F2">
              <w:rPr>
                <w:rFonts w:ascii="Times New Roman" w:eastAsia="Times New Roman" w:hAnsi="Times New Roman" w:cs="Times New Roman"/>
                <w:bCs/>
                <w:color w:val="000000"/>
                <w:sz w:val="20"/>
                <w:szCs w:val="20"/>
              </w:rPr>
              <w:t>Dose (GY)</w:t>
            </w:r>
          </w:p>
        </w:tc>
        <w:tc>
          <w:tcPr>
            <w:tcW w:w="3155" w:type="dxa"/>
            <w:gridSpan w:val="2"/>
            <w:tcBorders>
              <w:top w:val="single" w:sz="4" w:space="0" w:color="auto"/>
              <w:bottom w:val="single" w:sz="4" w:space="0" w:color="auto"/>
              <w:right w:val="single" w:sz="4" w:space="0" w:color="auto"/>
            </w:tcBorders>
            <w:noWrap/>
            <w:vAlign w:val="center"/>
            <w:hideMark/>
          </w:tcPr>
          <w:p w14:paraId="01E4E23F" w14:textId="77777777" w:rsidR="001D2C14" w:rsidRPr="005103F2" w:rsidRDefault="001D2C14" w:rsidP="00506F76">
            <w:pPr>
              <w:spacing w:after="0" w:line="360" w:lineRule="auto"/>
              <w:jc w:val="both"/>
              <w:rPr>
                <w:rFonts w:ascii="Times New Roman" w:eastAsia="Times New Roman" w:hAnsi="Times New Roman" w:cs="Times New Roman"/>
                <w:bCs/>
                <w:color w:val="000000"/>
                <w:sz w:val="20"/>
                <w:szCs w:val="20"/>
              </w:rPr>
            </w:pPr>
            <w:proofErr w:type="spellStart"/>
            <w:r w:rsidRPr="005103F2">
              <w:rPr>
                <w:rFonts w:ascii="Times New Roman" w:eastAsia="Times New Roman" w:hAnsi="Times New Roman" w:cs="Times New Roman"/>
                <w:bCs/>
                <w:color w:val="000000"/>
                <w:sz w:val="20"/>
                <w:szCs w:val="20"/>
              </w:rPr>
              <w:t>Chinigura</w:t>
            </w:r>
            <w:proofErr w:type="spellEnd"/>
          </w:p>
        </w:tc>
        <w:tc>
          <w:tcPr>
            <w:tcW w:w="3216" w:type="dxa"/>
            <w:gridSpan w:val="2"/>
            <w:tcBorders>
              <w:top w:val="single" w:sz="4" w:space="0" w:color="auto"/>
              <w:left w:val="single" w:sz="4" w:space="0" w:color="auto"/>
              <w:bottom w:val="single" w:sz="4" w:space="0" w:color="auto"/>
            </w:tcBorders>
            <w:noWrap/>
            <w:vAlign w:val="center"/>
            <w:hideMark/>
          </w:tcPr>
          <w:p w14:paraId="44C835E5"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roofErr w:type="spellStart"/>
            <w:r w:rsidRPr="005103F2">
              <w:rPr>
                <w:rFonts w:ascii="Times New Roman" w:eastAsia="Times New Roman" w:hAnsi="Times New Roman" w:cs="Times New Roman"/>
                <w:color w:val="000000"/>
                <w:sz w:val="20"/>
                <w:szCs w:val="20"/>
              </w:rPr>
              <w:t>Banglamati</w:t>
            </w:r>
            <w:proofErr w:type="spellEnd"/>
          </w:p>
        </w:tc>
      </w:tr>
      <w:tr w:rsidR="001D2C14" w:rsidRPr="005103F2" w14:paraId="7C194FE4" w14:textId="77777777" w:rsidTr="00C02BBC">
        <w:trPr>
          <w:trHeight w:val="377"/>
          <w:jc w:val="center"/>
        </w:trPr>
        <w:tc>
          <w:tcPr>
            <w:tcW w:w="1106" w:type="dxa"/>
            <w:vMerge/>
            <w:tcBorders>
              <w:top w:val="single" w:sz="4" w:space="0" w:color="auto"/>
              <w:bottom w:val="single" w:sz="4" w:space="0" w:color="auto"/>
            </w:tcBorders>
            <w:vAlign w:val="center"/>
            <w:hideMark/>
          </w:tcPr>
          <w:p w14:paraId="58668640" w14:textId="77777777" w:rsidR="001D2C14" w:rsidRPr="005103F2" w:rsidRDefault="001D2C14" w:rsidP="00506F76">
            <w:pPr>
              <w:spacing w:after="0" w:line="360" w:lineRule="auto"/>
              <w:jc w:val="both"/>
              <w:rPr>
                <w:rFonts w:ascii="Times New Roman" w:eastAsia="Times New Roman" w:hAnsi="Times New Roman" w:cs="Times New Roman"/>
                <w:bCs/>
                <w:color w:val="000000"/>
                <w:sz w:val="20"/>
                <w:szCs w:val="20"/>
              </w:rPr>
            </w:pPr>
          </w:p>
        </w:tc>
        <w:tc>
          <w:tcPr>
            <w:tcW w:w="1463" w:type="dxa"/>
            <w:tcBorders>
              <w:top w:val="single" w:sz="4" w:space="0" w:color="auto"/>
              <w:bottom w:val="single" w:sz="4" w:space="0" w:color="auto"/>
            </w:tcBorders>
            <w:noWrap/>
            <w:vAlign w:val="center"/>
            <w:hideMark/>
          </w:tcPr>
          <w:p w14:paraId="70392CCC"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Germ. %</w:t>
            </w:r>
          </w:p>
        </w:tc>
        <w:tc>
          <w:tcPr>
            <w:tcW w:w="1692" w:type="dxa"/>
            <w:tcBorders>
              <w:top w:val="single" w:sz="4" w:space="0" w:color="auto"/>
              <w:bottom w:val="single" w:sz="4" w:space="0" w:color="auto"/>
              <w:right w:val="single" w:sz="4" w:space="0" w:color="auto"/>
            </w:tcBorders>
            <w:noWrap/>
            <w:vAlign w:val="center"/>
            <w:hideMark/>
          </w:tcPr>
          <w:p w14:paraId="5C788F5C"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548" w:type="dxa"/>
            <w:tcBorders>
              <w:top w:val="single" w:sz="4" w:space="0" w:color="auto"/>
              <w:left w:val="single" w:sz="4" w:space="0" w:color="auto"/>
              <w:bottom w:val="single" w:sz="4" w:space="0" w:color="auto"/>
            </w:tcBorders>
            <w:noWrap/>
            <w:vAlign w:val="center"/>
            <w:hideMark/>
          </w:tcPr>
          <w:p w14:paraId="1820A300"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Germ. %</w:t>
            </w:r>
          </w:p>
        </w:tc>
        <w:tc>
          <w:tcPr>
            <w:tcW w:w="1668" w:type="dxa"/>
            <w:tcBorders>
              <w:top w:val="single" w:sz="4" w:space="0" w:color="auto"/>
              <w:bottom w:val="single" w:sz="4" w:space="0" w:color="auto"/>
            </w:tcBorders>
            <w:noWrap/>
            <w:vAlign w:val="center"/>
            <w:hideMark/>
          </w:tcPr>
          <w:p w14:paraId="371A040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r>
      <w:tr w:rsidR="001D2C14" w:rsidRPr="005103F2" w14:paraId="31DB6522" w14:textId="77777777" w:rsidTr="00C02BBC">
        <w:trPr>
          <w:trHeight w:val="305"/>
          <w:jc w:val="center"/>
        </w:trPr>
        <w:tc>
          <w:tcPr>
            <w:tcW w:w="1106" w:type="dxa"/>
            <w:tcBorders>
              <w:top w:val="single" w:sz="4" w:space="0" w:color="auto"/>
              <w:bottom w:val="nil"/>
            </w:tcBorders>
            <w:noWrap/>
            <w:vAlign w:val="center"/>
            <w:hideMark/>
          </w:tcPr>
          <w:p w14:paraId="721AC560"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w:t>
            </w:r>
          </w:p>
        </w:tc>
        <w:tc>
          <w:tcPr>
            <w:tcW w:w="1463" w:type="dxa"/>
            <w:tcBorders>
              <w:top w:val="single" w:sz="4" w:space="0" w:color="auto"/>
              <w:bottom w:val="nil"/>
            </w:tcBorders>
            <w:noWrap/>
            <w:vAlign w:val="center"/>
            <w:hideMark/>
          </w:tcPr>
          <w:p w14:paraId="0812F548"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692" w:type="dxa"/>
            <w:tcBorders>
              <w:top w:val="single" w:sz="4" w:space="0" w:color="auto"/>
              <w:bottom w:val="nil"/>
              <w:right w:val="single" w:sz="4" w:space="0" w:color="auto"/>
            </w:tcBorders>
            <w:noWrap/>
            <w:vAlign w:val="center"/>
            <w:hideMark/>
          </w:tcPr>
          <w:p w14:paraId="5A5872F1"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548" w:type="dxa"/>
            <w:tcBorders>
              <w:top w:val="single" w:sz="4" w:space="0" w:color="auto"/>
              <w:left w:val="single" w:sz="4" w:space="0" w:color="auto"/>
              <w:bottom w:val="nil"/>
            </w:tcBorders>
            <w:noWrap/>
            <w:vAlign w:val="center"/>
            <w:hideMark/>
          </w:tcPr>
          <w:p w14:paraId="0E3E72B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668" w:type="dxa"/>
            <w:tcBorders>
              <w:top w:val="single" w:sz="4" w:space="0" w:color="auto"/>
              <w:bottom w:val="nil"/>
            </w:tcBorders>
            <w:noWrap/>
            <w:vAlign w:val="center"/>
            <w:hideMark/>
          </w:tcPr>
          <w:p w14:paraId="0CC30D21"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r>
      <w:tr w:rsidR="001D2C14" w:rsidRPr="005103F2" w14:paraId="7909BF9C" w14:textId="77777777" w:rsidTr="00C02BBC">
        <w:trPr>
          <w:trHeight w:val="305"/>
          <w:jc w:val="center"/>
        </w:trPr>
        <w:tc>
          <w:tcPr>
            <w:tcW w:w="1106" w:type="dxa"/>
            <w:tcBorders>
              <w:top w:val="nil"/>
              <w:bottom w:val="nil"/>
            </w:tcBorders>
            <w:noWrap/>
            <w:vAlign w:val="center"/>
            <w:hideMark/>
          </w:tcPr>
          <w:p w14:paraId="48C3A16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w:t>
            </w:r>
          </w:p>
        </w:tc>
        <w:tc>
          <w:tcPr>
            <w:tcW w:w="1463" w:type="dxa"/>
            <w:tcBorders>
              <w:top w:val="nil"/>
              <w:bottom w:val="nil"/>
            </w:tcBorders>
            <w:noWrap/>
            <w:vAlign w:val="center"/>
            <w:hideMark/>
          </w:tcPr>
          <w:p w14:paraId="1413639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95.67</w:t>
            </w:r>
          </w:p>
        </w:tc>
        <w:tc>
          <w:tcPr>
            <w:tcW w:w="1692" w:type="dxa"/>
            <w:tcBorders>
              <w:top w:val="nil"/>
              <w:bottom w:val="nil"/>
              <w:right w:val="single" w:sz="4" w:space="0" w:color="auto"/>
            </w:tcBorders>
            <w:noWrap/>
            <w:vAlign w:val="center"/>
            <w:hideMark/>
          </w:tcPr>
          <w:p w14:paraId="46DFEDF8"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95.67</w:t>
            </w:r>
          </w:p>
        </w:tc>
        <w:tc>
          <w:tcPr>
            <w:tcW w:w="1548" w:type="dxa"/>
            <w:tcBorders>
              <w:top w:val="nil"/>
              <w:left w:val="single" w:sz="4" w:space="0" w:color="auto"/>
              <w:bottom w:val="nil"/>
            </w:tcBorders>
            <w:noWrap/>
            <w:vAlign w:val="center"/>
            <w:hideMark/>
          </w:tcPr>
          <w:p w14:paraId="17B92EB2"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96.00</w:t>
            </w:r>
          </w:p>
        </w:tc>
        <w:tc>
          <w:tcPr>
            <w:tcW w:w="1668" w:type="dxa"/>
            <w:tcBorders>
              <w:top w:val="nil"/>
              <w:bottom w:val="nil"/>
            </w:tcBorders>
            <w:noWrap/>
            <w:vAlign w:val="center"/>
            <w:hideMark/>
          </w:tcPr>
          <w:p w14:paraId="36410FD9"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96.00</w:t>
            </w:r>
          </w:p>
        </w:tc>
      </w:tr>
      <w:tr w:rsidR="001D2C14" w:rsidRPr="005103F2" w14:paraId="1E983431" w14:textId="77777777" w:rsidTr="00C02BBC">
        <w:trPr>
          <w:trHeight w:val="305"/>
          <w:jc w:val="center"/>
        </w:trPr>
        <w:tc>
          <w:tcPr>
            <w:tcW w:w="1106" w:type="dxa"/>
            <w:tcBorders>
              <w:top w:val="nil"/>
              <w:bottom w:val="nil"/>
            </w:tcBorders>
            <w:noWrap/>
            <w:vAlign w:val="center"/>
            <w:hideMark/>
          </w:tcPr>
          <w:p w14:paraId="0608C45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200</w:t>
            </w:r>
          </w:p>
        </w:tc>
        <w:tc>
          <w:tcPr>
            <w:tcW w:w="1463" w:type="dxa"/>
            <w:tcBorders>
              <w:top w:val="nil"/>
              <w:bottom w:val="nil"/>
            </w:tcBorders>
            <w:noWrap/>
            <w:vAlign w:val="center"/>
            <w:hideMark/>
          </w:tcPr>
          <w:p w14:paraId="19607959"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93.33</w:t>
            </w:r>
          </w:p>
        </w:tc>
        <w:tc>
          <w:tcPr>
            <w:tcW w:w="1692" w:type="dxa"/>
            <w:tcBorders>
              <w:top w:val="nil"/>
              <w:bottom w:val="nil"/>
              <w:right w:val="single" w:sz="4" w:space="0" w:color="auto"/>
            </w:tcBorders>
            <w:noWrap/>
            <w:vAlign w:val="center"/>
            <w:hideMark/>
          </w:tcPr>
          <w:p w14:paraId="251C12F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93.33</w:t>
            </w:r>
          </w:p>
        </w:tc>
        <w:tc>
          <w:tcPr>
            <w:tcW w:w="1548" w:type="dxa"/>
            <w:tcBorders>
              <w:top w:val="nil"/>
              <w:left w:val="single" w:sz="4" w:space="0" w:color="auto"/>
              <w:bottom w:val="nil"/>
            </w:tcBorders>
            <w:noWrap/>
            <w:vAlign w:val="center"/>
            <w:hideMark/>
          </w:tcPr>
          <w:p w14:paraId="41105A15"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94.33</w:t>
            </w:r>
          </w:p>
        </w:tc>
        <w:tc>
          <w:tcPr>
            <w:tcW w:w="1668" w:type="dxa"/>
            <w:tcBorders>
              <w:top w:val="nil"/>
              <w:bottom w:val="nil"/>
            </w:tcBorders>
            <w:noWrap/>
            <w:vAlign w:val="center"/>
            <w:hideMark/>
          </w:tcPr>
          <w:p w14:paraId="2B5CB4FE"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94.33</w:t>
            </w:r>
          </w:p>
        </w:tc>
      </w:tr>
      <w:tr w:rsidR="001D2C14" w:rsidRPr="005103F2" w14:paraId="3F2F83A3" w14:textId="77777777" w:rsidTr="00C02BBC">
        <w:trPr>
          <w:trHeight w:val="305"/>
          <w:jc w:val="center"/>
        </w:trPr>
        <w:tc>
          <w:tcPr>
            <w:tcW w:w="1106" w:type="dxa"/>
            <w:tcBorders>
              <w:top w:val="nil"/>
              <w:bottom w:val="nil"/>
            </w:tcBorders>
            <w:noWrap/>
            <w:vAlign w:val="center"/>
            <w:hideMark/>
          </w:tcPr>
          <w:p w14:paraId="5016ECF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250</w:t>
            </w:r>
          </w:p>
        </w:tc>
        <w:tc>
          <w:tcPr>
            <w:tcW w:w="1463" w:type="dxa"/>
            <w:tcBorders>
              <w:top w:val="nil"/>
              <w:bottom w:val="nil"/>
            </w:tcBorders>
            <w:noWrap/>
            <w:vAlign w:val="center"/>
            <w:hideMark/>
          </w:tcPr>
          <w:p w14:paraId="1A8D2C7A"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92.00</w:t>
            </w:r>
          </w:p>
        </w:tc>
        <w:tc>
          <w:tcPr>
            <w:tcW w:w="1692" w:type="dxa"/>
            <w:tcBorders>
              <w:top w:val="nil"/>
              <w:bottom w:val="nil"/>
              <w:right w:val="single" w:sz="4" w:space="0" w:color="auto"/>
            </w:tcBorders>
            <w:noWrap/>
            <w:vAlign w:val="center"/>
            <w:hideMark/>
          </w:tcPr>
          <w:p w14:paraId="34F00403"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92.00</w:t>
            </w:r>
          </w:p>
        </w:tc>
        <w:tc>
          <w:tcPr>
            <w:tcW w:w="1548" w:type="dxa"/>
            <w:tcBorders>
              <w:top w:val="nil"/>
              <w:left w:val="single" w:sz="4" w:space="0" w:color="auto"/>
              <w:bottom w:val="nil"/>
            </w:tcBorders>
            <w:noWrap/>
            <w:vAlign w:val="center"/>
            <w:hideMark/>
          </w:tcPr>
          <w:p w14:paraId="76D6A9B3"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93.33</w:t>
            </w:r>
          </w:p>
        </w:tc>
        <w:tc>
          <w:tcPr>
            <w:tcW w:w="1668" w:type="dxa"/>
            <w:tcBorders>
              <w:top w:val="nil"/>
              <w:bottom w:val="nil"/>
            </w:tcBorders>
            <w:noWrap/>
            <w:vAlign w:val="center"/>
            <w:hideMark/>
          </w:tcPr>
          <w:p w14:paraId="2439243A"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93.33</w:t>
            </w:r>
          </w:p>
        </w:tc>
      </w:tr>
      <w:tr w:rsidR="001D2C14" w:rsidRPr="005103F2" w14:paraId="422584A6" w14:textId="77777777" w:rsidTr="00C02BBC">
        <w:trPr>
          <w:trHeight w:val="305"/>
          <w:jc w:val="center"/>
        </w:trPr>
        <w:tc>
          <w:tcPr>
            <w:tcW w:w="1106" w:type="dxa"/>
            <w:tcBorders>
              <w:top w:val="nil"/>
              <w:bottom w:val="nil"/>
            </w:tcBorders>
            <w:noWrap/>
            <w:vAlign w:val="center"/>
            <w:hideMark/>
          </w:tcPr>
          <w:p w14:paraId="1CD9D165"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300</w:t>
            </w:r>
          </w:p>
        </w:tc>
        <w:tc>
          <w:tcPr>
            <w:tcW w:w="1463" w:type="dxa"/>
            <w:tcBorders>
              <w:top w:val="nil"/>
              <w:bottom w:val="nil"/>
            </w:tcBorders>
            <w:noWrap/>
            <w:vAlign w:val="center"/>
            <w:hideMark/>
          </w:tcPr>
          <w:p w14:paraId="6B42C69D"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90.00</w:t>
            </w:r>
          </w:p>
        </w:tc>
        <w:tc>
          <w:tcPr>
            <w:tcW w:w="1692" w:type="dxa"/>
            <w:tcBorders>
              <w:top w:val="nil"/>
              <w:bottom w:val="nil"/>
              <w:right w:val="single" w:sz="4" w:space="0" w:color="auto"/>
            </w:tcBorders>
            <w:noWrap/>
            <w:vAlign w:val="center"/>
            <w:hideMark/>
          </w:tcPr>
          <w:p w14:paraId="7BCA545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90.00</w:t>
            </w:r>
          </w:p>
        </w:tc>
        <w:tc>
          <w:tcPr>
            <w:tcW w:w="1548" w:type="dxa"/>
            <w:tcBorders>
              <w:top w:val="nil"/>
              <w:left w:val="single" w:sz="4" w:space="0" w:color="auto"/>
              <w:bottom w:val="nil"/>
            </w:tcBorders>
            <w:noWrap/>
            <w:vAlign w:val="center"/>
            <w:hideMark/>
          </w:tcPr>
          <w:p w14:paraId="1C128F9C"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86.67</w:t>
            </w:r>
          </w:p>
        </w:tc>
        <w:tc>
          <w:tcPr>
            <w:tcW w:w="1668" w:type="dxa"/>
            <w:tcBorders>
              <w:top w:val="nil"/>
              <w:bottom w:val="nil"/>
            </w:tcBorders>
            <w:noWrap/>
            <w:vAlign w:val="center"/>
            <w:hideMark/>
          </w:tcPr>
          <w:p w14:paraId="0F1C0CD8"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86.67</w:t>
            </w:r>
          </w:p>
        </w:tc>
      </w:tr>
      <w:tr w:rsidR="001D2C14" w:rsidRPr="005103F2" w14:paraId="2F18D3C1" w14:textId="77777777" w:rsidTr="00C02BBC">
        <w:trPr>
          <w:trHeight w:val="305"/>
          <w:jc w:val="center"/>
        </w:trPr>
        <w:tc>
          <w:tcPr>
            <w:tcW w:w="1106" w:type="dxa"/>
            <w:tcBorders>
              <w:top w:val="nil"/>
              <w:bottom w:val="single" w:sz="4" w:space="0" w:color="auto"/>
            </w:tcBorders>
            <w:noWrap/>
            <w:vAlign w:val="center"/>
            <w:hideMark/>
          </w:tcPr>
          <w:p w14:paraId="345EA76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400</w:t>
            </w:r>
          </w:p>
        </w:tc>
        <w:tc>
          <w:tcPr>
            <w:tcW w:w="1463" w:type="dxa"/>
            <w:tcBorders>
              <w:top w:val="nil"/>
              <w:bottom w:val="single" w:sz="4" w:space="0" w:color="auto"/>
            </w:tcBorders>
            <w:noWrap/>
            <w:vAlign w:val="center"/>
            <w:hideMark/>
          </w:tcPr>
          <w:p w14:paraId="2E48DEC1"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87.00</w:t>
            </w:r>
          </w:p>
        </w:tc>
        <w:tc>
          <w:tcPr>
            <w:tcW w:w="1692" w:type="dxa"/>
            <w:tcBorders>
              <w:top w:val="nil"/>
              <w:bottom w:val="single" w:sz="4" w:space="0" w:color="auto"/>
              <w:right w:val="single" w:sz="4" w:space="0" w:color="auto"/>
            </w:tcBorders>
            <w:noWrap/>
            <w:vAlign w:val="center"/>
            <w:hideMark/>
          </w:tcPr>
          <w:p w14:paraId="3C965EC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87.00</w:t>
            </w:r>
          </w:p>
        </w:tc>
        <w:tc>
          <w:tcPr>
            <w:tcW w:w="1548" w:type="dxa"/>
            <w:tcBorders>
              <w:top w:val="nil"/>
              <w:left w:val="single" w:sz="4" w:space="0" w:color="auto"/>
              <w:bottom w:val="single" w:sz="4" w:space="0" w:color="auto"/>
            </w:tcBorders>
            <w:noWrap/>
            <w:vAlign w:val="center"/>
            <w:hideMark/>
          </w:tcPr>
          <w:p w14:paraId="6FBE5812"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81.33</w:t>
            </w:r>
          </w:p>
        </w:tc>
        <w:tc>
          <w:tcPr>
            <w:tcW w:w="1668" w:type="dxa"/>
            <w:tcBorders>
              <w:top w:val="nil"/>
              <w:bottom w:val="single" w:sz="4" w:space="0" w:color="auto"/>
            </w:tcBorders>
            <w:noWrap/>
            <w:vAlign w:val="center"/>
            <w:hideMark/>
          </w:tcPr>
          <w:p w14:paraId="7445A6B1"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81.33</w:t>
            </w:r>
          </w:p>
        </w:tc>
      </w:tr>
      <w:tr w:rsidR="001D2C14" w:rsidRPr="005103F2" w14:paraId="1E845A35" w14:textId="77777777" w:rsidTr="00C02BBC">
        <w:trPr>
          <w:trHeight w:val="305"/>
          <w:jc w:val="center"/>
        </w:trPr>
        <w:tc>
          <w:tcPr>
            <w:tcW w:w="1106" w:type="dxa"/>
            <w:tcBorders>
              <w:top w:val="single" w:sz="4" w:space="0" w:color="auto"/>
              <w:bottom w:val="nil"/>
            </w:tcBorders>
            <w:noWrap/>
            <w:vAlign w:val="center"/>
            <w:hideMark/>
          </w:tcPr>
          <w:p w14:paraId="66806BE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Mean</w:t>
            </w:r>
          </w:p>
        </w:tc>
        <w:tc>
          <w:tcPr>
            <w:tcW w:w="1463" w:type="dxa"/>
            <w:tcBorders>
              <w:top w:val="single" w:sz="4" w:space="0" w:color="auto"/>
              <w:bottom w:val="nil"/>
            </w:tcBorders>
            <w:noWrap/>
            <w:vAlign w:val="center"/>
            <w:hideMark/>
          </w:tcPr>
          <w:p w14:paraId="67B8601F"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93.00</w:t>
            </w:r>
          </w:p>
        </w:tc>
        <w:tc>
          <w:tcPr>
            <w:tcW w:w="1692" w:type="dxa"/>
            <w:tcBorders>
              <w:top w:val="single" w:sz="4" w:space="0" w:color="auto"/>
              <w:bottom w:val="nil"/>
              <w:right w:val="single" w:sz="4" w:space="0" w:color="auto"/>
            </w:tcBorders>
            <w:noWrap/>
            <w:vAlign w:val="center"/>
            <w:hideMark/>
          </w:tcPr>
          <w:p w14:paraId="274C71FC"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
        </w:tc>
        <w:tc>
          <w:tcPr>
            <w:tcW w:w="1548" w:type="dxa"/>
            <w:tcBorders>
              <w:top w:val="single" w:sz="4" w:space="0" w:color="auto"/>
              <w:left w:val="single" w:sz="4" w:space="0" w:color="auto"/>
              <w:bottom w:val="nil"/>
            </w:tcBorders>
            <w:noWrap/>
            <w:vAlign w:val="center"/>
            <w:hideMark/>
          </w:tcPr>
          <w:p w14:paraId="3ABD9987"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91.94</w:t>
            </w:r>
          </w:p>
        </w:tc>
        <w:tc>
          <w:tcPr>
            <w:tcW w:w="1668" w:type="dxa"/>
            <w:tcBorders>
              <w:top w:val="single" w:sz="4" w:space="0" w:color="auto"/>
              <w:bottom w:val="nil"/>
            </w:tcBorders>
            <w:noWrap/>
            <w:vAlign w:val="center"/>
            <w:hideMark/>
          </w:tcPr>
          <w:p w14:paraId="16B7A6BD"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
        </w:tc>
      </w:tr>
      <w:tr w:rsidR="001D2C14" w:rsidRPr="005103F2" w14:paraId="36DB7C2D" w14:textId="77777777" w:rsidTr="00D94698">
        <w:trPr>
          <w:trHeight w:val="305"/>
          <w:jc w:val="center"/>
        </w:trPr>
        <w:tc>
          <w:tcPr>
            <w:tcW w:w="1106" w:type="dxa"/>
            <w:tcBorders>
              <w:top w:val="nil"/>
              <w:bottom w:val="single" w:sz="4" w:space="0" w:color="auto"/>
            </w:tcBorders>
            <w:noWrap/>
            <w:vAlign w:val="center"/>
            <w:hideMark/>
          </w:tcPr>
          <w:p w14:paraId="568569E9"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SD</w:t>
            </w:r>
          </w:p>
        </w:tc>
        <w:tc>
          <w:tcPr>
            <w:tcW w:w="1463" w:type="dxa"/>
            <w:tcBorders>
              <w:top w:val="nil"/>
              <w:bottom w:val="single" w:sz="4" w:space="0" w:color="auto"/>
            </w:tcBorders>
            <w:noWrap/>
            <w:vAlign w:val="center"/>
            <w:hideMark/>
          </w:tcPr>
          <w:p w14:paraId="573CF47F"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4.521553</w:t>
            </w:r>
          </w:p>
        </w:tc>
        <w:tc>
          <w:tcPr>
            <w:tcW w:w="1692" w:type="dxa"/>
            <w:tcBorders>
              <w:top w:val="nil"/>
              <w:bottom w:val="single" w:sz="4" w:space="0" w:color="auto"/>
              <w:right w:val="single" w:sz="4" w:space="0" w:color="auto"/>
            </w:tcBorders>
            <w:noWrap/>
            <w:vAlign w:val="center"/>
            <w:hideMark/>
          </w:tcPr>
          <w:p w14:paraId="587C98B5"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
        </w:tc>
        <w:tc>
          <w:tcPr>
            <w:tcW w:w="1548" w:type="dxa"/>
            <w:tcBorders>
              <w:top w:val="nil"/>
              <w:left w:val="single" w:sz="4" w:space="0" w:color="auto"/>
              <w:bottom w:val="single" w:sz="4" w:space="0" w:color="auto"/>
            </w:tcBorders>
            <w:noWrap/>
            <w:vAlign w:val="center"/>
            <w:hideMark/>
          </w:tcPr>
          <w:p w14:paraId="3EFB3929"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6.77386</w:t>
            </w:r>
          </w:p>
        </w:tc>
        <w:tc>
          <w:tcPr>
            <w:tcW w:w="1668" w:type="dxa"/>
            <w:tcBorders>
              <w:top w:val="nil"/>
              <w:bottom w:val="single" w:sz="4" w:space="0" w:color="auto"/>
            </w:tcBorders>
            <w:noWrap/>
            <w:vAlign w:val="center"/>
            <w:hideMark/>
          </w:tcPr>
          <w:p w14:paraId="46CCB8D4" w14:textId="77777777" w:rsidR="001D2C14" w:rsidRPr="005103F2" w:rsidRDefault="001D2C14" w:rsidP="00506F76">
            <w:pPr>
              <w:spacing w:after="0" w:line="360" w:lineRule="auto"/>
              <w:jc w:val="both"/>
              <w:rPr>
                <w:rFonts w:ascii="Times New Roman" w:eastAsia="Times New Roman" w:hAnsi="Times New Roman" w:cs="Times New Roman"/>
                <w:color w:val="000000"/>
                <w:sz w:val="20"/>
                <w:szCs w:val="20"/>
              </w:rPr>
            </w:pPr>
          </w:p>
        </w:tc>
      </w:tr>
    </w:tbl>
    <w:p w14:paraId="78D0EC0F" w14:textId="0F5E83E1" w:rsidR="000C5A41" w:rsidRPr="00D80375" w:rsidRDefault="00A66850" w:rsidP="00506F76">
      <w:pPr>
        <w:autoSpaceDE w:val="0"/>
        <w:autoSpaceDN w:val="0"/>
        <w:adjustRightInd w:val="0"/>
        <w:spacing w:before="240" w:line="360" w:lineRule="auto"/>
        <w:jc w:val="both"/>
        <w:rPr>
          <w:rFonts w:ascii="Times New Roman" w:hAnsi="Times New Roman" w:cs="Times New Roman"/>
          <w:color w:val="000000"/>
          <w:sz w:val="24"/>
          <w:szCs w:val="24"/>
        </w:rPr>
      </w:pPr>
      <w:r>
        <w:rPr>
          <w:rFonts w:ascii="Times New Roman" w:hAnsi="Times New Roman" w:cs="Times New Roman"/>
          <w:b/>
          <w:bCs/>
          <w:sz w:val="24"/>
          <w:szCs w:val="24"/>
        </w:rPr>
        <w:t>3.2</w:t>
      </w:r>
      <w:r w:rsidR="00662C1E">
        <w:rPr>
          <w:rFonts w:ascii="Times New Roman" w:hAnsi="Times New Roman" w:cs="Times New Roman"/>
          <w:b/>
          <w:bCs/>
          <w:sz w:val="24"/>
          <w:szCs w:val="24"/>
        </w:rPr>
        <w:t xml:space="preserve"> </w:t>
      </w:r>
      <w:r w:rsidR="00E733E3" w:rsidRPr="00D80375">
        <w:rPr>
          <w:rFonts w:ascii="Times New Roman" w:hAnsi="Times New Roman" w:cs="Times New Roman"/>
          <w:b/>
          <w:bCs/>
          <w:sz w:val="24"/>
          <w:szCs w:val="24"/>
        </w:rPr>
        <w:t>Seedling height</w:t>
      </w:r>
    </w:p>
    <w:p w14:paraId="05FB5E52" w14:textId="52212CB4" w:rsidR="008A2EE8" w:rsidRPr="005103F2" w:rsidRDefault="001E1800" w:rsidP="008A2EE8">
      <w:pPr>
        <w:autoSpaceDE w:val="0"/>
        <w:autoSpaceDN w:val="0"/>
        <w:adjustRightInd w:val="0"/>
        <w:spacing w:line="360" w:lineRule="auto"/>
        <w:jc w:val="both"/>
        <w:rPr>
          <w:rFonts w:ascii="Times New Roman" w:hAnsi="Times New Roman" w:cs="Times New Roman"/>
          <w:b/>
          <w:bCs/>
          <w:color w:val="000000"/>
          <w:sz w:val="24"/>
          <w:szCs w:val="24"/>
        </w:rPr>
      </w:pPr>
      <w:r w:rsidRPr="001E1800">
        <w:rPr>
          <w:rFonts w:ascii="Times New Roman" w:hAnsi="Times New Roman" w:cs="Times New Roman"/>
          <w:color w:val="000000"/>
          <w:sz w:val="24"/>
          <w:szCs w:val="24"/>
        </w:rPr>
        <w:t xml:space="preserve">Higher gamma doses consistently suppressed seedling height in </w:t>
      </w:r>
      <w:proofErr w:type="spellStart"/>
      <w:r w:rsidRPr="001E1800">
        <w:rPr>
          <w:rFonts w:ascii="Times New Roman" w:hAnsi="Times New Roman" w:cs="Times New Roman"/>
          <w:color w:val="000000"/>
          <w:sz w:val="24"/>
          <w:szCs w:val="24"/>
        </w:rPr>
        <w:t>Chinigura</w:t>
      </w:r>
      <w:proofErr w:type="spellEnd"/>
      <w:r w:rsidRPr="001E1800">
        <w:rPr>
          <w:rFonts w:ascii="Times New Roman" w:hAnsi="Times New Roman" w:cs="Times New Roman"/>
          <w:color w:val="000000"/>
          <w:sz w:val="24"/>
          <w:szCs w:val="24"/>
        </w:rPr>
        <w:t xml:space="preserve"> and </w:t>
      </w:r>
      <w:proofErr w:type="spellStart"/>
      <w:r w:rsidRPr="001E1800">
        <w:rPr>
          <w:rFonts w:ascii="Times New Roman" w:hAnsi="Times New Roman" w:cs="Times New Roman"/>
          <w:color w:val="000000"/>
          <w:sz w:val="24"/>
          <w:szCs w:val="24"/>
        </w:rPr>
        <w:t>Banglamati</w:t>
      </w:r>
      <w:proofErr w:type="spellEnd"/>
      <w:r w:rsidRPr="001E1800">
        <w:rPr>
          <w:rFonts w:ascii="Times New Roman" w:hAnsi="Times New Roman" w:cs="Times New Roman"/>
          <w:color w:val="000000"/>
          <w:sz w:val="24"/>
          <w:szCs w:val="24"/>
        </w:rPr>
        <w:t xml:space="preserve"> at 14 and 21 days after sowing (DAS). At 14 DAS, </w:t>
      </w:r>
      <w:proofErr w:type="spellStart"/>
      <w:r w:rsidRPr="001E1800">
        <w:rPr>
          <w:rFonts w:ascii="Times New Roman" w:hAnsi="Times New Roman" w:cs="Times New Roman"/>
          <w:color w:val="000000"/>
          <w:sz w:val="24"/>
          <w:szCs w:val="24"/>
        </w:rPr>
        <w:t>Chinigura</w:t>
      </w:r>
      <w:proofErr w:type="spellEnd"/>
      <w:r w:rsidRPr="001E1800">
        <w:rPr>
          <w:rFonts w:ascii="Times New Roman" w:hAnsi="Times New Roman" w:cs="Times New Roman"/>
          <w:color w:val="000000"/>
          <w:sz w:val="24"/>
          <w:szCs w:val="24"/>
        </w:rPr>
        <w:t xml:space="preserve"> declined from 5.50 cm (0 </w:t>
      </w:r>
      <w:proofErr w:type="spellStart"/>
      <w:r w:rsidRPr="001E1800">
        <w:rPr>
          <w:rFonts w:ascii="Times New Roman" w:hAnsi="Times New Roman" w:cs="Times New Roman"/>
          <w:color w:val="000000"/>
          <w:sz w:val="24"/>
          <w:szCs w:val="24"/>
        </w:rPr>
        <w:t>Gy</w:t>
      </w:r>
      <w:proofErr w:type="spellEnd"/>
      <w:r w:rsidRPr="001E1800">
        <w:rPr>
          <w:rFonts w:ascii="Times New Roman" w:hAnsi="Times New Roman" w:cs="Times New Roman"/>
          <w:color w:val="000000"/>
          <w:sz w:val="24"/>
          <w:szCs w:val="24"/>
        </w:rPr>
        <w:t xml:space="preserve">) to 4.17 cm (400 </w:t>
      </w:r>
      <w:proofErr w:type="spellStart"/>
      <w:r w:rsidRPr="001E1800">
        <w:rPr>
          <w:rFonts w:ascii="Times New Roman" w:hAnsi="Times New Roman" w:cs="Times New Roman"/>
          <w:color w:val="000000"/>
          <w:sz w:val="24"/>
          <w:szCs w:val="24"/>
        </w:rPr>
        <w:t>Gy</w:t>
      </w:r>
      <w:proofErr w:type="spellEnd"/>
      <w:r w:rsidRPr="001E1800">
        <w:rPr>
          <w:rFonts w:ascii="Times New Roman" w:hAnsi="Times New Roman" w:cs="Times New Roman"/>
          <w:color w:val="000000"/>
          <w:sz w:val="24"/>
          <w:szCs w:val="24"/>
        </w:rPr>
        <w:t xml:space="preserve">, 24.12% reduction), while </w:t>
      </w:r>
      <w:proofErr w:type="spellStart"/>
      <w:r w:rsidRPr="001E1800">
        <w:rPr>
          <w:rFonts w:ascii="Times New Roman" w:hAnsi="Times New Roman" w:cs="Times New Roman"/>
          <w:color w:val="000000"/>
          <w:sz w:val="24"/>
          <w:szCs w:val="24"/>
        </w:rPr>
        <w:t>Banglamati</w:t>
      </w:r>
      <w:proofErr w:type="spellEnd"/>
      <w:r w:rsidRPr="001E1800">
        <w:rPr>
          <w:rFonts w:ascii="Times New Roman" w:hAnsi="Times New Roman" w:cs="Times New Roman"/>
          <w:color w:val="000000"/>
          <w:sz w:val="24"/>
          <w:szCs w:val="24"/>
        </w:rPr>
        <w:t xml:space="preserve"> dropped from 6.60 cm to 4.25 cm (35.61%), showing less consistency. At 21 DAS, </w:t>
      </w:r>
      <w:proofErr w:type="spellStart"/>
      <w:r w:rsidRPr="001E1800">
        <w:rPr>
          <w:rFonts w:ascii="Times New Roman" w:hAnsi="Times New Roman" w:cs="Times New Roman"/>
          <w:color w:val="000000"/>
          <w:sz w:val="24"/>
          <w:szCs w:val="24"/>
        </w:rPr>
        <w:t>Chinigura</w:t>
      </w:r>
      <w:proofErr w:type="spellEnd"/>
      <w:r w:rsidRPr="001E1800">
        <w:rPr>
          <w:rFonts w:ascii="Times New Roman" w:hAnsi="Times New Roman" w:cs="Times New Roman"/>
          <w:color w:val="000000"/>
          <w:sz w:val="24"/>
          <w:szCs w:val="24"/>
        </w:rPr>
        <w:t xml:space="preserve"> decreased from 9.67 cm to 8.06 cm, and </w:t>
      </w:r>
      <w:proofErr w:type="spellStart"/>
      <w:r w:rsidRPr="001E1800">
        <w:rPr>
          <w:rFonts w:ascii="Times New Roman" w:hAnsi="Times New Roman" w:cs="Times New Roman"/>
          <w:color w:val="000000"/>
          <w:sz w:val="24"/>
          <w:szCs w:val="24"/>
        </w:rPr>
        <w:t>Banglamati</w:t>
      </w:r>
      <w:proofErr w:type="spellEnd"/>
      <w:r w:rsidRPr="001E1800">
        <w:rPr>
          <w:rFonts w:ascii="Times New Roman" w:hAnsi="Times New Roman" w:cs="Times New Roman"/>
          <w:color w:val="000000"/>
          <w:sz w:val="24"/>
          <w:szCs w:val="24"/>
        </w:rPr>
        <w:t xml:space="preserve"> from 10.17 cm to 8.20 cm. </w:t>
      </w:r>
      <w:proofErr w:type="spellStart"/>
      <w:r w:rsidRPr="001E1800">
        <w:rPr>
          <w:rFonts w:ascii="Times New Roman" w:hAnsi="Times New Roman" w:cs="Times New Roman"/>
          <w:color w:val="000000"/>
          <w:sz w:val="24"/>
          <w:szCs w:val="24"/>
        </w:rPr>
        <w:t>Banglamati</w:t>
      </w:r>
      <w:proofErr w:type="spellEnd"/>
      <w:r w:rsidRPr="001E1800">
        <w:rPr>
          <w:rFonts w:ascii="Times New Roman" w:hAnsi="Times New Roman" w:cs="Times New Roman"/>
          <w:color w:val="000000"/>
          <w:sz w:val="24"/>
          <w:szCs w:val="24"/>
        </w:rPr>
        <w:t xml:space="preserve"> seedlings were taller but more variable</w:t>
      </w:r>
      <w:r w:rsidR="00DF6CE7" w:rsidRPr="001E1800">
        <w:rPr>
          <w:rFonts w:ascii="Times New Roman" w:hAnsi="Times New Roman" w:cs="Times New Roman"/>
          <w:sz w:val="24"/>
          <w:szCs w:val="24"/>
        </w:rPr>
        <w:t>.</w:t>
      </w:r>
      <w:r w:rsidR="00351096" w:rsidRPr="001E1800">
        <w:rPr>
          <w:rFonts w:ascii="Times New Roman" w:eastAsia="Times New Roman" w:hAnsi="Times New Roman" w:cs="Times New Roman"/>
          <w:sz w:val="24"/>
          <w:szCs w:val="24"/>
        </w:rPr>
        <w:t xml:space="preserve"> </w:t>
      </w:r>
      <w:r w:rsidR="008A2EE8" w:rsidRPr="00A05424">
        <w:rPr>
          <w:rFonts w:ascii="Times New Roman" w:hAnsi="Times New Roman" w:cs="Times New Roman"/>
          <w:sz w:val="24"/>
          <w:szCs w:val="24"/>
          <w:highlight w:val="yellow"/>
        </w:rPr>
        <w:t>Kant et al. (2020) found plant height largely unaffected at low gamma doses but markedly reduced at higher doses.</w:t>
      </w:r>
      <w:r w:rsidR="008A2EE8" w:rsidRPr="00A05424">
        <w:rPr>
          <w:highlight w:val="yellow"/>
        </w:rPr>
        <w:t xml:space="preserve"> </w:t>
      </w:r>
      <w:r w:rsidR="008A2EE8" w:rsidRPr="00A05424">
        <w:rPr>
          <w:rFonts w:ascii="Times New Roman" w:hAnsi="Times New Roman" w:cs="Times New Roman"/>
          <w:sz w:val="24"/>
          <w:szCs w:val="24"/>
          <w:highlight w:val="yellow"/>
        </w:rPr>
        <w:t xml:space="preserve">Rani et al. (2016) found that the seedling height of both </w:t>
      </w:r>
      <w:proofErr w:type="spellStart"/>
      <w:r w:rsidR="008A2EE8" w:rsidRPr="00A05424">
        <w:rPr>
          <w:rFonts w:ascii="Times New Roman" w:hAnsi="Times New Roman" w:cs="Times New Roman"/>
          <w:sz w:val="24"/>
          <w:szCs w:val="24"/>
          <w:highlight w:val="yellow"/>
        </w:rPr>
        <w:t>Ashfal</w:t>
      </w:r>
      <w:proofErr w:type="spellEnd"/>
      <w:r w:rsidR="008A2EE8" w:rsidRPr="00A05424">
        <w:rPr>
          <w:rFonts w:ascii="Times New Roman" w:hAnsi="Times New Roman" w:cs="Times New Roman"/>
          <w:sz w:val="24"/>
          <w:szCs w:val="24"/>
          <w:highlight w:val="yellow"/>
        </w:rPr>
        <w:t xml:space="preserve"> and Binadhan-14 decreased progressively with increasing doses of gamma radiation. At 14 days after sowing, the </w:t>
      </w:r>
      <w:r w:rsidR="008A2EE8" w:rsidRPr="00A05424">
        <w:rPr>
          <w:rFonts w:ascii="Times New Roman" w:hAnsi="Times New Roman" w:cs="Times New Roman"/>
          <w:sz w:val="24"/>
          <w:szCs w:val="24"/>
          <w:highlight w:val="yellow"/>
        </w:rPr>
        <w:lastRenderedPageBreak/>
        <w:t xml:space="preserve">seedling height of </w:t>
      </w:r>
      <w:proofErr w:type="spellStart"/>
      <w:r w:rsidR="008A2EE8" w:rsidRPr="00A05424">
        <w:rPr>
          <w:rFonts w:ascii="Times New Roman" w:hAnsi="Times New Roman" w:cs="Times New Roman"/>
          <w:sz w:val="24"/>
          <w:szCs w:val="24"/>
          <w:highlight w:val="yellow"/>
        </w:rPr>
        <w:t>Ashfal</w:t>
      </w:r>
      <w:proofErr w:type="spellEnd"/>
      <w:r w:rsidR="008A2EE8" w:rsidRPr="00A05424">
        <w:rPr>
          <w:rFonts w:ascii="Times New Roman" w:hAnsi="Times New Roman" w:cs="Times New Roman"/>
          <w:sz w:val="24"/>
          <w:szCs w:val="24"/>
          <w:highlight w:val="yellow"/>
        </w:rPr>
        <w:t xml:space="preserve"> ranged from 17.41 cm in the control (0 </w:t>
      </w:r>
      <w:proofErr w:type="spellStart"/>
      <w:r w:rsidR="008A2EE8" w:rsidRPr="00A05424">
        <w:rPr>
          <w:rFonts w:ascii="Times New Roman" w:hAnsi="Times New Roman" w:cs="Times New Roman"/>
          <w:sz w:val="24"/>
          <w:szCs w:val="24"/>
          <w:highlight w:val="yellow"/>
        </w:rPr>
        <w:t>Gy</w:t>
      </w:r>
      <w:proofErr w:type="spellEnd"/>
      <w:r w:rsidR="008A2EE8" w:rsidRPr="00A05424">
        <w:rPr>
          <w:rFonts w:ascii="Times New Roman" w:hAnsi="Times New Roman" w:cs="Times New Roman"/>
          <w:sz w:val="24"/>
          <w:szCs w:val="24"/>
          <w:highlight w:val="yellow"/>
        </w:rPr>
        <w:t>) to 0.82 cm at 400 </w:t>
      </w:r>
      <w:proofErr w:type="spellStart"/>
      <w:r w:rsidR="008A2EE8" w:rsidRPr="00A05424">
        <w:rPr>
          <w:rFonts w:ascii="Times New Roman" w:hAnsi="Times New Roman" w:cs="Times New Roman"/>
          <w:sz w:val="24"/>
          <w:szCs w:val="24"/>
          <w:highlight w:val="yellow"/>
        </w:rPr>
        <w:t>Gy</w:t>
      </w:r>
      <w:proofErr w:type="spellEnd"/>
      <w:r w:rsidR="008A2EE8" w:rsidRPr="00A05424">
        <w:rPr>
          <w:rFonts w:ascii="Times New Roman" w:hAnsi="Times New Roman" w:cs="Times New Roman"/>
          <w:sz w:val="24"/>
          <w:szCs w:val="24"/>
          <w:highlight w:val="yellow"/>
        </w:rPr>
        <w:t>, showing a reduction of over 95%. Similarly, Binadhan-14 seedlings decreased from 12.14 cm in the control to 3.70 cm at 400 </w:t>
      </w:r>
      <w:proofErr w:type="spellStart"/>
      <w:r w:rsidR="008A2EE8" w:rsidRPr="00A05424">
        <w:rPr>
          <w:rFonts w:ascii="Times New Roman" w:hAnsi="Times New Roman" w:cs="Times New Roman"/>
          <w:sz w:val="24"/>
          <w:szCs w:val="24"/>
          <w:highlight w:val="yellow"/>
        </w:rPr>
        <w:t>Gy</w:t>
      </w:r>
      <w:proofErr w:type="spellEnd"/>
      <w:r w:rsidR="008A2EE8" w:rsidRPr="00A05424">
        <w:rPr>
          <w:rFonts w:ascii="Times New Roman" w:hAnsi="Times New Roman" w:cs="Times New Roman"/>
          <w:sz w:val="24"/>
          <w:szCs w:val="24"/>
          <w:highlight w:val="yellow"/>
        </w:rPr>
        <w:t xml:space="preserve">, representing a reduction of approximately 70%. The mean seedling height across all gamma ray treatments was 11.34 cm for </w:t>
      </w:r>
      <w:proofErr w:type="spellStart"/>
      <w:r w:rsidR="008A2EE8" w:rsidRPr="00A05424">
        <w:rPr>
          <w:rFonts w:ascii="Times New Roman" w:hAnsi="Times New Roman" w:cs="Times New Roman"/>
          <w:sz w:val="24"/>
          <w:szCs w:val="24"/>
          <w:highlight w:val="yellow"/>
        </w:rPr>
        <w:t>Ashfal</w:t>
      </w:r>
      <w:proofErr w:type="spellEnd"/>
      <w:r w:rsidR="008A2EE8" w:rsidRPr="00A05424">
        <w:rPr>
          <w:rFonts w:ascii="Times New Roman" w:hAnsi="Times New Roman" w:cs="Times New Roman"/>
          <w:sz w:val="24"/>
          <w:szCs w:val="24"/>
          <w:highlight w:val="yellow"/>
        </w:rPr>
        <w:t xml:space="preserve"> and 9.66 cm for Binadhan-14, indicating that higher doses of gamma radiation significantly inhibited early seedling growth.</w:t>
      </w:r>
      <w:r w:rsidR="008A2EE8" w:rsidRPr="007C5E88">
        <w:rPr>
          <w:rFonts w:ascii="Times New Roman" w:hAnsi="Times New Roman" w:cs="Times New Roman"/>
          <w:sz w:val="24"/>
          <w:szCs w:val="24"/>
        </w:rPr>
        <w:t xml:space="preserve"> Similarly, Rani et al. (2016), Harding et al. (2012), and Faustino et al. (2024) reported gradual declines in rice seedling height with increasing radiation</w:t>
      </w:r>
      <w:r w:rsidR="008A2EE8">
        <w:rPr>
          <w:rFonts w:ascii="Times New Roman" w:hAnsi="Times New Roman" w:cs="Times New Roman"/>
          <w:sz w:val="24"/>
          <w:szCs w:val="24"/>
        </w:rPr>
        <w:t>.</w:t>
      </w:r>
    </w:p>
    <w:p w14:paraId="4A0B3FFB" w14:textId="7C320505" w:rsidR="00E733E3" w:rsidRPr="005103F2" w:rsidRDefault="00A507BE" w:rsidP="00506F76">
      <w:pPr>
        <w:autoSpaceDE w:val="0"/>
        <w:autoSpaceDN w:val="0"/>
        <w:adjustRightInd w:val="0"/>
        <w:spacing w:line="360" w:lineRule="auto"/>
        <w:jc w:val="both"/>
        <w:rPr>
          <w:rFonts w:ascii="Times New Roman" w:eastAsia="Times New Roman+FPEF" w:hAnsi="Times New Roman" w:cs="Times New Roman"/>
          <w:sz w:val="24"/>
          <w:szCs w:val="24"/>
        </w:rPr>
      </w:pPr>
      <w:r w:rsidRPr="005103F2">
        <w:rPr>
          <w:rFonts w:ascii="Times New Roman" w:hAnsi="Times New Roman" w:cs="Times New Roman"/>
          <w:b/>
          <w:bCs/>
          <w:sz w:val="24"/>
          <w:szCs w:val="24"/>
        </w:rPr>
        <w:t xml:space="preserve">Table 2. Effect of gamma ray irradiation on seedling height at 14 and 21 days after sowing on </w:t>
      </w:r>
      <w:proofErr w:type="spellStart"/>
      <w:r w:rsidR="009C4484" w:rsidRPr="005103F2">
        <w:rPr>
          <w:rFonts w:ascii="Times New Roman" w:eastAsia="Times New Roman" w:hAnsi="Times New Roman" w:cs="Times New Roman"/>
          <w:b/>
          <w:bCs/>
          <w:color w:val="000000"/>
          <w:sz w:val="24"/>
          <w:szCs w:val="24"/>
        </w:rPr>
        <w:t>Chinigura</w:t>
      </w:r>
      <w:proofErr w:type="spellEnd"/>
      <w:r w:rsidR="009C4484" w:rsidRPr="005103F2">
        <w:rPr>
          <w:rFonts w:ascii="Times New Roman" w:hAnsi="Times New Roman" w:cs="Times New Roman"/>
          <w:b/>
          <w:bCs/>
          <w:sz w:val="24"/>
          <w:szCs w:val="24"/>
        </w:rPr>
        <w:t xml:space="preserve"> and </w:t>
      </w:r>
      <w:proofErr w:type="spellStart"/>
      <w:r w:rsidR="009C4484" w:rsidRPr="005103F2">
        <w:rPr>
          <w:rFonts w:ascii="Times New Roman" w:eastAsia="Times New Roman" w:hAnsi="Times New Roman" w:cs="Times New Roman"/>
          <w:b/>
          <w:color w:val="000000"/>
          <w:sz w:val="24"/>
          <w:szCs w:val="24"/>
        </w:rPr>
        <w:t>Banglamati</w:t>
      </w:r>
      <w:proofErr w:type="spellEnd"/>
      <w:r w:rsidR="009C4484" w:rsidRPr="005103F2">
        <w:rPr>
          <w:rFonts w:ascii="Times New Roman" w:eastAsia="Times New Roman" w:hAnsi="Times New Roman" w:cs="Times New Roman"/>
          <w:b/>
          <w:color w:val="000000"/>
          <w:sz w:val="24"/>
          <w:szCs w:val="24"/>
        </w:rPr>
        <w:t xml:space="preserve"> </w:t>
      </w:r>
    </w:p>
    <w:tbl>
      <w:tblPr>
        <w:tblW w:w="8303" w:type="dxa"/>
        <w:tblInd w:w="108" w:type="dxa"/>
        <w:tblBorders>
          <w:insideH w:val="single" w:sz="4" w:space="0" w:color="auto"/>
        </w:tblBorders>
        <w:tblLook w:val="04A0" w:firstRow="1" w:lastRow="0" w:firstColumn="1" w:lastColumn="0" w:noHBand="0" w:noVBand="1"/>
      </w:tblPr>
      <w:tblGrid>
        <w:gridCol w:w="781"/>
        <w:gridCol w:w="1116"/>
        <w:gridCol w:w="940"/>
        <w:gridCol w:w="1116"/>
        <w:gridCol w:w="941"/>
        <w:gridCol w:w="1116"/>
        <w:gridCol w:w="941"/>
        <w:gridCol w:w="1116"/>
        <w:gridCol w:w="783"/>
      </w:tblGrid>
      <w:tr w:rsidR="00513459" w:rsidRPr="005103F2" w14:paraId="21927C75" w14:textId="77777777" w:rsidTr="00221712">
        <w:trPr>
          <w:trHeight w:val="300"/>
        </w:trPr>
        <w:tc>
          <w:tcPr>
            <w:tcW w:w="781" w:type="dxa"/>
            <w:vMerge w:val="restart"/>
            <w:tcBorders>
              <w:top w:val="single" w:sz="4" w:space="0" w:color="auto"/>
              <w:bottom w:val="single" w:sz="4" w:space="0" w:color="auto"/>
            </w:tcBorders>
            <w:shd w:val="clear" w:color="000000" w:fill="FFFFFF"/>
            <w:vAlign w:val="center"/>
            <w:hideMark/>
          </w:tcPr>
          <w:p w14:paraId="2CA25F7E" w14:textId="77777777" w:rsidR="00513459" w:rsidRPr="005103F2" w:rsidRDefault="00513459" w:rsidP="00506F76">
            <w:pPr>
              <w:spacing w:line="360" w:lineRule="auto"/>
              <w:jc w:val="both"/>
              <w:rPr>
                <w:rFonts w:ascii="Times New Roman" w:eastAsia="Times New Roman" w:hAnsi="Times New Roman" w:cs="Times New Roman"/>
                <w:bCs/>
                <w:color w:val="000000"/>
                <w:sz w:val="20"/>
                <w:szCs w:val="20"/>
              </w:rPr>
            </w:pPr>
            <w:r w:rsidRPr="005103F2">
              <w:rPr>
                <w:rFonts w:ascii="Times New Roman" w:eastAsia="Times New Roman" w:hAnsi="Times New Roman" w:cs="Times New Roman"/>
                <w:bCs/>
                <w:color w:val="000000"/>
                <w:sz w:val="20"/>
                <w:szCs w:val="20"/>
              </w:rPr>
              <w:t>Dose (GY)</w:t>
            </w:r>
          </w:p>
        </w:tc>
        <w:tc>
          <w:tcPr>
            <w:tcW w:w="2056" w:type="dxa"/>
            <w:gridSpan w:val="2"/>
            <w:tcBorders>
              <w:top w:val="single" w:sz="4" w:space="0" w:color="auto"/>
              <w:bottom w:val="single" w:sz="4" w:space="0" w:color="auto"/>
            </w:tcBorders>
            <w:noWrap/>
            <w:vAlign w:val="center"/>
            <w:hideMark/>
          </w:tcPr>
          <w:p w14:paraId="6C364069" w14:textId="77777777" w:rsidR="00513459" w:rsidRPr="005103F2" w:rsidRDefault="00513459" w:rsidP="00506F76">
            <w:pPr>
              <w:spacing w:after="0" w:line="360" w:lineRule="auto"/>
              <w:jc w:val="both"/>
              <w:rPr>
                <w:rFonts w:ascii="Times New Roman" w:eastAsia="Times New Roman" w:hAnsi="Times New Roman" w:cs="Times New Roman"/>
                <w:bCs/>
                <w:color w:val="000000"/>
                <w:sz w:val="20"/>
                <w:szCs w:val="20"/>
              </w:rPr>
            </w:pPr>
            <w:proofErr w:type="spellStart"/>
            <w:r w:rsidRPr="005103F2">
              <w:rPr>
                <w:rFonts w:ascii="Times New Roman" w:eastAsia="Times New Roman" w:hAnsi="Times New Roman" w:cs="Times New Roman"/>
                <w:bCs/>
                <w:color w:val="000000"/>
                <w:sz w:val="20"/>
                <w:szCs w:val="20"/>
              </w:rPr>
              <w:t>Chinigura</w:t>
            </w:r>
            <w:proofErr w:type="spellEnd"/>
          </w:p>
        </w:tc>
        <w:tc>
          <w:tcPr>
            <w:tcW w:w="2057" w:type="dxa"/>
            <w:gridSpan w:val="2"/>
            <w:tcBorders>
              <w:top w:val="single" w:sz="4" w:space="0" w:color="auto"/>
              <w:bottom w:val="single" w:sz="4" w:space="0" w:color="auto"/>
              <w:right w:val="single" w:sz="4" w:space="0" w:color="auto"/>
            </w:tcBorders>
            <w:noWrap/>
            <w:vAlign w:val="center"/>
            <w:hideMark/>
          </w:tcPr>
          <w:p w14:paraId="7851DB9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roofErr w:type="spellStart"/>
            <w:r w:rsidRPr="005103F2">
              <w:rPr>
                <w:rFonts w:ascii="Times New Roman" w:eastAsia="Times New Roman" w:hAnsi="Times New Roman" w:cs="Times New Roman"/>
                <w:color w:val="000000"/>
                <w:sz w:val="20"/>
                <w:szCs w:val="20"/>
              </w:rPr>
              <w:t>Banglamati</w:t>
            </w:r>
            <w:proofErr w:type="spellEnd"/>
          </w:p>
        </w:tc>
        <w:tc>
          <w:tcPr>
            <w:tcW w:w="2057" w:type="dxa"/>
            <w:gridSpan w:val="2"/>
            <w:tcBorders>
              <w:top w:val="single" w:sz="4" w:space="0" w:color="auto"/>
              <w:left w:val="single" w:sz="4" w:space="0" w:color="auto"/>
              <w:bottom w:val="single" w:sz="4" w:space="0" w:color="auto"/>
            </w:tcBorders>
            <w:noWrap/>
            <w:vAlign w:val="center"/>
            <w:hideMark/>
          </w:tcPr>
          <w:p w14:paraId="77628CAB" w14:textId="77777777" w:rsidR="00513459" w:rsidRPr="005103F2" w:rsidRDefault="00513459" w:rsidP="00506F76">
            <w:pPr>
              <w:spacing w:after="0" w:line="360" w:lineRule="auto"/>
              <w:jc w:val="both"/>
              <w:rPr>
                <w:rFonts w:ascii="Times New Roman" w:eastAsia="Times New Roman" w:hAnsi="Times New Roman" w:cs="Times New Roman"/>
                <w:bCs/>
                <w:color w:val="000000"/>
                <w:sz w:val="20"/>
                <w:szCs w:val="20"/>
              </w:rPr>
            </w:pPr>
            <w:proofErr w:type="spellStart"/>
            <w:r w:rsidRPr="005103F2">
              <w:rPr>
                <w:rFonts w:ascii="Times New Roman" w:eastAsia="Times New Roman" w:hAnsi="Times New Roman" w:cs="Times New Roman"/>
                <w:bCs/>
                <w:color w:val="000000"/>
                <w:sz w:val="20"/>
                <w:szCs w:val="20"/>
              </w:rPr>
              <w:t>Chinigura</w:t>
            </w:r>
            <w:proofErr w:type="spellEnd"/>
          </w:p>
        </w:tc>
        <w:tc>
          <w:tcPr>
            <w:tcW w:w="1352" w:type="dxa"/>
            <w:gridSpan w:val="2"/>
            <w:tcBorders>
              <w:top w:val="single" w:sz="4" w:space="0" w:color="auto"/>
              <w:bottom w:val="single" w:sz="4" w:space="0" w:color="auto"/>
            </w:tcBorders>
            <w:noWrap/>
            <w:vAlign w:val="center"/>
            <w:hideMark/>
          </w:tcPr>
          <w:p w14:paraId="1ABB615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roofErr w:type="spellStart"/>
            <w:r w:rsidRPr="005103F2">
              <w:rPr>
                <w:rFonts w:ascii="Times New Roman" w:eastAsia="Times New Roman" w:hAnsi="Times New Roman" w:cs="Times New Roman"/>
                <w:color w:val="000000"/>
                <w:sz w:val="20"/>
                <w:szCs w:val="20"/>
              </w:rPr>
              <w:t>Banglamati</w:t>
            </w:r>
            <w:proofErr w:type="spellEnd"/>
          </w:p>
        </w:tc>
      </w:tr>
      <w:tr w:rsidR="00513459" w:rsidRPr="005103F2" w14:paraId="225DC323" w14:textId="77777777" w:rsidTr="00221712">
        <w:trPr>
          <w:trHeight w:val="885"/>
        </w:trPr>
        <w:tc>
          <w:tcPr>
            <w:tcW w:w="781" w:type="dxa"/>
            <w:vMerge/>
            <w:tcBorders>
              <w:top w:val="single" w:sz="4" w:space="0" w:color="auto"/>
              <w:bottom w:val="single" w:sz="4" w:space="0" w:color="auto"/>
            </w:tcBorders>
            <w:vAlign w:val="center"/>
            <w:hideMark/>
          </w:tcPr>
          <w:p w14:paraId="0BBD6847" w14:textId="77777777" w:rsidR="00513459" w:rsidRPr="005103F2" w:rsidRDefault="00513459" w:rsidP="00506F76">
            <w:pPr>
              <w:spacing w:after="0" w:line="360" w:lineRule="auto"/>
              <w:jc w:val="both"/>
              <w:rPr>
                <w:rFonts w:ascii="Times New Roman" w:eastAsia="Times New Roman" w:hAnsi="Times New Roman" w:cs="Times New Roman"/>
                <w:b/>
                <w:bCs/>
                <w:color w:val="000000"/>
                <w:sz w:val="20"/>
                <w:szCs w:val="20"/>
              </w:rPr>
            </w:pPr>
          </w:p>
        </w:tc>
        <w:tc>
          <w:tcPr>
            <w:tcW w:w="1116" w:type="dxa"/>
            <w:tcBorders>
              <w:top w:val="single" w:sz="4" w:space="0" w:color="auto"/>
              <w:bottom w:val="single" w:sz="4" w:space="0" w:color="auto"/>
            </w:tcBorders>
            <w:vAlign w:val="center"/>
            <w:hideMark/>
          </w:tcPr>
          <w:p w14:paraId="7C56221D" w14:textId="03C2A71C"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xml:space="preserve">Seedling ht. </w:t>
            </w:r>
            <w:r w:rsidR="00F60909">
              <w:rPr>
                <w:rFonts w:ascii="Times New Roman" w:eastAsia="Times New Roman" w:hAnsi="Times New Roman" w:cs="Times New Roman"/>
                <w:color w:val="000000"/>
                <w:sz w:val="20"/>
                <w:szCs w:val="20"/>
              </w:rPr>
              <w:t>at</w:t>
            </w:r>
            <w:r w:rsidR="00D41ACB">
              <w:rPr>
                <w:rFonts w:ascii="Times New Roman" w:eastAsia="Times New Roman" w:hAnsi="Times New Roman" w:cs="Times New Roman"/>
                <w:color w:val="000000"/>
                <w:sz w:val="20"/>
                <w:szCs w:val="20"/>
              </w:rPr>
              <w:t xml:space="preserve"> </w:t>
            </w:r>
            <w:r w:rsidRPr="005103F2">
              <w:rPr>
                <w:rFonts w:ascii="Times New Roman" w:eastAsia="Times New Roman" w:hAnsi="Times New Roman" w:cs="Times New Roman"/>
                <w:color w:val="000000"/>
                <w:sz w:val="20"/>
                <w:szCs w:val="20"/>
              </w:rPr>
              <w:t>14 days (cm)</w:t>
            </w:r>
          </w:p>
        </w:tc>
        <w:tc>
          <w:tcPr>
            <w:tcW w:w="940" w:type="dxa"/>
            <w:tcBorders>
              <w:top w:val="single" w:sz="4" w:space="0" w:color="auto"/>
              <w:bottom w:val="single" w:sz="4" w:space="0" w:color="auto"/>
            </w:tcBorders>
            <w:vAlign w:val="center"/>
            <w:hideMark/>
          </w:tcPr>
          <w:p w14:paraId="0F67A6D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116" w:type="dxa"/>
            <w:tcBorders>
              <w:top w:val="single" w:sz="4" w:space="0" w:color="auto"/>
              <w:bottom w:val="single" w:sz="4" w:space="0" w:color="auto"/>
            </w:tcBorders>
            <w:vAlign w:val="center"/>
            <w:hideMark/>
          </w:tcPr>
          <w:p w14:paraId="1677C2E6" w14:textId="5D9191D8"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xml:space="preserve">Seedling ht. </w:t>
            </w:r>
            <w:r w:rsidR="00D41ACB">
              <w:rPr>
                <w:rFonts w:ascii="Times New Roman" w:eastAsia="Times New Roman" w:hAnsi="Times New Roman" w:cs="Times New Roman"/>
                <w:color w:val="000000"/>
                <w:sz w:val="20"/>
                <w:szCs w:val="20"/>
              </w:rPr>
              <w:t xml:space="preserve">at </w:t>
            </w:r>
            <w:r w:rsidRPr="005103F2">
              <w:rPr>
                <w:rFonts w:ascii="Times New Roman" w:eastAsia="Times New Roman" w:hAnsi="Times New Roman" w:cs="Times New Roman"/>
                <w:color w:val="000000"/>
                <w:sz w:val="20"/>
                <w:szCs w:val="20"/>
              </w:rPr>
              <w:t>14 days (cm)</w:t>
            </w:r>
          </w:p>
        </w:tc>
        <w:tc>
          <w:tcPr>
            <w:tcW w:w="941" w:type="dxa"/>
            <w:tcBorders>
              <w:top w:val="single" w:sz="4" w:space="0" w:color="auto"/>
              <w:bottom w:val="single" w:sz="4" w:space="0" w:color="auto"/>
              <w:right w:val="single" w:sz="4" w:space="0" w:color="auto"/>
            </w:tcBorders>
            <w:vAlign w:val="center"/>
            <w:hideMark/>
          </w:tcPr>
          <w:p w14:paraId="0B7CA7A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116" w:type="dxa"/>
            <w:tcBorders>
              <w:top w:val="single" w:sz="4" w:space="0" w:color="auto"/>
              <w:left w:val="single" w:sz="4" w:space="0" w:color="auto"/>
              <w:bottom w:val="single" w:sz="4" w:space="0" w:color="auto"/>
            </w:tcBorders>
            <w:vAlign w:val="center"/>
            <w:hideMark/>
          </w:tcPr>
          <w:p w14:paraId="4838910D" w14:textId="3494FFE9"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xml:space="preserve">Seedling ht. </w:t>
            </w:r>
            <w:r w:rsidR="00D41ACB">
              <w:rPr>
                <w:rFonts w:ascii="Times New Roman" w:eastAsia="Times New Roman" w:hAnsi="Times New Roman" w:cs="Times New Roman"/>
                <w:color w:val="000000"/>
                <w:sz w:val="20"/>
                <w:szCs w:val="20"/>
              </w:rPr>
              <w:t xml:space="preserve">at </w:t>
            </w:r>
            <w:r w:rsidRPr="005103F2">
              <w:rPr>
                <w:rFonts w:ascii="Times New Roman" w:eastAsia="Times New Roman" w:hAnsi="Times New Roman" w:cs="Times New Roman"/>
                <w:color w:val="000000"/>
                <w:sz w:val="20"/>
                <w:szCs w:val="20"/>
              </w:rPr>
              <w:t>21 days (cm)</w:t>
            </w:r>
          </w:p>
        </w:tc>
        <w:tc>
          <w:tcPr>
            <w:tcW w:w="941" w:type="dxa"/>
            <w:tcBorders>
              <w:top w:val="single" w:sz="4" w:space="0" w:color="auto"/>
              <w:bottom w:val="single" w:sz="4" w:space="0" w:color="auto"/>
            </w:tcBorders>
            <w:vAlign w:val="center"/>
            <w:hideMark/>
          </w:tcPr>
          <w:p w14:paraId="3D21825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116" w:type="dxa"/>
            <w:tcBorders>
              <w:top w:val="single" w:sz="4" w:space="0" w:color="auto"/>
              <w:bottom w:val="single" w:sz="4" w:space="0" w:color="auto"/>
            </w:tcBorders>
            <w:vAlign w:val="center"/>
            <w:hideMark/>
          </w:tcPr>
          <w:p w14:paraId="4991ABDA" w14:textId="532A4B76"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xml:space="preserve">Seedling ht. </w:t>
            </w:r>
            <w:r w:rsidR="00D41ACB">
              <w:rPr>
                <w:rFonts w:ascii="Times New Roman" w:eastAsia="Times New Roman" w:hAnsi="Times New Roman" w:cs="Times New Roman"/>
                <w:color w:val="000000"/>
                <w:sz w:val="20"/>
                <w:szCs w:val="20"/>
              </w:rPr>
              <w:t xml:space="preserve">at </w:t>
            </w:r>
            <w:r w:rsidRPr="005103F2">
              <w:rPr>
                <w:rFonts w:ascii="Times New Roman" w:eastAsia="Times New Roman" w:hAnsi="Times New Roman" w:cs="Times New Roman"/>
                <w:color w:val="000000"/>
                <w:sz w:val="20"/>
                <w:szCs w:val="20"/>
              </w:rPr>
              <w:t>21 days (cm)</w:t>
            </w:r>
          </w:p>
        </w:tc>
        <w:tc>
          <w:tcPr>
            <w:tcW w:w="236" w:type="dxa"/>
            <w:tcBorders>
              <w:top w:val="single" w:sz="4" w:space="0" w:color="auto"/>
              <w:bottom w:val="single" w:sz="4" w:space="0" w:color="auto"/>
            </w:tcBorders>
            <w:vAlign w:val="center"/>
            <w:hideMark/>
          </w:tcPr>
          <w:p w14:paraId="747AB42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r>
      <w:tr w:rsidR="00513459" w:rsidRPr="005103F2" w14:paraId="6D9C2DA9" w14:textId="77777777" w:rsidTr="00221712">
        <w:trPr>
          <w:trHeight w:val="300"/>
        </w:trPr>
        <w:tc>
          <w:tcPr>
            <w:tcW w:w="781" w:type="dxa"/>
            <w:tcBorders>
              <w:top w:val="single" w:sz="4" w:space="0" w:color="auto"/>
              <w:bottom w:val="nil"/>
            </w:tcBorders>
            <w:noWrap/>
            <w:vAlign w:val="center"/>
            <w:hideMark/>
          </w:tcPr>
          <w:p w14:paraId="0213EB83"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w:t>
            </w:r>
          </w:p>
        </w:tc>
        <w:tc>
          <w:tcPr>
            <w:tcW w:w="1116" w:type="dxa"/>
            <w:tcBorders>
              <w:top w:val="single" w:sz="4" w:space="0" w:color="auto"/>
              <w:bottom w:val="nil"/>
            </w:tcBorders>
            <w:noWrap/>
            <w:vAlign w:val="center"/>
            <w:hideMark/>
          </w:tcPr>
          <w:p w14:paraId="513EB33E"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5.50</w:t>
            </w:r>
          </w:p>
        </w:tc>
        <w:tc>
          <w:tcPr>
            <w:tcW w:w="940" w:type="dxa"/>
            <w:tcBorders>
              <w:top w:val="single" w:sz="4" w:space="0" w:color="auto"/>
              <w:bottom w:val="nil"/>
            </w:tcBorders>
            <w:noWrap/>
            <w:vAlign w:val="center"/>
            <w:hideMark/>
          </w:tcPr>
          <w:p w14:paraId="6D6F234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116" w:type="dxa"/>
            <w:tcBorders>
              <w:top w:val="single" w:sz="4" w:space="0" w:color="auto"/>
              <w:bottom w:val="nil"/>
            </w:tcBorders>
            <w:noWrap/>
            <w:vAlign w:val="center"/>
            <w:hideMark/>
          </w:tcPr>
          <w:p w14:paraId="5BA9056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6.60</w:t>
            </w:r>
          </w:p>
        </w:tc>
        <w:tc>
          <w:tcPr>
            <w:tcW w:w="941" w:type="dxa"/>
            <w:tcBorders>
              <w:top w:val="single" w:sz="4" w:space="0" w:color="auto"/>
              <w:bottom w:val="nil"/>
              <w:right w:val="single" w:sz="4" w:space="0" w:color="auto"/>
            </w:tcBorders>
            <w:noWrap/>
            <w:vAlign w:val="center"/>
            <w:hideMark/>
          </w:tcPr>
          <w:p w14:paraId="7E420E12" w14:textId="3083ADD1" w:rsidR="00513459" w:rsidRPr="005103F2" w:rsidRDefault="003A4C89" w:rsidP="00506F76">
            <w:pPr>
              <w:spacing w:after="0" w:line="360" w:lineRule="auto"/>
              <w:jc w:val="both"/>
              <w:rPr>
                <w:rFonts w:ascii="Times New Roman" w:eastAsia="Times New Roman" w:hAnsi="Times New Roman" w:cs="Times New Roman"/>
                <w:sz w:val="20"/>
                <w:szCs w:val="20"/>
              </w:rPr>
            </w:pPr>
            <w:r w:rsidRPr="005103F2">
              <w:rPr>
                <w:rFonts w:ascii="Times New Roman" w:eastAsia="Times New Roman" w:hAnsi="Times New Roman" w:cs="Times New Roman"/>
                <w:sz w:val="20"/>
                <w:szCs w:val="20"/>
              </w:rPr>
              <w:t>100.00</w:t>
            </w:r>
          </w:p>
        </w:tc>
        <w:tc>
          <w:tcPr>
            <w:tcW w:w="1116" w:type="dxa"/>
            <w:tcBorders>
              <w:top w:val="single" w:sz="4" w:space="0" w:color="auto"/>
              <w:left w:val="single" w:sz="4" w:space="0" w:color="auto"/>
              <w:bottom w:val="nil"/>
            </w:tcBorders>
            <w:noWrap/>
            <w:vAlign w:val="center"/>
            <w:hideMark/>
          </w:tcPr>
          <w:p w14:paraId="4722C2D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9.67</w:t>
            </w:r>
          </w:p>
        </w:tc>
        <w:tc>
          <w:tcPr>
            <w:tcW w:w="941" w:type="dxa"/>
            <w:tcBorders>
              <w:top w:val="single" w:sz="4" w:space="0" w:color="auto"/>
              <w:bottom w:val="nil"/>
            </w:tcBorders>
            <w:noWrap/>
            <w:vAlign w:val="center"/>
            <w:hideMark/>
          </w:tcPr>
          <w:p w14:paraId="1B98DCE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116" w:type="dxa"/>
            <w:tcBorders>
              <w:top w:val="single" w:sz="4" w:space="0" w:color="auto"/>
              <w:bottom w:val="nil"/>
            </w:tcBorders>
            <w:noWrap/>
            <w:vAlign w:val="center"/>
            <w:hideMark/>
          </w:tcPr>
          <w:p w14:paraId="525FC2B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10.17</w:t>
            </w:r>
          </w:p>
        </w:tc>
        <w:tc>
          <w:tcPr>
            <w:tcW w:w="236" w:type="dxa"/>
            <w:tcBorders>
              <w:top w:val="single" w:sz="4" w:space="0" w:color="auto"/>
              <w:bottom w:val="nil"/>
            </w:tcBorders>
            <w:noWrap/>
            <w:vAlign w:val="center"/>
            <w:hideMark/>
          </w:tcPr>
          <w:p w14:paraId="3EBCD74B"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r>
      <w:tr w:rsidR="00513459" w:rsidRPr="005103F2" w14:paraId="7231CD74" w14:textId="77777777" w:rsidTr="00221712">
        <w:trPr>
          <w:trHeight w:val="300"/>
        </w:trPr>
        <w:tc>
          <w:tcPr>
            <w:tcW w:w="781" w:type="dxa"/>
            <w:tcBorders>
              <w:top w:val="nil"/>
              <w:bottom w:val="nil"/>
            </w:tcBorders>
            <w:noWrap/>
            <w:vAlign w:val="center"/>
            <w:hideMark/>
          </w:tcPr>
          <w:p w14:paraId="1B90AF4C"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w:t>
            </w:r>
          </w:p>
        </w:tc>
        <w:tc>
          <w:tcPr>
            <w:tcW w:w="1116" w:type="dxa"/>
            <w:tcBorders>
              <w:top w:val="nil"/>
              <w:bottom w:val="nil"/>
            </w:tcBorders>
            <w:noWrap/>
            <w:vAlign w:val="center"/>
            <w:hideMark/>
          </w:tcPr>
          <w:p w14:paraId="18A1B6A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5.08</w:t>
            </w:r>
          </w:p>
        </w:tc>
        <w:tc>
          <w:tcPr>
            <w:tcW w:w="940" w:type="dxa"/>
            <w:tcBorders>
              <w:top w:val="nil"/>
              <w:bottom w:val="nil"/>
            </w:tcBorders>
            <w:noWrap/>
            <w:vAlign w:val="center"/>
            <w:hideMark/>
          </w:tcPr>
          <w:p w14:paraId="0EE9C9F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460002">
              <w:rPr>
                <w:rFonts w:ascii="Times New Roman" w:eastAsia="Times New Roman" w:hAnsi="Times New Roman" w:cs="Times New Roman"/>
                <w:color w:val="000000"/>
                <w:sz w:val="20"/>
                <w:szCs w:val="20"/>
              </w:rPr>
              <w:t>92.42</w:t>
            </w:r>
          </w:p>
        </w:tc>
        <w:tc>
          <w:tcPr>
            <w:tcW w:w="1116" w:type="dxa"/>
            <w:tcBorders>
              <w:top w:val="nil"/>
              <w:bottom w:val="nil"/>
            </w:tcBorders>
            <w:noWrap/>
            <w:vAlign w:val="center"/>
            <w:hideMark/>
          </w:tcPr>
          <w:p w14:paraId="39F4D3C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6.34</w:t>
            </w:r>
          </w:p>
        </w:tc>
        <w:tc>
          <w:tcPr>
            <w:tcW w:w="941" w:type="dxa"/>
            <w:tcBorders>
              <w:top w:val="nil"/>
              <w:bottom w:val="nil"/>
              <w:right w:val="single" w:sz="4" w:space="0" w:color="auto"/>
            </w:tcBorders>
            <w:noWrap/>
            <w:vAlign w:val="center"/>
            <w:hideMark/>
          </w:tcPr>
          <w:p w14:paraId="006D6019" w14:textId="77777777" w:rsidR="00513459" w:rsidRPr="00460002" w:rsidRDefault="00513459" w:rsidP="00506F76">
            <w:pPr>
              <w:spacing w:after="0" w:line="360" w:lineRule="auto"/>
              <w:jc w:val="both"/>
              <w:rPr>
                <w:rFonts w:ascii="Times New Roman" w:eastAsia="Times New Roman" w:hAnsi="Times New Roman" w:cs="Times New Roman"/>
                <w:color w:val="000000"/>
                <w:sz w:val="20"/>
                <w:szCs w:val="20"/>
              </w:rPr>
            </w:pPr>
            <w:r w:rsidRPr="00460002">
              <w:rPr>
                <w:rFonts w:ascii="Times New Roman" w:eastAsia="Times New Roman" w:hAnsi="Times New Roman" w:cs="Times New Roman"/>
                <w:color w:val="000000"/>
                <w:sz w:val="20"/>
                <w:szCs w:val="20"/>
              </w:rPr>
              <w:t>96.11</w:t>
            </w:r>
          </w:p>
        </w:tc>
        <w:tc>
          <w:tcPr>
            <w:tcW w:w="1116" w:type="dxa"/>
            <w:tcBorders>
              <w:top w:val="nil"/>
              <w:left w:val="single" w:sz="4" w:space="0" w:color="auto"/>
              <w:bottom w:val="nil"/>
            </w:tcBorders>
            <w:noWrap/>
            <w:vAlign w:val="center"/>
            <w:hideMark/>
          </w:tcPr>
          <w:p w14:paraId="7F0C5AA6"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9.56</w:t>
            </w:r>
          </w:p>
        </w:tc>
        <w:tc>
          <w:tcPr>
            <w:tcW w:w="941" w:type="dxa"/>
            <w:tcBorders>
              <w:top w:val="nil"/>
              <w:bottom w:val="nil"/>
            </w:tcBorders>
            <w:noWrap/>
            <w:vAlign w:val="center"/>
            <w:hideMark/>
          </w:tcPr>
          <w:p w14:paraId="17FE7BA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460002">
              <w:rPr>
                <w:rFonts w:ascii="Times New Roman" w:eastAsia="Times New Roman" w:hAnsi="Times New Roman" w:cs="Times New Roman"/>
                <w:color w:val="000000"/>
                <w:sz w:val="20"/>
                <w:szCs w:val="20"/>
              </w:rPr>
              <w:t>98.83</w:t>
            </w:r>
          </w:p>
        </w:tc>
        <w:tc>
          <w:tcPr>
            <w:tcW w:w="1116" w:type="dxa"/>
            <w:tcBorders>
              <w:top w:val="nil"/>
              <w:bottom w:val="nil"/>
            </w:tcBorders>
            <w:noWrap/>
            <w:vAlign w:val="center"/>
            <w:hideMark/>
          </w:tcPr>
          <w:p w14:paraId="18DAA9E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9.73</w:t>
            </w:r>
          </w:p>
        </w:tc>
        <w:tc>
          <w:tcPr>
            <w:tcW w:w="236" w:type="dxa"/>
            <w:tcBorders>
              <w:top w:val="nil"/>
              <w:bottom w:val="nil"/>
            </w:tcBorders>
            <w:noWrap/>
            <w:vAlign w:val="center"/>
            <w:hideMark/>
          </w:tcPr>
          <w:p w14:paraId="17B4126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95.71</w:t>
            </w:r>
          </w:p>
        </w:tc>
      </w:tr>
      <w:tr w:rsidR="00513459" w:rsidRPr="005103F2" w14:paraId="643EFE2F" w14:textId="77777777" w:rsidTr="00221712">
        <w:trPr>
          <w:trHeight w:val="300"/>
        </w:trPr>
        <w:tc>
          <w:tcPr>
            <w:tcW w:w="781" w:type="dxa"/>
            <w:tcBorders>
              <w:top w:val="nil"/>
              <w:bottom w:val="nil"/>
            </w:tcBorders>
            <w:noWrap/>
            <w:vAlign w:val="center"/>
            <w:hideMark/>
          </w:tcPr>
          <w:p w14:paraId="7BA3E08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200</w:t>
            </w:r>
          </w:p>
        </w:tc>
        <w:tc>
          <w:tcPr>
            <w:tcW w:w="1116" w:type="dxa"/>
            <w:tcBorders>
              <w:top w:val="nil"/>
              <w:bottom w:val="nil"/>
            </w:tcBorders>
            <w:noWrap/>
            <w:vAlign w:val="center"/>
            <w:hideMark/>
          </w:tcPr>
          <w:p w14:paraId="58E8E7B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4.66</w:t>
            </w:r>
          </w:p>
        </w:tc>
        <w:tc>
          <w:tcPr>
            <w:tcW w:w="940" w:type="dxa"/>
            <w:tcBorders>
              <w:top w:val="nil"/>
              <w:bottom w:val="nil"/>
            </w:tcBorders>
            <w:noWrap/>
            <w:vAlign w:val="center"/>
            <w:hideMark/>
          </w:tcPr>
          <w:p w14:paraId="7A0E477F"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460002">
              <w:rPr>
                <w:rFonts w:ascii="Times New Roman" w:eastAsia="Times New Roman" w:hAnsi="Times New Roman" w:cs="Times New Roman"/>
                <w:color w:val="000000"/>
                <w:sz w:val="20"/>
                <w:szCs w:val="20"/>
              </w:rPr>
              <w:t>84.79</w:t>
            </w:r>
          </w:p>
        </w:tc>
        <w:tc>
          <w:tcPr>
            <w:tcW w:w="1116" w:type="dxa"/>
            <w:tcBorders>
              <w:top w:val="nil"/>
              <w:bottom w:val="nil"/>
            </w:tcBorders>
            <w:noWrap/>
            <w:vAlign w:val="center"/>
            <w:hideMark/>
          </w:tcPr>
          <w:p w14:paraId="10D9C22F"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6.25</w:t>
            </w:r>
          </w:p>
        </w:tc>
        <w:tc>
          <w:tcPr>
            <w:tcW w:w="941" w:type="dxa"/>
            <w:tcBorders>
              <w:top w:val="nil"/>
              <w:bottom w:val="nil"/>
              <w:right w:val="single" w:sz="4" w:space="0" w:color="auto"/>
            </w:tcBorders>
            <w:noWrap/>
            <w:vAlign w:val="center"/>
            <w:hideMark/>
          </w:tcPr>
          <w:p w14:paraId="0CFB400C"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94.70</w:t>
            </w:r>
          </w:p>
        </w:tc>
        <w:tc>
          <w:tcPr>
            <w:tcW w:w="1116" w:type="dxa"/>
            <w:tcBorders>
              <w:top w:val="nil"/>
              <w:left w:val="single" w:sz="4" w:space="0" w:color="auto"/>
              <w:bottom w:val="nil"/>
            </w:tcBorders>
            <w:noWrap/>
            <w:vAlign w:val="center"/>
            <w:hideMark/>
          </w:tcPr>
          <w:p w14:paraId="1DD4BDF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w:t>
            </w:r>
          </w:p>
        </w:tc>
        <w:tc>
          <w:tcPr>
            <w:tcW w:w="941" w:type="dxa"/>
            <w:tcBorders>
              <w:top w:val="nil"/>
              <w:bottom w:val="nil"/>
            </w:tcBorders>
            <w:noWrap/>
            <w:vAlign w:val="center"/>
            <w:hideMark/>
          </w:tcPr>
          <w:p w14:paraId="058869A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460002">
              <w:rPr>
                <w:rFonts w:ascii="Times New Roman" w:eastAsia="Times New Roman" w:hAnsi="Times New Roman" w:cs="Times New Roman"/>
                <w:color w:val="000000"/>
                <w:sz w:val="20"/>
                <w:szCs w:val="20"/>
              </w:rPr>
              <w:t>96.52</w:t>
            </w:r>
          </w:p>
        </w:tc>
        <w:tc>
          <w:tcPr>
            <w:tcW w:w="1116" w:type="dxa"/>
            <w:tcBorders>
              <w:top w:val="nil"/>
              <w:bottom w:val="nil"/>
            </w:tcBorders>
            <w:noWrap/>
            <w:vAlign w:val="center"/>
            <w:hideMark/>
          </w:tcPr>
          <w:p w14:paraId="5D49D2A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9.50</w:t>
            </w:r>
          </w:p>
        </w:tc>
        <w:tc>
          <w:tcPr>
            <w:tcW w:w="236" w:type="dxa"/>
            <w:tcBorders>
              <w:top w:val="nil"/>
              <w:bottom w:val="nil"/>
            </w:tcBorders>
            <w:noWrap/>
            <w:vAlign w:val="center"/>
            <w:hideMark/>
          </w:tcPr>
          <w:p w14:paraId="742255B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93.41</w:t>
            </w:r>
          </w:p>
        </w:tc>
      </w:tr>
      <w:tr w:rsidR="00513459" w:rsidRPr="005103F2" w14:paraId="20C7D16B" w14:textId="77777777" w:rsidTr="00221712">
        <w:trPr>
          <w:trHeight w:val="300"/>
        </w:trPr>
        <w:tc>
          <w:tcPr>
            <w:tcW w:w="781" w:type="dxa"/>
            <w:tcBorders>
              <w:top w:val="nil"/>
              <w:bottom w:val="nil"/>
            </w:tcBorders>
            <w:noWrap/>
            <w:vAlign w:val="center"/>
            <w:hideMark/>
          </w:tcPr>
          <w:p w14:paraId="5FAA2D9C"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250</w:t>
            </w:r>
          </w:p>
        </w:tc>
        <w:tc>
          <w:tcPr>
            <w:tcW w:w="1116" w:type="dxa"/>
            <w:tcBorders>
              <w:top w:val="nil"/>
              <w:bottom w:val="nil"/>
            </w:tcBorders>
            <w:noWrap/>
            <w:vAlign w:val="center"/>
            <w:hideMark/>
          </w:tcPr>
          <w:p w14:paraId="1EA4A00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4.50</w:t>
            </w:r>
          </w:p>
        </w:tc>
        <w:tc>
          <w:tcPr>
            <w:tcW w:w="940" w:type="dxa"/>
            <w:tcBorders>
              <w:top w:val="nil"/>
              <w:bottom w:val="nil"/>
            </w:tcBorders>
            <w:noWrap/>
            <w:vAlign w:val="center"/>
            <w:hideMark/>
          </w:tcPr>
          <w:p w14:paraId="2C9BE4A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81.82</w:t>
            </w:r>
          </w:p>
        </w:tc>
        <w:tc>
          <w:tcPr>
            <w:tcW w:w="1116" w:type="dxa"/>
            <w:tcBorders>
              <w:top w:val="nil"/>
              <w:bottom w:val="nil"/>
            </w:tcBorders>
            <w:noWrap/>
            <w:vAlign w:val="center"/>
            <w:hideMark/>
          </w:tcPr>
          <w:p w14:paraId="73A0297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5.03</w:t>
            </w:r>
          </w:p>
        </w:tc>
        <w:tc>
          <w:tcPr>
            <w:tcW w:w="941" w:type="dxa"/>
            <w:tcBorders>
              <w:top w:val="nil"/>
              <w:bottom w:val="nil"/>
              <w:right w:val="single" w:sz="4" w:space="0" w:color="auto"/>
            </w:tcBorders>
            <w:noWrap/>
            <w:vAlign w:val="center"/>
            <w:hideMark/>
          </w:tcPr>
          <w:p w14:paraId="6263C70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460002">
              <w:rPr>
                <w:rFonts w:ascii="Times New Roman" w:eastAsia="Times New Roman" w:hAnsi="Times New Roman" w:cs="Times New Roman"/>
                <w:color w:val="000000"/>
                <w:sz w:val="20"/>
                <w:szCs w:val="20"/>
              </w:rPr>
              <w:t>76.26</w:t>
            </w:r>
          </w:p>
        </w:tc>
        <w:tc>
          <w:tcPr>
            <w:tcW w:w="1116" w:type="dxa"/>
            <w:tcBorders>
              <w:top w:val="nil"/>
              <w:left w:val="single" w:sz="4" w:space="0" w:color="auto"/>
              <w:bottom w:val="nil"/>
            </w:tcBorders>
            <w:noWrap/>
            <w:vAlign w:val="center"/>
            <w:hideMark/>
          </w:tcPr>
          <w:p w14:paraId="28D6F059"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9.17</w:t>
            </w:r>
          </w:p>
        </w:tc>
        <w:tc>
          <w:tcPr>
            <w:tcW w:w="941" w:type="dxa"/>
            <w:tcBorders>
              <w:top w:val="nil"/>
              <w:bottom w:val="nil"/>
            </w:tcBorders>
            <w:noWrap/>
            <w:vAlign w:val="center"/>
            <w:hideMark/>
          </w:tcPr>
          <w:p w14:paraId="58CF3E87"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94.79</w:t>
            </w:r>
          </w:p>
        </w:tc>
        <w:tc>
          <w:tcPr>
            <w:tcW w:w="1116" w:type="dxa"/>
            <w:tcBorders>
              <w:top w:val="nil"/>
              <w:bottom w:val="nil"/>
            </w:tcBorders>
            <w:noWrap/>
            <w:vAlign w:val="center"/>
            <w:hideMark/>
          </w:tcPr>
          <w:p w14:paraId="219EA3B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9.23</w:t>
            </w:r>
          </w:p>
        </w:tc>
        <w:tc>
          <w:tcPr>
            <w:tcW w:w="236" w:type="dxa"/>
            <w:tcBorders>
              <w:top w:val="nil"/>
              <w:bottom w:val="nil"/>
            </w:tcBorders>
            <w:noWrap/>
            <w:vAlign w:val="center"/>
            <w:hideMark/>
          </w:tcPr>
          <w:p w14:paraId="5DFBD283"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90.79</w:t>
            </w:r>
          </w:p>
        </w:tc>
      </w:tr>
      <w:tr w:rsidR="00513459" w:rsidRPr="005103F2" w14:paraId="12C892D9" w14:textId="77777777" w:rsidTr="00221712">
        <w:trPr>
          <w:trHeight w:val="300"/>
        </w:trPr>
        <w:tc>
          <w:tcPr>
            <w:tcW w:w="781" w:type="dxa"/>
            <w:tcBorders>
              <w:top w:val="nil"/>
              <w:bottom w:val="nil"/>
            </w:tcBorders>
            <w:noWrap/>
            <w:vAlign w:val="center"/>
            <w:hideMark/>
          </w:tcPr>
          <w:p w14:paraId="2CB9C9F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300</w:t>
            </w:r>
          </w:p>
        </w:tc>
        <w:tc>
          <w:tcPr>
            <w:tcW w:w="1116" w:type="dxa"/>
            <w:tcBorders>
              <w:top w:val="nil"/>
              <w:bottom w:val="nil"/>
            </w:tcBorders>
            <w:noWrap/>
            <w:vAlign w:val="center"/>
            <w:hideMark/>
          </w:tcPr>
          <w:p w14:paraId="6E84F4BF"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4.37</w:t>
            </w:r>
          </w:p>
        </w:tc>
        <w:tc>
          <w:tcPr>
            <w:tcW w:w="940" w:type="dxa"/>
            <w:tcBorders>
              <w:top w:val="nil"/>
              <w:bottom w:val="nil"/>
            </w:tcBorders>
            <w:noWrap/>
            <w:vAlign w:val="center"/>
            <w:hideMark/>
          </w:tcPr>
          <w:p w14:paraId="7DAE2730" w14:textId="77777777" w:rsidR="00513459" w:rsidRPr="00460002" w:rsidRDefault="00513459" w:rsidP="00506F76">
            <w:pPr>
              <w:spacing w:after="0" w:line="360" w:lineRule="auto"/>
              <w:jc w:val="both"/>
              <w:rPr>
                <w:rFonts w:ascii="Times New Roman" w:eastAsia="Times New Roman" w:hAnsi="Times New Roman" w:cs="Times New Roman"/>
                <w:color w:val="000000"/>
                <w:sz w:val="20"/>
                <w:szCs w:val="20"/>
              </w:rPr>
            </w:pPr>
            <w:r w:rsidRPr="00460002">
              <w:rPr>
                <w:rFonts w:ascii="Times New Roman" w:eastAsia="Times New Roman" w:hAnsi="Times New Roman" w:cs="Times New Roman"/>
                <w:color w:val="000000"/>
                <w:sz w:val="20"/>
                <w:szCs w:val="20"/>
              </w:rPr>
              <w:t>79.39</w:t>
            </w:r>
          </w:p>
        </w:tc>
        <w:tc>
          <w:tcPr>
            <w:tcW w:w="1116" w:type="dxa"/>
            <w:tcBorders>
              <w:top w:val="nil"/>
              <w:bottom w:val="nil"/>
            </w:tcBorders>
            <w:noWrap/>
            <w:vAlign w:val="center"/>
            <w:hideMark/>
          </w:tcPr>
          <w:p w14:paraId="1D225A8B"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5.00</w:t>
            </w:r>
          </w:p>
        </w:tc>
        <w:tc>
          <w:tcPr>
            <w:tcW w:w="941" w:type="dxa"/>
            <w:tcBorders>
              <w:top w:val="nil"/>
              <w:bottom w:val="nil"/>
              <w:right w:val="single" w:sz="4" w:space="0" w:color="auto"/>
            </w:tcBorders>
            <w:noWrap/>
            <w:vAlign w:val="center"/>
            <w:hideMark/>
          </w:tcPr>
          <w:p w14:paraId="49F854F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75.76</w:t>
            </w:r>
          </w:p>
        </w:tc>
        <w:tc>
          <w:tcPr>
            <w:tcW w:w="1116" w:type="dxa"/>
            <w:tcBorders>
              <w:top w:val="nil"/>
              <w:left w:val="single" w:sz="4" w:space="0" w:color="auto"/>
              <w:bottom w:val="nil"/>
            </w:tcBorders>
            <w:noWrap/>
            <w:vAlign w:val="center"/>
            <w:hideMark/>
          </w:tcPr>
          <w:p w14:paraId="56DFA89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9.11</w:t>
            </w:r>
          </w:p>
        </w:tc>
        <w:tc>
          <w:tcPr>
            <w:tcW w:w="941" w:type="dxa"/>
            <w:tcBorders>
              <w:top w:val="nil"/>
              <w:bottom w:val="nil"/>
            </w:tcBorders>
            <w:noWrap/>
            <w:vAlign w:val="center"/>
            <w:hideMark/>
          </w:tcPr>
          <w:p w14:paraId="5D52CF0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94.21</w:t>
            </w:r>
          </w:p>
        </w:tc>
        <w:tc>
          <w:tcPr>
            <w:tcW w:w="1116" w:type="dxa"/>
            <w:tcBorders>
              <w:top w:val="nil"/>
              <w:bottom w:val="nil"/>
            </w:tcBorders>
            <w:noWrap/>
            <w:vAlign w:val="center"/>
            <w:hideMark/>
          </w:tcPr>
          <w:p w14:paraId="4CDCAE7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9.17</w:t>
            </w:r>
          </w:p>
        </w:tc>
        <w:tc>
          <w:tcPr>
            <w:tcW w:w="236" w:type="dxa"/>
            <w:tcBorders>
              <w:top w:val="nil"/>
              <w:bottom w:val="nil"/>
            </w:tcBorders>
            <w:noWrap/>
            <w:vAlign w:val="center"/>
            <w:hideMark/>
          </w:tcPr>
          <w:p w14:paraId="491DAED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90.13</w:t>
            </w:r>
          </w:p>
        </w:tc>
      </w:tr>
      <w:tr w:rsidR="00513459" w:rsidRPr="005103F2" w14:paraId="7DDC2E4F" w14:textId="77777777" w:rsidTr="00221712">
        <w:trPr>
          <w:trHeight w:val="300"/>
        </w:trPr>
        <w:tc>
          <w:tcPr>
            <w:tcW w:w="781" w:type="dxa"/>
            <w:tcBorders>
              <w:top w:val="nil"/>
              <w:bottom w:val="single" w:sz="4" w:space="0" w:color="auto"/>
            </w:tcBorders>
            <w:noWrap/>
            <w:vAlign w:val="center"/>
            <w:hideMark/>
          </w:tcPr>
          <w:p w14:paraId="33B6392B"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400</w:t>
            </w:r>
          </w:p>
        </w:tc>
        <w:tc>
          <w:tcPr>
            <w:tcW w:w="1116" w:type="dxa"/>
            <w:tcBorders>
              <w:top w:val="nil"/>
              <w:bottom w:val="single" w:sz="4" w:space="0" w:color="auto"/>
            </w:tcBorders>
            <w:noWrap/>
            <w:vAlign w:val="center"/>
            <w:hideMark/>
          </w:tcPr>
          <w:p w14:paraId="70BBF22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4.17</w:t>
            </w:r>
          </w:p>
        </w:tc>
        <w:tc>
          <w:tcPr>
            <w:tcW w:w="940" w:type="dxa"/>
            <w:tcBorders>
              <w:top w:val="nil"/>
              <w:bottom w:val="single" w:sz="4" w:space="0" w:color="auto"/>
            </w:tcBorders>
            <w:noWrap/>
            <w:vAlign w:val="center"/>
            <w:hideMark/>
          </w:tcPr>
          <w:p w14:paraId="7545793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460002">
              <w:rPr>
                <w:rFonts w:ascii="Times New Roman" w:eastAsia="Times New Roman" w:hAnsi="Times New Roman" w:cs="Times New Roman"/>
                <w:color w:val="000000"/>
                <w:sz w:val="20"/>
                <w:szCs w:val="20"/>
              </w:rPr>
              <w:t>75.88</w:t>
            </w:r>
          </w:p>
        </w:tc>
        <w:tc>
          <w:tcPr>
            <w:tcW w:w="1116" w:type="dxa"/>
            <w:tcBorders>
              <w:top w:val="nil"/>
              <w:bottom w:val="single" w:sz="4" w:space="0" w:color="auto"/>
            </w:tcBorders>
            <w:noWrap/>
            <w:vAlign w:val="center"/>
            <w:hideMark/>
          </w:tcPr>
          <w:p w14:paraId="0549067C"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4.25</w:t>
            </w:r>
          </w:p>
        </w:tc>
        <w:tc>
          <w:tcPr>
            <w:tcW w:w="941" w:type="dxa"/>
            <w:tcBorders>
              <w:top w:val="nil"/>
              <w:bottom w:val="single" w:sz="4" w:space="0" w:color="auto"/>
              <w:right w:val="single" w:sz="4" w:space="0" w:color="auto"/>
            </w:tcBorders>
            <w:noWrap/>
            <w:vAlign w:val="center"/>
            <w:hideMark/>
          </w:tcPr>
          <w:p w14:paraId="5D8A771F"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64.39</w:t>
            </w:r>
          </w:p>
        </w:tc>
        <w:tc>
          <w:tcPr>
            <w:tcW w:w="1116" w:type="dxa"/>
            <w:tcBorders>
              <w:top w:val="nil"/>
              <w:left w:val="single" w:sz="4" w:space="0" w:color="auto"/>
              <w:bottom w:val="single" w:sz="4" w:space="0" w:color="auto"/>
            </w:tcBorders>
            <w:noWrap/>
            <w:vAlign w:val="center"/>
            <w:hideMark/>
          </w:tcPr>
          <w:p w14:paraId="2408C35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8.06</w:t>
            </w:r>
          </w:p>
        </w:tc>
        <w:tc>
          <w:tcPr>
            <w:tcW w:w="941" w:type="dxa"/>
            <w:tcBorders>
              <w:top w:val="nil"/>
              <w:bottom w:val="single" w:sz="4" w:space="0" w:color="auto"/>
            </w:tcBorders>
            <w:noWrap/>
            <w:vAlign w:val="center"/>
            <w:hideMark/>
          </w:tcPr>
          <w:p w14:paraId="7F39D935"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460002">
              <w:rPr>
                <w:rFonts w:ascii="Times New Roman" w:eastAsia="Times New Roman" w:hAnsi="Times New Roman" w:cs="Times New Roman"/>
                <w:color w:val="000000"/>
                <w:sz w:val="20"/>
                <w:szCs w:val="20"/>
              </w:rPr>
              <w:t>83.32</w:t>
            </w:r>
          </w:p>
        </w:tc>
        <w:tc>
          <w:tcPr>
            <w:tcW w:w="1116" w:type="dxa"/>
            <w:tcBorders>
              <w:top w:val="nil"/>
              <w:bottom w:val="single" w:sz="4" w:space="0" w:color="auto"/>
            </w:tcBorders>
            <w:noWrap/>
            <w:vAlign w:val="center"/>
            <w:hideMark/>
          </w:tcPr>
          <w:p w14:paraId="694EBDD6"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8.20</w:t>
            </w:r>
          </w:p>
        </w:tc>
        <w:tc>
          <w:tcPr>
            <w:tcW w:w="236" w:type="dxa"/>
            <w:tcBorders>
              <w:top w:val="nil"/>
              <w:bottom w:val="single" w:sz="4" w:space="0" w:color="auto"/>
            </w:tcBorders>
            <w:noWrap/>
            <w:vAlign w:val="center"/>
            <w:hideMark/>
          </w:tcPr>
          <w:p w14:paraId="0CD5B70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80.63</w:t>
            </w:r>
          </w:p>
        </w:tc>
      </w:tr>
      <w:tr w:rsidR="00513459" w:rsidRPr="005103F2" w14:paraId="1FB5364A" w14:textId="77777777" w:rsidTr="00221712">
        <w:trPr>
          <w:trHeight w:val="300"/>
        </w:trPr>
        <w:tc>
          <w:tcPr>
            <w:tcW w:w="781" w:type="dxa"/>
            <w:tcBorders>
              <w:top w:val="single" w:sz="4" w:space="0" w:color="auto"/>
              <w:bottom w:val="nil"/>
            </w:tcBorders>
            <w:noWrap/>
            <w:vAlign w:val="center"/>
            <w:hideMark/>
          </w:tcPr>
          <w:p w14:paraId="02E97C9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Mean</w:t>
            </w:r>
          </w:p>
        </w:tc>
        <w:tc>
          <w:tcPr>
            <w:tcW w:w="1116" w:type="dxa"/>
            <w:tcBorders>
              <w:top w:val="single" w:sz="4" w:space="0" w:color="auto"/>
              <w:bottom w:val="nil"/>
            </w:tcBorders>
            <w:noWrap/>
            <w:vAlign w:val="center"/>
            <w:hideMark/>
          </w:tcPr>
          <w:p w14:paraId="525CA7DB"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4.71</w:t>
            </w:r>
          </w:p>
        </w:tc>
        <w:tc>
          <w:tcPr>
            <w:tcW w:w="940" w:type="dxa"/>
            <w:tcBorders>
              <w:top w:val="single" w:sz="4" w:space="0" w:color="auto"/>
              <w:bottom w:val="nil"/>
            </w:tcBorders>
            <w:noWrap/>
            <w:vAlign w:val="center"/>
            <w:hideMark/>
          </w:tcPr>
          <w:p w14:paraId="47A06CF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single" w:sz="4" w:space="0" w:color="auto"/>
              <w:bottom w:val="nil"/>
            </w:tcBorders>
            <w:noWrap/>
            <w:vAlign w:val="center"/>
            <w:hideMark/>
          </w:tcPr>
          <w:p w14:paraId="7080A8CD"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5.58</w:t>
            </w:r>
          </w:p>
        </w:tc>
        <w:tc>
          <w:tcPr>
            <w:tcW w:w="941" w:type="dxa"/>
            <w:tcBorders>
              <w:top w:val="single" w:sz="4" w:space="0" w:color="auto"/>
              <w:bottom w:val="nil"/>
              <w:right w:val="single" w:sz="4" w:space="0" w:color="auto"/>
            </w:tcBorders>
            <w:noWrap/>
            <w:vAlign w:val="center"/>
            <w:hideMark/>
          </w:tcPr>
          <w:p w14:paraId="12D8AA59"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single" w:sz="4" w:space="0" w:color="auto"/>
              <w:left w:val="single" w:sz="4" w:space="0" w:color="auto"/>
              <w:bottom w:val="nil"/>
            </w:tcBorders>
            <w:noWrap/>
            <w:vAlign w:val="center"/>
            <w:hideMark/>
          </w:tcPr>
          <w:p w14:paraId="1D0BE523"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9.15</w:t>
            </w:r>
          </w:p>
        </w:tc>
        <w:tc>
          <w:tcPr>
            <w:tcW w:w="941" w:type="dxa"/>
            <w:tcBorders>
              <w:top w:val="single" w:sz="4" w:space="0" w:color="auto"/>
              <w:bottom w:val="nil"/>
            </w:tcBorders>
            <w:noWrap/>
            <w:vAlign w:val="center"/>
            <w:hideMark/>
          </w:tcPr>
          <w:p w14:paraId="6C622A2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single" w:sz="4" w:space="0" w:color="auto"/>
              <w:bottom w:val="nil"/>
            </w:tcBorders>
            <w:noWrap/>
            <w:vAlign w:val="center"/>
            <w:hideMark/>
          </w:tcPr>
          <w:p w14:paraId="0CF83473"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9.33</w:t>
            </w:r>
          </w:p>
        </w:tc>
        <w:tc>
          <w:tcPr>
            <w:tcW w:w="236" w:type="dxa"/>
            <w:tcBorders>
              <w:top w:val="single" w:sz="4" w:space="0" w:color="auto"/>
              <w:bottom w:val="nil"/>
            </w:tcBorders>
            <w:noWrap/>
            <w:vAlign w:val="center"/>
            <w:hideMark/>
          </w:tcPr>
          <w:p w14:paraId="2900D341"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r>
      <w:tr w:rsidR="00513459" w:rsidRPr="005103F2" w14:paraId="3359DEE7" w14:textId="77777777" w:rsidTr="00221712">
        <w:trPr>
          <w:trHeight w:val="300"/>
        </w:trPr>
        <w:tc>
          <w:tcPr>
            <w:tcW w:w="781" w:type="dxa"/>
            <w:tcBorders>
              <w:top w:val="nil"/>
              <w:bottom w:val="single" w:sz="4" w:space="0" w:color="auto"/>
            </w:tcBorders>
            <w:noWrap/>
            <w:vAlign w:val="center"/>
            <w:hideMark/>
          </w:tcPr>
          <w:p w14:paraId="05F067EA"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SD</w:t>
            </w:r>
          </w:p>
        </w:tc>
        <w:tc>
          <w:tcPr>
            <w:tcW w:w="1116" w:type="dxa"/>
            <w:tcBorders>
              <w:top w:val="nil"/>
              <w:bottom w:val="single" w:sz="4" w:space="0" w:color="auto"/>
            </w:tcBorders>
            <w:noWrap/>
            <w:vAlign w:val="center"/>
            <w:hideMark/>
          </w:tcPr>
          <w:p w14:paraId="72CF23DE"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0.493057</w:t>
            </w:r>
          </w:p>
        </w:tc>
        <w:tc>
          <w:tcPr>
            <w:tcW w:w="940" w:type="dxa"/>
            <w:tcBorders>
              <w:top w:val="nil"/>
              <w:bottom w:val="single" w:sz="4" w:space="0" w:color="auto"/>
            </w:tcBorders>
            <w:noWrap/>
            <w:vAlign w:val="center"/>
            <w:hideMark/>
          </w:tcPr>
          <w:p w14:paraId="0F9FEDC4"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nil"/>
              <w:bottom w:val="single" w:sz="4" w:space="0" w:color="auto"/>
            </w:tcBorders>
            <w:noWrap/>
            <w:vAlign w:val="center"/>
            <w:hideMark/>
          </w:tcPr>
          <w:p w14:paraId="0571444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0.946163</w:t>
            </w:r>
          </w:p>
        </w:tc>
        <w:tc>
          <w:tcPr>
            <w:tcW w:w="941" w:type="dxa"/>
            <w:tcBorders>
              <w:top w:val="nil"/>
              <w:bottom w:val="single" w:sz="4" w:space="0" w:color="auto"/>
              <w:right w:val="single" w:sz="4" w:space="0" w:color="auto"/>
            </w:tcBorders>
            <w:noWrap/>
            <w:vAlign w:val="center"/>
            <w:hideMark/>
          </w:tcPr>
          <w:p w14:paraId="65545976"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nil"/>
              <w:left w:val="single" w:sz="4" w:space="0" w:color="auto"/>
              <w:bottom w:val="single" w:sz="4" w:space="0" w:color="auto"/>
            </w:tcBorders>
            <w:noWrap/>
            <w:vAlign w:val="center"/>
            <w:hideMark/>
          </w:tcPr>
          <w:p w14:paraId="6FF8FAA0"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0.576745</w:t>
            </w:r>
          </w:p>
        </w:tc>
        <w:tc>
          <w:tcPr>
            <w:tcW w:w="941" w:type="dxa"/>
            <w:tcBorders>
              <w:top w:val="nil"/>
              <w:bottom w:val="single" w:sz="4" w:space="0" w:color="auto"/>
            </w:tcBorders>
            <w:noWrap/>
            <w:vAlign w:val="center"/>
            <w:hideMark/>
          </w:tcPr>
          <w:p w14:paraId="3DB3C882"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c>
          <w:tcPr>
            <w:tcW w:w="1116" w:type="dxa"/>
            <w:tcBorders>
              <w:top w:val="nil"/>
              <w:bottom w:val="single" w:sz="4" w:space="0" w:color="auto"/>
            </w:tcBorders>
            <w:noWrap/>
            <w:vAlign w:val="center"/>
            <w:hideMark/>
          </w:tcPr>
          <w:p w14:paraId="351FEAC9"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0.663995</w:t>
            </w:r>
          </w:p>
        </w:tc>
        <w:tc>
          <w:tcPr>
            <w:tcW w:w="236" w:type="dxa"/>
            <w:tcBorders>
              <w:top w:val="nil"/>
              <w:bottom w:val="single" w:sz="4" w:space="0" w:color="auto"/>
            </w:tcBorders>
            <w:noWrap/>
            <w:vAlign w:val="center"/>
            <w:hideMark/>
          </w:tcPr>
          <w:p w14:paraId="247EE668" w14:textId="77777777" w:rsidR="00513459" w:rsidRPr="005103F2" w:rsidRDefault="00513459" w:rsidP="00506F76">
            <w:pPr>
              <w:spacing w:after="0" w:line="360" w:lineRule="auto"/>
              <w:jc w:val="both"/>
              <w:rPr>
                <w:rFonts w:ascii="Times New Roman" w:eastAsia="Times New Roman" w:hAnsi="Times New Roman" w:cs="Times New Roman"/>
                <w:color w:val="000000"/>
                <w:sz w:val="20"/>
                <w:szCs w:val="20"/>
              </w:rPr>
            </w:pPr>
          </w:p>
        </w:tc>
      </w:tr>
    </w:tbl>
    <w:p w14:paraId="0BDED021" w14:textId="77777777" w:rsidR="007C5E88" w:rsidRPr="007C5E88" w:rsidRDefault="007C5E88" w:rsidP="00506F76">
      <w:pPr>
        <w:autoSpaceDE w:val="0"/>
        <w:autoSpaceDN w:val="0"/>
        <w:adjustRightInd w:val="0"/>
        <w:spacing w:before="240" w:after="0" w:line="360" w:lineRule="auto"/>
        <w:jc w:val="both"/>
        <w:rPr>
          <w:rFonts w:ascii="Times New Roman" w:hAnsi="Times New Roman" w:cs="Times New Roman"/>
          <w:b/>
          <w:color w:val="000000"/>
          <w:sz w:val="24"/>
          <w:szCs w:val="24"/>
        </w:rPr>
      </w:pPr>
    </w:p>
    <w:p w14:paraId="19C90376" w14:textId="15739D19" w:rsidR="005D44A0" w:rsidRPr="00D80375" w:rsidRDefault="00A66850" w:rsidP="00506F76">
      <w:pPr>
        <w:autoSpaceDE w:val="0"/>
        <w:autoSpaceDN w:val="0"/>
        <w:adjustRightInd w:val="0"/>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3.3</w:t>
      </w:r>
      <w:r w:rsidR="00662C1E">
        <w:rPr>
          <w:rFonts w:ascii="Times New Roman" w:hAnsi="Times New Roman" w:cs="Times New Roman"/>
          <w:b/>
          <w:color w:val="000000"/>
          <w:sz w:val="24"/>
          <w:szCs w:val="24"/>
        </w:rPr>
        <w:t xml:space="preserve"> </w:t>
      </w:r>
      <w:r w:rsidR="005D44A0" w:rsidRPr="00D80375">
        <w:rPr>
          <w:rFonts w:ascii="Times New Roman" w:hAnsi="Times New Roman" w:cs="Times New Roman"/>
          <w:b/>
          <w:color w:val="000000"/>
          <w:sz w:val="24"/>
          <w:szCs w:val="24"/>
        </w:rPr>
        <w:t>Fresh weight</w:t>
      </w:r>
    </w:p>
    <w:p w14:paraId="3FF27FC9" w14:textId="35242147" w:rsidR="005103F2" w:rsidRDefault="005103F2" w:rsidP="005103F2">
      <w:pPr>
        <w:autoSpaceDE w:val="0"/>
        <w:autoSpaceDN w:val="0"/>
        <w:adjustRightInd w:val="0"/>
        <w:spacing w:before="240" w:line="360" w:lineRule="auto"/>
        <w:jc w:val="both"/>
        <w:rPr>
          <w:rFonts w:ascii="Times New Roman" w:hAnsi="Times New Roman" w:cs="Times New Roman"/>
          <w:color w:val="000000"/>
          <w:sz w:val="24"/>
          <w:szCs w:val="24"/>
        </w:rPr>
      </w:pPr>
      <w:r w:rsidRPr="005103F2">
        <w:rPr>
          <w:rFonts w:ascii="Times New Roman" w:hAnsi="Times New Roman" w:cs="Times New Roman"/>
          <w:color w:val="000000"/>
          <w:sz w:val="24"/>
          <w:szCs w:val="24"/>
        </w:rPr>
        <w:t xml:space="preserve">Fresh weight of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and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declined progressively with increasing gamma radiation doses (Table 03).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exhibited a more pronounced reduction, losing 51.01% of fresh weight at 400 </w:t>
      </w:r>
      <w:proofErr w:type="spellStart"/>
      <w:r w:rsidRPr="005103F2">
        <w:rPr>
          <w:rFonts w:ascii="Times New Roman" w:hAnsi="Times New Roman" w:cs="Times New Roman"/>
          <w:color w:val="000000"/>
          <w:sz w:val="24"/>
          <w:szCs w:val="24"/>
        </w:rPr>
        <w:t>Gy</w:t>
      </w:r>
      <w:proofErr w:type="spellEnd"/>
      <w:r w:rsidRPr="005103F2">
        <w:rPr>
          <w:rFonts w:ascii="Times New Roman" w:hAnsi="Times New Roman" w:cs="Times New Roman"/>
          <w:color w:val="000000"/>
          <w:sz w:val="24"/>
          <w:szCs w:val="24"/>
        </w:rPr>
        <w:t xml:space="preserve">, whereas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showed a 45.56% decrease compared with the control (0 </w:t>
      </w:r>
      <w:proofErr w:type="spellStart"/>
      <w:r w:rsidRPr="005103F2">
        <w:rPr>
          <w:rFonts w:ascii="Times New Roman" w:hAnsi="Times New Roman" w:cs="Times New Roman"/>
          <w:color w:val="000000"/>
          <w:sz w:val="24"/>
          <w:szCs w:val="24"/>
        </w:rPr>
        <w:t>Gy</w:t>
      </w:r>
      <w:proofErr w:type="spellEnd"/>
      <w:r w:rsidRPr="005103F2">
        <w:rPr>
          <w:rFonts w:ascii="Times New Roman" w:hAnsi="Times New Roman" w:cs="Times New Roman"/>
          <w:color w:val="000000"/>
          <w:sz w:val="24"/>
          <w:szCs w:val="24"/>
        </w:rPr>
        <w:t xml:space="preserve">). The reduction trend was approximately dose-dependent and closely paralleled the decrease observed in seedling height. Across all irradiation levels,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consistently recorded lower fresh weight than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indicating greater sensitivity to gamma exposure. </w:t>
      </w:r>
      <w:proofErr w:type="spellStart"/>
      <w:proofErr w:type="gramStart"/>
      <w:r w:rsidRPr="005103F2">
        <w:rPr>
          <w:rFonts w:ascii="Times New Roman" w:hAnsi="Times New Roman" w:cs="Times New Roman"/>
          <w:color w:val="000000"/>
          <w:sz w:val="24"/>
          <w:szCs w:val="24"/>
        </w:rPr>
        <w:t>Similarly,</w:t>
      </w:r>
      <w:r w:rsidRPr="00112DE5">
        <w:rPr>
          <w:rFonts w:ascii="Times New Roman" w:hAnsi="Times New Roman" w:cs="Times New Roman"/>
          <w:color w:val="000000"/>
          <w:sz w:val="24"/>
          <w:szCs w:val="24"/>
        </w:rPr>
        <w:t>Gupta</w:t>
      </w:r>
      <w:proofErr w:type="spellEnd"/>
      <w:proofErr w:type="gramEnd"/>
      <w:r w:rsidRPr="00112DE5">
        <w:rPr>
          <w:rFonts w:ascii="Times New Roman" w:hAnsi="Times New Roman" w:cs="Times New Roman"/>
          <w:color w:val="000000"/>
          <w:sz w:val="24"/>
          <w:szCs w:val="24"/>
        </w:rPr>
        <w:t xml:space="preserve"> </w:t>
      </w:r>
      <w:r w:rsidRPr="00112DE5">
        <w:rPr>
          <w:rFonts w:ascii="Times New Roman" w:hAnsi="Times New Roman" w:cs="Times New Roman"/>
          <w:color w:val="000000"/>
          <w:sz w:val="24"/>
          <w:szCs w:val="24"/>
        </w:rPr>
        <w:lastRenderedPageBreak/>
        <w:t xml:space="preserve">et al. (2021) reported that the shoot fresh weight was highest in Binadhan-17 at 100 </w:t>
      </w:r>
      <w:proofErr w:type="spellStart"/>
      <w:r w:rsidRPr="00112DE5">
        <w:rPr>
          <w:rFonts w:ascii="Times New Roman" w:hAnsi="Times New Roman" w:cs="Times New Roman"/>
          <w:color w:val="000000"/>
          <w:sz w:val="24"/>
          <w:szCs w:val="24"/>
        </w:rPr>
        <w:t>Gy</w:t>
      </w:r>
      <w:proofErr w:type="spellEnd"/>
      <w:r w:rsidRPr="00112DE5">
        <w:rPr>
          <w:rFonts w:ascii="Times New Roman" w:hAnsi="Times New Roman" w:cs="Times New Roman"/>
          <w:color w:val="000000"/>
          <w:sz w:val="24"/>
          <w:szCs w:val="24"/>
        </w:rPr>
        <w:t xml:space="preserve"> and in </w:t>
      </w:r>
      <w:proofErr w:type="spellStart"/>
      <w:r w:rsidRPr="00112DE5">
        <w:rPr>
          <w:rFonts w:ascii="Times New Roman" w:hAnsi="Times New Roman" w:cs="Times New Roman"/>
          <w:color w:val="000000"/>
          <w:sz w:val="24"/>
          <w:szCs w:val="24"/>
        </w:rPr>
        <w:t>Galon</w:t>
      </w:r>
      <w:proofErr w:type="spellEnd"/>
      <w:r w:rsidRPr="00112DE5">
        <w:rPr>
          <w:rFonts w:ascii="Times New Roman" w:hAnsi="Times New Roman" w:cs="Times New Roman"/>
          <w:color w:val="000000"/>
          <w:sz w:val="24"/>
          <w:szCs w:val="24"/>
        </w:rPr>
        <w:t xml:space="preserve"> at 200 </w:t>
      </w:r>
      <w:proofErr w:type="spellStart"/>
      <w:r w:rsidRPr="00112DE5">
        <w:rPr>
          <w:rFonts w:ascii="Times New Roman" w:hAnsi="Times New Roman" w:cs="Times New Roman"/>
          <w:color w:val="000000"/>
          <w:sz w:val="24"/>
          <w:szCs w:val="24"/>
        </w:rPr>
        <w:t>Gy</w:t>
      </w:r>
      <w:proofErr w:type="spellEnd"/>
      <w:r w:rsidRPr="00112DE5">
        <w:rPr>
          <w:rFonts w:ascii="Times New Roman" w:hAnsi="Times New Roman" w:cs="Times New Roman"/>
          <w:color w:val="000000"/>
          <w:sz w:val="24"/>
          <w:szCs w:val="24"/>
        </w:rPr>
        <w:t>; however, it decreased with increasing levels of gamma radiation.</w:t>
      </w:r>
    </w:p>
    <w:p w14:paraId="5AE7F492" w14:textId="25F79DD5" w:rsidR="00C02BBC" w:rsidRPr="005103F2" w:rsidRDefault="00C02BBC" w:rsidP="005103F2">
      <w:pPr>
        <w:autoSpaceDE w:val="0"/>
        <w:autoSpaceDN w:val="0"/>
        <w:adjustRightInd w:val="0"/>
        <w:spacing w:before="240" w:line="360" w:lineRule="auto"/>
        <w:jc w:val="both"/>
        <w:rPr>
          <w:rFonts w:ascii="Times New Roman" w:hAnsi="Times New Roman" w:cs="Times New Roman"/>
          <w:b/>
          <w:sz w:val="24"/>
          <w:szCs w:val="24"/>
        </w:rPr>
      </w:pPr>
      <w:r w:rsidRPr="005103F2">
        <w:rPr>
          <w:rFonts w:ascii="Times New Roman" w:hAnsi="Times New Roman" w:cs="Times New Roman"/>
          <w:b/>
          <w:bCs/>
          <w:sz w:val="24"/>
          <w:szCs w:val="24"/>
        </w:rPr>
        <w:t xml:space="preserve">Table 3. Effect of gamma ray irradiation on fresh weight of </w:t>
      </w:r>
      <w:proofErr w:type="spellStart"/>
      <w:r w:rsidRPr="005103F2">
        <w:rPr>
          <w:rFonts w:ascii="Times New Roman" w:eastAsia="Times New Roman" w:hAnsi="Times New Roman" w:cs="Times New Roman"/>
          <w:b/>
          <w:bCs/>
          <w:color w:val="000000"/>
          <w:sz w:val="24"/>
          <w:szCs w:val="24"/>
        </w:rPr>
        <w:t>Chinigura</w:t>
      </w:r>
      <w:proofErr w:type="spellEnd"/>
      <w:r w:rsidRPr="005103F2">
        <w:rPr>
          <w:rFonts w:ascii="Times New Roman" w:hAnsi="Times New Roman" w:cs="Times New Roman"/>
          <w:b/>
          <w:bCs/>
          <w:sz w:val="24"/>
          <w:szCs w:val="24"/>
        </w:rPr>
        <w:t xml:space="preserve"> and </w:t>
      </w:r>
      <w:proofErr w:type="spellStart"/>
      <w:r w:rsidRPr="005103F2">
        <w:rPr>
          <w:rFonts w:ascii="Times New Roman" w:eastAsia="Times New Roman" w:hAnsi="Times New Roman" w:cs="Times New Roman"/>
          <w:b/>
          <w:color w:val="000000"/>
          <w:sz w:val="24"/>
          <w:szCs w:val="24"/>
        </w:rPr>
        <w:t>Banglamati</w:t>
      </w:r>
      <w:proofErr w:type="spellEnd"/>
      <w:r w:rsidRPr="005103F2">
        <w:rPr>
          <w:rFonts w:ascii="Times New Roman" w:eastAsia="Times New Roman" w:hAnsi="Times New Roman" w:cs="Times New Roman"/>
          <w:b/>
          <w:color w:val="000000"/>
          <w:sz w:val="24"/>
          <w:szCs w:val="24"/>
        </w:rPr>
        <w:t xml:space="preserve"> at 21 DAS  </w:t>
      </w:r>
    </w:p>
    <w:tbl>
      <w:tblPr>
        <w:tblW w:w="7812" w:type="dxa"/>
        <w:tblInd w:w="780" w:type="dxa"/>
        <w:tblBorders>
          <w:insideH w:val="single" w:sz="4" w:space="0" w:color="auto"/>
        </w:tblBorders>
        <w:tblLook w:val="04A0" w:firstRow="1" w:lastRow="0" w:firstColumn="1" w:lastColumn="0" w:noHBand="0" w:noVBand="1"/>
      </w:tblPr>
      <w:tblGrid>
        <w:gridCol w:w="900"/>
        <w:gridCol w:w="1530"/>
        <w:gridCol w:w="1800"/>
        <w:gridCol w:w="1800"/>
        <w:gridCol w:w="1782"/>
      </w:tblGrid>
      <w:tr w:rsidR="005D44A0" w:rsidRPr="005103F2" w14:paraId="64FB19F9" w14:textId="77777777" w:rsidTr="00650E8C">
        <w:trPr>
          <w:trHeight w:val="308"/>
        </w:trPr>
        <w:tc>
          <w:tcPr>
            <w:tcW w:w="900" w:type="dxa"/>
            <w:vMerge w:val="restart"/>
            <w:tcBorders>
              <w:top w:val="single" w:sz="4" w:space="0" w:color="auto"/>
              <w:bottom w:val="nil"/>
            </w:tcBorders>
            <w:shd w:val="clear" w:color="000000" w:fill="FFFFFF"/>
            <w:vAlign w:val="center"/>
            <w:hideMark/>
          </w:tcPr>
          <w:p w14:paraId="0F9E6939" w14:textId="77777777" w:rsidR="005D44A0" w:rsidRPr="005103F2" w:rsidRDefault="005D44A0" w:rsidP="00506F76">
            <w:pPr>
              <w:spacing w:after="0" w:line="360" w:lineRule="auto"/>
              <w:jc w:val="both"/>
              <w:rPr>
                <w:rFonts w:ascii="Times New Roman" w:eastAsia="Times New Roman" w:hAnsi="Times New Roman" w:cs="Times New Roman"/>
                <w:bCs/>
                <w:color w:val="000000"/>
                <w:sz w:val="20"/>
                <w:szCs w:val="20"/>
              </w:rPr>
            </w:pPr>
            <w:r w:rsidRPr="005103F2">
              <w:rPr>
                <w:rFonts w:ascii="Times New Roman" w:eastAsia="Times New Roman" w:hAnsi="Times New Roman" w:cs="Times New Roman"/>
                <w:bCs/>
                <w:color w:val="000000"/>
                <w:sz w:val="20"/>
                <w:szCs w:val="20"/>
              </w:rPr>
              <w:t>Dose (GY)</w:t>
            </w:r>
          </w:p>
        </w:tc>
        <w:tc>
          <w:tcPr>
            <w:tcW w:w="3330" w:type="dxa"/>
            <w:gridSpan w:val="2"/>
            <w:tcBorders>
              <w:top w:val="single" w:sz="4" w:space="0" w:color="auto"/>
              <w:bottom w:val="nil"/>
              <w:right w:val="single" w:sz="4" w:space="0" w:color="auto"/>
            </w:tcBorders>
            <w:noWrap/>
            <w:vAlign w:val="center"/>
            <w:hideMark/>
          </w:tcPr>
          <w:p w14:paraId="4B375D90" w14:textId="77777777" w:rsidR="005D44A0" w:rsidRPr="005103F2" w:rsidRDefault="005D44A0" w:rsidP="00506F76">
            <w:pPr>
              <w:spacing w:after="0" w:line="360" w:lineRule="auto"/>
              <w:jc w:val="both"/>
              <w:rPr>
                <w:rFonts w:ascii="Times New Roman" w:eastAsia="Times New Roman" w:hAnsi="Times New Roman" w:cs="Times New Roman"/>
                <w:bCs/>
                <w:color w:val="000000"/>
                <w:sz w:val="20"/>
                <w:szCs w:val="20"/>
              </w:rPr>
            </w:pPr>
            <w:proofErr w:type="spellStart"/>
            <w:r w:rsidRPr="005103F2">
              <w:rPr>
                <w:rFonts w:ascii="Times New Roman" w:eastAsia="Times New Roman" w:hAnsi="Times New Roman" w:cs="Times New Roman"/>
                <w:bCs/>
                <w:color w:val="000000"/>
                <w:sz w:val="20"/>
                <w:szCs w:val="20"/>
              </w:rPr>
              <w:t>Chinigura</w:t>
            </w:r>
            <w:proofErr w:type="spellEnd"/>
          </w:p>
        </w:tc>
        <w:tc>
          <w:tcPr>
            <w:tcW w:w="3582" w:type="dxa"/>
            <w:gridSpan w:val="2"/>
            <w:tcBorders>
              <w:top w:val="single" w:sz="4" w:space="0" w:color="auto"/>
              <w:left w:val="single" w:sz="4" w:space="0" w:color="auto"/>
              <w:bottom w:val="nil"/>
            </w:tcBorders>
            <w:noWrap/>
            <w:vAlign w:val="center"/>
            <w:hideMark/>
          </w:tcPr>
          <w:p w14:paraId="260D3D73"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roofErr w:type="spellStart"/>
            <w:r w:rsidRPr="005103F2">
              <w:rPr>
                <w:rFonts w:ascii="Times New Roman" w:eastAsia="Times New Roman" w:hAnsi="Times New Roman" w:cs="Times New Roman"/>
                <w:color w:val="000000"/>
                <w:sz w:val="20"/>
                <w:szCs w:val="20"/>
              </w:rPr>
              <w:t>Banglamati</w:t>
            </w:r>
            <w:proofErr w:type="spellEnd"/>
          </w:p>
        </w:tc>
      </w:tr>
      <w:tr w:rsidR="00D94698" w:rsidRPr="005103F2" w14:paraId="00AF7A3A" w14:textId="77777777" w:rsidTr="00650E8C">
        <w:trPr>
          <w:trHeight w:val="387"/>
        </w:trPr>
        <w:tc>
          <w:tcPr>
            <w:tcW w:w="900" w:type="dxa"/>
            <w:vMerge/>
            <w:tcBorders>
              <w:top w:val="nil"/>
              <w:bottom w:val="single" w:sz="4" w:space="0" w:color="auto"/>
            </w:tcBorders>
            <w:vAlign w:val="center"/>
            <w:hideMark/>
          </w:tcPr>
          <w:p w14:paraId="10206450" w14:textId="77777777" w:rsidR="005D44A0" w:rsidRPr="005103F2" w:rsidRDefault="005D44A0" w:rsidP="00506F76">
            <w:pPr>
              <w:spacing w:after="0" w:line="360" w:lineRule="auto"/>
              <w:jc w:val="both"/>
              <w:rPr>
                <w:rFonts w:ascii="Times New Roman" w:eastAsia="Times New Roman" w:hAnsi="Times New Roman" w:cs="Times New Roman"/>
                <w:b/>
                <w:bCs/>
                <w:color w:val="000000"/>
                <w:sz w:val="20"/>
                <w:szCs w:val="20"/>
              </w:rPr>
            </w:pPr>
          </w:p>
        </w:tc>
        <w:tc>
          <w:tcPr>
            <w:tcW w:w="1530" w:type="dxa"/>
            <w:tcBorders>
              <w:top w:val="nil"/>
              <w:bottom w:val="single" w:sz="4" w:space="0" w:color="auto"/>
            </w:tcBorders>
            <w:vAlign w:val="center"/>
            <w:hideMark/>
          </w:tcPr>
          <w:p w14:paraId="45B51865"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Fresh wt. (g)</w:t>
            </w:r>
          </w:p>
        </w:tc>
        <w:tc>
          <w:tcPr>
            <w:tcW w:w="1800" w:type="dxa"/>
            <w:tcBorders>
              <w:top w:val="nil"/>
              <w:bottom w:val="single" w:sz="4" w:space="0" w:color="auto"/>
              <w:right w:val="single" w:sz="4" w:space="0" w:color="auto"/>
            </w:tcBorders>
            <w:vAlign w:val="center"/>
            <w:hideMark/>
          </w:tcPr>
          <w:p w14:paraId="4F75B188"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c>
          <w:tcPr>
            <w:tcW w:w="1800" w:type="dxa"/>
            <w:tcBorders>
              <w:top w:val="nil"/>
              <w:left w:val="single" w:sz="4" w:space="0" w:color="auto"/>
              <w:bottom w:val="single" w:sz="4" w:space="0" w:color="auto"/>
            </w:tcBorders>
            <w:vAlign w:val="center"/>
            <w:hideMark/>
          </w:tcPr>
          <w:p w14:paraId="71289C40"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Fresh wt. (g)</w:t>
            </w:r>
          </w:p>
        </w:tc>
        <w:tc>
          <w:tcPr>
            <w:tcW w:w="1782" w:type="dxa"/>
            <w:tcBorders>
              <w:top w:val="nil"/>
              <w:bottom w:val="single" w:sz="4" w:space="0" w:color="auto"/>
            </w:tcBorders>
            <w:vAlign w:val="center"/>
            <w:hideMark/>
          </w:tcPr>
          <w:p w14:paraId="3DFF2807"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 over control</w:t>
            </w:r>
          </w:p>
        </w:tc>
      </w:tr>
      <w:tr w:rsidR="00D94698" w:rsidRPr="005103F2" w14:paraId="26F8F73F" w14:textId="77777777" w:rsidTr="00650E8C">
        <w:trPr>
          <w:trHeight w:val="308"/>
        </w:trPr>
        <w:tc>
          <w:tcPr>
            <w:tcW w:w="900" w:type="dxa"/>
            <w:tcBorders>
              <w:top w:val="single" w:sz="4" w:space="0" w:color="auto"/>
              <w:bottom w:val="nil"/>
            </w:tcBorders>
            <w:noWrap/>
            <w:vAlign w:val="center"/>
            <w:hideMark/>
          </w:tcPr>
          <w:p w14:paraId="66F0A2D6"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w:t>
            </w:r>
          </w:p>
        </w:tc>
        <w:tc>
          <w:tcPr>
            <w:tcW w:w="1530" w:type="dxa"/>
            <w:tcBorders>
              <w:top w:val="single" w:sz="4" w:space="0" w:color="auto"/>
              <w:bottom w:val="nil"/>
            </w:tcBorders>
            <w:noWrap/>
            <w:vAlign w:val="center"/>
            <w:hideMark/>
          </w:tcPr>
          <w:p w14:paraId="38A3EC8C"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2.81</w:t>
            </w:r>
          </w:p>
        </w:tc>
        <w:tc>
          <w:tcPr>
            <w:tcW w:w="1800" w:type="dxa"/>
            <w:tcBorders>
              <w:top w:val="single" w:sz="4" w:space="0" w:color="auto"/>
              <w:bottom w:val="nil"/>
              <w:right w:val="single" w:sz="4" w:space="0" w:color="auto"/>
            </w:tcBorders>
            <w:noWrap/>
            <w:vAlign w:val="center"/>
            <w:hideMark/>
          </w:tcPr>
          <w:p w14:paraId="03B67F05"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c>
          <w:tcPr>
            <w:tcW w:w="1800" w:type="dxa"/>
            <w:tcBorders>
              <w:top w:val="single" w:sz="4" w:space="0" w:color="auto"/>
              <w:left w:val="single" w:sz="4" w:space="0" w:color="auto"/>
              <w:bottom w:val="nil"/>
            </w:tcBorders>
            <w:noWrap/>
            <w:vAlign w:val="center"/>
            <w:hideMark/>
          </w:tcPr>
          <w:p w14:paraId="0B339339"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3.00</w:t>
            </w:r>
          </w:p>
        </w:tc>
        <w:tc>
          <w:tcPr>
            <w:tcW w:w="1782" w:type="dxa"/>
            <w:tcBorders>
              <w:top w:val="single" w:sz="4" w:space="0" w:color="auto"/>
              <w:bottom w:val="nil"/>
            </w:tcBorders>
            <w:noWrap/>
            <w:vAlign w:val="center"/>
            <w:hideMark/>
          </w:tcPr>
          <w:p w14:paraId="54A3B238"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100.00</w:t>
            </w:r>
          </w:p>
        </w:tc>
      </w:tr>
      <w:tr w:rsidR="00D94698" w:rsidRPr="005103F2" w14:paraId="5CC42DC5" w14:textId="77777777" w:rsidTr="00650E8C">
        <w:trPr>
          <w:trHeight w:val="308"/>
        </w:trPr>
        <w:tc>
          <w:tcPr>
            <w:tcW w:w="900" w:type="dxa"/>
            <w:tcBorders>
              <w:top w:val="nil"/>
              <w:bottom w:val="nil"/>
            </w:tcBorders>
            <w:noWrap/>
            <w:vAlign w:val="center"/>
            <w:hideMark/>
          </w:tcPr>
          <w:p w14:paraId="3831EAC1"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100</w:t>
            </w:r>
          </w:p>
        </w:tc>
        <w:tc>
          <w:tcPr>
            <w:tcW w:w="1530" w:type="dxa"/>
            <w:tcBorders>
              <w:top w:val="nil"/>
              <w:bottom w:val="nil"/>
            </w:tcBorders>
            <w:noWrap/>
            <w:vAlign w:val="center"/>
            <w:hideMark/>
          </w:tcPr>
          <w:p w14:paraId="6E07B0CC"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2.30</w:t>
            </w:r>
          </w:p>
        </w:tc>
        <w:tc>
          <w:tcPr>
            <w:tcW w:w="1800" w:type="dxa"/>
            <w:tcBorders>
              <w:top w:val="nil"/>
              <w:bottom w:val="nil"/>
              <w:right w:val="single" w:sz="4" w:space="0" w:color="auto"/>
            </w:tcBorders>
            <w:noWrap/>
            <w:vAlign w:val="center"/>
            <w:hideMark/>
          </w:tcPr>
          <w:p w14:paraId="38167546"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81.85</w:t>
            </w:r>
          </w:p>
        </w:tc>
        <w:tc>
          <w:tcPr>
            <w:tcW w:w="1800" w:type="dxa"/>
            <w:tcBorders>
              <w:top w:val="nil"/>
              <w:left w:val="single" w:sz="4" w:space="0" w:color="auto"/>
              <w:bottom w:val="nil"/>
            </w:tcBorders>
            <w:noWrap/>
            <w:vAlign w:val="center"/>
            <w:hideMark/>
          </w:tcPr>
          <w:p w14:paraId="509DDF50"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2.85</w:t>
            </w:r>
          </w:p>
        </w:tc>
        <w:tc>
          <w:tcPr>
            <w:tcW w:w="1782" w:type="dxa"/>
            <w:tcBorders>
              <w:top w:val="nil"/>
              <w:bottom w:val="nil"/>
            </w:tcBorders>
            <w:noWrap/>
            <w:vAlign w:val="center"/>
            <w:hideMark/>
          </w:tcPr>
          <w:p w14:paraId="538CD495"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95.00</w:t>
            </w:r>
          </w:p>
        </w:tc>
      </w:tr>
      <w:tr w:rsidR="00D94698" w:rsidRPr="005103F2" w14:paraId="502FB104" w14:textId="77777777" w:rsidTr="00650E8C">
        <w:trPr>
          <w:trHeight w:val="308"/>
        </w:trPr>
        <w:tc>
          <w:tcPr>
            <w:tcW w:w="900" w:type="dxa"/>
            <w:tcBorders>
              <w:top w:val="nil"/>
              <w:bottom w:val="nil"/>
            </w:tcBorders>
            <w:noWrap/>
            <w:vAlign w:val="center"/>
            <w:hideMark/>
          </w:tcPr>
          <w:p w14:paraId="6D1CD001"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200</w:t>
            </w:r>
          </w:p>
        </w:tc>
        <w:tc>
          <w:tcPr>
            <w:tcW w:w="1530" w:type="dxa"/>
            <w:tcBorders>
              <w:top w:val="nil"/>
              <w:bottom w:val="nil"/>
            </w:tcBorders>
            <w:noWrap/>
            <w:vAlign w:val="center"/>
            <w:hideMark/>
          </w:tcPr>
          <w:p w14:paraId="0564B6B8"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2.01</w:t>
            </w:r>
          </w:p>
        </w:tc>
        <w:tc>
          <w:tcPr>
            <w:tcW w:w="1800" w:type="dxa"/>
            <w:tcBorders>
              <w:top w:val="nil"/>
              <w:bottom w:val="nil"/>
              <w:right w:val="single" w:sz="4" w:space="0" w:color="auto"/>
            </w:tcBorders>
            <w:noWrap/>
            <w:vAlign w:val="center"/>
            <w:hideMark/>
          </w:tcPr>
          <w:p w14:paraId="03C26A2B"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71.53</w:t>
            </w:r>
          </w:p>
        </w:tc>
        <w:tc>
          <w:tcPr>
            <w:tcW w:w="1800" w:type="dxa"/>
            <w:tcBorders>
              <w:top w:val="nil"/>
              <w:left w:val="single" w:sz="4" w:space="0" w:color="auto"/>
              <w:bottom w:val="nil"/>
            </w:tcBorders>
            <w:noWrap/>
            <w:vAlign w:val="center"/>
            <w:hideMark/>
          </w:tcPr>
          <w:p w14:paraId="546FA55F"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2.53</w:t>
            </w:r>
          </w:p>
        </w:tc>
        <w:tc>
          <w:tcPr>
            <w:tcW w:w="1782" w:type="dxa"/>
            <w:tcBorders>
              <w:top w:val="nil"/>
              <w:bottom w:val="nil"/>
            </w:tcBorders>
            <w:noWrap/>
            <w:vAlign w:val="center"/>
            <w:hideMark/>
          </w:tcPr>
          <w:p w14:paraId="5A281EB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84.22</w:t>
            </w:r>
          </w:p>
        </w:tc>
      </w:tr>
      <w:tr w:rsidR="00D94698" w:rsidRPr="005103F2" w14:paraId="2B9E0D8A" w14:textId="77777777" w:rsidTr="00650E8C">
        <w:trPr>
          <w:trHeight w:val="308"/>
        </w:trPr>
        <w:tc>
          <w:tcPr>
            <w:tcW w:w="900" w:type="dxa"/>
            <w:tcBorders>
              <w:top w:val="nil"/>
              <w:bottom w:val="nil"/>
            </w:tcBorders>
            <w:noWrap/>
            <w:vAlign w:val="center"/>
            <w:hideMark/>
          </w:tcPr>
          <w:p w14:paraId="50A6D26D"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250</w:t>
            </w:r>
          </w:p>
        </w:tc>
        <w:tc>
          <w:tcPr>
            <w:tcW w:w="1530" w:type="dxa"/>
            <w:tcBorders>
              <w:top w:val="nil"/>
              <w:bottom w:val="nil"/>
            </w:tcBorders>
            <w:noWrap/>
            <w:vAlign w:val="center"/>
            <w:hideMark/>
          </w:tcPr>
          <w:p w14:paraId="2AE36F9F"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1.50</w:t>
            </w:r>
          </w:p>
        </w:tc>
        <w:tc>
          <w:tcPr>
            <w:tcW w:w="1800" w:type="dxa"/>
            <w:tcBorders>
              <w:top w:val="nil"/>
              <w:bottom w:val="nil"/>
              <w:right w:val="single" w:sz="4" w:space="0" w:color="auto"/>
            </w:tcBorders>
            <w:noWrap/>
            <w:vAlign w:val="center"/>
            <w:hideMark/>
          </w:tcPr>
          <w:p w14:paraId="723E004C"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53.26</w:t>
            </w:r>
          </w:p>
        </w:tc>
        <w:tc>
          <w:tcPr>
            <w:tcW w:w="1800" w:type="dxa"/>
            <w:tcBorders>
              <w:top w:val="nil"/>
              <w:left w:val="single" w:sz="4" w:space="0" w:color="auto"/>
              <w:bottom w:val="nil"/>
            </w:tcBorders>
            <w:noWrap/>
            <w:vAlign w:val="center"/>
            <w:hideMark/>
          </w:tcPr>
          <w:p w14:paraId="4F9E6622"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2.10</w:t>
            </w:r>
          </w:p>
        </w:tc>
        <w:tc>
          <w:tcPr>
            <w:tcW w:w="1782" w:type="dxa"/>
            <w:tcBorders>
              <w:top w:val="nil"/>
              <w:bottom w:val="nil"/>
            </w:tcBorders>
            <w:noWrap/>
            <w:vAlign w:val="center"/>
            <w:hideMark/>
          </w:tcPr>
          <w:p w14:paraId="0AC11061"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70.00</w:t>
            </w:r>
          </w:p>
        </w:tc>
      </w:tr>
      <w:tr w:rsidR="00D94698" w:rsidRPr="005103F2" w14:paraId="118E37D2" w14:textId="77777777" w:rsidTr="00650E8C">
        <w:trPr>
          <w:trHeight w:val="308"/>
        </w:trPr>
        <w:tc>
          <w:tcPr>
            <w:tcW w:w="900" w:type="dxa"/>
            <w:tcBorders>
              <w:top w:val="nil"/>
              <w:bottom w:val="nil"/>
            </w:tcBorders>
            <w:noWrap/>
            <w:vAlign w:val="center"/>
            <w:hideMark/>
          </w:tcPr>
          <w:p w14:paraId="697A38B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300</w:t>
            </w:r>
          </w:p>
        </w:tc>
        <w:tc>
          <w:tcPr>
            <w:tcW w:w="1530" w:type="dxa"/>
            <w:tcBorders>
              <w:top w:val="nil"/>
              <w:bottom w:val="nil"/>
            </w:tcBorders>
            <w:noWrap/>
            <w:vAlign w:val="center"/>
            <w:hideMark/>
          </w:tcPr>
          <w:p w14:paraId="10DF305C"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1.43</w:t>
            </w:r>
          </w:p>
        </w:tc>
        <w:tc>
          <w:tcPr>
            <w:tcW w:w="1800" w:type="dxa"/>
            <w:tcBorders>
              <w:top w:val="nil"/>
              <w:bottom w:val="nil"/>
              <w:right w:val="single" w:sz="4" w:space="0" w:color="auto"/>
            </w:tcBorders>
            <w:noWrap/>
            <w:vAlign w:val="center"/>
            <w:hideMark/>
          </w:tcPr>
          <w:p w14:paraId="5D4EE567"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51.01</w:t>
            </w:r>
          </w:p>
        </w:tc>
        <w:tc>
          <w:tcPr>
            <w:tcW w:w="1800" w:type="dxa"/>
            <w:tcBorders>
              <w:top w:val="nil"/>
              <w:left w:val="single" w:sz="4" w:space="0" w:color="auto"/>
              <w:bottom w:val="nil"/>
            </w:tcBorders>
            <w:noWrap/>
            <w:vAlign w:val="center"/>
            <w:hideMark/>
          </w:tcPr>
          <w:p w14:paraId="36C39229"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1.99</w:t>
            </w:r>
          </w:p>
        </w:tc>
        <w:tc>
          <w:tcPr>
            <w:tcW w:w="1782" w:type="dxa"/>
            <w:tcBorders>
              <w:top w:val="nil"/>
              <w:bottom w:val="nil"/>
            </w:tcBorders>
            <w:noWrap/>
            <w:vAlign w:val="center"/>
            <w:hideMark/>
          </w:tcPr>
          <w:p w14:paraId="07CAFE66"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66.44</w:t>
            </w:r>
          </w:p>
        </w:tc>
      </w:tr>
      <w:tr w:rsidR="00D94698" w:rsidRPr="005103F2" w14:paraId="28D6B171" w14:textId="77777777" w:rsidTr="00650E8C">
        <w:trPr>
          <w:trHeight w:val="308"/>
        </w:trPr>
        <w:tc>
          <w:tcPr>
            <w:tcW w:w="900" w:type="dxa"/>
            <w:tcBorders>
              <w:top w:val="nil"/>
              <w:bottom w:val="single" w:sz="4" w:space="0" w:color="auto"/>
            </w:tcBorders>
            <w:noWrap/>
            <w:vAlign w:val="center"/>
            <w:hideMark/>
          </w:tcPr>
          <w:p w14:paraId="18001F93"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400</w:t>
            </w:r>
          </w:p>
        </w:tc>
        <w:tc>
          <w:tcPr>
            <w:tcW w:w="1530" w:type="dxa"/>
            <w:tcBorders>
              <w:top w:val="nil"/>
              <w:bottom w:val="single" w:sz="4" w:space="0" w:color="auto"/>
            </w:tcBorders>
            <w:noWrap/>
            <w:vAlign w:val="center"/>
            <w:hideMark/>
          </w:tcPr>
          <w:p w14:paraId="57C80B4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1.38</w:t>
            </w:r>
          </w:p>
        </w:tc>
        <w:tc>
          <w:tcPr>
            <w:tcW w:w="1800" w:type="dxa"/>
            <w:tcBorders>
              <w:top w:val="nil"/>
              <w:bottom w:val="single" w:sz="4" w:space="0" w:color="auto"/>
              <w:right w:val="single" w:sz="4" w:space="0" w:color="auto"/>
            </w:tcBorders>
            <w:noWrap/>
            <w:vAlign w:val="center"/>
            <w:hideMark/>
          </w:tcPr>
          <w:p w14:paraId="3065FB43"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48.99</w:t>
            </w:r>
          </w:p>
        </w:tc>
        <w:tc>
          <w:tcPr>
            <w:tcW w:w="1800" w:type="dxa"/>
            <w:tcBorders>
              <w:top w:val="nil"/>
              <w:left w:val="single" w:sz="4" w:space="0" w:color="auto"/>
              <w:bottom w:val="single" w:sz="4" w:space="0" w:color="auto"/>
            </w:tcBorders>
            <w:noWrap/>
            <w:vAlign w:val="center"/>
            <w:hideMark/>
          </w:tcPr>
          <w:p w14:paraId="536509F6"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1.63</w:t>
            </w:r>
          </w:p>
        </w:tc>
        <w:tc>
          <w:tcPr>
            <w:tcW w:w="1782" w:type="dxa"/>
            <w:tcBorders>
              <w:top w:val="nil"/>
              <w:bottom w:val="single" w:sz="4" w:space="0" w:color="auto"/>
            </w:tcBorders>
            <w:noWrap/>
            <w:vAlign w:val="center"/>
            <w:hideMark/>
          </w:tcPr>
          <w:p w14:paraId="663C0D4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54.44</w:t>
            </w:r>
          </w:p>
        </w:tc>
      </w:tr>
      <w:tr w:rsidR="00D94698" w:rsidRPr="005103F2" w14:paraId="1F6CA544" w14:textId="77777777" w:rsidTr="00650E8C">
        <w:trPr>
          <w:trHeight w:val="308"/>
        </w:trPr>
        <w:tc>
          <w:tcPr>
            <w:tcW w:w="900" w:type="dxa"/>
            <w:tcBorders>
              <w:top w:val="single" w:sz="4" w:space="0" w:color="auto"/>
              <w:bottom w:val="nil"/>
            </w:tcBorders>
            <w:noWrap/>
            <w:vAlign w:val="center"/>
            <w:hideMark/>
          </w:tcPr>
          <w:p w14:paraId="4F62028F"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Mean</w:t>
            </w:r>
          </w:p>
        </w:tc>
        <w:tc>
          <w:tcPr>
            <w:tcW w:w="1530" w:type="dxa"/>
            <w:tcBorders>
              <w:top w:val="single" w:sz="4" w:space="0" w:color="auto"/>
              <w:bottom w:val="nil"/>
            </w:tcBorders>
            <w:noWrap/>
            <w:vAlign w:val="center"/>
            <w:hideMark/>
          </w:tcPr>
          <w:p w14:paraId="7E08FEDD"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1.90</w:t>
            </w:r>
          </w:p>
        </w:tc>
        <w:tc>
          <w:tcPr>
            <w:tcW w:w="1800" w:type="dxa"/>
            <w:tcBorders>
              <w:top w:val="single" w:sz="4" w:space="0" w:color="auto"/>
              <w:bottom w:val="nil"/>
              <w:right w:val="single" w:sz="4" w:space="0" w:color="auto"/>
            </w:tcBorders>
            <w:noWrap/>
            <w:vAlign w:val="center"/>
            <w:hideMark/>
          </w:tcPr>
          <w:p w14:paraId="3A265919"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
        </w:tc>
        <w:tc>
          <w:tcPr>
            <w:tcW w:w="1800" w:type="dxa"/>
            <w:tcBorders>
              <w:top w:val="single" w:sz="4" w:space="0" w:color="auto"/>
              <w:left w:val="single" w:sz="4" w:space="0" w:color="auto"/>
              <w:bottom w:val="nil"/>
            </w:tcBorders>
            <w:noWrap/>
            <w:vAlign w:val="center"/>
            <w:hideMark/>
          </w:tcPr>
          <w:p w14:paraId="6C34F4D0"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2.35</w:t>
            </w:r>
          </w:p>
        </w:tc>
        <w:tc>
          <w:tcPr>
            <w:tcW w:w="1782" w:type="dxa"/>
            <w:tcBorders>
              <w:top w:val="single" w:sz="4" w:space="0" w:color="auto"/>
              <w:bottom w:val="nil"/>
            </w:tcBorders>
            <w:noWrap/>
            <w:vAlign w:val="center"/>
            <w:hideMark/>
          </w:tcPr>
          <w:p w14:paraId="46A0BC82"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
        </w:tc>
      </w:tr>
      <w:tr w:rsidR="00D94698" w:rsidRPr="005103F2" w14:paraId="26AB9B8F" w14:textId="77777777" w:rsidTr="00650E8C">
        <w:trPr>
          <w:trHeight w:val="308"/>
        </w:trPr>
        <w:tc>
          <w:tcPr>
            <w:tcW w:w="900" w:type="dxa"/>
            <w:tcBorders>
              <w:top w:val="nil"/>
              <w:bottom w:val="single" w:sz="4" w:space="0" w:color="auto"/>
            </w:tcBorders>
            <w:noWrap/>
            <w:vAlign w:val="center"/>
            <w:hideMark/>
          </w:tcPr>
          <w:p w14:paraId="260CD39B"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SD</w:t>
            </w:r>
          </w:p>
        </w:tc>
        <w:tc>
          <w:tcPr>
            <w:tcW w:w="1530" w:type="dxa"/>
            <w:tcBorders>
              <w:top w:val="nil"/>
              <w:bottom w:val="single" w:sz="4" w:space="0" w:color="auto"/>
            </w:tcBorders>
            <w:noWrap/>
            <w:vAlign w:val="center"/>
            <w:hideMark/>
          </w:tcPr>
          <w:p w14:paraId="551EBA19"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0.575224</w:t>
            </w:r>
          </w:p>
        </w:tc>
        <w:tc>
          <w:tcPr>
            <w:tcW w:w="1800" w:type="dxa"/>
            <w:tcBorders>
              <w:top w:val="nil"/>
              <w:bottom w:val="single" w:sz="4" w:space="0" w:color="auto"/>
              <w:right w:val="single" w:sz="4" w:space="0" w:color="auto"/>
            </w:tcBorders>
            <w:noWrap/>
            <w:vAlign w:val="center"/>
            <w:hideMark/>
          </w:tcPr>
          <w:p w14:paraId="16D6344A"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
        </w:tc>
        <w:tc>
          <w:tcPr>
            <w:tcW w:w="1800" w:type="dxa"/>
            <w:tcBorders>
              <w:top w:val="nil"/>
              <w:left w:val="single" w:sz="4" w:space="0" w:color="auto"/>
              <w:bottom w:val="single" w:sz="4" w:space="0" w:color="auto"/>
            </w:tcBorders>
            <w:noWrap/>
            <w:vAlign w:val="center"/>
            <w:hideMark/>
          </w:tcPr>
          <w:p w14:paraId="32A0C13E"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r w:rsidRPr="005103F2">
              <w:rPr>
                <w:rFonts w:ascii="Times New Roman" w:eastAsia="Times New Roman" w:hAnsi="Times New Roman" w:cs="Times New Roman"/>
                <w:color w:val="000000"/>
                <w:sz w:val="20"/>
                <w:szCs w:val="20"/>
              </w:rPr>
              <w:t>0.530477</w:t>
            </w:r>
          </w:p>
        </w:tc>
        <w:tc>
          <w:tcPr>
            <w:tcW w:w="1782" w:type="dxa"/>
            <w:tcBorders>
              <w:top w:val="nil"/>
              <w:bottom w:val="single" w:sz="4" w:space="0" w:color="auto"/>
            </w:tcBorders>
            <w:noWrap/>
            <w:vAlign w:val="center"/>
            <w:hideMark/>
          </w:tcPr>
          <w:p w14:paraId="5C223081" w14:textId="77777777" w:rsidR="005D44A0" w:rsidRPr="005103F2" w:rsidRDefault="005D44A0" w:rsidP="00506F76">
            <w:pPr>
              <w:spacing w:after="0" w:line="360" w:lineRule="auto"/>
              <w:jc w:val="both"/>
              <w:rPr>
                <w:rFonts w:ascii="Times New Roman" w:eastAsia="Times New Roman" w:hAnsi="Times New Roman" w:cs="Times New Roman"/>
                <w:color w:val="000000"/>
                <w:sz w:val="20"/>
                <w:szCs w:val="20"/>
              </w:rPr>
            </w:pPr>
          </w:p>
        </w:tc>
      </w:tr>
    </w:tbl>
    <w:p w14:paraId="42D3D030" w14:textId="77777777" w:rsidR="007C5E88" w:rsidRDefault="007C5E88" w:rsidP="00506F76">
      <w:pPr>
        <w:autoSpaceDE w:val="0"/>
        <w:autoSpaceDN w:val="0"/>
        <w:adjustRightInd w:val="0"/>
        <w:spacing w:before="240" w:after="0" w:line="360" w:lineRule="auto"/>
        <w:jc w:val="both"/>
        <w:rPr>
          <w:rFonts w:ascii="Times New Roman" w:hAnsi="Times New Roman" w:cs="Times New Roman"/>
          <w:b/>
          <w:color w:val="000000"/>
          <w:sz w:val="24"/>
          <w:szCs w:val="24"/>
        </w:rPr>
      </w:pPr>
    </w:p>
    <w:p w14:paraId="207B767F" w14:textId="3A434753" w:rsidR="00C02BBC" w:rsidRPr="007C5E88" w:rsidRDefault="00A66850" w:rsidP="00506F76">
      <w:pPr>
        <w:autoSpaceDE w:val="0"/>
        <w:autoSpaceDN w:val="0"/>
        <w:adjustRightInd w:val="0"/>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3.4</w:t>
      </w:r>
      <w:r w:rsidR="00662C1E">
        <w:rPr>
          <w:rFonts w:ascii="Times New Roman" w:hAnsi="Times New Roman" w:cs="Times New Roman"/>
          <w:b/>
          <w:color w:val="000000"/>
          <w:sz w:val="24"/>
          <w:szCs w:val="24"/>
        </w:rPr>
        <w:t xml:space="preserve"> </w:t>
      </w:r>
      <w:r w:rsidR="00C02BBC" w:rsidRPr="007C5E88">
        <w:rPr>
          <w:rFonts w:ascii="Times New Roman" w:hAnsi="Times New Roman" w:cs="Times New Roman"/>
          <w:b/>
          <w:color w:val="000000"/>
          <w:sz w:val="24"/>
          <w:szCs w:val="24"/>
        </w:rPr>
        <w:t>Dry matter accumulation</w:t>
      </w:r>
    </w:p>
    <w:p w14:paraId="7DF0B9A2" w14:textId="77ACDD46" w:rsidR="005103F2" w:rsidRDefault="005103F2" w:rsidP="002050B6">
      <w:pPr>
        <w:autoSpaceDE w:val="0"/>
        <w:autoSpaceDN w:val="0"/>
        <w:adjustRightInd w:val="0"/>
        <w:spacing w:after="0" w:line="360" w:lineRule="auto"/>
        <w:jc w:val="both"/>
        <w:rPr>
          <w:rFonts w:ascii="Times New Roman" w:hAnsi="Times New Roman" w:cs="Times New Roman"/>
          <w:color w:val="000000"/>
          <w:sz w:val="24"/>
          <w:szCs w:val="24"/>
        </w:rPr>
      </w:pPr>
      <w:r w:rsidRPr="005103F2">
        <w:rPr>
          <w:rFonts w:ascii="Times New Roman" w:hAnsi="Times New Roman" w:cs="Times New Roman"/>
          <w:color w:val="000000"/>
          <w:sz w:val="24"/>
          <w:szCs w:val="24"/>
        </w:rPr>
        <w:t xml:space="preserve">Dry matter accumulation decreased proportionally with increasing gamma radiation doses in both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and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(Table 04). At 400 </w:t>
      </w:r>
      <w:proofErr w:type="spellStart"/>
      <w:r w:rsidRPr="005103F2">
        <w:rPr>
          <w:rFonts w:ascii="Times New Roman" w:hAnsi="Times New Roman" w:cs="Times New Roman"/>
          <w:color w:val="000000"/>
          <w:sz w:val="24"/>
          <w:szCs w:val="24"/>
        </w:rPr>
        <w:t>Gy</w:t>
      </w:r>
      <w:proofErr w:type="spellEnd"/>
      <w:r w:rsidRPr="005103F2">
        <w:rPr>
          <w:rFonts w:ascii="Times New Roman" w:hAnsi="Times New Roman" w:cs="Times New Roman"/>
          <w:color w:val="000000"/>
          <w:sz w:val="24"/>
          <w:szCs w:val="24"/>
        </w:rPr>
        <w:t xml:space="preserve">, both varieties exhibited a 48% reduction in dry weight compared to the control. Throughout all treatments, </w:t>
      </w:r>
      <w:proofErr w:type="spellStart"/>
      <w:r w:rsidRPr="005103F2">
        <w:rPr>
          <w:rFonts w:ascii="Times New Roman" w:hAnsi="Times New Roman" w:cs="Times New Roman"/>
          <w:color w:val="000000"/>
          <w:sz w:val="24"/>
          <w:szCs w:val="24"/>
        </w:rPr>
        <w:t>Chinigura</w:t>
      </w:r>
      <w:proofErr w:type="spellEnd"/>
      <w:r w:rsidRPr="005103F2">
        <w:rPr>
          <w:rFonts w:ascii="Times New Roman" w:hAnsi="Times New Roman" w:cs="Times New Roman"/>
          <w:color w:val="000000"/>
          <w:sz w:val="24"/>
          <w:szCs w:val="24"/>
        </w:rPr>
        <w:t xml:space="preserve"> consistently recorded lower dry matter values (0.07–0.13 g) than </w:t>
      </w:r>
      <w:proofErr w:type="spellStart"/>
      <w:r w:rsidRPr="005103F2">
        <w:rPr>
          <w:rFonts w:ascii="Times New Roman" w:hAnsi="Times New Roman" w:cs="Times New Roman"/>
          <w:color w:val="000000"/>
          <w:sz w:val="24"/>
          <w:szCs w:val="24"/>
        </w:rPr>
        <w:t>Banglamati</w:t>
      </w:r>
      <w:proofErr w:type="spellEnd"/>
      <w:r w:rsidRPr="005103F2">
        <w:rPr>
          <w:rFonts w:ascii="Times New Roman" w:hAnsi="Times New Roman" w:cs="Times New Roman"/>
          <w:color w:val="000000"/>
          <w:sz w:val="24"/>
          <w:szCs w:val="24"/>
        </w:rPr>
        <w:t xml:space="preserve"> (0.08–0.15 g), reflecting similar declines observed in seedling height and fresh weight. The reduction pattern suggests a dose-dependent inhibitory effect of gamma irradiation on biomass production. </w:t>
      </w:r>
      <w:proofErr w:type="spellStart"/>
      <w:r w:rsidRPr="005103F2">
        <w:rPr>
          <w:rFonts w:ascii="Times New Roman" w:hAnsi="Times New Roman" w:cs="Times New Roman"/>
          <w:color w:val="000000"/>
          <w:sz w:val="24"/>
          <w:szCs w:val="24"/>
        </w:rPr>
        <w:t>Lasmana</w:t>
      </w:r>
      <w:proofErr w:type="spellEnd"/>
      <w:r w:rsidRPr="005103F2">
        <w:rPr>
          <w:rFonts w:ascii="Times New Roman" w:hAnsi="Times New Roman" w:cs="Times New Roman"/>
          <w:color w:val="000000"/>
          <w:sz w:val="24"/>
          <w:szCs w:val="24"/>
        </w:rPr>
        <w:t xml:space="preserve"> et al. (2025) reported that lower doses, particularly 50 </w:t>
      </w:r>
      <w:proofErr w:type="spellStart"/>
      <w:r w:rsidRPr="005103F2">
        <w:rPr>
          <w:rFonts w:ascii="Times New Roman" w:hAnsi="Times New Roman" w:cs="Times New Roman"/>
          <w:color w:val="000000"/>
          <w:sz w:val="24"/>
          <w:szCs w:val="24"/>
        </w:rPr>
        <w:t>Gy</w:t>
      </w:r>
      <w:proofErr w:type="spellEnd"/>
      <w:r w:rsidRPr="005103F2">
        <w:rPr>
          <w:rFonts w:ascii="Times New Roman" w:hAnsi="Times New Roman" w:cs="Times New Roman"/>
          <w:color w:val="000000"/>
          <w:sz w:val="24"/>
          <w:szCs w:val="24"/>
        </w:rPr>
        <w:t xml:space="preserve"> and 100 </w:t>
      </w:r>
      <w:proofErr w:type="spellStart"/>
      <w:r w:rsidRPr="005103F2">
        <w:rPr>
          <w:rFonts w:ascii="Times New Roman" w:hAnsi="Times New Roman" w:cs="Times New Roman"/>
          <w:color w:val="000000"/>
          <w:sz w:val="24"/>
          <w:szCs w:val="24"/>
        </w:rPr>
        <w:t>Gy</w:t>
      </w:r>
      <w:proofErr w:type="spellEnd"/>
      <w:r w:rsidRPr="005103F2">
        <w:rPr>
          <w:rFonts w:ascii="Times New Roman" w:hAnsi="Times New Roman" w:cs="Times New Roman"/>
          <w:color w:val="000000"/>
          <w:sz w:val="24"/>
          <w:szCs w:val="24"/>
        </w:rPr>
        <w:t xml:space="preserve">, induced a </w:t>
      </w:r>
      <w:proofErr w:type="spellStart"/>
      <w:r w:rsidRPr="005103F2">
        <w:rPr>
          <w:rFonts w:ascii="Times New Roman" w:hAnsi="Times New Roman" w:cs="Times New Roman"/>
          <w:color w:val="000000"/>
          <w:sz w:val="24"/>
          <w:szCs w:val="24"/>
        </w:rPr>
        <w:t>hormetic</w:t>
      </w:r>
      <w:proofErr w:type="spellEnd"/>
      <w:r w:rsidRPr="005103F2">
        <w:rPr>
          <w:rFonts w:ascii="Times New Roman" w:hAnsi="Times New Roman" w:cs="Times New Roman"/>
          <w:color w:val="000000"/>
          <w:sz w:val="24"/>
          <w:szCs w:val="24"/>
        </w:rPr>
        <w:t xml:space="preserve"> effect by enhancing germination, plant height, and </w:t>
      </w:r>
      <w:proofErr w:type="spellStart"/>
      <w:r w:rsidRPr="005103F2">
        <w:rPr>
          <w:rFonts w:ascii="Times New Roman" w:hAnsi="Times New Roman" w:cs="Times New Roman"/>
          <w:color w:val="000000"/>
          <w:sz w:val="24"/>
          <w:szCs w:val="24"/>
        </w:rPr>
        <w:t>tillering</w:t>
      </w:r>
      <w:proofErr w:type="spellEnd"/>
      <w:r w:rsidRPr="005103F2">
        <w:rPr>
          <w:rFonts w:ascii="Times New Roman" w:hAnsi="Times New Roman" w:cs="Times New Roman"/>
          <w:color w:val="000000"/>
          <w:sz w:val="24"/>
          <w:szCs w:val="24"/>
        </w:rPr>
        <w:t xml:space="preserve">, whereas higher doses (&gt;150 </w:t>
      </w:r>
      <w:proofErr w:type="spellStart"/>
      <w:r w:rsidRPr="005103F2">
        <w:rPr>
          <w:rFonts w:ascii="Times New Roman" w:hAnsi="Times New Roman" w:cs="Times New Roman"/>
          <w:color w:val="000000"/>
          <w:sz w:val="24"/>
          <w:szCs w:val="24"/>
        </w:rPr>
        <w:t>Gy</w:t>
      </w:r>
      <w:proofErr w:type="spellEnd"/>
      <w:r w:rsidRPr="005103F2">
        <w:rPr>
          <w:rFonts w:ascii="Times New Roman" w:hAnsi="Times New Roman" w:cs="Times New Roman"/>
          <w:color w:val="000000"/>
          <w:sz w:val="24"/>
          <w:szCs w:val="24"/>
        </w:rPr>
        <w:t>) significantly reduced growth due to physiological and genetic damage.</w:t>
      </w:r>
    </w:p>
    <w:p w14:paraId="3C32FE15" w14:textId="77777777" w:rsidR="00910DF2" w:rsidRDefault="00910DF2" w:rsidP="00506F76">
      <w:pPr>
        <w:autoSpaceDE w:val="0"/>
        <w:autoSpaceDN w:val="0"/>
        <w:adjustRightInd w:val="0"/>
        <w:spacing w:line="360" w:lineRule="auto"/>
        <w:jc w:val="both"/>
        <w:rPr>
          <w:rFonts w:ascii="Times New Roman" w:hAnsi="Times New Roman" w:cs="Times New Roman"/>
          <w:color w:val="000000"/>
          <w:sz w:val="24"/>
          <w:szCs w:val="24"/>
        </w:rPr>
      </w:pPr>
    </w:p>
    <w:p w14:paraId="535836F4" w14:textId="77777777" w:rsidR="00327A55" w:rsidRDefault="00327A55" w:rsidP="00506F76">
      <w:pPr>
        <w:autoSpaceDE w:val="0"/>
        <w:autoSpaceDN w:val="0"/>
        <w:adjustRightInd w:val="0"/>
        <w:spacing w:line="360" w:lineRule="auto"/>
        <w:jc w:val="both"/>
        <w:rPr>
          <w:rFonts w:ascii="Times New Roman" w:hAnsi="Times New Roman" w:cs="Times New Roman"/>
          <w:b/>
          <w:bCs/>
        </w:rPr>
      </w:pPr>
    </w:p>
    <w:p w14:paraId="5F5ACC99" w14:textId="276EC886" w:rsidR="00206969" w:rsidRPr="007C5E88" w:rsidRDefault="00C02BBC" w:rsidP="00506F76">
      <w:pPr>
        <w:autoSpaceDE w:val="0"/>
        <w:autoSpaceDN w:val="0"/>
        <w:adjustRightInd w:val="0"/>
        <w:spacing w:line="360" w:lineRule="auto"/>
        <w:jc w:val="both"/>
        <w:rPr>
          <w:rFonts w:ascii="Times New Roman" w:hAnsi="Times New Roman" w:cs="Times New Roman"/>
          <w:b/>
          <w:color w:val="000000"/>
        </w:rPr>
      </w:pPr>
      <w:r w:rsidRPr="007C5E88">
        <w:rPr>
          <w:rFonts w:ascii="Times New Roman" w:hAnsi="Times New Roman" w:cs="Times New Roman"/>
          <w:b/>
          <w:bCs/>
        </w:rPr>
        <w:t xml:space="preserve">Table 4. Effect of gamma ray irradiation on </w:t>
      </w:r>
      <w:r w:rsidRPr="007C5E88">
        <w:rPr>
          <w:rFonts w:ascii="Times New Roman" w:hAnsi="Times New Roman" w:cs="Times New Roman"/>
          <w:b/>
          <w:color w:val="000000"/>
        </w:rPr>
        <w:t xml:space="preserve">Dry matter accumulation </w:t>
      </w:r>
      <w:r w:rsidRPr="007C5E88">
        <w:rPr>
          <w:rFonts w:ascii="Times New Roman" w:hAnsi="Times New Roman" w:cs="Times New Roman"/>
          <w:b/>
          <w:bCs/>
        </w:rPr>
        <w:t xml:space="preserve">of </w:t>
      </w:r>
      <w:proofErr w:type="spellStart"/>
      <w:r w:rsidRPr="007C5E88">
        <w:rPr>
          <w:rFonts w:ascii="Times New Roman" w:eastAsia="Times New Roman" w:hAnsi="Times New Roman" w:cs="Times New Roman"/>
          <w:b/>
          <w:bCs/>
          <w:color w:val="000000"/>
        </w:rPr>
        <w:t>Chinigura</w:t>
      </w:r>
      <w:proofErr w:type="spellEnd"/>
      <w:r w:rsidRPr="007C5E88">
        <w:rPr>
          <w:rFonts w:ascii="Times New Roman" w:hAnsi="Times New Roman" w:cs="Times New Roman"/>
          <w:b/>
          <w:bCs/>
        </w:rPr>
        <w:t xml:space="preserve"> and </w:t>
      </w:r>
      <w:proofErr w:type="spellStart"/>
      <w:r w:rsidRPr="007C5E88">
        <w:rPr>
          <w:rFonts w:ascii="Times New Roman" w:eastAsia="Times New Roman" w:hAnsi="Times New Roman" w:cs="Times New Roman"/>
          <w:b/>
          <w:color w:val="000000"/>
        </w:rPr>
        <w:t>Banglamati</w:t>
      </w:r>
      <w:proofErr w:type="spellEnd"/>
      <w:r w:rsidRPr="007C5E88">
        <w:rPr>
          <w:rFonts w:ascii="Times New Roman" w:eastAsia="Times New Roman" w:hAnsi="Times New Roman" w:cs="Times New Roman"/>
          <w:b/>
          <w:color w:val="000000"/>
        </w:rPr>
        <w:t xml:space="preserve"> at 21 DAS  </w:t>
      </w:r>
    </w:p>
    <w:tbl>
      <w:tblPr>
        <w:tblW w:w="7670" w:type="dxa"/>
        <w:jc w:val="center"/>
        <w:tblLook w:val="04A0" w:firstRow="1" w:lastRow="0" w:firstColumn="1" w:lastColumn="0" w:noHBand="0" w:noVBand="1"/>
      </w:tblPr>
      <w:tblGrid>
        <w:gridCol w:w="865"/>
        <w:gridCol w:w="1530"/>
        <w:gridCol w:w="1800"/>
        <w:gridCol w:w="1800"/>
        <w:gridCol w:w="1675"/>
      </w:tblGrid>
      <w:tr w:rsidR="00C02BBC" w:rsidRPr="00910DF2" w14:paraId="596B5F66" w14:textId="77777777" w:rsidTr="00C02BBC">
        <w:trPr>
          <w:trHeight w:val="304"/>
          <w:jc w:val="center"/>
        </w:trPr>
        <w:tc>
          <w:tcPr>
            <w:tcW w:w="865" w:type="dxa"/>
            <w:vMerge w:val="restart"/>
            <w:tcBorders>
              <w:top w:val="single" w:sz="4" w:space="0" w:color="auto"/>
              <w:left w:val="nil"/>
              <w:bottom w:val="nil"/>
              <w:right w:val="nil"/>
            </w:tcBorders>
            <w:shd w:val="clear" w:color="000000" w:fill="FFFFFF"/>
            <w:vAlign w:val="center"/>
            <w:hideMark/>
          </w:tcPr>
          <w:p w14:paraId="3967F627" w14:textId="77777777" w:rsidR="00C02BBC" w:rsidRPr="00910DF2" w:rsidRDefault="00C02BBC" w:rsidP="00506F76">
            <w:pPr>
              <w:spacing w:before="240" w:line="360" w:lineRule="auto"/>
              <w:jc w:val="both"/>
              <w:rPr>
                <w:rFonts w:ascii="Times New Roman" w:eastAsia="Times New Roman" w:hAnsi="Times New Roman" w:cs="Times New Roman"/>
                <w:bCs/>
                <w:sz w:val="20"/>
                <w:szCs w:val="20"/>
              </w:rPr>
            </w:pPr>
            <w:r w:rsidRPr="00910DF2">
              <w:rPr>
                <w:rFonts w:ascii="Times New Roman" w:eastAsia="Times New Roman" w:hAnsi="Times New Roman" w:cs="Times New Roman"/>
                <w:bCs/>
                <w:sz w:val="20"/>
                <w:szCs w:val="20"/>
              </w:rPr>
              <w:lastRenderedPageBreak/>
              <w:t>Dose (GY)</w:t>
            </w:r>
          </w:p>
        </w:tc>
        <w:tc>
          <w:tcPr>
            <w:tcW w:w="3330" w:type="dxa"/>
            <w:gridSpan w:val="2"/>
            <w:tcBorders>
              <w:top w:val="single" w:sz="4" w:space="0" w:color="auto"/>
              <w:left w:val="nil"/>
              <w:bottom w:val="nil"/>
              <w:right w:val="single" w:sz="4" w:space="0" w:color="auto"/>
            </w:tcBorders>
            <w:noWrap/>
            <w:vAlign w:val="center"/>
            <w:hideMark/>
          </w:tcPr>
          <w:p w14:paraId="645B1793" w14:textId="77777777" w:rsidR="00C02BBC" w:rsidRPr="00910DF2" w:rsidRDefault="00C02BBC" w:rsidP="00506F76">
            <w:pPr>
              <w:spacing w:after="0" w:line="360" w:lineRule="auto"/>
              <w:jc w:val="both"/>
              <w:rPr>
                <w:rFonts w:ascii="Times New Roman" w:eastAsia="Times New Roman" w:hAnsi="Times New Roman" w:cs="Times New Roman"/>
                <w:bCs/>
                <w:color w:val="000000"/>
                <w:sz w:val="20"/>
                <w:szCs w:val="20"/>
              </w:rPr>
            </w:pPr>
            <w:proofErr w:type="spellStart"/>
            <w:r w:rsidRPr="00910DF2">
              <w:rPr>
                <w:rFonts w:ascii="Times New Roman" w:eastAsia="Times New Roman" w:hAnsi="Times New Roman" w:cs="Times New Roman"/>
                <w:bCs/>
                <w:color w:val="000000"/>
                <w:sz w:val="20"/>
                <w:szCs w:val="20"/>
              </w:rPr>
              <w:t>Chinigura</w:t>
            </w:r>
            <w:proofErr w:type="spellEnd"/>
          </w:p>
        </w:tc>
        <w:tc>
          <w:tcPr>
            <w:tcW w:w="3475" w:type="dxa"/>
            <w:gridSpan w:val="2"/>
            <w:tcBorders>
              <w:top w:val="single" w:sz="4" w:space="0" w:color="auto"/>
              <w:left w:val="single" w:sz="4" w:space="0" w:color="auto"/>
              <w:bottom w:val="nil"/>
              <w:right w:val="nil"/>
            </w:tcBorders>
            <w:noWrap/>
            <w:vAlign w:val="center"/>
            <w:hideMark/>
          </w:tcPr>
          <w:p w14:paraId="15A44157"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roofErr w:type="spellStart"/>
            <w:r w:rsidRPr="00910DF2">
              <w:rPr>
                <w:rFonts w:ascii="Times New Roman" w:eastAsia="Times New Roman" w:hAnsi="Times New Roman" w:cs="Times New Roman"/>
                <w:color w:val="000000"/>
                <w:sz w:val="20"/>
                <w:szCs w:val="20"/>
              </w:rPr>
              <w:t>Banglamati</w:t>
            </w:r>
            <w:proofErr w:type="spellEnd"/>
          </w:p>
        </w:tc>
      </w:tr>
      <w:tr w:rsidR="00C02BBC" w:rsidRPr="00910DF2" w14:paraId="4DE36B86" w14:textId="77777777" w:rsidTr="00C02BBC">
        <w:trPr>
          <w:trHeight w:val="378"/>
          <w:jc w:val="center"/>
        </w:trPr>
        <w:tc>
          <w:tcPr>
            <w:tcW w:w="865" w:type="dxa"/>
            <w:vMerge/>
            <w:tcBorders>
              <w:top w:val="nil"/>
              <w:left w:val="nil"/>
              <w:bottom w:val="single" w:sz="4" w:space="0" w:color="auto"/>
              <w:right w:val="nil"/>
            </w:tcBorders>
            <w:vAlign w:val="center"/>
            <w:hideMark/>
          </w:tcPr>
          <w:p w14:paraId="0737C01F" w14:textId="77777777" w:rsidR="00C02BBC" w:rsidRPr="00910DF2" w:rsidRDefault="00C02BBC" w:rsidP="00506F76">
            <w:pPr>
              <w:spacing w:after="0" w:line="360" w:lineRule="auto"/>
              <w:jc w:val="both"/>
              <w:rPr>
                <w:rFonts w:ascii="Times New Roman" w:eastAsia="Times New Roman" w:hAnsi="Times New Roman" w:cs="Times New Roman"/>
                <w:bCs/>
                <w:sz w:val="20"/>
                <w:szCs w:val="20"/>
              </w:rPr>
            </w:pPr>
          </w:p>
        </w:tc>
        <w:tc>
          <w:tcPr>
            <w:tcW w:w="1530" w:type="dxa"/>
            <w:tcBorders>
              <w:top w:val="nil"/>
              <w:left w:val="nil"/>
              <w:bottom w:val="single" w:sz="4" w:space="0" w:color="auto"/>
              <w:right w:val="nil"/>
            </w:tcBorders>
            <w:vAlign w:val="center"/>
            <w:hideMark/>
          </w:tcPr>
          <w:p w14:paraId="00D2269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Dry wt. (g)</w:t>
            </w:r>
          </w:p>
        </w:tc>
        <w:tc>
          <w:tcPr>
            <w:tcW w:w="1800" w:type="dxa"/>
            <w:tcBorders>
              <w:top w:val="nil"/>
              <w:left w:val="nil"/>
              <w:bottom w:val="single" w:sz="4" w:space="0" w:color="auto"/>
              <w:right w:val="single" w:sz="4" w:space="0" w:color="auto"/>
            </w:tcBorders>
            <w:vAlign w:val="center"/>
            <w:hideMark/>
          </w:tcPr>
          <w:p w14:paraId="191FA469"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 over control</w:t>
            </w:r>
          </w:p>
        </w:tc>
        <w:tc>
          <w:tcPr>
            <w:tcW w:w="1800" w:type="dxa"/>
            <w:tcBorders>
              <w:top w:val="nil"/>
              <w:left w:val="single" w:sz="4" w:space="0" w:color="auto"/>
              <w:bottom w:val="single" w:sz="4" w:space="0" w:color="auto"/>
              <w:right w:val="nil"/>
            </w:tcBorders>
            <w:vAlign w:val="center"/>
            <w:hideMark/>
          </w:tcPr>
          <w:p w14:paraId="6DF3080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Dry wt. (g)</w:t>
            </w:r>
          </w:p>
        </w:tc>
        <w:tc>
          <w:tcPr>
            <w:tcW w:w="1675" w:type="dxa"/>
            <w:tcBorders>
              <w:top w:val="nil"/>
              <w:left w:val="nil"/>
              <w:bottom w:val="single" w:sz="4" w:space="0" w:color="auto"/>
              <w:right w:val="nil"/>
            </w:tcBorders>
            <w:vAlign w:val="center"/>
            <w:hideMark/>
          </w:tcPr>
          <w:p w14:paraId="1F88604F"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 over control</w:t>
            </w:r>
          </w:p>
        </w:tc>
      </w:tr>
      <w:tr w:rsidR="00C02BBC" w:rsidRPr="00910DF2" w14:paraId="3A23796C" w14:textId="77777777" w:rsidTr="00C02BBC">
        <w:trPr>
          <w:trHeight w:val="304"/>
          <w:jc w:val="center"/>
        </w:trPr>
        <w:tc>
          <w:tcPr>
            <w:tcW w:w="865" w:type="dxa"/>
            <w:tcBorders>
              <w:top w:val="single" w:sz="4" w:space="0" w:color="auto"/>
              <w:left w:val="nil"/>
              <w:bottom w:val="nil"/>
              <w:right w:val="nil"/>
            </w:tcBorders>
            <w:noWrap/>
            <w:vAlign w:val="center"/>
            <w:hideMark/>
          </w:tcPr>
          <w:p w14:paraId="28A0CFB2"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w:t>
            </w:r>
          </w:p>
        </w:tc>
        <w:tc>
          <w:tcPr>
            <w:tcW w:w="1530" w:type="dxa"/>
            <w:tcBorders>
              <w:top w:val="single" w:sz="4" w:space="0" w:color="auto"/>
              <w:left w:val="nil"/>
              <w:bottom w:val="nil"/>
              <w:right w:val="nil"/>
            </w:tcBorders>
            <w:noWrap/>
            <w:vAlign w:val="center"/>
            <w:hideMark/>
          </w:tcPr>
          <w:p w14:paraId="3C4C953D"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0.13</w:t>
            </w:r>
          </w:p>
        </w:tc>
        <w:tc>
          <w:tcPr>
            <w:tcW w:w="1800" w:type="dxa"/>
            <w:tcBorders>
              <w:top w:val="single" w:sz="4" w:space="0" w:color="auto"/>
              <w:left w:val="nil"/>
              <w:bottom w:val="nil"/>
              <w:right w:val="single" w:sz="4" w:space="0" w:color="auto"/>
            </w:tcBorders>
            <w:noWrap/>
            <w:vAlign w:val="center"/>
            <w:hideMark/>
          </w:tcPr>
          <w:p w14:paraId="61061A21"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0.13</w:t>
            </w:r>
          </w:p>
        </w:tc>
        <w:tc>
          <w:tcPr>
            <w:tcW w:w="1800" w:type="dxa"/>
            <w:tcBorders>
              <w:top w:val="single" w:sz="4" w:space="0" w:color="auto"/>
              <w:left w:val="single" w:sz="4" w:space="0" w:color="auto"/>
              <w:bottom w:val="nil"/>
              <w:right w:val="nil"/>
            </w:tcBorders>
            <w:noWrap/>
            <w:vAlign w:val="center"/>
            <w:hideMark/>
          </w:tcPr>
          <w:p w14:paraId="42253D14"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0.15</w:t>
            </w:r>
          </w:p>
        </w:tc>
        <w:tc>
          <w:tcPr>
            <w:tcW w:w="1675" w:type="dxa"/>
            <w:tcBorders>
              <w:top w:val="single" w:sz="4" w:space="0" w:color="auto"/>
              <w:left w:val="nil"/>
              <w:bottom w:val="nil"/>
              <w:right w:val="nil"/>
            </w:tcBorders>
            <w:noWrap/>
            <w:vAlign w:val="center"/>
            <w:hideMark/>
          </w:tcPr>
          <w:p w14:paraId="29A500FB"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0.15</w:t>
            </w:r>
          </w:p>
        </w:tc>
      </w:tr>
      <w:tr w:rsidR="00C02BBC" w:rsidRPr="00910DF2" w14:paraId="2E00DCFA" w14:textId="77777777" w:rsidTr="00C02BBC">
        <w:trPr>
          <w:trHeight w:val="304"/>
          <w:jc w:val="center"/>
        </w:trPr>
        <w:tc>
          <w:tcPr>
            <w:tcW w:w="865" w:type="dxa"/>
            <w:tcBorders>
              <w:top w:val="nil"/>
              <w:left w:val="nil"/>
              <w:bottom w:val="nil"/>
              <w:right w:val="nil"/>
            </w:tcBorders>
            <w:noWrap/>
            <w:vAlign w:val="center"/>
            <w:hideMark/>
          </w:tcPr>
          <w:p w14:paraId="7DF5EEB6"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100</w:t>
            </w:r>
          </w:p>
        </w:tc>
        <w:tc>
          <w:tcPr>
            <w:tcW w:w="1530" w:type="dxa"/>
            <w:tcBorders>
              <w:top w:val="nil"/>
              <w:left w:val="nil"/>
              <w:bottom w:val="nil"/>
              <w:right w:val="nil"/>
            </w:tcBorders>
            <w:noWrap/>
            <w:vAlign w:val="center"/>
            <w:hideMark/>
          </w:tcPr>
          <w:p w14:paraId="5ED3AB16"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0.11</w:t>
            </w:r>
          </w:p>
        </w:tc>
        <w:tc>
          <w:tcPr>
            <w:tcW w:w="1800" w:type="dxa"/>
            <w:tcBorders>
              <w:top w:val="nil"/>
              <w:left w:val="nil"/>
              <w:bottom w:val="nil"/>
              <w:right w:val="single" w:sz="4" w:space="0" w:color="auto"/>
            </w:tcBorders>
            <w:noWrap/>
            <w:vAlign w:val="center"/>
            <w:hideMark/>
          </w:tcPr>
          <w:p w14:paraId="79574547"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82.50</w:t>
            </w:r>
          </w:p>
        </w:tc>
        <w:tc>
          <w:tcPr>
            <w:tcW w:w="1800" w:type="dxa"/>
            <w:tcBorders>
              <w:top w:val="nil"/>
              <w:left w:val="single" w:sz="4" w:space="0" w:color="auto"/>
              <w:bottom w:val="nil"/>
              <w:right w:val="nil"/>
            </w:tcBorders>
            <w:noWrap/>
            <w:vAlign w:val="center"/>
            <w:hideMark/>
          </w:tcPr>
          <w:p w14:paraId="2409B047"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0.14</w:t>
            </w:r>
          </w:p>
        </w:tc>
        <w:tc>
          <w:tcPr>
            <w:tcW w:w="1675" w:type="dxa"/>
            <w:tcBorders>
              <w:top w:val="nil"/>
              <w:left w:val="nil"/>
              <w:bottom w:val="nil"/>
              <w:right w:val="nil"/>
            </w:tcBorders>
            <w:noWrap/>
            <w:vAlign w:val="center"/>
            <w:hideMark/>
          </w:tcPr>
          <w:p w14:paraId="22BC5475"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94.67</w:t>
            </w:r>
          </w:p>
        </w:tc>
      </w:tr>
      <w:tr w:rsidR="00C02BBC" w:rsidRPr="00910DF2" w14:paraId="17A73389" w14:textId="77777777" w:rsidTr="00C02BBC">
        <w:trPr>
          <w:trHeight w:val="304"/>
          <w:jc w:val="center"/>
        </w:trPr>
        <w:tc>
          <w:tcPr>
            <w:tcW w:w="865" w:type="dxa"/>
            <w:tcBorders>
              <w:top w:val="nil"/>
              <w:left w:val="nil"/>
              <w:bottom w:val="nil"/>
              <w:right w:val="nil"/>
            </w:tcBorders>
            <w:noWrap/>
            <w:vAlign w:val="center"/>
            <w:hideMark/>
          </w:tcPr>
          <w:p w14:paraId="722A3FC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200</w:t>
            </w:r>
          </w:p>
        </w:tc>
        <w:tc>
          <w:tcPr>
            <w:tcW w:w="1530" w:type="dxa"/>
            <w:tcBorders>
              <w:top w:val="nil"/>
              <w:left w:val="nil"/>
              <w:bottom w:val="nil"/>
              <w:right w:val="nil"/>
            </w:tcBorders>
            <w:noWrap/>
            <w:vAlign w:val="center"/>
            <w:hideMark/>
          </w:tcPr>
          <w:p w14:paraId="59DEABA2"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0.10</w:t>
            </w:r>
          </w:p>
        </w:tc>
        <w:tc>
          <w:tcPr>
            <w:tcW w:w="1800" w:type="dxa"/>
            <w:tcBorders>
              <w:top w:val="nil"/>
              <w:left w:val="nil"/>
              <w:bottom w:val="nil"/>
              <w:right w:val="single" w:sz="4" w:space="0" w:color="auto"/>
            </w:tcBorders>
            <w:noWrap/>
            <w:vAlign w:val="center"/>
            <w:hideMark/>
          </w:tcPr>
          <w:p w14:paraId="4E6B51F9"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75.00</w:t>
            </w:r>
          </w:p>
        </w:tc>
        <w:tc>
          <w:tcPr>
            <w:tcW w:w="1800" w:type="dxa"/>
            <w:tcBorders>
              <w:top w:val="nil"/>
              <w:left w:val="single" w:sz="4" w:space="0" w:color="auto"/>
              <w:bottom w:val="nil"/>
              <w:right w:val="nil"/>
            </w:tcBorders>
            <w:noWrap/>
            <w:vAlign w:val="center"/>
            <w:hideMark/>
          </w:tcPr>
          <w:p w14:paraId="06349B6C"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0.13</w:t>
            </w:r>
          </w:p>
        </w:tc>
        <w:tc>
          <w:tcPr>
            <w:tcW w:w="1675" w:type="dxa"/>
            <w:tcBorders>
              <w:top w:val="nil"/>
              <w:left w:val="nil"/>
              <w:bottom w:val="nil"/>
              <w:right w:val="nil"/>
            </w:tcBorders>
            <w:noWrap/>
            <w:vAlign w:val="center"/>
            <w:hideMark/>
          </w:tcPr>
          <w:p w14:paraId="2B3B292B"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87.78</w:t>
            </w:r>
          </w:p>
        </w:tc>
      </w:tr>
      <w:tr w:rsidR="00C02BBC" w:rsidRPr="00910DF2" w14:paraId="2C70B3DD" w14:textId="77777777" w:rsidTr="00C02BBC">
        <w:trPr>
          <w:trHeight w:val="304"/>
          <w:jc w:val="center"/>
        </w:trPr>
        <w:tc>
          <w:tcPr>
            <w:tcW w:w="865" w:type="dxa"/>
            <w:tcBorders>
              <w:top w:val="nil"/>
              <w:left w:val="nil"/>
              <w:bottom w:val="nil"/>
              <w:right w:val="nil"/>
            </w:tcBorders>
            <w:noWrap/>
            <w:vAlign w:val="center"/>
            <w:hideMark/>
          </w:tcPr>
          <w:p w14:paraId="0470CB3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250</w:t>
            </w:r>
          </w:p>
        </w:tc>
        <w:tc>
          <w:tcPr>
            <w:tcW w:w="1530" w:type="dxa"/>
            <w:tcBorders>
              <w:top w:val="nil"/>
              <w:left w:val="nil"/>
              <w:bottom w:val="nil"/>
              <w:right w:val="nil"/>
            </w:tcBorders>
            <w:noWrap/>
            <w:vAlign w:val="center"/>
            <w:hideMark/>
          </w:tcPr>
          <w:p w14:paraId="7631AD09"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0.08</w:t>
            </w:r>
          </w:p>
        </w:tc>
        <w:tc>
          <w:tcPr>
            <w:tcW w:w="1800" w:type="dxa"/>
            <w:tcBorders>
              <w:top w:val="nil"/>
              <w:left w:val="nil"/>
              <w:bottom w:val="nil"/>
              <w:right w:val="single" w:sz="4" w:space="0" w:color="auto"/>
            </w:tcBorders>
            <w:noWrap/>
            <w:vAlign w:val="center"/>
            <w:hideMark/>
          </w:tcPr>
          <w:p w14:paraId="6AC83637"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61.25</w:t>
            </w:r>
          </w:p>
        </w:tc>
        <w:tc>
          <w:tcPr>
            <w:tcW w:w="1800" w:type="dxa"/>
            <w:tcBorders>
              <w:top w:val="nil"/>
              <w:left w:val="single" w:sz="4" w:space="0" w:color="auto"/>
              <w:bottom w:val="nil"/>
              <w:right w:val="nil"/>
            </w:tcBorders>
            <w:noWrap/>
            <w:vAlign w:val="center"/>
            <w:hideMark/>
          </w:tcPr>
          <w:p w14:paraId="1DD4D73D"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0.11</w:t>
            </w:r>
          </w:p>
        </w:tc>
        <w:tc>
          <w:tcPr>
            <w:tcW w:w="1675" w:type="dxa"/>
            <w:tcBorders>
              <w:top w:val="nil"/>
              <w:left w:val="nil"/>
              <w:bottom w:val="nil"/>
              <w:right w:val="nil"/>
            </w:tcBorders>
            <w:noWrap/>
            <w:vAlign w:val="center"/>
            <w:hideMark/>
          </w:tcPr>
          <w:p w14:paraId="0952115C"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70.67</w:t>
            </w:r>
          </w:p>
        </w:tc>
      </w:tr>
      <w:tr w:rsidR="00C02BBC" w:rsidRPr="00910DF2" w14:paraId="00035EB3" w14:textId="77777777" w:rsidTr="00C02BBC">
        <w:trPr>
          <w:trHeight w:val="304"/>
          <w:jc w:val="center"/>
        </w:trPr>
        <w:tc>
          <w:tcPr>
            <w:tcW w:w="865" w:type="dxa"/>
            <w:tcBorders>
              <w:top w:val="nil"/>
              <w:left w:val="nil"/>
              <w:bottom w:val="nil"/>
              <w:right w:val="nil"/>
            </w:tcBorders>
            <w:noWrap/>
            <w:vAlign w:val="center"/>
            <w:hideMark/>
          </w:tcPr>
          <w:p w14:paraId="7AB0FD06"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300</w:t>
            </w:r>
          </w:p>
        </w:tc>
        <w:tc>
          <w:tcPr>
            <w:tcW w:w="1530" w:type="dxa"/>
            <w:tcBorders>
              <w:top w:val="nil"/>
              <w:left w:val="nil"/>
              <w:bottom w:val="nil"/>
              <w:right w:val="nil"/>
            </w:tcBorders>
            <w:noWrap/>
            <w:vAlign w:val="center"/>
            <w:hideMark/>
          </w:tcPr>
          <w:p w14:paraId="72E7C3E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0.08</w:t>
            </w:r>
          </w:p>
        </w:tc>
        <w:tc>
          <w:tcPr>
            <w:tcW w:w="1800" w:type="dxa"/>
            <w:tcBorders>
              <w:top w:val="nil"/>
              <w:left w:val="nil"/>
              <w:bottom w:val="nil"/>
              <w:right w:val="single" w:sz="4" w:space="0" w:color="auto"/>
            </w:tcBorders>
            <w:noWrap/>
            <w:vAlign w:val="center"/>
            <w:hideMark/>
          </w:tcPr>
          <w:p w14:paraId="4053E836"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60.00</w:t>
            </w:r>
          </w:p>
        </w:tc>
        <w:tc>
          <w:tcPr>
            <w:tcW w:w="1800" w:type="dxa"/>
            <w:tcBorders>
              <w:top w:val="nil"/>
              <w:left w:val="single" w:sz="4" w:space="0" w:color="auto"/>
              <w:bottom w:val="nil"/>
              <w:right w:val="nil"/>
            </w:tcBorders>
            <w:noWrap/>
            <w:vAlign w:val="center"/>
            <w:hideMark/>
          </w:tcPr>
          <w:p w14:paraId="6E00315D"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0.10</w:t>
            </w:r>
          </w:p>
        </w:tc>
        <w:tc>
          <w:tcPr>
            <w:tcW w:w="1675" w:type="dxa"/>
            <w:tcBorders>
              <w:top w:val="nil"/>
              <w:left w:val="nil"/>
              <w:bottom w:val="nil"/>
              <w:right w:val="nil"/>
            </w:tcBorders>
            <w:noWrap/>
            <w:vAlign w:val="center"/>
            <w:hideMark/>
          </w:tcPr>
          <w:p w14:paraId="18729D25"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66.67</w:t>
            </w:r>
          </w:p>
        </w:tc>
      </w:tr>
      <w:tr w:rsidR="00C02BBC" w:rsidRPr="00910DF2" w14:paraId="66389965" w14:textId="77777777" w:rsidTr="00C02BBC">
        <w:trPr>
          <w:trHeight w:val="304"/>
          <w:jc w:val="center"/>
        </w:trPr>
        <w:tc>
          <w:tcPr>
            <w:tcW w:w="865" w:type="dxa"/>
            <w:tcBorders>
              <w:top w:val="nil"/>
              <w:left w:val="nil"/>
              <w:bottom w:val="single" w:sz="4" w:space="0" w:color="auto"/>
              <w:right w:val="nil"/>
            </w:tcBorders>
            <w:noWrap/>
            <w:vAlign w:val="center"/>
            <w:hideMark/>
          </w:tcPr>
          <w:p w14:paraId="1C54ACBB"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400</w:t>
            </w:r>
          </w:p>
        </w:tc>
        <w:tc>
          <w:tcPr>
            <w:tcW w:w="1530" w:type="dxa"/>
            <w:tcBorders>
              <w:top w:val="nil"/>
              <w:left w:val="nil"/>
              <w:bottom w:val="single" w:sz="4" w:space="0" w:color="auto"/>
              <w:right w:val="nil"/>
            </w:tcBorders>
            <w:noWrap/>
            <w:vAlign w:val="center"/>
            <w:hideMark/>
          </w:tcPr>
          <w:p w14:paraId="77734225"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0.07</w:t>
            </w:r>
          </w:p>
        </w:tc>
        <w:tc>
          <w:tcPr>
            <w:tcW w:w="1800" w:type="dxa"/>
            <w:tcBorders>
              <w:top w:val="nil"/>
              <w:left w:val="nil"/>
              <w:bottom w:val="single" w:sz="4" w:space="0" w:color="auto"/>
              <w:right w:val="single" w:sz="4" w:space="0" w:color="auto"/>
            </w:tcBorders>
            <w:noWrap/>
            <w:vAlign w:val="center"/>
            <w:hideMark/>
          </w:tcPr>
          <w:p w14:paraId="1BBD86A8"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52.00</w:t>
            </w:r>
          </w:p>
        </w:tc>
        <w:tc>
          <w:tcPr>
            <w:tcW w:w="1800" w:type="dxa"/>
            <w:tcBorders>
              <w:top w:val="nil"/>
              <w:left w:val="single" w:sz="4" w:space="0" w:color="auto"/>
              <w:bottom w:val="single" w:sz="4" w:space="0" w:color="auto"/>
              <w:right w:val="nil"/>
            </w:tcBorders>
            <w:noWrap/>
            <w:vAlign w:val="center"/>
            <w:hideMark/>
          </w:tcPr>
          <w:p w14:paraId="50E3AAFB"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0.08</w:t>
            </w:r>
          </w:p>
        </w:tc>
        <w:tc>
          <w:tcPr>
            <w:tcW w:w="1675" w:type="dxa"/>
            <w:tcBorders>
              <w:top w:val="nil"/>
              <w:left w:val="nil"/>
              <w:bottom w:val="single" w:sz="4" w:space="0" w:color="auto"/>
              <w:right w:val="nil"/>
            </w:tcBorders>
            <w:noWrap/>
            <w:vAlign w:val="center"/>
            <w:hideMark/>
          </w:tcPr>
          <w:p w14:paraId="492331C1"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52.00</w:t>
            </w:r>
          </w:p>
        </w:tc>
      </w:tr>
      <w:tr w:rsidR="00C02BBC" w:rsidRPr="00910DF2" w14:paraId="407C2F5B" w14:textId="77777777" w:rsidTr="00C02BBC">
        <w:trPr>
          <w:trHeight w:val="304"/>
          <w:jc w:val="center"/>
        </w:trPr>
        <w:tc>
          <w:tcPr>
            <w:tcW w:w="865" w:type="dxa"/>
            <w:tcBorders>
              <w:top w:val="single" w:sz="4" w:space="0" w:color="auto"/>
              <w:left w:val="nil"/>
              <w:bottom w:val="nil"/>
              <w:right w:val="nil"/>
            </w:tcBorders>
            <w:noWrap/>
            <w:vAlign w:val="center"/>
            <w:hideMark/>
          </w:tcPr>
          <w:p w14:paraId="2461A131"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Mean</w:t>
            </w:r>
          </w:p>
        </w:tc>
        <w:tc>
          <w:tcPr>
            <w:tcW w:w="1530" w:type="dxa"/>
            <w:tcBorders>
              <w:top w:val="single" w:sz="4" w:space="0" w:color="auto"/>
              <w:left w:val="nil"/>
              <w:bottom w:val="nil"/>
              <w:right w:val="nil"/>
            </w:tcBorders>
            <w:noWrap/>
            <w:vAlign w:val="center"/>
            <w:hideMark/>
          </w:tcPr>
          <w:p w14:paraId="5071A50C"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0.10</w:t>
            </w:r>
          </w:p>
        </w:tc>
        <w:tc>
          <w:tcPr>
            <w:tcW w:w="1800" w:type="dxa"/>
            <w:tcBorders>
              <w:top w:val="single" w:sz="4" w:space="0" w:color="auto"/>
              <w:left w:val="nil"/>
              <w:bottom w:val="nil"/>
              <w:right w:val="single" w:sz="4" w:space="0" w:color="auto"/>
            </w:tcBorders>
            <w:noWrap/>
            <w:vAlign w:val="center"/>
            <w:hideMark/>
          </w:tcPr>
          <w:p w14:paraId="32D5ABC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
        </w:tc>
        <w:tc>
          <w:tcPr>
            <w:tcW w:w="1800" w:type="dxa"/>
            <w:tcBorders>
              <w:top w:val="single" w:sz="4" w:space="0" w:color="auto"/>
              <w:left w:val="single" w:sz="4" w:space="0" w:color="auto"/>
              <w:bottom w:val="nil"/>
              <w:right w:val="nil"/>
            </w:tcBorders>
            <w:noWrap/>
            <w:vAlign w:val="center"/>
            <w:hideMark/>
          </w:tcPr>
          <w:p w14:paraId="4A2CCDA2"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0.12</w:t>
            </w:r>
          </w:p>
        </w:tc>
        <w:tc>
          <w:tcPr>
            <w:tcW w:w="1675" w:type="dxa"/>
            <w:tcBorders>
              <w:top w:val="single" w:sz="4" w:space="0" w:color="auto"/>
              <w:left w:val="nil"/>
              <w:bottom w:val="nil"/>
              <w:right w:val="nil"/>
            </w:tcBorders>
            <w:noWrap/>
            <w:vAlign w:val="center"/>
            <w:hideMark/>
          </w:tcPr>
          <w:p w14:paraId="33D9AAD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
        </w:tc>
      </w:tr>
      <w:tr w:rsidR="00C02BBC" w:rsidRPr="00910DF2" w14:paraId="1B096785" w14:textId="77777777" w:rsidTr="00C02BBC">
        <w:trPr>
          <w:trHeight w:val="304"/>
          <w:jc w:val="center"/>
        </w:trPr>
        <w:tc>
          <w:tcPr>
            <w:tcW w:w="865" w:type="dxa"/>
            <w:tcBorders>
              <w:top w:val="nil"/>
              <w:left w:val="nil"/>
              <w:bottom w:val="single" w:sz="4" w:space="0" w:color="auto"/>
              <w:right w:val="nil"/>
            </w:tcBorders>
            <w:noWrap/>
            <w:vAlign w:val="center"/>
            <w:hideMark/>
          </w:tcPr>
          <w:p w14:paraId="77319EC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SD</w:t>
            </w:r>
          </w:p>
        </w:tc>
        <w:tc>
          <w:tcPr>
            <w:tcW w:w="1530" w:type="dxa"/>
            <w:tcBorders>
              <w:top w:val="nil"/>
              <w:left w:val="nil"/>
              <w:bottom w:val="single" w:sz="4" w:space="0" w:color="auto"/>
              <w:right w:val="nil"/>
            </w:tcBorders>
            <w:noWrap/>
            <w:vAlign w:val="center"/>
            <w:hideMark/>
          </w:tcPr>
          <w:p w14:paraId="45A6427E"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0.023571</w:t>
            </w:r>
          </w:p>
        </w:tc>
        <w:tc>
          <w:tcPr>
            <w:tcW w:w="1800" w:type="dxa"/>
            <w:tcBorders>
              <w:top w:val="nil"/>
              <w:left w:val="nil"/>
              <w:bottom w:val="single" w:sz="4" w:space="0" w:color="auto"/>
              <w:right w:val="single" w:sz="4" w:space="0" w:color="auto"/>
            </w:tcBorders>
            <w:noWrap/>
            <w:vAlign w:val="center"/>
            <w:hideMark/>
          </w:tcPr>
          <w:p w14:paraId="1651A6C8"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
        </w:tc>
        <w:tc>
          <w:tcPr>
            <w:tcW w:w="1800" w:type="dxa"/>
            <w:tcBorders>
              <w:top w:val="nil"/>
              <w:left w:val="single" w:sz="4" w:space="0" w:color="auto"/>
              <w:bottom w:val="single" w:sz="4" w:space="0" w:color="auto"/>
              <w:right w:val="nil"/>
            </w:tcBorders>
            <w:noWrap/>
            <w:vAlign w:val="center"/>
            <w:hideMark/>
          </w:tcPr>
          <w:p w14:paraId="5577F350"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r w:rsidRPr="00910DF2">
              <w:rPr>
                <w:rFonts w:ascii="Times New Roman" w:eastAsia="Times New Roman" w:hAnsi="Times New Roman" w:cs="Times New Roman"/>
                <w:color w:val="000000"/>
                <w:sz w:val="20"/>
                <w:szCs w:val="20"/>
              </w:rPr>
              <w:t>0.027766</w:t>
            </w:r>
          </w:p>
        </w:tc>
        <w:tc>
          <w:tcPr>
            <w:tcW w:w="1675" w:type="dxa"/>
            <w:tcBorders>
              <w:top w:val="nil"/>
              <w:left w:val="nil"/>
              <w:bottom w:val="single" w:sz="4" w:space="0" w:color="auto"/>
              <w:right w:val="nil"/>
            </w:tcBorders>
            <w:noWrap/>
            <w:vAlign w:val="center"/>
            <w:hideMark/>
          </w:tcPr>
          <w:p w14:paraId="75BE27CA" w14:textId="77777777" w:rsidR="00C02BBC" w:rsidRPr="00910DF2" w:rsidRDefault="00C02BBC" w:rsidP="00506F76">
            <w:pPr>
              <w:spacing w:after="0" w:line="360" w:lineRule="auto"/>
              <w:jc w:val="both"/>
              <w:rPr>
                <w:rFonts w:ascii="Times New Roman" w:eastAsia="Times New Roman" w:hAnsi="Times New Roman" w:cs="Times New Roman"/>
                <w:color w:val="000000"/>
                <w:sz w:val="20"/>
                <w:szCs w:val="20"/>
              </w:rPr>
            </w:pPr>
          </w:p>
        </w:tc>
      </w:tr>
    </w:tbl>
    <w:p w14:paraId="52D52BF6" w14:textId="42140794" w:rsidR="00EE4A45" w:rsidRPr="00D80375" w:rsidRDefault="00A66850" w:rsidP="00506F76">
      <w:pPr>
        <w:autoSpaceDE w:val="0"/>
        <w:autoSpaceDN w:val="0"/>
        <w:adjustRightInd w:val="0"/>
        <w:spacing w:before="24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00662C1E">
        <w:rPr>
          <w:rFonts w:ascii="Times New Roman" w:hAnsi="Times New Roman" w:cs="Times New Roman"/>
          <w:b/>
          <w:color w:val="000000"/>
          <w:sz w:val="24"/>
          <w:szCs w:val="24"/>
        </w:rPr>
        <w:t xml:space="preserve"> </w:t>
      </w:r>
      <w:r w:rsidR="00EE4A45" w:rsidRPr="00D80375">
        <w:rPr>
          <w:rFonts w:ascii="Times New Roman" w:hAnsi="Times New Roman" w:cs="Times New Roman"/>
          <w:b/>
          <w:color w:val="000000"/>
          <w:sz w:val="24"/>
          <w:szCs w:val="24"/>
        </w:rPr>
        <w:t>Tiller production</w:t>
      </w:r>
    </w:p>
    <w:p w14:paraId="3DCCDDC1" w14:textId="7A410C13" w:rsidR="00327A55" w:rsidRDefault="00057210" w:rsidP="00327A55">
      <w:pPr>
        <w:autoSpaceDE w:val="0"/>
        <w:autoSpaceDN w:val="0"/>
        <w:adjustRightInd w:val="0"/>
        <w:spacing w:line="360" w:lineRule="auto"/>
        <w:jc w:val="both"/>
        <w:rPr>
          <w:rFonts w:ascii="Times New Roman" w:hAnsi="Times New Roman" w:cs="Times New Roman"/>
          <w:color w:val="000000"/>
          <w:sz w:val="24"/>
          <w:szCs w:val="24"/>
        </w:rPr>
      </w:pPr>
      <w:r w:rsidRPr="00D80375">
        <w:rPr>
          <w:rFonts w:ascii="Times New Roman" w:hAnsi="Times New Roman" w:cs="Times New Roman"/>
          <w:bCs/>
          <w:color w:val="000000"/>
          <w:sz w:val="24"/>
          <w:szCs w:val="24"/>
        </w:rPr>
        <w:t>Tiller production decreased with increasing gamma doses, showing a non-proportional, zigzag trend</w:t>
      </w:r>
      <w:r w:rsidR="00A9291E">
        <w:rPr>
          <w:rFonts w:ascii="Times New Roman" w:hAnsi="Times New Roman" w:cs="Times New Roman"/>
          <w:bCs/>
          <w:color w:val="000000"/>
          <w:sz w:val="24"/>
          <w:szCs w:val="24"/>
        </w:rPr>
        <w:t xml:space="preserve"> (Figure-1)</w:t>
      </w:r>
      <w:r w:rsidRPr="00D80375">
        <w:rPr>
          <w:rFonts w:ascii="Times New Roman" w:hAnsi="Times New Roman" w:cs="Times New Roman"/>
          <w:bCs/>
          <w:color w:val="000000"/>
          <w:sz w:val="24"/>
          <w:szCs w:val="24"/>
        </w:rPr>
        <w:t xml:space="preserve">. In </w:t>
      </w:r>
      <w:proofErr w:type="spellStart"/>
      <w:r w:rsidRPr="00D80375">
        <w:rPr>
          <w:rFonts w:ascii="Times New Roman" w:hAnsi="Times New Roman" w:cs="Times New Roman"/>
          <w:bCs/>
          <w:color w:val="000000"/>
          <w:sz w:val="24"/>
          <w:szCs w:val="24"/>
        </w:rPr>
        <w:t>Chinigura</w:t>
      </w:r>
      <w:proofErr w:type="spellEnd"/>
      <w:r w:rsidRPr="00D80375">
        <w:rPr>
          <w:rFonts w:ascii="Times New Roman" w:hAnsi="Times New Roman" w:cs="Times New Roman"/>
          <w:bCs/>
          <w:color w:val="000000"/>
          <w:sz w:val="24"/>
          <w:szCs w:val="24"/>
        </w:rPr>
        <w:t xml:space="preserve">, tillers dropped significantly at 100 </w:t>
      </w:r>
      <w:proofErr w:type="spellStart"/>
      <w:r w:rsidRPr="00D80375">
        <w:rPr>
          <w:rFonts w:ascii="Times New Roman" w:hAnsi="Times New Roman" w:cs="Times New Roman"/>
          <w:bCs/>
          <w:color w:val="000000"/>
          <w:sz w:val="24"/>
          <w:szCs w:val="24"/>
        </w:rPr>
        <w:t>Gy</w:t>
      </w:r>
      <w:proofErr w:type="spellEnd"/>
      <w:r w:rsidRPr="00D80375">
        <w:rPr>
          <w:rFonts w:ascii="Times New Roman" w:hAnsi="Times New Roman" w:cs="Times New Roman"/>
          <w:bCs/>
          <w:color w:val="000000"/>
          <w:sz w:val="24"/>
          <w:szCs w:val="24"/>
        </w:rPr>
        <w:t xml:space="preserve"> and reached about 50% of control at 400 </w:t>
      </w:r>
      <w:proofErr w:type="spellStart"/>
      <w:r w:rsidRPr="00D80375">
        <w:rPr>
          <w:rFonts w:ascii="Times New Roman" w:hAnsi="Times New Roman" w:cs="Times New Roman"/>
          <w:bCs/>
          <w:color w:val="000000"/>
          <w:sz w:val="24"/>
          <w:szCs w:val="24"/>
        </w:rPr>
        <w:t>Gy</w:t>
      </w:r>
      <w:proofErr w:type="spellEnd"/>
      <w:r w:rsidRPr="00D80375">
        <w:rPr>
          <w:rFonts w:ascii="Times New Roman" w:hAnsi="Times New Roman" w:cs="Times New Roman"/>
          <w:bCs/>
          <w:color w:val="000000"/>
          <w:sz w:val="24"/>
          <w:szCs w:val="24"/>
        </w:rPr>
        <w:t xml:space="preserve">, while in </w:t>
      </w:r>
      <w:proofErr w:type="spellStart"/>
      <w:r w:rsidRPr="00D80375">
        <w:rPr>
          <w:rFonts w:ascii="Times New Roman" w:hAnsi="Times New Roman" w:cs="Times New Roman"/>
          <w:bCs/>
          <w:color w:val="000000"/>
          <w:sz w:val="24"/>
          <w:szCs w:val="24"/>
        </w:rPr>
        <w:t>Banglamati</w:t>
      </w:r>
      <w:proofErr w:type="spellEnd"/>
      <w:r w:rsidRPr="00D80375">
        <w:rPr>
          <w:rFonts w:ascii="Times New Roman" w:hAnsi="Times New Roman" w:cs="Times New Roman"/>
          <w:bCs/>
          <w:color w:val="000000"/>
          <w:sz w:val="24"/>
          <w:szCs w:val="24"/>
        </w:rPr>
        <w:t xml:space="preserve">, significant reduction occurred at 200 </w:t>
      </w:r>
      <w:proofErr w:type="spellStart"/>
      <w:r w:rsidRPr="00D80375">
        <w:rPr>
          <w:rFonts w:ascii="Times New Roman" w:hAnsi="Times New Roman" w:cs="Times New Roman"/>
          <w:bCs/>
          <w:color w:val="000000"/>
          <w:sz w:val="24"/>
          <w:szCs w:val="24"/>
        </w:rPr>
        <w:t>Gy</w:t>
      </w:r>
      <w:proofErr w:type="spellEnd"/>
      <w:r w:rsidRPr="00D80375">
        <w:rPr>
          <w:rFonts w:ascii="Times New Roman" w:hAnsi="Times New Roman" w:cs="Times New Roman"/>
          <w:bCs/>
          <w:color w:val="000000"/>
          <w:sz w:val="24"/>
          <w:szCs w:val="24"/>
        </w:rPr>
        <w:t xml:space="preserve">, also declining to 50% at 400 </w:t>
      </w:r>
      <w:proofErr w:type="spellStart"/>
      <w:r w:rsidRPr="00D80375">
        <w:rPr>
          <w:rFonts w:ascii="Times New Roman" w:hAnsi="Times New Roman" w:cs="Times New Roman"/>
          <w:bCs/>
          <w:color w:val="000000"/>
          <w:sz w:val="24"/>
          <w:szCs w:val="24"/>
        </w:rPr>
        <w:t>Gy</w:t>
      </w:r>
      <w:proofErr w:type="spellEnd"/>
      <w:r w:rsidRPr="00D80375">
        <w:rPr>
          <w:rFonts w:ascii="Times New Roman" w:hAnsi="Times New Roman" w:cs="Times New Roman"/>
          <w:bCs/>
          <w:color w:val="000000"/>
          <w:sz w:val="24"/>
          <w:szCs w:val="24"/>
        </w:rPr>
        <w:t xml:space="preserve">. This aligns with Harding et al. (2012), who reported reduced </w:t>
      </w:r>
      <w:proofErr w:type="spellStart"/>
      <w:r w:rsidRPr="00D80375">
        <w:rPr>
          <w:rFonts w:ascii="Times New Roman" w:hAnsi="Times New Roman" w:cs="Times New Roman"/>
          <w:bCs/>
          <w:color w:val="000000"/>
          <w:sz w:val="24"/>
          <w:szCs w:val="24"/>
        </w:rPr>
        <w:t>tillering</w:t>
      </w:r>
      <w:proofErr w:type="spellEnd"/>
      <w:r w:rsidRPr="00D80375">
        <w:rPr>
          <w:rFonts w:ascii="Times New Roman" w:hAnsi="Times New Roman" w:cs="Times New Roman"/>
          <w:bCs/>
          <w:color w:val="000000"/>
          <w:sz w:val="24"/>
          <w:szCs w:val="24"/>
        </w:rPr>
        <w:t xml:space="preserve"> with higher radiation.</w:t>
      </w:r>
      <w:r w:rsidR="007035CF" w:rsidRPr="00D80375">
        <w:rPr>
          <w:rFonts w:ascii="Times New Roman" w:hAnsi="Times New Roman" w:cs="Times New Roman"/>
          <w:color w:val="000000"/>
          <w:sz w:val="24"/>
          <w:szCs w:val="24"/>
        </w:rPr>
        <w:t xml:space="preserve"> </w:t>
      </w:r>
    </w:p>
    <w:p w14:paraId="51224E78" w14:textId="2832322E" w:rsidR="00BD108F" w:rsidRPr="00BD108F" w:rsidRDefault="00BD108F" w:rsidP="00BD108F">
      <w:pPr>
        <w:autoSpaceDE w:val="0"/>
        <w:autoSpaceDN w:val="0"/>
        <w:adjustRightInd w:val="0"/>
        <w:spacing w:line="360" w:lineRule="auto"/>
        <w:jc w:val="both"/>
        <w:rPr>
          <w:rFonts w:ascii="Times New Roman" w:hAnsi="Times New Roman" w:cs="Times New Roman"/>
          <w:b/>
          <w:bCs/>
          <w:color w:val="000000"/>
          <w:sz w:val="24"/>
          <w:szCs w:val="24"/>
        </w:rPr>
      </w:pPr>
      <w:r w:rsidRPr="00BD108F">
        <w:rPr>
          <w:rFonts w:ascii="Times New Roman" w:hAnsi="Times New Roman" w:cs="Times New Roman"/>
          <w:b/>
          <w:noProof/>
          <w:color w:val="000000"/>
          <w:sz w:val="24"/>
          <w:szCs w:val="24"/>
        </w:rPr>
        <w:drawing>
          <wp:inline distT="0" distB="0" distL="0" distR="0" wp14:anchorId="6CC51797" wp14:editId="4E0E48BD">
            <wp:extent cx="2171700" cy="2057400"/>
            <wp:effectExtent l="0" t="0" r="0" b="0"/>
            <wp:docPr id="1849208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2057400"/>
                    </a:xfrm>
                    <a:prstGeom prst="rect">
                      <a:avLst/>
                    </a:prstGeom>
                    <a:noFill/>
                    <a:ln>
                      <a:noFill/>
                    </a:ln>
                  </pic:spPr>
                </pic:pic>
              </a:graphicData>
            </a:graphic>
          </wp:inline>
        </w:drawing>
      </w:r>
      <w:r w:rsidRPr="00BD108F">
        <w:rPr>
          <w:rFonts w:ascii="Times New Roman" w:hAnsi="Times New Roman" w:cs="Times New Roman"/>
          <w:b/>
          <w:bCs/>
          <w:color w:val="000000"/>
          <w:sz w:val="24"/>
          <w:szCs w:val="24"/>
        </w:rPr>
        <w:t xml:space="preserve">                             </w:t>
      </w:r>
      <w:r w:rsidRPr="00BD108F">
        <w:rPr>
          <w:rFonts w:ascii="Times New Roman" w:hAnsi="Times New Roman" w:cs="Times New Roman"/>
          <w:b/>
          <w:noProof/>
          <w:color w:val="000000"/>
          <w:sz w:val="24"/>
          <w:szCs w:val="24"/>
        </w:rPr>
        <w:drawing>
          <wp:inline distT="0" distB="0" distL="0" distR="0" wp14:anchorId="6026F217" wp14:editId="596D381B">
            <wp:extent cx="2247900" cy="1952625"/>
            <wp:effectExtent l="0" t="0" r="0" b="9525"/>
            <wp:docPr id="1776046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1952625"/>
                    </a:xfrm>
                    <a:prstGeom prst="rect">
                      <a:avLst/>
                    </a:prstGeom>
                    <a:noFill/>
                    <a:ln>
                      <a:noFill/>
                    </a:ln>
                  </pic:spPr>
                </pic:pic>
              </a:graphicData>
            </a:graphic>
          </wp:inline>
        </w:drawing>
      </w:r>
    </w:p>
    <w:tbl>
      <w:tblPr>
        <w:tblStyle w:val="PlainTable41"/>
        <w:tblW w:w="9528" w:type="dxa"/>
        <w:tblLook w:val="04A0" w:firstRow="1" w:lastRow="0" w:firstColumn="1" w:lastColumn="0" w:noHBand="0" w:noVBand="1"/>
      </w:tblPr>
      <w:tblGrid>
        <w:gridCol w:w="4764"/>
        <w:gridCol w:w="4764"/>
      </w:tblGrid>
      <w:tr w:rsidR="00BD108F" w:rsidRPr="00BD108F" w14:paraId="433D86FB" w14:textId="77777777" w:rsidTr="00BD108F">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4764" w:type="dxa"/>
            <w:hideMark/>
          </w:tcPr>
          <w:p w14:paraId="2C2943F0" w14:textId="77777777" w:rsidR="00BD108F" w:rsidRPr="00BD108F" w:rsidRDefault="00BD108F" w:rsidP="00BD108F">
            <w:pPr>
              <w:spacing w:after="200" w:line="360" w:lineRule="auto"/>
              <w:jc w:val="both"/>
            </w:pPr>
            <w:r w:rsidRPr="00BD108F">
              <w:t>Figure 1. Effect of gamma ray irradiation on tiller production</w:t>
            </w:r>
          </w:p>
        </w:tc>
        <w:tc>
          <w:tcPr>
            <w:tcW w:w="4764" w:type="dxa"/>
          </w:tcPr>
          <w:p w14:paraId="13E13F13" w14:textId="4FD508C5" w:rsidR="00BD108F" w:rsidRPr="00BD108F" w:rsidRDefault="00BD108F" w:rsidP="00BD108F">
            <w:pPr>
              <w:spacing w:after="200"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BD108F">
              <w:t>Figure 2. Effect of gamma ray irradiation on      survival percentage</w:t>
            </w:r>
          </w:p>
        </w:tc>
      </w:tr>
    </w:tbl>
    <w:p w14:paraId="71EF60E6" w14:textId="77777777" w:rsidR="00BD108F" w:rsidRDefault="00A66850" w:rsidP="00327A55">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3.6 </w:t>
      </w:r>
      <w:r w:rsidR="00327A55">
        <w:rPr>
          <w:rFonts w:ascii="Times New Roman" w:hAnsi="Times New Roman" w:cs="Times New Roman"/>
          <w:b/>
          <w:color w:val="000000"/>
          <w:sz w:val="24"/>
          <w:szCs w:val="24"/>
        </w:rPr>
        <w:t>S</w:t>
      </w:r>
      <w:r w:rsidR="00327A55" w:rsidRPr="00D80375">
        <w:rPr>
          <w:rFonts w:ascii="Times New Roman" w:hAnsi="Times New Roman" w:cs="Times New Roman"/>
          <w:b/>
          <w:color w:val="000000"/>
          <w:sz w:val="24"/>
          <w:szCs w:val="24"/>
        </w:rPr>
        <w:t xml:space="preserve">urvival percentage </w:t>
      </w:r>
    </w:p>
    <w:p w14:paraId="096AED9D" w14:textId="047EAD8A" w:rsidR="00327A55" w:rsidRPr="00BD108F" w:rsidRDefault="00AD0E45" w:rsidP="00327A55">
      <w:pPr>
        <w:autoSpaceDE w:val="0"/>
        <w:autoSpaceDN w:val="0"/>
        <w:adjustRightInd w:val="0"/>
        <w:spacing w:after="0" w:line="360" w:lineRule="auto"/>
        <w:jc w:val="both"/>
        <w:rPr>
          <w:rFonts w:ascii="Times New Roman" w:hAnsi="Times New Roman" w:cs="Times New Roman"/>
          <w:b/>
          <w:bCs/>
          <w:sz w:val="24"/>
          <w:szCs w:val="24"/>
        </w:rPr>
      </w:pPr>
      <w:r w:rsidRPr="00D80375">
        <w:rPr>
          <w:rFonts w:ascii="Times New Roman" w:hAnsi="Times New Roman" w:cs="Times New Roman"/>
          <w:sz w:val="24"/>
          <w:szCs w:val="24"/>
        </w:rPr>
        <w:t>S</w:t>
      </w:r>
      <w:r w:rsidR="00405056" w:rsidRPr="00D80375">
        <w:rPr>
          <w:rFonts w:ascii="Times New Roman" w:hAnsi="Times New Roman" w:cs="Times New Roman"/>
          <w:sz w:val="24"/>
          <w:szCs w:val="24"/>
        </w:rPr>
        <w:t xml:space="preserve">urvival percentage of </w:t>
      </w:r>
      <w:r w:rsidRPr="00D80375">
        <w:rPr>
          <w:rFonts w:ascii="Times New Roman" w:eastAsia="Times New Roman" w:hAnsi="Times New Roman" w:cs="Times New Roman"/>
          <w:bCs/>
          <w:color w:val="000000"/>
          <w:sz w:val="24"/>
          <w:szCs w:val="24"/>
        </w:rPr>
        <w:t>both vari</w:t>
      </w:r>
      <w:r w:rsidR="004A5420">
        <w:rPr>
          <w:rFonts w:ascii="Times New Roman" w:eastAsia="Times New Roman" w:hAnsi="Times New Roman" w:cs="Times New Roman"/>
          <w:bCs/>
          <w:color w:val="000000"/>
          <w:sz w:val="24"/>
          <w:szCs w:val="24"/>
        </w:rPr>
        <w:t>e</w:t>
      </w:r>
      <w:r w:rsidRPr="00D80375">
        <w:rPr>
          <w:rFonts w:ascii="Times New Roman" w:eastAsia="Times New Roman" w:hAnsi="Times New Roman" w:cs="Times New Roman"/>
          <w:bCs/>
          <w:color w:val="000000"/>
          <w:sz w:val="24"/>
          <w:szCs w:val="24"/>
        </w:rPr>
        <w:t>ties</w:t>
      </w:r>
      <w:r w:rsidRPr="00D80375">
        <w:rPr>
          <w:rFonts w:ascii="Times New Roman" w:hAnsi="Times New Roman" w:cs="Times New Roman"/>
          <w:sz w:val="24"/>
          <w:szCs w:val="24"/>
        </w:rPr>
        <w:t xml:space="preserve"> </w:t>
      </w:r>
      <w:r w:rsidR="009C5DAA" w:rsidRPr="00D80375">
        <w:rPr>
          <w:rFonts w:ascii="Times New Roman" w:hAnsi="Times New Roman" w:cs="Times New Roman"/>
          <w:sz w:val="24"/>
          <w:szCs w:val="24"/>
        </w:rPr>
        <w:t xml:space="preserve">decreases with increasing gamma radiation doses (Figure 2). </w:t>
      </w:r>
      <w:proofErr w:type="spellStart"/>
      <w:r w:rsidR="009C5DAA" w:rsidRPr="00D80375">
        <w:rPr>
          <w:rFonts w:ascii="Times New Roman" w:hAnsi="Times New Roman" w:cs="Times New Roman"/>
          <w:sz w:val="24"/>
          <w:szCs w:val="24"/>
        </w:rPr>
        <w:t>Banglamati</w:t>
      </w:r>
      <w:proofErr w:type="spellEnd"/>
      <w:r w:rsidR="009C5DAA" w:rsidRPr="00D80375">
        <w:rPr>
          <w:rFonts w:ascii="Times New Roman" w:hAnsi="Times New Roman" w:cs="Times New Roman"/>
          <w:sz w:val="24"/>
          <w:szCs w:val="24"/>
        </w:rPr>
        <w:t xml:space="preserve"> consistently shows higher survival than </w:t>
      </w:r>
      <w:proofErr w:type="spellStart"/>
      <w:r w:rsidR="009C5DAA" w:rsidRPr="00D80375">
        <w:rPr>
          <w:rFonts w:ascii="Times New Roman" w:hAnsi="Times New Roman" w:cs="Times New Roman"/>
          <w:sz w:val="24"/>
          <w:szCs w:val="24"/>
        </w:rPr>
        <w:t>Chinigura</w:t>
      </w:r>
      <w:proofErr w:type="spellEnd"/>
      <w:r w:rsidR="009C5DAA" w:rsidRPr="00D80375">
        <w:rPr>
          <w:rFonts w:ascii="Times New Roman" w:hAnsi="Times New Roman" w:cs="Times New Roman"/>
          <w:sz w:val="24"/>
          <w:szCs w:val="24"/>
        </w:rPr>
        <w:t xml:space="preserve"> across all doses. At 400 </w:t>
      </w:r>
      <w:proofErr w:type="spellStart"/>
      <w:r w:rsidR="009C5DAA" w:rsidRPr="00D80375">
        <w:rPr>
          <w:rFonts w:ascii="Times New Roman" w:hAnsi="Times New Roman" w:cs="Times New Roman"/>
          <w:sz w:val="24"/>
          <w:szCs w:val="24"/>
        </w:rPr>
        <w:t>Gy</w:t>
      </w:r>
      <w:proofErr w:type="spellEnd"/>
      <w:r w:rsidR="009C5DAA" w:rsidRPr="00D80375">
        <w:rPr>
          <w:rFonts w:ascii="Times New Roman" w:hAnsi="Times New Roman" w:cs="Times New Roman"/>
          <w:sz w:val="24"/>
          <w:szCs w:val="24"/>
        </w:rPr>
        <w:t xml:space="preserve">, survival </w:t>
      </w:r>
      <w:r w:rsidR="009C5DAA" w:rsidRPr="00D80375">
        <w:rPr>
          <w:rFonts w:ascii="Times New Roman" w:hAnsi="Times New Roman" w:cs="Times New Roman"/>
          <w:sz w:val="24"/>
          <w:szCs w:val="24"/>
        </w:rPr>
        <w:lastRenderedPageBreak/>
        <w:t xml:space="preserve">drops to about 43% in </w:t>
      </w:r>
      <w:proofErr w:type="spellStart"/>
      <w:r w:rsidR="009C5DAA" w:rsidRPr="00D80375">
        <w:rPr>
          <w:rFonts w:ascii="Times New Roman" w:hAnsi="Times New Roman" w:cs="Times New Roman"/>
          <w:sz w:val="24"/>
          <w:szCs w:val="24"/>
        </w:rPr>
        <w:t>Banglamati</w:t>
      </w:r>
      <w:proofErr w:type="spellEnd"/>
      <w:r w:rsidR="009C5DAA" w:rsidRPr="00D80375">
        <w:rPr>
          <w:rFonts w:ascii="Times New Roman" w:hAnsi="Times New Roman" w:cs="Times New Roman"/>
          <w:sz w:val="24"/>
          <w:szCs w:val="24"/>
        </w:rPr>
        <w:t xml:space="preserve"> and 41% in </w:t>
      </w:r>
      <w:proofErr w:type="spellStart"/>
      <w:r w:rsidR="009C5DAA" w:rsidRPr="00D80375">
        <w:rPr>
          <w:rFonts w:ascii="Times New Roman" w:hAnsi="Times New Roman" w:cs="Times New Roman"/>
          <w:sz w:val="24"/>
          <w:szCs w:val="24"/>
        </w:rPr>
        <w:t>Chinigura</w:t>
      </w:r>
      <w:proofErr w:type="spellEnd"/>
      <w:r w:rsidR="009C5DAA" w:rsidRPr="00D80375">
        <w:rPr>
          <w:rFonts w:ascii="Times New Roman" w:hAnsi="Times New Roman" w:cs="Times New Roman"/>
          <w:sz w:val="24"/>
          <w:szCs w:val="24"/>
        </w:rPr>
        <w:t xml:space="preserve">, indicating greater tolerance in </w:t>
      </w:r>
      <w:proofErr w:type="spellStart"/>
      <w:r w:rsidR="003935BF">
        <w:rPr>
          <w:rFonts w:ascii="Times New Roman" w:hAnsi="Times New Roman" w:cs="Times New Roman"/>
          <w:sz w:val="24"/>
          <w:szCs w:val="24"/>
        </w:rPr>
        <w:t>Banglamati</w:t>
      </w:r>
      <w:proofErr w:type="spellEnd"/>
      <w:r w:rsidR="003935BF">
        <w:rPr>
          <w:rFonts w:ascii="Times New Roman" w:hAnsi="Times New Roman" w:cs="Times New Roman"/>
          <w:sz w:val="24"/>
          <w:szCs w:val="24"/>
        </w:rPr>
        <w:t>. Increasing</w:t>
      </w:r>
      <w:r w:rsidR="00FA5721" w:rsidRPr="00FA5721">
        <w:rPr>
          <w:rFonts w:ascii="Times New Roman" w:hAnsi="Times New Roman" w:cs="Times New Roman"/>
          <w:sz w:val="24"/>
          <w:szCs w:val="24"/>
        </w:rPr>
        <w:t xml:space="preserve"> gamma radiation reduced survival percentage, a trend observed by </w:t>
      </w:r>
      <w:proofErr w:type="spellStart"/>
      <w:r w:rsidR="00FA5721" w:rsidRPr="00FA5721">
        <w:rPr>
          <w:rFonts w:ascii="Times New Roman" w:hAnsi="Times New Roman" w:cs="Times New Roman"/>
          <w:sz w:val="24"/>
          <w:szCs w:val="24"/>
        </w:rPr>
        <w:t>Wijesena</w:t>
      </w:r>
      <w:proofErr w:type="spellEnd"/>
      <w:r w:rsidR="00FA5721" w:rsidRPr="00FA5721">
        <w:rPr>
          <w:rFonts w:ascii="Times New Roman" w:hAnsi="Times New Roman" w:cs="Times New Roman"/>
          <w:sz w:val="24"/>
          <w:szCs w:val="24"/>
        </w:rPr>
        <w:t xml:space="preserve"> et al. (2019) and similarly reported in aromatic rice by Harding et al. (2012).</w:t>
      </w:r>
    </w:p>
    <w:p w14:paraId="0720C69F" w14:textId="77777777" w:rsidR="00327A55" w:rsidRDefault="00327A55" w:rsidP="00506F76">
      <w:pPr>
        <w:autoSpaceDE w:val="0"/>
        <w:autoSpaceDN w:val="0"/>
        <w:adjustRightInd w:val="0"/>
        <w:spacing w:after="0" w:line="360" w:lineRule="auto"/>
        <w:jc w:val="both"/>
        <w:rPr>
          <w:rFonts w:ascii="Times New Roman" w:hAnsi="Times New Roman" w:cs="Times New Roman"/>
          <w:sz w:val="24"/>
          <w:szCs w:val="24"/>
        </w:rPr>
      </w:pPr>
    </w:p>
    <w:p w14:paraId="17B4ED6F" w14:textId="77777777" w:rsidR="00AD191C" w:rsidRDefault="00AD191C" w:rsidP="00506F76">
      <w:pPr>
        <w:autoSpaceDE w:val="0"/>
        <w:autoSpaceDN w:val="0"/>
        <w:adjustRightInd w:val="0"/>
        <w:spacing w:after="0" w:line="360" w:lineRule="auto"/>
        <w:jc w:val="both"/>
        <w:rPr>
          <w:rFonts w:ascii="Times New Roman" w:hAnsi="Times New Roman" w:cs="Times New Roman"/>
          <w:b/>
          <w:color w:val="000000"/>
          <w:sz w:val="24"/>
          <w:szCs w:val="24"/>
        </w:rPr>
      </w:pPr>
    </w:p>
    <w:p w14:paraId="1AB65249" w14:textId="772BA61F" w:rsidR="00327A55" w:rsidRPr="00D80375" w:rsidRDefault="00327A55" w:rsidP="00327A5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Pr="00D80375">
        <w:rPr>
          <w:rFonts w:ascii="Times New Roman" w:hAnsi="Times New Roman" w:cs="Times New Roman"/>
          <w:b/>
          <w:bCs/>
          <w:sz w:val="24"/>
          <w:szCs w:val="24"/>
        </w:rPr>
        <w:t xml:space="preserve">Determination of lethal </w:t>
      </w:r>
      <w:r w:rsidRPr="000D65B4">
        <w:rPr>
          <w:rFonts w:ascii="Times New Roman" w:hAnsi="Times New Roman" w:cs="Times New Roman"/>
          <w:b/>
          <w:bCs/>
          <w:sz w:val="24"/>
          <w:szCs w:val="24"/>
        </w:rPr>
        <w:t xml:space="preserve">dose </w:t>
      </w:r>
      <w:r w:rsidR="00AC5E73">
        <w:rPr>
          <w:rFonts w:ascii="Times New Roman" w:hAnsi="Times New Roman" w:cs="Times New Roman"/>
          <w:b/>
          <w:bCs/>
          <w:sz w:val="24"/>
          <w:szCs w:val="24"/>
        </w:rPr>
        <w:t xml:space="preserve">and </w:t>
      </w:r>
      <w:r w:rsidR="00AC5E73" w:rsidRPr="007C5E88">
        <w:rPr>
          <w:rFonts w:ascii="Times New Roman" w:hAnsi="Times New Roman" w:cs="Times New Roman"/>
          <w:b/>
          <w:bCs/>
        </w:rPr>
        <w:t>Relative biological value (RBE</w:t>
      </w:r>
      <w:r w:rsidR="00AC5E73">
        <w:rPr>
          <w:rFonts w:ascii="Times New Roman" w:hAnsi="Times New Roman" w:cs="Times New Roman"/>
          <w:b/>
          <w:bCs/>
        </w:rPr>
        <w:t xml:space="preserve">) </w:t>
      </w:r>
    </w:p>
    <w:p w14:paraId="34D468FF" w14:textId="77777777" w:rsidR="003F18FD" w:rsidRDefault="003F18FD" w:rsidP="00506F76">
      <w:pPr>
        <w:autoSpaceDE w:val="0"/>
        <w:autoSpaceDN w:val="0"/>
        <w:adjustRightInd w:val="0"/>
        <w:spacing w:line="360" w:lineRule="auto"/>
        <w:jc w:val="both"/>
        <w:rPr>
          <w:rFonts w:ascii="Times New Roman" w:hAnsi="Times New Roman" w:cs="Times New Roman"/>
          <w:b/>
          <w:color w:val="000000"/>
          <w:sz w:val="24"/>
          <w:szCs w:val="24"/>
        </w:rPr>
      </w:pPr>
    </w:p>
    <w:p w14:paraId="34549378" w14:textId="0FA20010" w:rsidR="003F18FD" w:rsidRDefault="00AC5E73" w:rsidP="00506F76">
      <w:pPr>
        <w:autoSpaceDE w:val="0"/>
        <w:autoSpaceDN w:val="0"/>
        <w:adjustRightInd w:val="0"/>
        <w:spacing w:line="360" w:lineRule="auto"/>
        <w:jc w:val="both"/>
        <w:rPr>
          <w:rFonts w:ascii="Times New Roman" w:hAnsi="Times New Roman" w:cs="Times New Roman"/>
          <w:sz w:val="24"/>
          <w:szCs w:val="24"/>
        </w:rPr>
      </w:pPr>
      <w:r w:rsidRPr="00D70E66">
        <w:rPr>
          <w:rFonts w:ascii="Times New Roman" w:hAnsi="Times New Roman" w:cs="Times New Roman"/>
          <w:sz w:val="24"/>
          <w:szCs w:val="24"/>
        </w:rPr>
        <w:t xml:space="preserve">The LD₅₀ value, representing the gamma dose at which 50% of plants fail to survive, was determined based on plant survival percentages (Table 5). </w:t>
      </w:r>
      <w:proofErr w:type="spellStart"/>
      <w:r w:rsidRPr="00D70E66">
        <w:rPr>
          <w:rFonts w:ascii="Times New Roman" w:hAnsi="Times New Roman" w:cs="Times New Roman"/>
          <w:sz w:val="24"/>
          <w:szCs w:val="24"/>
          <w:highlight w:val="yellow"/>
        </w:rPr>
        <w:t>Chinigura</w:t>
      </w:r>
      <w:proofErr w:type="spellEnd"/>
      <w:r w:rsidRPr="00D70E66">
        <w:rPr>
          <w:rFonts w:ascii="Times New Roman" w:hAnsi="Times New Roman" w:cs="Times New Roman"/>
          <w:sz w:val="24"/>
          <w:szCs w:val="24"/>
          <w:highlight w:val="yellow"/>
        </w:rPr>
        <w:t xml:space="preserve"> required a lower gamma dose (LD50 = 205.74 </w:t>
      </w:r>
      <w:proofErr w:type="spellStart"/>
      <w:r w:rsidRPr="00D70E66">
        <w:rPr>
          <w:rFonts w:ascii="Times New Roman" w:hAnsi="Times New Roman" w:cs="Times New Roman"/>
          <w:sz w:val="24"/>
          <w:szCs w:val="24"/>
          <w:highlight w:val="yellow"/>
        </w:rPr>
        <w:t>Gy</w:t>
      </w:r>
      <w:proofErr w:type="spellEnd"/>
      <w:r w:rsidRPr="00D70E66">
        <w:rPr>
          <w:rFonts w:ascii="Times New Roman" w:hAnsi="Times New Roman" w:cs="Times New Roman"/>
          <w:sz w:val="24"/>
          <w:szCs w:val="24"/>
          <w:highlight w:val="yellow"/>
        </w:rPr>
        <w:t xml:space="preserve">) than the released variety </w:t>
      </w:r>
      <w:proofErr w:type="spellStart"/>
      <w:r w:rsidRPr="00D70E66">
        <w:rPr>
          <w:rFonts w:ascii="Times New Roman" w:hAnsi="Times New Roman" w:cs="Times New Roman"/>
          <w:sz w:val="24"/>
          <w:szCs w:val="24"/>
          <w:highlight w:val="yellow"/>
        </w:rPr>
        <w:t>Banglamati</w:t>
      </w:r>
      <w:proofErr w:type="spellEnd"/>
      <w:r w:rsidRPr="00D70E66">
        <w:rPr>
          <w:rFonts w:ascii="Times New Roman" w:hAnsi="Times New Roman" w:cs="Times New Roman"/>
          <w:sz w:val="24"/>
          <w:szCs w:val="24"/>
          <w:highlight w:val="yellow"/>
        </w:rPr>
        <w:t xml:space="preserve"> (LD50 = 325.92 </w:t>
      </w:r>
      <w:proofErr w:type="spellStart"/>
      <w:r w:rsidRPr="00D70E66">
        <w:rPr>
          <w:rFonts w:ascii="Times New Roman" w:hAnsi="Times New Roman" w:cs="Times New Roman"/>
          <w:sz w:val="24"/>
          <w:szCs w:val="24"/>
          <w:highlight w:val="yellow"/>
        </w:rPr>
        <w:t>Gy</w:t>
      </w:r>
      <w:proofErr w:type="spellEnd"/>
      <w:r w:rsidRPr="00D70E66">
        <w:rPr>
          <w:rFonts w:ascii="Times New Roman" w:hAnsi="Times New Roman" w:cs="Times New Roman"/>
          <w:sz w:val="24"/>
          <w:szCs w:val="24"/>
          <w:highlight w:val="yellow"/>
        </w:rPr>
        <w:t xml:space="preserve">) to achieve the relative biological effect (RBE) 1.58 and 1.00, respectively </w:t>
      </w:r>
      <w:proofErr w:type="gramStart"/>
      <w:r w:rsidRPr="00D70E66">
        <w:rPr>
          <w:rFonts w:ascii="Times New Roman" w:hAnsi="Times New Roman" w:cs="Times New Roman"/>
          <w:sz w:val="24"/>
          <w:szCs w:val="24"/>
          <w:highlight w:val="yellow"/>
        </w:rPr>
        <w:t>( Table</w:t>
      </w:r>
      <w:proofErr w:type="gramEnd"/>
      <w:r w:rsidRPr="00D70E66">
        <w:rPr>
          <w:rFonts w:ascii="Times New Roman" w:hAnsi="Times New Roman" w:cs="Times New Roman"/>
          <w:sz w:val="24"/>
          <w:szCs w:val="24"/>
          <w:highlight w:val="yellow"/>
        </w:rPr>
        <w:t xml:space="preserve"> 5), indicating higher sensitivity. Similarly, Rani et al. (2016) reported that the local variety </w:t>
      </w:r>
      <w:proofErr w:type="spellStart"/>
      <w:r w:rsidRPr="00D70E66">
        <w:rPr>
          <w:rFonts w:ascii="Times New Roman" w:hAnsi="Times New Roman" w:cs="Times New Roman"/>
          <w:sz w:val="24"/>
          <w:szCs w:val="24"/>
          <w:highlight w:val="yellow"/>
        </w:rPr>
        <w:t>Ashfal</w:t>
      </w:r>
      <w:proofErr w:type="spellEnd"/>
      <w:r w:rsidRPr="00D70E66">
        <w:rPr>
          <w:rFonts w:ascii="Times New Roman" w:hAnsi="Times New Roman" w:cs="Times New Roman"/>
          <w:sz w:val="24"/>
          <w:szCs w:val="24"/>
          <w:highlight w:val="yellow"/>
        </w:rPr>
        <w:t xml:space="preserve"> had lower LD50 and LD30 values (241.68 </w:t>
      </w:r>
      <w:proofErr w:type="spellStart"/>
      <w:r w:rsidRPr="00D70E66">
        <w:rPr>
          <w:rFonts w:ascii="Times New Roman" w:hAnsi="Times New Roman" w:cs="Times New Roman"/>
          <w:sz w:val="24"/>
          <w:szCs w:val="24"/>
          <w:highlight w:val="yellow"/>
        </w:rPr>
        <w:t>Gy</w:t>
      </w:r>
      <w:proofErr w:type="spellEnd"/>
      <w:r w:rsidRPr="00D70E66">
        <w:rPr>
          <w:rFonts w:ascii="Times New Roman" w:hAnsi="Times New Roman" w:cs="Times New Roman"/>
          <w:sz w:val="24"/>
          <w:szCs w:val="24"/>
          <w:highlight w:val="yellow"/>
        </w:rPr>
        <w:t xml:space="preserve"> and 153.19 </w:t>
      </w:r>
      <w:proofErr w:type="spellStart"/>
      <w:r w:rsidRPr="00D70E66">
        <w:rPr>
          <w:rFonts w:ascii="Times New Roman" w:hAnsi="Times New Roman" w:cs="Times New Roman"/>
          <w:sz w:val="24"/>
          <w:szCs w:val="24"/>
          <w:highlight w:val="yellow"/>
        </w:rPr>
        <w:t>Gy</w:t>
      </w:r>
      <w:proofErr w:type="spellEnd"/>
      <w:r w:rsidRPr="00D70E66">
        <w:rPr>
          <w:rFonts w:ascii="Times New Roman" w:hAnsi="Times New Roman" w:cs="Times New Roman"/>
          <w:sz w:val="24"/>
          <w:szCs w:val="24"/>
          <w:highlight w:val="yellow"/>
        </w:rPr>
        <w:t xml:space="preserve">) than the improved variety Binadhan-14 (353.29 </w:t>
      </w:r>
      <w:proofErr w:type="spellStart"/>
      <w:r w:rsidRPr="00D70E66">
        <w:rPr>
          <w:rFonts w:ascii="Times New Roman" w:hAnsi="Times New Roman" w:cs="Times New Roman"/>
          <w:sz w:val="24"/>
          <w:szCs w:val="24"/>
          <w:highlight w:val="yellow"/>
        </w:rPr>
        <w:t>Gy</w:t>
      </w:r>
      <w:proofErr w:type="spellEnd"/>
      <w:r w:rsidRPr="00D70E66">
        <w:rPr>
          <w:rFonts w:ascii="Times New Roman" w:hAnsi="Times New Roman" w:cs="Times New Roman"/>
          <w:sz w:val="24"/>
          <w:szCs w:val="24"/>
          <w:highlight w:val="yellow"/>
        </w:rPr>
        <w:t xml:space="preserve"> and 254.33 </w:t>
      </w:r>
      <w:proofErr w:type="spellStart"/>
      <w:r w:rsidRPr="00D70E66">
        <w:rPr>
          <w:rFonts w:ascii="Times New Roman" w:hAnsi="Times New Roman" w:cs="Times New Roman"/>
          <w:sz w:val="24"/>
          <w:szCs w:val="24"/>
          <w:highlight w:val="yellow"/>
        </w:rPr>
        <w:t>Gy</w:t>
      </w:r>
      <w:proofErr w:type="spellEnd"/>
      <w:r w:rsidRPr="00D70E66">
        <w:rPr>
          <w:rFonts w:ascii="Times New Roman" w:hAnsi="Times New Roman" w:cs="Times New Roman"/>
          <w:sz w:val="24"/>
          <w:szCs w:val="24"/>
          <w:highlight w:val="yellow"/>
        </w:rPr>
        <w:t xml:space="preserve">), with correspondingly higher RBE values (1.12–1.29 vs. 1.02–1.05). These observations consistently show that local varieties are more radiosensitive due to limited genetic tolerance, whereas improved or released varieties are more resilient, requiring higher doses for the same biological effect. This pattern highlights the influence of genetic background and breeding history on varietal </w:t>
      </w:r>
      <w:proofErr w:type="spellStart"/>
      <w:r w:rsidRPr="00D70E66">
        <w:rPr>
          <w:rFonts w:ascii="Times New Roman" w:hAnsi="Times New Roman" w:cs="Times New Roman"/>
          <w:sz w:val="24"/>
          <w:szCs w:val="24"/>
          <w:highlight w:val="yellow"/>
        </w:rPr>
        <w:t>radiosensitivity</w:t>
      </w:r>
      <w:proofErr w:type="spellEnd"/>
    </w:p>
    <w:p w14:paraId="5D55C13D" w14:textId="600F95D8" w:rsidR="00FC7396" w:rsidRPr="00F44107" w:rsidRDefault="00FC7396" w:rsidP="00F44107">
      <w:pPr>
        <w:autoSpaceDE w:val="0"/>
        <w:autoSpaceDN w:val="0"/>
        <w:adjustRightInd w:val="0"/>
        <w:spacing w:after="0" w:line="360" w:lineRule="auto"/>
        <w:jc w:val="both"/>
        <w:rPr>
          <w:rFonts w:ascii="Times New Roman" w:hAnsi="Times New Roman" w:cs="Times New Roman"/>
          <w:b/>
          <w:bCs/>
          <w:sz w:val="24"/>
          <w:szCs w:val="24"/>
        </w:rPr>
      </w:pPr>
      <w:r w:rsidRPr="007C5E88">
        <w:rPr>
          <w:rFonts w:ascii="Times New Roman" w:hAnsi="Times New Roman" w:cs="Times New Roman"/>
          <w:b/>
          <w:bCs/>
        </w:rPr>
        <w:t>Table 5</w:t>
      </w:r>
      <w:r w:rsidR="00FC2E8E" w:rsidRPr="00FC2E8E">
        <w:rPr>
          <w:rFonts w:ascii="Times New Roman" w:hAnsi="Times New Roman" w:cs="Times New Roman"/>
          <w:b/>
          <w:bCs/>
          <w:sz w:val="24"/>
          <w:szCs w:val="24"/>
        </w:rPr>
        <w:t xml:space="preserve"> </w:t>
      </w:r>
      <w:r w:rsidR="00FC2E8E" w:rsidRPr="00D80375">
        <w:rPr>
          <w:rFonts w:ascii="Times New Roman" w:hAnsi="Times New Roman" w:cs="Times New Roman"/>
          <w:b/>
          <w:bCs/>
          <w:sz w:val="24"/>
          <w:szCs w:val="24"/>
        </w:rPr>
        <w:t xml:space="preserve">lethal </w:t>
      </w:r>
      <w:r w:rsidR="00FC2E8E" w:rsidRPr="000D65B4">
        <w:rPr>
          <w:rFonts w:ascii="Times New Roman" w:hAnsi="Times New Roman" w:cs="Times New Roman"/>
          <w:b/>
          <w:bCs/>
          <w:sz w:val="24"/>
          <w:szCs w:val="24"/>
        </w:rPr>
        <w:t>dose (</w:t>
      </w:r>
      <w:r w:rsidR="00FC2E8E" w:rsidRPr="00B11FF4">
        <w:rPr>
          <w:rFonts w:ascii="Times New Roman" w:hAnsi="Times New Roman" w:cs="Times New Roman"/>
          <w:b/>
          <w:bCs/>
        </w:rPr>
        <w:t>LD50</w:t>
      </w:r>
      <w:proofErr w:type="gramStart"/>
      <w:r w:rsidR="00FC2E8E" w:rsidRPr="00B11FF4">
        <w:rPr>
          <w:rFonts w:ascii="Times New Roman" w:hAnsi="Times New Roman" w:cs="Times New Roman"/>
          <w:b/>
          <w:bCs/>
        </w:rPr>
        <w:t>)</w:t>
      </w:r>
      <w:r w:rsidR="00FC2E8E" w:rsidRPr="00FC2E8E">
        <w:rPr>
          <w:rFonts w:ascii="Times New Roman" w:hAnsi="Times New Roman" w:cs="Times New Roman"/>
          <w:b/>
          <w:bCs/>
        </w:rPr>
        <w:t xml:space="preserve"> </w:t>
      </w:r>
      <w:r w:rsidR="00FC2E8E">
        <w:rPr>
          <w:rFonts w:ascii="Times New Roman" w:hAnsi="Times New Roman" w:cs="Times New Roman"/>
          <w:b/>
          <w:bCs/>
          <w:sz w:val="24"/>
          <w:szCs w:val="24"/>
        </w:rPr>
        <w:t xml:space="preserve"> </w:t>
      </w:r>
      <w:r w:rsidRPr="007C5E88">
        <w:rPr>
          <w:rFonts w:ascii="Times New Roman" w:hAnsi="Times New Roman" w:cs="Times New Roman"/>
          <w:b/>
          <w:bCs/>
        </w:rPr>
        <w:t>of</w:t>
      </w:r>
      <w:proofErr w:type="gramEnd"/>
      <w:r w:rsidRPr="007C5E88">
        <w:rPr>
          <w:rFonts w:ascii="Times New Roman" w:hAnsi="Times New Roman" w:cs="Times New Roman"/>
          <w:b/>
          <w:bCs/>
        </w:rPr>
        <w:t xml:space="preserve"> the two varieties </w:t>
      </w:r>
      <w:proofErr w:type="spellStart"/>
      <w:r w:rsidRPr="007C5E88">
        <w:rPr>
          <w:rFonts w:ascii="Times New Roman" w:eastAsia="Times New Roman" w:hAnsi="Times New Roman" w:cs="Times New Roman"/>
          <w:b/>
          <w:bCs/>
          <w:color w:val="000000"/>
        </w:rPr>
        <w:t>Chinigura</w:t>
      </w:r>
      <w:proofErr w:type="spellEnd"/>
      <w:r w:rsidRPr="007C5E88">
        <w:rPr>
          <w:rFonts w:ascii="Times New Roman" w:hAnsi="Times New Roman" w:cs="Times New Roman"/>
          <w:b/>
          <w:bCs/>
        </w:rPr>
        <w:t xml:space="preserve"> and </w:t>
      </w:r>
      <w:proofErr w:type="spellStart"/>
      <w:r w:rsidRPr="007C5E88">
        <w:rPr>
          <w:rFonts w:ascii="Times New Roman" w:eastAsia="Times New Roman" w:hAnsi="Times New Roman" w:cs="Times New Roman"/>
          <w:b/>
          <w:color w:val="000000"/>
        </w:rPr>
        <w:t>Banglamati</w:t>
      </w:r>
      <w:proofErr w:type="spellEnd"/>
    </w:p>
    <w:p w14:paraId="3DE3330D" w14:textId="77777777" w:rsidR="00206969" w:rsidRPr="007C5E88" w:rsidRDefault="00FC7396" w:rsidP="00506F76">
      <w:pPr>
        <w:autoSpaceDE w:val="0"/>
        <w:autoSpaceDN w:val="0"/>
        <w:adjustRightInd w:val="0"/>
        <w:spacing w:after="0" w:line="360" w:lineRule="auto"/>
        <w:jc w:val="both"/>
        <w:rPr>
          <w:rFonts w:ascii="Times New Roman" w:hAnsi="Times New Roman" w:cs="Times New Roman"/>
          <w:b/>
          <w:color w:val="000000"/>
        </w:rPr>
      </w:pPr>
      <w:r w:rsidRPr="007C5E88">
        <w:rPr>
          <w:rFonts w:ascii="Times New Roman" w:hAnsi="Times New Roman" w:cs="Times New Roman"/>
          <w:b/>
          <w:color w:val="000000"/>
        </w:rPr>
        <w:t xml:space="preserve"> </w:t>
      </w:r>
    </w:p>
    <w:tbl>
      <w:tblPr>
        <w:tblStyle w:val="PlainTable21"/>
        <w:tblW w:w="0" w:type="auto"/>
        <w:tblLook w:val="04A0" w:firstRow="1" w:lastRow="0" w:firstColumn="1" w:lastColumn="0" w:noHBand="0" w:noVBand="1"/>
      </w:tblPr>
      <w:tblGrid>
        <w:gridCol w:w="1304"/>
        <w:gridCol w:w="1243"/>
        <w:gridCol w:w="1858"/>
        <w:gridCol w:w="669"/>
      </w:tblGrid>
      <w:tr w:rsidR="00AC5E73" w:rsidRPr="007C5E88" w14:paraId="36486725" w14:textId="7A458FEF" w:rsidTr="00F44107">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dxa"/>
          </w:tcPr>
          <w:p w14:paraId="502A5728" w14:textId="77777777" w:rsidR="00AC5E73" w:rsidRPr="00B52A8F" w:rsidRDefault="00AC5E73" w:rsidP="00506F76">
            <w:pPr>
              <w:autoSpaceDE w:val="0"/>
              <w:autoSpaceDN w:val="0"/>
              <w:adjustRightInd w:val="0"/>
              <w:spacing w:line="360" w:lineRule="auto"/>
              <w:jc w:val="both"/>
              <w:rPr>
                <w:rFonts w:ascii="Times New Roman" w:hAnsi="Times New Roman" w:cs="Times New Roman"/>
                <w:color w:val="000000"/>
              </w:rPr>
            </w:pPr>
            <w:r w:rsidRPr="00B52A8F">
              <w:rPr>
                <w:rFonts w:ascii="Times New Roman" w:hAnsi="Times New Roman" w:cs="Times New Roman"/>
              </w:rPr>
              <w:t>Variety</w:t>
            </w:r>
          </w:p>
        </w:tc>
        <w:tc>
          <w:tcPr>
            <w:tcW w:w="0" w:type="dxa"/>
          </w:tcPr>
          <w:p w14:paraId="035E86C8" w14:textId="77777777" w:rsidR="00AC5E73" w:rsidRPr="00B52A8F" w:rsidRDefault="00AC5E73" w:rsidP="00506F76">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rPr>
              <w:t>Regression Equation</w:t>
            </w:r>
          </w:p>
        </w:tc>
        <w:tc>
          <w:tcPr>
            <w:tcW w:w="1858" w:type="dxa"/>
          </w:tcPr>
          <w:p w14:paraId="5C6553B0" w14:textId="77777777" w:rsidR="00AC5E73" w:rsidRPr="00B52A8F" w:rsidRDefault="00AC5E73" w:rsidP="00506F76">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rPr>
              <w:t>LD50</w:t>
            </w:r>
          </w:p>
        </w:tc>
        <w:tc>
          <w:tcPr>
            <w:tcW w:w="0" w:type="dxa"/>
          </w:tcPr>
          <w:p w14:paraId="59AFB796" w14:textId="705917EA" w:rsidR="00AC5E73" w:rsidRPr="00B52A8F" w:rsidRDefault="00AC5E73" w:rsidP="00506F76">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RBE</w:t>
            </w:r>
          </w:p>
        </w:tc>
      </w:tr>
      <w:tr w:rsidR="00AC5E73" w:rsidRPr="007C5E88" w14:paraId="6822E486" w14:textId="4522E7C2" w:rsidTr="00F4410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dxa"/>
          </w:tcPr>
          <w:p w14:paraId="12A9D8FA" w14:textId="77777777" w:rsidR="00AC5E73" w:rsidRPr="00B52A8F" w:rsidRDefault="00AC5E73" w:rsidP="00506F76">
            <w:pPr>
              <w:autoSpaceDE w:val="0"/>
              <w:autoSpaceDN w:val="0"/>
              <w:adjustRightInd w:val="0"/>
              <w:spacing w:line="360" w:lineRule="auto"/>
              <w:jc w:val="both"/>
              <w:rPr>
                <w:rFonts w:ascii="Times New Roman" w:hAnsi="Times New Roman" w:cs="Times New Roman"/>
                <w:color w:val="000000"/>
              </w:rPr>
            </w:pPr>
            <w:proofErr w:type="spellStart"/>
            <w:r w:rsidRPr="00B52A8F">
              <w:rPr>
                <w:rFonts w:ascii="Times New Roman" w:eastAsia="Times New Roman" w:hAnsi="Times New Roman" w:cs="Times New Roman"/>
                <w:color w:val="000000"/>
              </w:rPr>
              <w:t>Chinigura</w:t>
            </w:r>
            <w:proofErr w:type="spellEnd"/>
          </w:p>
        </w:tc>
        <w:tc>
          <w:tcPr>
            <w:tcW w:w="0" w:type="dxa"/>
          </w:tcPr>
          <w:p w14:paraId="18F59CD4" w14:textId="77777777" w:rsidR="00AC5E73" w:rsidRPr="00B52A8F" w:rsidRDefault="00AC5E73" w:rsidP="00506F76">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color w:val="000000"/>
              </w:rPr>
              <w:t>Y = 61.11-0.054x</w:t>
            </w:r>
          </w:p>
        </w:tc>
        <w:tc>
          <w:tcPr>
            <w:tcW w:w="1858" w:type="dxa"/>
          </w:tcPr>
          <w:p w14:paraId="218E38B9" w14:textId="77777777" w:rsidR="00AC5E73" w:rsidRPr="00B52A8F" w:rsidRDefault="00AC5E73" w:rsidP="00506F76">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color w:val="000000"/>
              </w:rPr>
              <w:t>205.74</w:t>
            </w:r>
          </w:p>
        </w:tc>
        <w:tc>
          <w:tcPr>
            <w:tcW w:w="0" w:type="dxa"/>
          </w:tcPr>
          <w:p w14:paraId="6721D763" w14:textId="6D1938DE" w:rsidR="00AC5E73" w:rsidRPr="00B52A8F" w:rsidRDefault="00AC5E73" w:rsidP="00506F76">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1.58</w:t>
            </w:r>
          </w:p>
        </w:tc>
      </w:tr>
      <w:tr w:rsidR="00AC5E73" w:rsidRPr="007C5E88" w14:paraId="783ED664" w14:textId="1850EFF9" w:rsidTr="00F44107">
        <w:trPr>
          <w:trHeight w:val="280"/>
        </w:trPr>
        <w:tc>
          <w:tcPr>
            <w:cnfStyle w:val="001000000000" w:firstRow="0" w:lastRow="0" w:firstColumn="1" w:lastColumn="0" w:oddVBand="0" w:evenVBand="0" w:oddHBand="0" w:evenHBand="0" w:firstRowFirstColumn="0" w:firstRowLastColumn="0" w:lastRowFirstColumn="0" w:lastRowLastColumn="0"/>
            <w:tcW w:w="0" w:type="dxa"/>
          </w:tcPr>
          <w:p w14:paraId="1DA5E849" w14:textId="77777777" w:rsidR="00AC5E73" w:rsidRPr="00B52A8F" w:rsidRDefault="00AC5E73" w:rsidP="00506F76">
            <w:pPr>
              <w:autoSpaceDE w:val="0"/>
              <w:autoSpaceDN w:val="0"/>
              <w:adjustRightInd w:val="0"/>
              <w:spacing w:line="360" w:lineRule="auto"/>
              <w:jc w:val="both"/>
              <w:rPr>
                <w:rFonts w:ascii="Times New Roman" w:hAnsi="Times New Roman" w:cs="Times New Roman"/>
                <w:color w:val="000000"/>
              </w:rPr>
            </w:pPr>
            <w:proofErr w:type="spellStart"/>
            <w:r w:rsidRPr="00B52A8F">
              <w:rPr>
                <w:rFonts w:ascii="Times New Roman" w:eastAsia="Times New Roman" w:hAnsi="Times New Roman" w:cs="Times New Roman"/>
                <w:color w:val="000000"/>
              </w:rPr>
              <w:t>Banglamati</w:t>
            </w:r>
            <w:proofErr w:type="spellEnd"/>
            <w:r w:rsidRPr="00B52A8F">
              <w:rPr>
                <w:rFonts w:ascii="Times New Roman" w:eastAsia="Times New Roman" w:hAnsi="Times New Roman" w:cs="Times New Roman"/>
                <w:color w:val="000000"/>
              </w:rPr>
              <w:t xml:space="preserve"> </w:t>
            </w:r>
          </w:p>
        </w:tc>
        <w:tc>
          <w:tcPr>
            <w:tcW w:w="0" w:type="dxa"/>
          </w:tcPr>
          <w:p w14:paraId="00CCF8D0" w14:textId="77777777" w:rsidR="00AC5E73" w:rsidRPr="00B52A8F" w:rsidRDefault="00AC5E73" w:rsidP="00506F76">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2A8F">
              <w:rPr>
                <w:rFonts w:ascii="Times New Roman" w:hAnsi="Times New Roman" w:cs="Times New Roman"/>
                <w:color w:val="000000"/>
              </w:rPr>
              <w:t>Y = 81.94-0.098x</w:t>
            </w:r>
          </w:p>
        </w:tc>
        <w:tc>
          <w:tcPr>
            <w:tcW w:w="1858" w:type="dxa"/>
          </w:tcPr>
          <w:p w14:paraId="5271F131" w14:textId="77777777" w:rsidR="00AC5E73" w:rsidRPr="00F44107" w:rsidRDefault="00AC5E73" w:rsidP="00506F76">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sidRPr="00F44107">
              <w:rPr>
                <w:rFonts w:ascii="Times New Roman" w:hAnsi="Times New Roman" w:cs="Times New Roman"/>
                <w:color w:val="000000"/>
                <w:highlight w:val="yellow"/>
              </w:rPr>
              <w:t>325.92</w:t>
            </w:r>
          </w:p>
        </w:tc>
        <w:tc>
          <w:tcPr>
            <w:tcW w:w="0" w:type="dxa"/>
          </w:tcPr>
          <w:p w14:paraId="7412D25C" w14:textId="10D8B390" w:rsidR="00AC5E73" w:rsidRPr="00AC5E73" w:rsidRDefault="00AC5E73" w:rsidP="00506F76">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Pr>
                <w:rFonts w:ascii="Times New Roman" w:hAnsi="Times New Roman" w:cs="Times New Roman"/>
                <w:color w:val="000000"/>
                <w:highlight w:val="yellow"/>
              </w:rPr>
              <w:t>1.00</w:t>
            </w:r>
          </w:p>
        </w:tc>
      </w:tr>
    </w:tbl>
    <w:p w14:paraId="39A89D55" w14:textId="77777777" w:rsidR="00AD191C" w:rsidRPr="00D80375" w:rsidRDefault="00AD191C" w:rsidP="00506F76">
      <w:pPr>
        <w:autoSpaceDE w:val="0"/>
        <w:autoSpaceDN w:val="0"/>
        <w:adjustRightInd w:val="0"/>
        <w:spacing w:before="240" w:after="0" w:line="360" w:lineRule="auto"/>
        <w:jc w:val="both"/>
        <w:rPr>
          <w:rFonts w:ascii="Times New Roman" w:hAnsi="Times New Roman" w:cs="Times New Roman"/>
          <w:sz w:val="24"/>
          <w:szCs w:val="24"/>
        </w:rPr>
      </w:pPr>
    </w:p>
    <w:p w14:paraId="6E591569" w14:textId="5629AF9B" w:rsidR="00AD191C" w:rsidRPr="00D80375" w:rsidRDefault="00DA2C10" w:rsidP="00506F76">
      <w:pPr>
        <w:autoSpaceDE w:val="0"/>
        <w:autoSpaceDN w:val="0"/>
        <w:adjustRightInd w:val="0"/>
        <w:spacing w:before="240" w:after="0" w:line="360" w:lineRule="auto"/>
        <w:jc w:val="both"/>
        <w:rPr>
          <w:rFonts w:ascii="Times New Roman" w:hAnsi="Times New Roman" w:cs="Times New Roman"/>
          <w:sz w:val="24"/>
          <w:szCs w:val="24"/>
        </w:rPr>
      </w:pPr>
      <w:r w:rsidRPr="00DA2C10">
        <w:rPr>
          <w:rFonts w:ascii="Times New Roman" w:hAnsi="Times New Roman" w:cs="Times New Roman"/>
          <w:sz w:val="24"/>
          <w:szCs w:val="24"/>
        </w:rPr>
        <w:t>Harding et al. (2012) reported that LD₅₀ doses for rice range from 345 to 423 </w:t>
      </w:r>
      <w:proofErr w:type="spellStart"/>
      <w:r w:rsidRPr="00DA2C10">
        <w:rPr>
          <w:rFonts w:ascii="Times New Roman" w:hAnsi="Times New Roman" w:cs="Times New Roman"/>
          <w:sz w:val="24"/>
          <w:szCs w:val="24"/>
        </w:rPr>
        <w:t>Gy</w:t>
      </w:r>
      <w:proofErr w:type="spellEnd"/>
      <w:r w:rsidRPr="00DA2C10">
        <w:rPr>
          <w:rFonts w:ascii="Times New Roman" w:hAnsi="Times New Roman" w:cs="Times New Roman"/>
          <w:sz w:val="24"/>
          <w:szCs w:val="24"/>
        </w:rPr>
        <w:t>, while Sharma et al. (2020) suggested an optimal gamma dose range of 280 to 350 </w:t>
      </w:r>
      <w:proofErr w:type="spellStart"/>
      <w:r w:rsidRPr="00DA2C10">
        <w:rPr>
          <w:rFonts w:ascii="Times New Roman" w:hAnsi="Times New Roman" w:cs="Times New Roman"/>
          <w:sz w:val="24"/>
          <w:szCs w:val="24"/>
        </w:rPr>
        <w:t>Gy</w:t>
      </w:r>
      <w:proofErr w:type="spellEnd"/>
      <w:r w:rsidRPr="00DA2C10">
        <w:rPr>
          <w:rFonts w:ascii="Times New Roman" w:hAnsi="Times New Roman" w:cs="Times New Roman"/>
          <w:sz w:val="24"/>
          <w:szCs w:val="24"/>
        </w:rPr>
        <w:t xml:space="preserve">. </w:t>
      </w:r>
      <w:proofErr w:type="spellStart"/>
      <w:r w:rsidRPr="00DA2C10">
        <w:rPr>
          <w:rFonts w:ascii="Times New Roman" w:hAnsi="Times New Roman" w:cs="Times New Roman"/>
          <w:sz w:val="24"/>
          <w:szCs w:val="24"/>
        </w:rPr>
        <w:t>Ramchander</w:t>
      </w:r>
      <w:proofErr w:type="spellEnd"/>
      <w:r w:rsidRPr="00DA2C10">
        <w:rPr>
          <w:rFonts w:ascii="Times New Roman" w:hAnsi="Times New Roman" w:cs="Times New Roman"/>
          <w:sz w:val="24"/>
          <w:szCs w:val="24"/>
        </w:rPr>
        <w:t xml:space="preserve"> et al. (2015) observed that LD₅₀ values varied among rice varieties, with 354.80 </w:t>
      </w:r>
      <w:proofErr w:type="spellStart"/>
      <w:r w:rsidRPr="00DA2C10">
        <w:rPr>
          <w:rFonts w:ascii="Times New Roman" w:hAnsi="Times New Roman" w:cs="Times New Roman"/>
          <w:sz w:val="24"/>
          <w:szCs w:val="24"/>
        </w:rPr>
        <w:t>Gy</w:t>
      </w:r>
      <w:proofErr w:type="spellEnd"/>
      <w:r w:rsidRPr="00DA2C10">
        <w:rPr>
          <w:rFonts w:ascii="Times New Roman" w:hAnsi="Times New Roman" w:cs="Times New Roman"/>
          <w:sz w:val="24"/>
          <w:szCs w:val="24"/>
        </w:rPr>
        <w:t xml:space="preserve"> for White </w:t>
      </w:r>
      <w:proofErr w:type="spellStart"/>
      <w:r w:rsidRPr="00DA2C10">
        <w:rPr>
          <w:rFonts w:ascii="Times New Roman" w:hAnsi="Times New Roman" w:cs="Times New Roman"/>
          <w:sz w:val="24"/>
          <w:szCs w:val="24"/>
        </w:rPr>
        <w:t>Ponni</w:t>
      </w:r>
      <w:proofErr w:type="spellEnd"/>
      <w:r w:rsidRPr="00DA2C10">
        <w:rPr>
          <w:rFonts w:ascii="Times New Roman" w:hAnsi="Times New Roman" w:cs="Times New Roman"/>
          <w:sz w:val="24"/>
          <w:szCs w:val="24"/>
        </w:rPr>
        <w:t xml:space="preserve"> and </w:t>
      </w:r>
      <w:r w:rsidRPr="00DA2C10">
        <w:rPr>
          <w:rFonts w:ascii="Times New Roman" w:hAnsi="Times New Roman" w:cs="Times New Roman"/>
          <w:sz w:val="24"/>
          <w:szCs w:val="24"/>
        </w:rPr>
        <w:lastRenderedPageBreak/>
        <w:t>288.40 </w:t>
      </w:r>
      <w:proofErr w:type="spellStart"/>
      <w:r w:rsidRPr="00DA2C10">
        <w:rPr>
          <w:rFonts w:ascii="Times New Roman" w:hAnsi="Times New Roman" w:cs="Times New Roman"/>
          <w:sz w:val="24"/>
          <w:szCs w:val="24"/>
        </w:rPr>
        <w:t>Gy</w:t>
      </w:r>
      <w:proofErr w:type="spellEnd"/>
      <w:r w:rsidRPr="00DA2C10">
        <w:rPr>
          <w:rFonts w:ascii="Times New Roman" w:hAnsi="Times New Roman" w:cs="Times New Roman"/>
          <w:sz w:val="24"/>
          <w:szCs w:val="24"/>
        </w:rPr>
        <w:t xml:space="preserve"> for BPT 5204, highlighting varietal differences in sensitivity to gamma irradiation; similarly, </w:t>
      </w:r>
      <w:proofErr w:type="spellStart"/>
      <w:r w:rsidRPr="00DA2C10">
        <w:rPr>
          <w:rFonts w:ascii="Times New Roman" w:hAnsi="Times New Roman" w:cs="Times New Roman"/>
          <w:sz w:val="24"/>
          <w:szCs w:val="24"/>
        </w:rPr>
        <w:t>Gowthami</w:t>
      </w:r>
      <w:proofErr w:type="spellEnd"/>
      <w:r w:rsidRPr="00DA2C10">
        <w:rPr>
          <w:rFonts w:ascii="Times New Roman" w:hAnsi="Times New Roman" w:cs="Times New Roman"/>
          <w:sz w:val="24"/>
          <w:szCs w:val="24"/>
        </w:rPr>
        <w:t xml:space="preserve"> et al. (2017) reported that for ADT-37 and ADT(R) 45, the LD₅₀ doses were 300.03 </w:t>
      </w:r>
      <w:proofErr w:type="spellStart"/>
      <w:r w:rsidRPr="00DA2C10">
        <w:rPr>
          <w:rFonts w:ascii="Times New Roman" w:hAnsi="Times New Roman" w:cs="Times New Roman"/>
          <w:sz w:val="24"/>
          <w:szCs w:val="24"/>
        </w:rPr>
        <w:t>Gy</w:t>
      </w:r>
      <w:proofErr w:type="spellEnd"/>
      <w:r w:rsidRPr="00DA2C10">
        <w:rPr>
          <w:rFonts w:ascii="Times New Roman" w:hAnsi="Times New Roman" w:cs="Times New Roman"/>
          <w:sz w:val="24"/>
          <w:szCs w:val="24"/>
        </w:rPr>
        <w:t xml:space="preserve"> and 300.00 </w:t>
      </w:r>
      <w:proofErr w:type="spellStart"/>
      <w:r w:rsidRPr="00DA2C10">
        <w:rPr>
          <w:rFonts w:ascii="Times New Roman" w:hAnsi="Times New Roman" w:cs="Times New Roman"/>
          <w:sz w:val="24"/>
          <w:szCs w:val="24"/>
        </w:rPr>
        <w:t>Gy</w:t>
      </w:r>
      <w:proofErr w:type="spellEnd"/>
      <w:r w:rsidRPr="00DA2C10">
        <w:rPr>
          <w:rFonts w:ascii="Times New Roman" w:hAnsi="Times New Roman" w:cs="Times New Roman"/>
          <w:sz w:val="24"/>
          <w:szCs w:val="24"/>
        </w:rPr>
        <w:t>, respectively.</w:t>
      </w:r>
    </w:p>
    <w:p w14:paraId="08B19DC9" w14:textId="5727B9D6" w:rsidR="00891BFB" w:rsidRPr="00DA2C10" w:rsidRDefault="00A66850" w:rsidP="00DA2C10">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B82E3A" w:rsidRPr="00D80375">
        <w:rPr>
          <w:rFonts w:ascii="Times New Roman" w:hAnsi="Times New Roman" w:cs="Times New Roman"/>
          <w:b/>
          <w:bCs/>
          <w:sz w:val="24"/>
          <w:szCs w:val="24"/>
        </w:rPr>
        <w:t xml:space="preserve">Conclusion  </w:t>
      </w:r>
    </w:p>
    <w:p w14:paraId="666C0129" w14:textId="784E6502" w:rsidR="009B4A6E" w:rsidRDefault="00891BFB" w:rsidP="009B4A6E">
      <w:pPr>
        <w:autoSpaceDE w:val="0"/>
        <w:autoSpaceDN w:val="0"/>
        <w:adjustRightInd w:val="0"/>
        <w:spacing w:line="360" w:lineRule="auto"/>
        <w:jc w:val="both"/>
        <w:rPr>
          <w:rFonts w:ascii="Times New Roman" w:hAnsi="Times New Roman" w:cs="Times New Roman"/>
          <w:color w:val="000000"/>
          <w:sz w:val="24"/>
          <w:szCs w:val="24"/>
        </w:rPr>
      </w:pPr>
      <w:r w:rsidRPr="00D80375">
        <w:rPr>
          <w:rFonts w:ascii="Times New Roman" w:hAnsi="Times New Roman" w:cs="Times New Roman"/>
          <w:color w:val="000000"/>
          <w:sz w:val="24"/>
          <w:szCs w:val="24"/>
        </w:rPr>
        <w:t xml:space="preserve">The study demonstrated that increasing gamma irradiation doses negatively affected the growth and development of both </w:t>
      </w:r>
      <w:proofErr w:type="spellStart"/>
      <w:r w:rsidRPr="00D80375">
        <w:rPr>
          <w:rFonts w:ascii="Times New Roman" w:hAnsi="Times New Roman" w:cs="Times New Roman"/>
          <w:color w:val="000000"/>
          <w:sz w:val="24"/>
          <w:szCs w:val="24"/>
        </w:rPr>
        <w:t>Chinigura</w:t>
      </w:r>
      <w:proofErr w:type="spellEnd"/>
      <w:r w:rsidRPr="00D80375">
        <w:rPr>
          <w:rFonts w:ascii="Times New Roman" w:hAnsi="Times New Roman" w:cs="Times New Roman"/>
          <w:color w:val="000000"/>
          <w:sz w:val="24"/>
          <w:szCs w:val="24"/>
        </w:rPr>
        <w:t xml:space="preserve"> and </w:t>
      </w:r>
      <w:proofErr w:type="spellStart"/>
      <w:r w:rsidRPr="00D80375">
        <w:rPr>
          <w:rFonts w:ascii="Times New Roman" w:hAnsi="Times New Roman" w:cs="Times New Roman"/>
          <w:color w:val="000000"/>
          <w:sz w:val="24"/>
          <w:szCs w:val="24"/>
        </w:rPr>
        <w:t>Banglamati</w:t>
      </w:r>
      <w:proofErr w:type="spellEnd"/>
      <w:r w:rsidRPr="00D80375">
        <w:rPr>
          <w:rFonts w:ascii="Times New Roman" w:hAnsi="Times New Roman" w:cs="Times New Roman"/>
          <w:color w:val="000000"/>
          <w:sz w:val="24"/>
          <w:szCs w:val="24"/>
        </w:rPr>
        <w:t xml:space="preserve"> rice varieties. The LD₅₀ values, calculated from survival percentage, were 205.74 </w:t>
      </w:r>
      <w:proofErr w:type="spellStart"/>
      <w:r w:rsidRPr="00D80375">
        <w:rPr>
          <w:rFonts w:ascii="Times New Roman" w:hAnsi="Times New Roman" w:cs="Times New Roman"/>
          <w:color w:val="000000"/>
          <w:sz w:val="24"/>
          <w:szCs w:val="24"/>
        </w:rPr>
        <w:t>Gy</w:t>
      </w:r>
      <w:proofErr w:type="spellEnd"/>
      <w:r w:rsidRPr="00D80375">
        <w:rPr>
          <w:rFonts w:ascii="Times New Roman" w:hAnsi="Times New Roman" w:cs="Times New Roman"/>
          <w:color w:val="000000"/>
          <w:sz w:val="24"/>
          <w:szCs w:val="24"/>
        </w:rPr>
        <w:t xml:space="preserve"> for </w:t>
      </w:r>
      <w:proofErr w:type="spellStart"/>
      <w:r w:rsidRPr="00D80375">
        <w:rPr>
          <w:rFonts w:ascii="Times New Roman" w:hAnsi="Times New Roman" w:cs="Times New Roman"/>
          <w:color w:val="000000"/>
          <w:sz w:val="24"/>
          <w:szCs w:val="24"/>
        </w:rPr>
        <w:t>Chinigura</w:t>
      </w:r>
      <w:proofErr w:type="spellEnd"/>
      <w:r w:rsidRPr="00D80375">
        <w:rPr>
          <w:rFonts w:ascii="Times New Roman" w:hAnsi="Times New Roman" w:cs="Times New Roman"/>
          <w:color w:val="000000"/>
          <w:sz w:val="24"/>
          <w:szCs w:val="24"/>
        </w:rPr>
        <w:t xml:space="preserve"> and 325.92 </w:t>
      </w:r>
      <w:proofErr w:type="spellStart"/>
      <w:r w:rsidRPr="00D80375">
        <w:rPr>
          <w:rFonts w:ascii="Times New Roman" w:hAnsi="Times New Roman" w:cs="Times New Roman"/>
          <w:color w:val="000000"/>
          <w:sz w:val="24"/>
          <w:szCs w:val="24"/>
        </w:rPr>
        <w:t>Gy</w:t>
      </w:r>
      <w:proofErr w:type="spellEnd"/>
      <w:r w:rsidRPr="00D80375">
        <w:rPr>
          <w:rFonts w:ascii="Times New Roman" w:hAnsi="Times New Roman" w:cs="Times New Roman"/>
          <w:color w:val="000000"/>
          <w:sz w:val="24"/>
          <w:szCs w:val="24"/>
        </w:rPr>
        <w:t xml:space="preserve"> for </w:t>
      </w:r>
      <w:proofErr w:type="spellStart"/>
      <w:r w:rsidRPr="00D80375">
        <w:rPr>
          <w:rFonts w:ascii="Times New Roman" w:hAnsi="Times New Roman" w:cs="Times New Roman"/>
          <w:color w:val="000000"/>
          <w:sz w:val="24"/>
          <w:szCs w:val="24"/>
        </w:rPr>
        <w:t>Banglamati</w:t>
      </w:r>
      <w:proofErr w:type="spellEnd"/>
      <w:r w:rsidRPr="00D80375">
        <w:rPr>
          <w:rFonts w:ascii="Times New Roman" w:hAnsi="Times New Roman" w:cs="Times New Roman"/>
          <w:color w:val="000000"/>
          <w:sz w:val="24"/>
          <w:szCs w:val="24"/>
        </w:rPr>
        <w:t xml:space="preserve">, confirming higher </w:t>
      </w:r>
      <w:proofErr w:type="spellStart"/>
      <w:r w:rsidRPr="00D80375">
        <w:rPr>
          <w:rFonts w:ascii="Times New Roman" w:hAnsi="Times New Roman" w:cs="Times New Roman"/>
          <w:color w:val="000000"/>
          <w:sz w:val="24"/>
          <w:szCs w:val="24"/>
        </w:rPr>
        <w:t>radiosensitivity</w:t>
      </w:r>
      <w:proofErr w:type="spellEnd"/>
      <w:r w:rsidRPr="00D80375">
        <w:rPr>
          <w:rFonts w:ascii="Times New Roman" w:hAnsi="Times New Roman" w:cs="Times New Roman"/>
          <w:color w:val="000000"/>
          <w:sz w:val="24"/>
          <w:szCs w:val="24"/>
        </w:rPr>
        <w:t xml:space="preserve"> in the local variety. Overall, the results highlight a clear dose-dependent suppression of growth parameters, with </w:t>
      </w:r>
      <w:proofErr w:type="spellStart"/>
      <w:r w:rsidRPr="00D80375">
        <w:rPr>
          <w:rFonts w:ascii="Times New Roman" w:hAnsi="Times New Roman" w:cs="Times New Roman"/>
          <w:color w:val="000000"/>
          <w:sz w:val="24"/>
          <w:szCs w:val="24"/>
        </w:rPr>
        <w:t>Chinigura</w:t>
      </w:r>
      <w:proofErr w:type="spellEnd"/>
      <w:r w:rsidRPr="00D80375">
        <w:rPr>
          <w:rFonts w:ascii="Times New Roman" w:hAnsi="Times New Roman" w:cs="Times New Roman"/>
          <w:color w:val="000000"/>
          <w:sz w:val="24"/>
          <w:szCs w:val="24"/>
        </w:rPr>
        <w:t xml:space="preserve"> being more sensitive. These findings provide critical information for determining optimal gamma doses for mutation breeding and varietal improvement programs in aromatic</w:t>
      </w:r>
      <w:r w:rsidR="00245CD1">
        <w:rPr>
          <w:rFonts w:ascii="Times New Roman" w:hAnsi="Times New Roman" w:cs="Times New Roman"/>
          <w:color w:val="000000"/>
          <w:sz w:val="24"/>
          <w:szCs w:val="24"/>
        </w:rPr>
        <w:t xml:space="preserve"> rice</w:t>
      </w:r>
      <w:r w:rsidR="00AD0E45" w:rsidRPr="00D80375">
        <w:rPr>
          <w:rFonts w:ascii="Times New Roman" w:hAnsi="Times New Roman" w:cs="Times New Roman"/>
          <w:color w:val="000000"/>
          <w:sz w:val="24"/>
          <w:szCs w:val="24"/>
        </w:rPr>
        <w:t>.</w:t>
      </w:r>
    </w:p>
    <w:p w14:paraId="72B58E5E" w14:textId="77777777" w:rsidR="00000506" w:rsidRPr="007B4749" w:rsidRDefault="00000506" w:rsidP="00000506">
      <w:pPr>
        <w:autoSpaceDE w:val="0"/>
        <w:autoSpaceDN w:val="0"/>
        <w:adjustRightInd w:val="0"/>
        <w:spacing w:line="360" w:lineRule="auto"/>
        <w:jc w:val="both"/>
        <w:rPr>
          <w:rFonts w:ascii="Times New Roman" w:hAnsi="Times New Roman" w:cs="Times New Roman"/>
          <w:b/>
          <w:color w:val="000000"/>
          <w:sz w:val="24"/>
          <w:szCs w:val="24"/>
        </w:rPr>
      </w:pPr>
      <w:r w:rsidRPr="007B4749">
        <w:rPr>
          <w:rFonts w:ascii="Times New Roman" w:hAnsi="Times New Roman" w:cs="Times New Roman"/>
          <w:b/>
          <w:color w:val="000000"/>
          <w:sz w:val="24"/>
          <w:szCs w:val="24"/>
        </w:rPr>
        <w:t>Disclaimer (Artificial intelligence)</w:t>
      </w:r>
    </w:p>
    <w:p w14:paraId="728607D1" w14:textId="3A239353" w:rsidR="00000506" w:rsidRDefault="00000506" w:rsidP="00000506">
      <w:pPr>
        <w:autoSpaceDE w:val="0"/>
        <w:autoSpaceDN w:val="0"/>
        <w:adjustRightInd w:val="0"/>
        <w:spacing w:line="360" w:lineRule="auto"/>
        <w:jc w:val="both"/>
        <w:rPr>
          <w:rFonts w:ascii="Times New Roman" w:hAnsi="Times New Roman" w:cs="Times New Roman"/>
          <w:color w:val="000000"/>
          <w:sz w:val="24"/>
          <w:szCs w:val="24"/>
        </w:rPr>
      </w:pPr>
      <w:r w:rsidRPr="00000506">
        <w:rPr>
          <w:rFonts w:ascii="Times New Roman" w:hAnsi="Times New Roman" w:cs="Times New Roman"/>
          <w:color w:val="000000"/>
          <w:sz w:val="24"/>
          <w:szCs w:val="24"/>
        </w:rPr>
        <w:t>Author(s) hereby declare that NO generative AI technologies such as Large Language Models (</w:t>
      </w:r>
      <w:proofErr w:type="spellStart"/>
      <w:r w:rsidRPr="00000506">
        <w:rPr>
          <w:rFonts w:ascii="Times New Roman" w:hAnsi="Times New Roman" w:cs="Times New Roman"/>
          <w:color w:val="000000"/>
          <w:sz w:val="24"/>
          <w:szCs w:val="24"/>
        </w:rPr>
        <w:t>ChatGPT</w:t>
      </w:r>
      <w:proofErr w:type="spellEnd"/>
      <w:r w:rsidRPr="00000506">
        <w:rPr>
          <w:rFonts w:ascii="Times New Roman" w:hAnsi="Times New Roman" w:cs="Times New Roman"/>
          <w:color w:val="000000"/>
          <w:sz w:val="24"/>
          <w:szCs w:val="24"/>
        </w:rPr>
        <w:t>, COPILOT, etc.) and text-to-image generators have been used during the writing or editing of this manuscript.</w:t>
      </w:r>
    </w:p>
    <w:p w14:paraId="0B6F2C20" w14:textId="77777777" w:rsidR="00BB19C8" w:rsidRDefault="00BB19C8" w:rsidP="007F7B64">
      <w:pPr>
        <w:autoSpaceDE w:val="0"/>
        <w:autoSpaceDN w:val="0"/>
        <w:adjustRightInd w:val="0"/>
        <w:spacing w:before="240" w:line="360" w:lineRule="auto"/>
        <w:jc w:val="both"/>
        <w:rPr>
          <w:rFonts w:ascii="Times New Roman" w:hAnsi="Times New Roman" w:cs="Times New Roman"/>
          <w:color w:val="000000"/>
          <w:sz w:val="24"/>
          <w:szCs w:val="24"/>
        </w:rPr>
      </w:pPr>
    </w:p>
    <w:p w14:paraId="0DDE3C90" w14:textId="3553D324" w:rsidR="00DA2C10" w:rsidRPr="007F7B64" w:rsidRDefault="009B4A6E" w:rsidP="007F7B64">
      <w:pPr>
        <w:autoSpaceDE w:val="0"/>
        <w:autoSpaceDN w:val="0"/>
        <w:adjustRightInd w:val="0"/>
        <w:spacing w:before="240" w:line="360" w:lineRule="auto"/>
        <w:jc w:val="both"/>
        <w:rPr>
          <w:rFonts w:ascii="Times New Roman" w:hAnsi="Times New Roman" w:cs="Times New Roman"/>
          <w:b/>
          <w:color w:val="000000"/>
          <w:sz w:val="24"/>
          <w:szCs w:val="24"/>
        </w:rPr>
      </w:pPr>
      <w:bookmarkStart w:id="0" w:name="_GoBack"/>
      <w:bookmarkEnd w:id="0"/>
      <w:r>
        <w:rPr>
          <w:rFonts w:ascii="Times New Roman" w:hAnsi="Times New Roman" w:cs="Times New Roman"/>
          <w:b/>
          <w:color w:val="000000"/>
          <w:sz w:val="24"/>
          <w:szCs w:val="24"/>
        </w:rPr>
        <w:t xml:space="preserve"> </w:t>
      </w:r>
      <w:r w:rsidR="00206969" w:rsidRPr="00D80375">
        <w:rPr>
          <w:rFonts w:ascii="Times New Roman" w:hAnsi="Times New Roman" w:cs="Times New Roman"/>
          <w:b/>
          <w:color w:val="000000"/>
          <w:sz w:val="24"/>
          <w:szCs w:val="24"/>
        </w:rPr>
        <w:t>Reference</w:t>
      </w:r>
    </w:p>
    <w:p w14:paraId="21C62805" w14:textId="77777777" w:rsidR="00DA2C10" w:rsidRPr="00956D22" w:rsidRDefault="00DA2C10" w:rsidP="00DA2C10">
      <w:pPr>
        <w:pStyle w:val="NormalWeb"/>
        <w:spacing w:before="0" w:beforeAutospacing="0" w:after="0" w:afterAutospacing="0" w:line="360" w:lineRule="auto"/>
        <w:ind w:left="720"/>
        <w:jc w:val="both"/>
      </w:pPr>
    </w:p>
    <w:p w14:paraId="49FA1B23" w14:textId="74F86937" w:rsidR="00DA2C10" w:rsidRDefault="00DA2C10" w:rsidP="00DA2C10">
      <w:pPr>
        <w:pStyle w:val="ListParagraph"/>
        <w:numPr>
          <w:ilvl w:val="0"/>
          <w:numId w:val="2"/>
        </w:numPr>
        <w:autoSpaceDE w:val="0"/>
        <w:autoSpaceDN w:val="0"/>
        <w:adjustRightInd w:val="0"/>
        <w:spacing w:line="360" w:lineRule="auto"/>
        <w:jc w:val="both"/>
        <w:rPr>
          <w:rFonts w:ascii="Times New Roman" w:eastAsia="Times New Roman+FPEF" w:hAnsi="Times New Roman" w:cs="Times New Roman"/>
          <w:sz w:val="24"/>
          <w:szCs w:val="24"/>
        </w:rPr>
      </w:pPr>
      <w:proofErr w:type="spellStart"/>
      <w:r w:rsidRPr="007C5338">
        <w:rPr>
          <w:rFonts w:ascii="Times New Roman" w:eastAsia="Times New Roman+FPEF" w:hAnsi="Times New Roman" w:cs="Times New Roman"/>
          <w:sz w:val="24"/>
          <w:szCs w:val="24"/>
          <w:lang w:val="fr-FR"/>
        </w:rPr>
        <w:t>Akshatha</w:t>
      </w:r>
      <w:proofErr w:type="spellEnd"/>
      <w:r w:rsidRPr="007C5338">
        <w:rPr>
          <w:rFonts w:ascii="Times New Roman" w:eastAsia="Times New Roman+FPEF" w:hAnsi="Times New Roman" w:cs="Times New Roman"/>
          <w:sz w:val="24"/>
          <w:szCs w:val="24"/>
          <w:lang w:val="fr-FR"/>
        </w:rPr>
        <w:t>,</w:t>
      </w:r>
      <w:r w:rsidR="00245CD1">
        <w:rPr>
          <w:rFonts w:ascii="Times New Roman" w:eastAsia="Times New Roman+FPEF" w:hAnsi="Times New Roman" w:cs="Times New Roman"/>
          <w:sz w:val="24"/>
          <w:szCs w:val="24"/>
          <w:lang w:val="fr-FR"/>
        </w:rPr>
        <w:t xml:space="preserve"> </w:t>
      </w:r>
      <w:proofErr w:type="spellStart"/>
      <w:r w:rsidRPr="007C5338">
        <w:rPr>
          <w:rFonts w:ascii="Times New Roman" w:eastAsia="Times New Roman+FPEF" w:hAnsi="Times New Roman" w:cs="Times New Roman"/>
          <w:sz w:val="24"/>
          <w:szCs w:val="24"/>
          <w:lang w:val="fr-FR"/>
        </w:rPr>
        <w:t>Chandrashekar</w:t>
      </w:r>
      <w:proofErr w:type="spellEnd"/>
      <w:r w:rsidRPr="007C5338">
        <w:rPr>
          <w:rFonts w:ascii="Times New Roman" w:eastAsia="Times New Roman+FPEF" w:hAnsi="Times New Roman" w:cs="Times New Roman"/>
          <w:sz w:val="24"/>
          <w:szCs w:val="24"/>
          <w:lang w:val="fr-FR"/>
        </w:rPr>
        <w:t xml:space="preserve">, K. </w:t>
      </w:r>
      <w:proofErr w:type="gramStart"/>
      <w:r w:rsidRPr="007C5338">
        <w:rPr>
          <w:rFonts w:ascii="Times New Roman" w:eastAsia="Times New Roman+FPEF" w:hAnsi="Times New Roman" w:cs="Times New Roman"/>
          <w:sz w:val="24"/>
          <w:szCs w:val="24"/>
          <w:lang w:val="fr-FR"/>
        </w:rPr>
        <w:t>R.;</w:t>
      </w:r>
      <w:proofErr w:type="gramEnd"/>
      <w:r w:rsidRPr="007C5338">
        <w:rPr>
          <w:rFonts w:ascii="Times New Roman" w:eastAsia="Times New Roman+FPEF" w:hAnsi="Times New Roman" w:cs="Times New Roman"/>
          <w:sz w:val="24"/>
          <w:szCs w:val="24"/>
          <w:lang w:val="fr-FR"/>
        </w:rPr>
        <w:t xml:space="preserve"> </w:t>
      </w:r>
      <w:proofErr w:type="spellStart"/>
      <w:r w:rsidRPr="007C5338">
        <w:rPr>
          <w:rFonts w:ascii="Times New Roman" w:eastAsia="Times New Roman+FPEF" w:hAnsi="Times New Roman" w:cs="Times New Roman"/>
          <w:sz w:val="24"/>
          <w:szCs w:val="24"/>
          <w:lang w:val="fr-FR"/>
        </w:rPr>
        <w:t>Somashekarappa</w:t>
      </w:r>
      <w:proofErr w:type="spellEnd"/>
      <w:r w:rsidRPr="007C5338">
        <w:rPr>
          <w:rFonts w:ascii="Times New Roman" w:eastAsia="Times New Roman+FPEF" w:hAnsi="Times New Roman" w:cs="Times New Roman"/>
          <w:sz w:val="24"/>
          <w:szCs w:val="24"/>
          <w:lang w:val="fr-FR"/>
        </w:rPr>
        <w:t xml:space="preserve">, H. M.1; </w:t>
      </w:r>
      <w:proofErr w:type="spellStart"/>
      <w:r w:rsidRPr="007C5338">
        <w:rPr>
          <w:rFonts w:ascii="Times New Roman" w:eastAsia="Times New Roman+FPEF" w:hAnsi="Times New Roman" w:cs="Times New Roman"/>
          <w:sz w:val="24"/>
          <w:szCs w:val="24"/>
          <w:lang w:val="fr-FR"/>
        </w:rPr>
        <w:t>Souframanien</w:t>
      </w:r>
      <w:proofErr w:type="spellEnd"/>
      <w:r w:rsidRPr="007C5338">
        <w:rPr>
          <w:rFonts w:ascii="Times New Roman" w:eastAsia="Times New Roman+FPEF" w:hAnsi="Times New Roman" w:cs="Times New Roman"/>
          <w:sz w:val="24"/>
          <w:szCs w:val="24"/>
          <w:lang w:val="fr-FR"/>
        </w:rPr>
        <w:t xml:space="preserve">, J.2. </w:t>
      </w:r>
      <w:r w:rsidRPr="001407F2">
        <w:rPr>
          <w:rFonts w:ascii="Times New Roman" w:eastAsia="Times New Roman+FPEF" w:hAnsi="Times New Roman" w:cs="Times New Roman"/>
          <w:sz w:val="24"/>
          <w:szCs w:val="24"/>
        </w:rPr>
        <w:t xml:space="preserve">Effect of gamma irradiation on germination, growth, and biochemical parameters of </w:t>
      </w:r>
      <w:r w:rsidRPr="00CC1364">
        <w:rPr>
          <w:rFonts w:ascii="Times New Roman" w:eastAsia="Times New Roman+FPEF" w:hAnsi="Times New Roman" w:cs="Times New Roman"/>
          <w:i/>
          <w:iCs/>
          <w:sz w:val="24"/>
          <w:szCs w:val="24"/>
        </w:rPr>
        <w:t xml:space="preserve">Terminalia arjuna </w:t>
      </w:r>
      <w:proofErr w:type="spellStart"/>
      <w:r w:rsidRPr="00CC1364">
        <w:rPr>
          <w:rFonts w:ascii="Times New Roman" w:eastAsia="Times New Roman+FPEF" w:hAnsi="Times New Roman" w:cs="Times New Roman"/>
          <w:i/>
          <w:iCs/>
          <w:sz w:val="24"/>
          <w:szCs w:val="24"/>
        </w:rPr>
        <w:t>Roxb</w:t>
      </w:r>
      <w:proofErr w:type="spellEnd"/>
      <w:r w:rsidRPr="00CC1364">
        <w:rPr>
          <w:rFonts w:ascii="Times New Roman" w:eastAsia="Times New Roman+FPEF" w:hAnsi="Times New Roman" w:cs="Times New Roman"/>
          <w:i/>
          <w:iCs/>
          <w:sz w:val="24"/>
          <w:szCs w:val="24"/>
        </w:rPr>
        <w:t>. Radiation Protection and Environment 36(1</w:t>
      </w:r>
      <w:proofErr w:type="gramStart"/>
      <w:r w:rsidRPr="00CC1364">
        <w:rPr>
          <w:rFonts w:ascii="Times New Roman" w:eastAsia="Times New Roman+FPEF" w:hAnsi="Times New Roman" w:cs="Times New Roman"/>
          <w:i/>
          <w:iCs/>
          <w:sz w:val="24"/>
          <w:szCs w:val="24"/>
        </w:rPr>
        <w:t>)</w:t>
      </w:r>
      <w:r w:rsidRPr="00CC1364">
        <w:rPr>
          <w:rFonts w:ascii="Times New Roman" w:eastAsia="Times New Roman+FPEF" w:hAnsi="Times New Roman" w:cs="Times New Roman"/>
          <w:sz w:val="24"/>
          <w:szCs w:val="24"/>
        </w:rPr>
        <w:t>;</w:t>
      </w:r>
      <w:r w:rsidRPr="001407F2">
        <w:rPr>
          <w:rFonts w:ascii="Times New Roman" w:eastAsia="Times New Roman+FPEF" w:hAnsi="Times New Roman" w:cs="Times New Roman"/>
          <w:sz w:val="24"/>
          <w:szCs w:val="24"/>
        </w:rPr>
        <w:t>p</w:t>
      </w:r>
      <w:proofErr w:type="gramEnd"/>
      <w:r w:rsidRPr="001407F2">
        <w:rPr>
          <w:rFonts w:ascii="Times New Roman" w:eastAsia="Times New Roman+FPEF" w:hAnsi="Times New Roman" w:cs="Times New Roman"/>
          <w:sz w:val="24"/>
          <w:szCs w:val="24"/>
        </w:rPr>
        <w:t xml:space="preserve"> 38-44, Jan–Mar 2013. | DOI: 10.4103/0972-0464.121826</w:t>
      </w:r>
    </w:p>
    <w:p w14:paraId="1AEFE6F5" w14:textId="77777777" w:rsidR="00DA2C10" w:rsidRPr="00AC7476" w:rsidRDefault="00DA2C10" w:rsidP="00DA2C10">
      <w:pPr>
        <w:pStyle w:val="ListParagraph"/>
        <w:numPr>
          <w:ilvl w:val="0"/>
          <w:numId w:val="2"/>
        </w:numPr>
        <w:autoSpaceDE w:val="0"/>
        <w:autoSpaceDN w:val="0"/>
        <w:adjustRightInd w:val="0"/>
        <w:spacing w:line="360" w:lineRule="auto"/>
        <w:jc w:val="both"/>
        <w:rPr>
          <w:rFonts w:ascii="Times New Roman" w:eastAsia="Times New Roman+FPEF" w:hAnsi="Times New Roman" w:cs="Times New Roman"/>
          <w:sz w:val="24"/>
          <w:szCs w:val="24"/>
        </w:rPr>
      </w:pPr>
      <w:r w:rsidRPr="00AC7476">
        <w:rPr>
          <w:rFonts w:ascii="Times New Roman" w:eastAsia="Times New Roman+FPEF" w:hAnsi="Times New Roman" w:cs="Times New Roman"/>
          <w:sz w:val="24"/>
          <w:szCs w:val="24"/>
        </w:rPr>
        <w:t xml:space="preserve">Ashraf, M., Cheema, A. A., Rasheed, M., &amp; Qamar, Z. (2003). Effect of gamma rays on M1 generation in Basmati rice. </w:t>
      </w:r>
      <w:r w:rsidRPr="00AC7476">
        <w:rPr>
          <w:rFonts w:ascii="Times New Roman" w:eastAsia="Times New Roman+FPEF" w:hAnsi="Times New Roman" w:cs="Times New Roman"/>
          <w:i/>
          <w:iCs/>
          <w:sz w:val="24"/>
          <w:szCs w:val="24"/>
        </w:rPr>
        <w:t>Pakistan Journal of Botany, 35</w:t>
      </w:r>
      <w:r w:rsidRPr="00AC7476">
        <w:rPr>
          <w:rFonts w:ascii="Times New Roman" w:eastAsia="Times New Roman+FPEF" w:hAnsi="Times New Roman" w:cs="Times New Roman"/>
          <w:sz w:val="24"/>
          <w:szCs w:val="24"/>
        </w:rPr>
        <w:t>(5), 791–795.</w:t>
      </w:r>
    </w:p>
    <w:p w14:paraId="007C054C" w14:textId="77777777" w:rsidR="00DA2C10" w:rsidRPr="00D80375"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iCs/>
          <w:sz w:val="24"/>
          <w:szCs w:val="24"/>
        </w:rPr>
      </w:pPr>
      <w:r w:rsidRPr="00CC1364">
        <w:rPr>
          <w:rFonts w:ascii="Times New Roman" w:hAnsi="Times New Roman" w:cs="Times New Roman"/>
          <w:iCs/>
          <w:sz w:val="24"/>
          <w:szCs w:val="24"/>
          <w:lang w:val="it-IT"/>
        </w:rPr>
        <w:t xml:space="preserve">Azad, M. A. K., Uddin, M. I., &amp; Azam, M. A. (2012). </w:t>
      </w:r>
      <w:r w:rsidRPr="00CC1364">
        <w:rPr>
          <w:rFonts w:ascii="Times New Roman" w:hAnsi="Times New Roman" w:cs="Times New Roman"/>
          <w:iCs/>
          <w:sz w:val="24"/>
          <w:szCs w:val="24"/>
        </w:rPr>
        <w:t xml:space="preserve">Bioremediation, biodiversity and bioavailability. </w:t>
      </w:r>
      <w:r w:rsidRPr="00CC1364">
        <w:rPr>
          <w:rFonts w:ascii="Times New Roman" w:hAnsi="Times New Roman" w:cs="Times New Roman"/>
          <w:i/>
          <w:iCs/>
          <w:sz w:val="24"/>
          <w:szCs w:val="24"/>
        </w:rPr>
        <w:t>Bioremediation, Biodiversity and Bioavailability, 6</w:t>
      </w:r>
      <w:r w:rsidRPr="00CC1364">
        <w:rPr>
          <w:rFonts w:ascii="Times New Roman" w:hAnsi="Times New Roman" w:cs="Times New Roman"/>
          <w:iCs/>
          <w:sz w:val="24"/>
          <w:szCs w:val="24"/>
        </w:rPr>
        <w:t>(Special Issue 1), 53–57.</w:t>
      </w:r>
    </w:p>
    <w:p w14:paraId="30E3E23E" w14:textId="77777777" w:rsidR="00DA2C10" w:rsidRDefault="00DA2C10" w:rsidP="00DA2C10">
      <w:pPr>
        <w:pStyle w:val="ListParagraph"/>
        <w:numPr>
          <w:ilvl w:val="0"/>
          <w:numId w:val="2"/>
        </w:numPr>
        <w:spacing w:line="360" w:lineRule="auto"/>
        <w:jc w:val="both"/>
        <w:rPr>
          <w:rFonts w:ascii="Times New Roman" w:hAnsi="Times New Roman" w:cs="Times New Roman"/>
          <w:sz w:val="24"/>
          <w:szCs w:val="24"/>
        </w:rPr>
      </w:pPr>
      <w:r w:rsidRPr="00D80375">
        <w:rPr>
          <w:rFonts w:ascii="Times New Roman" w:hAnsi="Times New Roman" w:cs="Times New Roman"/>
          <w:sz w:val="24"/>
          <w:szCs w:val="24"/>
        </w:rPr>
        <w:lastRenderedPageBreak/>
        <w:t xml:space="preserve">Bangladesh Bureau of Statistics. (2025). </w:t>
      </w:r>
      <w:r w:rsidRPr="00D80375">
        <w:rPr>
          <w:rFonts w:ascii="Times New Roman" w:hAnsi="Times New Roman" w:cs="Times New Roman"/>
          <w:i/>
          <w:iCs/>
          <w:sz w:val="24"/>
          <w:szCs w:val="24"/>
        </w:rPr>
        <w:t>Yearbook of agricultural statistics of Bangladesh, 2024: 36th series</w:t>
      </w:r>
      <w:r w:rsidRPr="00D80375">
        <w:rPr>
          <w:rFonts w:ascii="Times New Roman" w:hAnsi="Times New Roman" w:cs="Times New Roman"/>
          <w:sz w:val="24"/>
          <w:szCs w:val="24"/>
        </w:rPr>
        <w:t xml:space="preserve"> (p. 39)</w:t>
      </w:r>
    </w:p>
    <w:p w14:paraId="316B2FC1" w14:textId="77777777" w:rsidR="00DA2C10" w:rsidRPr="00D80375" w:rsidRDefault="00DA2C10" w:rsidP="00DA2C10">
      <w:pPr>
        <w:pStyle w:val="ListParagraph"/>
        <w:numPr>
          <w:ilvl w:val="0"/>
          <w:numId w:val="2"/>
        </w:numPr>
        <w:spacing w:line="360" w:lineRule="auto"/>
        <w:jc w:val="both"/>
        <w:rPr>
          <w:rFonts w:ascii="Times New Roman" w:hAnsi="Times New Roman" w:cs="Times New Roman"/>
          <w:sz w:val="24"/>
          <w:szCs w:val="24"/>
        </w:rPr>
      </w:pPr>
      <w:r w:rsidRPr="00D80375">
        <w:rPr>
          <w:rFonts w:ascii="Times New Roman" w:hAnsi="Times New Roman" w:cs="Times New Roman"/>
          <w:sz w:val="24"/>
          <w:szCs w:val="24"/>
        </w:rPr>
        <w:t xml:space="preserve">Bangladesh Rice Research Institute. (2025). </w:t>
      </w:r>
      <w:proofErr w:type="spellStart"/>
      <w:r w:rsidRPr="00D80375">
        <w:rPr>
          <w:rFonts w:ascii="Times New Roman" w:hAnsi="Times New Roman" w:cs="Times New Roman"/>
          <w:i/>
          <w:iCs/>
          <w:sz w:val="24"/>
          <w:szCs w:val="24"/>
        </w:rPr>
        <w:t>Adunik</w:t>
      </w:r>
      <w:proofErr w:type="spellEnd"/>
      <w:r w:rsidRPr="00D80375">
        <w:rPr>
          <w:rFonts w:ascii="Times New Roman" w:hAnsi="Times New Roman" w:cs="Times New Roman"/>
          <w:i/>
          <w:iCs/>
          <w:sz w:val="24"/>
          <w:szCs w:val="24"/>
        </w:rPr>
        <w:t xml:space="preserve"> </w:t>
      </w:r>
      <w:proofErr w:type="spellStart"/>
      <w:r w:rsidRPr="00D80375">
        <w:rPr>
          <w:rFonts w:ascii="Times New Roman" w:hAnsi="Times New Roman" w:cs="Times New Roman"/>
          <w:i/>
          <w:iCs/>
          <w:sz w:val="24"/>
          <w:szCs w:val="24"/>
        </w:rPr>
        <w:t>Dhaner</w:t>
      </w:r>
      <w:proofErr w:type="spellEnd"/>
      <w:r w:rsidRPr="00D80375">
        <w:rPr>
          <w:rFonts w:ascii="Times New Roman" w:hAnsi="Times New Roman" w:cs="Times New Roman"/>
          <w:i/>
          <w:iCs/>
          <w:sz w:val="24"/>
          <w:szCs w:val="24"/>
        </w:rPr>
        <w:t xml:space="preserve"> </w:t>
      </w:r>
      <w:proofErr w:type="spellStart"/>
      <w:r w:rsidRPr="00D80375">
        <w:rPr>
          <w:rFonts w:ascii="Times New Roman" w:hAnsi="Times New Roman" w:cs="Times New Roman"/>
          <w:i/>
          <w:iCs/>
          <w:sz w:val="24"/>
          <w:szCs w:val="24"/>
        </w:rPr>
        <w:t>Chash</w:t>
      </w:r>
      <w:proofErr w:type="spellEnd"/>
      <w:r w:rsidRPr="00D80375">
        <w:rPr>
          <w:rFonts w:ascii="Times New Roman" w:hAnsi="Times New Roman" w:cs="Times New Roman"/>
          <w:sz w:val="24"/>
          <w:szCs w:val="24"/>
        </w:rPr>
        <w:t xml:space="preserve"> (25th ed.). Bangladesh Rice Research Institute., </w:t>
      </w:r>
      <w:proofErr w:type="spellStart"/>
      <w:r w:rsidRPr="00D80375">
        <w:rPr>
          <w:rFonts w:ascii="Times New Roman" w:hAnsi="Times New Roman" w:cs="Times New Roman"/>
          <w:sz w:val="24"/>
          <w:szCs w:val="24"/>
        </w:rPr>
        <w:t>Joydebpur</w:t>
      </w:r>
      <w:proofErr w:type="spellEnd"/>
      <w:r w:rsidRPr="00D80375">
        <w:rPr>
          <w:rFonts w:ascii="Times New Roman" w:hAnsi="Times New Roman" w:cs="Times New Roman"/>
          <w:sz w:val="24"/>
          <w:szCs w:val="24"/>
        </w:rPr>
        <w:t>, Gazipur. pp. 5</w:t>
      </w:r>
    </w:p>
    <w:p w14:paraId="7813CC2D" w14:textId="77777777" w:rsidR="00DA2C10" w:rsidRPr="00666130" w:rsidRDefault="00DA2C10" w:rsidP="00DA2C10">
      <w:pPr>
        <w:pStyle w:val="NormalWeb"/>
        <w:numPr>
          <w:ilvl w:val="0"/>
          <w:numId w:val="2"/>
        </w:numPr>
        <w:spacing w:before="0" w:beforeAutospacing="0" w:after="0" w:afterAutospacing="0" w:line="360" w:lineRule="auto"/>
        <w:jc w:val="both"/>
      </w:pPr>
      <w:r w:rsidRPr="00666130">
        <w:rPr>
          <w:lang w:val="it-IT"/>
        </w:rPr>
        <w:t xml:space="preserve">Bordoloi, D., Sarma, D., Barua, N. S., &amp; Das, B. K. (2023). </w:t>
      </w:r>
      <w:r>
        <w:t xml:space="preserve">Mutation induction in aromatic </w:t>
      </w:r>
      <w:proofErr w:type="spellStart"/>
      <w:r>
        <w:t>Joha</w:t>
      </w:r>
      <w:proofErr w:type="spellEnd"/>
      <w:r>
        <w:t xml:space="preserve"> rice of Assam for improvement of morpho-agronomic traits through M 1 to M 3 generation. </w:t>
      </w:r>
      <w:r>
        <w:rPr>
          <w:i/>
          <w:iCs/>
        </w:rPr>
        <w:t>International Journal of Radiation Biology</w:t>
      </w:r>
      <w:r>
        <w:t xml:space="preserve">, </w:t>
      </w:r>
      <w:r>
        <w:rPr>
          <w:i/>
          <w:iCs/>
        </w:rPr>
        <w:t>99</w:t>
      </w:r>
      <w:r>
        <w:t xml:space="preserve">(11), 1760–1777. </w:t>
      </w:r>
      <w:r>
        <w:rPr>
          <w:rStyle w:val="url"/>
        </w:rPr>
        <w:t>https://doi.org/10.1080/09553002.2023.2214197</w:t>
      </w:r>
    </w:p>
    <w:p w14:paraId="2A8CC05D" w14:textId="77777777" w:rsidR="00DA2C10" w:rsidRPr="00CC1364"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color w:val="000000"/>
          <w:sz w:val="24"/>
          <w:szCs w:val="24"/>
        </w:rPr>
      </w:pPr>
      <w:r w:rsidRPr="005B4769">
        <w:rPr>
          <w:rFonts w:ascii="Times New Roman" w:hAnsi="Times New Roman" w:cs="Times New Roman"/>
          <w:color w:val="000000"/>
          <w:sz w:val="24"/>
          <w:szCs w:val="24"/>
        </w:rPr>
        <w:t xml:space="preserve">Chahal, G. S., &amp; </w:t>
      </w:r>
      <w:proofErr w:type="spellStart"/>
      <w:r w:rsidRPr="005B4769">
        <w:rPr>
          <w:rFonts w:ascii="Times New Roman" w:hAnsi="Times New Roman" w:cs="Times New Roman"/>
          <w:color w:val="000000"/>
          <w:sz w:val="24"/>
          <w:szCs w:val="24"/>
        </w:rPr>
        <w:t>Gosal</w:t>
      </w:r>
      <w:proofErr w:type="spellEnd"/>
      <w:r w:rsidRPr="005B4769">
        <w:rPr>
          <w:rFonts w:ascii="Times New Roman" w:hAnsi="Times New Roman" w:cs="Times New Roman"/>
          <w:color w:val="000000"/>
          <w:sz w:val="24"/>
          <w:szCs w:val="24"/>
        </w:rPr>
        <w:t xml:space="preserve">, S. S. (2002). </w:t>
      </w:r>
      <w:r w:rsidRPr="005B4769">
        <w:rPr>
          <w:rFonts w:ascii="Times New Roman" w:hAnsi="Times New Roman" w:cs="Times New Roman"/>
          <w:i/>
          <w:iCs/>
          <w:color w:val="000000"/>
          <w:sz w:val="24"/>
          <w:szCs w:val="24"/>
        </w:rPr>
        <w:t>Principles and procedures of plant breeding: Biotechnological and conventional approaches</w:t>
      </w:r>
      <w:r w:rsidRPr="005B4769">
        <w:rPr>
          <w:rFonts w:ascii="Times New Roman" w:hAnsi="Times New Roman" w:cs="Times New Roman"/>
          <w:color w:val="000000"/>
          <w:sz w:val="24"/>
          <w:szCs w:val="24"/>
        </w:rPr>
        <w:t>. Alpha Science International Ltd / CRC Press</w:t>
      </w:r>
      <w:r w:rsidRPr="00CC1364">
        <w:rPr>
          <w:rFonts w:ascii="Times New Roman" w:hAnsi="Times New Roman" w:cs="Times New Roman"/>
          <w:color w:val="000000"/>
          <w:sz w:val="24"/>
          <w:szCs w:val="24"/>
        </w:rPr>
        <w:t>.</w:t>
      </w:r>
    </w:p>
    <w:p w14:paraId="74BC8221" w14:textId="77777777" w:rsidR="00DA2C10"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CC1364">
        <w:rPr>
          <w:rFonts w:ascii="Times New Roman" w:hAnsi="Times New Roman" w:cs="Times New Roman"/>
          <w:sz w:val="24"/>
          <w:szCs w:val="24"/>
          <w:lang w:val="it-IT"/>
        </w:rPr>
        <w:t xml:space="preserve">Cheema, A. A., &amp; Atta, B. M. (2003). </w:t>
      </w:r>
      <w:proofErr w:type="spellStart"/>
      <w:r w:rsidRPr="00CC1364">
        <w:rPr>
          <w:rFonts w:ascii="Times New Roman" w:hAnsi="Times New Roman" w:cs="Times New Roman"/>
          <w:sz w:val="24"/>
          <w:szCs w:val="24"/>
        </w:rPr>
        <w:t>Radiosensitivity</w:t>
      </w:r>
      <w:proofErr w:type="spellEnd"/>
      <w:r w:rsidRPr="00CC1364">
        <w:rPr>
          <w:rFonts w:ascii="Times New Roman" w:hAnsi="Times New Roman" w:cs="Times New Roman"/>
          <w:sz w:val="24"/>
          <w:szCs w:val="24"/>
        </w:rPr>
        <w:t xml:space="preserve"> studies in Basmati rice. </w:t>
      </w:r>
      <w:r w:rsidRPr="00CC1364">
        <w:rPr>
          <w:rFonts w:ascii="Times New Roman" w:hAnsi="Times New Roman" w:cs="Times New Roman"/>
          <w:i/>
          <w:iCs/>
          <w:sz w:val="24"/>
          <w:szCs w:val="24"/>
        </w:rPr>
        <w:t>Pakistan Journal of Botany, 35</w:t>
      </w:r>
      <w:r w:rsidRPr="00CC1364">
        <w:rPr>
          <w:rFonts w:ascii="Times New Roman" w:hAnsi="Times New Roman" w:cs="Times New Roman"/>
          <w:sz w:val="24"/>
          <w:szCs w:val="24"/>
        </w:rPr>
        <w:t>(2), 197–207.</w:t>
      </w:r>
    </w:p>
    <w:p w14:paraId="7ED91DBA" w14:textId="77777777" w:rsidR="00DA2C10" w:rsidRPr="000544C3"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D80375">
        <w:rPr>
          <w:rFonts w:ascii="Times New Roman" w:hAnsi="Times New Roman" w:cs="Times New Roman"/>
          <w:sz w:val="24"/>
          <w:szCs w:val="24"/>
        </w:rPr>
        <w:t xml:space="preserve">FAO. 2024. World Food and Agriculture – </w:t>
      </w:r>
      <w:r w:rsidRPr="00676683">
        <w:rPr>
          <w:rFonts w:ascii="Times New Roman" w:hAnsi="Times New Roman" w:cs="Times New Roman"/>
          <w:i/>
          <w:iCs/>
          <w:sz w:val="24"/>
          <w:szCs w:val="24"/>
        </w:rPr>
        <w:t>Statistical Yearbook 2024</w:t>
      </w:r>
      <w:r w:rsidRPr="00D80375">
        <w:rPr>
          <w:rFonts w:ascii="Times New Roman" w:hAnsi="Times New Roman" w:cs="Times New Roman"/>
          <w:sz w:val="24"/>
          <w:szCs w:val="24"/>
        </w:rPr>
        <w:t xml:space="preserve">. Rome. </w:t>
      </w:r>
      <w:hyperlink r:id="rId10" w:history="1">
        <w:r w:rsidRPr="00F813DB">
          <w:rPr>
            <w:rStyle w:val="Hyperlink"/>
            <w:rFonts w:ascii="Times New Roman" w:hAnsi="Times New Roman" w:cs="Times New Roman"/>
            <w:sz w:val="24"/>
            <w:szCs w:val="24"/>
          </w:rPr>
          <w:t>https://doi.org/10.4060/cd2971en</w:t>
        </w:r>
      </w:hyperlink>
    </w:p>
    <w:p w14:paraId="6A565E95" w14:textId="77777777" w:rsidR="00DA2C10"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lang w:val="it-IT"/>
        </w:rPr>
        <w:t>F</w:t>
      </w:r>
      <w:r w:rsidRPr="000544C3">
        <w:rPr>
          <w:rFonts w:ascii="Times New Roman" w:hAnsi="Times New Roman" w:cs="Times New Roman"/>
          <w:sz w:val="24"/>
          <w:szCs w:val="24"/>
          <w:lang w:val="it-IT"/>
        </w:rPr>
        <w:t>austino, G. P., Habana, E. J. H., Malabanan</w:t>
      </w:r>
      <w:r w:rsidRPr="000544C3">
        <w:rPr>
          <w:rFonts w:ascii="Times New Roman" w:hAnsi="Times New Roman" w:cs="Times New Roman"/>
          <w:sz w:val="24"/>
          <w:szCs w:val="24"/>
          <w:lang w:val="it-IT"/>
        </w:rPr>
        <w:noBreakHyphen/>
        <w:t>Bauan, K. B., Magnaye, A. M. A., Madrid</w:t>
      </w:r>
      <w:r w:rsidRPr="000544C3">
        <w:rPr>
          <w:rFonts w:ascii="Times New Roman" w:hAnsi="Times New Roman" w:cs="Times New Roman"/>
          <w:sz w:val="24"/>
          <w:szCs w:val="24"/>
          <w:lang w:val="it-IT"/>
        </w:rPr>
        <w:noBreakHyphen/>
        <w:t xml:space="preserve">Savariz, I. J. W., Lopez, P. I. M., Abonitalla, D. B., Borromeo, T. H., &amp; Calayugan, M. I. C. (2024). </w:t>
      </w:r>
      <w:r w:rsidRPr="000544C3">
        <w:rPr>
          <w:rFonts w:ascii="Times New Roman" w:hAnsi="Times New Roman" w:cs="Times New Roman"/>
          <w:sz w:val="24"/>
          <w:szCs w:val="24"/>
        </w:rPr>
        <w:t>Identification of median lethal dose (LD50) and shoot and root growth reduction (GR50) dose in four rice varieties irradiated with cobalt</w:t>
      </w:r>
      <w:r w:rsidRPr="000544C3">
        <w:rPr>
          <w:rFonts w:ascii="Times New Roman" w:hAnsi="Times New Roman" w:cs="Times New Roman"/>
          <w:sz w:val="24"/>
          <w:szCs w:val="24"/>
        </w:rPr>
        <w:noBreakHyphen/>
        <w:t>60</w:t>
      </w:r>
      <w:r w:rsidRPr="000544C3">
        <w:rPr>
          <w:rFonts w:ascii="Times New Roman" w:hAnsi="Times New Roman" w:cs="Times New Roman"/>
          <w:i/>
          <w:iCs/>
          <w:sz w:val="24"/>
          <w:szCs w:val="24"/>
        </w:rPr>
        <w:t>.</w:t>
      </w:r>
      <w:r w:rsidRPr="000544C3">
        <w:rPr>
          <w:rFonts w:ascii="Times New Roman" w:hAnsi="Times New Roman" w:cs="Times New Roman"/>
          <w:sz w:val="24"/>
          <w:szCs w:val="24"/>
        </w:rPr>
        <w:t xml:space="preserve"> </w:t>
      </w:r>
      <w:r w:rsidRPr="000544C3">
        <w:rPr>
          <w:rFonts w:ascii="Times New Roman" w:hAnsi="Times New Roman" w:cs="Times New Roman"/>
          <w:i/>
          <w:iCs/>
          <w:sz w:val="24"/>
          <w:szCs w:val="24"/>
        </w:rPr>
        <w:t>Philippine Journal of Science, 153</w:t>
      </w:r>
      <w:r w:rsidRPr="000544C3">
        <w:rPr>
          <w:rFonts w:ascii="Times New Roman" w:hAnsi="Times New Roman" w:cs="Times New Roman"/>
          <w:sz w:val="24"/>
          <w:szCs w:val="24"/>
        </w:rPr>
        <w:t>(5), 1899–1910.</w:t>
      </w:r>
    </w:p>
    <w:p w14:paraId="0E775745" w14:textId="77777777" w:rsidR="00DA2C10" w:rsidRDefault="00DA2C10" w:rsidP="00DA2C10">
      <w:pPr>
        <w:pStyle w:val="ListParagraph"/>
        <w:numPr>
          <w:ilvl w:val="0"/>
          <w:numId w:val="2"/>
        </w:numPr>
        <w:spacing w:after="0" w:line="360" w:lineRule="auto"/>
        <w:jc w:val="both"/>
        <w:rPr>
          <w:rFonts w:ascii="Times New Roman" w:eastAsia="Times New Roman" w:hAnsi="Times New Roman" w:cs="Times New Roman"/>
          <w:sz w:val="24"/>
          <w:szCs w:val="24"/>
        </w:rPr>
      </w:pPr>
      <w:proofErr w:type="spellStart"/>
      <w:r w:rsidRPr="00676683">
        <w:rPr>
          <w:rFonts w:ascii="Times New Roman" w:eastAsia="Times New Roman" w:hAnsi="Times New Roman" w:cs="Times New Roman"/>
          <w:sz w:val="24"/>
          <w:szCs w:val="24"/>
        </w:rPr>
        <w:t>Fukagawa</w:t>
      </w:r>
      <w:proofErr w:type="spellEnd"/>
      <w:r w:rsidRPr="00676683">
        <w:rPr>
          <w:rFonts w:ascii="Times New Roman" w:eastAsia="Times New Roman" w:hAnsi="Times New Roman" w:cs="Times New Roman"/>
          <w:sz w:val="24"/>
          <w:szCs w:val="24"/>
        </w:rPr>
        <w:t xml:space="preserve"> NK, Ziska LH. Rice: Importance for Global Nutrition. </w:t>
      </w:r>
      <w:r w:rsidRPr="00676683">
        <w:rPr>
          <w:rFonts w:ascii="Times New Roman" w:eastAsia="Times New Roman" w:hAnsi="Times New Roman" w:cs="Times New Roman"/>
          <w:i/>
          <w:iCs/>
          <w:sz w:val="24"/>
          <w:szCs w:val="24"/>
          <w:lang w:val="it-IT"/>
        </w:rPr>
        <w:t xml:space="preserve">J Nutr Sci Vitaminol (Tokyo). </w:t>
      </w:r>
      <w:r w:rsidRPr="00676683">
        <w:rPr>
          <w:rFonts w:ascii="Times New Roman" w:eastAsia="Times New Roman" w:hAnsi="Times New Roman" w:cs="Times New Roman"/>
          <w:i/>
          <w:iCs/>
          <w:sz w:val="24"/>
          <w:szCs w:val="24"/>
        </w:rPr>
        <w:t>2019</w:t>
      </w:r>
      <w:r w:rsidRPr="00676683">
        <w:rPr>
          <w:rFonts w:ascii="Times New Roman" w:eastAsia="Times New Roman" w:hAnsi="Times New Roman" w:cs="Times New Roman"/>
          <w:sz w:val="24"/>
          <w:szCs w:val="24"/>
        </w:rPr>
        <w:t>;65(Supplement</w:t>
      </w:r>
      <w:proofErr w:type="gramStart"/>
      <w:r w:rsidRPr="00676683">
        <w:rPr>
          <w:rFonts w:ascii="Times New Roman" w:eastAsia="Times New Roman" w:hAnsi="Times New Roman" w:cs="Times New Roman"/>
          <w:sz w:val="24"/>
          <w:szCs w:val="24"/>
        </w:rPr>
        <w:t>):S</w:t>
      </w:r>
      <w:proofErr w:type="gramEnd"/>
      <w:r w:rsidRPr="00676683">
        <w:rPr>
          <w:rFonts w:ascii="Times New Roman" w:eastAsia="Times New Roman" w:hAnsi="Times New Roman" w:cs="Times New Roman"/>
          <w:sz w:val="24"/>
          <w:szCs w:val="24"/>
        </w:rPr>
        <w:t xml:space="preserve">2-S3. </w:t>
      </w:r>
      <w:proofErr w:type="spellStart"/>
      <w:r w:rsidRPr="00676683">
        <w:rPr>
          <w:rFonts w:ascii="Times New Roman" w:eastAsia="Times New Roman" w:hAnsi="Times New Roman" w:cs="Times New Roman"/>
          <w:sz w:val="24"/>
          <w:szCs w:val="24"/>
        </w:rPr>
        <w:t>doi</w:t>
      </w:r>
      <w:proofErr w:type="spellEnd"/>
      <w:r w:rsidRPr="00676683">
        <w:rPr>
          <w:rFonts w:ascii="Times New Roman" w:eastAsia="Times New Roman" w:hAnsi="Times New Roman" w:cs="Times New Roman"/>
          <w:sz w:val="24"/>
          <w:szCs w:val="24"/>
        </w:rPr>
        <w:t>: 10.3177/jnsv.</w:t>
      </w:r>
      <w:proofErr w:type="gramStart"/>
      <w:r w:rsidRPr="00676683">
        <w:rPr>
          <w:rFonts w:ascii="Times New Roman" w:eastAsia="Times New Roman" w:hAnsi="Times New Roman" w:cs="Times New Roman"/>
          <w:sz w:val="24"/>
          <w:szCs w:val="24"/>
        </w:rPr>
        <w:t>65.S</w:t>
      </w:r>
      <w:proofErr w:type="gramEnd"/>
      <w:r w:rsidRPr="00676683">
        <w:rPr>
          <w:rFonts w:ascii="Times New Roman" w:eastAsia="Times New Roman" w:hAnsi="Times New Roman" w:cs="Times New Roman"/>
          <w:sz w:val="24"/>
          <w:szCs w:val="24"/>
        </w:rPr>
        <w:t>2. PMID: 31619630.</w:t>
      </w:r>
    </w:p>
    <w:p w14:paraId="135B9D14" w14:textId="77777777" w:rsidR="00DA2C10" w:rsidRPr="00451DEA" w:rsidRDefault="00DA2C10" w:rsidP="00DA2C10">
      <w:pPr>
        <w:pStyle w:val="ListParagraph"/>
        <w:numPr>
          <w:ilvl w:val="0"/>
          <w:numId w:val="2"/>
        </w:numPr>
        <w:spacing w:after="0" w:line="360" w:lineRule="auto"/>
        <w:jc w:val="both"/>
        <w:rPr>
          <w:rFonts w:ascii="Times New Roman" w:eastAsia="Times New Roman" w:hAnsi="Times New Roman" w:cs="Times New Roman"/>
          <w:sz w:val="24"/>
          <w:szCs w:val="24"/>
        </w:rPr>
      </w:pPr>
      <w:proofErr w:type="spellStart"/>
      <w:r w:rsidRPr="00451DEA">
        <w:rPr>
          <w:rFonts w:ascii="Times New Roman" w:eastAsia="Times New Roman+FPEF" w:hAnsi="Times New Roman" w:cs="Times New Roman"/>
          <w:sz w:val="24"/>
          <w:szCs w:val="24"/>
        </w:rPr>
        <w:t>Golestan</w:t>
      </w:r>
      <w:proofErr w:type="spellEnd"/>
      <w:r w:rsidRPr="00451DEA">
        <w:rPr>
          <w:rFonts w:ascii="Times New Roman" w:eastAsia="Times New Roman+FPEF" w:hAnsi="Times New Roman" w:cs="Times New Roman"/>
          <w:sz w:val="24"/>
          <w:szCs w:val="24"/>
        </w:rPr>
        <w:t xml:space="preserve"> Hashemi, F., </w:t>
      </w:r>
      <w:proofErr w:type="spellStart"/>
      <w:r w:rsidRPr="00451DEA">
        <w:rPr>
          <w:rFonts w:ascii="Times New Roman" w:eastAsia="Times New Roman+FPEF" w:hAnsi="Times New Roman" w:cs="Times New Roman"/>
          <w:sz w:val="24"/>
          <w:szCs w:val="24"/>
        </w:rPr>
        <w:t>Rafii</w:t>
      </w:r>
      <w:proofErr w:type="spellEnd"/>
      <w:r w:rsidRPr="00451DEA">
        <w:rPr>
          <w:rFonts w:ascii="Times New Roman" w:eastAsia="Times New Roman+FPEF" w:hAnsi="Times New Roman" w:cs="Times New Roman"/>
          <w:sz w:val="24"/>
          <w:szCs w:val="24"/>
        </w:rPr>
        <w:t xml:space="preserve">, M. Y., Ismail, M. R., Mahmud, T. M. M., Rahim, H. A., </w:t>
      </w:r>
      <w:proofErr w:type="spellStart"/>
      <w:r w:rsidRPr="00451DEA">
        <w:rPr>
          <w:rFonts w:ascii="Times New Roman" w:eastAsia="Times New Roman+FPEF" w:hAnsi="Times New Roman" w:cs="Times New Roman"/>
          <w:sz w:val="24"/>
          <w:szCs w:val="24"/>
        </w:rPr>
        <w:t>Asfaliza</w:t>
      </w:r>
      <w:proofErr w:type="spellEnd"/>
      <w:r w:rsidRPr="00451DEA">
        <w:rPr>
          <w:rFonts w:ascii="Times New Roman" w:eastAsia="Times New Roman+FPEF" w:hAnsi="Times New Roman" w:cs="Times New Roman"/>
          <w:sz w:val="24"/>
          <w:szCs w:val="24"/>
        </w:rPr>
        <w:t xml:space="preserve">, R., &amp; Latif, M. A. (2013). Biochemical, genetic and molecular advances of fragrance characteristics in rice. </w:t>
      </w:r>
      <w:r w:rsidRPr="00451DEA">
        <w:rPr>
          <w:rFonts w:ascii="Times New Roman" w:eastAsia="Times New Roman+FPEF" w:hAnsi="Times New Roman" w:cs="Times New Roman"/>
          <w:i/>
          <w:iCs/>
          <w:sz w:val="24"/>
          <w:szCs w:val="24"/>
        </w:rPr>
        <w:t>Critical Reviews in Plant Sciences, 32</w:t>
      </w:r>
      <w:r w:rsidRPr="00451DEA">
        <w:rPr>
          <w:rFonts w:ascii="Times New Roman" w:eastAsia="Times New Roman+FPEF" w:hAnsi="Times New Roman" w:cs="Times New Roman"/>
          <w:sz w:val="24"/>
          <w:szCs w:val="24"/>
        </w:rPr>
        <w:t xml:space="preserve">(6), 445–457. </w:t>
      </w:r>
      <w:hyperlink r:id="rId11" w:history="1">
        <w:r w:rsidRPr="00451DEA">
          <w:rPr>
            <w:rStyle w:val="Hyperlink"/>
            <w:rFonts w:ascii="Times New Roman" w:eastAsia="Times New Roman+FPEF" w:hAnsi="Times New Roman" w:cs="Times New Roman"/>
            <w:sz w:val="24"/>
            <w:szCs w:val="24"/>
          </w:rPr>
          <w:t>https://doi.org/10.1080/07352689.2013.807716</w:t>
        </w:r>
      </w:hyperlink>
    </w:p>
    <w:p w14:paraId="3CA5C5C8" w14:textId="77777777" w:rsidR="00DA2C10" w:rsidRPr="003A7479" w:rsidRDefault="00DA2C10" w:rsidP="00DA2C10">
      <w:pPr>
        <w:pStyle w:val="ListParagraph"/>
        <w:numPr>
          <w:ilvl w:val="0"/>
          <w:numId w:val="2"/>
        </w:numPr>
        <w:autoSpaceDE w:val="0"/>
        <w:autoSpaceDN w:val="0"/>
        <w:adjustRightInd w:val="0"/>
        <w:spacing w:line="360" w:lineRule="auto"/>
        <w:jc w:val="both"/>
        <w:rPr>
          <w:rFonts w:ascii="Times New Roman" w:eastAsia="Times New Roman+FPEF" w:hAnsi="Times New Roman" w:cs="Times New Roman"/>
          <w:sz w:val="24"/>
          <w:szCs w:val="24"/>
        </w:rPr>
      </w:pPr>
      <w:proofErr w:type="spellStart"/>
      <w:r w:rsidRPr="00F42F1C">
        <w:rPr>
          <w:rFonts w:ascii="Times New Roman" w:hAnsi="Times New Roman" w:cs="Times New Roman"/>
          <w:sz w:val="24"/>
          <w:szCs w:val="24"/>
        </w:rPr>
        <w:t>Gowthami</w:t>
      </w:r>
      <w:proofErr w:type="spellEnd"/>
      <w:r w:rsidRPr="00F42F1C">
        <w:rPr>
          <w:rFonts w:ascii="Times New Roman" w:hAnsi="Times New Roman" w:cs="Times New Roman"/>
          <w:sz w:val="24"/>
          <w:szCs w:val="24"/>
        </w:rPr>
        <w:t xml:space="preserve">, R., </w:t>
      </w:r>
      <w:proofErr w:type="spellStart"/>
      <w:r w:rsidRPr="00F42F1C">
        <w:rPr>
          <w:rFonts w:ascii="Times New Roman" w:hAnsi="Times New Roman" w:cs="Times New Roman"/>
          <w:sz w:val="24"/>
          <w:szCs w:val="24"/>
        </w:rPr>
        <w:t>Vanniarajan</w:t>
      </w:r>
      <w:proofErr w:type="spellEnd"/>
      <w:r w:rsidRPr="00F42F1C">
        <w:rPr>
          <w:rFonts w:ascii="Times New Roman" w:hAnsi="Times New Roman" w:cs="Times New Roman"/>
          <w:sz w:val="24"/>
          <w:szCs w:val="24"/>
        </w:rPr>
        <w:t xml:space="preserve">, C., </w:t>
      </w:r>
      <w:proofErr w:type="spellStart"/>
      <w:r w:rsidRPr="00F42F1C">
        <w:rPr>
          <w:rFonts w:ascii="Times New Roman" w:hAnsi="Times New Roman" w:cs="Times New Roman"/>
          <w:sz w:val="24"/>
          <w:szCs w:val="24"/>
        </w:rPr>
        <w:t>Souframanien</w:t>
      </w:r>
      <w:proofErr w:type="spellEnd"/>
      <w:r w:rsidRPr="00F42F1C">
        <w:rPr>
          <w:rFonts w:ascii="Times New Roman" w:hAnsi="Times New Roman" w:cs="Times New Roman"/>
          <w:sz w:val="24"/>
          <w:szCs w:val="24"/>
        </w:rPr>
        <w:t>, J., &amp; Pillai, M. A. (2016). Effect of gamma rays and electron beam on various quantitative traits of rice (</w:t>
      </w:r>
      <w:r w:rsidRPr="00F42F1C">
        <w:rPr>
          <w:rFonts w:ascii="Times New Roman" w:hAnsi="Times New Roman" w:cs="Times New Roman"/>
          <w:i/>
          <w:iCs/>
          <w:sz w:val="24"/>
          <w:szCs w:val="24"/>
        </w:rPr>
        <w:t>Oryza sativa</w:t>
      </w:r>
      <w:r w:rsidRPr="00F42F1C">
        <w:rPr>
          <w:rFonts w:ascii="Times New Roman" w:hAnsi="Times New Roman" w:cs="Times New Roman"/>
          <w:sz w:val="24"/>
          <w:szCs w:val="24"/>
        </w:rPr>
        <w:t xml:space="preserve"> L.) in M1 generation. </w:t>
      </w:r>
      <w:r w:rsidRPr="00F42F1C">
        <w:rPr>
          <w:rFonts w:ascii="Times New Roman" w:hAnsi="Times New Roman" w:cs="Times New Roman"/>
          <w:i/>
          <w:iCs/>
          <w:sz w:val="24"/>
          <w:szCs w:val="24"/>
        </w:rPr>
        <w:t>Advances in Life Sciences, 5</w:t>
      </w:r>
      <w:r w:rsidRPr="00F42F1C">
        <w:rPr>
          <w:rFonts w:ascii="Times New Roman" w:hAnsi="Times New Roman" w:cs="Times New Roman"/>
          <w:sz w:val="24"/>
          <w:szCs w:val="24"/>
        </w:rPr>
        <w:t>(5), 1876–1882</w:t>
      </w:r>
      <w:r w:rsidRPr="00B60DD5">
        <w:t>.</w:t>
      </w:r>
    </w:p>
    <w:p w14:paraId="3EA1685E" w14:textId="77777777" w:rsidR="00DA2C10" w:rsidRPr="00F65E62" w:rsidRDefault="00DA2C10" w:rsidP="00DA2C10">
      <w:pPr>
        <w:pStyle w:val="ListParagraph"/>
        <w:numPr>
          <w:ilvl w:val="0"/>
          <w:numId w:val="2"/>
        </w:numPr>
        <w:autoSpaceDE w:val="0"/>
        <w:autoSpaceDN w:val="0"/>
        <w:adjustRightInd w:val="0"/>
        <w:spacing w:line="360" w:lineRule="auto"/>
        <w:jc w:val="both"/>
        <w:rPr>
          <w:rFonts w:ascii="Times New Roman" w:eastAsia="Times New Roman+FPEF" w:hAnsi="Times New Roman" w:cs="Times New Roman"/>
          <w:sz w:val="24"/>
          <w:szCs w:val="24"/>
        </w:rPr>
      </w:pPr>
      <w:proofErr w:type="spellStart"/>
      <w:r w:rsidRPr="003A7479">
        <w:rPr>
          <w:rFonts w:ascii="Times New Roman" w:eastAsia="Times New Roman+FPEF" w:hAnsi="Times New Roman" w:cs="Times New Roman"/>
          <w:sz w:val="24"/>
          <w:szCs w:val="24"/>
        </w:rPr>
        <w:t>Gowthami</w:t>
      </w:r>
      <w:proofErr w:type="spellEnd"/>
      <w:r w:rsidRPr="003A7479">
        <w:rPr>
          <w:rFonts w:ascii="Times New Roman" w:eastAsia="Times New Roman+FPEF" w:hAnsi="Times New Roman" w:cs="Times New Roman"/>
          <w:sz w:val="24"/>
          <w:szCs w:val="24"/>
        </w:rPr>
        <w:t xml:space="preserve">, R., </w:t>
      </w:r>
      <w:proofErr w:type="spellStart"/>
      <w:r w:rsidRPr="003A7479">
        <w:rPr>
          <w:rFonts w:ascii="Times New Roman" w:eastAsia="Times New Roman+FPEF" w:hAnsi="Times New Roman" w:cs="Times New Roman"/>
          <w:sz w:val="24"/>
          <w:szCs w:val="24"/>
        </w:rPr>
        <w:t>Vanniarajan</w:t>
      </w:r>
      <w:proofErr w:type="spellEnd"/>
      <w:r w:rsidRPr="003A7479">
        <w:rPr>
          <w:rFonts w:ascii="Times New Roman" w:eastAsia="Times New Roman+FPEF" w:hAnsi="Times New Roman" w:cs="Times New Roman"/>
          <w:sz w:val="24"/>
          <w:szCs w:val="24"/>
        </w:rPr>
        <w:t xml:space="preserve">, C., </w:t>
      </w:r>
      <w:proofErr w:type="spellStart"/>
      <w:r w:rsidRPr="003A7479">
        <w:rPr>
          <w:rFonts w:ascii="Times New Roman" w:eastAsia="Times New Roman+FPEF" w:hAnsi="Times New Roman" w:cs="Times New Roman"/>
          <w:sz w:val="24"/>
          <w:szCs w:val="24"/>
        </w:rPr>
        <w:t>Souframanien</w:t>
      </w:r>
      <w:proofErr w:type="spellEnd"/>
      <w:r w:rsidRPr="003A7479">
        <w:rPr>
          <w:rFonts w:ascii="Times New Roman" w:eastAsia="Times New Roman+FPEF" w:hAnsi="Times New Roman" w:cs="Times New Roman"/>
          <w:sz w:val="24"/>
          <w:szCs w:val="24"/>
        </w:rPr>
        <w:t xml:space="preserve">, J., &amp; Pillai, M. A. (2017). Comparison of </w:t>
      </w:r>
      <w:proofErr w:type="spellStart"/>
      <w:r w:rsidRPr="003A7479">
        <w:rPr>
          <w:rFonts w:ascii="Times New Roman" w:eastAsia="Times New Roman+FPEF" w:hAnsi="Times New Roman" w:cs="Times New Roman"/>
          <w:sz w:val="24"/>
          <w:szCs w:val="24"/>
        </w:rPr>
        <w:t>radiosensitivity</w:t>
      </w:r>
      <w:proofErr w:type="spellEnd"/>
      <w:r w:rsidRPr="003A7479">
        <w:rPr>
          <w:rFonts w:ascii="Times New Roman" w:eastAsia="Times New Roman+FPEF" w:hAnsi="Times New Roman" w:cs="Times New Roman"/>
          <w:sz w:val="24"/>
          <w:szCs w:val="24"/>
        </w:rPr>
        <w:t xml:space="preserve"> of two rice (</w:t>
      </w:r>
      <w:r w:rsidRPr="003A7479">
        <w:rPr>
          <w:rFonts w:ascii="Times New Roman" w:eastAsia="Times New Roman+FPEF" w:hAnsi="Times New Roman" w:cs="Times New Roman"/>
          <w:i/>
          <w:iCs/>
          <w:sz w:val="24"/>
          <w:szCs w:val="24"/>
        </w:rPr>
        <w:t>Oryza sativa</w:t>
      </w:r>
      <w:r w:rsidRPr="003A7479">
        <w:rPr>
          <w:rFonts w:ascii="Times New Roman" w:eastAsia="Times New Roman+FPEF" w:hAnsi="Times New Roman" w:cs="Times New Roman"/>
          <w:sz w:val="24"/>
          <w:szCs w:val="24"/>
        </w:rPr>
        <w:t xml:space="preserve"> L.) varieties to gamma rays and electron beam in </w:t>
      </w:r>
      <w:r w:rsidRPr="003A7479">
        <w:rPr>
          <w:rFonts w:ascii="Times New Roman" w:eastAsia="Times New Roman+FPEF" w:hAnsi="Times New Roman" w:cs="Times New Roman"/>
          <w:sz w:val="24"/>
          <w:szCs w:val="24"/>
        </w:rPr>
        <w:lastRenderedPageBreak/>
        <w:t xml:space="preserve">M1 generation. </w:t>
      </w:r>
      <w:r w:rsidRPr="003A7479">
        <w:rPr>
          <w:rFonts w:ascii="Times New Roman" w:eastAsia="Times New Roman+FPEF" w:hAnsi="Times New Roman" w:cs="Times New Roman"/>
          <w:i/>
          <w:iCs/>
          <w:sz w:val="24"/>
          <w:szCs w:val="24"/>
        </w:rPr>
        <w:t>Electronic Journal of Plant Breeding, 8</w:t>
      </w:r>
      <w:r w:rsidRPr="003A7479">
        <w:rPr>
          <w:rFonts w:ascii="Times New Roman" w:eastAsia="Times New Roman+FPEF" w:hAnsi="Times New Roman" w:cs="Times New Roman"/>
          <w:sz w:val="24"/>
          <w:szCs w:val="24"/>
        </w:rPr>
        <w:t>(3), 732–741. https://doi.org/10.5958/0975-928X.2017.00111.9</w:t>
      </w:r>
    </w:p>
    <w:p w14:paraId="512DA867" w14:textId="77777777" w:rsidR="00DA2C10" w:rsidRDefault="00DA2C10" w:rsidP="00DA2C10">
      <w:pPr>
        <w:pStyle w:val="NormalWeb"/>
        <w:numPr>
          <w:ilvl w:val="0"/>
          <w:numId w:val="2"/>
        </w:numPr>
        <w:spacing w:line="360" w:lineRule="auto"/>
      </w:pPr>
      <w:r>
        <w:t xml:space="preserve">Gupta, R., Islam, M. M., Begum, S. N., </w:t>
      </w:r>
      <w:proofErr w:type="spellStart"/>
      <w:r>
        <w:t>Akram</w:t>
      </w:r>
      <w:proofErr w:type="spellEnd"/>
      <w:r>
        <w:t>, W., &amp; Islam, M. S. (2021). Determination of lethal dose of rice (</w:t>
      </w:r>
      <w:r>
        <w:rPr>
          <w:rStyle w:val="Emphasis"/>
        </w:rPr>
        <w:t>Oryza sativa</w:t>
      </w:r>
      <w:r>
        <w:t xml:space="preserve"> L.) genotypes by radio sensitivity test. </w:t>
      </w:r>
      <w:r>
        <w:rPr>
          <w:rStyle w:val="Emphasis"/>
        </w:rPr>
        <w:t>Plant Archives, 21</w:t>
      </w:r>
      <w:r>
        <w:t xml:space="preserve">(1), 1912–1916. </w:t>
      </w:r>
      <w:hyperlink r:id="rId12" w:tgtFrame="_new" w:history="1">
        <w:r>
          <w:rPr>
            <w:rStyle w:val="Hyperlink"/>
          </w:rPr>
          <w:t>https://doi.org/10.51470/PLANTARCHIVES.2021.v21.no1.266</w:t>
        </w:r>
      </w:hyperlink>
    </w:p>
    <w:p w14:paraId="5FA2517B" w14:textId="77777777" w:rsidR="00DA2C10" w:rsidRPr="00AC7476" w:rsidRDefault="00DA2C10" w:rsidP="00DA2C10">
      <w:pPr>
        <w:pStyle w:val="NormalWeb"/>
        <w:numPr>
          <w:ilvl w:val="0"/>
          <w:numId w:val="2"/>
        </w:numPr>
        <w:spacing w:before="0" w:beforeAutospacing="0" w:after="0" w:afterAutospacing="0" w:line="360" w:lineRule="auto"/>
        <w:jc w:val="both"/>
      </w:pPr>
      <w:r w:rsidRPr="00F42F1C">
        <w:rPr>
          <w:rFonts w:eastAsiaTheme="minorHAnsi"/>
          <w:color w:val="000000"/>
        </w:rPr>
        <w:t xml:space="preserve">Harding, S. S., Johnson, S. D., Taylor, D. R., Dixon, C. A., &amp; </w:t>
      </w:r>
      <w:proofErr w:type="spellStart"/>
      <w:r w:rsidRPr="00F42F1C">
        <w:rPr>
          <w:rFonts w:eastAsiaTheme="minorHAnsi"/>
          <w:color w:val="000000"/>
        </w:rPr>
        <w:t>Turay</w:t>
      </w:r>
      <w:proofErr w:type="spellEnd"/>
      <w:r w:rsidRPr="00F42F1C">
        <w:rPr>
          <w:rFonts w:eastAsiaTheme="minorHAnsi"/>
          <w:color w:val="000000"/>
        </w:rPr>
        <w:t xml:space="preserve">, M. Y. (2012). Effect of gamma rays on seed germination, seedling height, survival percentage and tiller production in some rice varieties cultivated in Sierra Leone. </w:t>
      </w:r>
      <w:r w:rsidRPr="00F42F1C">
        <w:rPr>
          <w:rFonts w:eastAsiaTheme="minorHAnsi"/>
          <w:i/>
          <w:iCs/>
          <w:color w:val="000000"/>
        </w:rPr>
        <w:t>American Journal of Experimental Agriculture, 2</w:t>
      </w:r>
      <w:r w:rsidRPr="00F42F1C">
        <w:rPr>
          <w:rFonts w:eastAsiaTheme="minorHAnsi"/>
          <w:color w:val="000000"/>
        </w:rPr>
        <w:t xml:space="preserve">(2), 247–255. </w:t>
      </w:r>
      <w:hyperlink r:id="rId13" w:history="1">
        <w:r w:rsidRPr="00F813DB">
          <w:rPr>
            <w:rStyle w:val="Hyperlink"/>
            <w:rFonts w:eastAsiaTheme="minorHAnsi"/>
          </w:rPr>
          <w:t>https://doi.org/10.9734/AJEA/2012/820</w:t>
        </w:r>
      </w:hyperlink>
    </w:p>
    <w:p w14:paraId="711CC242" w14:textId="77777777" w:rsidR="00DA2C10" w:rsidRPr="00D80375" w:rsidRDefault="00DA2C10" w:rsidP="00DA2C10">
      <w:pPr>
        <w:pStyle w:val="NormalWeb"/>
        <w:numPr>
          <w:ilvl w:val="0"/>
          <w:numId w:val="2"/>
        </w:numPr>
        <w:spacing w:before="0" w:beforeAutospacing="0" w:after="0" w:afterAutospacing="0" w:line="360" w:lineRule="auto"/>
        <w:jc w:val="both"/>
      </w:pPr>
      <w:proofErr w:type="spellStart"/>
      <w:r w:rsidRPr="0066597A">
        <w:t>Hasibuzzaman</w:t>
      </w:r>
      <w:proofErr w:type="spellEnd"/>
      <w:r w:rsidRPr="0066597A">
        <w:t xml:space="preserve">, A. S. M., </w:t>
      </w:r>
      <w:proofErr w:type="spellStart"/>
      <w:r w:rsidRPr="0066597A">
        <w:t>Perves</w:t>
      </w:r>
      <w:proofErr w:type="spellEnd"/>
      <w:r w:rsidRPr="0066597A">
        <w:t xml:space="preserve">, M., </w:t>
      </w:r>
      <w:proofErr w:type="spellStart"/>
      <w:r w:rsidRPr="0066597A">
        <w:t>Chowdhory</w:t>
      </w:r>
      <w:proofErr w:type="spellEnd"/>
      <w:r w:rsidRPr="0066597A">
        <w:t xml:space="preserve">, M., Hasan, R., &amp; Begum, S. N. (2025). Mutagenesis in aromatic rice: Current progress, challenges and future prospects. </w:t>
      </w:r>
      <w:r w:rsidRPr="0066597A">
        <w:rPr>
          <w:i/>
          <w:iCs/>
        </w:rPr>
        <w:t>Bangladesh Journal of Nuclear Agriculture, 39</w:t>
      </w:r>
      <w:r w:rsidRPr="0066597A">
        <w:t xml:space="preserve">(1), 13–30. </w:t>
      </w:r>
      <w:hyperlink r:id="rId14" w:tgtFrame="_new" w:history="1">
        <w:r w:rsidRPr="0066597A">
          <w:rPr>
            <w:rStyle w:val="Hyperlink"/>
          </w:rPr>
          <w:t>https://doi.org/10.3329/bjnag.v39i1.83308</w:t>
        </w:r>
      </w:hyperlink>
    </w:p>
    <w:p w14:paraId="7755515D" w14:textId="77777777" w:rsidR="00DA2C10" w:rsidRDefault="00DA2C10" w:rsidP="00DA2C10">
      <w:pPr>
        <w:pStyle w:val="NormalWeb"/>
        <w:numPr>
          <w:ilvl w:val="0"/>
          <w:numId w:val="2"/>
        </w:numPr>
        <w:spacing w:before="0" w:beforeAutospacing="0" w:after="0" w:afterAutospacing="0" w:line="360" w:lineRule="auto"/>
        <w:jc w:val="both"/>
      </w:pPr>
      <w:r w:rsidRPr="00D80375">
        <w:t xml:space="preserve">Imam, Z., &amp; Chakraborty, N. R. (2018). Effect of gamma rays on non-basmati aromatic rice in M1 generation. </w:t>
      </w:r>
      <w:r w:rsidRPr="00D80375">
        <w:rPr>
          <w:i/>
          <w:iCs/>
        </w:rPr>
        <w:t>International Journal of Current Microbiology and Applied Sciences</w:t>
      </w:r>
      <w:r w:rsidRPr="00D80375">
        <w:t xml:space="preserve">, </w:t>
      </w:r>
      <w:r w:rsidRPr="00D80375">
        <w:rPr>
          <w:i/>
          <w:iCs/>
        </w:rPr>
        <w:t>7</w:t>
      </w:r>
      <w:r w:rsidRPr="00D80375">
        <w:t xml:space="preserve">(08), 4412–4418. </w:t>
      </w:r>
      <w:hyperlink r:id="rId15" w:history="1">
        <w:r w:rsidRPr="00F813DB">
          <w:rPr>
            <w:rStyle w:val="Hyperlink"/>
          </w:rPr>
          <w:t>https://doi.org/10.20546/ijcmas.2018.708.464</w:t>
        </w:r>
      </w:hyperlink>
    </w:p>
    <w:p w14:paraId="1F1F5280" w14:textId="77777777" w:rsidR="00DA2C10" w:rsidRDefault="00DA2C10" w:rsidP="00DA2C10">
      <w:pPr>
        <w:pStyle w:val="NormalWeb"/>
        <w:numPr>
          <w:ilvl w:val="0"/>
          <w:numId w:val="2"/>
        </w:numPr>
        <w:spacing w:before="0" w:beforeAutospacing="0" w:after="0" w:afterAutospacing="0" w:line="360" w:lineRule="auto"/>
        <w:jc w:val="both"/>
      </w:pPr>
      <w:r w:rsidRPr="00351096">
        <w:t xml:space="preserve">Kant, A., Chakraborty, N. R., &amp; Das, B. K. (2020). </w:t>
      </w:r>
      <w:r w:rsidRPr="00351096">
        <w:rPr>
          <w:i/>
          <w:iCs/>
        </w:rPr>
        <w:t>Immediate radiation effects and determination of optimal dose of gamma rays on non-basmati aromatic rice (Oryza sativa L.) of eastern India.</w:t>
      </w:r>
      <w:r w:rsidRPr="00351096">
        <w:t xml:space="preserve"> </w:t>
      </w:r>
      <w:r w:rsidRPr="00351096">
        <w:rPr>
          <w:i/>
          <w:iCs/>
        </w:rPr>
        <w:t>Journal of Experimental Biology and Agricultural Sciences, 8</w:t>
      </w:r>
      <w:r w:rsidRPr="00351096">
        <w:t xml:space="preserve">(5), 586–604. </w:t>
      </w:r>
      <w:hyperlink r:id="rId16" w:history="1">
        <w:r w:rsidRPr="00845133">
          <w:rPr>
            <w:rStyle w:val="Hyperlink"/>
          </w:rPr>
          <w:t>https://doi.org/10.18006/2020.8(5).586.604</w:t>
        </w:r>
      </w:hyperlink>
    </w:p>
    <w:p w14:paraId="0FACB9C4" w14:textId="77777777" w:rsidR="00DA2C10" w:rsidRDefault="00DA2C10" w:rsidP="00DA2C10">
      <w:pPr>
        <w:pStyle w:val="NormalWeb"/>
        <w:numPr>
          <w:ilvl w:val="0"/>
          <w:numId w:val="2"/>
        </w:numPr>
        <w:spacing w:before="0" w:beforeAutospacing="0" w:after="0" w:afterAutospacing="0" w:line="360" w:lineRule="auto"/>
        <w:jc w:val="both"/>
      </w:pPr>
      <w:r w:rsidRPr="002050B6">
        <w:rPr>
          <w:lang w:val="it-IT"/>
        </w:rPr>
        <w:t xml:space="preserve">Lasmana, D., Saragih, S. H. Y., Septyani, I. A. P., &amp; Sepriani, Y. (2025). </w:t>
      </w:r>
      <w:r w:rsidRPr="002050B6">
        <w:t>The effect of gamma ray radiation on the growth of local rice plants (</w:t>
      </w:r>
      <w:r w:rsidRPr="002050B6">
        <w:rPr>
          <w:i/>
          <w:iCs/>
        </w:rPr>
        <w:t>Oryza sativa</w:t>
      </w:r>
      <w:r w:rsidRPr="002050B6">
        <w:t xml:space="preserve"> L.) </w:t>
      </w:r>
      <w:proofErr w:type="spellStart"/>
      <w:r w:rsidRPr="002050B6">
        <w:t>Silumat</w:t>
      </w:r>
      <w:proofErr w:type="spellEnd"/>
      <w:r w:rsidRPr="002050B6">
        <w:t xml:space="preserve"> variety. </w:t>
      </w:r>
      <w:proofErr w:type="spellStart"/>
      <w:r w:rsidRPr="002050B6">
        <w:rPr>
          <w:i/>
          <w:iCs/>
        </w:rPr>
        <w:t>Jurnal</w:t>
      </w:r>
      <w:proofErr w:type="spellEnd"/>
      <w:r w:rsidRPr="002050B6">
        <w:rPr>
          <w:i/>
          <w:iCs/>
        </w:rPr>
        <w:t xml:space="preserve"> </w:t>
      </w:r>
      <w:proofErr w:type="spellStart"/>
      <w:r w:rsidRPr="002050B6">
        <w:rPr>
          <w:i/>
          <w:iCs/>
        </w:rPr>
        <w:t>Agronomi</w:t>
      </w:r>
      <w:proofErr w:type="spellEnd"/>
      <w:r w:rsidRPr="002050B6">
        <w:rPr>
          <w:i/>
          <w:iCs/>
        </w:rPr>
        <w:t xml:space="preserve"> </w:t>
      </w:r>
      <w:proofErr w:type="spellStart"/>
      <w:r w:rsidRPr="002050B6">
        <w:rPr>
          <w:i/>
          <w:iCs/>
        </w:rPr>
        <w:t>Tanaman</w:t>
      </w:r>
      <w:proofErr w:type="spellEnd"/>
      <w:r w:rsidRPr="002050B6">
        <w:rPr>
          <w:i/>
          <w:iCs/>
        </w:rPr>
        <w:t xml:space="preserve"> </w:t>
      </w:r>
      <w:proofErr w:type="spellStart"/>
      <w:r w:rsidRPr="002050B6">
        <w:rPr>
          <w:i/>
          <w:iCs/>
        </w:rPr>
        <w:t>Tropika</w:t>
      </w:r>
      <w:proofErr w:type="spellEnd"/>
      <w:r w:rsidRPr="002050B6">
        <w:rPr>
          <w:i/>
          <w:iCs/>
        </w:rPr>
        <w:t>, 7</w:t>
      </w:r>
      <w:r w:rsidRPr="002050B6">
        <w:t xml:space="preserve">(2), 671–674. </w:t>
      </w:r>
      <w:hyperlink r:id="rId17" w:tgtFrame="_new" w:history="1">
        <w:r w:rsidRPr="002050B6">
          <w:rPr>
            <w:rStyle w:val="Hyperlink"/>
          </w:rPr>
          <w:t>https://doi.org/10.36378/juatika.v7i2.4775</w:t>
        </w:r>
      </w:hyperlink>
    </w:p>
    <w:p w14:paraId="705F4FB2" w14:textId="77777777" w:rsidR="00DA2C10" w:rsidRDefault="00DA2C10" w:rsidP="00DA2C10">
      <w:pPr>
        <w:pStyle w:val="NormalWeb"/>
        <w:numPr>
          <w:ilvl w:val="0"/>
          <w:numId w:val="2"/>
        </w:numPr>
        <w:spacing w:before="0" w:beforeAutospacing="0" w:after="0" w:afterAutospacing="0" w:line="360" w:lineRule="auto"/>
        <w:jc w:val="both"/>
      </w:pPr>
      <w:r w:rsidRPr="00AC7476">
        <w:rPr>
          <w:lang w:val="it-IT"/>
        </w:rPr>
        <w:t>Minisi, F. A., El</w:t>
      </w:r>
      <w:r w:rsidRPr="00AC7476">
        <w:rPr>
          <w:lang w:val="it-IT"/>
        </w:rPr>
        <w:noBreakHyphen/>
        <w:t xml:space="preserve">mahrouk, M. E., Rida, M. E. F., &amp; Nasr, M. N. (2013). </w:t>
      </w:r>
      <w:r w:rsidRPr="00AC7476">
        <w:t xml:space="preserve">Effects of gamma radiation on germination, growth characteristics and morphological variations of </w:t>
      </w:r>
      <w:proofErr w:type="spellStart"/>
      <w:r w:rsidRPr="00AC7476">
        <w:rPr>
          <w:i/>
          <w:iCs/>
        </w:rPr>
        <w:t>Moluccella</w:t>
      </w:r>
      <w:proofErr w:type="spellEnd"/>
      <w:r w:rsidRPr="00AC7476">
        <w:rPr>
          <w:i/>
          <w:iCs/>
        </w:rPr>
        <w:t xml:space="preserve"> </w:t>
      </w:r>
      <w:proofErr w:type="spellStart"/>
      <w:r w:rsidRPr="00AC7476">
        <w:rPr>
          <w:i/>
          <w:iCs/>
        </w:rPr>
        <w:t>laevis</w:t>
      </w:r>
      <w:proofErr w:type="spellEnd"/>
      <w:r w:rsidRPr="00AC7476">
        <w:t xml:space="preserve"> L</w:t>
      </w:r>
      <w:r w:rsidRPr="00AC7476">
        <w:rPr>
          <w:b/>
          <w:bCs/>
        </w:rPr>
        <w:t>.</w:t>
      </w:r>
      <w:r w:rsidRPr="00AC7476">
        <w:t xml:space="preserve"> </w:t>
      </w:r>
      <w:r w:rsidRPr="00AC7476">
        <w:rPr>
          <w:i/>
          <w:iCs/>
        </w:rPr>
        <w:t>American</w:t>
      </w:r>
      <w:r w:rsidRPr="00AC7476">
        <w:rPr>
          <w:i/>
          <w:iCs/>
        </w:rPr>
        <w:noBreakHyphen/>
        <w:t>Eurasian Journal of Agriculture &amp; Environmental Sciences, 13</w:t>
      </w:r>
      <w:r w:rsidRPr="00AC7476">
        <w:t>(5), 696–704</w:t>
      </w:r>
    </w:p>
    <w:p w14:paraId="1381420C" w14:textId="77777777" w:rsidR="00DA2C10" w:rsidRDefault="00DA2C10" w:rsidP="00DA2C10">
      <w:pPr>
        <w:pStyle w:val="NormalWeb"/>
        <w:numPr>
          <w:ilvl w:val="0"/>
          <w:numId w:val="2"/>
        </w:numPr>
        <w:spacing w:before="0" w:beforeAutospacing="0" w:after="0" w:afterAutospacing="0" w:line="360" w:lineRule="auto"/>
        <w:jc w:val="both"/>
      </w:pPr>
      <w:r w:rsidRPr="00800A24">
        <w:t xml:space="preserve">Mishra, T., Singh, A., Madhukar, V. K., Verma, A. K., Mishra, S., &amp; Chauhan, R. S. (2023). Assessment of morpho-agronomic and yield attributes in gamma-irradiated </w:t>
      </w:r>
      <w:r w:rsidRPr="00800A24">
        <w:lastRenderedPageBreak/>
        <w:t xml:space="preserve">mutants of </w:t>
      </w:r>
      <w:proofErr w:type="spellStart"/>
      <w:r w:rsidRPr="00800A24">
        <w:t>Kalanamak</w:t>
      </w:r>
      <w:proofErr w:type="spellEnd"/>
      <w:r w:rsidRPr="00800A24">
        <w:t xml:space="preserve"> rice (</w:t>
      </w:r>
      <w:r w:rsidRPr="00800A24">
        <w:rPr>
          <w:i/>
          <w:iCs/>
        </w:rPr>
        <w:t>Oryza sativa</w:t>
      </w:r>
      <w:r w:rsidRPr="00800A24">
        <w:t xml:space="preserve"> L.). </w:t>
      </w:r>
      <w:r w:rsidRPr="00800A24">
        <w:rPr>
          <w:i/>
          <w:iCs/>
        </w:rPr>
        <w:t>Journal of Applied Biology &amp; Biotechnology.</w:t>
      </w:r>
      <w:r w:rsidRPr="00800A24">
        <w:t xml:space="preserve"> </w:t>
      </w:r>
      <w:hyperlink r:id="rId18" w:history="1">
        <w:r w:rsidRPr="00845133">
          <w:rPr>
            <w:rStyle w:val="Hyperlink"/>
          </w:rPr>
          <w:t>https://doi.org/10.7324/JABB.2023.110093</w:t>
        </w:r>
      </w:hyperlink>
    </w:p>
    <w:p w14:paraId="60CF8CDD" w14:textId="77777777" w:rsidR="00DA2C10" w:rsidRDefault="00DA2C10" w:rsidP="00DA2C10">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AC7476">
        <w:rPr>
          <w:rFonts w:ascii="Times New Roman" w:hAnsi="Times New Roman" w:cs="Times New Roman"/>
          <w:sz w:val="24"/>
          <w:szCs w:val="24"/>
        </w:rPr>
        <w:t xml:space="preserve">Mohamad, O., Herman, S., Nazir, B. M., </w:t>
      </w:r>
      <w:proofErr w:type="spellStart"/>
      <w:r w:rsidRPr="00AC7476">
        <w:rPr>
          <w:rFonts w:ascii="Times New Roman" w:hAnsi="Times New Roman" w:cs="Times New Roman"/>
          <w:sz w:val="24"/>
          <w:szCs w:val="24"/>
        </w:rPr>
        <w:t>Shamsudin</w:t>
      </w:r>
      <w:proofErr w:type="spellEnd"/>
      <w:r w:rsidRPr="00AC7476">
        <w:rPr>
          <w:rFonts w:ascii="Times New Roman" w:hAnsi="Times New Roman" w:cs="Times New Roman"/>
          <w:sz w:val="24"/>
          <w:szCs w:val="24"/>
        </w:rPr>
        <w:t xml:space="preserve">, S., &amp; </w:t>
      </w:r>
      <w:proofErr w:type="spellStart"/>
      <w:r w:rsidRPr="00AC7476">
        <w:rPr>
          <w:rFonts w:ascii="Times New Roman" w:hAnsi="Times New Roman" w:cs="Times New Roman"/>
          <w:sz w:val="24"/>
          <w:szCs w:val="24"/>
        </w:rPr>
        <w:t>Takim</w:t>
      </w:r>
      <w:proofErr w:type="spellEnd"/>
      <w:r w:rsidRPr="00AC7476">
        <w:rPr>
          <w:rFonts w:ascii="Times New Roman" w:hAnsi="Times New Roman" w:cs="Times New Roman"/>
          <w:sz w:val="24"/>
          <w:szCs w:val="24"/>
        </w:rPr>
        <w:t xml:space="preserve">, M. (2005). </w:t>
      </w:r>
      <w:r w:rsidRPr="00AC7476">
        <w:rPr>
          <w:rFonts w:ascii="Times New Roman" w:hAnsi="Times New Roman" w:cs="Times New Roman"/>
          <w:i/>
          <w:iCs/>
          <w:sz w:val="24"/>
          <w:szCs w:val="24"/>
        </w:rPr>
        <w:t>A dosimetry study using gamma irradiation on two accessions, PHR and PHI, in mutation breeding of roselle (Hibiscus sabdariffa L.).</w:t>
      </w:r>
      <w:r w:rsidRPr="00AC7476">
        <w:rPr>
          <w:rFonts w:ascii="Times New Roman" w:hAnsi="Times New Roman" w:cs="Times New Roman"/>
          <w:sz w:val="24"/>
          <w:szCs w:val="24"/>
        </w:rPr>
        <w:t xml:space="preserve"> In </w:t>
      </w:r>
      <w:r w:rsidRPr="00AC7476">
        <w:rPr>
          <w:rFonts w:ascii="Times New Roman" w:hAnsi="Times New Roman" w:cs="Times New Roman"/>
          <w:i/>
          <w:iCs/>
          <w:sz w:val="24"/>
          <w:szCs w:val="24"/>
        </w:rPr>
        <w:t>7th MSAB Symposium on Applied Biology</w:t>
      </w:r>
      <w:r w:rsidRPr="00AC7476">
        <w:rPr>
          <w:rFonts w:ascii="Times New Roman" w:hAnsi="Times New Roman" w:cs="Times New Roman"/>
          <w:sz w:val="24"/>
          <w:szCs w:val="24"/>
        </w:rPr>
        <w:t xml:space="preserve"> (pp. 1–10), 3–4 June, Sri Kembangan.</w:t>
      </w:r>
    </w:p>
    <w:p w14:paraId="155BF791" w14:textId="77777777" w:rsidR="00DA2C10" w:rsidRDefault="00DA2C10" w:rsidP="00DA2C10">
      <w:pPr>
        <w:pStyle w:val="ListParagraph"/>
        <w:numPr>
          <w:ilvl w:val="0"/>
          <w:numId w:val="2"/>
        </w:numPr>
        <w:spacing w:line="360" w:lineRule="auto"/>
        <w:jc w:val="both"/>
        <w:rPr>
          <w:rFonts w:ascii="Times New Roman" w:hAnsi="Times New Roman" w:cs="Times New Roman"/>
          <w:sz w:val="24"/>
          <w:szCs w:val="24"/>
        </w:rPr>
      </w:pPr>
      <w:r w:rsidRPr="00956D22">
        <w:rPr>
          <w:rFonts w:ascii="Times New Roman" w:hAnsi="Times New Roman" w:cs="Times New Roman"/>
          <w:sz w:val="24"/>
          <w:szCs w:val="24"/>
        </w:rPr>
        <w:t xml:space="preserve">Mohamad, O., Nazir, B. M., Abdul, R. M., &amp; Herman, S. (2002a). Roselle: A new crop in Malaysia. </w:t>
      </w:r>
      <w:r w:rsidRPr="00956D22">
        <w:rPr>
          <w:rFonts w:ascii="Times New Roman" w:hAnsi="Times New Roman" w:cs="Times New Roman"/>
          <w:i/>
          <w:iCs/>
          <w:sz w:val="24"/>
          <w:szCs w:val="24"/>
        </w:rPr>
        <w:t>Bulletin of the Genetics Society of Malaysia, 7</w:t>
      </w:r>
      <w:r w:rsidRPr="00956D22">
        <w:rPr>
          <w:rFonts w:ascii="Times New Roman" w:hAnsi="Times New Roman" w:cs="Times New Roman"/>
          <w:sz w:val="24"/>
          <w:szCs w:val="24"/>
        </w:rPr>
        <w:t>(1–2), 12–13.</w:t>
      </w:r>
    </w:p>
    <w:p w14:paraId="04354421" w14:textId="77777777" w:rsidR="00DA2C10" w:rsidRDefault="00DA2C10" w:rsidP="00DA2C10">
      <w:pPr>
        <w:pStyle w:val="NormalWeb"/>
        <w:numPr>
          <w:ilvl w:val="0"/>
          <w:numId w:val="2"/>
        </w:numPr>
        <w:spacing w:before="0" w:beforeAutospacing="0" w:after="0" w:afterAutospacing="0" w:line="360" w:lineRule="auto"/>
        <w:jc w:val="both"/>
      </w:pPr>
      <w:proofErr w:type="spellStart"/>
      <w:r w:rsidRPr="00F44107">
        <w:rPr>
          <w:lang w:val="fr-FR"/>
        </w:rPr>
        <w:t>Ramchander</w:t>
      </w:r>
      <w:proofErr w:type="spellEnd"/>
      <w:r w:rsidRPr="00F44107">
        <w:rPr>
          <w:lang w:val="fr-FR"/>
        </w:rPr>
        <w:t xml:space="preserve">, S., </w:t>
      </w:r>
      <w:proofErr w:type="spellStart"/>
      <w:r w:rsidRPr="00F44107">
        <w:rPr>
          <w:lang w:val="fr-FR"/>
        </w:rPr>
        <w:t>Ushakumari</w:t>
      </w:r>
      <w:proofErr w:type="spellEnd"/>
      <w:r w:rsidRPr="00F44107">
        <w:rPr>
          <w:lang w:val="fr-FR"/>
        </w:rPr>
        <w:t xml:space="preserve">, R., &amp; </w:t>
      </w:r>
      <w:proofErr w:type="spellStart"/>
      <w:r w:rsidRPr="00F44107">
        <w:rPr>
          <w:lang w:val="fr-FR"/>
        </w:rPr>
        <w:t>Arumugam</w:t>
      </w:r>
      <w:proofErr w:type="spellEnd"/>
      <w:r w:rsidRPr="00F44107">
        <w:rPr>
          <w:lang w:val="fr-FR"/>
        </w:rPr>
        <w:t xml:space="preserve"> Pillai, M. (2015). </w:t>
      </w:r>
      <w:r w:rsidRPr="0006612F">
        <w:rPr>
          <w:i/>
          <w:iCs/>
        </w:rPr>
        <w:t>Lethal dose fixation and sensitivity of rice varieties to gamma radiation.</w:t>
      </w:r>
      <w:r w:rsidRPr="0006612F">
        <w:t xml:space="preserve"> </w:t>
      </w:r>
      <w:r w:rsidRPr="0006612F">
        <w:rPr>
          <w:i/>
          <w:iCs/>
        </w:rPr>
        <w:t>Indian Journal of Agricultural Research, 49</w:t>
      </w:r>
      <w:r w:rsidRPr="0006612F">
        <w:t xml:space="preserve">(1), 24–31. </w:t>
      </w:r>
      <w:hyperlink r:id="rId19" w:history="1">
        <w:r w:rsidRPr="00845133">
          <w:rPr>
            <w:rStyle w:val="Hyperlink"/>
          </w:rPr>
          <w:t>https://doi.org/10.5958/0976-058X.2015.00003.7</w:t>
        </w:r>
      </w:hyperlink>
    </w:p>
    <w:p w14:paraId="0A836049" w14:textId="77777777" w:rsidR="00DA2C10" w:rsidRDefault="00DA2C10" w:rsidP="00DA2C10">
      <w:pPr>
        <w:pStyle w:val="NormalWeb"/>
        <w:numPr>
          <w:ilvl w:val="0"/>
          <w:numId w:val="2"/>
        </w:numPr>
        <w:spacing w:before="0" w:beforeAutospacing="0" w:after="0" w:afterAutospacing="0" w:line="360" w:lineRule="auto"/>
        <w:jc w:val="both"/>
      </w:pPr>
      <w:r w:rsidRPr="00956D22">
        <w:rPr>
          <w:rFonts w:eastAsiaTheme="minorHAnsi"/>
          <w:bCs/>
        </w:rPr>
        <w:t xml:space="preserve">Rani, M. S., </w:t>
      </w:r>
      <w:proofErr w:type="spellStart"/>
      <w:r w:rsidRPr="00956D22">
        <w:rPr>
          <w:rFonts w:eastAsiaTheme="minorHAnsi"/>
          <w:bCs/>
        </w:rPr>
        <w:t>Kamruzzaman</w:t>
      </w:r>
      <w:proofErr w:type="spellEnd"/>
      <w:r w:rsidRPr="00956D22">
        <w:rPr>
          <w:rFonts w:eastAsiaTheme="minorHAnsi"/>
          <w:bCs/>
        </w:rPr>
        <w:t xml:space="preserve">, M., Ghanim, A. M. A., Azad, M. A. K., &amp; </w:t>
      </w:r>
      <w:proofErr w:type="spellStart"/>
      <w:r w:rsidRPr="00956D22">
        <w:rPr>
          <w:rFonts w:eastAsiaTheme="minorHAnsi"/>
          <w:bCs/>
        </w:rPr>
        <w:t>Akter</w:t>
      </w:r>
      <w:proofErr w:type="spellEnd"/>
      <w:r w:rsidRPr="00956D22">
        <w:rPr>
          <w:rFonts w:eastAsiaTheme="minorHAnsi"/>
          <w:bCs/>
        </w:rPr>
        <w:t>, M. B. (2016). Comparative effect of gamma and X</w:t>
      </w:r>
      <w:r w:rsidRPr="00956D22">
        <w:rPr>
          <w:rFonts w:eastAsiaTheme="minorHAnsi"/>
          <w:bCs/>
        </w:rPr>
        <w:noBreakHyphen/>
        <w:t xml:space="preserve">ray irradiations on some characters of rice seedlings of </w:t>
      </w:r>
      <w:proofErr w:type="spellStart"/>
      <w:r w:rsidRPr="00956D22">
        <w:rPr>
          <w:rFonts w:eastAsiaTheme="minorHAnsi"/>
          <w:bCs/>
        </w:rPr>
        <w:t>Ashfal</w:t>
      </w:r>
      <w:proofErr w:type="spellEnd"/>
      <w:r w:rsidRPr="00956D22">
        <w:rPr>
          <w:rFonts w:eastAsiaTheme="minorHAnsi"/>
          <w:bCs/>
        </w:rPr>
        <w:t xml:space="preserve"> and Binadhan</w:t>
      </w:r>
      <w:r w:rsidRPr="00956D22">
        <w:rPr>
          <w:rFonts w:eastAsiaTheme="minorHAnsi"/>
          <w:bCs/>
        </w:rPr>
        <w:noBreakHyphen/>
        <w:t xml:space="preserve">14. </w:t>
      </w:r>
      <w:r w:rsidRPr="00956D22">
        <w:rPr>
          <w:rFonts w:eastAsiaTheme="minorHAnsi"/>
          <w:bCs/>
          <w:i/>
          <w:iCs/>
        </w:rPr>
        <w:t>Journal of Bioscience and Agriculture Research, 8</w:t>
      </w:r>
      <w:r w:rsidRPr="00956D22">
        <w:rPr>
          <w:rFonts w:eastAsiaTheme="minorHAnsi"/>
          <w:bCs/>
        </w:rPr>
        <w:t xml:space="preserve">(2), 739–745. </w:t>
      </w:r>
      <w:hyperlink r:id="rId20" w:history="1">
        <w:r w:rsidRPr="00F813DB">
          <w:rPr>
            <w:rStyle w:val="Hyperlink"/>
            <w:rFonts w:eastAsiaTheme="minorHAnsi"/>
            <w:bCs/>
          </w:rPr>
          <w:t>https://doi.org/10.18801/jbar.080216.88</w:t>
        </w:r>
      </w:hyperlink>
    </w:p>
    <w:p w14:paraId="6D119022" w14:textId="77777777" w:rsidR="00DA2C10" w:rsidRDefault="00DA2C10" w:rsidP="00DA2C10">
      <w:pPr>
        <w:pStyle w:val="NormalWeb"/>
        <w:numPr>
          <w:ilvl w:val="0"/>
          <w:numId w:val="2"/>
        </w:numPr>
        <w:spacing w:before="0" w:beforeAutospacing="0" w:after="0" w:afterAutospacing="0" w:line="360" w:lineRule="auto"/>
        <w:jc w:val="both"/>
      </w:pPr>
      <w:r w:rsidRPr="00153EC6">
        <w:t xml:space="preserve">Ray, B. P., Nath, U. K., &amp; Azad, M. A. K. (2022). Mutagenesis for the development of submergence tolerance rice genotypes in </w:t>
      </w:r>
      <w:r w:rsidRPr="00153EC6">
        <w:rPr>
          <w:i/>
          <w:iCs/>
        </w:rPr>
        <w:t>Indica</w:t>
      </w:r>
      <w:r w:rsidRPr="00153EC6">
        <w:t xml:space="preserve"> by gamma irradiation-induced mutation using ⁶⁰Co source isotope with marker assay. </w:t>
      </w:r>
      <w:r w:rsidRPr="00153EC6">
        <w:rPr>
          <w:i/>
          <w:iCs/>
        </w:rPr>
        <w:t>International Journal of Agriculture, Environment and Bioresearch, 7</w:t>
      </w:r>
      <w:r w:rsidRPr="00153EC6">
        <w:t xml:space="preserve">(3), 31. </w:t>
      </w:r>
      <w:hyperlink r:id="rId21" w:tgtFrame="_new" w:history="1">
        <w:r w:rsidRPr="00153EC6">
          <w:rPr>
            <w:rStyle w:val="Hyperlink"/>
          </w:rPr>
          <w:t>https://doi.org/10.35410/IJAEB.2022.5723</w:t>
        </w:r>
      </w:hyperlink>
    </w:p>
    <w:p w14:paraId="55D34A5B" w14:textId="77777777" w:rsidR="00DA2C10" w:rsidRDefault="00DA2C10" w:rsidP="00DA2C10">
      <w:pPr>
        <w:pStyle w:val="NormalWeb"/>
        <w:numPr>
          <w:ilvl w:val="0"/>
          <w:numId w:val="2"/>
        </w:numPr>
        <w:spacing w:before="0" w:beforeAutospacing="0" w:after="0" w:afterAutospacing="0" w:line="360" w:lineRule="auto"/>
        <w:jc w:val="both"/>
      </w:pPr>
      <w:r>
        <w:t>S</w:t>
      </w:r>
      <w:r w:rsidRPr="00956D22">
        <w:t xml:space="preserve">harma, D., Sao, R., </w:t>
      </w:r>
      <w:proofErr w:type="spellStart"/>
      <w:r w:rsidRPr="00956D22">
        <w:t>Sahu</w:t>
      </w:r>
      <w:proofErr w:type="spellEnd"/>
      <w:r w:rsidRPr="00956D22">
        <w:t xml:space="preserve">, P. K., Vishwakarma, G., Nair, J. P., </w:t>
      </w:r>
      <w:proofErr w:type="spellStart"/>
      <w:r w:rsidRPr="00956D22">
        <w:t>Petwal</w:t>
      </w:r>
      <w:proofErr w:type="spellEnd"/>
      <w:r w:rsidRPr="00956D22">
        <w:t>, V. C., &amp; Das, B. K. (2020). Comparative study of radio</w:t>
      </w:r>
      <w:r w:rsidRPr="00956D22">
        <w:noBreakHyphen/>
        <w:t>sensitivity and relative biological effectiveness of gamma rays, X</w:t>
      </w:r>
      <w:r w:rsidRPr="00956D22">
        <w:noBreakHyphen/>
        <w:t xml:space="preserve">rays, electron beam and proton beam in short grain aromatic rice. </w:t>
      </w:r>
      <w:r w:rsidRPr="00956D22">
        <w:rPr>
          <w:i/>
          <w:iCs/>
        </w:rPr>
        <w:t>Indian Journal of Genetics and Plant Breeding, 80</w:t>
      </w:r>
      <w:r w:rsidRPr="00956D22">
        <w:t xml:space="preserve">(4). </w:t>
      </w:r>
      <w:hyperlink r:id="rId22" w:tgtFrame="_new" w:history="1">
        <w:r w:rsidRPr="00956D22">
          <w:rPr>
            <w:rStyle w:val="Hyperlink"/>
          </w:rPr>
          <w:t>https://doi.org/10.31742/ijgpb.80.4.3</w:t>
        </w:r>
      </w:hyperlink>
    </w:p>
    <w:p w14:paraId="25D87561" w14:textId="77777777" w:rsidR="00DA2C10" w:rsidRDefault="00DA2C10" w:rsidP="00DA2C10">
      <w:pPr>
        <w:pStyle w:val="NormalWeb"/>
        <w:numPr>
          <w:ilvl w:val="0"/>
          <w:numId w:val="2"/>
        </w:numPr>
        <w:spacing w:line="360" w:lineRule="auto"/>
        <w:jc w:val="both"/>
      </w:pPr>
      <w:proofErr w:type="spellStart"/>
      <w:r w:rsidRPr="00956D22">
        <w:t>Solim</w:t>
      </w:r>
      <w:proofErr w:type="spellEnd"/>
      <w:r w:rsidRPr="00956D22">
        <w:t xml:space="preserve">, M. H., &amp; </w:t>
      </w:r>
      <w:proofErr w:type="spellStart"/>
      <w:r w:rsidRPr="00956D22">
        <w:t>Rahayu</w:t>
      </w:r>
      <w:proofErr w:type="spellEnd"/>
      <w:r w:rsidRPr="00956D22">
        <w:t xml:space="preserve">, S. (2021). </w:t>
      </w:r>
      <w:proofErr w:type="spellStart"/>
      <w:r w:rsidRPr="00956D22">
        <w:t>Radiosensitivity</w:t>
      </w:r>
      <w:proofErr w:type="spellEnd"/>
      <w:r w:rsidRPr="00956D22">
        <w:t xml:space="preserve"> of rice varieties of Mira</w:t>
      </w:r>
      <w:r w:rsidRPr="00956D22">
        <w:noBreakHyphen/>
        <w:t xml:space="preserve">1 and </w:t>
      </w:r>
      <w:proofErr w:type="spellStart"/>
      <w:r w:rsidRPr="00956D22">
        <w:t>Bestari</w:t>
      </w:r>
      <w:proofErr w:type="spellEnd"/>
      <w:r w:rsidRPr="00956D22">
        <w:t xml:space="preserve"> mutants using gamma </w:t>
      </w:r>
      <w:proofErr w:type="gramStart"/>
      <w:r w:rsidRPr="00956D22">
        <w:t>rays</w:t>
      </w:r>
      <w:proofErr w:type="gramEnd"/>
      <w:r w:rsidRPr="00956D22">
        <w:t xml:space="preserve"> irradiation. </w:t>
      </w:r>
      <w:r w:rsidRPr="00956D22">
        <w:rPr>
          <w:i/>
          <w:iCs/>
        </w:rPr>
        <w:t>IOP Conference Series: Earth and Environmental Science, 911</w:t>
      </w:r>
      <w:r w:rsidRPr="00956D22">
        <w:t xml:space="preserve">(1), 012014. </w:t>
      </w:r>
      <w:hyperlink r:id="rId23" w:history="1">
        <w:r w:rsidRPr="00F813DB">
          <w:rPr>
            <w:rStyle w:val="Hyperlink"/>
          </w:rPr>
          <w:t>https://doi.org/10.1088/1755</w:t>
        </w:r>
        <w:r w:rsidRPr="00F813DB">
          <w:rPr>
            <w:rStyle w:val="Hyperlink"/>
          </w:rPr>
          <w:noBreakHyphen/>
          <w:t>1315/911/1/012014</w:t>
        </w:r>
      </w:hyperlink>
    </w:p>
    <w:p w14:paraId="7C1BC86D" w14:textId="77777777" w:rsidR="00DA2C10" w:rsidRPr="00D80375" w:rsidRDefault="00DA2C10" w:rsidP="00DA2C10">
      <w:pPr>
        <w:pStyle w:val="NormalWeb"/>
        <w:numPr>
          <w:ilvl w:val="0"/>
          <w:numId w:val="2"/>
        </w:numPr>
        <w:spacing w:line="360" w:lineRule="auto"/>
        <w:jc w:val="both"/>
      </w:pPr>
      <w:r w:rsidRPr="00D80375">
        <w:t xml:space="preserve">The Daily Star. (2024, May 30). Aromatic rice production nearly doubles in seven years. </w:t>
      </w:r>
      <w:r w:rsidRPr="00D80375">
        <w:rPr>
          <w:rStyle w:val="Emphasis"/>
        </w:rPr>
        <w:t>The Daily Star</w:t>
      </w:r>
      <w:r w:rsidRPr="00D80375">
        <w:t xml:space="preserve">. </w:t>
      </w:r>
      <w:hyperlink r:id="rId24" w:tgtFrame="_new" w:history="1">
        <w:r w:rsidRPr="00D80375">
          <w:rPr>
            <w:rStyle w:val="Hyperlink"/>
          </w:rPr>
          <w:t>https://www.thedailystar.net/business/news/aromatic-rice-production-nearly-doubles-seven-years-3808151</w:t>
        </w:r>
      </w:hyperlink>
    </w:p>
    <w:p w14:paraId="50E4F4A8" w14:textId="77777777" w:rsidR="00DA2C10" w:rsidRDefault="00DA2C10" w:rsidP="00DA2C10">
      <w:pPr>
        <w:pStyle w:val="NormalWeb"/>
        <w:numPr>
          <w:ilvl w:val="0"/>
          <w:numId w:val="2"/>
        </w:numPr>
        <w:spacing w:before="0" w:beforeAutospacing="0" w:after="0" w:afterAutospacing="0" w:line="360" w:lineRule="auto"/>
        <w:jc w:val="both"/>
      </w:pPr>
      <w:proofErr w:type="spellStart"/>
      <w:r w:rsidRPr="00956D22">
        <w:t>Wijesena</w:t>
      </w:r>
      <w:proofErr w:type="spellEnd"/>
      <w:r w:rsidRPr="00956D22">
        <w:t xml:space="preserve">, K. A. K., </w:t>
      </w:r>
      <w:proofErr w:type="spellStart"/>
      <w:r w:rsidRPr="00956D22">
        <w:t>Nawarathne</w:t>
      </w:r>
      <w:proofErr w:type="spellEnd"/>
      <w:r w:rsidRPr="00956D22">
        <w:t xml:space="preserve">, N. M. A., &amp; </w:t>
      </w:r>
      <w:proofErr w:type="spellStart"/>
      <w:r w:rsidRPr="00956D22">
        <w:t>Basnayake</w:t>
      </w:r>
      <w:proofErr w:type="spellEnd"/>
      <w:r w:rsidRPr="00956D22">
        <w:t xml:space="preserve">, B. M. M. P. (2019). Effect of gamma irradiation on seed germination and plant growth parameters of three rice varieties </w:t>
      </w:r>
      <w:r w:rsidRPr="00956D22">
        <w:lastRenderedPageBreak/>
        <w:t xml:space="preserve">cultivated in Sri Lanka. </w:t>
      </w:r>
      <w:r w:rsidRPr="00956D22">
        <w:rPr>
          <w:i/>
          <w:iCs/>
        </w:rPr>
        <w:t>Journal of Agriculture and Value Addition, 2</w:t>
      </w:r>
      <w:r w:rsidRPr="00956D22">
        <w:t xml:space="preserve">(1), 79–84. </w:t>
      </w:r>
      <w:hyperlink r:id="rId25" w:history="1">
        <w:r w:rsidRPr="00845133">
          <w:rPr>
            <w:rStyle w:val="Hyperlink"/>
          </w:rPr>
          <w:t>https://doi.org/10.4038/java.v2i1.112</w:t>
        </w:r>
      </w:hyperlink>
    </w:p>
    <w:sectPr w:rsidR="00DA2C10" w:rsidSect="000A508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DF8A98" w16cex:dateUtc="2026-03-25T16:37:00Z"/>
  <w16cex:commentExtensible w16cex:durableId="2DE43DB8" w16cex:dateUtc="2026-03-25T16:37:00Z"/>
  <w16cex:commentExtensible w16cex:durableId="6F0668FF" w16cex:dateUtc="2026-03-25T16:38:00Z"/>
  <w16cex:commentExtensible w16cex:durableId="7C945C77" w16cex:dateUtc="2026-03-25T16:38:00Z"/>
  <w16cex:commentExtensible w16cex:durableId="177CC821" w16cex:dateUtc="2026-03-25T17:00:00Z"/>
  <w16cex:commentExtensible w16cex:durableId="4B4D6E98" w16cex:dateUtc="2026-03-25T17:02:00Z"/>
  <w16cex:commentExtensible w16cex:durableId="5A8E0529" w16cex:dateUtc="2026-03-25T17:02:00Z"/>
  <w16cex:commentExtensible w16cex:durableId="2DF34F12" w16cex:dateUtc="2026-03-25T16:39:00Z"/>
  <w16cex:commentExtensible w16cex:durableId="07236652" w16cex:dateUtc="2026-03-25T17:03:00Z"/>
  <w16cex:commentExtensible w16cex:durableId="6FA5CABD" w16cex:dateUtc="2026-03-25T16:41:00Z"/>
  <w16cex:commentExtensible w16cex:durableId="35ED2A1F" w16cex:dateUtc="2026-03-25T16:43:00Z"/>
  <w16cex:commentExtensible w16cex:durableId="1AD5908A" w16cex:dateUtc="2026-03-25T16:44:00Z"/>
  <w16cex:commentExtensible w16cex:durableId="5EF841F4" w16cex:dateUtc="2026-03-25T17:05:00Z"/>
  <w16cex:commentExtensible w16cex:durableId="7015ECFF" w16cex:dateUtc="2026-03-25T17:06:00Z"/>
  <w16cex:commentExtensible w16cex:durableId="29772BA2" w16cex:dateUtc="2026-03-25T17:07:00Z"/>
  <w16cex:commentExtensible w16cex:durableId="1ED8DC46" w16cex:dateUtc="2026-03-25T17:44:00Z"/>
  <w16cex:commentExtensible w16cex:durableId="07F9232D" w16cex:dateUtc="2026-03-25T17:36:00Z"/>
  <w16cex:commentExtensible w16cex:durableId="571789D4" w16cex:dateUtc="2026-03-25T16:46:00Z"/>
  <w16cex:commentExtensible w16cex:durableId="5957EA36" w16cex:dateUtc="2026-03-25T16:49:00Z"/>
  <w16cex:commentExtensible w16cex:durableId="34CD36E2" w16cex:dateUtc="2026-03-25T16:51:00Z"/>
  <w16cex:commentExtensible w16cex:durableId="5150DD11" w16cex:dateUtc="2026-03-25T18:30:00Z"/>
  <w16cex:commentExtensible w16cex:durableId="01606CAD" w16cex:dateUtc="2026-03-25T17:10:00Z"/>
  <w16cex:commentExtensible w16cex:durableId="43B85C7D" w16cex:dateUtc="2026-03-25T17:10:00Z"/>
  <w16cex:commentExtensible w16cex:durableId="730C19ED" w16cex:dateUtc="2026-03-25T17: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10EC3" w14:textId="77777777" w:rsidR="006D5085" w:rsidRDefault="006D5085" w:rsidP="00910DF2">
      <w:pPr>
        <w:spacing w:after="0" w:line="240" w:lineRule="auto"/>
      </w:pPr>
      <w:r>
        <w:separator/>
      </w:r>
    </w:p>
  </w:endnote>
  <w:endnote w:type="continuationSeparator" w:id="0">
    <w:p w14:paraId="7C31A4CE" w14:textId="77777777" w:rsidR="006D5085" w:rsidRDefault="006D5085" w:rsidP="0091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5F6E" w14:textId="77777777" w:rsidR="006A2803" w:rsidRDefault="006A2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BA96" w14:textId="77777777" w:rsidR="006A2803" w:rsidRDefault="006A2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D179" w14:textId="77777777" w:rsidR="006A2803" w:rsidRDefault="006A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5D310" w14:textId="77777777" w:rsidR="006D5085" w:rsidRDefault="006D5085" w:rsidP="00910DF2">
      <w:pPr>
        <w:spacing w:after="0" w:line="240" w:lineRule="auto"/>
      </w:pPr>
      <w:r>
        <w:separator/>
      </w:r>
    </w:p>
  </w:footnote>
  <w:footnote w:type="continuationSeparator" w:id="0">
    <w:p w14:paraId="0D2A1471" w14:textId="77777777" w:rsidR="006D5085" w:rsidRDefault="006D5085" w:rsidP="00910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3746" w14:textId="0D197E1C" w:rsidR="006A2803" w:rsidRDefault="006D5085">
    <w:pPr>
      <w:pStyle w:val="Header"/>
    </w:pPr>
    <w:r>
      <w:rPr>
        <w:noProof/>
      </w:rPr>
      <w:pict w14:anchorId="24593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188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B27A" w14:textId="36D7DCCA" w:rsidR="006A2803" w:rsidRDefault="006D5085">
    <w:pPr>
      <w:pStyle w:val="Header"/>
    </w:pPr>
    <w:r>
      <w:rPr>
        <w:noProof/>
      </w:rPr>
      <w:pict w14:anchorId="7AAF6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188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6948" w14:textId="27E52188" w:rsidR="006A2803" w:rsidRDefault="006D5085">
    <w:pPr>
      <w:pStyle w:val="Header"/>
    </w:pPr>
    <w:r>
      <w:rPr>
        <w:noProof/>
      </w:rPr>
      <w:pict w14:anchorId="1D502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188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10DA2"/>
    <w:multiLevelType w:val="hybridMultilevel"/>
    <w:tmpl w:val="3C82A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627B7"/>
    <w:multiLevelType w:val="multilevel"/>
    <w:tmpl w:val="436E4D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96CA9"/>
    <w:multiLevelType w:val="hybridMultilevel"/>
    <w:tmpl w:val="4694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17CFF"/>
    <w:multiLevelType w:val="multilevel"/>
    <w:tmpl w:val="4990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84543"/>
    <w:multiLevelType w:val="hybridMultilevel"/>
    <w:tmpl w:val="AB429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xMjI0NjYytDA1sLBQ0lEKTi0uzszPAykwrAUAzqOJjiwAAAA="/>
  </w:docVars>
  <w:rsids>
    <w:rsidRoot w:val="00BF5BC9"/>
    <w:rsid w:val="00000506"/>
    <w:rsid w:val="000123BA"/>
    <w:rsid w:val="000253CC"/>
    <w:rsid w:val="0005268E"/>
    <w:rsid w:val="000544C3"/>
    <w:rsid w:val="00057210"/>
    <w:rsid w:val="000608D0"/>
    <w:rsid w:val="0006598A"/>
    <w:rsid w:val="0006612F"/>
    <w:rsid w:val="00072CC0"/>
    <w:rsid w:val="000A508F"/>
    <w:rsid w:val="000B0202"/>
    <w:rsid w:val="000B7829"/>
    <w:rsid w:val="000B7C6A"/>
    <w:rsid w:val="000B7E83"/>
    <w:rsid w:val="000C2B58"/>
    <w:rsid w:val="000C5A41"/>
    <w:rsid w:val="000D65B4"/>
    <w:rsid w:val="000E3C0B"/>
    <w:rsid w:val="000E7444"/>
    <w:rsid w:val="00101018"/>
    <w:rsid w:val="00104587"/>
    <w:rsid w:val="0010782B"/>
    <w:rsid w:val="0011044F"/>
    <w:rsid w:val="00112DE5"/>
    <w:rsid w:val="00114616"/>
    <w:rsid w:val="00117EDC"/>
    <w:rsid w:val="00127156"/>
    <w:rsid w:val="001407F2"/>
    <w:rsid w:val="00147806"/>
    <w:rsid w:val="00153EC6"/>
    <w:rsid w:val="00176577"/>
    <w:rsid w:val="001828A0"/>
    <w:rsid w:val="00183A1B"/>
    <w:rsid w:val="00186272"/>
    <w:rsid w:val="001878C7"/>
    <w:rsid w:val="00191A07"/>
    <w:rsid w:val="001955C4"/>
    <w:rsid w:val="001A0391"/>
    <w:rsid w:val="001A0CE2"/>
    <w:rsid w:val="001B4AAE"/>
    <w:rsid w:val="001D2C14"/>
    <w:rsid w:val="001D3E2E"/>
    <w:rsid w:val="001E1800"/>
    <w:rsid w:val="001E2AFB"/>
    <w:rsid w:val="002050B6"/>
    <w:rsid w:val="00206969"/>
    <w:rsid w:val="00221712"/>
    <w:rsid w:val="00240675"/>
    <w:rsid w:val="00245CD1"/>
    <w:rsid w:val="002467A4"/>
    <w:rsid w:val="002540EB"/>
    <w:rsid w:val="00272E7A"/>
    <w:rsid w:val="00290462"/>
    <w:rsid w:val="002918B1"/>
    <w:rsid w:val="002A1071"/>
    <w:rsid w:val="002A4880"/>
    <w:rsid w:val="002C1771"/>
    <w:rsid w:val="003078EA"/>
    <w:rsid w:val="00310B93"/>
    <w:rsid w:val="00317460"/>
    <w:rsid w:val="00321F18"/>
    <w:rsid w:val="00327A55"/>
    <w:rsid w:val="00344F08"/>
    <w:rsid w:val="00347E68"/>
    <w:rsid w:val="00351096"/>
    <w:rsid w:val="00356441"/>
    <w:rsid w:val="00361A41"/>
    <w:rsid w:val="00376D70"/>
    <w:rsid w:val="0038083A"/>
    <w:rsid w:val="003935BF"/>
    <w:rsid w:val="003978D7"/>
    <w:rsid w:val="003A237A"/>
    <w:rsid w:val="003A4C89"/>
    <w:rsid w:val="003A7479"/>
    <w:rsid w:val="003D2C5E"/>
    <w:rsid w:val="003F0D8E"/>
    <w:rsid w:val="003F18FD"/>
    <w:rsid w:val="00404802"/>
    <w:rsid w:val="00405056"/>
    <w:rsid w:val="00421A7F"/>
    <w:rsid w:val="004322E2"/>
    <w:rsid w:val="00434FAA"/>
    <w:rsid w:val="00445D71"/>
    <w:rsid w:val="00451DEA"/>
    <w:rsid w:val="004540B4"/>
    <w:rsid w:val="00460002"/>
    <w:rsid w:val="004600E2"/>
    <w:rsid w:val="00461032"/>
    <w:rsid w:val="00482F53"/>
    <w:rsid w:val="0049182D"/>
    <w:rsid w:val="004A090C"/>
    <w:rsid w:val="004A3D02"/>
    <w:rsid w:val="004A5420"/>
    <w:rsid w:val="004A7313"/>
    <w:rsid w:val="004B0FAA"/>
    <w:rsid w:val="004B1353"/>
    <w:rsid w:val="004C1329"/>
    <w:rsid w:val="004C34A5"/>
    <w:rsid w:val="004D2E39"/>
    <w:rsid w:val="004D7BF8"/>
    <w:rsid w:val="004E253A"/>
    <w:rsid w:val="004F4510"/>
    <w:rsid w:val="004F65BD"/>
    <w:rsid w:val="00506F76"/>
    <w:rsid w:val="005103F2"/>
    <w:rsid w:val="00513459"/>
    <w:rsid w:val="00514315"/>
    <w:rsid w:val="00524DE2"/>
    <w:rsid w:val="00535CEB"/>
    <w:rsid w:val="005557AF"/>
    <w:rsid w:val="00561454"/>
    <w:rsid w:val="0056406E"/>
    <w:rsid w:val="005B2A5E"/>
    <w:rsid w:val="005B4769"/>
    <w:rsid w:val="005C0FD3"/>
    <w:rsid w:val="005C3B0E"/>
    <w:rsid w:val="005C502A"/>
    <w:rsid w:val="005D2BEC"/>
    <w:rsid w:val="005D44A0"/>
    <w:rsid w:val="005D597F"/>
    <w:rsid w:val="005E2EEF"/>
    <w:rsid w:val="005E3028"/>
    <w:rsid w:val="005F6D18"/>
    <w:rsid w:val="0060024C"/>
    <w:rsid w:val="00610378"/>
    <w:rsid w:val="00634C66"/>
    <w:rsid w:val="00650E8C"/>
    <w:rsid w:val="00654E85"/>
    <w:rsid w:val="006608D0"/>
    <w:rsid w:val="00662C1E"/>
    <w:rsid w:val="0066597A"/>
    <w:rsid w:val="00666130"/>
    <w:rsid w:val="0067521B"/>
    <w:rsid w:val="00676683"/>
    <w:rsid w:val="00681B0F"/>
    <w:rsid w:val="00690862"/>
    <w:rsid w:val="00695416"/>
    <w:rsid w:val="006A2803"/>
    <w:rsid w:val="006C5A47"/>
    <w:rsid w:val="006D4983"/>
    <w:rsid w:val="006D4DF9"/>
    <w:rsid w:val="006D5085"/>
    <w:rsid w:val="006E2340"/>
    <w:rsid w:val="006F0B73"/>
    <w:rsid w:val="006F1B12"/>
    <w:rsid w:val="006F6634"/>
    <w:rsid w:val="006F68DD"/>
    <w:rsid w:val="00700DF0"/>
    <w:rsid w:val="007035CF"/>
    <w:rsid w:val="0070569F"/>
    <w:rsid w:val="00714277"/>
    <w:rsid w:val="00721C56"/>
    <w:rsid w:val="007328C5"/>
    <w:rsid w:val="00750655"/>
    <w:rsid w:val="00766687"/>
    <w:rsid w:val="007678C1"/>
    <w:rsid w:val="007801A5"/>
    <w:rsid w:val="007802E3"/>
    <w:rsid w:val="007823D1"/>
    <w:rsid w:val="0079120F"/>
    <w:rsid w:val="00797C5C"/>
    <w:rsid w:val="007A4648"/>
    <w:rsid w:val="007B4749"/>
    <w:rsid w:val="007B7D0D"/>
    <w:rsid w:val="007C0874"/>
    <w:rsid w:val="007C5338"/>
    <w:rsid w:val="007C5E88"/>
    <w:rsid w:val="007D75FD"/>
    <w:rsid w:val="007E0F63"/>
    <w:rsid w:val="007E4C01"/>
    <w:rsid w:val="007E7DEE"/>
    <w:rsid w:val="007F744A"/>
    <w:rsid w:val="007F7B64"/>
    <w:rsid w:val="00800A24"/>
    <w:rsid w:val="0080516C"/>
    <w:rsid w:val="00811FB3"/>
    <w:rsid w:val="00817F13"/>
    <w:rsid w:val="00822170"/>
    <w:rsid w:val="008242B8"/>
    <w:rsid w:val="00833B35"/>
    <w:rsid w:val="00841413"/>
    <w:rsid w:val="0084381F"/>
    <w:rsid w:val="00843D5B"/>
    <w:rsid w:val="00857286"/>
    <w:rsid w:val="00860FB7"/>
    <w:rsid w:val="008655C8"/>
    <w:rsid w:val="00866046"/>
    <w:rsid w:val="00871F18"/>
    <w:rsid w:val="00891BFB"/>
    <w:rsid w:val="008A2EE8"/>
    <w:rsid w:val="008C481E"/>
    <w:rsid w:val="008C5C03"/>
    <w:rsid w:val="008C6D6C"/>
    <w:rsid w:val="008D0AFD"/>
    <w:rsid w:val="008D52EC"/>
    <w:rsid w:val="008F000E"/>
    <w:rsid w:val="00903D39"/>
    <w:rsid w:val="00907787"/>
    <w:rsid w:val="00910DF2"/>
    <w:rsid w:val="00914B63"/>
    <w:rsid w:val="00914FF7"/>
    <w:rsid w:val="00920020"/>
    <w:rsid w:val="0092202D"/>
    <w:rsid w:val="00934673"/>
    <w:rsid w:val="0095173C"/>
    <w:rsid w:val="009551F6"/>
    <w:rsid w:val="00956D22"/>
    <w:rsid w:val="00960F1C"/>
    <w:rsid w:val="00962B52"/>
    <w:rsid w:val="009908DF"/>
    <w:rsid w:val="0099365C"/>
    <w:rsid w:val="009A5047"/>
    <w:rsid w:val="009A74B1"/>
    <w:rsid w:val="009B4A6E"/>
    <w:rsid w:val="009B65EA"/>
    <w:rsid w:val="009C2F8D"/>
    <w:rsid w:val="009C4484"/>
    <w:rsid w:val="009C5DAA"/>
    <w:rsid w:val="009D6AAB"/>
    <w:rsid w:val="009F1A7F"/>
    <w:rsid w:val="00A035ED"/>
    <w:rsid w:val="00A130C5"/>
    <w:rsid w:val="00A148A3"/>
    <w:rsid w:val="00A210D1"/>
    <w:rsid w:val="00A27E3B"/>
    <w:rsid w:val="00A320EB"/>
    <w:rsid w:val="00A45E30"/>
    <w:rsid w:val="00A507BE"/>
    <w:rsid w:val="00A66850"/>
    <w:rsid w:val="00A71522"/>
    <w:rsid w:val="00A9291E"/>
    <w:rsid w:val="00A95D34"/>
    <w:rsid w:val="00A97772"/>
    <w:rsid w:val="00AA1358"/>
    <w:rsid w:val="00AA652D"/>
    <w:rsid w:val="00AB3022"/>
    <w:rsid w:val="00AB4532"/>
    <w:rsid w:val="00AB5EB7"/>
    <w:rsid w:val="00AC30AD"/>
    <w:rsid w:val="00AC3AF3"/>
    <w:rsid w:val="00AC5E73"/>
    <w:rsid w:val="00AC7476"/>
    <w:rsid w:val="00AD0E45"/>
    <w:rsid w:val="00AD191C"/>
    <w:rsid w:val="00AE550F"/>
    <w:rsid w:val="00AF1702"/>
    <w:rsid w:val="00B13F55"/>
    <w:rsid w:val="00B20738"/>
    <w:rsid w:val="00B254D6"/>
    <w:rsid w:val="00B259F5"/>
    <w:rsid w:val="00B3061A"/>
    <w:rsid w:val="00B31F1F"/>
    <w:rsid w:val="00B52A8F"/>
    <w:rsid w:val="00B60DD5"/>
    <w:rsid w:val="00B81C71"/>
    <w:rsid w:val="00B82E3A"/>
    <w:rsid w:val="00B87102"/>
    <w:rsid w:val="00B92EFC"/>
    <w:rsid w:val="00B94124"/>
    <w:rsid w:val="00BA2E0D"/>
    <w:rsid w:val="00BA32E2"/>
    <w:rsid w:val="00BB19C8"/>
    <w:rsid w:val="00BD108F"/>
    <w:rsid w:val="00BF325D"/>
    <w:rsid w:val="00BF5BC9"/>
    <w:rsid w:val="00BF5D72"/>
    <w:rsid w:val="00C02BBC"/>
    <w:rsid w:val="00C21577"/>
    <w:rsid w:val="00C24123"/>
    <w:rsid w:val="00C315C7"/>
    <w:rsid w:val="00C51F69"/>
    <w:rsid w:val="00C70B02"/>
    <w:rsid w:val="00C70B5C"/>
    <w:rsid w:val="00C81188"/>
    <w:rsid w:val="00C87869"/>
    <w:rsid w:val="00C92CBA"/>
    <w:rsid w:val="00CB594B"/>
    <w:rsid w:val="00CC1364"/>
    <w:rsid w:val="00CD4366"/>
    <w:rsid w:val="00CD622F"/>
    <w:rsid w:val="00CF0A5B"/>
    <w:rsid w:val="00CF7E51"/>
    <w:rsid w:val="00D169DB"/>
    <w:rsid w:val="00D30BBB"/>
    <w:rsid w:val="00D3381B"/>
    <w:rsid w:val="00D41ACB"/>
    <w:rsid w:val="00D42564"/>
    <w:rsid w:val="00D42746"/>
    <w:rsid w:val="00D53CC7"/>
    <w:rsid w:val="00D634D8"/>
    <w:rsid w:val="00D76E42"/>
    <w:rsid w:val="00D76F57"/>
    <w:rsid w:val="00D80375"/>
    <w:rsid w:val="00D86112"/>
    <w:rsid w:val="00D862AF"/>
    <w:rsid w:val="00D94698"/>
    <w:rsid w:val="00D94B8B"/>
    <w:rsid w:val="00DA023D"/>
    <w:rsid w:val="00DA20A3"/>
    <w:rsid w:val="00DA2C10"/>
    <w:rsid w:val="00DD07B5"/>
    <w:rsid w:val="00DD622E"/>
    <w:rsid w:val="00DE37B0"/>
    <w:rsid w:val="00DF6CE7"/>
    <w:rsid w:val="00E02056"/>
    <w:rsid w:val="00E11AD0"/>
    <w:rsid w:val="00E22798"/>
    <w:rsid w:val="00E46C75"/>
    <w:rsid w:val="00E50D46"/>
    <w:rsid w:val="00E50D87"/>
    <w:rsid w:val="00E56689"/>
    <w:rsid w:val="00E635E5"/>
    <w:rsid w:val="00E651B0"/>
    <w:rsid w:val="00E706B5"/>
    <w:rsid w:val="00E733E3"/>
    <w:rsid w:val="00E747D6"/>
    <w:rsid w:val="00E831AD"/>
    <w:rsid w:val="00E85B5F"/>
    <w:rsid w:val="00E865FB"/>
    <w:rsid w:val="00E93514"/>
    <w:rsid w:val="00EA572A"/>
    <w:rsid w:val="00EC43B4"/>
    <w:rsid w:val="00EE3F88"/>
    <w:rsid w:val="00EE4A45"/>
    <w:rsid w:val="00EF48B0"/>
    <w:rsid w:val="00F1311B"/>
    <w:rsid w:val="00F13BE9"/>
    <w:rsid w:val="00F24980"/>
    <w:rsid w:val="00F42F1C"/>
    <w:rsid w:val="00F44107"/>
    <w:rsid w:val="00F459D2"/>
    <w:rsid w:val="00F50DD9"/>
    <w:rsid w:val="00F574CE"/>
    <w:rsid w:val="00F60909"/>
    <w:rsid w:val="00F65115"/>
    <w:rsid w:val="00F65E62"/>
    <w:rsid w:val="00F81FB8"/>
    <w:rsid w:val="00F830F3"/>
    <w:rsid w:val="00FA4444"/>
    <w:rsid w:val="00FA5721"/>
    <w:rsid w:val="00FA6802"/>
    <w:rsid w:val="00FB159F"/>
    <w:rsid w:val="00FB22EC"/>
    <w:rsid w:val="00FB4720"/>
    <w:rsid w:val="00FB6F89"/>
    <w:rsid w:val="00FC21BC"/>
    <w:rsid w:val="00FC2E8E"/>
    <w:rsid w:val="00FC7396"/>
    <w:rsid w:val="00FD1790"/>
    <w:rsid w:val="00FD2ED4"/>
    <w:rsid w:val="00FD681B"/>
    <w:rsid w:val="00FD6EA6"/>
    <w:rsid w:val="00FE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A8C93"/>
  <w15:docId w15:val="{72164905-593B-422F-AD3A-FD476EFF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B1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71F18"/>
    <w:rPr>
      <w:color w:val="0000FF"/>
      <w:u w:val="single"/>
    </w:rPr>
  </w:style>
  <w:style w:type="paragraph" w:styleId="ListParagraph">
    <w:name w:val="List Paragraph"/>
    <w:basedOn w:val="Normal"/>
    <w:uiPriority w:val="34"/>
    <w:qFormat/>
    <w:rsid w:val="00310B93"/>
    <w:pPr>
      <w:ind w:left="720"/>
      <w:contextualSpacing/>
    </w:pPr>
  </w:style>
  <w:style w:type="character" w:styleId="PlaceholderText">
    <w:name w:val="Placeholder Text"/>
    <w:basedOn w:val="DefaultParagraphFont"/>
    <w:uiPriority w:val="99"/>
    <w:semiHidden/>
    <w:rsid w:val="0099365C"/>
    <w:rPr>
      <w:color w:val="808080"/>
    </w:rPr>
  </w:style>
  <w:style w:type="paragraph" w:styleId="BalloonText">
    <w:name w:val="Balloon Text"/>
    <w:basedOn w:val="Normal"/>
    <w:link w:val="BalloonTextChar"/>
    <w:uiPriority w:val="99"/>
    <w:semiHidden/>
    <w:unhideWhenUsed/>
    <w:rsid w:val="0099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5C"/>
    <w:rPr>
      <w:rFonts w:ascii="Tahoma" w:hAnsi="Tahoma" w:cs="Tahoma"/>
      <w:sz w:val="16"/>
      <w:szCs w:val="16"/>
    </w:rPr>
  </w:style>
  <w:style w:type="table" w:styleId="TableGrid">
    <w:name w:val="Table Grid"/>
    <w:basedOn w:val="TableNormal"/>
    <w:uiPriority w:val="59"/>
    <w:rsid w:val="00FC73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F7E51"/>
    <w:pPr>
      <w:spacing w:after="0" w:line="240" w:lineRule="auto"/>
    </w:pPr>
  </w:style>
  <w:style w:type="character" w:customStyle="1" w:styleId="UnresolvedMention1">
    <w:name w:val="Unresolved Mention1"/>
    <w:basedOn w:val="DefaultParagraphFont"/>
    <w:uiPriority w:val="99"/>
    <w:semiHidden/>
    <w:unhideWhenUsed/>
    <w:rsid w:val="00AF1702"/>
    <w:rPr>
      <w:color w:val="605E5C"/>
      <w:shd w:val="clear" w:color="auto" w:fill="E1DFDD"/>
    </w:rPr>
  </w:style>
  <w:style w:type="paragraph" w:styleId="NormalWeb">
    <w:name w:val="Normal (Web)"/>
    <w:basedOn w:val="Normal"/>
    <w:uiPriority w:val="99"/>
    <w:unhideWhenUsed/>
    <w:rsid w:val="00432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4322E2"/>
  </w:style>
  <w:style w:type="character" w:styleId="Emphasis">
    <w:name w:val="Emphasis"/>
    <w:basedOn w:val="DefaultParagraphFont"/>
    <w:uiPriority w:val="20"/>
    <w:qFormat/>
    <w:rsid w:val="006D4983"/>
    <w:rPr>
      <w:i/>
      <w:iCs/>
    </w:rPr>
  </w:style>
  <w:style w:type="paragraph" w:styleId="Header">
    <w:name w:val="header"/>
    <w:basedOn w:val="Normal"/>
    <w:link w:val="HeaderChar"/>
    <w:uiPriority w:val="99"/>
    <w:unhideWhenUsed/>
    <w:rsid w:val="0091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DF2"/>
  </w:style>
  <w:style w:type="paragraph" w:styleId="Footer">
    <w:name w:val="footer"/>
    <w:basedOn w:val="Normal"/>
    <w:link w:val="FooterChar"/>
    <w:uiPriority w:val="99"/>
    <w:unhideWhenUsed/>
    <w:rsid w:val="0091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DF2"/>
  </w:style>
  <w:style w:type="table" w:customStyle="1" w:styleId="PlainTable21">
    <w:name w:val="Plain Table 21"/>
    <w:basedOn w:val="TableNormal"/>
    <w:uiPriority w:val="42"/>
    <w:rsid w:val="00191A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BD10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61032"/>
    <w:rPr>
      <w:color w:val="605E5C"/>
      <w:shd w:val="clear" w:color="auto" w:fill="E1DFDD"/>
    </w:rPr>
  </w:style>
  <w:style w:type="character" w:styleId="CommentReference">
    <w:name w:val="annotation reference"/>
    <w:basedOn w:val="DefaultParagraphFont"/>
    <w:uiPriority w:val="99"/>
    <w:semiHidden/>
    <w:unhideWhenUsed/>
    <w:rsid w:val="005C0FD3"/>
    <w:rPr>
      <w:sz w:val="16"/>
      <w:szCs w:val="16"/>
    </w:rPr>
  </w:style>
  <w:style w:type="paragraph" w:styleId="CommentText">
    <w:name w:val="annotation text"/>
    <w:basedOn w:val="Normal"/>
    <w:link w:val="CommentTextChar"/>
    <w:uiPriority w:val="99"/>
    <w:semiHidden/>
    <w:unhideWhenUsed/>
    <w:rsid w:val="005C0FD3"/>
    <w:pPr>
      <w:spacing w:line="240" w:lineRule="auto"/>
    </w:pPr>
    <w:rPr>
      <w:sz w:val="20"/>
      <w:szCs w:val="20"/>
    </w:rPr>
  </w:style>
  <w:style w:type="character" w:customStyle="1" w:styleId="CommentTextChar">
    <w:name w:val="Comment Text Char"/>
    <w:basedOn w:val="DefaultParagraphFont"/>
    <w:link w:val="CommentText"/>
    <w:uiPriority w:val="99"/>
    <w:semiHidden/>
    <w:rsid w:val="005C0FD3"/>
    <w:rPr>
      <w:sz w:val="20"/>
      <w:szCs w:val="20"/>
    </w:rPr>
  </w:style>
  <w:style w:type="paragraph" w:styleId="CommentSubject">
    <w:name w:val="annotation subject"/>
    <w:basedOn w:val="CommentText"/>
    <w:next w:val="CommentText"/>
    <w:link w:val="CommentSubjectChar"/>
    <w:uiPriority w:val="99"/>
    <w:semiHidden/>
    <w:unhideWhenUsed/>
    <w:rsid w:val="005C0FD3"/>
    <w:rPr>
      <w:b/>
      <w:bCs/>
    </w:rPr>
  </w:style>
  <w:style w:type="character" w:customStyle="1" w:styleId="CommentSubjectChar">
    <w:name w:val="Comment Subject Char"/>
    <w:basedOn w:val="CommentTextChar"/>
    <w:link w:val="CommentSubject"/>
    <w:uiPriority w:val="99"/>
    <w:semiHidden/>
    <w:rsid w:val="005C0FD3"/>
    <w:rPr>
      <w:b/>
      <w:bCs/>
      <w:sz w:val="20"/>
      <w:szCs w:val="20"/>
    </w:rPr>
  </w:style>
  <w:style w:type="paragraph" w:styleId="Revision">
    <w:name w:val="Revision"/>
    <w:hidden/>
    <w:uiPriority w:val="99"/>
    <w:semiHidden/>
    <w:rsid w:val="00380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4808">
      <w:bodyDiv w:val="1"/>
      <w:marLeft w:val="0"/>
      <w:marRight w:val="0"/>
      <w:marTop w:val="0"/>
      <w:marBottom w:val="0"/>
      <w:divBdr>
        <w:top w:val="none" w:sz="0" w:space="0" w:color="auto"/>
        <w:left w:val="none" w:sz="0" w:space="0" w:color="auto"/>
        <w:bottom w:val="none" w:sz="0" w:space="0" w:color="auto"/>
        <w:right w:val="none" w:sz="0" w:space="0" w:color="auto"/>
      </w:divBdr>
    </w:div>
    <w:div w:id="83304755">
      <w:bodyDiv w:val="1"/>
      <w:marLeft w:val="0"/>
      <w:marRight w:val="0"/>
      <w:marTop w:val="0"/>
      <w:marBottom w:val="0"/>
      <w:divBdr>
        <w:top w:val="none" w:sz="0" w:space="0" w:color="auto"/>
        <w:left w:val="none" w:sz="0" w:space="0" w:color="auto"/>
        <w:bottom w:val="none" w:sz="0" w:space="0" w:color="auto"/>
        <w:right w:val="none" w:sz="0" w:space="0" w:color="auto"/>
      </w:divBdr>
    </w:div>
    <w:div w:id="89355198">
      <w:bodyDiv w:val="1"/>
      <w:marLeft w:val="0"/>
      <w:marRight w:val="0"/>
      <w:marTop w:val="0"/>
      <w:marBottom w:val="0"/>
      <w:divBdr>
        <w:top w:val="none" w:sz="0" w:space="0" w:color="auto"/>
        <w:left w:val="none" w:sz="0" w:space="0" w:color="auto"/>
        <w:bottom w:val="none" w:sz="0" w:space="0" w:color="auto"/>
        <w:right w:val="none" w:sz="0" w:space="0" w:color="auto"/>
      </w:divBdr>
    </w:div>
    <w:div w:id="116263007">
      <w:bodyDiv w:val="1"/>
      <w:marLeft w:val="0"/>
      <w:marRight w:val="0"/>
      <w:marTop w:val="0"/>
      <w:marBottom w:val="0"/>
      <w:divBdr>
        <w:top w:val="none" w:sz="0" w:space="0" w:color="auto"/>
        <w:left w:val="none" w:sz="0" w:space="0" w:color="auto"/>
        <w:bottom w:val="none" w:sz="0" w:space="0" w:color="auto"/>
        <w:right w:val="none" w:sz="0" w:space="0" w:color="auto"/>
      </w:divBdr>
      <w:divsChild>
        <w:div w:id="1794900468">
          <w:marLeft w:val="0"/>
          <w:marRight w:val="0"/>
          <w:marTop w:val="0"/>
          <w:marBottom w:val="0"/>
          <w:divBdr>
            <w:top w:val="none" w:sz="0" w:space="0" w:color="auto"/>
            <w:left w:val="none" w:sz="0" w:space="0" w:color="auto"/>
            <w:bottom w:val="none" w:sz="0" w:space="0" w:color="auto"/>
            <w:right w:val="none" w:sz="0" w:space="0" w:color="auto"/>
          </w:divBdr>
        </w:div>
      </w:divsChild>
    </w:div>
    <w:div w:id="130489320">
      <w:bodyDiv w:val="1"/>
      <w:marLeft w:val="0"/>
      <w:marRight w:val="0"/>
      <w:marTop w:val="0"/>
      <w:marBottom w:val="0"/>
      <w:divBdr>
        <w:top w:val="none" w:sz="0" w:space="0" w:color="auto"/>
        <w:left w:val="none" w:sz="0" w:space="0" w:color="auto"/>
        <w:bottom w:val="none" w:sz="0" w:space="0" w:color="auto"/>
        <w:right w:val="none" w:sz="0" w:space="0" w:color="auto"/>
      </w:divBdr>
    </w:div>
    <w:div w:id="130907757">
      <w:bodyDiv w:val="1"/>
      <w:marLeft w:val="0"/>
      <w:marRight w:val="0"/>
      <w:marTop w:val="0"/>
      <w:marBottom w:val="0"/>
      <w:divBdr>
        <w:top w:val="none" w:sz="0" w:space="0" w:color="auto"/>
        <w:left w:val="none" w:sz="0" w:space="0" w:color="auto"/>
        <w:bottom w:val="none" w:sz="0" w:space="0" w:color="auto"/>
        <w:right w:val="none" w:sz="0" w:space="0" w:color="auto"/>
      </w:divBdr>
    </w:div>
    <w:div w:id="149256340">
      <w:bodyDiv w:val="1"/>
      <w:marLeft w:val="0"/>
      <w:marRight w:val="0"/>
      <w:marTop w:val="0"/>
      <w:marBottom w:val="0"/>
      <w:divBdr>
        <w:top w:val="none" w:sz="0" w:space="0" w:color="auto"/>
        <w:left w:val="none" w:sz="0" w:space="0" w:color="auto"/>
        <w:bottom w:val="none" w:sz="0" w:space="0" w:color="auto"/>
        <w:right w:val="none" w:sz="0" w:space="0" w:color="auto"/>
      </w:divBdr>
    </w:div>
    <w:div w:id="177811758">
      <w:bodyDiv w:val="1"/>
      <w:marLeft w:val="0"/>
      <w:marRight w:val="0"/>
      <w:marTop w:val="0"/>
      <w:marBottom w:val="0"/>
      <w:divBdr>
        <w:top w:val="none" w:sz="0" w:space="0" w:color="auto"/>
        <w:left w:val="none" w:sz="0" w:space="0" w:color="auto"/>
        <w:bottom w:val="none" w:sz="0" w:space="0" w:color="auto"/>
        <w:right w:val="none" w:sz="0" w:space="0" w:color="auto"/>
      </w:divBdr>
    </w:div>
    <w:div w:id="233781540">
      <w:bodyDiv w:val="1"/>
      <w:marLeft w:val="0"/>
      <w:marRight w:val="0"/>
      <w:marTop w:val="0"/>
      <w:marBottom w:val="0"/>
      <w:divBdr>
        <w:top w:val="none" w:sz="0" w:space="0" w:color="auto"/>
        <w:left w:val="none" w:sz="0" w:space="0" w:color="auto"/>
        <w:bottom w:val="none" w:sz="0" w:space="0" w:color="auto"/>
        <w:right w:val="none" w:sz="0" w:space="0" w:color="auto"/>
      </w:divBdr>
    </w:div>
    <w:div w:id="287128897">
      <w:bodyDiv w:val="1"/>
      <w:marLeft w:val="0"/>
      <w:marRight w:val="0"/>
      <w:marTop w:val="0"/>
      <w:marBottom w:val="0"/>
      <w:divBdr>
        <w:top w:val="none" w:sz="0" w:space="0" w:color="auto"/>
        <w:left w:val="none" w:sz="0" w:space="0" w:color="auto"/>
        <w:bottom w:val="none" w:sz="0" w:space="0" w:color="auto"/>
        <w:right w:val="none" w:sz="0" w:space="0" w:color="auto"/>
      </w:divBdr>
    </w:div>
    <w:div w:id="297297904">
      <w:bodyDiv w:val="1"/>
      <w:marLeft w:val="0"/>
      <w:marRight w:val="0"/>
      <w:marTop w:val="0"/>
      <w:marBottom w:val="0"/>
      <w:divBdr>
        <w:top w:val="none" w:sz="0" w:space="0" w:color="auto"/>
        <w:left w:val="none" w:sz="0" w:space="0" w:color="auto"/>
        <w:bottom w:val="none" w:sz="0" w:space="0" w:color="auto"/>
        <w:right w:val="none" w:sz="0" w:space="0" w:color="auto"/>
      </w:divBdr>
    </w:div>
    <w:div w:id="298150634">
      <w:bodyDiv w:val="1"/>
      <w:marLeft w:val="0"/>
      <w:marRight w:val="0"/>
      <w:marTop w:val="0"/>
      <w:marBottom w:val="0"/>
      <w:divBdr>
        <w:top w:val="none" w:sz="0" w:space="0" w:color="auto"/>
        <w:left w:val="none" w:sz="0" w:space="0" w:color="auto"/>
        <w:bottom w:val="none" w:sz="0" w:space="0" w:color="auto"/>
        <w:right w:val="none" w:sz="0" w:space="0" w:color="auto"/>
      </w:divBdr>
    </w:div>
    <w:div w:id="325979984">
      <w:bodyDiv w:val="1"/>
      <w:marLeft w:val="0"/>
      <w:marRight w:val="0"/>
      <w:marTop w:val="0"/>
      <w:marBottom w:val="0"/>
      <w:divBdr>
        <w:top w:val="none" w:sz="0" w:space="0" w:color="auto"/>
        <w:left w:val="none" w:sz="0" w:space="0" w:color="auto"/>
        <w:bottom w:val="none" w:sz="0" w:space="0" w:color="auto"/>
        <w:right w:val="none" w:sz="0" w:space="0" w:color="auto"/>
      </w:divBdr>
    </w:div>
    <w:div w:id="334067700">
      <w:bodyDiv w:val="1"/>
      <w:marLeft w:val="0"/>
      <w:marRight w:val="0"/>
      <w:marTop w:val="0"/>
      <w:marBottom w:val="0"/>
      <w:divBdr>
        <w:top w:val="none" w:sz="0" w:space="0" w:color="auto"/>
        <w:left w:val="none" w:sz="0" w:space="0" w:color="auto"/>
        <w:bottom w:val="none" w:sz="0" w:space="0" w:color="auto"/>
        <w:right w:val="none" w:sz="0" w:space="0" w:color="auto"/>
      </w:divBdr>
    </w:div>
    <w:div w:id="368797729">
      <w:bodyDiv w:val="1"/>
      <w:marLeft w:val="0"/>
      <w:marRight w:val="0"/>
      <w:marTop w:val="0"/>
      <w:marBottom w:val="0"/>
      <w:divBdr>
        <w:top w:val="none" w:sz="0" w:space="0" w:color="auto"/>
        <w:left w:val="none" w:sz="0" w:space="0" w:color="auto"/>
        <w:bottom w:val="none" w:sz="0" w:space="0" w:color="auto"/>
        <w:right w:val="none" w:sz="0" w:space="0" w:color="auto"/>
      </w:divBdr>
    </w:div>
    <w:div w:id="371150542">
      <w:bodyDiv w:val="1"/>
      <w:marLeft w:val="0"/>
      <w:marRight w:val="0"/>
      <w:marTop w:val="0"/>
      <w:marBottom w:val="0"/>
      <w:divBdr>
        <w:top w:val="none" w:sz="0" w:space="0" w:color="auto"/>
        <w:left w:val="none" w:sz="0" w:space="0" w:color="auto"/>
        <w:bottom w:val="none" w:sz="0" w:space="0" w:color="auto"/>
        <w:right w:val="none" w:sz="0" w:space="0" w:color="auto"/>
      </w:divBdr>
      <w:divsChild>
        <w:div w:id="102265261">
          <w:marLeft w:val="0"/>
          <w:marRight w:val="0"/>
          <w:marTop w:val="0"/>
          <w:marBottom w:val="0"/>
          <w:divBdr>
            <w:top w:val="none" w:sz="0" w:space="0" w:color="auto"/>
            <w:left w:val="none" w:sz="0" w:space="0" w:color="auto"/>
            <w:bottom w:val="none" w:sz="0" w:space="0" w:color="auto"/>
            <w:right w:val="none" w:sz="0" w:space="0" w:color="auto"/>
          </w:divBdr>
          <w:divsChild>
            <w:div w:id="319771130">
              <w:marLeft w:val="0"/>
              <w:marRight w:val="0"/>
              <w:marTop w:val="0"/>
              <w:marBottom w:val="0"/>
              <w:divBdr>
                <w:top w:val="none" w:sz="0" w:space="0" w:color="auto"/>
                <w:left w:val="none" w:sz="0" w:space="0" w:color="auto"/>
                <w:bottom w:val="none" w:sz="0" w:space="0" w:color="auto"/>
                <w:right w:val="none" w:sz="0" w:space="0" w:color="auto"/>
              </w:divBdr>
              <w:divsChild>
                <w:div w:id="1154032252">
                  <w:marLeft w:val="0"/>
                  <w:marRight w:val="0"/>
                  <w:marTop w:val="0"/>
                  <w:marBottom w:val="0"/>
                  <w:divBdr>
                    <w:top w:val="none" w:sz="0" w:space="0" w:color="auto"/>
                    <w:left w:val="none" w:sz="0" w:space="0" w:color="auto"/>
                    <w:bottom w:val="none" w:sz="0" w:space="0" w:color="auto"/>
                    <w:right w:val="none" w:sz="0" w:space="0" w:color="auto"/>
                  </w:divBdr>
                  <w:divsChild>
                    <w:div w:id="1940797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6730906">
      <w:bodyDiv w:val="1"/>
      <w:marLeft w:val="0"/>
      <w:marRight w:val="0"/>
      <w:marTop w:val="0"/>
      <w:marBottom w:val="0"/>
      <w:divBdr>
        <w:top w:val="none" w:sz="0" w:space="0" w:color="auto"/>
        <w:left w:val="none" w:sz="0" w:space="0" w:color="auto"/>
        <w:bottom w:val="none" w:sz="0" w:space="0" w:color="auto"/>
        <w:right w:val="none" w:sz="0" w:space="0" w:color="auto"/>
      </w:divBdr>
    </w:div>
    <w:div w:id="439104755">
      <w:bodyDiv w:val="1"/>
      <w:marLeft w:val="0"/>
      <w:marRight w:val="0"/>
      <w:marTop w:val="0"/>
      <w:marBottom w:val="0"/>
      <w:divBdr>
        <w:top w:val="none" w:sz="0" w:space="0" w:color="auto"/>
        <w:left w:val="none" w:sz="0" w:space="0" w:color="auto"/>
        <w:bottom w:val="none" w:sz="0" w:space="0" w:color="auto"/>
        <w:right w:val="none" w:sz="0" w:space="0" w:color="auto"/>
      </w:divBdr>
    </w:div>
    <w:div w:id="467289014">
      <w:bodyDiv w:val="1"/>
      <w:marLeft w:val="0"/>
      <w:marRight w:val="0"/>
      <w:marTop w:val="0"/>
      <w:marBottom w:val="0"/>
      <w:divBdr>
        <w:top w:val="none" w:sz="0" w:space="0" w:color="auto"/>
        <w:left w:val="none" w:sz="0" w:space="0" w:color="auto"/>
        <w:bottom w:val="none" w:sz="0" w:space="0" w:color="auto"/>
        <w:right w:val="none" w:sz="0" w:space="0" w:color="auto"/>
      </w:divBdr>
    </w:div>
    <w:div w:id="510031524">
      <w:bodyDiv w:val="1"/>
      <w:marLeft w:val="0"/>
      <w:marRight w:val="0"/>
      <w:marTop w:val="0"/>
      <w:marBottom w:val="0"/>
      <w:divBdr>
        <w:top w:val="none" w:sz="0" w:space="0" w:color="auto"/>
        <w:left w:val="none" w:sz="0" w:space="0" w:color="auto"/>
        <w:bottom w:val="none" w:sz="0" w:space="0" w:color="auto"/>
        <w:right w:val="none" w:sz="0" w:space="0" w:color="auto"/>
      </w:divBdr>
    </w:div>
    <w:div w:id="512693241">
      <w:bodyDiv w:val="1"/>
      <w:marLeft w:val="0"/>
      <w:marRight w:val="0"/>
      <w:marTop w:val="0"/>
      <w:marBottom w:val="0"/>
      <w:divBdr>
        <w:top w:val="none" w:sz="0" w:space="0" w:color="auto"/>
        <w:left w:val="none" w:sz="0" w:space="0" w:color="auto"/>
        <w:bottom w:val="none" w:sz="0" w:space="0" w:color="auto"/>
        <w:right w:val="none" w:sz="0" w:space="0" w:color="auto"/>
      </w:divBdr>
    </w:div>
    <w:div w:id="560797445">
      <w:bodyDiv w:val="1"/>
      <w:marLeft w:val="0"/>
      <w:marRight w:val="0"/>
      <w:marTop w:val="0"/>
      <w:marBottom w:val="0"/>
      <w:divBdr>
        <w:top w:val="none" w:sz="0" w:space="0" w:color="auto"/>
        <w:left w:val="none" w:sz="0" w:space="0" w:color="auto"/>
        <w:bottom w:val="none" w:sz="0" w:space="0" w:color="auto"/>
        <w:right w:val="none" w:sz="0" w:space="0" w:color="auto"/>
      </w:divBdr>
    </w:div>
    <w:div w:id="566040314">
      <w:bodyDiv w:val="1"/>
      <w:marLeft w:val="0"/>
      <w:marRight w:val="0"/>
      <w:marTop w:val="0"/>
      <w:marBottom w:val="0"/>
      <w:divBdr>
        <w:top w:val="none" w:sz="0" w:space="0" w:color="auto"/>
        <w:left w:val="none" w:sz="0" w:space="0" w:color="auto"/>
        <w:bottom w:val="none" w:sz="0" w:space="0" w:color="auto"/>
        <w:right w:val="none" w:sz="0" w:space="0" w:color="auto"/>
      </w:divBdr>
      <w:divsChild>
        <w:div w:id="1159079359">
          <w:marLeft w:val="0"/>
          <w:marRight w:val="0"/>
          <w:marTop w:val="0"/>
          <w:marBottom w:val="0"/>
          <w:divBdr>
            <w:top w:val="none" w:sz="0" w:space="0" w:color="auto"/>
            <w:left w:val="none" w:sz="0" w:space="0" w:color="auto"/>
            <w:bottom w:val="none" w:sz="0" w:space="0" w:color="auto"/>
            <w:right w:val="none" w:sz="0" w:space="0" w:color="auto"/>
          </w:divBdr>
          <w:divsChild>
            <w:div w:id="1531802784">
              <w:marLeft w:val="0"/>
              <w:marRight w:val="0"/>
              <w:marTop w:val="0"/>
              <w:marBottom w:val="0"/>
              <w:divBdr>
                <w:top w:val="none" w:sz="0" w:space="0" w:color="auto"/>
                <w:left w:val="none" w:sz="0" w:space="0" w:color="auto"/>
                <w:bottom w:val="none" w:sz="0" w:space="0" w:color="auto"/>
                <w:right w:val="none" w:sz="0" w:space="0" w:color="auto"/>
              </w:divBdr>
              <w:divsChild>
                <w:div w:id="2081251530">
                  <w:marLeft w:val="0"/>
                  <w:marRight w:val="0"/>
                  <w:marTop w:val="0"/>
                  <w:marBottom w:val="0"/>
                  <w:divBdr>
                    <w:top w:val="none" w:sz="0" w:space="0" w:color="auto"/>
                    <w:left w:val="none" w:sz="0" w:space="0" w:color="auto"/>
                    <w:bottom w:val="none" w:sz="0" w:space="0" w:color="auto"/>
                    <w:right w:val="none" w:sz="0" w:space="0" w:color="auto"/>
                  </w:divBdr>
                  <w:divsChild>
                    <w:div w:id="1156338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3196261">
      <w:bodyDiv w:val="1"/>
      <w:marLeft w:val="0"/>
      <w:marRight w:val="0"/>
      <w:marTop w:val="0"/>
      <w:marBottom w:val="0"/>
      <w:divBdr>
        <w:top w:val="none" w:sz="0" w:space="0" w:color="auto"/>
        <w:left w:val="none" w:sz="0" w:space="0" w:color="auto"/>
        <w:bottom w:val="none" w:sz="0" w:space="0" w:color="auto"/>
        <w:right w:val="none" w:sz="0" w:space="0" w:color="auto"/>
      </w:divBdr>
    </w:div>
    <w:div w:id="637808086">
      <w:bodyDiv w:val="1"/>
      <w:marLeft w:val="0"/>
      <w:marRight w:val="0"/>
      <w:marTop w:val="0"/>
      <w:marBottom w:val="0"/>
      <w:divBdr>
        <w:top w:val="none" w:sz="0" w:space="0" w:color="auto"/>
        <w:left w:val="none" w:sz="0" w:space="0" w:color="auto"/>
        <w:bottom w:val="none" w:sz="0" w:space="0" w:color="auto"/>
        <w:right w:val="none" w:sz="0" w:space="0" w:color="auto"/>
      </w:divBdr>
    </w:div>
    <w:div w:id="663699641">
      <w:bodyDiv w:val="1"/>
      <w:marLeft w:val="0"/>
      <w:marRight w:val="0"/>
      <w:marTop w:val="0"/>
      <w:marBottom w:val="0"/>
      <w:divBdr>
        <w:top w:val="none" w:sz="0" w:space="0" w:color="auto"/>
        <w:left w:val="none" w:sz="0" w:space="0" w:color="auto"/>
        <w:bottom w:val="none" w:sz="0" w:space="0" w:color="auto"/>
        <w:right w:val="none" w:sz="0" w:space="0" w:color="auto"/>
      </w:divBdr>
      <w:divsChild>
        <w:div w:id="971179379">
          <w:marLeft w:val="-720"/>
          <w:marRight w:val="0"/>
          <w:marTop w:val="0"/>
          <w:marBottom w:val="0"/>
          <w:divBdr>
            <w:top w:val="none" w:sz="0" w:space="0" w:color="auto"/>
            <w:left w:val="none" w:sz="0" w:space="0" w:color="auto"/>
            <w:bottom w:val="none" w:sz="0" w:space="0" w:color="auto"/>
            <w:right w:val="none" w:sz="0" w:space="0" w:color="auto"/>
          </w:divBdr>
        </w:div>
      </w:divsChild>
    </w:div>
    <w:div w:id="767236455">
      <w:bodyDiv w:val="1"/>
      <w:marLeft w:val="0"/>
      <w:marRight w:val="0"/>
      <w:marTop w:val="0"/>
      <w:marBottom w:val="0"/>
      <w:divBdr>
        <w:top w:val="none" w:sz="0" w:space="0" w:color="auto"/>
        <w:left w:val="none" w:sz="0" w:space="0" w:color="auto"/>
        <w:bottom w:val="none" w:sz="0" w:space="0" w:color="auto"/>
        <w:right w:val="none" w:sz="0" w:space="0" w:color="auto"/>
      </w:divBdr>
    </w:div>
    <w:div w:id="792678699">
      <w:bodyDiv w:val="1"/>
      <w:marLeft w:val="0"/>
      <w:marRight w:val="0"/>
      <w:marTop w:val="0"/>
      <w:marBottom w:val="0"/>
      <w:divBdr>
        <w:top w:val="none" w:sz="0" w:space="0" w:color="auto"/>
        <w:left w:val="none" w:sz="0" w:space="0" w:color="auto"/>
        <w:bottom w:val="none" w:sz="0" w:space="0" w:color="auto"/>
        <w:right w:val="none" w:sz="0" w:space="0" w:color="auto"/>
      </w:divBdr>
      <w:divsChild>
        <w:div w:id="788356107">
          <w:marLeft w:val="0"/>
          <w:marRight w:val="0"/>
          <w:marTop w:val="0"/>
          <w:marBottom w:val="0"/>
          <w:divBdr>
            <w:top w:val="none" w:sz="0" w:space="0" w:color="auto"/>
            <w:left w:val="none" w:sz="0" w:space="0" w:color="auto"/>
            <w:bottom w:val="none" w:sz="0" w:space="0" w:color="auto"/>
            <w:right w:val="none" w:sz="0" w:space="0" w:color="auto"/>
          </w:divBdr>
          <w:divsChild>
            <w:div w:id="1532261722">
              <w:marLeft w:val="0"/>
              <w:marRight w:val="0"/>
              <w:marTop w:val="0"/>
              <w:marBottom w:val="0"/>
              <w:divBdr>
                <w:top w:val="none" w:sz="0" w:space="0" w:color="auto"/>
                <w:left w:val="none" w:sz="0" w:space="0" w:color="auto"/>
                <w:bottom w:val="none" w:sz="0" w:space="0" w:color="auto"/>
                <w:right w:val="none" w:sz="0" w:space="0" w:color="auto"/>
              </w:divBdr>
              <w:divsChild>
                <w:div w:id="1583367135">
                  <w:marLeft w:val="0"/>
                  <w:marRight w:val="0"/>
                  <w:marTop w:val="0"/>
                  <w:marBottom w:val="0"/>
                  <w:divBdr>
                    <w:top w:val="none" w:sz="0" w:space="0" w:color="auto"/>
                    <w:left w:val="none" w:sz="0" w:space="0" w:color="auto"/>
                    <w:bottom w:val="none" w:sz="0" w:space="0" w:color="auto"/>
                    <w:right w:val="none" w:sz="0" w:space="0" w:color="auto"/>
                  </w:divBdr>
                  <w:divsChild>
                    <w:div w:id="1401751928">
                      <w:marLeft w:val="0"/>
                      <w:marRight w:val="0"/>
                      <w:marTop w:val="0"/>
                      <w:marBottom w:val="0"/>
                      <w:divBdr>
                        <w:top w:val="none" w:sz="0" w:space="0" w:color="auto"/>
                        <w:left w:val="none" w:sz="0" w:space="0" w:color="auto"/>
                        <w:bottom w:val="none" w:sz="0" w:space="0" w:color="auto"/>
                        <w:right w:val="none" w:sz="0" w:space="0" w:color="auto"/>
                      </w:divBdr>
                      <w:divsChild>
                        <w:div w:id="1987273343">
                          <w:marLeft w:val="0"/>
                          <w:marRight w:val="0"/>
                          <w:marTop w:val="0"/>
                          <w:marBottom w:val="0"/>
                          <w:divBdr>
                            <w:top w:val="none" w:sz="0" w:space="0" w:color="auto"/>
                            <w:left w:val="none" w:sz="0" w:space="0" w:color="auto"/>
                            <w:bottom w:val="none" w:sz="0" w:space="0" w:color="auto"/>
                            <w:right w:val="none" w:sz="0" w:space="0" w:color="auto"/>
                          </w:divBdr>
                          <w:divsChild>
                            <w:div w:id="3575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854536">
      <w:bodyDiv w:val="1"/>
      <w:marLeft w:val="0"/>
      <w:marRight w:val="0"/>
      <w:marTop w:val="0"/>
      <w:marBottom w:val="0"/>
      <w:divBdr>
        <w:top w:val="none" w:sz="0" w:space="0" w:color="auto"/>
        <w:left w:val="none" w:sz="0" w:space="0" w:color="auto"/>
        <w:bottom w:val="none" w:sz="0" w:space="0" w:color="auto"/>
        <w:right w:val="none" w:sz="0" w:space="0" w:color="auto"/>
      </w:divBdr>
    </w:div>
    <w:div w:id="842859710">
      <w:bodyDiv w:val="1"/>
      <w:marLeft w:val="0"/>
      <w:marRight w:val="0"/>
      <w:marTop w:val="0"/>
      <w:marBottom w:val="0"/>
      <w:divBdr>
        <w:top w:val="none" w:sz="0" w:space="0" w:color="auto"/>
        <w:left w:val="none" w:sz="0" w:space="0" w:color="auto"/>
        <w:bottom w:val="none" w:sz="0" w:space="0" w:color="auto"/>
        <w:right w:val="none" w:sz="0" w:space="0" w:color="auto"/>
      </w:divBdr>
    </w:div>
    <w:div w:id="855535814">
      <w:bodyDiv w:val="1"/>
      <w:marLeft w:val="0"/>
      <w:marRight w:val="0"/>
      <w:marTop w:val="0"/>
      <w:marBottom w:val="0"/>
      <w:divBdr>
        <w:top w:val="none" w:sz="0" w:space="0" w:color="auto"/>
        <w:left w:val="none" w:sz="0" w:space="0" w:color="auto"/>
        <w:bottom w:val="none" w:sz="0" w:space="0" w:color="auto"/>
        <w:right w:val="none" w:sz="0" w:space="0" w:color="auto"/>
      </w:divBdr>
    </w:div>
    <w:div w:id="901209394">
      <w:bodyDiv w:val="1"/>
      <w:marLeft w:val="0"/>
      <w:marRight w:val="0"/>
      <w:marTop w:val="0"/>
      <w:marBottom w:val="0"/>
      <w:divBdr>
        <w:top w:val="none" w:sz="0" w:space="0" w:color="auto"/>
        <w:left w:val="none" w:sz="0" w:space="0" w:color="auto"/>
        <w:bottom w:val="none" w:sz="0" w:space="0" w:color="auto"/>
        <w:right w:val="none" w:sz="0" w:space="0" w:color="auto"/>
      </w:divBdr>
    </w:div>
    <w:div w:id="921527180">
      <w:bodyDiv w:val="1"/>
      <w:marLeft w:val="0"/>
      <w:marRight w:val="0"/>
      <w:marTop w:val="0"/>
      <w:marBottom w:val="0"/>
      <w:divBdr>
        <w:top w:val="none" w:sz="0" w:space="0" w:color="auto"/>
        <w:left w:val="none" w:sz="0" w:space="0" w:color="auto"/>
        <w:bottom w:val="none" w:sz="0" w:space="0" w:color="auto"/>
        <w:right w:val="none" w:sz="0" w:space="0" w:color="auto"/>
      </w:divBdr>
    </w:div>
    <w:div w:id="921795997">
      <w:bodyDiv w:val="1"/>
      <w:marLeft w:val="0"/>
      <w:marRight w:val="0"/>
      <w:marTop w:val="0"/>
      <w:marBottom w:val="0"/>
      <w:divBdr>
        <w:top w:val="none" w:sz="0" w:space="0" w:color="auto"/>
        <w:left w:val="none" w:sz="0" w:space="0" w:color="auto"/>
        <w:bottom w:val="none" w:sz="0" w:space="0" w:color="auto"/>
        <w:right w:val="none" w:sz="0" w:space="0" w:color="auto"/>
      </w:divBdr>
    </w:div>
    <w:div w:id="954097955">
      <w:bodyDiv w:val="1"/>
      <w:marLeft w:val="0"/>
      <w:marRight w:val="0"/>
      <w:marTop w:val="0"/>
      <w:marBottom w:val="0"/>
      <w:divBdr>
        <w:top w:val="none" w:sz="0" w:space="0" w:color="auto"/>
        <w:left w:val="none" w:sz="0" w:space="0" w:color="auto"/>
        <w:bottom w:val="none" w:sz="0" w:space="0" w:color="auto"/>
        <w:right w:val="none" w:sz="0" w:space="0" w:color="auto"/>
      </w:divBdr>
    </w:div>
    <w:div w:id="1009873427">
      <w:bodyDiv w:val="1"/>
      <w:marLeft w:val="0"/>
      <w:marRight w:val="0"/>
      <w:marTop w:val="0"/>
      <w:marBottom w:val="0"/>
      <w:divBdr>
        <w:top w:val="none" w:sz="0" w:space="0" w:color="auto"/>
        <w:left w:val="none" w:sz="0" w:space="0" w:color="auto"/>
        <w:bottom w:val="none" w:sz="0" w:space="0" w:color="auto"/>
        <w:right w:val="none" w:sz="0" w:space="0" w:color="auto"/>
      </w:divBdr>
    </w:div>
    <w:div w:id="1090394190">
      <w:bodyDiv w:val="1"/>
      <w:marLeft w:val="0"/>
      <w:marRight w:val="0"/>
      <w:marTop w:val="0"/>
      <w:marBottom w:val="0"/>
      <w:divBdr>
        <w:top w:val="none" w:sz="0" w:space="0" w:color="auto"/>
        <w:left w:val="none" w:sz="0" w:space="0" w:color="auto"/>
        <w:bottom w:val="none" w:sz="0" w:space="0" w:color="auto"/>
        <w:right w:val="none" w:sz="0" w:space="0" w:color="auto"/>
      </w:divBdr>
      <w:divsChild>
        <w:div w:id="377903295">
          <w:marLeft w:val="-720"/>
          <w:marRight w:val="0"/>
          <w:marTop w:val="0"/>
          <w:marBottom w:val="0"/>
          <w:divBdr>
            <w:top w:val="none" w:sz="0" w:space="0" w:color="auto"/>
            <w:left w:val="none" w:sz="0" w:space="0" w:color="auto"/>
            <w:bottom w:val="none" w:sz="0" w:space="0" w:color="auto"/>
            <w:right w:val="none" w:sz="0" w:space="0" w:color="auto"/>
          </w:divBdr>
        </w:div>
      </w:divsChild>
    </w:div>
    <w:div w:id="1091925264">
      <w:bodyDiv w:val="1"/>
      <w:marLeft w:val="0"/>
      <w:marRight w:val="0"/>
      <w:marTop w:val="0"/>
      <w:marBottom w:val="0"/>
      <w:divBdr>
        <w:top w:val="none" w:sz="0" w:space="0" w:color="auto"/>
        <w:left w:val="none" w:sz="0" w:space="0" w:color="auto"/>
        <w:bottom w:val="none" w:sz="0" w:space="0" w:color="auto"/>
        <w:right w:val="none" w:sz="0" w:space="0" w:color="auto"/>
      </w:divBdr>
    </w:div>
    <w:div w:id="1123227901">
      <w:bodyDiv w:val="1"/>
      <w:marLeft w:val="0"/>
      <w:marRight w:val="0"/>
      <w:marTop w:val="0"/>
      <w:marBottom w:val="0"/>
      <w:divBdr>
        <w:top w:val="none" w:sz="0" w:space="0" w:color="auto"/>
        <w:left w:val="none" w:sz="0" w:space="0" w:color="auto"/>
        <w:bottom w:val="none" w:sz="0" w:space="0" w:color="auto"/>
        <w:right w:val="none" w:sz="0" w:space="0" w:color="auto"/>
      </w:divBdr>
    </w:div>
    <w:div w:id="1243682632">
      <w:bodyDiv w:val="1"/>
      <w:marLeft w:val="0"/>
      <w:marRight w:val="0"/>
      <w:marTop w:val="0"/>
      <w:marBottom w:val="0"/>
      <w:divBdr>
        <w:top w:val="none" w:sz="0" w:space="0" w:color="auto"/>
        <w:left w:val="none" w:sz="0" w:space="0" w:color="auto"/>
        <w:bottom w:val="none" w:sz="0" w:space="0" w:color="auto"/>
        <w:right w:val="none" w:sz="0" w:space="0" w:color="auto"/>
      </w:divBdr>
    </w:div>
    <w:div w:id="1249924545">
      <w:bodyDiv w:val="1"/>
      <w:marLeft w:val="0"/>
      <w:marRight w:val="0"/>
      <w:marTop w:val="0"/>
      <w:marBottom w:val="0"/>
      <w:divBdr>
        <w:top w:val="none" w:sz="0" w:space="0" w:color="auto"/>
        <w:left w:val="none" w:sz="0" w:space="0" w:color="auto"/>
        <w:bottom w:val="none" w:sz="0" w:space="0" w:color="auto"/>
        <w:right w:val="none" w:sz="0" w:space="0" w:color="auto"/>
      </w:divBdr>
    </w:div>
    <w:div w:id="1274243685">
      <w:bodyDiv w:val="1"/>
      <w:marLeft w:val="0"/>
      <w:marRight w:val="0"/>
      <w:marTop w:val="0"/>
      <w:marBottom w:val="0"/>
      <w:divBdr>
        <w:top w:val="none" w:sz="0" w:space="0" w:color="auto"/>
        <w:left w:val="none" w:sz="0" w:space="0" w:color="auto"/>
        <w:bottom w:val="none" w:sz="0" w:space="0" w:color="auto"/>
        <w:right w:val="none" w:sz="0" w:space="0" w:color="auto"/>
      </w:divBdr>
    </w:div>
    <w:div w:id="1298877351">
      <w:bodyDiv w:val="1"/>
      <w:marLeft w:val="0"/>
      <w:marRight w:val="0"/>
      <w:marTop w:val="0"/>
      <w:marBottom w:val="0"/>
      <w:divBdr>
        <w:top w:val="none" w:sz="0" w:space="0" w:color="auto"/>
        <w:left w:val="none" w:sz="0" w:space="0" w:color="auto"/>
        <w:bottom w:val="none" w:sz="0" w:space="0" w:color="auto"/>
        <w:right w:val="none" w:sz="0" w:space="0" w:color="auto"/>
      </w:divBdr>
      <w:divsChild>
        <w:div w:id="459539455">
          <w:marLeft w:val="0"/>
          <w:marRight w:val="0"/>
          <w:marTop w:val="0"/>
          <w:marBottom w:val="0"/>
          <w:divBdr>
            <w:top w:val="none" w:sz="0" w:space="0" w:color="auto"/>
            <w:left w:val="none" w:sz="0" w:space="0" w:color="auto"/>
            <w:bottom w:val="none" w:sz="0" w:space="0" w:color="auto"/>
            <w:right w:val="none" w:sz="0" w:space="0" w:color="auto"/>
          </w:divBdr>
          <w:divsChild>
            <w:div w:id="1772505701">
              <w:marLeft w:val="0"/>
              <w:marRight w:val="0"/>
              <w:marTop w:val="0"/>
              <w:marBottom w:val="0"/>
              <w:divBdr>
                <w:top w:val="none" w:sz="0" w:space="0" w:color="auto"/>
                <w:left w:val="none" w:sz="0" w:space="0" w:color="auto"/>
                <w:bottom w:val="none" w:sz="0" w:space="0" w:color="auto"/>
                <w:right w:val="none" w:sz="0" w:space="0" w:color="auto"/>
              </w:divBdr>
              <w:divsChild>
                <w:div w:id="719980701">
                  <w:marLeft w:val="0"/>
                  <w:marRight w:val="0"/>
                  <w:marTop w:val="0"/>
                  <w:marBottom w:val="0"/>
                  <w:divBdr>
                    <w:top w:val="none" w:sz="0" w:space="0" w:color="auto"/>
                    <w:left w:val="none" w:sz="0" w:space="0" w:color="auto"/>
                    <w:bottom w:val="none" w:sz="0" w:space="0" w:color="auto"/>
                    <w:right w:val="none" w:sz="0" w:space="0" w:color="auto"/>
                  </w:divBdr>
                  <w:divsChild>
                    <w:div w:id="14858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565">
      <w:bodyDiv w:val="1"/>
      <w:marLeft w:val="0"/>
      <w:marRight w:val="0"/>
      <w:marTop w:val="0"/>
      <w:marBottom w:val="0"/>
      <w:divBdr>
        <w:top w:val="none" w:sz="0" w:space="0" w:color="auto"/>
        <w:left w:val="none" w:sz="0" w:space="0" w:color="auto"/>
        <w:bottom w:val="none" w:sz="0" w:space="0" w:color="auto"/>
        <w:right w:val="none" w:sz="0" w:space="0" w:color="auto"/>
      </w:divBdr>
      <w:divsChild>
        <w:div w:id="965234756">
          <w:marLeft w:val="-720"/>
          <w:marRight w:val="0"/>
          <w:marTop w:val="0"/>
          <w:marBottom w:val="0"/>
          <w:divBdr>
            <w:top w:val="none" w:sz="0" w:space="0" w:color="auto"/>
            <w:left w:val="none" w:sz="0" w:space="0" w:color="auto"/>
            <w:bottom w:val="none" w:sz="0" w:space="0" w:color="auto"/>
            <w:right w:val="none" w:sz="0" w:space="0" w:color="auto"/>
          </w:divBdr>
        </w:div>
      </w:divsChild>
    </w:div>
    <w:div w:id="1385912725">
      <w:bodyDiv w:val="1"/>
      <w:marLeft w:val="0"/>
      <w:marRight w:val="0"/>
      <w:marTop w:val="0"/>
      <w:marBottom w:val="0"/>
      <w:divBdr>
        <w:top w:val="none" w:sz="0" w:space="0" w:color="auto"/>
        <w:left w:val="none" w:sz="0" w:space="0" w:color="auto"/>
        <w:bottom w:val="none" w:sz="0" w:space="0" w:color="auto"/>
        <w:right w:val="none" w:sz="0" w:space="0" w:color="auto"/>
      </w:divBdr>
    </w:div>
    <w:div w:id="1407605426">
      <w:bodyDiv w:val="1"/>
      <w:marLeft w:val="0"/>
      <w:marRight w:val="0"/>
      <w:marTop w:val="0"/>
      <w:marBottom w:val="0"/>
      <w:divBdr>
        <w:top w:val="none" w:sz="0" w:space="0" w:color="auto"/>
        <w:left w:val="none" w:sz="0" w:space="0" w:color="auto"/>
        <w:bottom w:val="none" w:sz="0" w:space="0" w:color="auto"/>
        <w:right w:val="none" w:sz="0" w:space="0" w:color="auto"/>
      </w:divBdr>
    </w:div>
    <w:div w:id="1414736766">
      <w:bodyDiv w:val="1"/>
      <w:marLeft w:val="0"/>
      <w:marRight w:val="0"/>
      <w:marTop w:val="0"/>
      <w:marBottom w:val="0"/>
      <w:divBdr>
        <w:top w:val="none" w:sz="0" w:space="0" w:color="auto"/>
        <w:left w:val="none" w:sz="0" w:space="0" w:color="auto"/>
        <w:bottom w:val="none" w:sz="0" w:space="0" w:color="auto"/>
        <w:right w:val="none" w:sz="0" w:space="0" w:color="auto"/>
      </w:divBdr>
    </w:div>
    <w:div w:id="1415736708">
      <w:bodyDiv w:val="1"/>
      <w:marLeft w:val="0"/>
      <w:marRight w:val="0"/>
      <w:marTop w:val="0"/>
      <w:marBottom w:val="0"/>
      <w:divBdr>
        <w:top w:val="none" w:sz="0" w:space="0" w:color="auto"/>
        <w:left w:val="none" w:sz="0" w:space="0" w:color="auto"/>
        <w:bottom w:val="none" w:sz="0" w:space="0" w:color="auto"/>
        <w:right w:val="none" w:sz="0" w:space="0" w:color="auto"/>
      </w:divBdr>
    </w:div>
    <w:div w:id="1445925597">
      <w:bodyDiv w:val="1"/>
      <w:marLeft w:val="0"/>
      <w:marRight w:val="0"/>
      <w:marTop w:val="0"/>
      <w:marBottom w:val="0"/>
      <w:divBdr>
        <w:top w:val="none" w:sz="0" w:space="0" w:color="auto"/>
        <w:left w:val="none" w:sz="0" w:space="0" w:color="auto"/>
        <w:bottom w:val="none" w:sz="0" w:space="0" w:color="auto"/>
        <w:right w:val="none" w:sz="0" w:space="0" w:color="auto"/>
      </w:divBdr>
    </w:div>
    <w:div w:id="1509443478">
      <w:bodyDiv w:val="1"/>
      <w:marLeft w:val="0"/>
      <w:marRight w:val="0"/>
      <w:marTop w:val="0"/>
      <w:marBottom w:val="0"/>
      <w:divBdr>
        <w:top w:val="none" w:sz="0" w:space="0" w:color="auto"/>
        <w:left w:val="none" w:sz="0" w:space="0" w:color="auto"/>
        <w:bottom w:val="none" w:sz="0" w:space="0" w:color="auto"/>
        <w:right w:val="none" w:sz="0" w:space="0" w:color="auto"/>
      </w:divBdr>
      <w:divsChild>
        <w:div w:id="1721630792">
          <w:marLeft w:val="0"/>
          <w:marRight w:val="0"/>
          <w:marTop w:val="0"/>
          <w:marBottom w:val="0"/>
          <w:divBdr>
            <w:top w:val="none" w:sz="0" w:space="0" w:color="auto"/>
            <w:left w:val="none" w:sz="0" w:space="0" w:color="auto"/>
            <w:bottom w:val="none" w:sz="0" w:space="0" w:color="auto"/>
            <w:right w:val="none" w:sz="0" w:space="0" w:color="auto"/>
          </w:divBdr>
          <w:divsChild>
            <w:div w:id="1327897528">
              <w:marLeft w:val="0"/>
              <w:marRight w:val="0"/>
              <w:marTop w:val="0"/>
              <w:marBottom w:val="0"/>
              <w:divBdr>
                <w:top w:val="none" w:sz="0" w:space="0" w:color="auto"/>
                <w:left w:val="none" w:sz="0" w:space="0" w:color="auto"/>
                <w:bottom w:val="none" w:sz="0" w:space="0" w:color="auto"/>
                <w:right w:val="none" w:sz="0" w:space="0" w:color="auto"/>
              </w:divBdr>
              <w:divsChild>
                <w:div w:id="232551571">
                  <w:marLeft w:val="0"/>
                  <w:marRight w:val="0"/>
                  <w:marTop w:val="0"/>
                  <w:marBottom w:val="0"/>
                  <w:divBdr>
                    <w:top w:val="none" w:sz="0" w:space="0" w:color="auto"/>
                    <w:left w:val="none" w:sz="0" w:space="0" w:color="auto"/>
                    <w:bottom w:val="none" w:sz="0" w:space="0" w:color="auto"/>
                    <w:right w:val="none" w:sz="0" w:space="0" w:color="auto"/>
                  </w:divBdr>
                  <w:divsChild>
                    <w:div w:id="8776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51590">
      <w:bodyDiv w:val="1"/>
      <w:marLeft w:val="0"/>
      <w:marRight w:val="0"/>
      <w:marTop w:val="0"/>
      <w:marBottom w:val="0"/>
      <w:divBdr>
        <w:top w:val="none" w:sz="0" w:space="0" w:color="auto"/>
        <w:left w:val="none" w:sz="0" w:space="0" w:color="auto"/>
        <w:bottom w:val="none" w:sz="0" w:space="0" w:color="auto"/>
        <w:right w:val="none" w:sz="0" w:space="0" w:color="auto"/>
      </w:divBdr>
    </w:div>
    <w:div w:id="1630167186">
      <w:bodyDiv w:val="1"/>
      <w:marLeft w:val="0"/>
      <w:marRight w:val="0"/>
      <w:marTop w:val="0"/>
      <w:marBottom w:val="0"/>
      <w:divBdr>
        <w:top w:val="none" w:sz="0" w:space="0" w:color="auto"/>
        <w:left w:val="none" w:sz="0" w:space="0" w:color="auto"/>
        <w:bottom w:val="none" w:sz="0" w:space="0" w:color="auto"/>
        <w:right w:val="none" w:sz="0" w:space="0" w:color="auto"/>
      </w:divBdr>
      <w:divsChild>
        <w:div w:id="1120412203">
          <w:marLeft w:val="-720"/>
          <w:marRight w:val="0"/>
          <w:marTop w:val="0"/>
          <w:marBottom w:val="0"/>
          <w:divBdr>
            <w:top w:val="none" w:sz="0" w:space="0" w:color="auto"/>
            <w:left w:val="none" w:sz="0" w:space="0" w:color="auto"/>
            <w:bottom w:val="none" w:sz="0" w:space="0" w:color="auto"/>
            <w:right w:val="none" w:sz="0" w:space="0" w:color="auto"/>
          </w:divBdr>
        </w:div>
      </w:divsChild>
    </w:div>
    <w:div w:id="1656257876">
      <w:bodyDiv w:val="1"/>
      <w:marLeft w:val="0"/>
      <w:marRight w:val="0"/>
      <w:marTop w:val="0"/>
      <w:marBottom w:val="0"/>
      <w:divBdr>
        <w:top w:val="none" w:sz="0" w:space="0" w:color="auto"/>
        <w:left w:val="none" w:sz="0" w:space="0" w:color="auto"/>
        <w:bottom w:val="none" w:sz="0" w:space="0" w:color="auto"/>
        <w:right w:val="none" w:sz="0" w:space="0" w:color="auto"/>
      </w:divBdr>
    </w:div>
    <w:div w:id="1691681185">
      <w:bodyDiv w:val="1"/>
      <w:marLeft w:val="0"/>
      <w:marRight w:val="0"/>
      <w:marTop w:val="0"/>
      <w:marBottom w:val="0"/>
      <w:divBdr>
        <w:top w:val="none" w:sz="0" w:space="0" w:color="auto"/>
        <w:left w:val="none" w:sz="0" w:space="0" w:color="auto"/>
        <w:bottom w:val="none" w:sz="0" w:space="0" w:color="auto"/>
        <w:right w:val="none" w:sz="0" w:space="0" w:color="auto"/>
      </w:divBdr>
    </w:div>
    <w:div w:id="1699816783">
      <w:bodyDiv w:val="1"/>
      <w:marLeft w:val="0"/>
      <w:marRight w:val="0"/>
      <w:marTop w:val="0"/>
      <w:marBottom w:val="0"/>
      <w:divBdr>
        <w:top w:val="none" w:sz="0" w:space="0" w:color="auto"/>
        <w:left w:val="none" w:sz="0" w:space="0" w:color="auto"/>
        <w:bottom w:val="none" w:sz="0" w:space="0" w:color="auto"/>
        <w:right w:val="none" w:sz="0" w:space="0" w:color="auto"/>
      </w:divBdr>
      <w:divsChild>
        <w:div w:id="111218241">
          <w:marLeft w:val="-720"/>
          <w:marRight w:val="0"/>
          <w:marTop w:val="0"/>
          <w:marBottom w:val="0"/>
          <w:divBdr>
            <w:top w:val="none" w:sz="0" w:space="0" w:color="auto"/>
            <w:left w:val="none" w:sz="0" w:space="0" w:color="auto"/>
            <w:bottom w:val="none" w:sz="0" w:space="0" w:color="auto"/>
            <w:right w:val="none" w:sz="0" w:space="0" w:color="auto"/>
          </w:divBdr>
        </w:div>
      </w:divsChild>
    </w:div>
    <w:div w:id="1710059424">
      <w:bodyDiv w:val="1"/>
      <w:marLeft w:val="0"/>
      <w:marRight w:val="0"/>
      <w:marTop w:val="0"/>
      <w:marBottom w:val="0"/>
      <w:divBdr>
        <w:top w:val="none" w:sz="0" w:space="0" w:color="auto"/>
        <w:left w:val="none" w:sz="0" w:space="0" w:color="auto"/>
        <w:bottom w:val="none" w:sz="0" w:space="0" w:color="auto"/>
        <w:right w:val="none" w:sz="0" w:space="0" w:color="auto"/>
      </w:divBdr>
    </w:div>
    <w:div w:id="1721905725">
      <w:bodyDiv w:val="1"/>
      <w:marLeft w:val="0"/>
      <w:marRight w:val="0"/>
      <w:marTop w:val="0"/>
      <w:marBottom w:val="0"/>
      <w:divBdr>
        <w:top w:val="none" w:sz="0" w:space="0" w:color="auto"/>
        <w:left w:val="none" w:sz="0" w:space="0" w:color="auto"/>
        <w:bottom w:val="none" w:sz="0" w:space="0" w:color="auto"/>
        <w:right w:val="none" w:sz="0" w:space="0" w:color="auto"/>
      </w:divBdr>
    </w:div>
    <w:div w:id="1748379606">
      <w:bodyDiv w:val="1"/>
      <w:marLeft w:val="0"/>
      <w:marRight w:val="0"/>
      <w:marTop w:val="0"/>
      <w:marBottom w:val="0"/>
      <w:divBdr>
        <w:top w:val="none" w:sz="0" w:space="0" w:color="auto"/>
        <w:left w:val="none" w:sz="0" w:space="0" w:color="auto"/>
        <w:bottom w:val="none" w:sz="0" w:space="0" w:color="auto"/>
        <w:right w:val="none" w:sz="0" w:space="0" w:color="auto"/>
      </w:divBdr>
      <w:divsChild>
        <w:div w:id="1795555688">
          <w:marLeft w:val="-720"/>
          <w:marRight w:val="0"/>
          <w:marTop w:val="0"/>
          <w:marBottom w:val="0"/>
          <w:divBdr>
            <w:top w:val="none" w:sz="0" w:space="0" w:color="auto"/>
            <w:left w:val="none" w:sz="0" w:space="0" w:color="auto"/>
            <w:bottom w:val="none" w:sz="0" w:space="0" w:color="auto"/>
            <w:right w:val="none" w:sz="0" w:space="0" w:color="auto"/>
          </w:divBdr>
        </w:div>
      </w:divsChild>
    </w:div>
    <w:div w:id="1751996655">
      <w:bodyDiv w:val="1"/>
      <w:marLeft w:val="0"/>
      <w:marRight w:val="0"/>
      <w:marTop w:val="0"/>
      <w:marBottom w:val="0"/>
      <w:divBdr>
        <w:top w:val="none" w:sz="0" w:space="0" w:color="auto"/>
        <w:left w:val="none" w:sz="0" w:space="0" w:color="auto"/>
        <w:bottom w:val="none" w:sz="0" w:space="0" w:color="auto"/>
        <w:right w:val="none" w:sz="0" w:space="0" w:color="auto"/>
      </w:divBdr>
    </w:div>
    <w:div w:id="1783570965">
      <w:bodyDiv w:val="1"/>
      <w:marLeft w:val="0"/>
      <w:marRight w:val="0"/>
      <w:marTop w:val="0"/>
      <w:marBottom w:val="0"/>
      <w:divBdr>
        <w:top w:val="none" w:sz="0" w:space="0" w:color="auto"/>
        <w:left w:val="none" w:sz="0" w:space="0" w:color="auto"/>
        <w:bottom w:val="none" w:sz="0" w:space="0" w:color="auto"/>
        <w:right w:val="none" w:sz="0" w:space="0" w:color="auto"/>
      </w:divBdr>
      <w:divsChild>
        <w:div w:id="826943277">
          <w:marLeft w:val="0"/>
          <w:marRight w:val="0"/>
          <w:marTop w:val="0"/>
          <w:marBottom w:val="0"/>
          <w:divBdr>
            <w:top w:val="none" w:sz="0" w:space="0" w:color="auto"/>
            <w:left w:val="none" w:sz="0" w:space="0" w:color="auto"/>
            <w:bottom w:val="none" w:sz="0" w:space="0" w:color="auto"/>
            <w:right w:val="none" w:sz="0" w:space="0" w:color="auto"/>
          </w:divBdr>
          <w:divsChild>
            <w:div w:id="743527978">
              <w:marLeft w:val="0"/>
              <w:marRight w:val="0"/>
              <w:marTop w:val="0"/>
              <w:marBottom w:val="0"/>
              <w:divBdr>
                <w:top w:val="none" w:sz="0" w:space="0" w:color="auto"/>
                <w:left w:val="none" w:sz="0" w:space="0" w:color="auto"/>
                <w:bottom w:val="none" w:sz="0" w:space="0" w:color="auto"/>
                <w:right w:val="none" w:sz="0" w:space="0" w:color="auto"/>
              </w:divBdr>
              <w:divsChild>
                <w:div w:id="1012028600">
                  <w:marLeft w:val="0"/>
                  <w:marRight w:val="0"/>
                  <w:marTop w:val="0"/>
                  <w:marBottom w:val="0"/>
                  <w:divBdr>
                    <w:top w:val="none" w:sz="0" w:space="0" w:color="auto"/>
                    <w:left w:val="none" w:sz="0" w:space="0" w:color="auto"/>
                    <w:bottom w:val="none" w:sz="0" w:space="0" w:color="auto"/>
                    <w:right w:val="none" w:sz="0" w:space="0" w:color="auto"/>
                  </w:divBdr>
                  <w:divsChild>
                    <w:div w:id="1886864060">
                      <w:marLeft w:val="0"/>
                      <w:marRight w:val="0"/>
                      <w:marTop w:val="0"/>
                      <w:marBottom w:val="0"/>
                      <w:divBdr>
                        <w:top w:val="none" w:sz="0" w:space="0" w:color="auto"/>
                        <w:left w:val="none" w:sz="0" w:space="0" w:color="auto"/>
                        <w:bottom w:val="none" w:sz="0" w:space="0" w:color="auto"/>
                        <w:right w:val="none" w:sz="0" w:space="0" w:color="auto"/>
                      </w:divBdr>
                      <w:divsChild>
                        <w:div w:id="1008101439">
                          <w:marLeft w:val="0"/>
                          <w:marRight w:val="0"/>
                          <w:marTop w:val="0"/>
                          <w:marBottom w:val="0"/>
                          <w:divBdr>
                            <w:top w:val="none" w:sz="0" w:space="0" w:color="auto"/>
                            <w:left w:val="none" w:sz="0" w:space="0" w:color="auto"/>
                            <w:bottom w:val="none" w:sz="0" w:space="0" w:color="auto"/>
                            <w:right w:val="none" w:sz="0" w:space="0" w:color="auto"/>
                          </w:divBdr>
                          <w:divsChild>
                            <w:div w:id="16113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853501">
      <w:bodyDiv w:val="1"/>
      <w:marLeft w:val="0"/>
      <w:marRight w:val="0"/>
      <w:marTop w:val="0"/>
      <w:marBottom w:val="0"/>
      <w:divBdr>
        <w:top w:val="none" w:sz="0" w:space="0" w:color="auto"/>
        <w:left w:val="none" w:sz="0" w:space="0" w:color="auto"/>
        <w:bottom w:val="none" w:sz="0" w:space="0" w:color="auto"/>
        <w:right w:val="none" w:sz="0" w:space="0" w:color="auto"/>
      </w:divBdr>
    </w:div>
    <w:div w:id="1823159386">
      <w:bodyDiv w:val="1"/>
      <w:marLeft w:val="0"/>
      <w:marRight w:val="0"/>
      <w:marTop w:val="0"/>
      <w:marBottom w:val="0"/>
      <w:divBdr>
        <w:top w:val="none" w:sz="0" w:space="0" w:color="auto"/>
        <w:left w:val="none" w:sz="0" w:space="0" w:color="auto"/>
        <w:bottom w:val="none" w:sz="0" w:space="0" w:color="auto"/>
        <w:right w:val="none" w:sz="0" w:space="0" w:color="auto"/>
      </w:divBdr>
    </w:div>
    <w:div w:id="1840850417">
      <w:bodyDiv w:val="1"/>
      <w:marLeft w:val="0"/>
      <w:marRight w:val="0"/>
      <w:marTop w:val="0"/>
      <w:marBottom w:val="0"/>
      <w:divBdr>
        <w:top w:val="none" w:sz="0" w:space="0" w:color="auto"/>
        <w:left w:val="none" w:sz="0" w:space="0" w:color="auto"/>
        <w:bottom w:val="none" w:sz="0" w:space="0" w:color="auto"/>
        <w:right w:val="none" w:sz="0" w:space="0" w:color="auto"/>
      </w:divBdr>
    </w:div>
    <w:div w:id="1859081206">
      <w:bodyDiv w:val="1"/>
      <w:marLeft w:val="0"/>
      <w:marRight w:val="0"/>
      <w:marTop w:val="0"/>
      <w:marBottom w:val="0"/>
      <w:divBdr>
        <w:top w:val="none" w:sz="0" w:space="0" w:color="auto"/>
        <w:left w:val="none" w:sz="0" w:space="0" w:color="auto"/>
        <w:bottom w:val="none" w:sz="0" w:space="0" w:color="auto"/>
        <w:right w:val="none" w:sz="0" w:space="0" w:color="auto"/>
      </w:divBdr>
    </w:div>
    <w:div w:id="1862890329">
      <w:bodyDiv w:val="1"/>
      <w:marLeft w:val="0"/>
      <w:marRight w:val="0"/>
      <w:marTop w:val="0"/>
      <w:marBottom w:val="0"/>
      <w:divBdr>
        <w:top w:val="none" w:sz="0" w:space="0" w:color="auto"/>
        <w:left w:val="none" w:sz="0" w:space="0" w:color="auto"/>
        <w:bottom w:val="none" w:sz="0" w:space="0" w:color="auto"/>
        <w:right w:val="none" w:sz="0" w:space="0" w:color="auto"/>
      </w:divBdr>
    </w:div>
    <w:div w:id="1867329356">
      <w:bodyDiv w:val="1"/>
      <w:marLeft w:val="0"/>
      <w:marRight w:val="0"/>
      <w:marTop w:val="0"/>
      <w:marBottom w:val="0"/>
      <w:divBdr>
        <w:top w:val="none" w:sz="0" w:space="0" w:color="auto"/>
        <w:left w:val="none" w:sz="0" w:space="0" w:color="auto"/>
        <w:bottom w:val="none" w:sz="0" w:space="0" w:color="auto"/>
        <w:right w:val="none" w:sz="0" w:space="0" w:color="auto"/>
      </w:divBdr>
    </w:div>
    <w:div w:id="1962954049">
      <w:bodyDiv w:val="1"/>
      <w:marLeft w:val="0"/>
      <w:marRight w:val="0"/>
      <w:marTop w:val="0"/>
      <w:marBottom w:val="0"/>
      <w:divBdr>
        <w:top w:val="none" w:sz="0" w:space="0" w:color="auto"/>
        <w:left w:val="none" w:sz="0" w:space="0" w:color="auto"/>
        <w:bottom w:val="none" w:sz="0" w:space="0" w:color="auto"/>
        <w:right w:val="none" w:sz="0" w:space="0" w:color="auto"/>
      </w:divBdr>
    </w:div>
    <w:div w:id="1975016902">
      <w:bodyDiv w:val="1"/>
      <w:marLeft w:val="0"/>
      <w:marRight w:val="0"/>
      <w:marTop w:val="0"/>
      <w:marBottom w:val="0"/>
      <w:divBdr>
        <w:top w:val="none" w:sz="0" w:space="0" w:color="auto"/>
        <w:left w:val="none" w:sz="0" w:space="0" w:color="auto"/>
        <w:bottom w:val="none" w:sz="0" w:space="0" w:color="auto"/>
        <w:right w:val="none" w:sz="0" w:space="0" w:color="auto"/>
      </w:divBdr>
    </w:div>
    <w:div w:id="2002660019">
      <w:bodyDiv w:val="1"/>
      <w:marLeft w:val="0"/>
      <w:marRight w:val="0"/>
      <w:marTop w:val="0"/>
      <w:marBottom w:val="0"/>
      <w:divBdr>
        <w:top w:val="none" w:sz="0" w:space="0" w:color="auto"/>
        <w:left w:val="none" w:sz="0" w:space="0" w:color="auto"/>
        <w:bottom w:val="none" w:sz="0" w:space="0" w:color="auto"/>
        <w:right w:val="none" w:sz="0" w:space="0" w:color="auto"/>
      </w:divBdr>
      <w:divsChild>
        <w:div w:id="995180418">
          <w:marLeft w:val="-720"/>
          <w:marRight w:val="0"/>
          <w:marTop w:val="0"/>
          <w:marBottom w:val="0"/>
          <w:divBdr>
            <w:top w:val="none" w:sz="0" w:space="0" w:color="auto"/>
            <w:left w:val="none" w:sz="0" w:space="0" w:color="auto"/>
            <w:bottom w:val="none" w:sz="0" w:space="0" w:color="auto"/>
            <w:right w:val="none" w:sz="0" w:space="0" w:color="auto"/>
          </w:divBdr>
        </w:div>
      </w:divsChild>
    </w:div>
    <w:div w:id="2016808226">
      <w:bodyDiv w:val="1"/>
      <w:marLeft w:val="0"/>
      <w:marRight w:val="0"/>
      <w:marTop w:val="0"/>
      <w:marBottom w:val="0"/>
      <w:divBdr>
        <w:top w:val="none" w:sz="0" w:space="0" w:color="auto"/>
        <w:left w:val="none" w:sz="0" w:space="0" w:color="auto"/>
        <w:bottom w:val="none" w:sz="0" w:space="0" w:color="auto"/>
        <w:right w:val="none" w:sz="0" w:space="0" w:color="auto"/>
      </w:divBdr>
    </w:div>
    <w:div w:id="2025134907">
      <w:bodyDiv w:val="1"/>
      <w:marLeft w:val="0"/>
      <w:marRight w:val="0"/>
      <w:marTop w:val="0"/>
      <w:marBottom w:val="0"/>
      <w:divBdr>
        <w:top w:val="none" w:sz="0" w:space="0" w:color="auto"/>
        <w:left w:val="none" w:sz="0" w:space="0" w:color="auto"/>
        <w:bottom w:val="none" w:sz="0" w:space="0" w:color="auto"/>
        <w:right w:val="none" w:sz="0" w:space="0" w:color="auto"/>
      </w:divBdr>
    </w:div>
    <w:div w:id="2049136597">
      <w:bodyDiv w:val="1"/>
      <w:marLeft w:val="0"/>
      <w:marRight w:val="0"/>
      <w:marTop w:val="0"/>
      <w:marBottom w:val="0"/>
      <w:divBdr>
        <w:top w:val="none" w:sz="0" w:space="0" w:color="auto"/>
        <w:left w:val="none" w:sz="0" w:space="0" w:color="auto"/>
        <w:bottom w:val="none" w:sz="0" w:space="0" w:color="auto"/>
        <w:right w:val="none" w:sz="0" w:space="0" w:color="auto"/>
      </w:divBdr>
    </w:div>
    <w:div w:id="2053071155">
      <w:bodyDiv w:val="1"/>
      <w:marLeft w:val="0"/>
      <w:marRight w:val="0"/>
      <w:marTop w:val="0"/>
      <w:marBottom w:val="0"/>
      <w:divBdr>
        <w:top w:val="none" w:sz="0" w:space="0" w:color="auto"/>
        <w:left w:val="none" w:sz="0" w:space="0" w:color="auto"/>
        <w:bottom w:val="none" w:sz="0" w:space="0" w:color="auto"/>
        <w:right w:val="none" w:sz="0" w:space="0" w:color="auto"/>
      </w:divBdr>
    </w:div>
    <w:div w:id="2071609356">
      <w:bodyDiv w:val="1"/>
      <w:marLeft w:val="0"/>
      <w:marRight w:val="0"/>
      <w:marTop w:val="0"/>
      <w:marBottom w:val="0"/>
      <w:divBdr>
        <w:top w:val="none" w:sz="0" w:space="0" w:color="auto"/>
        <w:left w:val="none" w:sz="0" w:space="0" w:color="auto"/>
        <w:bottom w:val="none" w:sz="0" w:space="0" w:color="auto"/>
        <w:right w:val="none" w:sz="0" w:space="0" w:color="auto"/>
      </w:divBdr>
    </w:div>
    <w:div w:id="2121605646">
      <w:bodyDiv w:val="1"/>
      <w:marLeft w:val="0"/>
      <w:marRight w:val="0"/>
      <w:marTop w:val="0"/>
      <w:marBottom w:val="0"/>
      <w:divBdr>
        <w:top w:val="none" w:sz="0" w:space="0" w:color="auto"/>
        <w:left w:val="none" w:sz="0" w:space="0" w:color="auto"/>
        <w:bottom w:val="none" w:sz="0" w:space="0" w:color="auto"/>
        <w:right w:val="none" w:sz="0" w:space="0" w:color="auto"/>
      </w:divBdr>
    </w:div>
    <w:div w:id="212985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EA/2012/820" TargetMode="External"/><Relationship Id="rId18" Type="http://schemas.openxmlformats.org/officeDocument/2006/relationships/hyperlink" Target="https://doi.org/10.7324/JABB.2023.11009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5410/IJAEB.2022.5723"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doi.org/10.51470/PLANTARCHIVES.2021.v21.no1.266" TargetMode="External"/><Relationship Id="rId17" Type="http://schemas.openxmlformats.org/officeDocument/2006/relationships/hyperlink" Target="https://doi.org/10.36378/juatika.v7i2.4775" TargetMode="External"/><Relationship Id="rId25" Type="http://schemas.openxmlformats.org/officeDocument/2006/relationships/hyperlink" Target="https://doi.org/10.4038/java.v2i1.11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8006/2020.8(5).586.604" TargetMode="External"/><Relationship Id="rId20" Type="http://schemas.openxmlformats.org/officeDocument/2006/relationships/hyperlink" Target="https://doi.org/10.18801/jbar.080216.8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7352689.2013.807716" TargetMode="External"/><Relationship Id="rId24" Type="http://schemas.openxmlformats.org/officeDocument/2006/relationships/hyperlink" Target="https://www.thedailystar.net/business/news/aromatic-rice-production-nearly-doubles-seven-years-3808151?utm_source=chatgp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0546/ijcmas.2018.708.464" TargetMode="External"/><Relationship Id="rId23" Type="http://schemas.openxmlformats.org/officeDocument/2006/relationships/hyperlink" Target="https://doi.org/10.1088/17551315/911/1/012014" TargetMode="External"/><Relationship Id="rId28" Type="http://schemas.openxmlformats.org/officeDocument/2006/relationships/footer" Target="footer1.xml"/><Relationship Id="rId10" Type="http://schemas.openxmlformats.org/officeDocument/2006/relationships/hyperlink" Target="https://doi.org/10.4060/cd2971en" TargetMode="External"/><Relationship Id="rId19" Type="http://schemas.openxmlformats.org/officeDocument/2006/relationships/hyperlink" Target="https://doi.org/10.5958/0976-058X.2015.00003.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29/bjnag.v39i1.83308" TargetMode="External"/><Relationship Id="rId22" Type="http://schemas.openxmlformats.org/officeDocument/2006/relationships/hyperlink" Target="https://doi.org/10.31742/ijgpb.80.4.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C0988-D7BD-445B-BB2C-A2DA58F9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13</Pages>
  <Words>3690</Words>
  <Characters>21038</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23</cp:revision>
  <dcterms:created xsi:type="dcterms:W3CDTF">2026-03-06T15:13:00Z</dcterms:created>
  <dcterms:modified xsi:type="dcterms:W3CDTF">2026-03-31T09:18:00Z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f0fa48b7-1901-4bf9-a35c-e5e00615a062</vt:lpwstr>
  </property>
</Properties>
</file>