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8552D" w14:textId="3BC35E00" w:rsidR="00C52CD9" w:rsidRPr="003427EF" w:rsidRDefault="00C52CD9" w:rsidP="003427EF">
      <w:pPr>
        <w:pStyle w:val="Heading1"/>
        <w:jc w:val="center"/>
        <w:rPr>
          <w:rFonts w:ascii="Times New Roman" w:hAnsi="Times New Roman" w:cs="Times New Roman"/>
        </w:rPr>
      </w:pPr>
      <w:r w:rsidRPr="003427EF">
        <w:rPr>
          <w:rFonts w:ascii="Times New Roman" w:hAnsi="Times New Roman" w:cs="Times New Roman"/>
        </w:rPr>
        <w:t>INDUCTION OF PROLONGED CUSHING’S SYNDROME DUE TO PROLONGED THERAPEUTIC USE OF CORTICOSTEROIDS</w:t>
      </w:r>
    </w:p>
    <w:p w14:paraId="77CCAB97" w14:textId="77777777" w:rsidR="00E47A8D" w:rsidRPr="003427EF" w:rsidRDefault="00E47A8D" w:rsidP="003427EF">
      <w:pPr>
        <w:spacing w:line="240" w:lineRule="auto"/>
        <w:jc w:val="both"/>
        <w:rPr>
          <w:rFonts w:ascii="Times New Roman" w:hAnsi="Times New Roman" w:cs="Times New Roman"/>
          <w:b/>
          <w:color w:val="17365D" w:themeColor="text2" w:themeShade="BF"/>
          <w:sz w:val="24"/>
          <w:szCs w:val="24"/>
        </w:rPr>
      </w:pPr>
    </w:p>
    <w:p w14:paraId="2648271F" w14:textId="77777777" w:rsidR="009269F5" w:rsidRPr="003427EF" w:rsidRDefault="009269F5" w:rsidP="003427EF">
      <w:pPr>
        <w:spacing w:line="240" w:lineRule="auto"/>
        <w:jc w:val="both"/>
        <w:rPr>
          <w:rFonts w:ascii="Times New Roman" w:hAnsi="Times New Roman" w:cs="Times New Roman"/>
          <w:b/>
          <w:color w:val="002060"/>
          <w:sz w:val="24"/>
          <w:szCs w:val="24"/>
        </w:rPr>
      </w:pPr>
    </w:p>
    <w:tbl>
      <w:tblPr>
        <w:tblW w:w="933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60586F" w:rsidRPr="003427EF" w14:paraId="0B6B9F12" w14:textId="77777777" w:rsidTr="00180559">
        <w:trPr>
          <w:trHeight w:val="5539"/>
        </w:trPr>
        <w:tc>
          <w:tcPr>
            <w:tcW w:w="9330" w:type="dxa"/>
          </w:tcPr>
          <w:p w14:paraId="44236EA5" w14:textId="77777777" w:rsidR="001224A1" w:rsidRPr="003427EF" w:rsidRDefault="001224A1" w:rsidP="003427EF">
            <w:pPr>
              <w:spacing w:line="240" w:lineRule="auto"/>
              <w:jc w:val="both"/>
              <w:rPr>
                <w:rFonts w:ascii="Times New Roman" w:hAnsi="Times New Roman" w:cs="Times New Roman"/>
                <w:b/>
                <w:color w:val="0F243E" w:themeColor="text2" w:themeShade="80"/>
                <w:sz w:val="24"/>
                <w:szCs w:val="24"/>
              </w:rPr>
            </w:pPr>
            <w:r w:rsidRPr="003427EF">
              <w:rPr>
                <w:rFonts w:ascii="Times New Roman" w:hAnsi="Times New Roman" w:cs="Times New Roman"/>
                <w:b/>
                <w:color w:val="0F243E" w:themeColor="text2" w:themeShade="80"/>
                <w:sz w:val="24"/>
                <w:szCs w:val="24"/>
              </w:rPr>
              <w:t>ABSTRACT</w:t>
            </w:r>
          </w:p>
          <w:p w14:paraId="3DD097F4" w14:textId="723843BC" w:rsidR="0060586F" w:rsidRPr="003427EF" w:rsidRDefault="0060586F" w:rsidP="003427EF">
            <w:pPr>
              <w:spacing w:line="240" w:lineRule="auto"/>
              <w:ind w:left="288"/>
              <w:jc w:val="both"/>
              <w:rPr>
                <w:rFonts w:ascii="Times New Roman" w:hAnsi="Times New Roman" w:cs="Times New Roman"/>
                <w:sz w:val="24"/>
                <w:szCs w:val="24"/>
              </w:rPr>
            </w:pPr>
            <w:r w:rsidRPr="003427EF">
              <w:rPr>
                <w:rFonts w:ascii="Times New Roman" w:hAnsi="Times New Roman" w:cs="Times New Roman"/>
                <w:b/>
                <w:sz w:val="24"/>
                <w:szCs w:val="24"/>
              </w:rPr>
              <w:t>Background:</w:t>
            </w:r>
            <w:r w:rsidRPr="003427EF">
              <w:rPr>
                <w:rFonts w:ascii="Times New Roman" w:hAnsi="Times New Roman" w:cs="Times New Roman"/>
                <w:sz w:val="24"/>
                <w:szCs w:val="24"/>
              </w:rPr>
              <w:t xml:space="preserve"> The long-term ingestion of external corticosteroids can lead to iatrogenic Cushing’s syndrome and are known to be adverse drug reactions that are prevented. </w:t>
            </w:r>
            <w:r w:rsidR="00BC1438" w:rsidRPr="003427EF">
              <w:rPr>
                <w:rFonts w:ascii="Times New Roman" w:hAnsi="Times New Roman" w:cs="Times New Roman"/>
                <w:sz w:val="24"/>
                <w:szCs w:val="24"/>
              </w:rPr>
              <w:t>T</w:t>
            </w:r>
            <w:r w:rsidRPr="003427EF">
              <w:rPr>
                <w:rFonts w:ascii="Times New Roman" w:hAnsi="Times New Roman" w:cs="Times New Roman"/>
                <w:sz w:val="24"/>
                <w:szCs w:val="24"/>
              </w:rPr>
              <w:t>here are many nonspecific symptoms associated with iatrogenic Cushing’s syndrome that often mimic other dermatologic or systemic conditions and may therefore go undetected. If there has been long-term use of an external corticosteroid, there are also considerations if the external corticosteroid is withdrawn suddenly</w:t>
            </w:r>
            <w:r w:rsidR="00BC1438" w:rsidRPr="003427EF">
              <w:rPr>
                <w:rFonts w:ascii="Times New Roman" w:hAnsi="Times New Roman" w:cs="Times New Roman"/>
                <w:sz w:val="24"/>
                <w:szCs w:val="24"/>
              </w:rPr>
              <w:t>.</w:t>
            </w:r>
            <w:r w:rsidRPr="003427EF">
              <w:rPr>
                <w:rFonts w:ascii="Times New Roman" w:hAnsi="Times New Roman" w:cs="Times New Roman"/>
                <w:sz w:val="24"/>
                <w:szCs w:val="24"/>
              </w:rPr>
              <w:t xml:space="preserve"> </w:t>
            </w:r>
            <w:r w:rsidR="00BC1438" w:rsidRPr="003427EF">
              <w:rPr>
                <w:rFonts w:ascii="Times New Roman" w:hAnsi="Times New Roman" w:cs="Times New Roman"/>
                <w:sz w:val="24"/>
                <w:szCs w:val="24"/>
              </w:rPr>
              <w:t>I</w:t>
            </w:r>
            <w:r w:rsidRPr="003427EF">
              <w:rPr>
                <w:rFonts w:ascii="Times New Roman" w:hAnsi="Times New Roman" w:cs="Times New Roman"/>
                <w:sz w:val="24"/>
                <w:szCs w:val="24"/>
              </w:rPr>
              <w:t>t can lead to a delayed crisis.</w:t>
            </w:r>
          </w:p>
          <w:p w14:paraId="066253F2" w14:textId="41E36D84" w:rsidR="0060586F" w:rsidRPr="003427EF" w:rsidRDefault="0060586F" w:rsidP="003427EF">
            <w:pPr>
              <w:spacing w:line="240" w:lineRule="auto"/>
              <w:ind w:left="288"/>
              <w:jc w:val="both"/>
              <w:rPr>
                <w:rFonts w:ascii="Times New Roman" w:hAnsi="Times New Roman" w:cs="Times New Roman"/>
                <w:sz w:val="24"/>
                <w:szCs w:val="24"/>
              </w:rPr>
            </w:pPr>
            <w:r w:rsidRPr="003427EF">
              <w:rPr>
                <w:rFonts w:ascii="Times New Roman" w:hAnsi="Times New Roman" w:cs="Times New Roman"/>
                <w:b/>
                <w:sz w:val="24"/>
                <w:szCs w:val="24"/>
              </w:rPr>
              <w:t>Case report:</w:t>
            </w:r>
            <w:r w:rsidRPr="003427EF">
              <w:rPr>
                <w:rFonts w:ascii="Times New Roman" w:hAnsi="Times New Roman" w:cs="Times New Roman"/>
                <w:sz w:val="24"/>
                <w:szCs w:val="24"/>
              </w:rPr>
              <w:t xml:space="preserve"> 53-year-old hypertensi</w:t>
            </w:r>
            <w:r w:rsidR="009269F5" w:rsidRPr="003427EF">
              <w:rPr>
                <w:rFonts w:ascii="Times New Roman" w:hAnsi="Times New Roman" w:cs="Times New Roman"/>
                <w:sz w:val="24"/>
                <w:szCs w:val="24"/>
              </w:rPr>
              <w:t>ve</w:t>
            </w:r>
            <w:r w:rsidRPr="003427EF">
              <w:rPr>
                <w:rFonts w:ascii="Times New Roman" w:hAnsi="Times New Roman" w:cs="Times New Roman"/>
                <w:sz w:val="24"/>
                <w:szCs w:val="24"/>
              </w:rPr>
              <w:t xml:space="preserve"> female patient presented with skin thickening and hyperpigmentation over the abdomen and the lower extremities; generalized pruritus; exertional dyspnea; weakness; recent history of a chest pain; and fall. The patient reported medical history of taking chronic non-steroidal anti-inflammatory medication</w:t>
            </w:r>
            <w:r w:rsidR="00BC1438" w:rsidRPr="003427EF">
              <w:rPr>
                <w:rFonts w:ascii="Times New Roman" w:hAnsi="Times New Roman" w:cs="Times New Roman"/>
                <w:sz w:val="24"/>
                <w:szCs w:val="24"/>
              </w:rPr>
              <w:t xml:space="preserve"> </w:t>
            </w:r>
            <w:r w:rsidRPr="003427EF">
              <w:rPr>
                <w:rFonts w:ascii="Times New Roman" w:hAnsi="Times New Roman" w:cs="Times New Roman"/>
                <w:sz w:val="24"/>
                <w:szCs w:val="24"/>
              </w:rPr>
              <w:t>and external corticosteroids for joint pain. Clinical examination showed pallor, mild pedal edema, hypertension, skin atrophy, and scaliness. When laboratory tests were performed, low serum cortisol levels</w:t>
            </w:r>
            <w:r w:rsidR="00BC1438" w:rsidRPr="003427EF">
              <w:rPr>
                <w:rFonts w:ascii="Times New Roman" w:hAnsi="Times New Roman" w:cs="Times New Roman"/>
                <w:sz w:val="24"/>
                <w:szCs w:val="24"/>
              </w:rPr>
              <w:t xml:space="preserve">, </w:t>
            </w:r>
            <w:r w:rsidRPr="003427EF">
              <w:rPr>
                <w:rFonts w:ascii="Times New Roman" w:hAnsi="Times New Roman" w:cs="Times New Roman"/>
                <w:sz w:val="24"/>
                <w:szCs w:val="24"/>
              </w:rPr>
              <w:t>concentric left ventricular hypertrophy with diastolic dysfunction Grade I</w:t>
            </w:r>
            <w:r w:rsidR="00BC1438" w:rsidRPr="003427EF">
              <w:rPr>
                <w:rFonts w:ascii="Times New Roman" w:hAnsi="Times New Roman" w:cs="Times New Roman"/>
                <w:sz w:val="24"/>
                <w:szCs w:val="24"/>
              </w:rPr>
              <w:t xml:space="preserve">, </w:t>
            </w:r>
            <w:r w:rsidRPr="003427EF">
              <w:rPr>
                <w:rFonts w:ascii="Times New Roman" w:hAnsi="Times New Roman" w:cs="Times New Roman"/>
                <w:sz w:val="24"/>
                <w:szCs w:val="24"/>
              </w:rPr>
              <w:t>mild anemia</w:t>
            </w:r>
            <w:r w:rsidR="00BC1438" w:rsidRPr="003427EF">
              <w:rPr>
                <w:rFonts w:ascii="Times New Roman" w:hAnsi="Times New Roman" w:cs="Times New Roman"/>
                <w:sz w:val="24"/>
                <w:szCs w:val="24"/>
              </w:rPr>
              <w:t xml:space="preserve">, </w:t>
            </w:r>
            <w:r w:rsidRPr="003427EF">
              <w:rPr>
                <w:rFonts w:ascii="Times New Roman" w:hAnsi="Times New Roman" w:cs="Times New Roman"/>
                <w:sz w:val="24"/>
                <w:szCs w:val="24"/>
              </w:rPr>
              <w:t>thrombocytopenia, hyperbilirubinemia, and mild renal impairment were obtained.</w:t>
            </w:r>
          </w:p>
          <w:p w14:paraId="053B1866" w14:textId="265524F1" w:rsidR="0060586F" w:rsidRPr="003427EF" w:rsidRDefault="0060586F" w:rsidP="003427EF">
            <w:pPr>
              <w:spacing w:line="240" w:lineRule="auto"/>
              <w:ind w:left="288"/>
              <w:jc w:val="both"/>
              <w:rPr>
                <w:rFonts w:ascii="Times New Roman" w:hAnsi="Times New Roman" w:cs="Times New Roman"/>
                <w:sz w:val="24"/>
                <w:szCs w:val="24"/>
              </w:rPr>
            </w:pPr>
            <w:r w:rsidRPr="003427EF">
              <w:rPr>
                <w:rFonts w:ascii="Times New Roman" w:hAnsi="Times New Roman" w:cs="Times New Roman"/>
                <w:b/>
                <w:sz w:val="24"/>
                <w:szCs w:val="24"/>
              </w:rPr>
              <w:t>Treatment</w:t>
            </w:r>
            <w:r w:rsidR="00F33CBB" w:rsidRPr="003427EF">
              <w:rPr>
                <w:rFonts w:ascii="Times New Roman" w:hAnsi="Times New Roman" w:cs="Times New Roman"/>
                <w:b/>
                <w:sz w:val="24"/>
                <w:szCs w:val="24"/>
              </w:rPr>
              <w:t>/</w:t>
            </w:r>
            <w:r w:rsidRPr="003427EF">
              <w:rPr>
                <w:rFonts w:ascii="Times New Roman" w:hAnsi="Times New Roman" w:cs="Times New Roman"/>
                <w:b/>
                <w:sz w:val="24"/>
                <w:szCs w:val="24"/>
              </w:rPr>
              <w:t xml:space="preserve"> result:</w:t>
            </w:r>
            <w:r w:rsidRPr="003427EF">
              <w:rPr>
                <w:rFonts w:ascii="Times New Roman" w:hAnsi="Times New Roman" w:cs="Times New Roman"/>
                <w:sz w:val="24"/>
                <w:szCs w:val="24"/>
              </w:rPr>
              <w:t xml:space="preserve"> The patient was treated with antihypertensives, supportive care, gradual tapering of steroids </w:t>
            </w:r>
            <w:r w:rsidR="00BC1438" w:rsidRPr="003427EF">
              <w:rPr>
                <w:rFonts w:ascii="Times New Roman" w:hAnsi="Times New Roman" w:cs="Times New Roman"/>
                <w:sz w:val="24"/>
                <w:szCs w:val="24"/>
              </w:rPr>
              <w:t xml:space="preserve">and </w:t>
            </w:r>
            <w:r w:rsidRPr="003427EF">
              <w:rPr>
                <w:rFonts w:ascii="Times New Roman" w:hAnsi="Times New Roman" w:cs="Times New Roman"/>
                <w:sz w:val="24"/>
                <w:szCs w:val="24"/>
              </w:rPr>
              <w:t xml:space="preserve">dermatology consult. </w:t>
            </w:r>
          </w:p>
          <w:p w14:paraId="3A793BB1" w14:textId="200FA5D8" w:rsidR="004E3B67" w:rsidRPr="003427EF" w:rsidRDefault="0060586F" w:rsidP="003427EF">
            <w:pPr>
              <w:spacing w:line="240" w:lineRule="auto"/>
              <w:ind w:left="288"/>
              <w:jc w:val="both"/>
              <w:rPr>
                <w:rFonts w:ascii="Times New Roman" w:hAnsi="Times New Roman" w:cs="Times New Roman"/>
                <w:sz w:val="24"/>
                <w:szCs w:val="24"/>
              </w:rPr>
            </w:pPr>
            <w:r w:rsidRPr="003427EF">
              <w:rPr>
                <w:rFonts w:ascii="Times New Roman" w:hAnsi="Times New Roman" w:cs="Times New Roman"/>
                <w:b/>
                <w:sz w:val="24"/>
                <w:szCs w:val="24"/>
              </w:rPr>
              <w:t>Conclusion:</w:t>
            </w:r>
            <w:r w:rsidRPr="003427EF">
              <w:rPr>
                <w:rFonts w:ascii="Times New Roman" w:hAnsi="Times New Roman" w:cs="Times New Roman"/>
                <w:sz w:val="24"/>
                <w:szCs w:val="24"/>
              </w:rPr>
              <w:t xml:space="preserve"> This case demonstrates that there is chronic adrenal suppression from </w:t>
            </w:r>
            <w:r w:rsidR="009269F5" w:rsidRPr="003427EF">
              <w:rPr>
                <w:rFonts w:ascii="Times New Roman" w:hAnsi="Times New Roman" w:cs="Times New Roman"/>
                <w:sz w:val="24"/>
                <w:szCs w:val="24"/>
              </w:rPr>
              <w:t>due to</w:t>
            </w:r>
            <w:r w:rsidRPr="003427EF">
              <w:rPr>
                <w:rFonts w:ascii="Times New Roman" w:hAnsi="Times New Roman" w:cs="Times New Roman"/>
                <w:sz w:val="24"/>
                <w:szCs w:val="24"/>
              </w:rPr>
              <w:t xml:space="preserve"> long-term exposure </w:t>
            </w:r>
            <w:r w:rsidR="009269F5" w:rsidRPr="003427EF">
              <w:rPr>
                <w:rFonts w:ascii="Times New Roman" w:hAnsi="Times New Roman" w:cs="Times New Roman"/>
                <w:sz w:val="24"/>
                <w:szCs w:val="24"/>
              </w:rPr>
              <w:t>of</w:t>
            </w:r>
            <w:r w:rsidRPr="003427EF">
              <w:rPr>
                <w:rFonts w:ascii="Times New Roman" w:hAnsi="Times New Roman" w:cs="Times New Roman"/>
                <w:sz w:val="24"/>
                <w:szCs w:val="24"/>
              </w:rPr>
              <w:t xml:space="preserve"> corticosteroids. Low cortisol level confirms the diagnosis of Cushing’s syndrome due to exogenous steroid use as compared to endogenous causes. In the evaluation of abnormal skin or systemic changes, always ask the patient about use of corticosteroids; it is important to taper corticosteroids appropriately so sudden withdrawal does not result in a crisis.</w:t>
            </w:r>
          </w:p>
          <w:p w14:paraId="7B0F0CD1" w14:textId="43B1283B" w:rsidR="00180559" w:rsidRPr="003427EF" w:rsidRDefault="00180559" w:rsidP="003427EF">
            <w:pPr>
              <w:spacing w:line="240" w:lineRule="auto"/>
              <w:ind w:left="288"/>
              <w:jc w:val="both"/>
              <w:rPr>
                <w:rFonts w:ascii="Times New Roman" w:hAnsi="Times New Roman" w:cs="Times New Roman"/>
                <w:sz w:val="24"/>
                <w:szCs w:val="24"/>
              </w:rPr>
            </w:pPr>
            <w:r w:rsidRPr="003427EF">
              <w:rPr>
                <w:rFonts w:ascii="Times New Roman" w:hAnsi="Times New Roman" w:cs="Times New Roman"/>
                <w:b/>
                <w:sz w:val="24"/>
                <w:szCs w:val="24"/>
              </w:rPr>
              <w:t>Keywords:</w:t>
            </w:r>
            <w:r w:rsidRPr="003427EF">
              <w:rPr>
                <w:rFonts w:ascii="Times New Roman" w:hAnsi="Times New Roman" w:cs="Times New Roman"/>
                <w:sz w:val="24"/>
                <w:szCs w:val="24"/>
              </w:rPr>
              <w:t xml:space="preserve"> Cushing’s syndrome, adverse reaction, dermatology, cortisol, skin hyperpigmentation.</w:t>
            </w:r>
          </w:p>
        </w:tc>
      </w:tr>
    </w:tbl>
    <w:p w14:paraId="3AC233CE" w14:textId="77777777" w:rsidR="0060586F" w:rsidRPr="003427EF" w:rsidRDefault="0060586F" w:rsidP="003427EF">
      <w:pPr>
        <w:pStyle w:val="Heading2"/>
        <w:spacing w:line="240" w:lineRule="auto"/>
        <w:jc w:val="both"/>
        <w:rPr>
          <w:rFonts w:ascii="Times New Roman" w:hAnsi="Times New Roman" w:cs="Times New Roman"/>
          <w:sz w:val="24"/>
          <w:szCs w:val="24"/>
          <w:vertAlign w:val="superscript"/>
        </w:rPr>
        <w:sectPr w:rsidR="0060586F" w:rsidRPr="003427EF" w:rsidSect="00BD495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thinThickThinSmallGap" w:sz="24" w:space="24" w:color="4F81BD" w:themeColor="accent1"/>
            <w:left w:val="thinThickThinSmallGap" w:sz="24" w:space="24" w:color="4F81BD" w:themeColor="accent1"/>
            <w:bottom w:val="thinThickThinSmallGap" w:sz="24" w:space="24" w:color="4F81BD" w:themeColor="accent1"/>
            <w:right w:val="thinThickThinSmallGap" w:sz="24" w:space="24" w:color="4F81BD" w:themeColor="accent1"/>
          </w:pgBorders>
          <w:cols w:space="720"/>
          <w:docGrid w:linePitch="360"/>
        </w:sectPr>
      </w:pPr>
    </w:p>
    <w:p w14:paraId="474A3D80" w14:textId="77777777" w:rsidR="0060586F" w:rsidRPr="003427EF" w:rsidRDefault="0060586F"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INTRODUCTION</w:t>
      </w:r>
    </w:p>
    <w:p w14:paraId="053C45E1" w14:textId="2BD8733C" w:rsidR="0060586F" w:rsidRPr="003427EF" w:rsidRDefault="00E4034E"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Long-term exposure to elevated glucocorticoid levels can produce various clinical manifestations of Cushing’s syndrome and may contribute to increased morbidity and mortality</w:t>
      </w:r>
      <w:r w:rsidR="0060586F" w:rsidRPr="003427EF">
        <w:rPr>
          <w:rFonts w:ascii="Times New Roman" w:hAnsi="Times New Roman" w:cs="Times New Roman"/>
          <w:sz w:val="24"/>
          <w:szCs w:val="24"/>
        </w:rPr>
        <w:t xml:space="preserve">. Advances in </w:t>
      </w:r>
      <w:r w:rsidR="0060586F" w:rsidRPr="003427EF">
        <w:rPr>
          <w:rFonts w:ascii="Times New Roman" w:hAnsi="Times New Roman" w:cs="Times New Roman"/>
          <w:sz w:val="24"/>
          <w:szCs w:val="24"/>
        </w:rPr>
        <w:t xml:space="preserve">understanding the genetic and molecular mechanisms underlying excessive cortisol secretion from adrenal lesions and excessive ACTH secretion from pituitary or ectopic tumors have improved diagnostic and therapeutic strategies. Modern biochemical testing, imaging modalities, surgical </w:t>
      </w:r>
      <w:r w:rsidR="0060586F" w:rsidRPr="003427EF">
        <w:rPr>
          <w:rFonts w:ascii="Times New Roman" w:hAnsi="Times New Roman" w:cs="Times New Roman"/>
          <w:sz w:val="24"/>
          <w:szCs w:val="24"/>
        </w:rPr>
        <w:lastRenderedPageBreak/>
        <w:t>techniques, and radiotherapy approaches have enhanced patient outcomes. The main objective of treatment is to restore normal cortisol levels in order to reverse complications and reduce mortality risk. Complete and selective removal of the causative tumor is essential for normalization of the hypothalamic–pituitary–adrenal axis, preservation of pituitary function, and prevention of recurrence. New pharmacological therapies provide additional options for patients with pe</w:t>
      </w:r>
      <w:r w:rsidR="00891FDF" w:rsidRPr="003427EF">
        <w:rPr>
          <w:rFonts w:ascii="Times New Roman" w:hAnsi="Times New Roman" w:cs="Times New Roman"/>
          <w:sz w:val="24"/>
          <w:szCs w:val="24"/>
        </w:rPr>
        <w:t xml:space="preserve">rsistent hypercortisolism. Long </w:t>
      </w:r>
      <w:r w:rsidR="0060586F" w:rsidRPr="003427EF">
        <w:rPr>
          <w:rFonts w:ascii="Times New Roman" w:hAnsi="Times New Roman" w:cs="Times New Roman"/>
          <w:sz w:val="24"/>
          <w:szCs w:val="24"/>
        </w:rPr>
        <w:t xml:space="preserve">term monitoring remains necessary due to associated </w:t>
      </w:r>
      <w:r w:rsidR="001224A1" w:rsidRPr="003427EF">
        <w:rPr>
          <w:rFonts w:ascii="Times New Roman" w:hAnsi="Times New Roman" w:cs="Times New Roman"/>
          <w:sz w:val="24"/>
          <w:szCs w:val="24"/>
        </w:rPr>
        <w:t>comorbidities.</w:t>
      </w:r>
      <w:r w:rsidR="001224A1" w:rsidRPr="003427EF">
        <w:rPr>
          <w:rFonts w:ascii="Times New Roman" w:hAnsi="Times New Roman" w:cs="Times New Roman"/>
          <w:sz w:val="24"/>
          <w:szCs w:val="24"/>
          <w:vertAlign w:val="superscript"/>
        </w:rPr>
        <w:t xml:space="preserve"> (1</w:t>
      </w:r>
      <w:r w:rsidR="003427EF">
        <w:rPr>
          <w:rFonts w:ascii="Times New Roman" w:hAnsi="Times New Roman" w:cs="Times New Roman"/>
          <w:sz w:val="24"/>
          <w:szCs w:val="24"/>
          <w:vertAlign w:val="superscript"/>
        </w:rPr>
        <w:t>,7</w:t>
      </w:r>
      <w:r w:rsidR="001224A1" w:rsidRPr="003427EF">
        <w:rPr>
          <w:rFonts w:ascii="Times New Roman" w:hAnsi="Times New Roman" w:cs="Times New Roman"/>
          <w:sz w:val="24"/>
          <w:szCs w:val="24"/>
          <w:vertAlign w:val="superscript"/>
        </w:rPr>
        <w:t>)</w:t>
      </w:r>
      <w:r w:rsidR="001224A1" w:rsidRPr="003427EF">
        <w:rPr>
          <w:rFonts w:ascii="Times New Roman" w:hAnsi="Times New Roman" w:cs="Times New Roman"/>
          <w:sz w:val="24"/>
          <w:szCs w:val="24"/>
        </w:rPr>
        <w:t xml:space="preserve"> Cushing</w:t>
      </w:r>
      <w:r w:rsidR="0060586F" w:rsidRPr="003427EF">
        <w:rPr>
          <w:rFonts w:ascii="Times New Roman" w:hAnsi="Times New Roman" w:cs="Times New Roman"/>
          <w:sz w:val="24"/>
          <w:szCs w:val="24"/>
        </w:rPr>
        <w:t xml:space="preserve"> syndrome is a hormonal disorder caused by prolonged exposure of body tissues to high </w:t>
      </w:r>
      <w:r w:rsidR="00235294" w:rsidRPr="003427EF">
        <w:rPr>
          <w:rFonts w:ascii="Times New Roman" w:hAnsi="Times New Roman" w:cs="Times New Roman"/>
          <w:sz w:val="24"/>
          <w:szCs w:val="24"/>
        </w:rPr>
        <w:t xml:space="preserve">levels of </w:t>
      </w:r>
      <w:r w:rsidR="001224A1" w:rsidRPr="003427EF">
        <w:rPr>
          <w:rFonts w:ascii="Times New Roman" w:hAnsi="Times New Roman" w:cs="Times New Roman"/>
          <w:sz w:val="24"/>
          <w:szCs w:val="24"/>
        </w:rPr>
        <w:t>cortisol. Cortisol</w:t>
      </w:r>
      <w:r w:rsidR="0060586F" w:rsidRPr="003427EF">
        <w:rPr>
          <w:rFonts w:ascii="Times New Roman" w:hAnsi="Times New Roman" w:cs="Times New Roman"/>
          <w:sz w:val="24"/>
          <w:szCs w:val="24"/>
        </w:rPr>
        <w:t>,</w:t>
      </w:r>
      <w:r w:rsidR="00235294" w:rsidRPr="003427EF">
        <w:rPr>
          <w:rFonts w:ascii="Times New Roman" w:hAnsi="Times New Roman" w:cs="Times New Roman"/>
          <w:sz w:val="24"/>
          <w:szCs w:val="24"/>
          <w:vertAlign w:val="superscript"/>
        </w:rPr>
        <w:t>(2</w:t>
      </w:r>
      <w:r w:rsidR="003427EF">
        <w:rPr>
          <w:rFonts w:ascii="Times New Roman" w:hAnsi="Times New Roman" w:cs="Times New Roman"/>
          <w:sz w:val="24"/>
          <w:szCs w:val="24"/>
          <w:vertAlign w:val="superscript"/>
        </w:rPr>
        <w:t>)</w:t>
      </w:r>
      <w:r w:rsidRPr="003427EF">
        <w:rPr>
          <w:rFonts w:ascii="Times New Roman" w:hAnsi="Times New Roman" w:cs="Times New Roman"/>
          <w:sz w:val="24"/>
          <w:szCs w:val="24"/>
        </w:rPr>
        <w:t xml:space="preserve"> often referred to as the body’s stress hormone, is secreted by the adrenal glands and is essential for regulating glucose metabolism, immune function, inflammatory responses, and insulin activity</w:t>
      </w:r>
      <w:r w:rsidRPr="003427EF">
        <w:rPr>
          <w:rFonts w:ascii="Times New Roman" w:hAnsi="Times New Roman" w:cs="Times New Roman"/>
          <w:sz w:val="24"/>
          <w:szCs w:val="24"/>
          <w:vertAlign w:val="superscript"/>
        </w:rPr>
        <w:t xml:space="preserve">. </w:t>
      </w:r>
      <w:r w:rsidRPr="003427EF">
        <w:rPr>
          <w:rFonts w:ascii="Times New Roman" w:hAnsi="Times New Roman" w:cs="Times New Roman"/>
          <w:sz w:val="24"/>
          <w:szCs w:val="24"/>
        </w:rPr>
        <w:t>Cushing’s syndrome was initially described in 1912 by the neurosurgeon Harvey Cushing</w:t>
      </w:r>
      <w:r w:rsidR="0060586F" w:rsidRPr="003427EF">
        <w:rPr>
          <w:rFonts w:ascii="Times New Roman" w:hAnsi="Times New Roman" w:cs="Times New Roman"/>
          <w:sz w:val="24"/>
          <w:szCs w:val="24"/>
        </w:rPr>
        <w:t xml:space="preserve">. The incidence ranges from 0.7–2.4 cases per million population annually. </w:t>
      </w:r>
      <w:r w:rsidRPr="003427EF">
        <w:rPr>
          <w:rFonts w:ascii="Times New Roman" w:hAnsi="Times New Roman" w:cs="Times New Roman"/>
          <w:sz w:val="24"/>
          <w:szCs w:val="24"/>
        </w:rPr>
        <w:t xml:space="preserve">Common clinical manifestations include a rounded “moon” face, fat accumulation over the upper back (buffalo hump), fatigue, fragile skin, osteoporosis, recurrent infections, hyperglycemia, hypertension, and sleep disturbances. </w:t>
      </w:r>
      <w:r w:rsidR="0060586F" w:rsidRPr="003427EF">
        <w:rPr>
          <w:rFonts w:ascii="Times New Roman" w:hAnsi="Times New Roman" w:cs="Times New Roman"/>
          <w:sz w:val="24"/>
          <w:szCs w:val="24"/>
        </w:rPr>
        <w:t>Women may experience hirsutism and menstrual irregularities, while men often present with infertility and erectile dysfunction. Endogenous causes include pituitary adenomas, adrenal tumors, and ACTH‑secreting tumors, whereas exogenous causes are commonly due to prolonged high‑dose corticosteroid therapy. Studies suggest higher prevalence among women, particularly in the 30–</w:t>
      </w:r>
      <w:r w:rsidR="009269F5" w:rsidRPr="003427EF">
        <w:rPr>
          <w:rFonts w:ascii="Times New Roman" w:hAnsi="Times New Roman" w:cs="Times New Roman"/>
          <w:sz w:val="24"/>
          <w:szCs w:val="24"/>
        </w:rPr>
        <w:t>40-year</w:t>
      </w:r>
      <w:r w:rsidR="0060586F" w:rsidRPr="003427EF">
        <w:rPr>
          <w:rFonts w:ascii="Times New Roman" w:hAnsi="Times New Roman" w:cs="Times New Roman"/>
          <w:sz w:val="24"/>
          <w:szCs w:val="24"/>
        </w:rPr>
        <w:t xml:space="preserve"> age group. </w:t>
      </w:r>
      <w:r w:rsidR="00235294" w:rsidRPr="003427EF">
        <w:rPr>
          <w:rFonts w:ascii="Times New Roman" w:hAnsi="Times New Roman" w:cs="Times New Roman"/>
          <w:sz w:val="24"/>
          <w:szCs w:val="24"/>
          <w:vertAlign w:val="superscript"/>
        </w:rPr>
        <w:t>(3)</w:t>
      </w:r>
      <w:r w:rsidR="0060586F" w:rsidRPr="003427EF">
        <w:rPr>
          <w:rFonts w:ascii="Times New Roman" w:hAnsi="Times New Roman" w:cs="Times New Roman"/>
          <w:sz w:val="24"/>
          <w:szCs w:val="24"/>
        </w:rPr>
        <w:t xml:space="preserve">Cushing syndrome primarily involves excessive ACTH stimulation of the adrenal glands, resulting in elevated cortisol levels. Common manifestations include weight gain, facial puffiness, hypothyroidism, protruding </w:t>
      </w:r>
      <w:r w:rsidR="0060586F" w:rsidRPr="003427EF">
        <w:rPr>
          <w:rFonts w:ascii="Times New Roman" w:hAnsi="Times New Roman" w:cs="Times New Roman"/>
          <w:sz w:val="24"/>
          <w:szCs w:val="24"/>
        </w:rPr>
        <w:t>eyes, and buffalo hump. The average incidence of newly diagnosed cases is reported as 24 per million per year. Cushing’s disease occurs more frequently in women than men with a ratio of approximately 15:1. Remission was achieved in 87.5% of repo</w:t>
      </w:r>
      <w:r w:rsidR="00235294" w:rsidRPr="003427EF">
        <w:rPr>
          <w:rFonts w:ascii="Times New Roman" w:hAnsi="Times New Roman" w:cs="Times New Roman"/>
          <w:sz w:val="24"/>
          <w:szCs w:val="24"/>
        </w:rPr>
        <w:t xml:space="preserve">rted cases following </w:t>
      </w:r>
      <w:r w:rsidR="001224A1" w:rsidRPr="003427EF">
        <w:rPr>
          <w:rFonts w:ascii="Times New Roman" w:hAnsi="Times New Roman" w:cs="Times New Roman"/>
          <w:sz w:val="24"/>
          <w:szCs w:val="24"/>
        </w:rPr>
        <w:t>treatment.</w:t>
      </w:r>
      <w:r w:rsidR="001224A1" w:rsidRPr="003427EF">
        <w:rPr>
          <w:rFonts w:ascii="Times New Roman" w:hAnsi="Times New Roman" w:cs="Times New Roman"/>
          <w:sz w:val="24"/>
          <w:szCs w:val="24"/>
          <w:vertAlign w:val="superscript"/>
        </w:rPr>
        <w:t xml:space="preserve"> (</w:t>
      </w:r>
      <w:r w:rsidR="00235294" w:rsidRPr="003427EF">
        <w:rPr>
          <w:rFonts w:ascii="Times New Roman" w:hAnsi="Times New Roman" w:cs="Times New Roman"/>
          <w:sz w:val="24"/>
          <w:szCs w:val="24"/>
          <w:vertAlign w:val="superscript"/>
        </w:rPr>
        <w:t>4</w:t>
      </w:r>
      <w:r w:rsidR="003427EF">
        <w:rPr>
          <w:rFonts w:ascii="Times New Roman" w:hAnsi="Times New Roman" w:cs="Times New Roman"/>
          <w:sz w:val="24"/>
          <w:szCs w:val="24"/>
          <w:vertAlign w:val="superscript"/>
        </w:rPr>
        <w:t>,6</w:t>
      </w:r>
      <w:r w:rsidR="00235294" w:rsidRPr="003427EF">
        <w:rPr>
          <w:rFonts w:ascii="Times New Roman" w:hAnsi="Times New Roman" w:cs="Times New Roman"/>
          <w:sz w:val="24"/>
          <w:szCs w:val="24"/>
          <w:vertAlign w:val="superscript"/>
        </w:rPr>
        <w:t>)</w:t>
      </w:r>
    </w:p>
    <w:p w14:paraId="74518C19" w14:textId="3FFA1EE1" w:rsidR="0060586F" w:rsidRPr="003427EF" w:rsidRDefault="00BD4A68"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Epidemiology and causes</w:t>
      </w:r>
    </w:p>
    <w:p w14:paraId="7778803B" w14:textId="4A635C4B" w:rsidR="0060586F" w:rsidRPr="003427EF" w:rsidRDefault="00E4034E" w:rsidP="003427EF">
      <w:pPr>
        <w:spacing w:line="240" w:lineRule="auto"/>
        <w:jc w:val="both"/>
        <w:rPr>
          <w:rFonts w:ascii="Times New Roman" w:hAnsi="Times New Roman" w:cs="Times New Roman"/>
          <w:sz w:val="24"/>
          <w:szCs w:val="24"/>
          <w:vertAlign w:val="superscript"/>
        </w:rPr>
      </w:pPr>
      <w:r w:rsidRPr="003427EF">
        <w:rPr>
          <w:rFonts w:ascii="Times New Roman" w:hAnsi="Times New Roman" w:cs="Times New Roman"/>
          <w:sz w:val="24"/>
          <w:szCs w:val="24"/>
        </w:rPr>
        <w:t>The reported annual incidence of Cushing’s syndrome is approximately 0.2–5 cases per million individuals.</w:t>
      </w:r>
      <w:r w:rsidR="0060586F" w:rsidRPr="003427EF">
        <w:rPr>
          <w:rFonts w:ascii="Times New Roman" w:hAnsi="Times New Roman" w:cs="Times New Roman"/>
          <w:sz w:val="24"/>
          <w:szCs w:val="24"/>
        </w:rPr>
        <w:t xml:space="preserve"> The median age at diagnosis is approximately 41.4 years, and females are more commonly affected than males in a ratio of about 3:1. Increased prevalence has been observed among individuals with uncontrolled type 2 diabetes, hypertension, and early-onset osteoporosis. </w:t>
      </w:r>
      <w:r w:rsidRPr="003427EF">
        <w:rPr>
          <w:rFonts w:ascii="Times New Roman" w:hAnsi="Times New Roman" w:cs="Times New Roman"/>
          <w:sz w:val="24"/>
          <w:szCs w:val="24"/>
        </w:rPr>
        <w:t xml:space="preserve">Endogenous forms of Cushing’s syndrome are broadly categorized as </w:t>
      </w:r>
      <w:bookmarkStart w:id="0" w:name="_Hlk226632484"/>
      <w:r w:rsidRPr="003427EF">
        <w:rPr>
          <w:rFonts w:ascii="Times New Roman" w:hAnsi="Times New Roman" w:cs="Times New Roman"/>
          <w:sz w:val="24"/>
          <w:szCs w:val="24"/>
        </w:rPr>
        <w:t>ACTH-dependent and ACTH-independent</w:t>
      </w:r>
      <w:bookmarkEnd w:id="0"/>
      <w:r w:rsidRPr="003427EF">
        <w:rPr>
          <w:rFonts w:ascii="Times New Roman" w:hAnsi="Times New Roman" w:cs="Times New Roman"/>
          <w:sz w:val="24"/>
          <w:szCs w:val="24"/>
        </w:rPr>
        <w:t xml:space="preserve"> types</w:t>
      </w:r>
      <w:r w:rsidR="0060586F" w:rsidRPr="003427EF">
        <w:rPr>
          <w:rFonts w:ascii="Times New Roman" w:hAnsi="Times New Roman" w:cs="Times New Roman"/>
          <w:sz w:val="24"/>
          <w:szCs w:val="24"/>
        </w:rPr>
        <w:t xml:space="preserve">. ACTH‑dependent causes most commonly involve pituitary </w:t>
      </w:r>
      <w:r w:rsidR="00F134FC" w:rsidRPr="003427EF">
        <w:rPr>
          <w:rFonts w:ascii="Times New Roman" w:hAnsi="Times New Roman" w:cs="Times New Roman"/>
          <w:sz w:val="24"/>
          <w:szCs w:val="24"/>
        </w:rPr>
        <w:t>corticotrophin</w:t>
      </w:r>
      <w:r w:rsidR="0060586F" w:rsidRPr="003427EF">
        <w:rPr>
          <w:rFonts w:ascii="Times New Roman" w:hAnsi="Times New Roman" w:cs="Times New Roman"/>
          <w:sz w:val="24"/>
          <w:szCs w:val="24"/>
        </w:rPr>
        <w:t xml:space="preserve"> adenomas (Cushing’s disease), while ectopic ACTH secretion accounts for a smaller proportion. Some ectopic tumors remain undetected for years. Rare cases involve CRH‑secreting tumors such as neuroendocrine tumors, medullary thyroid carcinoma, and pheochromocytoma. ACTH‑independent causes include adrenal adenomas, carcinomas, bilateral macronodular adrenal hyperplasia, and primary pigmented </w:t>
      </w:r>
      <w:r w:rsidR="00235294" w:rsidRPr="003427EF">
        <w:rPr>
          <w:rFonts w:ascii="Times New Roman" w:hAnsi="Times New Roman" w:cs="Times New Roman"/>
          <w:sz w:val="24"/>
          <w:szCs w:val="24"/>
        </w:rPr>
        <w:t xml:space="preserve">nodular adrenocortical </w:t>
      </w:r>
      <w:r w:rsidR="001224A1" w:rsidRPr="003427EF">
        <w:rPr>
          <w:rFonts w:ascii="Times New Roman" w:hAnsi="Times New Roman" w:cs="Times New Roman"/>
          <w:sz w:val="24"/>
          <w:szCs w:val="24"/>
        </w:rPr>
        <w:t>disease.</w:t>
      </w:r>
      <w:r w:rsidR="001224A1" w:rsidRPr="003427EF">
        <w:rPr>
          <w:rFonts w:ascii="Times New Roman" w:hAnsi="Times New Roman" w:cs="Times New Roman"/>
          <w:sz w:val="24"/>
          <w:szCs w:val="24"/>
          <w:vertAlign w:val="superscript"/>
        </w:rPr>
        <w:t xml:space="preserve"> (</w:t>
      </w:r>
      <w:r w:rsidR="00235294" w:rsidRPr="003427EF">
        <w:rPr>
          <w:rFonts w:ascii="Times New Roman" w:hAnsi="Times New Roman" w:cs="Times New Roman"/>
          <w:sz w:val="24"/>
          <w:szCs w:val="24"/>
          <w:vertAlign w:val="superscript"/>
        </w:rPr>
        <w:t>5</w:t>
      </w:r>
      <w:r w:rsidR="003427EF">
        <w:rPr>
          <w:rFonts w:ascii="Times New Roman" w:hAnsi="Times New Roman" w:cs="Times New Roman"/>
          <w:sz w:val="24"/>
          <w:szCs w:val="24"/>
          <w:vertAlign w:val="superscript"/>
        </w:rPr>
        <w:t>,8</w:t>
      </w:r>
      <w:r w:rsidR="00235294" w:rsidRPr="003427EF">
        <w:rPr>
          <w:rFonts w:ascii="Times New Roman" w:hAnsi="Times New Roman" w:cs="Times New Roman"/>
          <w:sz w:val="24"/>
          <w:szCs w:val="24"/>
          <w:vertAlign w:val="superscript"/>
        </w:rPr>
        <w:t>)</w:t>
      </w:r>
    </w:p>
    <w:tbl>
      <w:tblPr>
        <w:tblW w:w="4595" w:type="dxa"/>
        <w:tblCellMar>
          <w:top w:w="15" w:type="dxa"/>
          <w:left w:w="15" w:type="dxa"/>
          <w:bottom w:w="15" w:type="dxa"/>
          <w:right w:w="15" w:type="dxa"/>
        </w:tblCellMar>
        <w:tblLook w:val="04A0" w:firstRow="1" w:lastRow="0" w:firstColumn="1" w:lastColumn="0" w:noHBand="0" w:noVBand="1"/>
      </w:tblPr>
      <w:tblGrid>
        <w:gridCol w:w="1074"/>
        <w:gridCol w:w="854"/>
        <w:gridCol w:w="694"/>
        <w:gridCol w:w="961"/>
        <w:gridCol w:w="1012"/>
      </w:tblGrid>
      <w:tr w:rsidR="007F12C4" w:rsidRPr="007F12C4" w14:paraId="72F95C55" w14:textId="77777777" w:rsidTr="007F12C4">
        <w:trPr>
          <w:trHeight w:val="247"/>
        </w:trPr>
        <w:tc>
          <w:tcPr>
            <w:tcW w:w="1074" w:type="dxa"/>
            <w:tcBorders>
              <w:bottom w:val="single" w:sz="8" w:space="0" w:color="DCDFE5"/>
            </w:tcBorders>
            <w:tcMar>
              <w:top w:w="120" w:type="dxa"/>
              <w:left w:w="0" w:type="dxa"/>
              <w:bottom w:w="120" w:type="dxa"/>
              <w:right w:w="240" w:type="dxa"/>
            </w:tcMar>
            <w:hideMark/>
          </w:tcPr>
          <w:p w14:paraId="44FEC09E" w14:textId="77777777" w:rsidR="007F12C4" w:rsidRPr="007F12C4" w:rsidRDefault="007F12C4" w:rsidP="007F12C4">
            <w:pPr>
              <w:spacing w:after="0" w:line="240" w:lineRule="auto"/>
              <w:rPr>
                <w:rFonts w:ascii="Arial" w:eastAsia="Times New Roman" w:hAnsi="Arial" w:cs="Arial"/>
                <w:b/>
                <w:bCs/>
                <w:sz w:val="12"/>
                <w:szCs w:val="12"/>
              </w:rPr>
            </w:pPr>
            <w:r w:rsidRPr="007F12C4">
              <w:rPr>
                <w:rFonts w:ascii="Arial" w:eastAsia="Times New Roman" w:hAnsi="Arial" w:cs="Arial"/>
                <w:b/>
                <w:bCs/>
                <w:sz w:val="12"/>
                <w:szCs w:val="12"/>
              </w:rPr>
              <w:t>Category</w:t>
            </w:r>
          </w:p>
        </w:tc>
        <w:tc>
          <w:tcPr>
            <w:tcW w:w="854" w:type="dxa"/>
            <w:tcBorders>
              <w:bottom w:val="single" w:sz="8" w:space="0" w:color="DCDFE5"/>
            </w:tcBorders>
            <w:tcMar>
              <w:top w:w="120" w:type="dxa"/>
              <w:left w:w="0" w:type="dxa"/>
              <w:bottom w:w="120" w:type="dxa"/>
              <w:right w:w="240" w:type="dxa"/>
            </w:tcMar>
            <w:hideMark/>
          </w:tcPr>
          <w:p w14:paraId="7C304835" w14:textId="77777777" w:rsidR="007F12C4" w:rsidRPr="007F12C4" w:rsidRDefault="007F12C4" w:rsidP="007F12C4">
            <w:pPr>
              <w:spacing w:after="0" w:line="240" w:lineRule="auto"/>
              <w:rPr>
                <w:rFonts w:ascii="Arial" w:eastAsia="Times New Roman" w:hAnsi="Arial" w:cs="Arial"/>
                <w:b/>
                <w:bCs/>
                <w:sz w:val="12"/>
                <w:szCs w:val="12"/>
              </w:rPr>
            </w:pPr>
            <w:r w:rsidRPr="007F12C4">
              <w:rPr>
                <w:rFonts w:ascii="Arial" w:eastAsia="Times New Roman" w:hAnsi="Arial" w:cs="Arial"/>
                <w:b/>
                <w:bCs/>
                <w:sz w:val="12"/>
                <w:szCs w:val="12"/>
              </w:rPr>
              <w:t>Proportion (%)</w:t>
            </w:r>
          </w:p>
        </w:tc>
        <w:tc>
          <w:tcPr>
            <w:tcW w:w="694" w:type="dxa"/>
            <w:tcBorders>
              <w:bottom w:val="single" w:sz="8" w:space="0" w:color="DCDFE5"/>
            </w:tcBorders>
            <w:tcMar>
              <w:top w:w="120" w:type="dxa"/>
              <w:left w:w="0" w:type="dxa"/>
              <w:bottom w:w="120" w:type="dxa"/>
              <w:right w:w="240" w:type="dxa"/>
            </w:tcMar>
            <w:hideMark/>
          </w:tcPr>
          <w:p w14:paraId="634F1F26" w14:textId="77777777" w:rsidR="007F12C4" w:rsidRPr="007F12C4" w:rsidRDefault="007F12C4" w:rsidP="007F12C4">
            <w:pPr>
              <w:spacing w:after="0" w:line="240" w:lineRule="auto"/>
              <w:rPr>
                <w:rFonts w:ascii="Arial" w:eastAsia="Times New Roman" w:hAnsi="Arial" w:cs="Arial"/>
                <w:b/>
                <w:bCs/>
                <w:sz w:val="12"/>
                <w:szCs w:val="12"/>
              </w:rPr>
            </w:pPr>
            <w:r w:rsidRPr="007F12C4">
              <w:rPr>
                <w:rFonts w:ascii="Arial" w:eastAsia="Times New Roman" w:hAnsi="Arial" w:cs="Arial"/>
                <w:b/>
                <w:bCs/>
                <w:sz w:val="12"/>
                <w:szCs w:val="12"/>
              </w:rPr>
              <w:t>Age (Peak)</w:t>
            </w:r>
          </w:p>
        </w:tc>
        <w:tc>
          <w:tcPr>
            <w:tcW w:w="961" w:type="dxa"/>
            <w:tcBorders>
              <w:bottom w:val="single" w:sz="8" w:space="0" w:color="DCDFE5"/>
            </w:tcBorders>
            <w:tcMar>
              <w:top w:w="120" w:type="dxa"/>
              <w:left w:w="0" w:type="dxa"/>
              <w:bottom w:w="120" w:type="dxa"/>
              <w:right w:w="240" w:type="dxa"/>
            </w:tcMar>
            <w:hideMark/>
          </w:tcPr>
          <w:p w14:paraId="6D6AE56B" w14:textId="77777777" w:rsidR="007F12C4" w:rsidRPr="007F12C4" w:rsidRDefault="007F12C4" w:rsidP="007F12C4">
            <w:pPr>
              <w:spacing w:after="0" w:line="240" w:lineRule="auto"/>
              <w:rPr>
                <w:rFonts w:ascii="Arial" w:eastAsia="Times New Roman" w:hAnsi="Arial" w:cs="Arial"/>
                <w:b/>
                <w:bCs/>
                <w:sz w:val="12"/>
                <w:szCs w:val="12"/>
              </w:rPr>
            </w:pPr>
            <w:proofErr w:type="spellStart"/>
            <w:r w:rsidRPr="007F12C4">
              <w:rPr>
                <w:rFonts w:ascii="Arial" w:eastAsia="Times New Roman" w:hAnsi="Arial" w:cs="Arial"/>
                <w:b/>
                <w:bCs/>
                <w:sz w:val="12"/>
                <w:szCs w:val="12"/>
              </w:rPr>
              <w:t>Female:Male</w:t>
            </w:r>
            <w:proofErr w:type="spellEnd"/>
          </w:p>
        </w:tc>
        <w:tc>
          <w:tcPr>
            <w:tcW w:w="1012" w:type="dxa"/>
            <w:tcBorders>
              <w:bottom w:val="single" w:sz="8" w:space="0" w:color="DCDFE5"/>
            </w:tcBorders>
            <w:tcMar>
              <w:top w:w="120" w:type="dxa"/>
              <w:left w:w="0" w:type="dxa"/>
              <w:bottom w:w="120" w:type="dxa"/>
              <w:right w:w="0" w:type="dxa"/>
            </w:tcMar>
            <w:hideMark/>
          </w:tcPr>
          <w:p w14:paraId="38F03A4D" w14:textId="77777777" w:rsidR="007F12C4" w:rsidRPr="007F12C4" w:rsidRDefault="007F12C4" w:rsidP="007F12C4">
            <w:pPr>
              <w:spacing w:after="0" w:line="240" w:lineRule="auto"/>
              <w:rPr>
                <w:rFonts w:ascii="Arial" w:eastAsia="Times New Roman" w:hAnsi="Arial" w:cs="Arial"/>
                <w:b/>
                <w:bCs/>
                <w:sz w:val="12"/>
                <w:szCs w:val="12"/>
              </w:rPr>
            </w:pPr>
            <w:r w:rsidRPr="007F12C4">
              <w:rPr>
                <w:rFonts w:ascii="Arial" w:eastAsia="Times New Roman" w:hAnsi="Arial" w:cs="Arial"/>
                <w:b/>
                <w:bCs/>
                <w:sz w:val="12"/>
                <w:szCs w:val="12"/>
              </w:rPr>
              <w:t>Features</w:t>
            </w:r>
          </w:p>
        </w:tc>
      </w:tr>
      <w:tr w:rsidR="007F12C4" w:rsidRPr="007F12C4" w14:paraId="20ADE3A7" w14:textId="77777777" w:rsidTr="007F12C4">
        <w:trPr>
          <w:trHeight w:val="127"/>
        </w:trPr>
        <w:tc>
          <w:tcPr>
            <w:tcW w:w="1074" w:type="dxa"/>
            <w:tcBorders>
              <w:bottom w:val="single" w:sz="8" w:space="0" w:color="DCDFE5"/>
            </w:tcBorders>
            <w:tcMar>
              <w:top w:w="180" w:type="dxa"/>
              <w:left w:w="0" w:type="dxa"/>
              <w:bottom w:w="180" w:type="dxa"/>
              <w:right w:w="240" w:type="dxa"/>
            </w:tcMar>
            <w:hideMark/>
          </w:tcPr>
          <w:p w14:paraId="63582A34"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b/>
                <w:bCs/>
                <w:color w:val="0A0A0A"/>
                <w:sz w:val="12"/>
                <w:szCs w:val="12"/>
              </w:rPr>
              <w:t>ACTH-dependent</w:t>
            </w:r>
          </w:p>
        </w:tc>
        <w:tc>
          <w:tcPr>
            <w:tcW w:w="854" w:type="dxa"/>
            <w:tcBorders>
              <w:bottom w:val="single" w:sz="8" w:space="0" w:color="DCDFE5"/>
            </w:tcBorders>
            <w:tcMar>
              <w:top w:w="180" w:type="dxa"/>
              <w:left w:w="0" w:type="dxa"/>
              <w:bottom w:w="180" w:type="dxa"/>
              <w:right w:w="240" w:type="dxa"/>
            </w:tcMar>
            <w:hideMark/>
          </w:tcPr>
          <w:p w14:paraId="4857FA83"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b/>
                <w:bCs/>
                <w:color w:val="0A0A0A"/>
                <w:sz w:val="12"/>
                <w:szCs w:val="12"/>
              </w:rPr>
              <w:t>70–80</w:t>
            </w:r>
          </w:p>
        </w:tc>
        <w:tc>
          <w:tcPr>
            <w:tcW w:w="694" w:type="dxa"/>
            <w:tcBorders>
              <w:bottom w:val="single" w:sz="8" w:space="0" w:color="DCDFE5"/>
            </w:tcBorders>
            <w:tcMar>
              <w:top w:w="180" w:type="dxa"/>
              <w:left w:w="0" w:type="dxa"/>
              <w:bottom w:w="180" w:type="dxa"/>
              <w:right w:w="240" w:type="dxa"/>
            </w:tcMar>
            <w:hideMark/>
          </w:tcPr>
          <w:p w14:paraId="72324376"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961" w:type="dxa"/>
            <w:tcBorders>
              <w:bottom w:val="single" w:sz="8" w:space="0" w:color="DCDFE5"/>
            </w:tcBorders>
            <w:tcMar>
              <w:top w:w="180" w:type="dxa"/>
              <w:left w:w="0" w:type="dxa"/>
              <w:bottom w:w="180" w:type="dxa"/>
              <w:right w:w="240" w:type="dxa"/>
            </w:tcMar>
            <w:hideMark/>
          </w:tcPr>
          <w:p w14:paraId="0D52F7D6"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1012" w:type="dxa"/>
            <w:tcBorders>
              <w:bottom w:val="single" w:sz="8" w:space="0" w:color="DCDFE5"/>
            </w:tcBorders>
            <w:tcMar>
              <w:top w:w="180" w:type="dxa"/>
              <w:left w:w="0" w:type="dxa"/>
              <w:bottom w:w="180" w:type="dxa"/>
              <w:right w:w="0" w:type="dxa"/>
            </w:tcMar>
            <w:hideMark/>
          </w:tcPr>
          <w:p w14:paraId="42FA8ADC"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r>
      <w:tr w:rsidR="007F12C4" w:rsidRPr="007F12C4" w14:paraId="4B064EF8" w14:textId="77777777" w:rsidTr="007F12C4">
        <w:trPr>
          <w:trHeight w:val="137"/>
        </w:trPr>
        <w:tc>
          <w:tcPr>
            <w:tcW w:w="1074" w:type="dxa"/>
            <w:tcBorders>
              <w:bottom w:val="single" w:sz="8" w:space="0" w:color="DCDFE5"/>
            </w:tcBorders>
            <w:tcMar>
              <w:top w:w="180" w:type="dxa"/>
              <w:left w:w="0" w:type="dxa"/>
              <w:bottom w:w="180" w:type="dxa"/>
              <w:right w:w="240" w:type="dxa"/>
            </w:tcMar>
            <w:hideMark/>
          </w:tcPr>
          <w:p w14:paraId="4A034D51"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Cushing's disease</w:t>
            </w:r>
          </w:p>
        </w:tc>
        <w:tc>
          <w:tcPr>
            <w:tcW w:w="854" w:type="dxa"/>
            <w:tcBorders>
              <w:bottom w:val="single" w:sz="8" w:space="0" w:color="DCDFE5"/>
            </w:tcBorders>
            <w:tcMar>
              <w:top w:w="180" w:type="dxa"/>
              <w:left w:w="0" w:type="dxa"/>
              <w:bottom w:w="180" w:type="dxa"/>
              <w:right w:w="240" w:type="dxa"/>
            </w:tcMar>
            <w:hideMark/>
          </w:tcPr>
          <w:p w14:paraId="7BB9F97C"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60–70</w:t>
            </w:r>
          </w:p>
        </w:tc>
        <w:tc>
          <w:tcPr>
            <w:tcW w:w="694" w:type="dxa"/>
            <w:tcBorders>
              <w:bottom w:val="single" w:sz="8" w:space="0" w:color="DCDFE5"/>
            </w:tcBorders>
            <w:tcMar>
              <w:top w:w="180" w:type="dxa"/>
              <w:left w:w="0" w:type="dxa"/>
              <w:bottom w:w="180" w:type="dxa"/>
              <w:right w:w="240" w:type="dxa"/>
            </w:tcMar>
            <w:hideMark/>
          </w:tcPr>
          <w:p w14:paraId="28A4FAD1"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961" w:type="dxa"/>
            <w:tcBorders>
              <w:bottom w:val="single" w:sz="8" w:space="0" w:color="DCDFE5"/>
            </w:tcBorders>
            <w:tcMar>
              <w:top w:w="180" w:type="dxa"/>
              <w:left w:w="0" w:type="dxa"/>
              <w:bottom w:w="180" w:type="dxa"/>
              <w:right w:w="240" w:type="dxa"/>
            </w:tcMar>
            <w:hideMark/>
          </w:tcPr>
          <w:p w14:paraId="5C36E5A3"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1012" w:type="dxa"/>
            <w:tcBorders>
              <w:bottom w:val="single" w:sz="8" w:space="0" w:color="DCDFE5"/>
            </w:tcBorders>
            <w:tcMar>
              <w:top w:w="180" w:type="dxa"/>
              <w:left w:w="0" w:type="dxa"/>
              <w:bottom w:w="180" w:type="dxa"/>
              <w:right w:w="0" w:type="dxa"/>
            </w:tcMar>
            <w:hideMark/>
          </w:tcPr>
          <w:p w14:paraId="41148385"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r>
      <w:tr w:rsidR="007F12C4" w:rsidRPr="007F12C4" w14:paraId="2308B1CB" w14:textId="77777777" w:rsidTr="007F12C4">
        <w:trPr>
          <w:trHeight w:val="127"/>
        </w:trPr>
        <w:tc>
          <w:tcPr>
            <w:tcW w:w="1074" w:type="dxa"/>
            <w:tcBorders>
              <w:bottom w:val="single" w:sz="8" w:space="0" w:color="DCDFE5"/>
            </w:tcBorders>
            <w:tcMar>
              <w:top w:w="180" w:type="dxa"/>
              <w:left w:w="0" w:type="dxa"/>
              <w:bottom w:w="180" w:type="dxa"/>
              <w:right w:w="240" w:type="dxa"/>
            </w:tcMar>
            <w:hideMark/>
          </w:tcPr>
          <w:p w14:paraId="4C106F23"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w:t>
            </w:r>
            <w:proofErr w:type="spellStart"/>
            <w:r w:rsidRPr="007F12C4">
              <w:rPr>
                <w:rFonts w:ascii="Arial" w:eastAsia="Times New Roman" w:hAnsi="Arial" w:cs="Arial"/>
                <w:color w:val="0A0A0A"/>
                <w:sz w:val="12"/>
                <w:szCs w:val="12"/>
              </w:rPr>
              <w:t>Corticotroph</w:t>
            </w:r>
            <w:proofErr w:type="spellEnd"/>
            <w:r w:rsidRPr="007F12C4">
              <w:rPr>
                <w:rFonts w:ascii="Arial" w:eastAsia="Times New Roman" w:hAnsi="Arial" w:cs="Arial"/>
                <w:color w:val="0A0A0A"/>
                <w:sz w:val="12"/>
                <w:szCs w:val="12"/>
              </w:rPr>
              <w:t xml:space="preserve"> adenoma</w:t>
            </w:r>
          </w:p>
        </w:tc>
        <w:tc>
          <w:tcPr>
            <w:tcW w:w="854" w:type="dxa"/>
            <w:tcBorders>
              <w:bottom w:val="single" w:sz="8" w:space="0" w:color="DCDFE5"/>
            </w:tcBorders>
            <w:tcMar>
              <w:top w:w="180" w:type="dxa"/>
              <w:left w:w="0" w:type="dxa"/>
              <w:bottom w:w="180" w:type="dxa"/>
              <w:right w:w="240" w:type="dxa"/>
            </w:tcMar>
            <w:hideMark/>
          </w:tcPr>
          <w:p w14:paraId="2D8472E6"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60–70</w:t>
            </w:r>
          </w:p>
        </w:tc>
        <w:tc>
          <w:tcPr>
            <w:tcW w:w="694" w:type="dxa"/>
            <w:tcBorders>
              <w:bottom w:val="single" w:sz="8" w:space="0" w:color="DCDFE5"/>
            </w:tcBorders>
            <w:tcMar>
              <w:top w:w="180" w:type="dxa"/>
              <w:left w:w="0" w:type="dxa"/>
              <w:bottom w:w="180" w:type="dxa"/>
              <w:right w:w="240" w:type="dxa"/>
            </w:tcMar>
            <w:hideMark/>
          </w:tcPr>
          <w:p w14:paraId="4D38AB95"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3rd–4th decades</w:t>
            </w:r>
          </w:p>
        </w:tc>
        <w:tc>
          <w:tcPr>
            <w:tcW w:w="961" w:type="dxa"/>
            <w:tcBorders>
              <w:bottom w:val="single" w:sz="8" w:space="0" w:color="DCDFE5"/>
            </w:tcBorders>
            <w:tcMar>
              <w:top w:w="180" w:type="dxa"/>
              <w:left w:w="0" w:type="dxa"/>
              <w:bottom w:w="180" w:type="dxa"/>
              <w:right w:w="240" w:type="dxa"/>
            </w:tcMar>
            <w:hideMark/>
          </w:tcPr>
          <w:p w14:paraId="121B5EA7"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3–5:1</w:t>
            </w:r>
          </w:p>
        </w:tc>
        <w:tc>
          <w:tcPr>
            <w:tcW w:w="1012" w:type="dxa"/>
            <w:tcBorders>
              <w:bottom w:val="single" w:sz="8" w:space="0" w:color="DCDFE5"/>
            </w:tcBorders>
            <w:tcMar>
              <w:top w:w="180" w:type="dxa"/>
              <w:left w:w="0" w:type="dxa"/>
              <w:bottom w:w="180" w:type="dxa"/>
              <w:right w:w="0" w:type="dxa"/>
            </w:tcMar>
            <w:hideMark/>
          </w:tcPr>
          <w:p w14:paraId="3F0AF93F"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Roughly 50% non-visible on MRI</w:t>
            </w:r>
          </w:p>
        </w:tc>
      </w:tr>
      <w:tr w:rsidR="007F12C4" w:rsidRPr="007F12C4" w14:paraId="1A0344AF" w14:textId="77777777" w:rsidTr="007F12C4">
        <w:trPr>
          <w:trHeight w:val="127"/>
        </w:trPr>
        <w:tc>
          <w:tcPr>
            <w:tcW w:w="1074" w:type="dxa"/>
            <w:tcBorders>
              <w:bottom w:val="single" w:sz="8" w:space="0" w:color="DCDFE5"/>
            </w:tcBorders>
            <w:tcMar>
              <w:top w:w="180" w:type="dxa"/>
              <w:left w:w="0" w:type="dxa"/>
              <w:bottom w:w="180" w:type="dxa"/>
              <w:right w:w="240" w:type="dxa"/>
            </w:tcMar>
            <w:hideMark/>
          </w:tcPr>
          <w:p w14:paraId="1F996C4D"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w:t>
            </w:r>
            <w:proofErr w:type="spellStart"/>
            <w:r w:rsidRPr="007F12C4">
              <w:rPr>
                <w:rFonts w:ascii="Arial" w:eastAsia="Times New Roman" w:hAnsi="Arial" w:cs="Arial"/>
                <w:color w:val="0A0A0A"/>
                <w:sz w:val="12"/>
                <w:szCs w:val="12"/>
              </w:rPr>
              <w:t>Corticotroph</w:t>
            </w:r>
            <w:proofErr w:type="spellEnd"/>
            <w:r w:rsidRPr="007F12C4">
              <w:rPr>
                <w:rFonts w:ascii="Arial" w:eastAsia="Times New Roman" w:hAnsi="Arial" w:cs="Arial"/>
                <w:color w:val="0A0A0A"/>
                <w:sz w:val="12"/>
                <w:szCs w:val="12"/>
              </w:rPr>
              <w:t xml:space="preserve"> hyperplasia</w:t>
            </w:r>
          </w:p>
        </w:tc>
        <w:tc>
          <w:tcPr>
            <w:tcW w:w="854" w:type="dxa"/>
            <w:tcBorders>
              <w:bottom w:val="single" w:sz="8" w:space="0" w:color="DCDFE5"/>
            </w:tcBorders>
            <w:tcMar>
              <w:top w:w="180" w:type="dxa"/>
              <w:left w:w="0" w:type="dxa"/>
              <w:bottom w:w="180" w:type="dxa"/>
              <w:right w:w="240" w:type="dxa"/>
            </w:tcMar>
            <w:hideMark/>
          </w:tcPr>
          <w:p w14:paraId="5BDC7840"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Very rare</w:t>
            </w:r>
          </w:p>
        </w:tc>
        <w:tc>
          <w:tcPr>
            <w:tcW w:w="694" w:type="dxa"/>
            <w:tcBorders>
              <w:bottom w:val="single" w:sz="8" w:space="0" w:color="DCDFE5"/>
            </w:tcBorders>
            <w:tcMar>
              <w:top w:w="180" w:type="dxa"/>
              <w:left w:w="0" w:type="dxa"/>
              <w:bottom w:w="180" w:type="dxa"/>
              <w:right w:w="240" w:type="dxa"/>
            </w:tcMar>
            <w:hideMark/>
          </w:tcPr>
          <w:p w14:paraId="33FE0485"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961" w:type="dxa"/>
            <w:tcBorders>
              <w:bottom w:val="single" w:sz="8" w:space="0" w:color="DCDFE5"/>
            </w:tcBorders>
            <w:tcMar>
              <w:top w:w="180" w:type="dxa"/>
              <w:left w:w="0" w:type="dxa"/>
              <w:bottom w:w="180" w:type="dxa"/>
              <w:right w:w="240" w:type="dxa"/>
            </w:tcMar>
            <w:hideMark/>
          </w:tcPr>
          <w:p w14:paraId="330030EB"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1012" w:type="dxa"/>
            <w:tcBorders>
              <w:bottom w:val="single" w:sz="8" w:space="0" w:color="DCDFE5"/>
            </w:tcBorders>
            <w:tcMar>
              <w:top w:w="180" w:type="dxa"/>
              <w:left w:w="0" w:type="dxa"/>
              <w:bottom w:w="180" w:type="dxa"/>
              <w:right w:w="0" w:type="dxa"/>
            </w:tcMar>
            <w:hideMark/>
          </w:tcPr>
          <w:p w14:paraId="29616F9B"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r>
      <w:tr w:rsidR="007F12C4" w:rsidRPr="007F12C4" w14:paraId="2F6BB3E8" w14:textId="77777777" w:rsidTr="007F12C4">
        <w:trPr>
          <w:trHeight w:val="127"/>
        </w:trPr>
        <w:tc>
          <w:tcPr>
            <w:tcW w:w="1074" w:type="dxa"/>
            <w:tcBorders>
              <w:bottom w:val="single" w:sz="8" w:space="0" w:color="DCDFE5"/>
            </w:tcBorders>
            <w:tcMar>
              <w:top w:w="180" w:type="dxa"/>
              <w:left w:w="0" w:type="dxa"/>
              <w:bottom w:w="180" w:type="dxa"/>
              <w:right w:w="240" w:type="dxa"/>
            </w:tcMar>
            <w:hideMark/>
          </w:tcPr>
          <w:p w14:paraId="0A6EA9F8"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lastRenderedPageBreak/>
              <w:t>Ectopic ACTH*</w:t>
            </w:r>
          </w:p>
        </w:tc>
        <w:tc>
          <w:tcPr>
            <w:tcW w:w="854" w:type="dxa"/>
            <w:tcBorders>
              <w:bottom w:val="single" w:sz="8" w:space="0" w:color="DCDFE5"/>
            </w:tcBorders>
            <w:tcMar>
              <w:top w:w="180" w:type="dxa"/>
              <w:left w:w="0" w:type="dxa"/>
              <w:bottom w:w="180" w:type="dxa"/>
              <w:right w:w="240" w:type="dxa"/>
            </w:tcMar>
            <w:hideMark/>
          </w:tcPr>
          <w:p w14:paraId="527B5201"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5–10</w:t>
            </w:r>
          </w:p>
        </w:tc>
        <w:tc>
          <w:tcPr>
            <w:tcW w:w="694" w:type="dxa"/>
            <w:tcBorders>
              <w:bottom w:val="single" w:sz="8" w:space="0" w:color="DCDFE5"/>
            </w:tcBorders>
            <w:tcMar>
              <w:top w:w="180" w:type="dxa"/>
              <w:left w:w="0" w:type="dxa"/>
              <w:bottom w:w="180" w:type="dxa"/>
              <w:right w:w="240" w:type="dxa"/>
            </w:tcMar>
            <w:hideMark/>
          </w:tcPr>
          <w:p w14:paraId="6005D211"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961" w:type="dxa"/>
            <w:tcBorders>
              <w:bottom w:val="single" w:sz="8" w:space="0" w:color="DCDFE5"/>
            </w:tcBorders>
            <w:tcMar>
              <w:top w:w="180" w:type="dxa"/>
              <w:left w:w="0" w:type="dxa"/>
              <w:bottom w:w="180" w:type="dxa"/>
              <w:right w:w="240" w:type="dxa"/>
            </w:tcMar>
            <w:hideMark/>
          </w:tcPr>
          <w:p w14:paraId="5A58D0FB"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1012" w:type="dxa"/>
            <w:tcBorders>
              <w:bottom w:val="single" w:sz="8" w:space="0" w:color="DCDFE5"/>
            </w:tcBorders>
            <w:tcMar>
              <w:top w:w="180" w:type="dxa"/>
              <w:left w:w="0" w:type="dxa"/>
              <w:bottom w:w="180" w:type="dxa"/>
              <w:right w:w="0" w:type="dxa"/>
            </w:tcMar>
            <w:hideMark/>
          </w:tcPr>
          <w:p w14:paraId="1C562239"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r>
      <w:tr w:rsidR="007F12C4" w:rsidRPr="007F12C4" w14:paraId="2163CDFD" w14:textId="77777777" w:rsidTr="007F12C4">
        <w:trPr>
          <w:trHeight w:val="256"/>
        </w:trPr>
        <w:tc>
          <w:tcPr>
            <w:tcW w:w="1074" w:type="dxa"/>
            <w:tcBorders>
              <w:bottom w:val="single" w:sz="8" w:space="0" w:color="DCDFE5"/>
            </w:tcBorders>
            <w:tcMar>
              <w:top w:w="180" w:type="dxa"/>
              <w:left w:w="0" w:type="dxa"/>
              <w:bottom w:w="180" w:type="dxa"/>
              <w:right w:w="240" w:type="dxa"/>
            </w:tcMar>
            <w:hideMark/>
          </w:tcPr>
          <w:p w14:paraId="51E1A4E5"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xml:space="preserve">    Malignant neuroendocrine </w:t>
            </w:r>
            <w:proofErr w:type="spellStart"/>
            <w:r w:rsidRPr="007F12C4">
              <w:rPr>
                <w:rFonts w:ascii="Arial" w:eastAsia="Times New Roman" w:hAnsi="Arial" w:cs="Arial"/>
                <w:color w:val="0A0A0A"/>
                <w:sz w:val="12"/>
                <w:szCs w:val="12"/>
              </w:rPr>
              <w:t>tumours</w:t>
            </w:r>
            <w:proofErr w:type="spellEnd"/>
          </w:p>
        </w:tc>
        <w:tc>
          <w:tcPr>
            <w:tcW w:w="854" w:type="dxa"/>
            <w:tcBorders>
              <w:bottom w:val="single" w:sz="8" w:space="0" w:color="DCDFE5"/>
            </w:tcBorders>
            <w:tcMar>
              <w:top w:w="180" w:type="dxa"/>
              <w:left w:w="0" w:type="dxa"/>
              <w:bottom w:w="180" w:type="dxa"/>
              <w:right w:w="240" w:type="dxa"/>
            </w:tcMar>
            <w:hideMark/>
          </w:tcPr>
          <w:p w14:paraId="587FC852"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About 4</w:t>
            </w:r>
          </w:p>
        </w:tc>
        <w:tc>
          <w:tcPr>
            <w:tcW w:w="694" w:type="dxa"/>
            <w:tcBorders>
              <w:bottom w:val="single" w:sz="8" w:space="0" w:color="DCDFE5"/>
            </w:tcBorders>
            <w:tcMar>
              <w:top w:w="180" w:type="dxa"/>
              <w:left w:w="0" w:type="dxa"/>
              <w:bottom w:w="180" w:type="dxa"/>
              <w:right w:w="240" w:type="dxa"/>
            </w:tcMar>
            <w:hideMark/>
          </w:tcPr>
          <w:p w14:paraId="3934D78B"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5th–6th decades</w:t>
            </w:r>
          </w:p>
        </w:tc>
        <w:tc>
          <w:tcPr>
            <w:tcW w:w="961" w:type="dxa"/>
            <w:tcBorders>
              <w:bottom w:val="single" w:sz="8" w:space="0" w:color="DCDFE5"/>
            </w:tcBorders>
            <w:tcMar>
              <w:top w:w="180" w:type="dxa"/>
              <w:left w:w="0" w:type="dxa"/>
              <w:bottom w:w="180" w:type="dxa"/>
              <w:right w:w="240" w:type="dxa"/>
            </w:tcMar>
            <w:hideMark/>
          </w:tcPr>
          <w:p w14:paraId="3B3DBC99"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0.6–1:1</w:t>
            </w:r>
          </w:p>
        </w:tc>
        <w:tc>
          <w:tcPr>
            <w:tcW w:w="1012" w:type="dxa"/>
            <w:tcBorders>
              <w:bottom w:val="single" w:sz="8" w:space="0" w:color="DCDFE5"/>
            </w:tcBorders>
            <w:tcMar>
              <w:top w:w="180" w:type="dxa"/>
              <w:left w:w="0" w:type="dxa"/>
              <w:bottom w:w="180" w:type="dxa"/>
              <w:right w:w="0" w:type="dxa"/>
            </w:tcMar>
            <w:hideMark/>
          </w:tcPr>
          <w:p w14:paraId="4A790FE6"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Might have very high ACTH</w:t>
            </w:r>
          </w:p>
        </w:tc>
      </w:tr>
      <w:tr w:rsidR="007F12C4" w:rsidRPr="007F12C4" w14:paraId="0CFC59E2" w14:textId="77777777" w:rsidTr="007F12C4">
        <w:trPr>
          <w:trHeight w:val="265"/>
        </w:trPr>
        <w:tc>
          <w:tcPr>
            <w:tcW w:w="1074" w:type="dxa"/>
            <w:tcBorders>
              <w:bottom w:val="single" w:sz="8" w:space="0" w:color="DCDFE5"/>
            </w:tcBorders>
            <w:tcMar>
              <w:top w:w="180" w:type="dxa"/>
              <w:left w:w="0" w:type="dxa"/>
              <w:bottom w:w="180" w:type="dxa"/>
              <w:right w:w="240" w:type="dxa"/>
            </w:tcMar>
            <w:hideMark/>
          </w:tcPr>
          <w:p w14:paraId="0CE217D0"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xml:space="preserve">    Benign neuroendocrine </w:t>
            </w:r>
            <w:proofErr w:type="spellStart"/>
            <w:r w:rsidRPr="007F12C4">
              <w:rPr>
                <w:rFonts w:ascii="Arial" w:eastAsia="Times New Roman" w:hAnsi="Arial" w:cs="Arial"/>
                <w:color w:val="0A0A0A"/>
                <w:sz w:val="12"/>
                <w:szCs w:val="12"/>
              </w:rPr>
              <w:t>tumours</w:t>
            </w:r>
            <w:proofErr w:type="spellEnd"/>
          </w:p>
        </w:tc>
        <w:tc>
          <w:tcPr>
            <w:tcW w:w="854" w:type="dxa"/>
            <w:tcBorders>
              <w:bottom w:val="single" w:sz="8" w:space="0" w:color="DCDFE5"/>
            </w:tcBorders>
            <w:tcMar>
              <w:top w:w="180" w:type="dxa"/>
              <w:left w:w="0" w:type="dxa"/>
              <w:bottom w:w="180" w:type="dxa"/>
              <w:right w:w="240" w:type="dxa"/>
            </w:tcMar>
            <w:hideMark/>
          </w:tcPr>
          <w:p w14:paraId="58B8432E"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About 6</w:t>
            </w:r>
          </w:p>
        </w:tc>
        <w:tc>
          <w:tcPr>
            <w:tcW w:w="694" w:type="dxa"/>
            <w:tcBorders>
              <w:bottom w:val="single" w:sz="8" w:space="0" w:color="DCDFE5"/>
            </w:tcBorders>
            <w:tcMar>
              <w:top w:w="180" w:type="dxa"/>
              <w:left w:w="0" w:type="dxa"/>
              <w:bottom w:w="180" w:type="dxa"/>
              <w:right w:w="240" w:type="dxa"/>
            </w:tcMar>
            <w:hideMark/>
          </w:tcPr>
          <w:p w14:paraId="2FF61387"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3rd–4th decades</w:t>
            </w:r>
          </w:p>
        </w:tc>
        <w:tc>
          <w:tcPr>
            <w:tcW w:w="961" w:type="dxa"/>
            <w:tcBorders>
              <w:bottom w:val="single" w:sz="8" w:space="0" w:color="DCDFE5"/>
            </w:tcBorders>
            <w:tcMar>
              <w:top w:w="180" w:type="dxa"/>
              <w:left w:w="0" w:type="dxa"/>
              <w:bottom w:w="180" w:type="dxa"/>
              <w:right w:w="240" w:type="dxa"/>
            </w:tcMar>
            <w:hideMark/>
          </w:tcPr>
          <w:p w14:paraId="0E57F764"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1012" w:type="dxa"/>
            <w:tcBorders>
              <w:bottom w:val="single" w:sz="8" w:space="0" w:color="DCDFE5"/>
            </w:tcBorders>
            <w:tcMar>
              <w:top w:w="180" w:type="dxa"/>
              <w:left w:w="0" w:type="dxa"/>
              <w:bottom w:w="180" w:type="dxa"/>
              <w:right w:w="0" w:type="dxa"/>
            </w:tcMar>
            <w:hideMark/>
          </w:tcPr>
          <w:p w14:paraId="5FBA6688"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Might respond to dexamethasone, CRH, desmopressin</w:t>
            </w:r>
          </w:p>
        </w:tc>
      </w:tr>
      <w:tr w:rsidR="007F12C4" w:rsidRPr="007F12C4" w14:paraId="69B301AF" w14:textId="77777777" w:rsidTr="007F12C4">
        <w:trPr>
          <w:trHeight w:val="256"/>
        </w:trPr>
        <w:tc>
          <w:tcPr>
            <w:tcW w:w="1074" w:type="dxa"/>
            <w:tcBorders>
              <w:bottom w:val="single" w:sz="8" w:space="0" w:color="DCDFE5"/>
            </w:tcBorders>
            <w:tcMar>
              <w:top w:w="180" w:type="dxa"/>
              <w:left w:w="0" w:type="dxa"/>
              <w:bottom w:w="180" w:type="dxa"/>
              <w:right w:w="240" w:type="dxa"/>
            </w:tcMar>
            <w:hideMark/>
          </w:tcPr>
          <w:p w14:paraId="4810EAD9"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xml:space="preserve">    Occult neuroendocrine </w:t>
            </w:r>
            <w:proofErr w:type="spellStart"/>
            <w:r w:rsidRPr="007F12C4">
              <w:rPr>
                <w:rFonts w:ascii="Arial" w:eastAsia="Times New Roman" w:hAnsi="Arial" w:cs="Arial"/>
                <w:color w:val="0A0A0A"/>
                <w:sz w:val="12"/>
                <w:szCs w:val="12"/>
              </w:rPr>
              <w:t>tumour</w:t>
            </w:r>
            <w:proofErr w:type="spellEnd"/>
          </w:p>
        </w:tc>
        <w:tc>
          <w:tcPr>
            <w:tcW w:w="854" w:type="dxa"/>
            <w:tcBorders>
              <w:bottom w:val="single" w:sz="8" w:space="0" w:color="DCDFE5"/>
            </w:tcBorders>
            <w:tcMar>
              <w:top w:w="180" w:type="dxa"/>
              <w:left w:w="0" w:type="dxa"/>
              <w:bottom w:w="180" w:type="dxa"/>
              <w:right w:w="240" w:type="dxa"/>
            </w:tcMar>
            <w:hideMark/>
          </w:tcPr>
          <w:p w14:paraId="4C0E6611"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About 2</w:t>
            </w:r>
          </w:p>
        </w:tc>
        <w:tc>
          <w:tcPr>
            <w:tcW w:w="694" w:type="dxa"/>
            <w:tcBorders>
              <w:bottom w:val="single" w:sz="8" w:space="0" w:color="DCDFE5"/>
            </w:tcBorders>
            <w:tcMar>
              <w:top w:w="180" w:type="dxa"/>
              <w:left w:w="0" w:type="dxa"/>
              <w:bottom w:w="180" w:type="dxa"/>
              <w:right w:w="240" w:type="dxa"/>
            </w:tcMar>
            <w:hideMark/>
          </w:tcPr>
          <w:p w14:paraId="5F6E6ED8"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961" w:type="dxa"/>
            <w:tcBorders>
              <w:bottom w:val="single" w:sz="8" w:space="0" w:color="DCDFE5"/>
            </w:tcBorders>
            <w:tcMar>
              <w:top w:w="180" w:type="dxa"/>
              <w:left w:w="0" w:type="dxa"/>
              <w:bottom w:w="180" w:type="dxa"/>
              <w:right w:w="240" w:type="dxa"/>
            </w:tcMar>
            <w:hideMark/>
          </w:tcPr>
          <w:p w14:paraId="2A9F380D"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1012" w:type="dxa"/>
            <w:tcBorders>
              <w:bottom w:val="single" w:sz="8" w:space="0" w:color="DCDFE5"/>
            </w:tcBorders>
            <w:tcMar>
              <w:top w:w="180" w:type="dxa"/>
              <w:left w:w="0" w:type="dxa"/>
              <w:bottom w:w="180" w:type="dxa"/>
              <w:right w:w="0" w:type="dxa"/>
            </w:tcMar>
            <w:hideMark/>
          </w:tcPr>
          <w:p w14:paraId="39360D8F"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r>
      <w:tr w:rsidR="007F12C4" w:rsidRPr="007F12C4" w14:paraId="14DD3DD4" w14:textId="77777777" w:rsidTr="007F12C4">
        <w:trPr>
          <w:trHeight w:val="127"/>
        </w:trPr>
        <w:tc>
          <w:tcPr>
            <w:tcW w:w="1074" w:type="dxa"/>
            <w:tcBorders>
              <w:bottom w:val="single" w:sz="8" w:space="0" w:color="DCDFE5"/>
            </w:tcBorders>
            <w:tcMar>
              <w:top w:w="180" w:type="dxa"/>
              <w:left w:w="0" w:type="dxa"/>
              <w:bottom w:w="180" w:type="dxa"/>
              <w:right w:w="240" w:type="dxa"/>
            </w:tcMar>
            <w:hideMark/>
          </w:tcPr>
          <w:p w14:paraId="13549581"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Ectopic CRH</w:t>
            </w:r>
          </w:p>
        </w:tc>
        <w:tc>
          <w:tcPr>
            <w:tcW w:w="854" w:type="dxa"/>
            <w:tcBorders>
              <w:bottom w:val="single" w:sz="8" w:space="0" w:color="DCDFE5"/>
            </w:tcBorders>
            <w:tcMar>
              <w:top w:w="180" w:type="dxa"/>
              <w:left w:w="0" w:type="dxa"/>
              <w:bottom w:w="180" w:type="dxa"/>
              <w:right w:w="240" w:type="dxa"/>
            </w:tcMar>
            <w:hideMark/>
          </w:tcPr>
          <w:p w14:paraId="2EF8442A"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Very rare</w:t>
            </w:r>
          </w:p>
        </w:tc>
        <w:tc>
          <w:tcPr>
            <w:tcW w:w="694" w:type="dxa"/>
            <w:tcBorders>
              <w:bottom w:val="single" w:sz="8" w:space="0" w:color="DCDFE5"/>
            </w:tcBorders>
            <w:tcMar>
              <w:top w:w="180" w:type="dxa"/>
              <w:left w:w="0" w:type="dxa"/>
              <w:bottom w:w="180" w:type="dxa"/>
              <w:right w:w="240" w:type="dxa"/>
            </w:tcMar>
            <w:hideMark/>
          </w:tcPr>
          <w:p w14:paraId="055BD1FC"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961" w:type="dxa"/>
            <w:tcBorders>
              <w:bottom w:val="single" w:sz="8" w:space="0" w:color="DCDFE5"/>
            </w:tcBorders>
            <w:tcMar>
              <w:top w:w="180" w:type="dxa"/>
              <w:left w:w="0" w:type="dxa"/>
              <w:bottom w:w="180" w:type="dxa"/>
              <w:right w:w="240" w:type="dxa"/>
            </w:tcMar>
            <w:hideMark/>
          </w:tcPr>
          <w:p w14:paraId="2E93520B"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1012" w:type="dxa"/>
            <w:tcBorders>
              <w:bottom w:val="single" w:sz="8" w:space="0" w:color="DCDFE5"/>
            </w:tcBorders>
            <w:tcMar>
              <w:top w:w="180" w:type="dxa"/>
              <w:left w:w="0" w:type="dxa"/>
              <w:bottom w:w="180" w:type="dxa"/>
              <w:right w:w="0" w:type="dxa"/>
            </w:tcMar>
            <w:hideMark/>
          </w:tcPr>
          <w:p w14:paraId="64BF2AE3"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xml:space="preserve">Causes pituitary </w:t>
            </w:r>
            <w:proofErr w:type="spellStart"/>
            <w:r w:rsidRPr="007F12C4">
              <w:rPr>
                <w:rFonts w:ascii="Arial" w:eastAsia="Times New Roman" w:hAnsi="Arial" w:cs="Arial"/>
                <w:color w:val="0A0A0A"/>
                <w:sz w:val="12"/>
                <w:szCs w:val="12"/>
              </w:rPr>
              <w:t>corticotroph</w:t>
            </w:r>
            <w:proofErr w:type="spellEnd"/>
            <w:r w:rsidRPr="007F12C4">
              <w:rPr>
                <w:rFonts w:ascii="Arial" w:eastAsia="Times New Roman" w:hAnsi="Arial" w:cs="Arial"/>
                <w:color w:val="0A0A0A"/>
                <w:sz w:val="12"/>
                <w:szCs w:val="12"/>
              </w:rPr>
              <w:t xml:space="preserve"> hyperplasia</w:t>
            </w:r>
          </w:p>
        </w:tc>
      </w:tr>
      <w:tr w:rsidR="007F12C4" w:rsidRPr="007F12C4" w14:paraId="3E204CB8" w14:textId="77777777" w:rsidTr="007F12C4">
        <w:trPr>
          <w:trHeight w:val="137"/>
        </w:trPr>
        <w:tc>
          <w:tcPr>
            <w:tcW w:w="1074" w:type="dxa"/>
            <w:tcBorders>
              <w:bottom w:val="single" w:sz="8" w:space="0" w:color="DCDFE5"/>
            </w:tcBorders>
            <w:tcMar>
              <w:top w:w="180" w:type="dxa"/>
              <w:left w:w="0" w:type="dxa"/>
              <w:bottom w:w="180" w:type="dxa"/>
              <w:right w:w="240" w:type="dxa"/>
            </w:tcMar>
            <w:hideMark/>
          </w:tcPr>
          <w:p w14:paraId="0699AF0F"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b/>
                <w:bCs/>
                <w:color w:val="0A0A0A"/>
                <w:sz w:val="12"/>
                <w:szCs w:val="12"/>
              </w:rPr>
              <w:t>ACTH-independent</w:t>
            </w:r>
          </w:p>
        </w:tc>
        <w:tc>
          <w:tcPr>
            <w:tcW w:w="854" w:type="dxa"/>
            <w:tcBorders>
              <w:bottom w:val="single" w:sz="8" w:space="0" w:color="DCDFE5"/>
            </w:tcBorders>
            <w:tcMar>
              <w:top w:w="180" w:type="dxa"/>
              <w:left w:w="0" w:type="dxa"/>
              <w:bottom w:w="180" w:type="dxa"/>
              <w:right w:w="240" w:type="dxa"/>
            </w:tcMar>
            <w:hideMark/>
          </w:tcPr>
          <w:p w14:paraId="50DD7909"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b/>
                <w:bCs/>
                <w:color w:val="0A0A0A"/>
                <w:sz w:val="12"/>
                <w:szCs w:val="12"/>
              </w:rPr>
              <w:t>20–30</w:t>
            </w:r>
          </w:p>
        </w:tc>
        <w:tc>
          <w:tcPr>
            <w:tcW w:w="694" w:type="dxa"/>
            <w:tcBorders>
              <w:bottom w:val="single" w:sz="8" w:space="0" w:color="DCDFE5"/>
            </w:tcBorders>
            <w:tcMar>
              <w:top w:w="180" w:type="dxa"/>
              <w:left w:w="0" w:type="dxa"/>
              <w:bottom w:w="180" w:type="dxa"/>
              <w:right w:w="240" w:type="dxa"/>
            </w:tcMar>
            <w:hideMark/>
          </w:tcPr>
          <w:p w14:paraId="5B793D03"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961" w:type="dxa"/>
            <w:tcBorders>
              <w:bottom w:val="single" w:sz="8" w:space="0" w:color="DCDFE5"/>
            </w:tcBorders>
            <w:tcMar>
              <w:top w:w="180" w:type="dxa"/>
              <w:left w:w="0" w:type="dxa"/>
              <w:bottom w:w="180" w:type="dxa"/>
              <w:right w:w="240" w:type="dxa"/>
            </w:tcMar>
            <w:hideMark/>
          </w:tcPr>
          <w:p w14:paraId="552687C3"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1012" w:type="dxa"/>
            <w:tcBorders>
              <w:bottom w:val="single" w:sz="8" w:space="0" w:color="DCDFE5"/>
            </w:tcBorders>
            <w:tcMar>
              <w:top w:w="180" w:type="dxa"/>
              <w:left w:w="0" w:type="dxa"/>
              <w:bottom w:w="180" w:type="dxa"/>
              <w:right w:w="0" w:type="dxa"/>
            </w:tcMar>
            <w:hideMark/>
          </w:tcPr>
          <w:p w14:paraId="42331E5A"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r>
      <w:tr w:rsidR="007F12C4" w:rsidRPr="007F12C4" w14:paraId="6A23B330" w14:textId="77777777" w:rsidTr="007F12C4">
        <w:trPr>
          <w:trHeight w:val="127"/>
        </w:trPr>
        <w:tc>
          <w:tcPr>
            <w:tcW w:w="1074" w:type="dxa"/>
            <w:tcBorders>
              <w:bottom w:val="single" w:sz="8" w:space="0" w:color="DCDFE5"/>
            </w:tcBorders>
            <w:tcMar>
              <w:top w:w="180" w:type="dxa"/>
              <w:left w:w="0" w:type="dxa"/>
              <w:bottom w:w="180" w:type="dxa"/>
              <w:right w:w="240" w:type="dxa"/>
            </w:tcMar>
            <w:hideMark/>
          </w:tcPr>
          <w:p w14:paraId="782C0981"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Unilateral adrenal</w:t>
            </w:r>
          </w:p>
        </w:tc>
        <w:tc>
          <w:tcPr>
            <w:tcW w:w="854" w:type="dxa"/>
            <w:tcBorders>
              <w:bottom w:val="single" w:sz="8" w:space="0" w:color="DCDFE5"/>
            </w:tcBorders>
            <w:tcMar>
              <w:top w:w="180" w:type="dxa"/>
              <w:left w:w="0" w:type="dxa"/>
              <w:bottom w:w="180" w:type="dxa"/>
              <w:right w:w="240" w:type="dxa"/>
            </w:tcMar>
            <w:hideMark/>
          </w:tcPr>
          <w:p w14:paraId="4C7591D3"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694" w:type="dxa"/>
            <w:tcBorders>
              <w:bottom w:val="single" w:sz="8" w:space="0" w:color="DCDFE5"/>
            </w:tcBorders>
            <w:tcMar>
              <w:top w:w="180" w:type="dxa"/>
              <w:left w:w="0" w:type="dxa"/>
              <w:bottom w:w="180" w:type="dxa"/>
              <w:right w:w="240" w:type="dxa"/>
            </w:tcMar>
            <w:hideMark/>
          </w:tcPr>
          <w:p w14:paraId="55681E26"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961" w:type="dxa"/>
            <w:tcBorders>
              <w:bottom w:val="single" w:sz="8" w:space="0" w:color="DCDFE5"/>
            </w:tcBorders>
            <w:tcMar>
              <w:top w:w="180" w:type="dxa"/>
              <w:left w:w="0" w:type="dxa"/>
              <w:bottom w:w="180" w:type="dxa"/>
              <w:right w:w="240" w:type="dxa"/>
            </w:tcMar>
            <w:hideMark/>
          </w:tcPr>
          <w:p w14:paraId="1659711F"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1012" w:type="dxa"/>
            <w:tcBorders>
              <w:bottom w:val="single" w:sz="8" w:space="0" w:color="DCDFE5"/>
            </w:tcBorders>
            <w:tcMar>
              <w:top w:w="180" w:type="dxa"/>
              <w:left w:w="0" w:type="dxa"/>
              <w:bottom w:w="180" w:type="dxa"/>
              <w:right w:w="0" w:type="dxa"/>
            </w:tcMar>
            <w:hideMark/>
          </w:tcPr>
          <w:p w14:paraId="00557986"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r>
      <w:tr w:rsidR="007F12C4" w:rsidRPr="007F12C4" w14:paraId="3FA2B375" w14:textId="77777777" w:rsidTr="007F12C4">
        <w:trPr>
          <w:trHeight w:val="127"/>
        </w:trPr>
        <w:tc>
          <w:tcPr>
            <w:tcW w:w="1074" w:type="dxa"/>
            <w:tcBorders>
              <w:bottom w:val="single" w:sz="8" w:space="0" w:color="DCDFE5"/>
            </w:tcBorders>
            <w:tcMar>
              <w:top w:w="180" w:type="dxa"/>
              <w:left w:w="0" w:type="dxa"/>
              <w:bottom w:w="180" w:type="dxa"/>
              <w:right w:w="240" w:type="dxa"/>
            </w:tcMar>
            <w:hideMark/>
          </w:tcPr>
          <w:p w14:paraId="769E2A67"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Adenoma</w:t>
            </w:r>
          </w:p>
        </w:tc>
        <w:tc>
          <w:tcPr>
            <w:tcW w:w="854" w:type="dxa"/>
            <w:tcBorders>
              <w:bottom w:val="single" w:sz="8" w:space="0" w:color="DCDFE5"/>
            </w:tcBorders>
            <w:tcMar>
              <w:top w:w="180" w:type="dxa"/>
              <w:left w:w="0" w:type="dxa"/>
              <w:bottom w:w="180" w:type="dxa"/>
              <w:right w:w="240" w:type="dxa"/>
            </w:tcMar>
            <w:hideMark/>
          </w:tcPr>
          <w:p w14:paraId="2CCDA436"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10–22</w:t>
            </w:r>
          </w:p>
        </w:tc>
        <w:tc>
          <w:tcPr>
            <w:tcW w:w="694" w:type="dxa"/>
            <w:tcBorders>
              <w:bottom w:val="single" w:sz="8" w:space="0" w:color="DCDFE5"/>
            </w:tcBorders>
            <w:tcMar>
              <w:top w:w="180" w:type="dxa"/>
              <w:left w:w="0" w:type="dxa"/>
              <w:bottom w:w="180" w:type="dxa"/>
              <w:right w:w="240" w:type="dxa"/>
            </w:tcMar>
            <w:hideMark/>
          </w:tcPr>
          <w:p w14:paraId="68216995"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4th–5th decades</w:t>
            </w:r>
          </w:p>
        </w:tc>
        <w:tc>
          <w:tcPr>
            <w:tcW w:w="961" w:type="dxa"/>
            <w:tcBorders>
              <w:bottom w:val="single" w:sz="8" w:space="0" w:color="DCDFE5"/>
            </w:tcBorders>
            <w:tcMar>
              <w:top w:w="180" w:type="dxa"/>
              <w:left w:w="0" w:type="dxa"/>
              <w:bottom w:w="180" w:type="dxa"/>
              <w:right w:w="240" w:type="dxa"/>
            </w:tcMar>
            <w:hideMark/>
          </w:tcPr>
          <w:p w14:paraId="64DC5B48"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4–8:1</w:t>
            </w:r>
          </w:p>
        </w:tc>
        <w:tc>
          <w:tcPr>
            <w:tcW w:w="1012" w:type="dxa"/>
            <w:tcBorders>
              <w:bottom w:val="single" w:sz="8" w:space="0" w:color="DCDFE5"/>
            </w:tcBorders>
            <w:tcMar>
              <w:top w:w="180" w:type="dxa"/>
              <w:left w:w="0" w:type="dxa"/>
              <w:bottom w:w="180" w:type="dxa"/>
              <w:right w:w="0" w:type="dxa"/>
            </w:tcMar>
            <w:hideMark/>
          </w:tcPr>
          <w:p w14:paraId="74A6D768"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Most pure cortisol secretion</w:t>
            </w:r>
          </w:p>
        </w:tc>
      </w:tr>
      <w:tr w:rsidR="007F12C4" w:rsidRPr="007F12C4" w14:paraId="331BD5F4" w14:textId="77777777" w:rsidTr="007F12C4">
        <w:trPr>
          <w:trHeight w:val="256"/>
        </w:trPr>
        <w:tc>
          <w:tcPr>
            <w:tcW w:w="1074" w:type="dxa"/>
            <w:tcBorders>
              <w:bottom w:val="single" w:sz="8" w:space="0" w:color="DCDFE5"/>
            </w:tcBorders>
            <w:tcMar>
              <w:top w:w="180" w:type="dxa"/>
              <w:left w:w="0" w:type="dxa"/>
              <w:bottom w:w="180" w:type="dxa"/>
              <w:right w:w="240" w:type="dxa"/>
            </w:tcMar>
            <w:hideMark/>
          </w:tcPr>
          <w:p w14:paraId="5FCB60F3"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Carcinoma</w:t>
            </w:r>
          </w:p>
        </w:tc>
        <w:tc>
          <w:tcPr>
            <w:tcW w:w="854" w:type="dxa"/>
            <w:tcBorders>
              <w:bottom w:val="single" w:sz="8" w:space="0" w:color="DCDFE5"/>
            </w:tcBorders>
            <w:tcMar>
              <w:top w:w="180" w:type="dxa"/>
              <w:left w:w="0" w:type="dxa"/>
              <w:bottom w:w="180" w:type="dxa"/>
              <w:right w:w="240" w:type="dxa"/>
            </w:tcMar>
            <w:hideMark/>
          </w:tcPr>
          <w:p w14:paraId="18533521"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5–7</w:t>
            </w:r>
          </w:p>
        </w:tc>
        <w:tc>
          <w:tcPr>
            <w:tcW w:w="694" w:type="dxa"/>
            <w:tcBorders>
              <w:bottom w:val="single" w:sz="8" w:space="0" w:color="DCDFE5"/>
            </w:tcBorders>
            <w:tcMar>
              <w:top w:w="180" w:type="dxa"/>
              <w:left w:w="0" w:type="dxa"/>
              <w:bottom w:w="180" w:type="dxa"/>
              <w:right w:w="240" w:type="dxa"/>
            </w:tcMar>
            <w:hideMark/>
          </w:tcPr>
          <w:p w14:paraId="4B29E737"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1st, 5th–6th decades</w:t>
            </w:r>
          </w:p>
        </w:tc>
        <w:tc>
          <w:tcPr>
            <w:tcW w:w="961" w:type="dxa"/>
            <w:tcBorders>
              <w:bottom w:val="single" w:sz="8" w:space="0" w:color="DCDFE5"/>
            </w:tcBorders>
            <w:tcMar>
              <w:top w:w="180" w:type="dxa"/>
              <w:left w:w="0" w:type="dxa"/>
              <w:bottom w:w="180" w:type="dxa"/>
              <w:right w:w="240" w:type="dxa"/>
            </w:tcMar>
            <w:hideMark/>
          </w:tcPr>
          <w:p w14:paraId="2197F39C"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1.5–3:1</w:t>
            </w:r>
          </w:p>
        </w:tc>
        <w:tc>
          <w:tcPr>
            <w:tcW w:w="1012" w:type="dxa"/>
            <w:tcBorders>
              <w:bottom w:val="single" w:sz="8" w:space="0" w:color="DCDFE5"/>
            </w:tcBorders>
            <w:tcMar>
              <w:top w:w="180" w:type="dxa"/>
              <w:left w:w="0" w:type="dxa"/>
              <w:bottom w:w="180" w:type="dxa"/>
              <w:right w:w="0" w:type="dxa"/>
            </w:tcMar>
            <w:hideMark/>
          </w:tcPr>
          <w:p w14:paraId="5D697E36"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Mixed cortisol and androgen frequent</w:t>
            </w:r>
          </w:p>
        </w:tc>
      </w:tr>
      <w:tr w:rsidR="007F12C4" w:rsidRPr="007F12C4" w14:paraId="68634146" w14:textId="77777777" w:rsidTr="007F12C4">
        <w:trPr>
          <w:trHeight w:val="127"/>
        </w:trPr>
        <w:tc>
          <w:tcPr>
            <w:tcW w:w="1074" w:type="dxa"/>
            <w:tcBorders>
              <w:bottom w:val="single" w:sz="8" w:space="0" w:color="DCDFE5"/>
            </w:tcBorders>
            <w:tcMar>
              <w:top w:w="180" w:type="dxa"/>
              <w:left w:w="0" w:type="dxa"/>
              <w:bottom w:w="180" w:type="dxa"/>
              <w:right w:w="240" w:type="dxa"/>
            </w:tcMar>
            <w:hideMark/>
          </w:tcPr>
          <w:p w14:paraId="4DEBC08A"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Bilateral adrenal</w:t>
            </w:r>
          </w:p>
        </w:tc>
        <w:tc>
          <w:tcPr>
            <w:tcW w:w="854" w:type="dxa"/>
            <w:tcBorders>
              <w:bottom w:val="single" w:sz="8" w:space="0" w:color="DCDFE5"/>
            </w:tcBorders>
            <w:tcMar>
              <w:top w:w="180" w:type="dxa"/>
              <w:left w:w="0" w:type="dxa"/>
              <w:bottom w:w="180" w:type="dxa"/>
              <w:right w:w="240" w:type="dxa"/>
            </w:tcMar>
            <w:hideMark/>
          </w:tcPr>
          <w:p w14:paraId="6846523C"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1–2</w:t>
            </w:r>
          </w:p>
        </w:tc>
        <w:tc>
          <w:tcPr>
            <w:tcW w:w="694" w:type="dxa"/>
            <w:tcBorders>
              <w:bottom w:val="single" w:sz="8" w:space="0" w:color="DCDFE5"/>
            </w:tcBorders>
            <w:tcMar>
              <w:top w:w="180" w:type="dxa"/>
              <w:left w:w="0" w:type="dxa"/>
              <w:bottom w:w="180" w:type="dxa"/>
              <w:right w:w="240" w:type="dxa"/>
            </w:tcMar>
            <w:hideMark/>
          </w:tcPr>
          <w:p w14:paraId="6CCDBB69"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961" w:type="dxa"/>
            <w:tcBorders>
              <w:bottom w:val="single" w:sz="8" w:space="0" w:color="DCDFE5"/>
            </w:tcBorders>
            <w:tcMar>
              <w:top w:w="180" w:type="dxa"/>
              <w:left w:w="0" w:type="dxa"/>
              <w:bottom w:w="180" w:type="dxa"/>
              <w:right w:w="240" w:type="dxa"/>
            </w:tcMar>
            <w:hideMark/>
          </w:tcPr>
          <w:p w14:paraId="2B9B8F66"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1012" w:type="dxa"/>
            <w:tcBorders>
              <w:bottom w:val="single" w:sz="8" w:space="0" w:color="DCDFE5"/>
            </w:tcBorders>
            <w:tcMar>
              <w:top w:w="180" w:type="dxa"/>
              <w:left w:w="0" w:type="dxa"/>
              <w:bottom w:w="180" w:type="dxa"/>
              <w:right w:w="0" w:type="dxa"/>
            </w:tcMar>
            <w:hideMark/>
          </w:tcPr>
          <w:p w14:paraId="09D91765"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r>
      <w:tr w:rsidR="007F12C4" w:rsidRPr="007F12C4" w14:paraId="233A26A8" w14:textId="77777777" w:rsidTr="007F12C4">
        <w:trPr>
          <w:trHeight w:val="384"/>
        </w:trPr>
        <w:tc>
          <w:tcPr>
            <w:tcW w:w="1074" w:type="dxa"/>
            <w:tcBorders>
              <w:bottom w:val="single" w:sz="8" w:space="0" w:color="DCDFE5"/>
            </w:tcBorders>
            <w:tcMar>
              <w:top w:w="180" w:type="dxa"/>
              <w:left w:w="0" w:type="dxa"/>
              <w:bottom w:w="180" w:type="dxa"/>
              <w:right w:w="240" w:type="dxa"/>
            </w:tcMar>
            <w:hideMark/>
          </w:tcPr>
          <w:p w14:paraId="42CC147D"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Bilateral macronodular adrenal hyperplasia†</w:t>
            </w:r>
          </w:p>
        </w:tc>
        <w:tc>
          <w:tcPr>
            <w:tcW w:w="854" w:type="dxa"/>
            <w:tcBorders>
              <w:bottom w:val="single" w:sz="8" w:space="0" w:color="DCDFE5"/>
            </w:tcBorders>
            <w:tcMar>
              <w:top w:w="180" w:type="dxa"/>
              <w:left w:w="0" w:type="dxa"/>
              <w:bottom w:w="180" w:type="dxa"/>
              <w:right w:w="240" w:type="dxa"/>
            </w:tcMar>
            <w:hideMark/>
          </w:tcPr>
          <w:p w14:paraId="2A3AD521"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&lt;2</w:t>
            </w:r>
          </w:p>
        </w:tc>
        <w:tc>
          <w:tcPr>
            <w:tcW w:w="694" w:type="dxa"/>
            <w:tcBorders>
              <w:bottom w:val="single" w:sz="8" w:space="0" w:color="DCDFE5"/>
            </w:tcBorders>
            <w:tcMar>
              <w:top w:w="180" w:type="dxa"/>
              <w:left w:w="0" w:type="dxa"/>
              <w:bottom w:w="180" w:type="dxa"/>
              <w:right w:w="240" w:type="dxa"/>
            </w:tcMar>
            <w:hideMark/>
          </w:tcPr>
          <w:p w14:paraId="2E0F2509"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5th–6th decades</w:t>
            </w:r>
          </w:p>
        </w:tc>
        <w:tc>
          <w:tcPr>
            <w:tcW w:w="961" w:type="dxa"/>
            <w:tcBorders>
              <w:bottom w:val="single" w:sz="8" w:space="0" w:color="DCDFE5"/>
            </w:tcBorders>
            <w:tcMar>
              <w:top w:w="180" w:type="dxa"/>
              <w:left w:w="0" w:type="dxa"/>
              <w:bottom w:w="180" w:type="dxa"/>
              <w:right w:w="240" w:type="dxa"/>
            </w:tcMar>
            <w:hideMark/>
          </w:tcPr>
          <w:p w14:paraId="160CA024"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2–3:1</w:t>
            </w:r>
          </w:p>
        </w:tc>
        <w:tc>
          <w:tcPr>
            <w:tcW w:w="1012" w:type="dxa"/>
            <w:tcBorders>
              <w:bottom w:val="single" w:sz="8" w:space="0" w:color="DCDFE5"/>
            </w:tcBorders>
            <w:tcMar>
              <w:top w:w="180" w:type="dxa"/>
              <w:left w:w="0" w:type="dxa"/>
              <w:bottom w:w="180" w:type="dxa"/>
              <w:right w:w="0" w:type="dxa"/>
            </w:tcMar>
            <w:hideMark/>
          </w:tcPr>
          <w:p w14:paraId="7D683EB2"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xml:space="preserve">Modest cortisol secretion compared with size; raised steroid precursors; might have combined androgen and mineralocorticoid </w:t>
            </w:r>
            <w:proofErr w:type="spellStart"/>
            <w:r w:rsidRPr="007F12C4">
              <w:rPr>
                <w:rFonts w:ascii="Arial" w:eastAsia="Times New Roman" w:hAnsi="Arial" w:cs="Arial"/>
                <w:color w:val="0A0A0A"/>
                <w:sz w:val="12"/>
                <w:szCs w:val="12"/>
              </w:rPr>
              <w:t>cosecretion</w:t>
            </w:r>
            <w:proofErr w:type="spellEnd"/>
          </w:p>
        </w:tc>
      </w:tr>
      <w:tr w:rsidR="007F12C4" w:rsidRPr="007F12C4" w14:paraId="5CF606BF" w14:textId="77777777" w:rsidTr="007F12C4">
        <w:trPr>
          <w:trHeight w:val="256"/>
        </w:trPr>
        <w:tc>
          <w:tcPr>
            <w:tcW w:w="1074" w:type="dxa"/>
            <w:tcBorders>
              <w:bottom w:val="single" w:sz="8" w:space="0" w:color="DCDFE5"/>
            </w:tcBorders>
            <w:tcMar>
              <w:top w:w="180" w:type="dxa"/>
              <w:left w:w="0" w:type="dxa"/>
              <w:bottom w:w="180" w:type="dxa"/>
              <w:right w:w="240" w:type="dxa"/>
            </w:tcMar>
            <w:hideMark/>
          </w:tcPr>
          <w:p w14:paraId="08E9B567"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Aberrant G-protein-coupled receptors</w:t>
            </w:r>
          </w:p>
        </w:tc>
        <w:tc>
          <w:tcPr>
            <w:tcW w:w="854" w:type="dxa"/>
            <w:tcBorders>
              <w:bottom w:val="single" w:sz="8" w:space="0" w:color="DCDFE5"/>
            </w:tcBorders>
            <w:tcMar>
              <w:top w:w="180" w:type="dxa"/>
              <w:left w:w="0" w:type="dxa"/>
              <w:bottom w:w="180" w:type="dxa"/>
              <w:right w:w="240" w:type="dxa"/>
            </w:tcMar>
            <w:hideMark/>
          </w:tcPr>
          <w:p w14:paraId="08E0F701"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694" w:type="dxa"/>
            <w:tcBorders>
              <w:bottom w:val="single" w:sz="8" w:space="0" w:color="DCDFE5"/>
            </w:tcBorders>
            <w:tcMar>
              <w:top w:w="180" w:type="dxa"/>
              <w:left w:w="0" w:type="dxa"/>
              <w:bottom w:w="180" w:type="dxa"/>
              <w:right w:w="240" w:type="dxa"/>
            </w:tcMar>
            <w:hideMark/>
          </w:tcPr>
          <w:p w14:paraId="397098E3"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961" w:type="dxa"/>
            <w:tcBorders>
              <w:bottom w:val="single" w:sz="8" w:space="0" w:color="DCDFE5"/>
            </w:tcBorders>
            <w:tcMar>
              <w:top w:w="180" w:type="dxa"/>
              <w:left w:w="0" w:type="dxa"/>
              <w:bottom w:w="180" w:type="dxa"/>
              <w:right w:w="240" w:type="dxa"/>
            </w:tcMar>
            <w:hideMark/>
          </w:tcPr>
          <w:p w14:paraId="2FA606CC"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1012" w:type="dxa"/>
            <w:tcBorders>
              <w:bottom w:val="single" w:sz="8" w:space="0" w:color="DCDFE5"/>
            </w:tcBorders>
            <w:tcMar>
              <w:top w:w="180" w:type="dxa"/>
              <w:left w:w="0" w:type="dxa"/>
              <w:bottom w:w="180" w:type="dxa"/>
              <w:right w:w="0" w:type="dxa"/>
            </w:tcMar>
            <w:hideMark/>
          </w:tcPr>
          <w:p w14:paraId="0F5F7AC8"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r>
      <w:tr w:rsidR="007F12C4" w:rsidRPr="007F12C4" w14:paraId="0850CB68" w14:textId="77777777" w:rsidTr="007F12C4">
        <w:trPr>
          <w:trHeight w:val="256"/>
        </w:trPr>
        <w:tc>
          <w:tcPr>
            <w:tcW w:w="1074" w:type="dxa"/>
            <w:tcBorders>
              <w:bottom w:val="single" w:sz="8" w:space="0" w:color="DCDFE5"/>
            </w:tcBorders>
            <w:tcMar>
              <w:top w:w="180" w:type="dxa"/>
              <w:left w:w="0" w:type="dxa"/>
              <w:bottom w:w="180" w:type="dxa"/>
              <w:right w:w="240" w:type="dxa"/>
            </w:tcMar>
            <w:hideMark/>
          </w:tcPr>
          <w:p w14:paraId="656DC126"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Autocrine ACTH production</w:t>
            </w:r>
          </w:p>
        </w:tc>
        <w:tc>
          <w:tcPr>
            <w:tcW w:w="854" w:type="dxa"/>
            <w:tcBorders>
              <w:bottom w:val="single" w:sz="8" w:space="0" w:color="DCDFE5"/>
            </w:tcBorders>
            <w:tcMar>
              <w:top w:w="180" w:type="dxa"/>
              <w:left w:w="0" w:type="dxa"/>
              <w:bottom w:w="180" w:type="dxa"/>
              <w:right w:w="240" w:type="dxa"/>
            </w:tcMar>
            <w:hideMark/>
          </w:tcPr>
          <w:p w14:paraId="3E97C0FF"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694" w:type="dxa"/>
            <w:tcBorders>
              <w:bottom w:val="single" w:sz="8" w:space="0" w:color="DCDFE5"/>
            </w:tcBorders>
            <w:tcMar>
              <w:top w:w="180" w:type="dxa"/>
              <w:left w:w="0" w:type="dxa"/>
              <w:bottom w:w="180" w:type="dxa"/>
              <w:right w:w="240" w:type="dxa"/>
            </w:tcMar>
            <w:hideMark/>
          </w:tcPr>
          <w:p w14:paraId="5ED3C995"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961" w:type="dxa"/>
            <w:tcBorders>
              <w:bottom w:val="single" w:sz="8" w:space="0" w:color="DCDFE5"/>
            </w:tcBorders>
            <w:tcMar>
              <w:top w:w="180" w:type="dxa"/>
              <w:left w:w="0" w:type="dxa"/>
              <w:bottom w:w="180" w:type="dxa"/>
              <w:right w:w="240" w:type="dxa"/>
            </w:tcMar>
            <w:hideMark/>
          </w:tcPr>
          <w:p w14:paraId="7DE935E3"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1012" w:type="dxa"/>
            <w:tcBorders>
              <w:bottom w:val="single" w:sz="8" w:space="0" w:color="DCDFE5"/>
            </w:tcBorders>
            <w:tcMar>
              <w:top w:w="180" w:type="dxa"/>
              <w:left w:w="0" w:type="dxa"/>
              <w:bottom w:w="180" w:type="dxa"/>
              <w:right w:w="0" w:type="dxa"/>
            </w:tcMar>
            <w:hideMark/>
          </w:tcPr>
          <w:p w14:paraId="76C540B8"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r>
      <w:tr w:rsidR="007F12C4" w:rsidRPr="007F12C4" w14:paraId="1A8F1792" w14:textId="77777777" w:rsidTr="007F12C4">
        <w:trPr>
          <w:trHeight w:val="256"/>
        </w:trPr>
        <w:tc>
          <w:tcPr>
            <w:tcW w:w="1074" w:type="dxa"/>
            <w:tcBorders>
              <w:bottom w:val="single" w:sz="8" w:space="0" w:color="DCDFE5"/>
            </w:tcBorders>
            <w:tcMar>
              <w:top w:w="180" w:type="dxa"/>
              <w:left w:w="0" w:type="dxa"/>
              <w:bottom w:w="180" w:type="dxa"/>
              <w:right w:w="240" w:type="dxa"/>
            </w:tcMar>
            <w:hideMark/>
          </w:tcPr>
          <w:p w14:paraId="1E98124D"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Sporadic or familial (AIMAH)</w:t>
            </w:r>
          </w:p>
        </w:tc>
        <w:tc>
          <w:tcPr>
            <w:tcW w:w="854" w:type="dxa"/>
            <w:tcBorders>
              <w:bottom w:val="single" w:sz="8" w:space="0" w:color="DCDFE5"/>
            </w:tcBorders>
            <w:tcMar>
              <w:top w:w="180" w:type="dxa"/>
              <w:left w:w="0" w:type="dxa"/>
              <w:bottom w:w="180" w:type="dxa"/>
              <w:right w:w="240" w:type="dxa"/>
            </w:tcMar>
            <w:hideMark/>
          </w:tcPr>
          <w:p w14:paraId="4B02CC52"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694" w:type="dxa"/>
            <w:tcBorders>
              <w:bottom w:val="single" w:sz="8" w:space="0" w:color="DCDFE5"/>
            </w:tcBorders>
            <w:tcMar>
              <w:top w:w="180" w:type="dxa"/>
              <w:left w:w="0" w:type="dxa"/>
              <w:bottom w:w="180" w:type="dxa"/>
              <w:right w:w="240" w:type="dxa"/>
            </w:tcMar>
            <w:hideMark/>
          </w:tcPr>
          <w:p w14:paraId="4565300B"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961" w:type="dxa"/>
            <w:tcBorders>
              <w:bottom w:val="single" w:sz="8" w:space="0" w:color="DCDFE5"/>
            </w:tcBorders>
            <w:tcMar>
              <w:top w:w="180" w:type="dxa"/>
              <w:left w:w="0" w:type="dxa"/>
              <w:bottom w:w="180" w:type="dxa"/>
              <w:right w:w="240" w:type="dxa"/>
            </w:tcMar>
            <w:hideMark/>
          </w:tcPr>
          <w:p w14:paraId="55F0F00F"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1012" w:type="dxa"/>
            <w:tcBorders>
              <w:bottom w:val="single" w:sz="8" w:space="0" w:color="DCDFE5"/>
            </w:tcBorders>
            <w:tcMar>
              <w:top w:w="180" w:type="dxa"/>
              <w:left w:w="0" w:type="dxa"/>
              <w:bottom w:w="180" w:type="dxa"/>
              <w:right w:w="0" w:type="dxa"/>
            </w:tcMar>
            <w:hideMark/>
          </w:tcPr>
          <w:p w14:paraId="17365607"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r>
      <w:tr w:rsidR="007F12C4" w:rsidRPr="007F12C4" w14:paraId="60037BCF" w14:textId="77777777" w:rsidTr="007F12C4">
        <w:trPr>
          <w:trHeight w:val="256"/>
        </w:trPr>
        <w:tc>
          <w:tcPr>
            <w:tcW w:w="1074" w:type="dxa"/>
            <w:tcBorders>
              <w:bottom w:val="single" w:sz="8" w:space="0" w:color="DCDFE5"/>
            </w:tcBorders>
            <w:tcMar>
              <w:top w:w="180" w:type="dxa"/>
              <w:left w:w="0" w:type="dxa"/>
              <w:bottom w:w="180" w:type="dxa"/>
              <w:right w:w="240" w:type="dxa"/>
            </w:tcMar>
            <w:hideMark/>
          </w:tcPr>
          <w:p w14:paraId="7E880B62"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Bilateral micronodular adrenal hyperplasia</w:t>
            </w:r>
          </w:p>
        </w:tc>
        <w:tc>
          <w:tcPr>
            <w:tcW w:w="854" w:type="dxa"/>
            <w:tcBorders>
              <w:bottom w:val="single" w:sz="8" w:space="0" w:color="DCDFE5"/>
            </w:tcBorders>
            <w:tcMar>
              <w:top w:w="180" w:type="dxa"/>
              <w:left w:w="0" w:type="dxa"/>
              <w:bottom w:w="180" w:type="dxa"/>
              <w:right w:w="240" w:type="dxa"/>
            </w:tcMar>
            <w:hideMark/>
          </w:tcPr>
          <w:p w14:paraId="4429BC84"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&lt;2</w:t>
            </w:r>
          </w:p>
        </w:tc>
        <w:tc>
          <w:tcPr>
            <w:tcW w:w="694" w:type="dxa"/>
            <w:tcBorders>
              <w:bottom w:val="single" w:sz="8" w:space="0" w:color="DCDFE5"/>
            </w:tcBorders>
            <w:tcMar>
              <w:top w:w="180" w:type="dxa"/>
              <w:left w:w="0" w:type="dxa"/>
              <w:bottom w:w="180" w:type="dxa"/>
              <w:right w:w="240" w:type="dxa"/>
            </w:tcMar>
            <w:hideMark/>
          </w:tcPr>
          <w:p w14:paraId="1031EEFF"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961" w:type="dxa"/>
            <w:tcBorders>
              <w:bottom w:val="single" w:sz="8" w:space="0" w:color="DCDFE5"/>
            </w:tcBorders>
            <w:tcMar>
              <w:top w:w="180" w:type="dxa"/>
              <w:left w:w="0" w:type="dxa"/>
              <w:bottom w:w="180" w:type="dxa"/>
              <w:right w:w="240" w:type="dxa"/>
            </w:tcMar>
            <w:hideMark/>
          </w:tcPr>
          <w:p w14:paraId="66AA5459"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1012" w:type="dxa"/>
            <w:tcBorders>
              <w:bottom w:val="single" w:sz="8" w:space="0" w:color="DCDFE5"/>
            </w:tcBorders>
            <w:tcMar>
              <w:top w:w="180" w:type="dxa"/>
              <w:left w:w="0" w:type="dxa"/>
              <w:bottom w:w="180" w:type="dxa"/>
              <w:right w:w="0" w:type="dxa"/>
            </w:tcMar>
            <w:hideMark/>
          </w:tcPr>
          <w:p w14:paraId="2F72BE83"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Adrenal size often normal</w:t>
            </w:r>
          </w:p>
        </w:tc>
      </w:tr>
      <w:tr w:rsidR="007F12C4" w:rsidRPr="007F12C4" w14:paraId="247B09AD" w14:textId="77777777" w:rsidTr="007F12C4">
        <w:trPr>
          <w:trHeight w:val="384"/>
        </w:trPr>
        <w:tc>
          <w:tcPr>
            <w:tcW w:w="1074" w:type="dxa"/>
            <w:tcBorders>
              <w:bottom w:val="single" w:sz="8" w:space="0" w:color="DCDFE5"/>
            </w:tcBorders>
            <w:tcMar>
              <w:top w:w="180" w:type="dxa"/>
              <w:left w:w="0" w:type="dxa"/>
              <w:bottom w:w="180" w:type="dxa"/>
              <w:right w:w="240" w:type="dxa"/>
            </w:tcMar>
            <w:hideMark/>
          </w:tcPr>
          <w:p w14:paraId="00B19456"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xml:space="preserve">        Primary pigmented nodular </w:t>
            </w:r>
            <w:r w:rsidRPr="007F12C4">
              <w:rPr>
                <w:rFonts w:ascii="Arial" w:eastAsia="Times New Roman" w:hAnsi="Arial" w:cs="Arial"/>
                <w:color w:val="0A0A0A"/>
                <w:sz w:val="12"/>
                <w:szCs w:val="12"/>
              </w:rPr>
              <w:t>adrenocortical disease</w:t>
            </w:r>
          </w:p>
        </w:tc>
        <w:tc>
          <w:tcPr>
            <w:tcW w:w="854" w:type="dxa"/>
            <w:tcBorders>
              <w:bottom w:val="single" w:sz="8" w:space="0" w:color="DCDFE5"/>
            </w:tcBorders>
            <w:tcMar>
              <w:top w:w="180" w:type="dxa"/>
              <w:left w:w="0" w:type="dxa"/>
              <w:bottom w:w="180" w:type="dxa"/>
              <w:right w:w="240" w:type="dxa"/>
            </w:tcMar>
            <w:hideMark/>
          </w:tcPr>
          <w:p w14:paraId="37945C71"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Rare</w:t>
            </w:r>
          </w:p>
        </w:tc>
        <w:tc>
          <w:tcPr>
            <w:tcW w:w="694" w:type="dxa"/>
            <w:tcBorders>
              <w:bottom w:val="single" w:sz="8" w:space="0" w:color="DCDFE5"/>
            </w:tcBorders>
            <w:tcMar>
              <w:top w:w="180" w:type="dxa"/>
              <w:left w:w="0" w:type="dxa"/>
              <w:bottom w:w="180" w:type="dxa"/>
              <w:right w:w="240" w:type="dxa"/>
            </w:tcMar>
            <w:hideMark/>
          </w:tcPr>
          <w:p w14:paraId="51AB338B"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1st–3rd decades</w:t>
            </w:r>
          </w:p>
        </w:tc>
        <w:tc>
          <w:tcPr>
            <w:tcW w:w="961" w:type="dxa"/>
            <w:tcBorders>
              <w:bottom w:val="single" w:sz="8" w:space="0" w:color="DCDFE5"/>
            </w:tcBorders>
            <w:tcMar>
              <w:top w:w="180" w:type="dxa"/>
              <w:left w:w="0" w:type="dxa"/>
              <w:bottom w:w="180" w:type="dxa"/>
              <w:right w:w="240" w:type="dxa"/>
            </w:tcMar>
            <w:hideMark/>
          </w:tcPr>
          <w:p w14:paraId="2FE52E4B"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0.5:1 &lt;17 years; 2:1 &gt;12 years</w:t>
            </w:r>
          </w:p>
        </w:tc>
        <w:tc>
          <w:tcPr>
            <w:tcW w:w="1012" w:type="dxa"/>
            <w:tcBorders>
              <w:bottom w:val="single" w:sz="8" w:space="0" w:color="DCDFE5"/>
            </w:tcBorders>
            <w:tcMar>
              <w:top w:w="180" w:type="dxa"/>
              <w:left w:w="0" w:type="dxa"/>
              <w:bottom w:w="180" w:type="dxa"/>
              <w:right w:w="0" w:type="dxa"/>
            </w:tcMar>
            <w:hideMark/>
          </w:tcPr>
          <w:p w14:paraId="062DC213"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Frequent paradoxical increase of urine free cortisol with Liddle's oral dexamethasone suppression test</w:t>
            </w:r>
          </w:p>
        </w:tc>
      </w:tr>
      <w:tr w:rsidR="007F12C4" w:rsidRPr="007F12C4" w14:paraId="74FB7E83" w14:textId="77777777" w:rsidTr="007F12C4">
        <w:trPr>
          <w:trHeight w:val="256"/>
        </w:trPr>
        <w:tc>
          <w:tcPr>
            <w:tcW w:w="1074" w:type="dxa"/>
            <w:tcBorders>
              <w:bottom w:val="single" w:sz="8" w:space="0" w:color="DCDFE5"/>
            </w:tcBorders>
            <w:tcMar>
              <w:top w:w="180" w:type="dxa"/>
              <w:left w:w="0" w:type="dxa"/>
              <w:bottom w:w="180" w:type="dxa"/>
              <w:right w:w="240" w:type="dxa"/>
            </w:tcMar>
            <w:hideMark/>
          </w:tcPr>
          <w:p w14:paraId="1F2F0339"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Isolated or familial with Carney complex</w:t>
            </w:r>
          </w:p>
        </w:tc>
        <w:tc>
          <w:tcPr>
            <w:tcW w:w="854" w:type="dxa"/>
            <w:tcBorders>
              <w:bottom w:val="single" w:sz="8" w:space="0" w:color="DCDFE5"/>
            </w:tcBorders>
            <w:tcMar>
              <w:top w:w="180" w:type="dxa"/>
              <w:left w:w="0" w:type="dxa"/>
              <w:bottom w:w="180" w:type="dxa"/>
              <w:right w:w="240" w:type="dxa"/>
            </w:tcMar>
            <w:hideMark/>
          </w:tcPr>
          <w:p w14:paraId="699B5F39"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Rare</w:t>
            </w:r>
          </w:p>
        </w:tc>
        <w:tc>
          <w:tcPr>
            <w:tcW w:w="694" w:type="dxa"/>
            <w:tcBorders>
              <w:bottom w:val="single" w:sz="8" w:space="0" w:color="DCDFE5"/>
            </w:tcBorders>
            <w:tcMar>
              <w:top w:w="180" w:type="dxa"/>
              <w:left w:w="0" w:type="dxa"/>
              <w:bottom w:w="180" w:type="dxa"/>
              <w:right w:w="240" w:type="dxa"/>
            </w:tcMar>
            <w:hideMark/>
          </w:tcPr>
          <w:p w14:paraId="08A0EC6C"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1st–3rd decades</w:t>
            </w:r>
          </w:p>
        </w:tc>
        <w:tc>
          <w:tcPr>
            <w:tcW w:w="961" w:type="dxa"/>
            <w:tcBorders>
              <w:bottom w:val="single" w:sz="8" w:space="0" w:color="DCDFE5"/>
            </w:tcBorders>
            <w:tcMar>
              <w:top w:w="180" w:type="dxa"/>
              <w:left w:w="0" w:type="dxa"/>
              <w:bottom w:w="180" w:type="dxa"/>
              <w:right w:w="240" w:type="dxa"/>
            </w:tcMar>
            <w:hideMark/>
          </w:tcPr>
          <w:p w14:paraId="209A8F21"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1012" w:type="dxa"/>
            <w:tcBorders>
              <w:bottom w:val="single" w:sz="8" w:space="0" w:color="DCDFE5"/>
            </w:tcBorders>
            <w:tcMar>
              <w:top w:w="180" w:type="dxa"/>
              <w:left w:w="0" w:type="dxa"/>
              <w:bottom w:w="180" w:type="dxa"/>
              <w:right w:w="0" w:type="dxa"/>
            </w:tcMar>
            <w:hideMark/>
          </w:tcPr>
          <w:p w14:paraId="647198B0"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r>
      <w:tr w:rsidR="007F12C4" w:rsidRPr="007F12C4" w14:paraId="5449BF37" w14:textId="77777777" w:rsidTr="007F12C4">
        <w:trPr>
          <w:trHeight w:val="256"/>
        </w:trPr>
        <w:tc>
          <w:tcPr>
            <w:tcW w:w="1074" w:type="dxa"/>
            <w:tcBorders>
              <w:bottom w:val="single" w:sz="8" w:space="0" w:color="DCDFE5"/>
            </w:tcBorders>
            <w:tcMar>
              <w:top w:w="180" w:type="dxa"/>
              <w:left w:w="0" w:type="dxa"/>
              <w:bottom w:w="180" w:type="dxa"/>
              <w:right w:w="240" w:type="dxa"/>
            </w:tcMar>
            <w:hideMark/>
          </w:tcPr>
          <w:p w14:paraId="6F315AFA"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Isolated micronodular adrenocortical disease</w:t>
            </w:r>
          </w:p>
        </w:tc>
        <w:tc>
          <w:tcPr>
            <w:tcW w:w="854" w:type="dxa"/>
            <w:tcBorders>
              <w:bottom w:val="single" w:sz="8" w:space="0" w:color="DCDFE5"/>
            </w:tcBorders>
            <w:tcMar>
              <w:top w:w="180" w:type="dxa"/>
              <w:left w:w="0" w:type="dxa"/>
              <w:bottom w:w="180" w:type="dxa"/>
              <w:right w:w="240" w:type="dxa"/>
            </w:tcMar>
            <w:hideMark/>
          </w:tcPr>
          <w:p w14:paraId="537C1E88"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Very rare</w:t>
            </w:r>
          </w:p>
        </w:tc>
        <w:tc>
          <w:tcPr>
            <w:tcW w:w="694" w:type="dxa"/>
            <w:tcBorders>
              <w:bottom w:val="single" w:sz="8" w:space="0" w:color="DCDFE5"/>
            </w:tcBorders>
            <w:tcMar>
              <w:top w:w="180" w:type="dxa"/>
              <w:left w:w="0" w:type="dxa"/>
              <w:bottom w:w="180" w:type="dxa"/>
              <w:right w:w="240" w:type="dxa"/>
            </w:tcMar>
            <w:hideMark/>
          </w:tcPr>
          <w:p w14:paraId="5BAC2F08"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Infants</w:t>
            </w:r>
          </w:p>
        </w:tc>
        <w:tc>
          <w:tcPr>
            <w:tcW w:w="961" w:type="dxa"/>
            <w:tcBorders>
              <w:bottom w:val="single" w:sz="8" w:space="0" w:color="DCDFE5"/>
            </w:tcBorders>
            <w:tcMar>
              <w:top w:w="180" w:type="dxa"/>
              <w:left w:w="0" w:type="dxa"/>
              <w:bottom w:w="180" w:type="dxa"/>
              <w:right w:w="240" w:type="dxa"/>
            </w:tcMar>
            <w:hideMark/>
          </w:tcPr>
          <w:p w14:paraId="779527C2"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1012" w:type="dxa"/>
            <w:tcBorders>
              <w:bottom w:val="single" w:sz="8" w:space="0" w:color="DCDFE5"/>
            </w:tcBorders>
            <w:tcMar>
              <w:top w:w="180" w:type="dxa"/>
              <w:left w:w="0" w:type="dxa"/>
              <w:bottom w:w="180" w:type="dxa"/>
              <w:right w:w="0" w:type="dxa"/>
            </w:tcMar>
            <w:hideMark/>
          </w:tcPr>
          <w:p w14:paraId="30234639"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Non-pigmented adrenal micronodules</w:t>
            </w:r>
          </w:p>
        </w:tc>
      </w:tr>
      <w:tr w:rsidR="007F12C4" w:rsidRPr="007F12C4" w14:paraId="49EF8FF0" w14:textId="77777777" w:rsidTr="007F12C4">
        <w:trPr>
          <w:trHeight w:val="256"/>
        </w:trPr>
        <w:tc>
          <w:tcPr>
            <w:tcW w:w="1074" w:type="dxa"/>
            <w:tcBorders>
              <w:bottom w:val="single" w:sz="8" w:space="0" w:color="DCDFE5"/>
            </w:tcBorders>
            <w:tcMar>
              <w:top w:w="180" w:type="dxa"/>
              <w:left w:w="0" w:type="dxa"/>
              <w:bottom w:w="180" w:type="dxa"/>
              <w:right w:w="240" w:type="dxa"/>
            </w:tcMar>
            <w:hideMark/>
          </w:tcPr>
          <w:p w14:paraId="2C3977E6"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xml:space="preserve">        Primary </w:t>
            </w:r>
            <w:proofErr w:type="spellStart"/>
            <w:r w:rsidRPr="007F12C4">
              <w:rPr>
                <w:rFonts w:ascii="Arial" w:eastAsia="Times New Roman" w:hAnsi="Arial" w:cs="Arial"/>
                <w:color w:val="0A0A0A"/>
                <w:sz w:val="12"/>
                <w:szCs w:val="12"/>
              </w:rPr>
              <w:t>bimorphic</w:t>
            </w:r>
            <w:proofErr w:type="spellEnd"/>
            <w:r w:rsidRPr="007F12C4">
              <w:rPr>
                <w:rFonts w:ascii="Arial" w:eastAsia="Times New Roman" w:hAnsi="Arial" w:cs="Arial"/>
                <w:color w:val="0A0A0A"/>
                <w:sz w:val="12"/>
                <w:szCs w:val="12"/>
              </w:rPr>
              <w:t xml:space="preserve"> adrenocortical disease</w:t>
            </w:r>
          </w:p>
        </w:tc>
        <w:tc>
          <w:tcPr>
            <w:tcW w:w="854" w:type="dxa"/>
            <w:tcBorders>
              <w:bottom w:val="single" w:sz="8" w:space="0" w:color="DCDFE5"/>
            </w:tcBorders>
            <w:tcMar>
              <w:top w:w="180" w:type="dxa"/>
              <w:left w:w="0" w:type="dxa"/>
              <w:bottom w:w="180" w:type="dxa"/>
              <w:right w:w="240" w:type="dxa"/>
            </w:tcMar>
            <w:hideMark/>
          </w:tcPr>
          <w:p w14:paraId="33B98101"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Very rare</w:t>
            </w:r>
          </w:p>
        </w:tc>
        <w:tc>
          <w:tcPr>
            <w:tcW w:w="694" w:type="dxa"/>
            <w:tcBorders>
              <w:bottom w:val="single" w:sz="8" w:space="0" w:color="DCDFE5"/>
            </w:tcBorders>
            <w:tcMar>
              <w:top w:w="180" w:type="dxa"/>
              <w:left w:w="0" w:type="dxa"/>
              <w:bottom w:w="180" w:type="dxa"/>
              <w:right w:w="240" w:type="dxa"/>
            </w:tcMar>
            <w:hideMark/>
          </w:tcPr>
          <w:p w14:paraId="6E96E405"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Infants</w:t>
            </w:r>
          </w:p>
        </w:tc>
        <w:tc>
          <w:tcPr>
            <w:tcW w:w="961" w:type="dxa"/>
            <w:tcBorders>
              <w:bottom w:val="single" w:sz="8" w:space="0" w:color="DCDFE5"/>
            </w:tcBorders>
            <w:tcMar>
              <w:top w:w="180" w:type="dxa"/>
              <w:left w:w="0" w:type="dxa"/>
              <w:bottom w:w="180" w:type="dxa"/>
              <w:right w:w="240" w:type="dxa"/>
            </w:tcMar>
            <w:hideMark/>
          </w:tcPr>
          <w:p w14:paraId="2DB679CC"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c>
          <w:tcPr>
            <w:tcW w:w="1012" w:type="dxa"/>
            <w:tcBorders>
              <w:bottom w:val="single" w:sz="8" w:space="0" w:color="DCDFE5"/>
            </w:tcBorders>
            <w:tcMar>
              <w:top w:w="180" w:type="dxa"/>
              <w:left w:w="0" w:type="dxa"/>
              <w:bottom w:w="180" w:type="dxa"/>
              <w:right w:w="0" w:type="dxa"/>
            </w:tcMar>
            <w:hideMark/>
          </w:tcPr>
          <w:p w14:paraId="4C6B42D4"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r>
      <w:tr w:rsidR="007F12C4" w:rsidRPr="007F12C4" w14:paraId="478C9340" w14:textId="77777777" w:rsidTr="007F12C4">
        <w:trPr>
          <w:trHeight w:val="256"/>
        </w:trPr>
        <w:tc>
          <w:tcPr>
            <w:tcW w:w="1074" w:type="dxa"/>
            <w:tcBorders>
              <w:bottom w:val="single" w:sz="8" w:space="0" w:color="DCDFE5"/>
            </w:tcBorders>
            <w:tcMar>
              <w:top w:w="180" w:type="dxa"/>
              <w:left w:w="0" w:type="dxa"/>
              <w:bottom w:w="180" w:type="dxa"/>
              <w:right w:w="240" w:type="dxa"/>
            </w:tcMar>
            <w:hideMark/>
          </w:tcPr>
          <w:p w14:paraId="0671CAA0"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McCune-Albright syndrome</w:t>
            </w:r>
          </w:p>
        </w:tc>
        <w:tc>
          <w:tcPr>
            <w:tcW w:w="854" w:type="dxa"/>
            <w:tcBorders>
              <w:bottom w:val="single" w:sz="8" w:space="0" w:color="DCDFE5"/>
            </w:tcBorders>
            <w:tcMar>
              <w:top w:w="180" w:type="dxa"/>
              <w:left w:w="0" w:type="dxa"/>
              <w:bottom w:w="180" w:type="dxa"/>
              <w:right w:w="240" w:type="dxa"/>
            </w:tcMar>
            <w:hideMark/>
          </w:tcPr>
          <w:p w14:paraId="567706D5"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Rare</w:t>
            </w:r>
          </w:p>
        </w:tc>
        <w:tc>
          <w:tcPr>
            <w:tcW w:w="694" w:type="dxa"/>
            <w:tcBorders>
              <w:bottom w:val="single" w:sz="8" w:space="0" w:color="DCDFE5"/>
            </w:tcBorders>
            <w:tcMar>
              <w:top w:w="180" w:type="dxa"/>
              <w:left w:w="0" w:type="dxa"/>
              <w:bottom w:w="180" w:type="dxa"/>
              <w:right w:w="240" w:type="dxa"/>
            </w:tcMar>
            <w:hideMark/>
          </w:tcPr>
          <w:p w14:paraId="2F4E07C0"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Infants (&gt;6 months)</w:t>
            </w:r>
          </w:p>
        </w:tc>
        <w:tc>
          <w:tcPr>
            <w:tcW w:w="961" w:type="dxa"/>
            <w:tcBorders>
              <w:bottom w:val="single" w:sz="8" w:space="0" w:color="DCDFE5"/>
            </w:tcBorders>
            <w:tcMar>
              <w:top w:w="180" w:type="dxa"/>
              <w:left w:w="0" w:type="dxa"/>
              <w:bottom w:w="180" w:type="dxa"/>
              <w:right w:w="240" w:type="dxa"/>
            </w:tcMar>
            <w:hideMark/>
          </w:tcPr>
          <w:p w14:paraId="5F8C1994"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1:1</w:t>
            </w:r>
          </w:p>
        </w:tc>
        <w:tc>
          <w:tcPr>
            <w:tcW w:w="1012" w:type="dxa"/>
            <w:tcBorders>
              <w:bottom w:val="single" w:sz="8" w:space="0" w:color="DCDFE5"/>
            </w:tcBorders>
            <w:tcMar>
              <w:top w:w="180" w:type="dxa"/>
              <w:left w:w="0" w:type="dxa"/>
              <w:bottom w:w="180" w:type="dxa"/>
              <w:right w:w="0" w:type="dxa"/>
            </w:tcMar>
            <w:hideMark/>
          </w:tcPr>
          <w:p w14:paraId="1CBE31E3"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Intermodular adrenal atrophy</w:t>
            </w:r>
          </w:p>
        </w:tc>
      </w:tr>
      <w:tr w:rsidR="007F12C4" w:rsidRPr="007F12C4" w14:paraId="34869B2C" w14:textId="77777777" w:rsidTr="007F12C4">
        <w:trPr>
          <w:trHeight w:val="256"/>
        </w:trPr>
        <w:tc>
          <w:tcPr>
            <w:tcW w:w="1074" w:type="dxa"/>
            <w:tcBorders>
              <w:bottom w:val="nil"/>
            </w:tcBorders>
            <w:tcMar>
              <w:top w:w="180" w:type="dxa"/>
              <w:left w:w="0" w:type="dxa"/>
              <w:bottom w:w="180" w:type="dxa"/>
              <w:right w:w="240" w:type="dxa"/>
            </w:tcMar>
            <w:hideMark/>
          </w:tcPr>
          <w:p w14:paraId="76F9EA85"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    Bilateral adenomas or carcinomas</w:t>
            </w:r>
          </w:p>
        </w:tc>
        <w:tc>
          <w:tcPr>
            <w:tcW w:w="854" w:type="dxa"/>
            <w:tcBorders>
              <w:bottom w:val="nil"/>
            </w:tcBorders>
            <w:tcMar>
              <w:top w:w="180" w:type="dxa"/>
              <w:left w:w="0" w:type="dxa"/>
              <w:bottom w:w="180" w:type="dxa"/>
              <w:right w:w="240" w:type="dxa"/>
            </w:tcMar>
            <w:hideMark/>
          </w:tcPr>
          <w:p w14:paraId="6CA6DC36"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Very rare</w:t>
            </w:r>
          </w:p>
        </w:tc>
        <w:tc>
          <w:tcPr>
            <w:tcW w:w="694" w:type="dxa"/>
            <w:tcBorders>
              <w:bottom w:val="nil"/>
            </w:tcBorders>
            <w:tcMar>
              <w:top w:w="180" w:type="dxa"/>
              <w:left w:w="0" w:type="dxa"/>
              <w:bottom w:w="180" w:type="dxa"/>
              <w:right w:w="240" w:type="dxa"/>
            </w:tcMar>
            <w:hideMark/>
          </w:tcPr>
          <w:p w14:paraId="585AF309"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4th–5th decades</w:t>
            </w:r>
          </w:p>
        </w:tc>
        <w:tc>
          <w:tcPr>
            <w:tcW w:w="961" w:type="dxa"/>
            <w:tcBorders>
              <w:bottom w:val="nil"/>
            </w:tcBorders>
            <w:tcMar>
              <w:top w:w="180" w:type="dxa"/>
              <w:left w:w="0" w:type="dxa"/>
              <w:bottom w:w="180" w:type="dxa"/>
              <w:right w:w="240" w:type="dxa"/>
            </w:tcMar>
            <w:hideMark/>
          </w:tcPr>
          <w:p w14:paraId="342A7E02"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3–4:1</w:t>
            </w:r>
          </w:p>
        </w:tc>
        <w:tc>
          <w:tcPr>
            <w:tcW w:w="1012" w:type="dxa"/>
            <w:tcBorders>
              <w:bottom w:val="nil"/>
            </w:tcBorders>
            <w:tcMar>
              <w:top w:w="180" w:type="dxa"/>
              <w:left w:w="0" w:type="dxa"/>
              <w:bottom w:w="180" w:type="dxa"/>
              <w:right w:w="0" w:type="dxa"/>
            </w:tcMar>
            <w:hideMark/>
          </w:tcPr>
          <w:p w14:paraId="5D30CF1E" w14:textId="77777777" w:rsidR="007F12C4" w:rsidRPr="007F12C4" w:rsidRDefault="007F12C4" w:rsidP="007F12C4">
            <w:pPr>
              <w:spacing w:after="0" w:line="240" w:lineRule="auto"/>
              <w:rPr>
                <w:rFonts w:ascii="Arial" w:eastAsia="Times New Roman" w:hAnsi="Arial" w:cs="Arial"/>
                <w:color w:val="0A0A0A"/>
                <w:sz w:val="12"/>
                <w:szCs w:val="12"/>
              </w:rPr>
            </w:pPr>
            <w:r w:rsidRPr="007F12C4">
              <w:rPr>
                <w:rFonts w:ascii="Arial" w:eastAsia="Times New Roman" w:hAnsi="Arial" w:cs="Arial"/>
                <w:color w:val="0A0A0A"/>
                <w:sz w:val="12"/>
                <w:szCs w:val="12"/>
              </w:rPr>
              <w:t>—</w:t>
            </w:r>
          </w:p>
        </w:tc>
      </w:tr>
    </w:tbl>
    <w:p w14:paraId="34DBC96B" w14:textId="4E2CD4A6" w:rsidR="004A0CF8" w:rsidRDefault="004A0CF8" w:rsidP="007F12C4">
      <w:pPr>
        <w:spacing w:line="240" w:lineRule="auto"/>
        <w:jc w:val="both"/>
        <w:rPr>
          <w:rFonts w:ascii="Times New Roman" w:hAnsi="Times New Roman" w:cs="Times New Roman"/>
          <w:sz w:val="16"/>
          <w:szCs w:val="16"/>
        </w:rPr>
      </w:pPr>
      <w:r>
        <w:rPr>
          <w:rFonts w:ascii="Times New Roman" w:hAnsi="Times New Roman" w:cs="Times New Roman"/>
          <w:sz w:val="16"/>
          <w:szCs w:val="16"/>
        </w:rPr>
        <w:t>Source: (</w:t>
      </w:r>
      <w:r w:rsidRPr="004A0CF8">
        <w:rPr>
          <w:rFonts w:ascii="Times New Roman" w:hAnsi="Times New Roman" w:cs="Times New Roman"/>
          <w:sz w:val="16"/>
          <w:szCs w:val="16"/>
        </w:rPr>
        <w:t>Lacroix</w:t>
      </w:r>
      <w:r>
        <w:rPr>
          <w:rFonts w:ascii="Times New Roman" w:hAnsi="Times New Roman" w:cs="Times New Roman"/>
          <w:sz w:val="16"/>
          <w:szCs w:val="16"/>
        </w:rPr>
        <w:t>, 2015)</w:t>
      </w:r>
    </w:p>
    <w:p w14:paraId="324A4C16" w14:textId="0D87FC03" w:rsidR="007F12C4" w:rsidRPr="007F12C4" w:rsidRDefault="007F12C4" w:rsidP="007F12C4">
      <w:pPr>
        <w:spacing w:line="240" w:lineRule="auto"/>
        <w:jc w:val="both"/>
        <w:rPr>
          <w:rFonts w:ascii="Times New Roman" w:hAnsi="Times New Roman" w:cs="Times New Roman"/>
          <w:sz w:val="16"/>
          <w:szCs w:val="16"/>
        </w:rPr>
      </w:pPr>
      <w:r w:rsidRPr="007F12C4">
        <w:rPr>
          <w:rFonts w:ascii="Times New Roman" w:hAnsi="Times New Roman" w:cs="Times New Roman"/>
          <w:sz w:val="16"/>
          <w:szCs w:val="16"/>
        </w:rPr>
        <w:t>Footnotes from image:</w:t>
      </w:r>
    </w:p>
    <w:p w14:paraId="6755BA30" w14:textId="775E70F4" w:rsidR="007F12C4" w:rsidRPr="007F12C4" w:rsidRDefault="007F12C4" w:rsidP="007F12C4">
      <w:pPr>
        <w:spacing w:line="240" w:lineRule="auto"/>
        <w:jc w:val="both"/>
        <w:rPr>
          <w:rFonts w:ascii="Times New Roman" w:hAnsi="Times New Roman" w:cs="Times New Roman"/>
          <w:sz w:val="16"/>
          <w:szCs w:val="16"/>
        </w:rPr>
      </w:pPr>
      <w:r w:rsidRPr="007F12C4">
        <w:rPr>
          <w:rFonts w:ascii="Times New Roman" w:hAnsi="Times New Roman" w:cs="Times New Roman"/>
          <w:sz w:val="16"/>
          <w:szCs w:val="16"/>
        </w:rPr>
        <w:t>ACTH = adrenocorticotropic hormone; CRH = corticotropin-releasing hormone.</w:t>
      </w:r>
    </w:p>
    <w:p w14:paraId="5ED4A73E" w14:textId="5614764A" w:rsidR="007F12C4" w:rsidRPr="007F12C4" w:rsidRDefault="007F12C4" w:rsidP="007F12C4">
      <w:pPr>
        <w:spacing w:line="240" w:lineRule="auto"/>
        <w:jc w:val="both"/>
        <w:rPr>
          <w:rFonts w:ascii="Times New Roman" w:hAnsi="Times New Roman" w:cs="Times New Roman"/>
          <w:sz w:val="16"/>
          <w:szCs w:val="16"/>
        </w:rPr>
      </w:pPr>
      <w:r w:rsidRPr="007F12C4">
        <w:rPr>
          <w:rFonts w:ascii="Times New Roman" w:hAnsi="Times New Roman" w:cs="Times New Roman"/>
          <w:sz w:val="16"/>
          <w:szCs w:val="16"/>
        </w:rPr>
        <w:t xml:space="preserve">*Most frequent sources of ectopic ACTH syndromes are small-cell lung carcinoma and neuroendocrine </w:t>
      </w:r>
      <w:proofErr w:type="spellStart"/>
      <w:r w:rsidRPr="007F12C4">
        <w:rPr>
          <w:rFonts w:ascii="Times New Roman" w:hAnsi="Times New Roman" w:cs="Times New Roman"/>
          <w:sz w:val="16"/>
          <w:szCs w:val="16"/>
        </w:rPr>
        <w:t>tumours</w:t>
      </w:r>
      <w:proofErr w:type="spellEnd"/>
      <w:r w:rsidRPr="007F12C4">
        <w:rPr>
          <w:rFonts w:ascii="Times New Roman" w:hAnsi="Times New Roman" w:cs="Times New Roman"/>
          <w:sz w:val="16"/>
          <w:szCs w:val="16"/>
        </w:rPr>
        <w:t xml:space="preserve"> of lung, thymus, and pancreas. Less frequent causes include medullary thyroid carcinoma, </w:t>
      </w:r>
      <w:proofErr w:type="spellStart"/>
      <w:r w:rsidRPr="007F12C4">
        <w:rPr>
          <w:rFonts w:ascii="Times New Roman" w:hAnsi="Times New Roman" w:cs="Times New Roman"/>
          <w:sz w:val="16"/>
          <w:szCs w:val="16"/>
        </w:rPr>
        <w:t>gastrinoma</w:t>
      </w:r>
      <w:proofErr w:type="spellEnd"/>
      <w:r w:rsidRPr="007F12C4">
        <w:rPr>
          <w:rFonts w:ascii="Times New Roman" w:hAnsi="Times New Roman" w:cs="Times New Roman"/>
          <w:sz w:val="16"/>
          <w:szCs w:val="16"/>
        </w:rPr>
        <w:t>, phaeochromocytoma, prostate carcinoma, and several others.</w:t>
      </w:r>
    </w:p>
    <w:p w14:paraId="64DC6007" w14:textId="3F91B3E0" w:rsidR="0060586F" w:rsidRPr="007F12C4" w:rsidRDefault="007F12C4" w:rsidP="007F12C4">
      <w:pPr>
        <w:spacing w:line="240" w:lineRule="auto"/>
        <w:jc w:val="both"/>
        <w:rPr>
          <w:rFonts w:ascii="Times New Roman" w:hAnsi="Times New Roman" w:cs="Times New Roman"/>
          <w:sz w:val="16"/>
          <w:szCs w:val="16"/>
        </w:rPr>
      </w:pPr>
      <w:r w:rsidRPr="007F12C4">
        <w:rPr>
          <w:rFonts w:ascii="Times New Roman" w:hAnsi="Times New Roman" w:cs="Times New Roman"/>
          <w:sz w:val="16"/>
          <w:szCs w:val="16"/>
        </w:rPr>
        <w:t>†In bilateral macronodular adrenal hyperplasia tissues, autocrine and paracrine ACTH might be produced and contribute to cortisol secretion. If confirmed by in-vivo studies, the ACTH-independent classification will need to be modified in the future.</w:t>
      </w:r>
    </w:p>
    <w:p w14:paraId="40305B62" w14:textId="2729FF3D" w:rsidR="00781F94" w:rsidRPr="003427EF" w:rsidRDefault="007F12C4" w:rsidP="003427EF">
      <w:pPr>
        <w:pStyle w:val="Heading2"/>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Table </w:t>
      </w:r>
      <w:r w:rsidR="00781F94" w:rsidRPr="003427EF">
        <w:rPr>
          <w:rFonts w:ascii="Times New Roman" w:hAnsi="Times New Roman" w:cs="Times New Roman"/>
          <w:color w:val="000000" w:themeColor="text1"/>
          <w:sz w:val="20"/>
          <w:szCs w:val="20"/>
        </w:rPr>
        <w:t>1.</w:t>
      </w:r>
      <w:r w:rsidR="00F63D27" w:rsidRPr="003427EF">
        <w:rPr>
          <w:rFonts w:ascii="Times New Roman" w:hAnsi="Times New Roman" w:cs="Times New Roman"/>
          <w:color w:val="000000" w:themeColor="text1"/>
          <w:sz w:val="20"/>
          <w:szCs w:val="20"/>
        </w:rPr>
        <w:t xml:space="preserve"> Prevalence of ACTH-dependent and ACTH-independent Cushing’s syndrome </w:t>
      </w:r>
    </w:p>
    <w:p w14:paraId="755CCB79" w14:textId="3054CC5A" w:rsidR="0060586F" w:rsidRPr="003427EF" w:rsidRDefault="00BD4A68"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Pathophysiology</w:t>
      </w:r>
    </w:p>
    <w:p w14:paraId="337F2BD9" w14:textId="473CC348" w:rsidR="009269F5" w:rsidRPr="003427EF" w:rsidRDefault="00E4034E"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Corticotropin-releasing hormone (CRH), secreted by the hypothalamus, controls the release of ACTH from the anterior pituitary gland</w:t>
      </w:r>
      <w:r w:rsidR="00891FDF" w:rsidRPr="003427EF">
        <w:rPr>
          <w:rFonts w:ascii="Times New Roman" w:hAnsi="Times New Roman" w:cs="Times New Roman"/>
          <w:sz w:val="24"/>
          <w:szCs w:val="24"/>
        </w:rPr>
        <w:t xml:space="preserve">. ACTH is derived from </w:t>
      </w:r>
      <w:r w:rsidR="001224A1" w:rsidRPr="003427EF">
        <w:rPr>
          <w:rFonts w:ascii="Times New Roman" w:hAnsi="Times New Roman" w:cs="Times New Roman"/>
          <w:sz w:val="24"/>
          <w:szCs w:val="24"/>
        </w:rPr>
        <w:t>proopiomelanocortin</w:t>
      </w:r>
      <w:r w:rsidR="0060586F" w:rsidRPr="003427EF">
        <w:rPr>
          <w:rFonts w:ascii="Times New Roman" w:hAnsi="Times New Roman" w:cs="Times New Roman"/>
          <w:sz w:val="24"/>
          <w:szCs w:val="24"/>
        </w:rPr>
        <w:t xml:space="preserve"> and stimulates cortisol production from the adrenal cortex. </w:t>
      </w:r>
      <w:r w:rsidRPr="003427EF">
        <w:rPr>
          <w:rFonts w:ascii="Times New Roman" w:hAnsi="Times New Roman" w:cs="Times New Roman"/>
          <w:sz w:val="24"/>
          <w:szCs w:val="24"/>
        </w:rPr>
        <w:t>Cortisol normally regulates its own production through a negative feedback mechanism involving the hypothalamus and pituitary gland</w:t>
      </w:r>
      <w:r w:rsidR="0060586F" w:rsidRPr="003427EF">
        <w:rPr>
          <w:rFonts w:ascii="Times New Roman" w:hAnsi="Times New Roman" w:cs="Times New Roman"/>
          <w:sz w:val="24"/>
          <w:szCs w:val="24"/>
        </w:rPr>
        <w:t xml:space="preserve">. In Cushing’s syndrome, this regulatory mechanism becomes disrupted. </w:t>
      </w:r>
    </w:p>
    <w:p w14:paraId="31F4CA89" w14:textId="632E71BD" w:rsidR="0060586F" w:rsidRPr="003427EF" w:rsidRDefault="0060586F"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lastRenderedPageBreak/>
        <w:t xml:space="preserve">The most common form, Cushing’s disease, results from a pituitary adenoma that produces excessive ACTH. These tumors may exhibit partial resistance to cortisol’s feedback inhibition. Ectopic ACTH production may occur in malignancies such as small‑cell lung carcinoma, leading to severe hypertension, hypokalemia, hyperglycemia, and muscle weakness. Some ectopic tumors resemble pituitary‑dependent disease in diagnostic testing, making differentiation challenging. ACTH‑independent forms involve adrenal adenomas, carcinomas, or nodular hyperplasia that autonomously secrete cortisol. Bilateral micronodular hyperplasia may occur in younger patients and can be associated with genetic conditions such as Carney complex. Adrenal incidentalomas </w:t>
      </w:r>
      <w:r w:rsidRPr="003427EF">
        <w:rPr>
          <w:rFonts w:ascii="Times New Roman" w:hAnsi="Times New Roman" w:cs="Times New Roman"/>
          <w:sz w:val="24"/>
          <w:szCs w:val="24"/>
        </w:rPr>
        <w:t>discovered during imaging are usually non‑functional, though a small proportion may progress to overt hypercortisolism. Iatrogenic Cushing’s syndrome can result from prolonged glucocorticoid therapy or, rarely,</w:t>
      </w:r>
      <w:r w:rsidR="00235294" w:rsidRPr="003427EF">
        <w:rPr>
          <w:rFonts w:ascii="Times New Roman" w:hAnsi="Times New Roman" w:cs="Times New Roman"/>
          <w:sz w:val="24"/>
          <w:szCs w:val="24"/>
        </w:rPr>
        <w:t xml:space="preserve"> exogenous ACTH </w:t>
      </w:r>
      <w:r w:rsidR="001224A1" w:rsidRPr="003427EF">
        <w:rPr>
          <w:rFonts w:ascii="Times New Roman" w:hAnsi="Times New Roman" w:cs="Times New Roman"/>
          <w:sz w:val="24"/>
          <w:szCs w:val="24"/>
        </w:rPr>
        <w:t>administration.</w:t>
      </w:r>
      <w:r w:rsidR="001224A1" w:rsidRPr="003427EF">
        <w:rPr>
          <w:rFonts w:ascii="Times New Roman" w:hAnsi="Times New Roman" w:cs="Times New Roman"/>
          <w:sz w:val="24"/>
          <w:szCs w:val="24"/>
          <w:vertAlign w:val="superscript"/>
        </w:rPr>
        <w:t xml:space="preserve"> (</w:t>
      </w:r>
      <w:r w:rsidR="003427EF">
        <w:rPr>
          <w:rFonts w:ascii="Times New Roman" w:hAnsi="Times New Roman" w:cs="Times New Roman"/>
          <w:sz w:val="24"/>
          <w:szCs w:val="24"/>
          <w:vertAlign w:val="superscript"/>
        </w:rPr>
        <w:t>9,10</w:t>
      </w:r>
      <w:r w:rsidR="00235294" w:rsidRPr="003427EF">
        <w:rPr>
          <w:rFonts w:ascii="Times New Roman" w:hAnsi="Times New Roman" w:cs="Times New Roman"/>
          <w:sz w:val="24"/>
          <w:szCs w:val="24"/>
          <w:vertAlign w:val="superscript"/>
        </w:rPr>
        <w:t>)</w:t>
      </w:r>
    </w:p>
    <w:p w14:paraId="0AA04EFD" w14:textId="77777777" w:rsidR="0060586F" w:rsidRDefault="0060586F" w:rsidP="003427EF">
      <w:pPr>
        <w:spacing w:line="240" w:lineRule="auto"/>
        <w:jc w:val="both"/>
        <w:rPr>
          <w:rFonts w:ascii="Times New Roman" w:hAnsi="Times New Roman" w:cs="Times New Roman"/>
          <w:sz w:val="24"/>
          <w:szCs w:val="24"/>
        </w:rPr>
      </w:pPr>
    </w:p>
    <w:p w14:paraId="716BE37B" w14:textId="77777777" w:rsidR="007F12C4" w:rsidRPr="007F12C4" w:rsidRDefault="007F12C4" w:rsidP="003427EF">
      <w:pPr>
        <w:spacing w:line="240" w:lineRule="auto"/>
        <w:jc w:val="both"/>
        <w:rPr>
          <w:rFonts w:ascii="Times New Roman" w:hAnsi="Times New Roman" w:cs="Times New Roman"/>
          <w:b/>
          <w:sz w:val="24"/>
          <w:szCs w:val="24"/>
        </w:rPr>
      </w:pPr>
      <w:r w:rsidRPr="007F12C4">
        <w:rPr>
          <w:rFonts w:ascii="Times New Roman" w:hAnsi="Times New Roman" w:cs="Times New Roman"/>
          <w:b/>
          <w:sz w:val="24"/>
          <w:szCs w:val="24"/>
        </w:rPr>
        <w:t>Objectives:</w:t>
      </w:r>
    </w:p>
    <w:p w14:paraId="170AB90C" w14:textId="6A46A762" w:rsidR="007F12C4" w:rsidRPr="003427EF" w:rsidRDefault="007F12C4" w:rsidP="003427EF">
      <w:pPr>
        <w:spacing w:line="240" w:lineRule="auto"/>
        <w:jc w:val="both"/>
        <w:rPr>
          <w:rFonts w:ascii="Times New Roman" w:hAnsi="Times New Roman" w:cs="Times New Roman"/>
          <w:sz w:val="24"/>
          <w:szCs w:val="24"/>
        </w:rPr>
        <w:sectPr w:rsidR="007F12C4" w:rsidRPr="003427EF" w:rsidSect="0060586F">
          <w:type w:val="continuous"/>
          <w:pgSz w:w="12240" w:h="15840"/>
          <w:pgMar w:top="1440" w:right="1440" w:bottom="1440" w:left="1440" w:header="720" w:footer="720" w:gutter="0"/>
          <w:pgBorders w:offsetFrom="page">
            <w:top w:val="thinThickThinSmallGap" w:sz="24" w:space="24" w:color="4F81BD" w:themeColor="accent1"/>
            <w:left w:val="thinThickThinSmallGap" w:sz="24" w:space="24" w:color="4F81BD" w:themeColor="accent1"/>
            <w:bottom w:val="thinThickThinSmallGap" w:sz="24" w:space="24" w:color="4F81BD" w:themeColor="accent1"/>
            <w:right w:val="thinThickThinSmallGap" w:sz="24" w:space="24" w:color="4F81BD" w:themeColor="accent1"/>
          </w:pgBorders>
          <w:cols w:num="2" w:space="720"/>
          <w:docGrid w:linePitch="360"/>
        </w:sectPr>
      </w:pPr>
      <w:r w:rsidRPr="007F12C4">
        <w:rPr>
          <w:rFonts w:ascii="Times New Roman" w:hAnsi="Times New Roman" w:cs="Times New Roman"/>
          <w:sz w:val="24"/>
          <w:szCs w:val="24"/>
        </w:rPr>
        <w:t>To report and highlight a case of iatrogenic Cushing’s syndrome due to long-term external corticosteroid use, emphasizing its clinical presentation, diagnosis, and importance of appropriate management to prevent complications such as adrenal suppression and withdrawal crisis.</w:t>
      </w:r>
    </w:p>
    <w:p w14:paraId="1169BB95" w14:textId="5D07E019" w:rsidR="00BD4952" w:rsidRPr="003427EF" w:rsidRDefault="00BD4952" w:rsidP="003427EF">
      <w:pPr>
        <w:spacing w:line="240" w:lineRule="auto"/>
        <w:jc w:val="both"/>
        <w:rPr>
          <w:rFonts w:ascii="Times New Roman" w:hAnsi="Times New Roman" w:cs="Times New Roman"/>
          <w:sz w:val="24"/>
          <w:szCs w:val="24"/>
        </w:rPr>
      </w:pPr>
    </w:p>
    <w:p w14:paraId="204DFBC7" w14:textId="77777777" w:rsidR="0060586F" w:rsidRPr="003427EF" w:rsidRDefault="0060586F" w:rsidP="003427EF">
      <w:pPr>
        <w:pStyle w:val="Heading2"/>
        <w:spacing w:line="240" w:lineRule="auto"/>
        <w:jc w:val="both"/>
        <w:rPr>
          <w:rFonts w:ascii="Times New Roman" w:hAnsi="Times New Roman" w:cs="Times New Roman"/>
          <w:sz w:val="24"/>
          <w:szCs w:val="24"/>
        </w:rPr>
        <w:sectPr w:rsidR="0060586F" w:rsidRPr="003427EF" w:rsidSect="0060586F">
          <w:type w:val="continuous"/>
          <w:pgSz w:w="12240" w:h="15840"/>
          <w:pgMar w:top="1440" w:right="1440" w:bottom="1440" w:left="1440" w:header="720" w:footer="720" w:gutter="0"/>
          <w:pgBorders w:offsetFrom="page">
            <w:top w:val="thinThickThinSmallGap" w:sz="24" w:space="24" w:color="4F81BD" w:themeColor="accent1"/>
            <w:left w:val="thinThickThinSmallGap" w:sz="24" w:space="24" w:color="4F81BD" w:themeColor="accent1"/>
            <w:bottom w:val="thinThickThinSmallGap" w:sz="24" w:space="24" w:color="4F81BD" w:themeColor="accent1"/>
            <w:right w:val="thinThickThinSmallGap" w:sz="24" w:space="24" w:color="4F81BD" w:themeColor="accent1"/>
          </w:pgBorders>
          <w:cols w:space="720"/>
          <w:docGrid w:linePitch="360"/>
        </w:sectPr>
      </w:pPr>
    </w:p>
    <w:p w14:paraId="6AC0C10E" w14:textId="77777777" w:rsidR="0060586F" w:rsidRPr="003427EF" w:rsidRDefault="0060586F"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CASE DESCRIPTION</w:t>
      </w:r>
    </w:p>
    <w:p w14:paraId="7FBB2606" w14:textId="561FB924" w:rsidR="0060586F" w:rsidRPr="003427EF" w:rsidRDefault="0060586F" w:rsidP="003427EF">
      <w:pPr>
        <w:spacing w:line="240" w:lineRule="auto"/>
        <w:ind w:firstLine="720"/>
        <w:jc w:val="both"/>
        <w:rPr>
          <w:rFonts w:ascii="Times New Roman" w:hAnsi="Times New Roman" w:cs="Times New Roman"/>
          <w:noProof/>
          <w:sz w:val="24"/>
          <w:szCs w:val="24"/>
        </w:rPr>
      </w:pPr>
      <w:r w:rsidRPr="003427EF">
        <w:rPr>
          <w:rFonts w:ascii="Times New Roman" w:hAnsi="Times New Roman" w:cs="Times New Roman"/>
          <w:sz w:val="24"/>
          <w:szCs w:val="24"/>
        </w:rPr>
        <w:t xml:space="preserve">A 52-year-old female patient presented to the General Medicine outpatient department with complaints of persistent headache, facial puffiness, progressive weight gain, and generalized weakness for the past six months. She also reported irregular menstrual cycles and a tendency to bruise easily. There was no history of seizures, loss of consciousness, or previously diagnosed endocrine disorders. </w:t>
      </w:r>
      <w:r w:rsidRPr="003427EF">
        <w:rPr>
          <w:rFonts w:ascii="Times New Roman" w:hAnsi="Times New Roman" w:cs="Times New Roman"/>
          <w:sz w:val="24"/>
          <w:szCs w:val="24"/>
        </w:rPr>
        <w:br/>
        <w:t>The patient was a known hypertensive for the past three years but was irregular with her medications. On further inquiry, it was revealed that she had been taking oral corticosteroids continuously for nearly eight months for joint pain without proper medical supervision.</w:t>
      </w:r>
      <w:r w:rsidRPr="003427EF">
        <w:rPr>
          <w:rFonts w:ascii="Times New Roman" w:hAnsi="Times New Roman" w:cs="Times New Roman"/>
          <w:sz w:val="24"/>
          <w:szCs w:val="24"/>
        </w:rPr>
        <w:br/>
        <w:t xml:space="preserve">There was no significant family history of endocrine </w:t>
      </w:r>
      <w:r w:rsidR="00BC1438" w:rsidRPr="003427EF">
        <w:rPr>
          <w:rFonts w:ascii="Times New Roman" w:hAnsi="Times New Roman" w:cs="Times New Roman"/>
          <w:sz w:val="24"/>
          <w:szCs w:val="24"/>
        </w:rPr>
        <w:t>illness. She</w:t>
      </w:r>
      <w:r w:rsidRPr="003427EF">
        <w:rPr>
          <w:rFonts w:ascii="Times New Roman" w:hAnsi="Times New Roman" w:cs="Times New Roman"/>
          <w:sz w:val="24"/>
          <w:szCs w:val="24"/>
        </w:rPr>
        <w:t xml:space="preserve"> was a non-smoker and </w:t>
      </w:r>
      <w:r w:rsidRPr="003427EF">
        <w:rPr>
          <w:rFonts w:ascii="Times New Roman" w:hAnsi="Times New Roman" w:cs="Times New Roman"/>
          <w:sz w:val="24"/>
          <w:szCs w:val="24"/>
        </w:rPr>
        <w:t>non-alcoholic.</w:t>
      </w:r>
      <w:r w:rsidRPr="003427EF">
        <w:rPr>
          <w:rFonts w:ascii="Times New Roman" w:hAnsi="Times New Roman" w:cs="Times New Roman"/>
          <w:sz w:val="24"/>
          <w:szCs w:val="24"/>
        </w:rPr>
        <w:br/>
      </w:r>
      <w:r w:rsidR="00235294" w:rsidRPr="003427EF">
        <w:rPr>
          <w:rFonts w:ascii="Times New Roman" w:hAnsi="Times New Roman" w:cs="Times New Roman"/>
          <w:noProof/>
          <w:sz w:val="24"/>
          <w:szCs w:val="24"/>
        </w:rPr>
        <w:drawing>
          <wp:inline distT="0" distB="0" distL="0" distR="0" wp14:anchorId="36E21BB0" wp14:editId="1B4CF73F">
            <wp:extent cx="2072640" cy="17068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agyamm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72640" cy="1706880"/>
                    </a:xfrm>
                    <a:prstGeom prst="rect">
                      <a:avLst/>
                    </a:prstGeom>
                  </pic:spPr>
                </pic:pic>
              </a:graphicData>
            </a:graphic>
          </wp:inline>
        </w:drawing>
      </w:r>
      <w:r w:rsidR="00891FDF" w:rsidRPr="003427EF">
        <w:rPr>
          <w:rFonts w:ascii="Times New Roman" w:hAnsi="Times New Roman" w:cs="Times New Roman"/>
          <w:noProof/>
          <w:sz w:val="24"/>
          <w:szCs w:val="24"/>
        </w:rPr>
        <mc:AlternateContent>
          <mc:Choice Requires="wps">
            <w:drawing>
              <wp:inline distT="0" distB="0" distL="0" distR="0" wp14:anchorId="72B5EA39" wp14:editId="47E791B4">
                <wp:extent cx="304800" cy="304800"/>
                <wp:effectExtent l="0" t="0" r="0" b="0"/>
                <wp:docPr id="2" name="Rectangle 2" descr="blob:https://web.whatsapp.com/73c19e38-b80d-4921-a868-f7f7eaf334f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78EC98" id="Rectangle 2" o:spid="_x0000_s1026" alt="blob:https://web.whatsapp.com/73c19e38-b80d-4921-a868-f7f7eaf334f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269F5" w:rsidRPr="003427EF">
        <w:rPr>
          <w:rFonts w:ascii="Times New Roman" w:hAnsi="Times New Roman" w:cs="Times New Roman"/>
          <w:noProof/>
          <w:sz w:val="24"/>
          <w:szCs w:val="24"/>
        </w:rPr>
        <w:t xml:space="preserve"> </w:t>
      </w:r>
    </w:p>
    <w:p w14:paraId="38C6A16E" w14:textId="35E3A6BA" w:rsidR="00DA4067" w:rsidRPr="003427EF" w:rsidRDefault="00DA4067" w:rsidP="003427EF">
      <w:pPr>
        <w:spacing w:line="240" w:lineRule="auto"/>
        <w:ind w:firstLine="720"/>
        <w:jc w:val="both"/>
        <w:rPr>
          <w:rFonts w:ascii="Times New Roman" w:hAnsi="Times New Roman" w:cs="Times New Roman"/>
          <w:sz w:val="24"/>
          <w:szCs w:val="24"/>
        </w:rPr>
      </w:pPr>
      <w:r w:rsidRPr="003427EF">
        <w:rPr>
          <w:rFonts w:ascii="Times New Roman" w:hAnsi="Times New Roman" w:cs="Times New Roman"/>
          <w:sz w:val="20"/>
          <w:szCs w:val="20"/>
        </w:rPr>
        <w:t xml:space="preserve">Fig </w:t>
      </w:r>
      <w:r w:rsidR="007F12C4">
        <w:rPr>
          <w:rFonts w:ascii="Times New Roman" w:hAnsi="Times New Roman" w:cs="Times New Roman"/>
          <w:sz w:val="20"/>
          <w:szCs w:val="20"/>
        </w:rPr>
        <w:t>1</w:t>
      </w:r>
      <w:r w:rsidRPr="003427EF">
        <w:rPr>
          <w:rFonts w:ascii="Times New Roman" w:hAnsi="Times New Roman" w:cs="Times New Roman"/>
          <w:sz w:val="20"/>
          <w:szCs w:val="20"/>
        </w:rPr>
        <w:t>.</w:t>
      </w:r>
      <w:r w:rsidR="003A6EE1" w:rsidRPr="003427EF">
        <w:rPr>
          <w:rFonts w:ascii="Times New Roman" w:hAnsi="Times New Roman" w:cs="Times New Roman"/>
          <w:sz w:val="20"/>
          <w:szCs w:val="20"/>
        </w:rPr>
        <w:t xml:space="preserve"> Female patient suspected of Cushing’s syndrome </w:t>
      </w:r>
    </w:p>
    <w:p w14:paraId="49AEC29E" w14:textId="7D0FAAE3" w:rsidR="0060586F" w:rsidRPr="003427EF" w:rsidRDefault="00BD4A68"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Clinical diagnosis and on examination</w:t>
      </w:r>
    </w:p>
    <w:p w14:paraId="7B075F57" w14:textId="02D16F5B" w:rsidR="009269F5" w:rsidRPr="003427EF" w:rsidRDefault="0060586F"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On examination, the patient was conscious, cooperative, and well-oriented. Her vital signs were: blood pressure 160/100 mmHg, pulse rate 88 beats per minute, respiratory rate 18 breaths per minute, and temperature 98.4°F. Physical examination revealed classical features suggestive of Cushing’s syndrome including moon-shaped face, central obesity, purple abdominal striae, facial acne, and proximal muscle weakness. Systemic examination did not reveal any</w:t>
      </w:r>
    </w:p>
    <w:p w14:paraId="506D0CC7" w14:textId="13F63E3A" w:rsidR="0060586F" w:rsidRPr="003427EF" w:rsidRDefault="0060586F"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lastRenderedPageBreak/>
        <w:t>additional abnormalities. Based on clinical findings, Cushing’s syndrome was suspected.</w:t>
      </w:r>
      <w:r w:rsidR="0021149B" w:rsidRPr="003427EF">
        <w:rPr>
          <w:rFonts w:ascii="Times New Roman" w:hAnsi="Times New Roman" w:cs="Times New Roman"/>
          <w:sz w:val="24"/>
          <w:szCs w:val="24"/>
        </w:rPr>
        <w:t xml:space="preserve"> </w:t>
      </w:r>
      <w:r w:rsidRPr="003427EF">
        <w:rPr>
          <w:rFonts w:ascii="Times New Roman" w:hAnsi="Times New Roman" w:cs="Times New Roman"/>
          <w:sz w:val="24"/>
          <w:szCs w:val="24"/>
        </w:rPr>
        <w:br/>
      </w:r>
      <w:r w:rsidR="0021149B" w:rsidRPr="003427EF">
        <w:rPr>
          <w:rFonts w:ascii="Times New Roman" w:hAnsi="Times New Roman" w:cs="Times New Roman"/>
          <w:noProof/>
          <w:sz w:val="24"/>
          <w:szCs w:val="24"/>
        </w:rPr>
        <mc:AlternateContent>
          <mc:Choice Requires="wps">
            <w:drawing>
              <wp:inline distT="0" distB="0" distL="0" distR="0" wp14:anchorId="19CD901E" wp14:editId="7E1E8DAF">
                <wp:extent cx="304800" cy="304800"/>
                <wp:effectExtent l="0" t="0" r="0" b="0"/>
                <wp:docPr id="4" name="AutoShape 8" descr="blob:https://web.whatsapp.com/28aecab4-14de-46ba-8b4e-ff014f1d6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79DF0" id="AutoShape 8" o:spid="_x0000_s1026" alt="blob:https://web.whatsapp.com/28aecab4-14de-46ba-8b4e-ff014f1d611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93341EE" w14:textId="2CBC0458" w:rsidR="0060586F" w:rsidRPr="003427EF" w:rsidRDefault="00DA4067"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 xml:space="preserve">Table </w:t>
      </w:r>
      <w:r w:rsidR="007F12C4">
        <w:rPr>
          <w:rFonts w:ascii="Times New Roman" w:hAnsi="Times New Roman" w:cs="Times New Roman"/>
          <w:sz w:val="24"/>
          <w:szCs w:val="24"/>
        </w:rPr>
        <w:t>2</w:t>
      </w:r>
      <w:r w:rsidRPr="003427EF">
        <w:rPr>
          <w:rFonts w:ascii="Times New Roman" w:hAnsi="Times New Roman" w:cs="Times New Roman"/>
          <w:sz w:val="24"/>
          <w:szCs w:val="24"/>
        </w:rPr>
        <w:t xml:space="preserve">. </w:t>
      </w:r>
      <w:r w:rsidR="00BD4A68" w:rsidRPr="003427EF">
        <w:rPr>
          <w:rFonts w:ascii="Times New Roman" w:hAnsi="Times New Roman" w:cs="Times New Roman"/>
          <w:sz w:val="24"/>
          <w:szCs w:val="24"/>
        </w:rPr>
        <w:t>Laboratory investigations</w:t>
      </w:r>
    </w:p>
    <w:p w14:paraId="164CEBF3" w14:textId="122CF46E" w:rsidR="00647944" w:rsidRPr="003427EF" w:rsidRDefault="007F12C4" w:rsidP="003427EF">
      <w:pPr>
        <w:jc w:val="both"/>
        <w:rPr>
          <w:rFonts w:ascii="Times New Roman" w:hAnsi="Times New Roman" w:cs="Times New Roman"/>
        </w:rPr>
      </w:pPr>
      <w:r w:rsidRPr="003427E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F599891" wp14:editId="342C33FE">
                <wp:simplePos x="0" y="0"/>
                <wp:positionH relativeFrom="column">
                  <wp:posOffset>-2070389</wp:posOffset>
                </wp:positionH>
                <wp:positionV relativeFrom="paragraph">
                  <wp:posOffset>972028</wp:posOffset>
                </wp:positionV>
                <wp:extent cx="739140" cy="140559"/>
                <wp:effectExtent l="38100" t="76200" r="22860" b="88265"/>
                <wp:wrapNone/>
                <wp:docPr id="1067110360" name="Rectangle 4"/>
                <wp:cNvGraphicFramePr/>
                <a:graphic xmlns:a="http://schemas.openxmlformats.org/drawingml/2006/main">
                  <a:graphicData uri="http://schemas.microsoft.com/office/word/2010/wordprocessingShape">
                    <wps:wsp>
                      <wps:cNvSpPr/>
                      <wps:spPr>
                        <a:xfrm rot="21013522">
                          <a:off x="0" y="0"/>
                          <a:ext cx="739140" cy="14055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0C3276" id="Rectangle 4" o:spid="_x0000_s1026" style="position:absolute;margin-left:-163pt;margin-top:76.55pt;width:58.2pt;height:11.05pt;rotation:-640590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" fillcolor="black [3200]" strokecolor="black [480]" strokeweight="2pt"/>
            </w:pict>
          </mc:Fallback>
        </mc:AlternateContent>
      </w:r>
    </w:p>
    <w:tbl>
      <w:tblPr>
        <w:tblStyle w:val="TableGrid"/>
        <w:tblW w:w="0" w:type="auto"/>
        <w:tblLayout w:type="fixed"/>
        <w:tblLook w:val="04A0" w:firstRow="1" w:lastRow="0" w:firstColumn="1" w:lastColumn="0" w:noHBand="0" w:noVBand="1"/>
      </w:tblPr>
      <w:tblGrid>
        <w:gridCol w:w="1540"/>
        <w:gridCol w:w="1155"/>
        <w:gridCol w:w="1615"/>
      </w:tblGrid>
      <w:tr w:rsidR="004E5A8D" w:rsidRPr="003427EF" w14:paraId="2BC19B87"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25B55355" w14:textId="77777777" w:rsidR="004E5A8D" w:rsidRPr="003427EF" w:rsidRDefault="004E5A8D" w:rsidP="003427EF">
            <w:pPr>
              <w:spacing w:after="200"/>
              <w:jc w:val="both"/>
              <w:rPr>
                <w:rFonts w:ascii="Times New Roman" w:hAnsi="Times New Roman" w:cs="Times New Roman"/>
                <w:b/>
                <w:bCs/>
                <w:sz w:val="24"/>
                <w:szCs w:val="24"/>
              </w:rPr>
            </w:pPr>
            <w:r w:rsidRPr="003427EF">
              <w:rPr>
                <w:rFonts w:ascii="Times New Roman" w:hAnsi="Times New Roman" w:cs="Times New Roman"/>
                <w:b/>
                <w:bCs/>
                <w:sz w:val="24"/>
                <w:szCs w:val="24"/>
              </w:rPr>
              <w:t>TEST</w:t>
            </w:r>
          </w:p>
        </w:tc>
        <w:tc>
          <w:tcPr>
            <w:tcW w:w="1155" w:type="dxa"/>
            <w:tcBorders>
              <w:top w:val="single" w:sz="4" w:space="0" w:color="auto"/>
              <w:left w:val="single" w:sz="4" w:space="0" w:color="auto"/>
              <w:bottom w:val="single" w:sz="4" w:space="0" w:color="auto"/>
              <w:right w:val="single" w:sz="4" w:space="0" w:color="auto"/>
            </w:tcBorders>
            <w:hideMark/>
          </w:tcPr>
          <w:p w14:paraId="384AB76D" w14:textId="77777777" w:rsidR="004E5A8D" w:rsidRPr="003427EF" w:rsidRDefault="004E5A8D" w:rsidP="003427EF">
            <w:pPr>
              <w:spacing w:after="200"/>
              <w:jc w:val="both"/>
              <w:rPr>
                <w:rFonts w:ascii="Times New Roman" w:hAnsi="Times New Roman" w:cs="Times New Roman"/>
                <w:b/>
                <w:bCs/>
                <w:sz w:val="24"/>
                <w:szCs w:val="24"/>
              </w:rPr>
            </w:pPr>
            <w:r w:rsidRPr="003427EF">
              <w:rPr>
                <w:rFonts w:ascii="Times New Roman" w:hAnsi="Times New Roman" w:cs="Times New Roman"/>
                <w:b/>
                <w:bCs/>
                <w:sz w:val="24"/>
                <w:szCs w:val="24"/>
              </w:rPr>
              <w:t>RESULT</w:t>
            </w:r>
          </w:p>
        </w:tc>
        <w:tc>
          <w:tcPr>
            <w:tcW w:w="1615" w:type="dxa"/>
            <w:tcBorders>
              <w:top w:val="single" w:sz="4" w:space="0" w:color="auto"/>
              <w:left w:val="single" w:sz="4" w:space="0" w:color="auto"/>
              <w:bottom w:val="single" w:sz="4" w:space="0" w:color="auto"/>
              <w:right w:val="single" w:sz="4" w:space="0" w:color="auto"/>
            </w:tcBorders>
            <w:hideMark/>
          </w:tcPr>
          <w:p w14:paraId="256B9862" w14:textId="77777777" w:rsidR="004E5A8D" w:rsidRPr="003427EF" w:rsidRDefault="004E5A8D" w:rsidP="003427EF">
            <w:pPr>
              <w:spacing w:after="200"/>
              <w:jc w:val="both"/>
              <w:rPr>
                <w:rFonts w:ascii="Times New Roman" w:hAnsi="Times New Roman" w:cs="Times New Roman"/>
                <w:b/>
                <w:bCs/>
                <w:sz w:val="24"/>
                <w:szCs w:val="24"/>
              </w:rPr>
            </w:pPr>
            <w:r w:rsidRPr="003427EF">
              <w:rPr>
                <w:rFonts w:ascii="Times New Roman" w:hAnsi="Times New Roman" w:cs="Times New Roman"/>
                <w:b/>
                <w:bCs/>
                <w:sz w:val="24"/>
                <w:szCs w:val="24"/>
              </w:rPr>
              <w:t>NOTES</w:t>
            </w:r>
          </w:p>
        </w:tc>
      </w:tr>
      <w:tr w:rsidR="004E5A8D" w:rsidRPr="003427EF" w14:paraId="330E023E"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3D785F29" w14:textId="696BCE89"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Serum cortisol</w:t>
            </w:r>
          </w:p>
        </w:tc>
        <w:tc>
          <w:tcPr>
            <w:tcW w:w="1155" w:type="dxa"/>
            <w:tcBorders>
              <w:top w:val="single" w:sz="4" w:space="0" w:color="auto"/>
              <w:left w:val="single" w:sz="4" w:space="0" w:color="auto"/>
              <w:bottom w:val="single" w:sz="4" w:space="0" w:color="auto"/>
              <w:right w:val="single" w:sz="4" w:space="0" w:color="auto"/>
            </w:tcBorders>
            <w:hideMark/>
          </w:tcPr>
          <w:p w14:paraId="4DE78EEC" w14:textId="7D4AA077"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28 µg/dl</w:t>
            </w:r>
          </w:p>
        </w:tc>
        <w:tc>
          <w:tcPr>
            <w:tcW w:w="1615" w:type="dxa"/>
            <w:tcBorders>
              <w:top w:val="single" w:sz="4" w:space="0" w:color="auto"/>
              <w:left w:val="single" w:sz="4" w:space="0" w:color="auto"/>
              <w:bottom w:val="single" w:sz="4" w:space="0" w:color="auto"/>
              <w:right w:val="single" w:sz="4" w:space="0" w:color="auto"/>
            </w:tcBorders>
            <w:hideMark/>
          </w:tcPr>
          <w:p w14:paraId="4762C435" w14:textId="5EFFE801"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Very low</w:t>
            </w:r>
          </w:p>
        </w:tc>
      </w:tr>
      <w:tr w:rsidR="004E5A8D" w:rsidRPr="003427EF" w14:paraId="35C78ECA"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3B78C7F6"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Hemoglobin</w:t>
            </w:r>
          </w:p>
        </w:tc>
        <w:tc>
          <w:tcPr>
            <w:tcW w:w="1155" w:type="dxa"/>
            <w:tcBorders>
              <w:top w:val="single" w:sz="4" w:space="0" w:color="auto"/>
              <w:left w:val="single" w:sz="4" w:space="0" w:color="auto"/>
              <w:bottom w:val="single" w:sz="4" w:space="0" w:color="auto"/>
              <w:right w:val="single" w:sz="4" w:space="0" w:color="auto"/>
            </w:tcBorders>
            <w:hideMark/>
          </w:tcPr>
          <w:p w14:paraId="239BEE21" w14:textId="7E7DB0F5"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11.7 g/</w:t>
            </w:r>
            <w:r w:rsidR="009269F5" w:rsidRPr="003427EF">
              <w:rPr>
                <w:rFonts w:ascii="Times New Roman" w:hAnsi="Times New Roman" w:cs="Times New Roman"/>
                <w:sz w:val="24"/>
                <w:szCs w:val="24"/>
              </w:rPr>
              <w:t>dl</w:t>
            </w:r>
          </w:p>
        </w:tc>
        <w:tc>
          <w:tcPr>
            <w:tcW w:w="1615" w:type="dxa"/>
            <w:tcBorders>
              <w:top w:val="single" w:sz="4" w:space="0" w:color="auto"/>
              <w:left w:val="single" w:sz="4" w:space="0" w:color="auto"/>
              <w:bottom w:val="single" w:sz="4" w:space="0" w:color="auto"/>
              <w:right w:val="single" w:sz="4" w:space="0" w:color="auto"/>
            </w:tcBorders>
            <w:hideMark/>
          </w:tcPr>
          <w:p w14:paraId="300B1F96"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Mild anemia</w:t>
            </w:r>
          </w:p>
        </w:tc>
      </w:tr>
      <w:tr w:rsidR="004E5A8D" w:rsidRPr="003427EF" w14:paraId="6FAA2606"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43BDB84B" w14:textId="2F7B067A"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WBC count</w:t>
            </w:r>
          </w:p>
        </w:tc>
        <w:tc>
          <w:tcPr>
            <w:tcW w:w="1155" w:type="dxa"/>
            <w:tcBorders>
              <w:top w:val="single" w:sz="4" w:space="0" w:color="auto"/>
              <w:left w:val="single" w:sz="4" w:space="0" w:color="auto"/>
              <w:bottom w:val="single" w:sz="4" w:space="0" w:color="auto"/>
              <w:right w:val="single" w:sz="4" w:space="0" w:color="auto"/>
            </w:tcBorders>
            <w:hideMark/>
          </w:tcPr>
          <w:p w14:paraId="6053F813"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8660 /mm³</w:t>
            </w:r>
          </w:p>
        </w:tc>
        <w:tc>
          <w:tcPr>
            <w:tcW w:w="1615" w:type="dxa"/>
            <w:tcBorders>
              <w:top w:val="single" w:sz="4" w:space="0" w:color="auto"/>
              <w:left w:val="single" w:sz="4" w:space="0" w:color="auto"/>
              <w:bottom w:val="single" w:sz="4" w:space="0" w:color="auto"/>
              <w:right w:val="single" w:sz="4" w:space="0" w:color="auto"/>
            </w:tcBorders>
            <w:hideMark/>
          </w:tcPr>
          <w:p w14:paraId="1060E126"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Normal</w:t>
            </w:r>
          </w:p>
        </w:tc>
      </w:tr>
      <w:tr w:rsidR="004E5A8D" w:rsidRPr="003427EF" w14:paraId="367233CD"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6D81AF5C"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Platelets</w:t>
            </w:r>
          </w:p>
        </w:tc>
        <w:tc>
          <w:tcPr>
            <w:tcW w:w="1155" w:type="dxa"/>
            <w:tcBorders>
              <w:top w:val="single" w:sz="4" w:space="0" w:color="auto"/>
              <w:left w:val="single" w:sz="4" w:space="0" w:color="auto"/>
              <w:bottom w:val="single" w:sz="4" w:space="0" w:color="auto"/>
              <w:right w:val="single" w:sz="4" w:space="0" w:color="auto"/>
            </w:tcBorders>
            <w:hideMark/>
          </w:tcPr>
          <w:p w14:paraId="23314DF1"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0.96 lakh /mm³</w:t>
            </w:r>
          </w:p>
        </w:tc>
        <w:tc>
          <w:tcPr>
            <w:tcW w:w="1615" w:type="dxa"/>
            <w:tcBorders>
              <w:top w:val="single" w:sz="4" w:space="0" w:color="auto"/>
              <w:left w:val="single" w:sz="4" w:space="0" w:color="auto"/>
              <w:bottom w:val="single" w:sz="4" w:space="0" w:color="auto"/>
              <w:right w:val="single" w:sz="4" w:space="0" w:color="auto"/>
            </w:tcBorders>
            <w:hideMark/>
          </w:tcPr>
          <w:p w14:paraId="3587D138"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Mild thrombocytopenia</w:t>
            </w:r>
          </w:p>
        </w:tc>
      </w:tr>
      <w:tr w:rsidR="004E5A8D" w:rsidRPr="003427EF" w14:paraId="628A3880"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563A0CDF" w14:textId="5EC344D0"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Total bilirubin</w:t>
            </w:r>
          </w:p>
        </w:tc>
        <w:tc>
          <w:tcPr>
            <w:tcW w:w="1155" w:type="dxa"/>
            <w:tcBorders>
              <w:top w:val="single" w:sz="4" w:space="0" w:color="auto"/>
              <w:left w:val="single" w:sz="4" w:space="0" w:color="auto"/>
              <w:bottom w:val="single" w:sz="4" w:space="0" w:color="auto"/>
              <w:right w:val="single" w:sz="4" w:space="0" w:color="auto"/>
            </w:tcBorders>
            <w:hideMark/>
          </w:tcPr>
          <w:p w14:paraId="0C0CB935" w14:textId="5330A9FD"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2.8 mg/dl</w:t>
            </w:r>
          </w:p>
        </w:tc>
        <w:tc>
          <w:tcPr>
            <w:tcW w:w="1615" w:type="dxa"/>
            <w:tcBorders>
              <w:top w:val="single" w:sz="4" w:space="0" w:color="auto"/>
              <w:left w:val="single" w:sz="4" w:space="0" w:color="auto"/>
              <w:bottom w:val="single" w:sz="4" w:space="0" w:color="auto"/>
              <w:right w:val="single" w:sz="4" w:space="0" w:color="auto"/>
            </w:tcBorders>
            <w:hideMark/>
          </w:tcPr>
          <w:p w14:paraId="5F29D2D6"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Elevated</w:t>
            </w:r>
          </w:p>
        </w:tc>
      </w:tr>
      <w:tr w:rsidR="004E5A8D" w:rsidRPr="003427EF" w14:paraId="2659CFCF"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6BA681C1" w14:textId="5C9427C1"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Ast</w:t>
            </w:r>
          </w:p>
        </w:tc>
        <w:tc>
          <w:tcPr>
            <w:tcW w:w="1155" w:type="dxa"/>
            <w:tcBorders>
              <w:top w:val="single" w:sz="4" w:space="0" w:color="auto"/>
              <w:left w:val="single" w:sz="4" w:space="0" w:color="auto"/>
              <w:bottom w:val="single" w:sz="4" w:space="0" w:color="auto"/>
              <w:right w:val="single" w:sz="4" w:space="0" w:color="auto"/>
            </w:tcBorders>
            <w:hideMark/>
          </w:tcPr>
          <w:p w14:paraId="6DCCC198" w14:textId="589F5C75"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52 u/l</w:t>
            </w:r>
          </w:p>
        </w:tc>
        <w:tc>
          <w:tcPr>
            <w:tcW w:w="1615" w:type="dxa"/>
            <w:tcBorders>
              <w:top w:val="single" w:sz="4" w:space="0" w:color="auto"/>
              <w:left w:val="single" w:sz="4" w:space="0" w:color="auto"/>
              <w:bottom w:val="single" w:sz="4" w:space="0" w:color="auto"/>
              <w:right w:val="single" w:sz="4" w:space="0" w:color="auto"/>
            </w:tcBorders>
            <w:hideMark/>
          </w:tcPr>
          <w:p w14:paraId="632BE76B"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Mildly elevated</w:t>
            </w:r>
          </w:p>
        </w:tc>
      </w:tr>
      <w:tr w:rsidR="004E5A8D" w:rsidRPr="003427EF" w14:paraId="6CC1089D"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5E860D2B" w14:textId="56C682A2"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Alp</w:t>
            </w:r>
          </w:p>
        </w:tc>
        <w:tc>
          <w:tcPr>
            <w:tcW w:w="1155" w:type="dxa"/>
            <w:tcBorders>
              <w:top w:val="single" w:sz="4" w:space="0" w:color="auto"/>
              <w:left w:val="single" w:sz="4" w:space="0" w:color="auto"/>
              <w:bottom w:val="single" w:sz="4" w:space="0" w:color="auto"/>
              <w:right w:val="single" w:sz="4" w:space="0" w:color="auto"/>
            </w:tcBorders>
            <w:hideMark/>
          </w:tcPr>
          <w:p w14:paraId="57B403B6" w14:textId="28EC41F5"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154 u/l</w:t>
            </w:r>
          </w:p>
        </w:tc>
        <w:tc>
          <w:tcPr>
            <w:tcW w:w="1615" w:type="dxa"/>
            <w:tcBorders>
              <w:top w:val="single" w:sz="4" w:space="0" w:color="auto"/>
              <w:left w:val="single" w:sz="4" w:space="0" w:color="auto"/>
              <w:bottom w:val="single" w:sz="4" w:space="0" w:color="auto"/>
              <w:right w:val="single" w:sz="4" w:space="0" w:color="auto"/>
            </w:tcBorders>
            <w:hideMark/>
          </w:tcPr>
          <w:p w14:paraId="2FFF35D5"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Elevated</w:t>
            </w:r>
          </w:p>
        </w:tc>
      </w:tr>
      <w:tr w:rsidR="004E5A8D" w:rsidRPr="003427EF" w14:paraId="6712AA01"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44745FE1"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Albumin</w:t>
            </w:r>
          </w:p>
        </w:tc>
        <w:tc>
          <w:tcPr>
            <w:tcW w:w="1155" w:type="dxa"/>
            <w:tcBorders>
              <w:top w:val="single" w:sz="4" w:space="0" w:color="auto"/>
              <w:left w:val="single" w:sz="4" w:space="0" w:color="auto"/>
              <w:bottom w:val="single" w:sz="4" w:space="0" w:color="auto"/>
              <w:right w:val="single" w:sz="4" w:space="0" w:color="auto"/>
            </w:tcBorders>
            <w:hideMark/>
          </w:tcPr>
          <w:p w14:paraId="3F8F037E" w14:textId="602DB5A1"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3.0 g/</w:t>
            </w:r>
            <w:r w:rsidR="009269F5" w:rsidRPr="003427EF">
              <w:rPr>
                <w:rFonts w:ascii="Times New Roman" w:hAnsi="Times New Roman" w:cs="Times New Roman"/>
                <w:sz w:val="24"/>
                <w:szCs w:val="24"/>
              </w:rPr>
              <w:t>dl</w:t>
            </w:r>
          </w:p>
        </w:tc>
        <w:tc>
          <w:tcPr>
            <w:tcW w:w="1615" w:type="dxa"/>
            <w:tcBorders>
              <w:top w:val="single" w:sz="4" w:space="0" w:color="auto"/>
              <w:left w:val="single" w:sz="4" w:space="0" w:color="auto"/>
              <w:bottom w:val="single" w:sz="4" w:space="0" w:color="auto"/>
              <w:right w:val="single" w:sz="4" w:space="0" w:color="auto"/>
            </w:tcBorders>
            <w:hideMark/>
          </w:tcPr>
          <w:p w14:paraId="6C85E0EC"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Low</w:t>
            </w:r>
          </w:p>
        </w:tc>
      </w:tr>
      <w:tr w:rsidR="004E5A8D" w:rsidRPr="003427EF" w14:paraId="273977B0"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5210D456"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Creatinine</w:t>
            </w:r>
          </w:p>
        </w:tc>
        <w:tc>
          <w:tcPr>
            <w:tcW w:w="1155" w:type="dxa"/>
            <w:tcBorders>
              <w:top w:val="single" w:sz="4" w:space="0" w:color="auto"/>
              <w:left w:val="single" w:sz="4" w:space="0" w:color="auto"/>
              <w:bottom w:val="single" w:sz="4" w:space="0" w:color="auto"/>
              <w:right w:val="single" w:sz="4" w:space="0" w:color="auto"/>
            </w:tcBorders>
            <w:hideMark/>
          </w:tcPr>
          <w:p w14:paraId="6AAEB743" w14:textId="41D21B11"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1.3 mg/</w:t>
            </w:r>
            <w:r w:rsidR="009269F5" w:rsidRPr="003427EF">
              <w:rPr>
                <w:rFonts w:ascii="Times New Roman" w:hAnsi="Times New Roman" w:cs="Times New Roman"/>
                <w:sz w:val="24"/>
                <w:szCs w:val="24"/>
              </w:rPr>
              <w:t>dl</w:t>
            </w:r>
          </w:p>
        </w:tc>
        <w:tc>
          <w:tcPr>
            <w:tcW w:w="1615" w:type="dxa"/>
            <w:tcBorders>
              <w:top w:val="single" w:sz="4" w:space="0" w:color="auto"/>
              <w:left w:val="single" w:sz="4" w:space="0" w:color="auto"/>
              <w:bottom w:val="single" w:sz="4" w:space="0" w:color="auto"/>
              <w:right w:val="single" w:sz="4" w:space="0" w:color="auto"/>
            </w:tcBorders>
            <w:hideMark/>
          </w:tcPr>
          <w:p w14:paraId="4BB9853E"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Mildly elevated</w:t>
            </w:r>
          </w:p>
        </w:tc>
      </w:tr>
      <w:tr w:rsidR="004E5A8D" w:rsidRPr="003427EF" w14:paraId="240F9F11"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62B15E72"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Urea</w:t>
            </w:r>
          </w:p>
        </w:tc>
        <w:tc>
          <w:tcPr>
            <w:tcW w:w="1155" w:type="dxa"/>
            <w:tcBorders>
              <w:top w:val="single" w:sz="4" w:space="0" w:color="auto"/>
              <w:left w:val="single" w:sz="4" w:space="0" w:color="auto"/>
              <w:bottom w:val="single" w:sz="4" w:space="0" w:color="auto"/>
              <w:right w:val="single" w:sz="4" w:space="0" w:color="auto"/>
            </w:tcBorders>
            <w:hideMark/>
          </w:tcPr>
          <w:p w14:paraId="49812E81" w14:textId="2AE61E29"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19 mg/</w:t>
            </w:r>
            <w:r w:rsidR="009269F5" w:rsidRPr="003427EF">
              <w:rPr>
                <w:rFonts w:ascii="Times New Roman" w:hAnsi="Times New Roman" w:cs="Times New Roman"/>
                <w:sz w:val="24"/>
                <w:szCs w:val="24"/>
              </w:rPr>
              <w:t>dl</w:t>
            </w:r>
          </w:p>
        </w:tc>
        <w:tc>
          <w:tcPr>
            <w:tcW w:w="1615" w:type="dxa"/>
            <w:tcBorders>
              <w:top w:val="single" w:sz="4" w:space="0" w:color="auto"/>
              <w:left w:val="single" w:sz="4" w:space="0" w:color="auto"/>
              <w:bottom w:val="single" w:sz="4" w:space="0" w:color="auto"/>
              <w:right w:val="single" w:sz="4" w:space="0" w:color="auto"/>
            </w:tcBorders>
            <w:hideMark/>
          </w:tcPr>
          <w:p w14:paraId="7BE1E4B3"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Normal</w:t>
            </w:r>
          </w:p>
        </w:tc>
      </w:tr>
      <w:tr w:rsidR="004E5A8D" w:rsidRPr="003427EF" w14:paraId="1E61800E"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0656025B" w14:textId="34103A94"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Urine albumin</w:t>
            </w:r>
          </w:p>
        </w:tc>
        <w:tc>
          <w:tcPr>
            <w:tcW w:w="1155" w:type="dxa"/>
            <w:tcBorders>
              <w:top w:val="single" w:sz="4" w:space="0" w:color="auto"/>
              <w:left w:val="single" w:sz="4" w:space="0" w:color="auto"/>
              <w:bottom w:val="single" w:sz="4" w:space="0" w:color="auto"/>
              <w:right w:val="single" w:sz="4" w:space="0" w:color="auto"/>
            </w:tcBorders>
            <w:hideMark/>
          </w:tcPr>
          <w:p w14:paraId="2CA512DC"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Nil</w:t>
            </w:r>
          </w:p>
        </w:tc>
        <w:tc>
          <w:tcPr>
            <w:tcW w:w="1615" w:type="dxa"/>
            <w:tcBorders>
              <w:top w:val="single" w:sz="4" w:space="0" w:color="auto"/>
              <w:left w:val="single" w:sz="4" w:space="0" w:color="auto"/>
              <w:bottom w:val="single" w:sz="4" w:space="0" w:color="auto"/>
              <w:right w:val="single" w:sz="4" w:space="0" w:color="auto"/>
            </w:tcBorders>
            <w:hideMark/>
          </w:tcPr>
          <w:p w14:paraId="53D1456E"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Normal</w:t>
            </w:r>
          </w:p>
        </w:tc>
      </w:tr>
      <w:tr w:rsidR="004E5A8D" w:rsidRPr="003427EF" w14:paraId="50113A7D"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1D7A4C90" w14:textId="49D9339A"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Urine sugar</w:t>
            </w:r>
          </w:p>
        </w:tc>
        <w:tc>
          <w:tcPr>
            <w:tcW w:w="1155" w:type="dxa"/>
            <w:tcBorders>
              <w:top w:val="single" w:sz="4" w:space="0" w:color="auto"/>
              <w:left w:val="single" w:sz="4" w:space="0" w:color="auto"/>
              <w:bottom w:val="single" w:sz="4" w:space="0" w:color="auto"/>
              <w:right w:val="single" w:sz="4" w:space="0" w:color="auto"/>
            </w:tcBorders>
            <w:hideMark/>
          </w:tcPr>
          <w:p w14:paraId="77D801FB"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Nil</w:t>
            </w:r>
          </w:p>
        </w:tc>
        <w:tc>
          <w:tcPr>
            <w:tcW w:w="1615" w:type="dxa"/>
            <w:tcBorders>
              <w:top w:val="single" w:sz="4" w:space="0" w:color="auto"/>
              <w:left w:val="single" w:sz="4" w:space="0" w:color="auto"/>
              <w:bottom w:val="single" w:sz="4" w:space="0" w:color="auto"/>
              <w:right w:val="single" w:sz="4" w:space="0" w:color="auto"/>
            </w:tcBorders>
            <w:hideMark/>
          </w:tcPr>
          <w:p w14:paraId="34D0F9F0"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Normal</w:t>
            </w:r>
          </w:p>
        </w:tc>
      </w:tr>
      <w:tr w:rsidR="004E5A8D" w:rsidRPr="003427EF" w14:paraId="6139BCBC"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3FFDA022" w14:textId="323C762C"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Urine microscopy</w:t>
            </w:r>
          </w:p>
        </w:tc>
        <w:tc>
          <w:tcPr>
            <w:tcW w:w="1155" w:type="dxa"/>
            <w:tcBorders>
              <w:top w:val="single" w:sz="4" w:space="0" w:color="auto"/>
              <w:left w:val="single" w:sz="4" w:space="0" w:color="auto"/>
              <w:bottom w:val="single" w:sz="4" w:space="0" w:color="auto"/>
              <w:right w:val="single" w:sz="4" w:space="0" w:color="auto"/>
            </w:tcBorders>
            <w:hideMark/>
          </w:tcPr>
          <w:p w14:paraId="7FF50034" w14:textId="70827B60"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Nad</w:t>
            </w:r>
          </w:p>
        </w:tc>
        <w:tc>
          <w:tcPr>
            <w:tcW w:w="1615" w:type="dxa"/>
            <w:tcBorders>
              <w:top w:val="single" w:sz="4" w:space="0" w:color="auto"/>
              <w:left w:val="single" w:sz="4" w:space="0" w:color="auto"/>
              <w:bottom w:val="single" w:sz="4" w:space="0" w:color="auto"/>
              <w:right w:val="single" w:sz="4" w:space="0" w:color="auto"/>
            </w:tcBorders>
            <w:hideMark/>
          </w:tcPr>
          <w:p w14:paraId="7515D282"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Normal</w:t>
            </w:r>
          </w:p>
        </w:tc>
      </w:tr>
      <w:tr w:rsidR="004E5A8D" w:rsidRPr="003427EF" w14:paraId="116324C3" w14:textId="77777777" w:rsidTr="009269F5">
        <w:tc>
          <w:tcPr>
            <w:tcW w:w="1540" w:type="dxa"/>
            <w:tcBorders>
              <w:top w:val="single" w:sz="4" w:space="0" w:color="auto"/>
              <w:left w:val="single" w:sz="4" w:space="0" w:color="auto"/>
              <w:bottom w:val="single" w:sz="4" w:space="0" w:color="auto"/>
              <w:right w:val="single" w:sz="4" w:space="0" w:color="auto"/>
            </w:tcBorders>
          </w:tcPr>
          <w:p w14:paraId="68DDA40B" w14:textId="74C85D14" w:rsidR="004E5A8D" w:rsidRPr="003427EF" w:rsidRDefault="009269F5" w:rsidP="003427EF">
            <w:pPr>
              <w:jc w:val="both"/>
              <w:rPr>
                <w:rFonts w:ascii="Times New Roman" w:hAnsi="Times New Roman" w:cs="Times New Roman"/>
                <w:sz w:val="24"/>
                <w:szCs w:val="24"/>
              </w:rPr>
            </w:pPr>
            <w:r w:rsidRPr="003427EF">
              <w:rPr>
                <w:rFonts w:ascii="Times New Roman" w:hAnsi="Times New Roman" w:cs="Times New Roman"/>
                <w:sz w:val="24"/>
                <w:szCs w:val="24"/>
              </w:rPr>
              <w:t>Urinary free cortisol level</w:t>
            </w:r>
          </w:p>
        </w:tc>
        <w:tc>
          <w:tcPr>
            <w:tcW w:w="1155" w:type="dxa"/>
            <w:tcBorders>
              <w:top w:val="single" w:sz="4" w:space="0" w:color="auto"/>
              <w:left w:val="single" w:sz="4" w:space="0" w:color="auto"/>
              <w:bottom w:val="single" w:sz="4" w:space="0" w:color="auto"/>
              <w:right w:val="single" w:sz="4" w:space="0" w:color="auto"/>
            </w:tcBorders>
          </w:tcPr>
          <w:p w14:paraId="19EB3841" w14:textId="77777777" w:rsidR="004E5A8D" w:rsidRPr="003427EF" w:rsidRDefault="004E5A8D" w:rsidP="003427EF">
            <w:pPr>
              <w:jc w:val="both"/>
              <w:rPr>
                <w:rFonts w:ascii="Times New Roman" w:hAnsi="Times New Roman" w:cs="Times New Roman"/>
                <w:sz w:val="24"/>
                <w:szCs w:val="24"/>
              </w:rPr>
            </w:pPr>
          </w:p>
        </w:tc>
        <w:tc>
          <w:tcPr>
            <w:tcW w:w="1615" w:type="dxa"/>
            <w:tcBorders>
              <w:top w:val="single" w:sz="4" w:space="0" w:color="auto"/>
              <w:left w:val="single" w:sz="4" w:space="0" w:color="auto"/>
              <w:bottom w:val="single" w:sz="4" w:space="0" w:color="auto"/>
              <w:right w:val="single" w:sz="4" w:space="0" w:color="auto"/>
            </w:tcBorders>
          </w:tcPr>
          <w:p w14:paraId="6FD9CB8F" w14:textId="737DD923" w:rsidR="004E5A8D" w:rsidRPr="003427EF" w:rsidRDefault="004E5A8D" w:rsidP="003427EF">
            <w:pPr>
              <w:jc w:val="both"/>
              <w:rPr>
                <w:rFonts w:ascii="Times New Roman" w:hAnsi="Times New Roman" w:cs="Times New Roman"/>
                <w:sz w:val="24"/>
                <w:szCs w:val="24"/>
              </w:rPr>
            </w:pPr>
            <w:r w:rsidRPr="003427EF">
              <w:rPr>
                <w:rFonts w:ascii="Times New Roman" w:hAnsi="Times New Roman" w:cs="Times New Roman"/>
                <w:sz w:val="24"/>
                <w:szCs w:val="24"/>
              </w:rPr>
              <w:t>Elevated</w:t>
            </w:r>
          </w:p>
        </w:tc>
      </w:tr>
      <w:tr w:rsidR="004E5A8D" w:rsidRPr="003427EF" w14:paraId="301B8037" w14:textId="77777777" w:rsidTr="009269F5">
        <w:tc>
          <w:tcPr>
            <w:tcW w:w="1540" w:type="dxa"/>
            <w:tcBorders>
              <w:top w:val="single" w:sz="4" w:space="0" w:color="auto"/>
              <w:left w:val="single" w:sz="4" w:space="0" w:color="auto"/>
              <w:bottom w:val="single" w:sz="4" w:space="0" w:color="auto"/>
              <w:right w:val="single" w:sz="4" w:space="0" w:color="auto"/>
            </w:tcBorders>
          </w:tcPr>
          <w:p w14:paraId="67FFF2E5" w14:textId="7FD8AC36" w:rsidR="004E5A8D" w:rsidRPr="003427EF" w:rsidRDefault="004E5A8D" w:rsidP="003427EF">
            <w:pPr>
              <w:jc w:val="both"/>
              <w:rPr>
                <w:rFonts w:ascii="Times New Roman" w:hAnsi="Times New Roman" w:cs="Times New Roman"/>
                <w:sz w:val="24"/>
                <w:szCs w:val="24"/>
              </w:rPr>
            </w:pPr>
            <w:r w:rsidRPr="003427EF">
              <w:rPr>
                <w:rFonts w:ascii="Times New Roman" w:hAnsi="Times New Roman" w:cs="Times New Roman"/>
                <w:sz w:val="24"/>
                <w:szCs w:val="24"/>
              </w:rPr>
              <w:t>Fasting blood glucose</w:t>
            </w:r>
          </w:p>
        </w:tc>
        <w:tc>
          <w:tcPr>
            <w:tcW w:w="1155" w:type="dxa"/>
            <w:tcBorders>
              <w:top w:val="single" w:sz="4" w:space="0" w:color="auto"/>
              <w:left w:val="single" w:sz="4" w:space="0" w:color="auto"/>
              <w:bottom w:val="single" w:sz="4" w:space="0" w:color="auto"/>
              <w:right w:val="single" w:sz="4" w:space="0" w:color="auto"/>
            </w:tcBorders>
          </w:tcPr>
          <w:p w14:paraId="61162F07" w14:textId="501E9CC9" w:rsidR="004E5A8D" w:rsidRPr="003427EF" w:rsidRDefault="004E5A8D" w:rsidP="003427EF">
            <w:pPr>
              <w:jc w:val="both"/>
              <w:rPr>
                <w:rFonts w:ascii="Times New Roman" w:hAnsi="Times New Roman" w:cs="Times New Roman"/>
                <w:sz w:val="24"/>
                <w:szCs w:val="24"/>
              </w:rPr>
            </w:pPr>
            <w:r w:rsidRPr="003427EF">
              <w:rPr>
                <w:rFonts w:ascii="Times New Roman" w:hAnsi="Times New Roman" w:cs="Times New Roman"/>
                <w:sz w:val="24"/>
                <w:szCs w:val="24"/>
              </w:rPr>
              <w:t>168 mg/</w:t>
            </w:r>
            <w:r w:rsidR="009269F5" w:rsidRPr="003427EF">
              <w:rPr>
                <w:rFonts w:ascii="Times New Roman" w:hAnsi="Times New Roman" w:cs="Times New Roman"/>
                <w:sz w:val="24"/>
                <w:szCs w:val="24"/>
              </w:rPr>
              <w:t>dl</w:t>
            </w:r>
          </w:p>
        </w:tc>
        <w:tc>
          <w:tcPr>
            <w:tcW w:w="1615" w:type="dxa"/>
            <w:tcBorders>
              <w:top w:val="single" w:sz="4" w:space="0" w:color="auto"/>
              <w:left w:val="single" w:sz="4" w:space="0" w:color="auto"/>
              <w:bottom w:val="single" w:sz="4" w:space="0" w:color="auto"/>
              <w:right w:val="single" w:sz="4" w:space="0" w:color="auto"/>
            </w:tcBorders>
          </w:tcPr>
          <w:p w14:paraId="2B1718B4" w14:textId="1C82A02B" w:rsidR="004E5A8D" w:rsidRPr="003427EF" w:rsidRDefault="004E5A8D" w:rsidP="003427EF">
            <w:pPr>
              <w:jc w:val="both"/>
              <w:rPr>
                <w:rFonts w:ascii="Times New Roman" w:hAnsi="Times New Roman" w:cs="Times New Roman"/>
                <w:sz w:val="24"/>
                <w:szCs w:val="24"/>
              </w:rPr>
            </w:pPr>
            <w:r w:rsidRPr="003427EF">
              <w:rPr>
                <w:rFonts w:ascii="Times New Roman" w:hAnsi="Times New Roman" w:cs="Times New Roman"/>
                <w:sz w:val="24"/>
                <w:szCs w:val="24"/>
              </w:rPr>
              <w:t>Increased</w:t>
            </w:r>
          </w:p>
        </w:tc>
      </w:tr>
      <w:tr w:rsidR="004E5A8D" w:rsidRPr="003427EF" w14:paraId="42A9828D" w14:textId="77777777" w:rsidTr="009269F5">
        <w:tc>
          <w:tcPr>
            <w:tcW w:w="1540" w:type="dxa"/>
            <w:tcBorders>
              <w:top w:val="single" w:sz="4" w:space="0" w:color="auto"/>
              <w:left w:val="single" w:sz="4" w:space="0" w:color="auto"/>
              <w:bottom w:val="single" w:sz="4" w:space="0" w:color="auto"/>
              <w:right w:val="single" w:sz="4" w:space="0" w:color="auto"/>
            </w:tcBorders>
          </w:tcPr>
          <w:p w14:paraId="3A5A0BA0" w14:textId="4288DE2B" w:rsidR="004E5A8D" w:rsidRPr="003427EF" w:rsidRDefault="009269F5" w:rsidP="003427EF">
            <w:pPr>
              <w:jc w:val="both"/>
              <w:rPr>
                <w:rFonts w:ascii="Times New Roman" w:hAnsi="Times New Roman" w:cs="Times New Roman"/>
                <w:sz w:val="24"/>
                <w:szCs w:val="24"/>
              </w:rPr>
            </w:pPr>
            <w:r w:rsidRPr="003427EF">
              <w:rPr>
                <w:rFonts w:ascii="Times New Roman" w:hAnsi="Times New Roman" w:cs="Times New Roman"/>
                <w:sz w:val="24"/>
                <w:szCs w:val="24"/>
              </w:rPr>
              <w:t>Serum potassium</w:t>
            </w:r>
          </w:p>
        </w:tc>
        <w:tc>
          <w:tcPr>
            <w:tcW w:w="1155" w:type="dxa"/>
            <w:tcBorders>
              <w:top w:val="single" w:sz="4" w:space="0" w:color="auto"/>
              <w:left w:val="single" w:sz="4" w:space="0" w:color="auto"/>
              <w:bottom w:val="single" w:sz="4" w:space="0" w:color="auto"/>
              <w:right w:val="single" w:sz="4" w:space="0" w:color="auto"/>
            </w:tcBorders>
          </w:tcPr>
          <w:p w14:paraId="2B7CC361" w14:textId="1F68F219" w:rsidR="004E5A8D" w:rsidRPr="003427EF" w:rsidRDefault="009269F5" w:rsidP="003427EF">
            <w:pPr>
              <w:jc w:val="both"/>
              <w:rPr>
                <w:rFonts w:ascii="Times New Roman" w:hAnsi="Times New Roman" w:cs="Times New Roman"/>
                <w:sz w:val="24"/>
                <w:szCs w:val="24"/>
              </w:rPr>
            </w:pPr>
            <w:r w:rsidRPr="003427EF">
              <w:rPr>
                <w:rFonts w:ascii="Times New Roman" w:hAnsi="Times New Roman" w:cs="Times New Roman"/>
                <w:sz w:val="24"/>
                <w:szCs w:val="24"/>
              </w:rPr>
              <w:t>3.2 mEq/l</w:t>
            </w:r>
          </w:p>
        </w:tc>
        <w:tc>
          <w:tcPr>
            <w:tcW w:w="1615" w:type="dxa"/>
            <w:tcBorders>
              <w:top w:val="single" w:sz="4" w:space="0" w:color="auto"/>
              <w:left w:val="single" w:sz="4" w:space="0" w:color="auto"/>
              <w:bottom w:val="single" w:sz="4" w:space="0" w:color="auto"/>
              <w:right w:val="single" w:sz="4" w:space="0" w:color="auto"/>
            </w:tcBorders>
          </w:tcPr>
          <w:p w14:paraId="6C603A4D" w14:textId="0B3CA6F2" w:rsidR="004E5A8D" w:rsidRPr="003427EF" w:rsidRDefault="009269F5" w:rsidP="003427EF">
            <w:pPr>
              <w:jc w:val="both"/>
              <w:rPr>
                <w:rFonts w:ascii="Times New Roman" w:hAnsi="Times New Roman" w:cs="Times New Roman"/>
                <w:sz w:val="24"/>
                <w:szCs w:val="24"/>
              </w:rPr>
            </w:pPr>
            <w:r w:rsidRPr="003427EF">
              <w:rPr>
                <w:rFonts w:ascii="Times New Roman" w:hAnsi="Times New Roman" w:cs="Times New Roman"/>
                <w:sz w:val="24"/>
                <w:szCs w:val="24"/>
              </w:rPr>
              <w:t>Reduced</w:t>
            </w:r>
          </w:p>
        </w:tc>
      </w:tr>
      <w:tr w:rsidR="004E5A8D" w:rsidRPr="003427EF" w14:paraId="2DB3B8F8" w14:textId="77777777" w:rsidTr="009269F5">
        <w:tc>
          <w:tcPr>
            <w:tcW w:w="1540" w:type="dxa"/>
            <w:tcBorders>
              <w:top w:val="single" w:sz="4" w:space="0" w:color="auto"/>
              <w:left w:val="single" w:sz="4" w:space="0" w:color="auto"/>
              <w:bottom w:val="single" w:sz="4" w:space="0" w:color="auto"/>
              <w:right w:val="single" w:sz="4" w:space="0" w:color="auto"/>
            </w:tcBorders>
          </w:tcPr>
          <w:p w14:paraId="472F8284" w14:textId="7BF715D9" w:rsidR="004E5A8D" w:rsidRPr="003427EF" w:rsidRDefault="009269F5" w:rsidP="003427EF">
            <w:pPr>
              <w:jc w:val="both"/>
              <w:rPr>
                <w:rFonts w:ascii="Times New Roman" w:hAnsi="Times New Roman" w:cs="Times New Roman"/>
                <w:sz w:val="24"/>
                <w:szCs w:val="24"/>
              </w:rPr>
            </w:pPr>
            <w:r w:rsidRPr="003427EF">
              <w:rPr>
                <w:rFonts w:ascii="Times New Roman" w:hAnsi="Times New Roman" w:cs="Times New Roman"/>
                <w:sz w:val="24"/>
                <w:szCs w:val="24"/>
              </w:rPr>
              <w:t>Dexamethasone suppression test</w:t>
            </w:r>
          </w:p>
        </w:tc>
        <w:tc>
          <w:tcPr>
            <w:tcW w:w="1155" w:type="dxa"/>
            <w:tcBorders>
              <w:top w:val="single" w:sz="4" w:space="0" w:color="auto"/>
              <w:left w:val="single" w:sz="4" w:space="0" w:color="auto"/>
              <w:bottom w:val="single" w:sz="4" w:space="0" w:color="auto"/>
              <w:right w:val="single" w:sz="4" w:space="0" w:color="auto"/>
            </w:tcBorders>
          </w:tcPr>
          <w:p w14:paraId="04AEEBE8" w14:textId="312CD50D" w:rsidR="004E5A8D" w:rsidRPr="003427EF" w:rsidRDefault="004E5A8D" w:rsidP="003427EF">
            <w:pPr>
              <w:jc w:val="both"/>
              <w:rPr>
                <w:rFonts w:ascii="Times New Roman" w:hAnsi="Times New Roman" w:cs="Times New Roman"/>
                <w:sz w:val="24"/>
                <w:szCs w:val="24"/>
              </w:rPr>
            </w:pPr>
            <w:r w:rsidRPr="003427EF">
              <w:rPr>
                <w:rFonts w:ascii="Times New Roman" w:hAnsi="Times New Roman" w:cs="Times New Roman"/>
                <w:sz w:val="24"/>
                <w:szCs w:val="24"/>
              </w:rPr>
              <w:t>Low-dose</w:t>
            </w:r>
          </w:p>
        </w:tc>
        <w:tc>
          <w:tcPr>
            <w:tcW w:w="1615" w:type="dxa"/>
            <w:tcBorders>
              <w:top w:val="single" w:sz="4" w:space="0" w:color="auto"/>
              <w:left w:val="single" w:sz="4" w:space="0" w:color="auto"/>
              <w:bottom w:val="single" w:sz="4" w:space="0" w:color="auto"/>
              <w:right w:val="single" w:sz="4" w:space="0" w:color="auto"/>
            </w:tcBorders>
          </w:tcPr>
          <w:p w14:paraId="459CDC14" w14:textId="28098B41" w:rsidR="004E5A8D" w:rsidRPr="003427EF" w:rsidRDefault="009269F5" w:rsidP="003427EF">
            <w:pPr>
              <w:jc w:val="both"/>
              <w:rPr>
                <w:rFonts w:ascii="Times New Roman" w:hAnsi="Times New Roman" w:cs="Times New Roman"/>
                <w:sz w:val="24"/>
                <w:szCs w:val="24"/>
              </w:rPr>
            </w:pPr>
            <w:r w:rsidRPr="003427EF">
              <w:rPr>
                <w:rFonts w:ascii="Times New Roman" w:hAnsi="Times New Roman" w:cs="Times New Roman"/>
                <w:sz w:val="24"/>
                <w:szCs w:val="24"/>
              </w:rPr>
              <w:t>Elevated</w:t>
            </w:r>
          </w:p>
        </w:tc>
      </w:tr>
    </w:tbl>
    <w:p w14:paraId="5DE7D48A" w14:textId="77777777" w:rsidR="004E5A8D" w:rsidRPr="003427EF" w:rsidRDefault="004E5A8D" w:rsidP="003427EF">
      <w:pPr>
        <w:spacing w:line="240" w:lineRule="auto"/>
        <w:jc w:val="both"/>
        <w:rPr>
          <w:rFonts w:ascii="Times New Roman" w:hAnsi="Times New Roman" w:cs="Times New Roman"/>
          <w:sz w:val="24"/>
          <w:szCs w:val="24"/>
        </w:rPr>
      </w:pPr>
    </w:p>
    <w:p w14:paraId="7E4FC87F" w14:textId="77777777" w:rsidR="004E5A8D" w:rsidRPr="003427EF" w:rsidRDefault="004E5A8D" w:rsidP="003427EF">
      <w:pPr>
        <w:spacing w:line="240" w:lineRule="auto"/>
        <w:jc w:val="both"/>
        <w:rPr>
          <w:rFonts w:ascii="Times New Roman" w:hAnsi="Times New Roman" w:cs="Times New Roman"/>
          <w:sz w:val="24"/>
          <w:szCs w:val="24"/>
        </w:rPr>
      </w:pPr>
    </w:p>
    <w:p w14:paraId="6E752904" w14:textId="56E95BB4" w:rsidR="0060586F" w:rsidRPr="003427EF" w:rsidRDefault="00BD4A68"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Treatment</w:t>
      </w:r>
    </w:p>
    <w:p w14:paraId="1FB38254" w14:textId="13A4854A" w:rsidR="0060586F" w:rsidRPr="003427EF" w:rsidRDefault="0060586F"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 xml:space="preserve">The patient was initially taking Prednisolone 20 mg once daily along with Amlodipine 5 mg once daily. A gradual steroid tapering schedule was initiated under close monitoring to prevent adrenal crisis. </w:t>
      </w:r>
      <w:r w:rsidRPr="003427EF">
        <w:rPr>
          <w:rFonts w:ascii="Times New Roman" w:hAnsi="Times New Roman" w:cs="Times New Roman"/>
          <w:sz w:val="24"/>
          <w:szCs w:val="24"/>
        </w:rPr>
        <w:br/>
        <w:t>The clinical pharmacist played an important role in identifying steroid misuse and counseling the patient regarding the risks associated with long-term unsupervised corticosteroid therapy. Blood pressure and blood glucose levels were monitored regularly.</w:t>
      </w:r>
      <w:r w:rsidRPr="003427EF">
        <w:rPr>
          <w:rFonts w:ascii="Times New Roman" w:hAnsi="Times New Roman" w:cs="Times New Roman"/>
          <w:sz w:val="24"/>
          <w:szCs w:val="24"/>
        </w:rPr>
        <w:br/>
      </w:r>
      <w:r w:rsidR="009269F5" w:rsidRPr="003427EF">
        <w:rPr>
          <w:rFonts w:ascii="Times New Roman" w:hAnsi="Times New Roman" w:cs="Times New Roman"/>
          <w:sz w:val="24"/>
          <w:szCs w:val="24"/>
        </w:rPr>
        <w:t>post-intervention</w:t>
      </w:r>
      <w:r w:rsidRPr="003427EF">
        <w:rPr>
          <w:rFonts w:ascii="Times New Roman" w:hAnsi="Times New Roman" w:cs="Times New Roman"/>
          <w:sz w:val="24"/>
          <w:szCs w:val="24"/>
        </w:rPr>
        <w:t xml:space="preserve"> management included Amlodipine 5 mg once daily, Metformin 500 mg twice daily for steroid-induced hyperglycemia, and potassium supplementation. Lifestyle modifications such as dietary control and regular physical activity were advised.</w:t>
      </w:r>
      <w:r w:rsidRPr="003427EF">
        <w:rPr>
          <w:rFonts w:ascii="Times New Roman" w:hAnsi="Times New Roman" w:cs="Times New Roman"/>
          <w:sz w:val="24"/>
          <w:szCs w:val="24"/>
        </w:rPr>
        <w:br/>
        <w:t>The patient was followed up for three months, during which her symptoms gradually improved and cortisol levels began to normalize.</w:t>
      </w:r>
      <w:r w:rsidRPr="003427EF">
        <w:rPr>
          <w:rFonts w:ascii="Times New Roman" w:hAnsi="Times New Roman" w:cs="Times New Roman"/>
          <w:sz w:val="24"/>
          <w:szCs w:val="24"/>
        </w:rPr>
        <w:br/>
      </w:r>
    </w:p>
    <w:p w14:paraId="449B9E5E" w14:textId="77777777" w:rsidR="0060586F" w:rsidRPr="003427EF" w:rsidRDefault="0060586F"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DISCUSSION</w:t>
      </w:r>
    </w:p>
    <w:p w14:paraId="5C598C1C" w14:textId="2B033670" w:rsidR="00E92A56" w:rsidRPr="003427EF" w:rsidRDefault="00E92A56"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 xml:space="preserve">Cushing's syndrome remains the most prevalent form of hypercortisolism globally, predominantly resulting from prolonged exogenous glucocorticoid therapy, as observed in this 53-year-old hypertensive female who self-administered corticosteroids for chronic joint pain. Her clinical presentation—encompassing skin thickening and hyperpigmentation over the abdomen and lower extremities, generalized pruritus, </w:t>
      </w:r>
      <w:r w:rsidRPr="003427EF">
        <w:rPr>
          <w:rFonts w:ascii="Times New Roman" w:hAnsi="Times New Roman" w:cs="Times New Roman"/>
          <w:sz w:val="24"/>
          <w:szCs w:val="24"/>
        </w:rPr>
        <w:lastRenderedPageBreak/>
        <w:t>exertional dyspnea, weakness, low serum cortisol levels, mild anemia, thrombocytopenia, hyperbilirubinemia, mild renal impairment, and concentric left ventricular hypertrophy with grade I diastolic dysfunction—exemplifies the multisystemic repercussions commonly documented in such cases.</w:t>
      </w:r>
      <w:r w:rsidR="00D94193" w:rsidRPr="003427EF">
        <w:rPr>
          <w:rFonts w:ascii="Times New Roman" w:hAnsi="Times New Roman" w:cs="Times New Roman"/>
          <w:sz w:val="24"/>
          <w:szCs w:val="24"/>
        </w:rPr>
        <w:t xml:space="preserve"> </w:t>
      </w:r>
      <w:r w:rsidRPr="003427EF">
        <w:rPr>
          <w:rFonts w:ascii="Times New Roman" w:hAnsi="Times New Roman" w:cs="Times New Roman"/>
          <w:sz w:val="24"/>
          <w:szCs w:val="24"/>
        </w:rPr>
        <w:t>This patient's dermatologic manifestations, including skin atrophy, scaliness, thickening, and hyperpigmentation, align closely with established literature on iatrogenic Cushing's, where cutaneous changes often precede systemic recognition and mimic primary dermatoses. Comparable case reports describe adrenal suppression with suppressed cortisol following long-term dexamethasone use, as in a 32-year-old male on oral tablets exhibiting hypertension and weakness, or intranasal misuse leading to hypokalemia and similar skin alterations. In contrast to endogenous Cushing's syndrome—characterized by pituitary adenomas (approximately 70% of cases) or adrenal tumors with elevated cortisol and ACTH (incidence 0.7-2.4 per million)—exogenous forms feature hypothalamic-pituitary-adrenal axis suppression, underscoring the diagnostic utility of low cortisol levels.</w:t>
      </w:r>
    </w:p>
    <w:p w14:paraId="21174B6D" w14:textId="42CB682A" w:rsidR="0060586F" w:rsidRPr="003427EF" w:rsidRDefault="00E92A56"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Management in this instance entailed gradual steroid tapering, antihypertensives, supportive measures, and dermatology consultation, effectively mitigating adrenal crisis risk and restoring axis function—a strategy corroborated by pharmacoepidemiologic guidelines emphasizing multidisciplinary oversight. The pivotal involvement of clinical pharmacists in identifying misuse, providing counseling, and ensuring rational deprescribing highlights their role in averting adverse drug reactions, particularly in unsupervised chronic therapy scenarios.</w:t>
      </w:r>
      <w:r w:rsidR="003427EF" w:rsidRPr="003427EF">
        <w:rPr>
          <w:rFonts w:ascii="Times New Roman" w:hAnsi="Times New Roman" w:cs="Times New Roman"/>
          <w:sz w:val="24"/>
          <w:szCs w:val="24"/>
        </w:rPr>
        <w:t xml:space="preserve"> </w:t>
      </w:r>
      <w:r w:rsidRPr="003427EF">
        <w:rPr>
          <w:rFonts w:ascii="Times New Roman" w:hAnsi="Times New Roman" w:cs="Times New Roman"/>
          <w:sz w:val="24"/>
          <w:szCs w:val="24"/>
        </w:rPr>
        <w:t xml:space="preserve">This case reinforces the imperative for clinicians to probe corticosteroid history in patients presenting with nonspecific dermatoses or </w:t>
      </w:r>
      <w:r w:rsidRPr="003427EF">
        <w:rPr>
          <w:rFonts w:ascii="Times New Roman" w:hAnsi="Times New Roman" w:cs="Times New Roman"/>
          <w:sz w:val="24"/>
          <w:szCs w:val="24"/>
        </w:rPr>
        <w:t>systemic symptoms, especially among hypertensives or chronic pain sufferers, to facilitate early intervention and curb iatrogenic morbidity.</w:t>
      </w:r>
      <w:r w:rsidR="0060586F" w:rsidRPr="003427EF">
        <w:rPr>
          <w:rFonts w:ascii="Times New Roman" w:hAnsi="Times New Roman" w:cs="Times New Roman"/>
          <w:sz w:val="24"/>
          <w:szCs w:val="24"/>
        </w:rPr>
        <w:br/>
      </w:r>
    </w:p>
    <w:p w14:paraId="0B0FBF0C" w14:textId="77777777" w:rsidR="00235294" w:rsidRPr="003427EF" w:rsidRDefault="00235294"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CONCLUSION</w:t>
      </w:r>
    </w:p>
    <w:p w14:paraId="70F0516E" w14:textId="77777777" w:rsidR="00D94193" w:rsidRPr="003427EF" w:rsidRDefault="00235294"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This case emphasizes the importance of rational corticosteroid prescribing and strict monitoring during long-term therapy. Early diagnosis and timely intervention significantly improve patient outcomes. The involvement of a multidisciplinary team, including clinical pharmacists, plays a vital role in optimizing therapy and preventing medication-related complications.</w:t>
      </w:r>
    </w:p>
    <w:p w14:paraId="1AF4F184" w14:textId="41E211A5" w:rsidR="00D94193" w:rsidRPr="003427EF" w:rsidRDefault="00D94193"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Cushing's syndrome with adrenal suppression, dermatologic changes like hyperpigmentation and skin thickening, and systemic complications including hypertension, anemia, and cardiac dysfunction in a 53-year-old hypertensive female. Successful management through gradual steroid tapering, antihypertensives, supportive care, and pharmacist-led counseling prevented adrenal crisis and restored hypothalamic-pituitary-adrenal axis function, highlighting the value of multidisciplinary pharmacovigilance.</w:t>
      </w:r>
    </w:p>
    <w:p w14:paraId="7620EA53" w14:textId="35BC7C2F" w:rsidR="00235294" w:rsidRPr="003427EF" w:rsidRDefault="00D94193"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Clinicians must routinely screen for occult corticosteroid exposure in patients presenting with nonspecific skin or systemic symptoms—particularly among those with chronic joint pain or comorbidities—to enable early recognition, rational deprescribing, and mitigation of iatrogenic morbidity.</w:t>
      </w:r>
      <w:r w:rsidR="00235294" w:rsidRPr="003427EF">
        <w:rPr>
          <w:rFonts w:ascii="Times New Roman" w:hAnsi="Times New Roman" w:cs="Times New Roman"/>
          <w:sz w:val="24"/>
          <w:szCs w:val="24"/>
        </w:rPr>
        <w:br/>
      </w:r>
      <w:r w:rsidR="00235294" w:rsidRPr="003427EF">
        <w:rPr>
          <w:rFonts w:ascii="Times New Roman" w:hAnsi="Times New Roman" w:cs="Times New Roman"/>
          <w:sz w:val="24"/>
          <w:szCs w:val="24"/>
        </w:rPr>
        <w:br/>
      </w:r>
    </w:p>
    <w:p w14:paraId="7CB8B917" w14:textId="77777777" w:rsidR="004E3E7D" w:rsidRPr="00F103AE" w:rsidRDefault="004E3E7D" w:rsidP="003427EF">
      <w:pPr>
        <w:pStyle w:val="Heading2"/>
        <w:jc w:val="both"/>
        <w:rPr>
          <w:rFonts w:ascii="Times New Roman" w:eastAsia="Times New Roman" w:hAnsi="Times New Roman" w:cs="Times New Roman"/>
          <w:sz w:val="24"/>
          <w:szCs w:val="24"/>
        </w:rPr>
      </w:pPr>
      <w:r w:rsidRPr="00F103AE">
        <w:rPr>
          <w:rFonts w:ascii="Times New Roman" w:eastAsia="Times New Roman" w:hAnsi="Times New Roman" w:cs="Times New Roman"/>
          <w:sz w:val="24"/>
          <w:szCs w:val="24"/>
        </w:rPr>
        <w:t xml:space="preserve">CONSENT </w:t>
      </w:r>
    </w:p>
    <w:p w14:paraId="55A1913A" w14:textId="77777777" w:rsidR="004E3E7D" w:rsidRPr="00F103AE" w:rsidRDefault="004E3E7D" w:rsidP="003427EF">
      <w:pPr>
        <w:keepNext/>
        <w:spacing w:after="0" w:line="240" w:lineRule="auto"/>
        <w:jc w:val="both"/>
        <w:rPr>
          <w:rFonts w:ascii="Times New Roman" w:eastAsia="Times New Roman" w:hAnsi="Times New Roman" w:cs="Times New Roman"/>
          <w:b/>
          <w:bCs/>
          <w:caps/>
          <w:sz w:val="24"/>
          <w:szCs w:val="24"/>
        </w:rPr>
      </w:pPr>
    </w:p>
    <w:p w14:paraId="324D513C" w14:textId="77777777" w:rsidR="004E3E7D" w:rsidRPr="00F103AE" w:rsidRDefault="004E3E7D" w:rsidP="003427EF">
      <w:pPr>
        <w:keepNext/>
        <w:spacing w:after="0" w:line="240" w:lineRule="auto"/>
        <w:jc w:val="both"/>
        <w:rPr>
          <w:rFonts w:ascii="Times New Roman" w:eastAsia="Times New Roman" w:hAnsi="Times New Roman" w:cs="Times New Roman"/>
          <w:sz w:val="24"/>
          <w:szCs w:val="24"/>
        </w:rPr>
      </w:pPr>
      <w:r w:rsidRPr="00F103AE">
        <w:rPr>
          <w:rFonts w:ascii="Times New Roman" w:eastAsia="Times New Roman" w:hAnsi="Times New Roman" w:cs="Times New Roman"/>
          <w:sz w:val="24"/>
          <w:szCs w:val="24"/>
        </w:rPr>
        <w:t xml:space="preserve">As per international standards or university standards, patient(s) written consent                            </w:t>
      </w:r>
      <w:r w:rsidRPr="00F103AE">
        <w:rPr>
          <w:rFonts w:ascii="Times New Roman" w:eastAsia="Times New Roman" w:hAnsi="Times New Roman" w:cs="Times New Roman"/>
          <w:sz w:val="24"/>
          <w:szCs w:val="24"/>
        </w:rPr>
        <w:lastRenderedPageBreak/>
        <w:t>has been collected and preserved by the author(s).</w:t>
      </w:r>
    </w:p>
    <w:p w14:paraId="5B324B9A" w14:textId="77777777" w:rsidR="004E3E7D" w:rsidRPr="00F103AE" w:rsidRDefault="004E3E7D" w:rsidP="003427EF">
      <w:pPr>
        <w:keepNext/>
        <w:spacing w:after="0" w:line="240" w:lineRule="auto"/>
        <w:jc w:val="both"/>
        <w:rPr>
          <w:rFonts w:ascii="Times New Roman" w:eastAsia="Times New Roman" w:hAnsi="Times New Roman" w:cs="Times New Roman"/>
          <w:sz w:val="24"/>
          <w:szCs w:val="24"/>
        </w:rPr>
      </w:pPr>
    </w:p>
    <w:p w14:paraId="644A2A17" w14:textId="77777777" w:rsidR="004E3E7D" w:rsidRPr="00F103AE" w:rsidRDefault="004E3E7D" w:rsidP="003427EF">
      <w:pPr>
        <w:keepNext/>
        <w:spacing w:after="0" w:line="240" w:lineRule="auto"/>
        <w:jc w:val="both"/>
        <w:rPr>
          <w:rFonts w:ascii="Times New Roman" w:eastAsia="Times New Roman" w:hAnsi="Times New Roman" w:cs="Times New Roman"/>
          <w:caps/>
          <w:sz w:val="24"/>
          <w:szCs w:val="24"/>
        </w:rPr>
      </w:pPr>
    </w:p>
    <w:p w14:paraId="0C3D8DAC" w14:textId="77777777" w:rsidR="004E3E7D" w:rsidRPr="00F103AE" w:rsidRDefault="004E3E7D" w:rsidP="003427EF">
      <w:pPr>
        <w:pStyle w:val="Heading2"/>
        <w:jc w:val="both"/>
        <w:rPr>
          <w:rFonts w:ascii="Times New Roman" w:eastAsia="Times New Roman" w:hAnsi="Times New Roman" w:cs="Times New Roman"/>
          <w:sz w:val="24"/>
          <w:szCs w:val="24"/>
        </w:rPr>
      </w:pPr>
      <w:r w:rsidRPr="00F103AE">
        <w:rPr>
          <w:rFonts w:ascii="Times New Roman" w:eastAsia="Times New Roman" w:hAnsi="Times New Roman" w:cs="Times New Roman"/>
          <w:sz w:val="24"/>
          <w:szCs w:val="24"/>
        </w:rPr>
        <w:t>DISCLAIMER (Artificial Intelligence)</w:t>
      </w:r>
    </w:p>
    <w:p w14:paraId="3070C6BE" w14:textId="77777777" w:rsidR="004E3E7D" w:rsidRPr="00F103AE" w:rsidRDefault="004E3E7D" w:rsidP="003427EF">
      <w:pPr>
        <w:keepNext/>
        <w:spacing w:after="0" w:line="240" w:lineRule="auto"/>
        <w:jc w:val="both"/>
        <w:rPr>
          <w:rFonts w:ascii="Times New Roman" w:eastAsia="Times New Roman" w:hAnsi="Times New Roman" w:cs="Times New Roman"/>
          <w:b/>
          <w:bCs/>
          <w:caps/>
          <w:sz w:val="24"/>
          <w:szCs w:val="24"/>
        </w:rPr>
      </w:pPr>
    </w:p>
    <w:p w14:paraId="718536E5" w14:textId="77777777" w:rsidR="004E3E7D" w:rsidRPr="00F103AE" w:rsidRDefault="004E3E7D" w:rsidP="003427EF">
      <w:pPr>
        <w:keepNext/>
        <w:spacing w:after="0" w:line="240" w:lineRule="auto"/>
        <w:jc w:val="both"/>
        <w:rPr>
          <w:rFonts w:ascii="Times New Roman" w:eastAsia="Times New Roman" w:hAnsi="Times New Roman" w:cs="Times New Roman"/>
          <w:caps/>
          <w:sz w:val="24"/>
          <w:szCs w:val="24"/>
        </w:rPr>
      </w:pPr>
      <w:r w:rsidRPr="00F103AE">
        <w:rPr>
          <w:rFonts w:ascii="Times New Roman" w:eastAsia="Times New Roman" w:hAnsi="Times New Roman" w:cs="Times New Roman"/>
          <w:sz w:val="24"/>
          <w:szCs w:val="24"/>
        </w:rPr>
        <w:t>Author(s) hereby declares that no generative ai technologies such as large language models (ChatGPT, copilot, etc.) and text-to-image generators have been used during writing or editing of this manuscript.</w:t>
      </w:r>
    </w:p>
    <w:p w14:paraId="1E97E129" w14:textId="77777777" w:rsidR="004E3E7D" w:rsidRPr="00F103AE" w:rsidRDefault="004E3E7D" w:rsidP="003427EF">
      <w:pPr>
        <w:pStyle w:val="ReferHead"/>
        <w:spacing w:after="0"/>
        <w:jc w:val="both"/>
        <w:rPr>
          <w:rFonts w:ascii="Times New Roman" w:hAnsi="Times New Roman"/>
          <w:bCs/>
          <w:sz w:val="24"/>
          <w:szCs w:val="24"/>
        </w:rPr>
      </w:pPr>
    </w:p>
    <w:p w14:paraId="43A5A003" w14:textId="77777777" w:rsidR="004E3E7D" w:rsidRPr="00F103AE" w:rsidRDefault="004E3E7D" w:rsidP="003427EF">
      <w:pPr>
        <w:pStyle w:val="Heading2"/>
        <w:jc w:val="both"/>
        <w:rPr>
          <w:rFonts w:ascii="Times New Roman" w:hAnsi="Times New Roman" w:cs="Times New Roman"/>
          <w:sz w:val="24"/>
          <w:szCs w:val="24"/>
        </w:rPr>
      </w:pPr>
      <w:r w:rsidRPr="00F103AE">
        <w:rPr>
          <w:rFonts w:ascii="Times New Roman" w:hAnsi="Times New Roman" w:cs="Times New Roman"/>
          <w:sz w:val="24"/>
          <w:szCs w:val="24"/>
        </w:rPr>
        <w:t>COMPETING INTERESTS</w:t>
      </w:r>
    </w:p>
    <w:p w14:paraId="43F85CD2" w14:textId="77777777" w:rsidR="004E3E7D" w:rsidRPr="00F103AE" w:rsidRDefault="004E3E7D" w:rsidP="003427EF">
      <w:pPr>
        <w:pStyle w:val="ReferHead"/>
        <w:spacing w:after="0"/>
        <w:jc w:val="both"/>
        <w:rPr>
          <w:rFonts w:ascii="Times New Roman" w:hAnsi="Times New Roman"/>
          <w:sz w:val="24"/>
          <w:szCs w:val="24"/>
        </w:rPr>
      </w:pPr>
    </w:p>
    <w:p w14:paraId="2A0DB3F1" w14:textId="77777777" w:rsidR="004E3E7D" w:rsidRPr="00F103AE" w:rsidRDefault="004E3E7D" w:rsidP="003427EF">
      <w:pPr>
        <w:pStyle w:val="ReferHead"/>
        <w:spacing w:after="0"/>
        <w:jc w:val="both"/>
        <w:rPr>
          <w:rFonts w:ascii="Times New Roman" w:hAnsi="Times New Roman"/>
          <w:b w:val="0"/>
          <w:caps w:val="0"/>
          <w:sz w:val="24"/>
          <w:szCs w:val="24"/>
        </w:rPr>
      </w:pPr>
      <w:r w:rsidRPr="00F103AE">
        <w:rPr>
          <w:rFonts w:ascii="Times New Roman" w:hAnsi="Times New Roman"/>
          <w:b w:val="0"/>
          <w:caps w:val="0"/>
          <w:sz w:val="24"/>
          <w:szCs w:val="24"/>
        </w:rPr>
        <w:t>Authors have declared that no competing interests exist.</w:t>
      </w:r>
    </w:p>
    <w:p w14:paraId="2BB691E9" w14:textId="1841728D" w:rsidR="00EA1E74" w:rsidRPr="003427EF" w:rsidRDefault="00EA1E74" w:rsidP="003427EF">
      <w:pPr>
        <w:spacing w:line="240" w:lineRule="auto"/>
        <w:jc w:val="both"/>
        <w:rPr>
          <w:rFonts w:ascii="Times New Roman" w:eastAsia="Times New Roman" w:hAnsi="Times New Roman" w:cs="Times New Roman"/>
          <w:sz w:val="24"/>
          <w:szCs w:val="24"/>
        </w:rPr>
      </w:pPr>
    </w:p>
    <w:p w14:paraId="15AC2962"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3E226B07"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05797BFA"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3000274F"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005D0EC1"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1281F337"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56D98911"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3AED57E6"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6911A2E9"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78B556A8"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73FF28DA"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0AC066BD"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260A7696"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55AAA4D6"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4084BBDE"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000475CB"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7615A097"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4BB6F42A"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584CC143"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5924CF0A"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30E23A7A"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3FF4252C"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63D997C6"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7D98ECA1"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12B9B827"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4BD6EF79"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1A6D3394"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0E94AF52"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72F6C35F"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6AF94443"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1EA1AF59"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516C5136"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728EE691"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2954BDE7"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5016B9DC"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7655EDB5" w14:textId="2C1B3B16" w:rsidR="00BD4A68" w:rsidRPr="003427EF" w:rsidRDefault="00BD4A68"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REFERENCES</w:t>
      </w:r>
    </w:p>
    <w:p w14:paraId="598D2061" w14:textId="77777777" w:rsidR="00BD4A68" w:rsidRPr="003427EF" w:rsidRDefault="00BD4A68" w:rsidP="003427EF">
      <w:pPr>
        <w:pStyle w:val="NormalWeb"/>
        <w:ind w:left="720"/>
        <w:jc w:val="both"/>
        <w:sectPr w:rsidR="00BD4A68" w:rsidRPr="003427EF" w:rsidSect="00BD4A68">
          <w:type w:val="continuous"/>
          <w:pgSz w:w="12240" w:h="15840"/>
          <w:pgMar w:top="1440" w:right="1440" w:bottom="1440" w:left="1440" w:header="720" w:footer="720" w:gutter="0"/>
          <w:pgBorders w:offsetFrom="page">
            <w:top w:val="thinThickThinSmallGap" w:sz="24" w:space="24" w:color="4F81BD" w:themeColor="accent1"/>
            <w:left w:val="thinThickThinSmallGap" w:sz="24" w:space="24" w:color="4F81BD" w:themeColor="accent1"/>
            <w:bottom w:val="thinThickThinSmallGap" w:sz="24" w:space="24" w:color="4F81BD" w:themeColor="accent1"/>
            <w:right w:val="thinThickThinSmallGap" w:sz="24" w:space="24" w:color="4F81BD" w:themeColor="accent1"/>
          </w:pgBorders>
          <w:cols w:num="2" w:space="720"/>
          <w:docGrid w:linePitch="360"/>
        </w:sectPr>
      </w:pPr>
    </w:p>
    <w:p w14:paraId="16200B2C" w14:textId="77777777" w:rsidR="00BD4A68" w:rsidRPr="003427EF" w:rsidRDefault="00BD4A68" w:rsidP="003427EF">
      <w:pPr>
        <w:pStyle w:val="NormalWeb"/>
        <w:numPr>
          <w:ilvl w:val="0"/>
          <w:numId w:val="4"/>
        </w:numPr>
        <w:jc w:val="both"/>
      </w:pPr>
      <w:r w:rsidRPr="003427EF">
        <w:t xml:space="preserve">Lacroix A, </w:t>
      </w:r>
      <w:proofErr w:type="spellStart"/>
      <w:r w:rsidRPr="003427EF">
        <w:t>Feelders</w:t>
      </w:r>
      <w:proofErr w:type="spellEnd"/>
      <w:r w:rsidRPr="003427EF">
        <w:t xml:space="preserve"> RA, Stratakis CA, Nieman LK. Cushing’s syndrome. </w:t>
      </w:r>
      <w:r w:rsidRPr="003427EF">
        <w:rPr>
          <w:rStyle w:val="Emphasis"/>
        </w:rPr>
        <w:t>Lancet</w:t>
      </w:r>
      <w:r w:rsidRPr="003427EF">
        <w:t>. 2015;386:913-27.</w:t>
      </w:r>
    </w:p>
    <w:p w14:paraId="665959F8" w14:textId="77777777" w:rsidR="00BD4A68" w:rsidRPr="003427EF" w:rsidRDefault="00BD4A68" w:rsidP="003427EF">
      <w:pPr>
        <w:pStyle w:val="NormalWeb"/>
        <w:numPr>
          <w:ilvl w:val="0"/>
          <w:numId w:val="4"/>
        </w:numPr>
        <w:jc w:val="both"/>
      </w:pPr>
      <w:r w:rsidRPr="003427EF">
        <w:t xml:space="preserve">Chabre O, </w:t>
      </w:r>
      <w:proofErr w:type="spellStart"/>
      <w:r w:rsidRPr="003427EF">
        <w:t>Goichot</w:t>
      </w:r>
      <w:proofErr w:type="spellEnd"/>
      <w:r w:rsidRPr="003427EF">
        <w:t xml:space="preserve"> B, </w:t>
      </w:r>
      <w:proofErr w:type="spellStart"/>
      <w:r w:rsidRPr="003427EF">
        <w:t>Zenaty</w:t>
      </w:r>
      <w:proofErr w:type="spellEnd"/>
      <w:r w:rsidRPr="003427EF">
        <w:t xml:space="preserve"> D, </w:t>
      </w:r>
      <w:proofErr w:type="spellStart"/>
      <w:r w:rsidRPr="003427EF">
        <w:t>Bertherat</w:t>
      </w:r>
      <w:proofErr w:type="spellEnd"/>
      <w:r w:rsidRPr="003427EF">
        <w:t xml:space="preserve"> J. Cushing syndrome: epidemiology and clinical aspects. </w:t>
      </w:r>
      <w:r w:rsidRPr="003427EF">
        <w:rPr>
          <w:rStyle w:val="Emphasis"/>
        </w:rPr>
        <w:t xml:space="preserve">Pan </w:t>
      </w:r>
      <w:proofErr w:type="spellStart"/>
      <w:r w:rsidRPr="003427EF">
        <w:rPr>
          <w:rStyle w:val="Emphasis"/>
        </w:rPr>
        <w:t>Afr</w:t>
      </w:r>
      <w:proofErr w:type="spellEnd"/>
      <w:r w:rsidRPr="003427EF">
        <w:rPr>
          <w:rStyle w:val="Emphasis"/>
        </w:rPr>
        <w:t xml:space="preserve"> Med J</w:t>
      </w:r>
      <w:r w:rsidRPr="003427EF">
        <w:t>. 2014;17:237. doi:10.11604/pamj.2014.17.237.3332.</w:t>
      </w:r>
    </w:p>
    <w:p w14:paraId="0CDD67C6" w14:textId="77777777" w:rsidR="00BD4A68" w:rsidRPr="003427EF" w:rsidRDefault="00BD4A68" w:rsidP="003427EF">
      <w:pPr>
        <w:pStyle w:val="NormalWeb"/>
        <w:numPr>
          <w:ilvl w:val="0"/>
          <w:numId w:val="4"/>
        </w:numPr>
        <w:jc w:val="both"/>
      </w:pPr>
      <w:r w:rsidRPr="003427EF">
        <w:t xml:space="preserve">Bansal P, Goyal A, Cusick A, Lahan S, Dhaliwal HS, et al. Cushing </w:t>
      </w:r>
      <w:r w:rsidRPr="003427EF">
        <w:lastRenderedPageBreak/>
        <w:t xml:space="preserve">syndrome. </w:t>
      </w:r>
      <w:r w:rsidRPr="003427EF">
        <w:rPr>
          <w:rStyle w:val="Emphasis"/>
        </w:rPr>
        <w:t>J Drug Deliv Ther</w:t>
      </w:r>
      <w:r w:rsidRPr="003427EF">
        <w:t>. 2022;12(6):I-III.</w:t>
      </w:r>
    </w:p>
    <w:p w14:paraId="24E2C0E4" w14:textId="77777777" w:rsidR="00BD4A68" w:rsidRPr="003427EF" w:rsidRDefault="00BD4A68" w:rsidP="003427EF">
      <w:pPr>
        <w:pStyle w:val="NormalWeb"/>
        <w:numPr>
          <w:ilvl w:val="0"/>
          <w:numId w:val="4"/>
        </w:numPr>
        <w:jc w:val="both"/>
      </w:pPr>
      <w:r w:rsidRPr="003427EF">
        <w:t xml:space="preserve">Sharma ST, Nieman LK, </w:t>
      </w:r>
      <w:proofErr w:type="spellStart"/>
      <w:r w:rsidRPr="003427EF">
        <w:t>Feelders</w:t>
      </w:r>
      <w:proofErr w:type="spellEnd"/>
      <w:r w:rsidRPr="003427EF">
        <w:t xml:space="preserve"> RA. Cushing’s syndrome: epidemiology and developments in disease management. </w:t>
      </w:r>
      <w:r w:rsidRPr="003427EF">
        <w:rPr>
          <w:rStyle w:val="Emphasis"/>
        </w:rPr>
        <w:t>J Drug Deliv Ther</w:t>
      </w:r>
      <w:r w:rsidRPr="003427EF">
        <w:t>. 2019;9(4-s):598-600.</w:t>
      </w:r>
    </w:p>
    <w:p w14:paraId="2A0EB9E1" w14:textId="77777777" w:rsidR="00BD4A68" w:rsidRPr="003427EF" w:rsidRDefault="00BD4A68" w:rsidP="003427EF">
      <w:pPr>
        <w:pStyle w:val="NormalWeb"/>
        <w:numPr>
          <w:ilvl w:val="0"/>
          <w:numId w:val="4"/>
        </w:numPr>
        <w:jc w:val="both"/>
      </w:pPr>
      <w:r w:rsidRPr="003427EF">
        <w:t xml:space="preserve">Newell-Price J, Trainer P, Besser M, Grossman A. The diagnosis and differential diagnosis of Cushing’s syndrome and pseudo-Cushing’s states. </w:t>
      </w:r>
      <w:r w:rsidRPr="003427EF">
        <w:rPr>
          <w:rStyle w:val="Emphasis"/>
        </w:rPr>
        <w:t>Lancet</w:t>
      </w:r>
      <w:r w:rsidRPr="003427EF">
        <w:t>. 2001;357:783-91.</w:t>
      </w:r>
    </w:p>
    <w:p w14:paraId="46E898AC" w14:textId="77777777" w:rsidR="003427EF" w:rsidRPr="003427EF" w:rsidRDefault="003427EF" w:rsidP="003427EF">
      <w:pPr>
        <w:pStyle w:val="NormalWeb"/>
        <w:numPr>
          <w:ilvl w:val="0"/>
          <w:numId w:val="4"/>
        </w:numPr>
        <w:jc w:val="both"/>
      </w:pPr>
      <w:r w:rsidRPr="003427EF">
        <w:t>Singh A, et al. Dexamethasone-induced exogenous Cushing's syndrome: a case report. Int J Pharm Sci Res Rev. 2023;85(6).</w:t>
      </w:r>
    </w:p>
    <w:p w14:paraId="24639CC3" w14:textId="77777777" w:rsidR="003427EF" w:rsidRPr="003427EF" w:rsidRDefault="003427EF" w:rsidP="003427EF">
      <w:pPr>
        <w:pStyle w:val="NormalWeb"/>
        <w:numPr>
          <w:ilvl w:val="0"/>
          <w:numId w:val="4"/>
        </w:numPr>
        <w:jc w:val="both"/>
      </w:pPr>
      <w:r w:rsidRPr="003427EF">
        <w:t>Al-</w:t>
      </w:r>
      <w:proofErr w:type="spellStart"/>
      <w:r w:rsidRPr="003427EF">
        <w:t>Buriahi</w:t>
      </w:r>
      <w:proofErr w:type="spellEnd"/>
      <w:r w:rsidRPr="003427EF">
        <w:t xml:space="preserve"> MN, et al. A case of iatrogenic Cushing's syndrome following use of an over-the-counter supplement. Cureus. 2023;15(3):e36020.</w:t>
      </w:r>
    </w:p>
    <w:p w14:paraId="2E0F3232" w14:textId="77777777" w:rsidR="003427EF" w:rsidRPr="003427EF" w:rsidRDefault="003427EF" w:rsidP="003427EF">
      <w:pPr>
        <w:pStyle w:val="NormalWeb"/>
        <w:numPr>
          <w:ilvl w:val="0"/>
          <w:numId w:val="4"/>
        </w:numPr>
        <w:jc w:val="both"/>
      </w:pPr>
      <w:proofErr w:type="spellStart"/>
      <w:r w:rsidRPr="003427EF">
        <w:t>Erdogdu</w:t>
      </w:r>
      <w:proofErr w:type="spellEnd"/>
      <w:r w:rsidRPr="003427EF">
        <w:t xml:space="preserve"> IH, et al. Skin manifestations of Cushing's syndrome. An Bras Dermatol. 2016;91(5):579-582.</w:t>
      </w:r>
    </w:p>
    <w:p w14:paraId="6093DA58" w14:textId="321DBB74" w:rsidR="003427EF" w:rsidRPr="003427EF" w:rsidRDefault="003427EF" w:rsidP="003427EF">
      <w:pPr>
        <w:pStyle w:val="NormalWeb"/>
        <w:numPr>
          <w:ilvl w:val="0"/>
          <w:numId w:val="4"/>
        </w:numPr>
        <w:jc w:val="both"/>
      </w:pPr>
      <w:r w:rsidRPr="003427EF">
        <w:t xml:space="preserve">MedlinePlus. Exogenous Cushing syndrome. Updated 2025. Available from: </w:t>
      </w:r>
      <w:hyperlink r:id="rId15" w:history="1">
        <w:r w:rsidRPr="003427EF">
          <w:rPr>
            <w:rStyle w:val="Hyperlink"/>
          </w:rPr>
          <w:t>https://medlineplus.gov/ency/article/000389.htm</w:t>
        </w:r>
      </w:hyperlink>
      <w:r w:rsidRPr="003427EF">
        <w:t>.</w:t>
      </w:r>
    </w:p>
    <w:p w14:paraId="7C815AF3" w14:textId="25C3B8C3" w:rsidR="003427EF" w:rsidRPr="003427EF" w:rsidRDefault="003427EF" w:rsidP="003427EF">
      <w:pPr>
        <w:pStyle w:val="NormalWeb"/>
        <w:numPr>
          <w:ilvl w:val="0"/>
          <w:numId w:val="4"/>
        </w:numPr>
        <w:jc w:val="both"/>
      </w:pPr>
      <w:r w:rsidRPr="003427EF">
        <w:t>Joseph RM, et al. Iatrogenic Cushing's syndrome caused by intranasal application of dexamethasone. Korean J Pediatr. 2017;60(4):130-133.</w:t>
      </w:r>
    </w:p>
    <w:p w14:paraId="32F82E05" w14:textId="3E7DE6C9" w:rsidR="00BD4A68" w:rsidRPr="009269F5" w:rsidRDefault="00BD4A68" w:rsidP="00BD4A68">
      <w:pPr>
        <w:pStyle w:val="NormalWeb"/>
        <w:ind w:left="720"/>
        <w:jc w:val="both"/>
      </w:pPr>
    </w:p>
    <w:p w14:paraId="7F0B7A0B" w14:textId="77777777" w:rsidR="00BD4A68" w:rsidRPr="009269F5" w:rsidRDefault="00BD4A68">
      <w:pPr>
        <w:rPr>
          <w:rFonts w:ascii="Times New Roman" w:eastAsia="Times New Roman" w:hAnsi="Times New Roman" w:cs="Times New Roman"/>
          <w:sz w:val="24"/>
          <w:szCs w:val="24"/>
        </w:rPr>
      </w:pPr>
      <w:r w:rsidRPr="009269F5">
        <w:rPr>
          <w:rFonts w:ascii="Times New Roman" w:hAnsi="Times New Roman" w:cs="Times New Roman"/>
          <w:sz w:val="24"/>
          <w:szCs w:val="24"/>
        </w:rPr>
        <w:br w:type="page"/>
      </w:r>
    </w:p>
    <w:p w14:paraId="55E7F3B9" w14:textId="77777777" w:rsidR="00B907D2" w:rsidRPr="009269F5" w:rsidRDefault="00B907D2" w:rsidP="003427EF">
      <w:pPr>
        <w:pStyle w:val="NormalWeb"/>
        <w:jc w:val="both"/>
        <w:sectPr w:rsidR="00B907D2" w:rsidRPr="009269F5" w:rsidSect="00B907D2">
          <w:type w:val="continuous"/>
          <w:pgSz w:w="12240" w:h="15840"/>
          <w:pgMar w:top="1440" w:right="1440" w:bottom="1440" w:left="1440" w:header="720" w:footer="720" w:gutter="0"/>
          <w:pgBorders w:offsetFrom="page">
            <w:top w:val="thinThickThinSmallGap" w:sz="24" w:space="24" w:color="4F81BD" w:themeColor="accent1"/>
            <w:left w:val="thinThickThinSmallGap" w:sz="24" w:space="24" w:color="4F81BD" w:themeColor="accent1"/>
            <w:bottom w:val="thinThickThinSmallGap" w:sz="24" w:space="24" w:color="4F81BD" w:themeColor="accent1"/>
            <w:right w:val="thinThickThinSmallGap" w:sz="24" w:space="24" w:color="4F81BD" w:themeColor="accent1"/>
          </w:pgBorders>
          <w:cols w:num="2" w:space="720"/>
          <w:docGrid w:linePitch="360"/>
        </w:sectPr>
      </w:pPr>
    </w:p>
    <w:p w14:paraId="2A270516" w14:textId="77777777" w:rsidR="0060586F" w:rsidRPr="009269F5" w:rsidRDefault="0060586F">
      <w:pPr>
        <w:rPr>
          <w:rFonts w:ascii="Times New Roman" w:hAnsi="Times New Roman" w:cs="Times New Roman"/>
          <w:sz w:val="24"/>
          <w:szCs w:val="24"/>
        </w:rPr>
      </w:pPr>
    </w:p>
    <w:sectPr w:rsidR="0060586F" w:rsidRPr="009269F5" w:rsidSect="00B907D2">
      <w:type w:val="continuous"/>
      <w:pgSz w:w="12240" w:h="15840"/>
      <w:pgMar w:top="1440" w:right="1440" w:bottom="1440" w:left="1440" w:header="720" w:footer="720" w:gutter="0"/>
      <w:pgBorders w:offsetFrom="page">
        <w:top w:val="thinThickThinSmallGap" w:sz="24" w:space="24" w:color="4F81BD" w:themeColor="accent1"/>
        <w:left w:val="thinThickThinSmallGap" w:sz="24" w:space="24" w:color="4F81BD" w:themeColor="accent1"/>
        <w:bottom w:val="thinThickThinSmallGap" w:sz="24" w:space="24" w:color="4F81BD" w:themeColor="accent1"/>
        <w:right w:val="thinThickThinSmallGap" w:sz="24" w:space="24" w:color="4F81BD" w:themeColor="accent1"/>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12E1" w14:textId="77777777" w:rsidR="00210FD7" w:rsidRDefault="00210FD7" w:rsidP="00FF44BC">
      <w:pPr>
        <w:spacing w:after="0" w:line="240" w:lineRule="auto"/>
      </w:pPr>
      <w:r>
        <w:separator/>
      </w:r>
    </w:p>
  </w:endnote>
  <w:endnote w:type="continuationSeparator" w:id="0">
    <w:p w14:paraId="62A3E438" w14:textId="77777777" w:rsidR="00210FD7" w:rsidRDefault="00210FD7" w:rsidP="00FF4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0FCD" w14:textId="77777777" w:rsidR="00FF44BC" w:rsidRDefault="00FF4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9B6D" w14:textId="77777777" w:rsidR="00FF44BC" w:rsidRDefault="00FF4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9F9F" w14:textId="77777777" w:rsidR="00FF44BC" w:rsidRDefault="00FF4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FD0AB" w14:textId="77777777" w:rsidR="00210FD7" w:rsidRDefault="00210FD7" w:rsidP="00FF44BC">
      <w:pPr>
        <w:spacing w:after="0" w:line="240" w:lineRule="auto"/>
      </w:pPr>
      <w:r>
        <w:separator/>
      </w:r>
    </w:p>
  </w:footnote>
  <w:footnote w:type="continuationSeparator" w:id="0">
    <w:p w14:paraId="7AF9908B" w14:textId="77777777" w:rsidR="00210FD7" w:rsidRDefault="00210FD7" w:rsidP="00FF4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CAE2" w14:textId="706858BE" w:rsidR="00FF44BC" w:rsidRDefault="00000000">
    <w:pPr>
      <w:pStyle w:val="Header"/>
    </w:pPr>
    <w:r>
      <w:rPr>
        <w:noProof/>
      </w:rPr>
      <w:pict w14:anchorId="0CAD5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07165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C26" w14:textId="0DA6D860" w:rsidR="00FF44BC" w:rsidRDefault="00000000">
    <w:pPr>
      <w:pStyle w:val="Header"/>
    </w:pPr>
    <w:r>
      <w:rPr>
        <w:noProof/>
      </w:rPr>
      <w:pict w14:anchorId="7ABBB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07165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F296" w14:textId="0EA63945" w:rsidR="00FF44BC" w:rsidRDefault="00000000">
    <w:pPr>
      <w:pStyle w:val="Header"/>
    </w:pPr>
    <w:r>
      <w:rPr>
        <w:noProof/>
      </w:rPr>
      <w:pict w14:anchorId="400B5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07165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71D6F"/>
    <w:multiLevelType w:val="hybridMultilevel"/>
    <w:tmpl w:val="847E59A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52716"/>
    <w:multiLevelType w:val="hybridMultilevel"/>
    <w:tmpl w:val="3D02F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01D06"/>
    <w:multiLevelType w:val="hybridMultilevel"/>
    <w:tmpl w:val="2424F5FE"/>
    <w:lvl w:ilvl="0" w:tplc="0409000F">
      <w:start w:val="1"/>
      <w:numFmt w:val="decimal"/>
      <w:lvlText w:val="%1."/>
      <w:lvlJc w:val="left"/>
      <w:pPr>
        <w:ind w:left="720" w:hanging="360"/>
      </w:pPr>
      <w:rPr>
        <w:rFonts w:hint="default"/>
      </w:rPr>
    </w:lvl>
    <w:lvl w:ilvl="1" w:tplc="ACBE676C">
      <w:start w:val="1"/>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A4E60"/>
    <w:multiLevelType w:val="hybridMultilevel"/>
    <w:tmpl w:val="50CAB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32B82"/>
    <w:multiLevelType w:val="hybridMultilevel"/>
    <w:tmpl w:val="AE964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987708">
    <w:abstractNumId w:val="1"/>
  </w:num>
  <w:num w:numId="2" w16cid:durableId="1529414022">
    <w:abstractNumId w:val="2"/>
  </w:num>
  <w:num w:numId="3" w16cid:durableId="1459452479">
    <w:abstractNumId w:val="4"/>
  </w:num>
  <w:num w:numId="4" w16cid:durableId="1159464196">
    <w:abstractNumId w:val="3"/>
  </w:num>
  <w:num w:numId="5" w16cid:durableId="57621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0NDazsDQwsDQ1NzJX0lEKTi0uzszPAykwrAUAGs9t/SwAAAA="/>
  </w:docVars>
  <w:rsids>
    <w:rsidRoot w:val="00BD4952"/>
    <w:rsid w:val="00041463"/>
    <w:rsid w:val="00064C71"/>
    <w:rsid w:val="000B28D6"/>
    <w:rsid w:val="000D5E5E"/>
    <w:rsid w:val="001224A1"/>
    <w:rsid w:val="00126BD1"/>
    <w:rsid w:val="0014029A"/>
    <w:rsid w:val="00154782"/>
    <w:rsid w:val="00180559"/>
    <w:rsid w:val="00185B5E"/>
    <w:rsid w:val="001C0700"/>
    <w:rsid w:val="00210FD7"/>
    <w:rsid w:val="0021149B"/>
    <w:rsid w:val="002242F9"/>
    <w:rsid w:val="00235294"/>
    <w:rsid w:val="002B1E3D"/>
    <w:rsid w:val="002B7175"/>
    <w:rsid w:val="002D1612"/>
    <w:rsid w:val="003427EF"/>
    <w:rsid w:val="00352FC7"/>
    <w:rsid w:val="003A6EE1"/>
    <w:rsid w:val="003C6B76"/>
    <w:rsid w:val="003D4B50"/>
    <w:rsid w:val="004A0CF8"/>
    <w:rsid w:val="004B7A30"/>
    <w:rsid w:val="004D1559"/>
    <w:rsid w:val="004E3B67"/>
    <w:rsid w:val="004E3E7D"/>
    <w:rsid w:val="004E5A8D"/>
    <w:rsid w:val="00550871"/>
    <w:rsid w:val="0056095B"/>
    <w:rsid w:val="0060586F"/>
    <w:rsid w:val="00637B09"/>
    <w:rsid w:val="00647944"/>
    <w:rsid w:val="00653D06"/>
    <w:rsid w:val="00657ECF"/>
    <w:rsid w:val="00675F25"/>
    <w:rsid w:val="00693FFD"/>
    <w:rsid w:val="006D31FC"/>
    <w:rsid w:val="00773250"/>
    <w:rsid w:val="00781F94"/>
    <w:rsid w:val="007A7435"/>
    <w:rsid w:val="007B7FFD"/>
    <w:rsid w:val="007F12C4"/>
    <w:rsid w:val="00853BB9"/>
    <w:rsid w:val="0087325F"/>
    <w:rsid w:val="00884C9C"/>
    <w:rsid w:val="00891FDF"/>
    <w:rsid w:val="008C7C62"/>
    <w:rsid w:val="008C7FDA"/>
    <w:rsid w:val="009269F5"/>
    <w:rsid w:val="00934387"/>
    <w:rsid w:val="00941382"/>
    <w:rsid w:val="00943B97"/>
    <w:rsid w:val="00947401"/>
    <w:rsid w:val="00966DC5"/>
    <w:rsid w:val="00A41A9D"/>
    <w:rsid w:val="00A7010D"/>
    <w:rsid w:val="00AA6E77"/>
    <w:rsid w:val="00B02604"/>
    <w:rsid w:val="00B12839"/>
    <w:rsid w:val="00B1637A"/>
    <w:rsid w:val="00B2376F"/>
    <w:rsid w:val="00B62163"/>
    <w:rsid w:val="00B72F0D"/>
    <w:rsid w:val="00B907D2"/>
    <w:rsid w:val="00BC1438"/>
    <w:rsid w:val="00BD4952"/>
    <w:rsid w:val="00BD4A68"/>
    <w:rsid w:val="00C100EE"/>
    <w:rsid w:val="00C233B6"/>
    <w:rsid w:val="00C32989"/>
    <w:rsid w:val="00C52CD9"/>
    <w:rsid w:val="00CE42A3"/>
    <w:rsid w:val="00D2393C"/>
    <w:rsid w:val="00D453AB"/>
    <w:rsid w:val="00D46283"/>
    <w:rsid w:val="00D74782"/>
    <w:rsid w:val="00D94193"/>
    <w:rsid w:val="00DA4067"/>
    <w:rsid w:val="00E277FB"/>
    <w:rsid w:val="00E4034E"/>
    <w:rsid w:val="00E432E7"/>
    <w:rsid w:val="00E47A8D"/>
    <w:rsid w:val="00E62DB5"/>
    <w:rsid w:val="00E92A56"/>
    <w:rsid w:val="00EA1E74"/>
    <w:rsid w:val="00F103AE"/>
    <w:rsid w:val="00F134FC"/>
    <w:rsid w:val="00F307AA"/>
    <w:rsid w:val="00F33CBB"/>
    <w:rsid w:val="00F4554F"/>
    <w:rsid w:val="00F63D27"/>
    <w:rsid w:val="00FB6F4D"/>
    <w:rsid w:val="00FF44BC"/>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9B18E"/>
  <w15:docId w15:val="{F990D50A-C759-4EB6-B2D5-C9AB2104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C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058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952"/>
    <w:rPr>
      <w:rFonts w:ascii="Tahoma" w:hAnsi="Tahoma" w:cs="Tahoma"/>
      <w:sz w:val="16"/>
      <w:szCs w:val="16"/>
    </w:rPr>
  </w:style>
  <w:style w:type="character" w:customStyle="1" w:styleId="Heading2Char">
    <w:name w:val="Heading 2 Char"/>
    <w:basedOn w:val="DefaultParagraphFont"/>
    <w:link w:val="Heading2"/>
    <w:uiPriority w:val="9"/>
    <w:rsid w:val="0060586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907D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07D2"/>
    <w:rPr>
      <w:i/>
      <w:iCs/>
    </w:rPr>
  </w:style>
  <w:style w:type="paragraph" w:styleId="ListParagraph">
    <w:name w:val="List Paragraph"/>
    <w:basedOn w:val="Normal"/>
    <w:uiPriority w:val="34"/>
    <w:qFormat/>
    <w:rsid w:val="00B907D2"/>
    <w:pPr>
      <w:ind w:left="720"/>
      <w:contextualSpacing/>
    </w:pPr>
  </w:style>
  <w:style w:type="table" w:styleId="TableGrid">
    <w:name w:val="Table Grid"/>
    <w:basedOn w:val="TableNormal"/>
    <w:uiPriority w:val="59"/>
    <w:rsid w:val="004E5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42F9"/>
    <w:rPr>
      <w:color w:val="0000FF" w:themeColor="hyperlink"/>
      <w:u w:val="single"/>
    </w:rPr>
  </w:style>
  <w:style w:type="character" w:styleId="UnresolvedMention">
    <w:name w:val="Unresolved Mention"/>
    <w:basedOn w:val="DefaultParagraphFont"/>
    <w:uiPriority w:val="99"/>
    <w:semiHidden/>
    <w:unhideWhenUsed/>
    <w:rsid w:val="002242F9"/>
    <w:rPr>
      <w:color w:val="605E5C"/>
      <w:shd w:val="clear" w:color="auto" w:fill="E1DFDD"/>
    </w:rPr>
  </w:style>
  <w:style w:type="paragraph" w:styleId="Header">
    <w:name w:val="header"/>
    <w:basedOn w:val="Normal"/>
    <w:link w:val="HeaderChar"/>
    <w:uiPriority w:val="99"/>
    <w:unhideWhenUsed/>
    <w:rsid w:val="00FF4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4BC"/>
  </w:style>
  <w:style w:type="paragraph" w:styleId="Footer">
    <w:name w:val="footer"/>
    <w:basedOn w:val="Normal"/>
    <w:link w:val="FooterChar"/>
    <w:uiPriority w:val="99"/>
    <w:unhideWhenUsed/>
    <w:rsid w:val="00FF4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4BC"/>
  </w:style>
  <w:style w:type="paragraph" w:styleId="NoSpacing">
    <w:name w:val="No Spacing"/>
    <w:uiPriority w:val="1"/>
    <w:qFormat/>
    <w:rsid w:val="008C7FDA"/>
    <w:pPr>
      <w:spacing w:after="0" w:line="240" w:lineRule="auto"/>
    </w:pPr>
    <w:rPr>
      <w:lang w:val="en-GB"/>
    </w:rPr>
  </w:style>
  <w:style w:type="character" w:customStyle="1" w:styleId="Heading1Char">
    <w:name w:val="Heading 1 Char"/>
    <w:basedOn w:val="DefaultParagraphFont"/>
    <w:link w:val="Heading1"/>
    <w:uiPriority w:val="9"/>
    <w:rsid w:val="00C52CD9"/>
    <w:rPr>
      <w:rFonts w:asciiTheme="majorHAnsi" w:eastAsiaTheme="majorEastAsia" w:hAnsiTheme="majorHAnsi" w:cstheme="majorBidi"/>
      <w:color w:val="365F91" w:themeColor="accent1" w:themeShade="BF"/>
      <w:sz w:val="32"/>
      <w:szCs w:val="32"/>
    </w:rPr>
  </w:style>
  <w:style w:type="paragraph" w:customStyle="1" w:styleId="ReferHead">
    <w:name w:val="Refer Head"/>
    <w:basedOn w:val="Normal"/>
    <w:rsid w:val="004E3E7D"/>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322753">
      <w:bodyDiv w:val="1"/>
      <w:marLeft w:val="0"/>
      <w:marRight w:val="0"/>
      <w:marTop w:val="0"/>
      <w:marBottom w:val="0"/>
      <w:divBdr>
        <w:top w:val="none" w:sz="0" w:space="0" w:color="auto"/>
        <w:left w:val="none" w:sz="0" w:space="0" w:color="auto"/>
        <w:bottom w:val="none" w:sz="0" w:space="0" w:color="auto"/>
        <w:right w:val="none" w:sz="0" w:space="0" w:color="auto"/>
      </w:divBdr>
    </w:div>
    <w:div w:id="181718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edlineplus.gov/ency/article/000389.ht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F60CB-0C54-4BBC-9621-8FB4B0A4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Acc 101</cp:lastModifiedBy>
  <cp:revision>29</cp:revision>
  <dcterms:created xsi:type="dcterms:W3CDTF">2026-04-08T13:33:00Z</dcterms:created>
  <dcterms:modified xsi:type="dcterms:W3CDTF">2026-04-23T09:08:00Z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983c8ee9-cf10-4ef2-9675-4ffddeceb1a3</vt:lpwstr>
  </property>
</Properties>
</file>