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7B04" w:rsidRDefault="00E229C5">
      <w:pPr>
        <w:ind w:left="360"/>
        <w:rPr>
          <w:rFonts w:ascii="Arial" w:eastAsia="Arial" w:hAnsi="Arial" w:cs="Arial"/>
          <w:sz w:val="24"/>
          <w:szCs w:val="24"/>
        </w:rPr>
      </w:pPr>
      <w:r>
        <w:rPr>
          <w:rFonts w:ascii="Times New Roman" w:eastAsia="Times New Roman" w:hAnsi="Times New Roman" w:cs="Times New Roman"/>
          <w:sz w:val="22"/>
          <w:szCs w:val="22"/>
        </w:rPr>
        <w:t xml:space="preserve">Determinants of Climate‑Smart </w:t>
      </w:r>
      <w:proofErr w:type="spellStart"/>
      <w:r>
        <w:rPr>
          <w:rFonts w:ascii="Times New Roman" w:eastAsia="Times New Roman" w:hAnsi="Times New Roman" w:cs="Times New Roman"/>
          <w:sz w:val="22"/>
          <w:szCs w:val="22"/>
        </w:rPr>
        <w:t>Agritech</w:t>
      </w:r>
      <w:proofErr w:type="spellEnd"/>
      <w:r>
        <w:rPr>
          <w:rFonts w:ascii="Times New Roman" w:eastAsia="Times New Roman" w:hAnsi="Times New Roman" w:cs="Times New Roman"/>
          <w:sz w:val="22"/>
          <w:szCs w:val="22"/>
        </w:rPr>
        <w:t xml:space="preserve"> Adoption among Smallholder Farmers in Northeast Nigeria</w:t>
      </w:r>
    </w:p>
    <w:p w:rsidR="00697B04" w:rsidRDefault="00E229C5">
      <w:pPr>
        <w:rPr>
          <w:rFonts w:ascii="Arial" w:eastAsia="Arial" w:hAnsi="Arial" w:cs="Arial"/>
          <w:color w:val="000000"/>
          <w:sz w:val="36"/>
          <w:szCs w:val="36"/>
        </w:rPr>
      </w:pPr>
      <w:r>
        <w:rPr>
          <w:rFonts w:ascii="Arial" w:eastAsia="Arial" w:hAnsi="Arial" w:cs="Arial"/>
          <w:b/>
          <w:bCs/>
          <w:color w:val="000000"/>
          <w:sz w:val="36"/>
          <w:szCs w:val="36"/>
        </w:rPr>
        <w:t xml:space="preserve"> </w:t>
      </w:r>
    </w:p>
    <w:p w:rsidR="00697B04" w:rsidRDefault="00697B04">
      <w:pPr>
        <w:jc w:val="right"/>
        <w:rPr>
          <w:rFonts w:ascii="Arial" w:eastAsia="Arial" w:hAnsi="Arial" w:cs="Arial"/>
          <w:i/>
          <w:iCs/>
        </w:rPr>
      </w:pPr>
    </w:p>
    <w:p w:rsidR="00697B04" w:rsidRDefault="00697B04">
      <w:pPr>
        <w:rPr>
          <w:rFonts w:ascii="Arial" w:eastAsia="Arial" w:hAnsi="Arial" w:cs="Arial"/>
          <w:i/>
          <w:iCs/>
          <w:color w:val="000000"/>
        </w:rPr>
      </w:pPr>
    </w:p>
    <w:p w:rsidR="00697B04" w:rsidRDefault="00E229C5">
      <w:pPr>
        <w:pBdr>
          <w:top w:val="nil"/>
          <w:left w:val="nil"/>
          <w:bottom w:val="nil"/>
          <w:right w:val="nil"/>
          <w:between w:val="nil"/>
        </w:pBdr>
        <w:jc w:val="both"/>
        <w:rPr>
          <w:rFonts w:ascii="Arial" w:eastAsia="Arial" w:hAnsi="Arial" w:cs="Arial"/>
          <w:color w:val="000000"/>
          <w:sz w:val="16"/>
          <w:szCs w:val="16"/>
        </w:rPr>
        <w:sectPr w:rsidR="00697B0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g">
            <w:drawing>
              <wp:inline distT="0" distB="0" distL="114300" distR="114300">
                <wp:extent cx="5341620" cy="571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41620" cy="571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41620" cy="57150"/>
                        </a:xfrm>
                        <a:prstGeom prst="rect"/>
                        <a:ln/>
                      </pic:spPr>
                    </pic:pic>
                  </a:graphicData>
                </a:graphic>
              </wp:inline>
            </w:drawing>
          </mc:Fallback>
        </mc:AlternateContent>
      </w:r>
    </w:p>
    <w:p w:rsidR="00697B04" w:rsidRDefault="00E229C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5"/>
      </w:tblGrid>
      <w:tr w:rsidR="00697B04">
        <w:tc>
          <w:tcPr>
            <w:tcW w:w="8415" w:type="dxa"/>
            <w:shd w:val="clear" w:color="auto" w:fill="F2F2F2"/>
          </w:tcPr>
          <w:p w:rsidR="00697B04" w:rsidRDefault="00AC0D7D">
            <w:pPr>
              <w:rPr>
                <w:rFonts w:ascii="Arial" w:eastAsia="Arial" w:hAnsi="Arial" w:cs="Arial"/>
                <w:sz w:val="18"/>
                <w:szCs w:val="18"/>
              </w:rPr>
            </w:pPr>
            <w:r w:rsidRPr="00AC0D7D">
              <w:rPr>
                <w:rFonts w:ascii="Arial" w:eastAsia="Arial" w:hAnsi="Arial" w:cs="Arial"/>
              </w:rPr>
              <w:t xml:space="preserve">Smallholder farmers in sub-Saharan Africa, particularly in Nigeria, face significant climate risks, and while climate-smart agriculture can enhance resilience and productivity, its adoption remains limited due to socio-economic, institutional, and access </w:t>
            </w:r>
            <w:proofErr w:type="spellStart"/>
            <w:r w:rsidRPr="00AC0D7D">
              <w:rPr>
                <w:rFonts w:ascii="Arial" w:eastAsia="Arial" w:hAnsi="Arial" w:cs="Arial"/>
              </w:rPr>
              <w:t>constraints.</w:t>
            </w:r>
            <w:r>
              <w:rPr>
                <w:rFonts w:ascii="Arial" w:eastAsia="Arial" w:hAnsi="Arial" w:cs="Arial"/>
              </w:rPr>
              <w:t xml:space="preserve"> </w:t>
            </w:r>
            <w:r w:rsidR="00E229C5">
              <w:rPr>
                <w:rFonts w:ascii="Arial" w:eastAsia="Arial" w:hAnsi="Arial" w:cs="Arial"/>
                <w:highlight w:val="white"/>
              </w:rPr>
              <w:t>Thi</w:t>
            </w:r>
            <w:proofErr w:type="spellEnd"/>
            <w:r w:rsidR="00E229C5">
              <w:rPr>
                <w:rFonts w:ascii="Arial" w:eastAsia="Arial" w:hAnsi="Arial" w:cs="Arial"/>
                <w:highlight w:val="white"/>
              </w:rPr>
              <w:t xml:space="preserve">s study aimed to assess the awareness, adoption, and socio‑economic and gender determinants of selected climate‑smart </w:t>
            </w:r>
            <w:proofErr w:type="spellStart"/>
            <w:r w:rsidR="00E229C5">
              <w:rPr>
                <w:rFonts w:ascii="Arial" w:eastAsia="Arial" w:hAnsi="Arial" w:cs="Arial"/>
                <w:highlight w:val="white"/>
              </w:rPr>
              <w:t>agritech</w:t>
            </w:r>
            <w:proofErr w:type="spellEnd"/>
            <w:r w:rsidR="00E229C5">
              <w:rPr>
                <w:rFonts w:ascii="Arial" w:eastAsia="Arial" w:hAnsi="Arial" w:cs="Arial"/>
                <w:highlight w:val="white"/>
              </w:rPr>
              <w:t xml:space="preserve"> practices among smallholder farmers, and to examine how entrepreneurial orientation and resilience shape farmers’ adaptive cap</w:t>
            </w:r>
            <w:r w:rsidR="00E229C5">
              <w:rPr>
                <w:rFonts w:ascii="Arial" w:eastAsia="Arial" w:hAnsi="Arial" w:cs="Arial"/>
                <w:highlight w:val="white"/>
              </w:rPr>
              <w:t xml:space="preserve">acity to climate </w:t>
            </w:r>
            <w:proofErr w:type="spellStart"/>
            <w:proofErr w:type="gramStart"/>
            <w:r w:rsidR="00E229C5">
              <w:rPr>
                <w:rFonts w:ascii="Arial" w:eastAsia="Arial" w:hAnsi="Arial" w:cs="Arial"/>
                <w:highlight w:val="white"/>
              </w:rPr>
              <w:t>change.The</w:t>
            </w:r>
            <w:proofErr w:type="spellEnd"/>
            <w:proofErr w:type="gramEnd"/>
            <w:r w:rsidR="00E229C5">
              <w:rPr>
                <w:rFonts w:ascii="Arial" w:eastAsia="Arial" w:hAnsi="Arial" w:cs="Arial"/>
                <w:highlight w:val="white"/>
              </w:rPr>
              <w:t xml:space="preserve"> study was conducted in Adamawa State, Northeast Nigeria, across 36 farming communities in nine local government areas, covering four agricultural zones. Data collection was undertaken during the 2023/2024 agricultural season. A </w:t>
            </w:r>
            <w:r w:rsidR="00E229C5">
              <w:rPr>
                <w:rFonts w:ascii="Arial" w:eastAsia="Arial" w:hAnsi="Arial" w:cs="Arial"/>
                <w:highlight w:val="white"/>
              </w:rPr>
              <w:t>multistage sampling technique was used to select 543 arable smallholder farmers. Primary data were collected through face‑to‑face interviews using a semi‑structured questionnaire administered with Open Data Kit (ODK). The study assessed adoption of climate</w:t>
            </w:r>
            <w:r w:rsidR="00E229C5">
              <w:rPr>
                <w:rFonts w:ascii="Arial" w:eastAsia="Arial" w:hAnsi="Arial" w:cs="Arial"/>
                <w:highlight w:val="white"/>
              </w:rPr>
              <w:t>‑</w:t>
            </w:r>
            <w:r w:rsidR="00E229C5">
              <w:rPr>
                <w:rFonts w:ascii="Arial" w:eastAsia="Arial" w:hAnsi="Arial" w:cs="Arial"/>
                <w:highlight w:val="white"/>
              </w:rPr>
              <w:t>smart practices including intercropping, certified seeds, organic fertilizers, agroforestry, conservative tillage, gender‑inclusive practices, and use of weather information. Descriptive statistics were used to estimate awareness and adoption rates, while</w:t>
            </w:r>
            <w:r w:rsidR="00E229C5">
              <w:rPr>
                <w:rFonts w:ascii="Arial" w:eastAsia="Arial" w:hAnsi="Arial" w:cs="Arial"/>
                <w:highlight w:val="white"/>
              </w:rPr>
              <w:t xml:space="preserve"> chi‑square tests were applied to examine associations between adoption and socio‑economic variables (gender, age, marital status, and education) at a 95% confidence level (</w:t>
            </w:r>
            <w:r w:rsidR="00E229C5">
              <w:rPr>
                <w:rFonts w:ascii="Arial" w:eastAsia="Arial" w:hAnsi="Arial" w:cs="Arial"/>
                <w:i/>
                <w:iCs/>
                <w:highlight w:val="white"/>
              </w:rPr>
              <w:t xml:space="preserve">P </w:t>
            </w:r>
            <w:r w:rsidR="00E229C5">
              <w:rPr>
                <w:rFonts w:ascii="Arial" w:eastAsia="Arial" w:hAnsi="Arial" w:cs="Arial"/>
                <w:highlight w:val="white"/>
              </w:rPr>
              <w:t>=.05). Intercropping recorded the highest awareness (83%) and adoption (78%), fol</w:t>
            </w:r>
            <w:r w:rsidR="00E229C5">
              <w:rPr>
                <w:rFonts w:ascii="Arial" w:eastAsia="Arial" w:hAnsi="Arial" w:cs="Arial"/>
                <w:highlight w:val="white"/>
              </w:rPr>
              <w:t>lowed by organic fertilizer (75%) and certified seeds (70%). Adoption of agroforestry (27%) and weather information services (34%) was very low. Chi‑square analysis showed that education significantly influenced adoption of agroforestry and weather informa</w:t>
            </w:r>
            <w:r w:rsidR="00E229C5">
              <w:rPr>
                <w:rFonts w:ascii="Arial" w:eastAsia="Arial" w:hAnsi="Arial" w:cs="Arial"/>
                <w:highlight w:val="white"/>
              </w:rPr>
              <w:t>tion (</w:t>
            </w:r>
            <w:r w:rsidR="00E229C5">
              <w:rPr>
                <w:rFonts w:ascii="Arial" w:eastAsia="Arial" w:hAnsi="Arial" w:cs="Arial"/>
                <w:i/>
                <w:iCs/>
                <w:highlight w:val="white"/>
              </w:rPr>
              <w:t xml:space="preserve">P </w:t>
            </w:r>
            <w:r w:rsidR="00E229C5">
              <w:rPr>
                <w:rFonts w:ascii="Arial" w:eastAsia="Arial" w:hAnsi="Arial" w:cs="Arial"/>
                <w:highlight w:val="white"/>
              </w:rPr>
              <w:t>=.05), while gender, age, marital status, and education were all significantly associated with adoption of certified seeds. Entrepreneurial orientation findings revealed strong innovativeness and proactiveness, with 49% of farmers open to trying ne</w:t>
            </w:r>
            <w:r w:rsidR="00E229C5">
              <w:rPr>
                <w:rFonts w:ascii="Arial" w:eastAsia="Arial" w:hAnsi="Arial" w:cs="Arial"/>
                <w:highlight w:val="white"/>
              </w:rPr>
              <w:t>w practices, though risk aversion constrained investment in resource‑intensive CSA practices. Only 53% of farmers reported preparedness to absorb climate‑related shocks, with notable gender and spatial disparities. The study concludes that while smallholde</w:t>
            </w:r>
            <w:r w:rsidR="00E229C5">
              <w:rPr>
                <w:rFonts w:ascii="Arial" w:eastAsia="Arial" w:hAnsi="Arial" w:cs="Arial"/>
                <w:highlight w:val="white"/>
              </w:rPr>
              <w:t xml:space="preserve">r farmers demonstrate high innovative potential, adoption of climate‑smart </w:t>
            </w:r>
            <w:proofErr w:type="spellStart"/>
            <w:r w:rsidR="00E229C5">
              <w:rPr>
                <w:rFonts w:ascii="Arial" w:eastAsia="Arial" w:hAnsi="Arial" w:cs="Arial"/>
                <w:highlight w:val="white"/>
              </w:rPr>
              <w:t>agritech</w:t>
            </w:r>
            <w:proofErr w:type="spellEnd"/>
            <w:r w:rsidR="00E229C5">
              <w:rPr>
                <w:rFonts w:ascii="Arial" w:eastAsia="Arial" w:hAnsi="Arial" w:cs="Arial"/>
                <w:highlight w:val="white"/>
              </w:rPr>
              <w:t xml:space="preserve"> is constrained by risk aversion, gendered inequalities, and uneven access to education and services. Targeted, gender‑responsive, and location‑specific interventions are re</w:t>
            </w:r>
            <w:r w:rsidR="00E229C5">
              <w:rPr>
                <w:rFonts w:ascii="Arial" w:eastAsia="Arial" w:hAnsi="Arial" w:cs="Arial"/>
                <w:highlight w:val="white"/>
              </w:rPr>
              <w:t>quired to strengthen adaptive capacity and climate resilience among smallholder farmers.</w:t>
            </w:r>
            <w:r w:rsidR="00E229C5">
              <w:rPr>
                <w:rFonts w:ascii="Arial" w:eastAsia="Arial" w:hAnsi="Arial" w:cs="Arial"/>
                <w:sz w:val="18"/>
                <w:szCs w:val="18"/>
                <w:highlight w:val="white"/>
              </w:rPr>
              <w:t xml:space="preserve"> </w:t>
            </w:r>
          </w:p>
        </w:tc>
      </w:tr>
    </w:tbl>
    <w:p w:rsidR="00697B04" w:rsidRDefault="00E229C5">
      <w:pPr>
        <w:spacing w:before="220" w:after="220"/>
        <w:jc w:val="both"/>
        <w:rPr>
          <w:rFonts w:ascii="Arial" w:eastAsia="Arial" w:hAnsi="Arial" w:cs="Arial"/>
          <w:i/>
          <w:iCs/>
          <w:color w:val="000000"/>
        </w:rPr>
      </w:pPr>
      <w:r>
        <w:rPr>
          <w:rFonts w:ascii="Arial" w:eastAsia="Arial" w:hAnsi="Arial" w:cs="Arial"/>
          <w:b/>
          <w:bCs/>
          <w:sz w:val="22"/>
          <w:szCs w:val="22"/>
          <w:highlight w:val="white"/>
        </w:rPr>
        <w:t>Keywords:</w:t>
      </w:r>
      <w:r>
        <w:rPr>
          <w:rFonts w:ascii="Arial" w:eastAsia="Arial" w:hAnsi="Arial" w:cs="Arial"/>
          <w:sz w:val="22"/>
          <w:szCs w:val="22"/>
          <w:highlight w:val="white"/>
        </w:rPr>
        <w:t xml:space="preserve"> </w:t>
      </w:r>
      <w:r>
        <w:rPr>
          <w:rFonts w:ascii="Arial" w:eastAsia="Arial" w:hAnsi="Arial" w:cs="Arial"/>
          <w:highlight w:val="white"/>
        </w:rPr>
        <w:t>Climate adaptation; climate‑smart agriculture; adoption; gender; smallholder farmers; Nigeria.</w:t>
      </w:r>
    </w:p>
    <w:p w:rsidR="00697B04" w:rsidRDefault="00E229C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697B04" w:rsidRDefault="00E229C5">
      <w:pPr>
        <w:spacing w:line="276" w:lineRule="auto"/>
        <w:jc w:val="both"/>
        <w:rPr>
          <w:rFonts w:ascii="Arial" w:eastAsia="Arial" w:hAnsi="Arial" w:cs="Arial"/>
        </w:rPr>
      </w:pPr>
      <w:r>
        <w:rPr>
          <w:rFonts w:ascii="Arial" w:eastAsia="Arial" w:hAnsi="Arial" w:cs="Arial"/>
        </w:rPr>
        <w:t>It has been estimated that the world population may hit 9.7 billion by 2050, which will require a 70% increase in agriculture production to feed. At the same time, the globe is faced with the challenges of global climate change (FAO, 2017).</w:t>
      </w:r>
      <w:r>
        <w:rPr>
          <w:rFonts w:ascii="Arial" w:eastAsia="Arial" w:hAnsi="Arial" w:cs="Arial"/>
          <w:vertAlign w:val="superscript"/>
        </w:rPr>
        <w:t xml:space="preserve"> </w:t>
      </w:r>
      <w:r>
        <w:rPr>
          <w:rFonts w:ascii="Arial" w:eastAsia="Arial" w:hAnsi="Arial" w:cs="Arial"/>
        </w:rPr>
        <w:t>Agriculture pla</w:t>
      </w:r>
      <w:r>
        <w:rPr>
          <w:rFonts w:ascii="Arial" w:eastAsia="Arial" w:hAnsi="Arial" w:cs="Arial"/>
        </w:rPr>
        <w:t>ys a large role in Africa’s economy with about 70% of the continent’s population practicing farming for his or her livelihoods while they equally sleep in the agricultural areas. It is reported that over 80% of Nigeria’s farmers are smallholder farmers (</w:t>
      </w:r>
      <w:proofErr w:type="spellStart"/>
      <w:r>
        <w:rPr>
          <w:rFonts w:ascii="Arial" w:eastAsia="Arial" w:hAnsi="Arial" w:cs="Arial"/>
        </w:rPr>
        <w:t>Ka</w:t>
      </w:r>
      <w:r>
        <w:rPr>
          <w:rFonts w:ascii="Arial" w:eastAsia="Arial" w:hAnsi="Arial" w:cs="Arial"/>
        </w:rPr>
        <w:t>ngogo</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These smallholder farmers (SHFs) account for over 90% of Nigeria’s agricultural produce. Agriculture contributed 22% to the GDP of Nigeria in the first quarter </w:t>
      </w:r>
      <w:proofErr w:type="gramStart"/>
      <w:r>
        <w:rPr>
          <w:rFonts w:ascii="Arial" w:eastAsia="Arial" w:hAnsi="Arial" w:cs="Arial"/>
        </w:rPr>
        <w:t>of  which</w:t>
      </w:r>
      <w:proofErr w:type="gramEnd"/>
      <w:r>
        <w:rPr>
          <w:rFonts w:ascii="Arial" w:eastAsia="Arial" w:hAnsi="Arial" w:cs="Arial"/>
        </w:rPr>
        <w:t xml:space="preserve"> increased to almost 30%  in the third quarter of 2021, a rise of </w:t>
      </w:r>
      <w:r>
        <w:rPr>
          <w:rFonts w:ascii="Arial" w:eastAsia="Arial" w:hAnsi="Arial" w:cs="Arial"/>
        </w:rPr>
        <w:t>about 60% compared to the previous quarter (</w:t>
      </w:r>
      <w:proofErr w:type="spellStart"/>
      <w:r>
        <w:rPr>
          <w:rFonts w:ascii="Arial" w:eastAsia="Arial" w:hAnsi="Arial" w:cs="Arial"/>
        </w:rPr>
        <w:t>Kangogo</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2021). </w:t>
      </w:r>
      <w:r>
        <w:rPr>
          <w:rFonts w:ascii="Arial" w:eastAsia="Arial" w:hAnsi="Arial" w:cs="Arial"/>
        </w:rPr>
        <w:lastRenderedPageBreak/>
        <w:t xml:space="preserve">Hence, the importance of this sector in providing employment and motivating economic processes in an exceedingly developing nation like Nigeria cannot be undermined. </w:t>
      </w:r>
    </w:p>
    <w:p w:rsidR="00697B04" w:rsidRDefault="00E229C5">
      <w:pPr>
        <w:spacing w:line="276" w:lineRule="auto"/>
        <w:jc w:val="both"/>
        <w:rPr>
          <w:rFonts w:ascii="Arial" w:eastAsia="Arial" w:hAnsi="Arial" w:cs="Arial"/>
        </w:rPr>
      </w:pPr>
      <w:r>
        <w:rPr>
          <w:rFonts w:ascii="Arial" w:eastAsia="Arial" w:hAnsi="Arial" w:cs="Arial"/>
        </w:rPr>
        <w:t>Smallholder agriculture underpins food security and rural livelihoods across sub‑Saharan Africa, yet remains highly vulnerable to climate variability due to reliance on rain‑fed systems, land degradation, and limited access to adaptive technologies (FAO, 2</w:t>
      </w:r>
      <w:r>
        <w:rPr>
          <w:rFonts w:ascii="Arial" w:eastAsia="Arial" w:hAnsi="Arial" w:cs="Arial"/>
        </w:rPr>
        <w:t>017). In Nigeria, smallholder farmers account for the majority of agricultural production, but face increasing exposure to erratic rainfall, heat stress, and pest pressures that undermine productivity and incomes (FAO &amp; ICRISAT, 2019).</w:t>
      </w:r>
    </w:p>
    <w:p w:rsidR="00697B04" w:rsidRDefault="00E229C5">
      <w:pPr>
        <w:spacing w:line="276" w:lineRule="auto"/>
        <w:jc w:val="both"/>
        <w:rPr>
          <w:rFonts w:ascii="Arial" w:eastAsia="Arial" w:hAnsi="Arial" w:cs="Arial"/>
        </w:rPr>
      </w:pPr>
      <w:r>
        <w:rPr>
          <w:rFonts w:ascii="Arial" w:eastAsia="Arial" w:hAnsi="Arial" w:cs="Arial"/>
        </w:rPr>
        <w:t>Climate‑smart agricu</w:t>
      </w:r>
      <w:r>
        <w:rPr>
          <w:rFonts w:ascii="Arial" w:eastAsia="Arial" w:hAnsi="Arial" w:cs="Arial"/>
        </w:rPr>
        <w:t xml:space="preserve">lture (CSA) has emerged as a central framework linking climate adaptation and development by promoting practices that enhance productivity, resilience, and environmental sustainability (FAO, 2017). </w:t>
      </w:r>
      <w:proofErr w:type="spellStart"/>
      <w:r>
        <w:rPr>
          <w:rFonts w:ascii="Arial" w:eastAsia="Arial" w:hAnsi="Arial" w:cs="Arial"/>
          <w:sz w:val="21"/>
          <w:szCs w:val="21"/>
        </w:rPr>
        <w:t>Chevallier</w:t>
      </w:r>
      <w:proofErr w:type="spellEnd"/>
      <w:r>
        <w:rPr>
          <w:rFonts w:ascii="Arial" w:eastAsia="Arial" w:hAnsi="Arial" w:cs="Arial"/>
          <w:sz w:val="21"/>
          <w:szCs w:val="21"/>
        </w:rPr>
        <w:t xml:space="preserve"> (2024) reported that CSA is central to Africa’s</w:t>
      </w:r>
      <w:r>
        <w:rPr>
          <w:rFonts w:ascii="Arial" w:eastAsia="Arial" w:hAnsi="Arial" w:cs="Arial"/>
          <w:sz w:val="21"/>
          <w:szCs w:val="21"/>
        </w:rPr>
        <w:t xml:space="preserve"> climate and food policy agendas but remains hindered by fragmented institutions and weak implementation capacity. </w:t>
      </w:r>
      <w:r>
        <w:rPr>
          <w:rFonts w:ascii="Arial" w:eastAsia="Arial" w:hAnsi="Arial" w:cs="Arial"/>
        </w:rPr>
        <w:t>However, adoption of CSA technologies across Africa remains uneven, reflecting socio‑economic constraints, institutional weaknesses, and gend</w:t>
      </w:r>
      <w:r>
        <w:rPr>
          <w:rFonts w:ascii="Arial" w:eastAsia="Arial" w:hAnsi="Arial" w:cs="Arial"/>
        </w:rPr>
        <w:t xml:space="preserve">ered disparities in access to resources (Pannell &amp; Claassen, 2020; </w:t>
      </w:r>
      <w:proofErr w:type="spellStart"/>
      <w:r>
        <w:rPr>
          <w:rFonts w:ascii="Arial" w:eastAsia="Arial" w:hAnsi="Arial" w:cs="Arial"/>
        </w:rPr>
        <w:t>Jost</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2016). </w:t>
      </w:r>
      <w:proofErr w:type="spellStart"/>
      <w:r>
        <w:rPr>
          <w:rFonts w:ascii="Arial" w:eastAsia="Arial" w:hAnsi="Arial" w:cs="Arial"/>
        </w:rPr>
        <w:t>Agritech</w:t>
      </w:r>
      <w:proofErr w:type="spellEnd"/>
      <w:r>
        <w:rPr>
          <w:rFonts w:ascii="Arial" w:eastAsia="Arial" w:hAnsi="Arial" w:cs="Arial"/>
        </w:rPr>
        <w:t xml:space="preserve"> solutions such as improved seeds, climate information services, and resource‑efficient practices offer potential to reduce climate risk, yet their uptake depend</w:t>
      </w:r>
      <w:r>
        <w:rPr>
          <w:rFonts w:ascii="Arial" w:eastAsia="Arial" w:hAnsi="Arial" w:cs="Arial"/>
        </w:rPr>
        <w:t xml:space="preserve">s on farmers’ capabilities and access to enabling services. </w:t>
      </w:r>
      <w:proofErr w:type="spellStart"/>
      <w:r>
        <w:rPr>
          <w:rFonts w:ascii="Arial" w:eastAsia="Arial" w:hAnsi="Arial" w:cs="Arial"/>
          <w:sz w:val="21"/>
          <w:szCs w:val="21"/>
        </w:rPr>
        <w:t>Manono</w:t>
      </w:r>
      <w:proofErr w:type="spellEnd"/>
      <w:r>
        <w:rPr>
          <w:rFonts w:ascii="Arial" w:eastAsia="Arial" w:hAnsi="Arial" w:cs="Arial"/>
          <w:sz w:val="21"/>
          <w:szCs w:val="21"/>
        </w:rPr>
        <w:t xml:space="preserve"> </w:t>
      </w:r>
      <w:r>
        <w:rPr>
          <w:rFonts w:ascii="Arial" w:eastAsia="Arial" w:hAnsi="Arial" w:cs="Arial"/>
          <w:i/>
          <w:iCs/>
          <w:sz w:val="21"/>
          <w:szCs w:val="21"/>
        </w:rPr>
        <w:t>et al.</w:t>
      </w:r>
      <w:r>
        <w:rPr>
          <w:rFonts w:ascii="Arial" w:eastAsia="Arial" w:hAnsi="Arial" w:cs="Arial"/>
          <w:sz w:val="21"/>
          <w:szCs w:val="21"/>
        </w:rPr>
        <w:t xml:space="preserve"> (2025) systematic review demonstrated that CSA adoption improves resilience and productivity, but uptake remains low due to socio‑economic and institutional constraints across SSA.</w:t>
      </w:r>
    </w:p>
    <w:p w:rsidR="00697B04" w:rsidRDefault="00E229C5">
      <w:pPr>
        <w:spacing w:line="276" w:lineRule="auto"/>
        <w:jc w:val="both"/>
        <w:rPr>
          <w:rFonts w:ascii="Arial" w:eastAsia="Arial" w:hAnsi="Arial" w:cs="Arial"/>
        </w:rPr>
      </w:pPr>
      <w:r>
        <w:rPr>
          <w:rFonts w:ascii="Arial" w:eastAsia="Arial" w:hAnsi="Arial" w:cs="Arial"/>
        </w:rPr>
        <w:t>T</w:t>
      </w:r>
      <w:r>
        <w:rPr>
          <w:rFonts w:ascii="Arial" w:eastAsia="Arial" w:hAnsi="Arial" w:cs="Arial"/>
        </w:rPr>
        <w:t>echnology adoption in smallholder systems is influenced not only by technical attributes but also by farmers’ perceptions, risk preferences, and access to information and support services (Pannell &amp; Claassen, 2020). Practices that align with existing syste</w:t>
      </w:r>
      <w:r>
        <w:rPr>
          <w:rFonts w:ascii="Arial" w:eastAsia="Arial" w:hAnsi="Arial" w:cs="Arial"/>
        </w:rPr>
        <w:t>ms and require limited upfront investment such as intercropping are more readily adopted than knowledge‑intensive or capital‑demanding options like agroforestry and digital climate services (</w:t>
      </w:r>
      <w:proofErr w:type="spellStart"/>
      <w:r>
        <w:rPr>
          <w:rFonts w:ascii="Arial" w:eastAsia="Arial" w:hAnsi="Arial" w:cs="Arial"/>
        </w:rPr>
        <w:t>Kangogo</w:t>
      </w:r>
      <w:proofErr w:type="spellEnd"/>
      <w:r>
        <w:rPr>
          <w:rFonts w:ascii="Arial" w:eastAsia="Arial" w:hAnsi="Arial" w:cs="Arial"/>
          <w:i/>
          <w:iCs/>
        </w:rPr>
        <w:t xml:space="preserve"> et al., </w:t>
      </w:r>
      <w:r>
        <w:rPr>
          <w:rFonts w:ascii="Arial" w:eastAsia="Arial" w:hAnsi="Arial" w:cs="Arial"/>
        </w:rPr>
        <w:t>2021).</w:t>
      </w:r>
    </w:p>
    <w:p w:rsidR="00697B04" w:rsidRDefault="00E229C5">
      <w:pPr>
        <w:spacing w:line="276" w:lineRule="auto"/>
        <w:jc w:val="both"/>
        <w:rPr>
          <w:rFonts w:ascii="Arial" w:eastAsia="Arial" w:hAnsi="Arial" w:cs="Arial"/>
        </w:rPr>
      </w:pPr>
      <w:r>
        <w:rPr>
          <w:rFonts w:ascii="Arial" w:eastAsia="Arial" w:hAnsi="Arial" w:cs="Arial"/>
        </w:rPr>
        <w:t>Gender plays a critical role in shaping ad</w:t>
      </w:r>
      <w:r>
        <w:rPr>
          <w:rFonts w:ascii="Arial" w:eastAsia="Arial" w:hAnsi="Arial" w:cs="Arial"/>
        </w:rPr>
        <w:t>option outcomes. Women farmers often face constraints related to land tenure, education, extension access, and decision‑making power, limiting their ability to adopt climate‑smart technologies despite their central role in food production (</w:t>
      </w:r>
      <w:proofErr w:type="spellStart"/>
      <w:r>
        <w:rPr>
          <w:rFonts w:ascii="Arial" w:eastAsia="Arial" w:hAnsi="Arial" w:cs="Arial"/>
        </w:rPr>
        <w:t>Jost</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xml:space="preserve"> 201</w:t>
      </w:r>
      <w:r>
        <w:rPr>
          <w:rFonts w:ascii="Arial" w:eastAsia="Arial" w:hAnsi="Arial" w:cs="Arial"/>
        </w:rPr>
        <w:t xml:space="preserve">6). Education further mediates adoption by influencing farmers’ ability to access, interpret, and apply agronomic and climate information, particularly for digital </w:t>
      </w:r>
      <w:proofErr w:type="spellStart"/>
      <w:r>
        <w:rPr>
          <w:rFonts w:ascii="Arial" w:eastAsia="Arial" w:hAnsi="Arial" w:cs="Arial"/>
        </w:rPr>
        <w:t>agritech</w:t>
      </w:r>
      <w:proofErr w:type="spellEnd"/>
      <w:r>
        <w:rPr>
          <w:rFonts w:ascii="Arial" w:eastAsia="Arial" w:hAnsi="Arial" w:cs="Arial"/>
        </w:rPr>
        <w:t xml:space="preserve">. This study conceptualizes climate‑smart </w:t>
      </w:r>
      <w:proofErr w:type="spellStart"/>
      <w:r>
        <w:rPr>
          <w:rFonts w:ascii="Arial" w:eastAsia="Arial" w:hAnsi="Arial" w:cs="Arial"/>
        </w:rPr>
        <w:t>agritech</w:t>
      </w:r>
      <w:proofErr w:type="spellEnd"/>
      <w:r>
        <w:rPr>
          <w:rFonts w:ascii="Arial" w:eastAsia="Arial" w:hAnsi="Arial" w:cs="Arial"/>
        </w:rPr>
        <w:t xml:space="preserve"> adoption as the outcome of intera</w:t>
      </w:r>
      <w:r>
        <w:rPr>
          <w:rFonts w:ascii="Arial" w:eastAsia="Arial" w:hAnsi="Arial" w:cs="Arial"/>
        </w:rPr>
        <w:t xml:space="preserve">ctions between farmer characteristics (gender, age, education, marital status), technology attributes, and enabling systems such as extension and information services (FAO &amp; ICRISAT, 2019). </w:t>
      </w:r>
      <w:proofErr w:type="spellStart"/>
      <w:r>
        <w:rPr>
          <w:rFonts w:ascii="Arial" w:eastAsia="Arial" w:hAnsi="Arial" w:cs="Arial"/>
        </w:rPr>
        <w:t>Barasa</w:t>
      </w:r>
      <w:proofErr w:type="spellEnd"/>
      <w:r>
        <w:rPr>
          <w:rFonts w:ascii="Arial" w:eastAsia="Arial" w:hAnsi="Arial" w:cs="Arial"/>
        </w:rPr>
        <w:t xml:space="preserve"> </w:t>
      </w:r>
      <w:r>
        <w:rPr>
          <w:rFonts w:ascii="Arial" w:eastAsia="Arial" w:hAnsi="Arial" w:cs="Arial"/>
          <w:i/>
          <w:iCs/>
        </w:rPr>
        <w:t>et al. (</w:t>
      </w:r>
      <w:r>
        <w:rPr>
          <w:rFonts w:ascii="Arial" w:eastAsia="Arial" w:hAnsi="Arial" w:cs="Arial"/>
        </w:rPr>
        <w:t>2026) reported that gender, education, land access, extension services, and decision‑making power significantly shape CSA adoption across Kenya, Ghana, and Tanzania.</w:t>
      </w:r>
    </w:p>
    <w:p w:rsidR="00697B04" w:rsidRDefault="00E229C5">
      <w:pPr>
        <w:spacing w:line="276" w:lineRule="auto"/>
        <w:jc w:val="both"/>
        <w:rPr>
          <w:rFonts w:ascii="Arial" w:eastAsia="Arial" w:hAnsi="Arial" w:cs="Arial"/>
        </w:rPr>
      </w:pPr>
      <w:r>
        <w:rPr>
          <w:rFonts w:ascii="Arial" w:eastAsia="Arial" w:hAnsi="Arial" w:cs="Arial"/>
        </w:rPr>
        <w:t>Adamawa State in northeastern Nigeria presents a critical context for examining these dyna</w:t>
      </w:r>
      <w:r>
        <w:rPr>
          <w:rFonts w:ascii="Arial" w:eastAsia="Arial" w:hAnsi="Arial" w:cs="Arial"/>
        </w:rPr>
        <w:t xml:space="preserve">mics, given its high agricultural dependence and exposure to climate variability. Despite policy interest in CSA, empirical evidence on how smallholders in the state adopt climate‑smart </w:t>
      </w:r>
      <w:proofErr w:type="spellStart"/>
      <w:r>
        <w:rPr>
          <w:rFonts w:ascii="Arial" w:eastAsia="Arial" w:hAnsi="Arial" w:cs="Arial"/>
        </w:rPr>
        <w:t>agritech</w:t>
      </w:r>
      <w:proofErr w:type="spellEnd"/>
      <w:r>
        <w:rPr>
          <w:rFonts w:ascii="Arial" w:eastAsia="Arial" w:hAnsi="Arial" w:cs="Arial"/>
        </w:rPr>
        <w:t xml:space="preserve"> and how gender and education shape adoption </w:t>
      </w:r>
      <w:proofErr w:type="gramStart"/>
      <w:r>
        <w:rPr>
          <w:rFonts w:ascii="Arial" w:eastAsia="Arial" w:hAnsi="Arial" w:cs="Arial"/>
        </w:rPr>
        <w:t>remains</w:t>
      </w:r>
      <w:proofErr w:type="gramEnd"/>
      <w:r>
        <w:rPr>
          <w:rFonts w:ascii="Arial" w:eastAsia="Arial" w:hAnsi="Arial" w:cs="Arial"/>
        </w:rPr>
        <w:t xml:space="preserve"> limited. </w:t>
      </w:r>
      <w:r>
        <w:rPr>
          <w:rFonts w:ascii="Arial" w:eastAsia="Arial" w:hAnsi="Arial" w:cs="Arial"/>
        </w:rPr>
        <w:t xml:space="preserve">This study addresses this gap by analyzing adoption patterns and socio‑economic determinants of selected climate‑smart </w:t>
      </w:r>
      <w:proofErr w:type="spellStart"/>
      <w:r>
        <w:rPr>
          <w:rFonts w:ascii="Arial" w:eastAsia="Arial" w:hAnsi="Arial" w:cs="Arial"/>
        </w:rPr>
        <w:t>agritech</w:t>
      </w:r>
      <w:proofErr w:type="spellEnd"/>
      <w:r>
        <w:rPr>
          <w:rFonts w:ascii="Arial" w:eastAsia="Arial" w:hAnsi="Arial" w:cs="Arial"/>
        </w:rPr>
        <w:t xml:space="preserve"> practices, contributing evidence to debates on inclusive climate adaptation and development.</w:t>
      </w:r>
    </w:p>
    <w:p w:rsidR="00697B04" w:rsidRDefault="00697B04">
      <w:pPr>
        <w:spacing w:line="276" w:lineRule="auto"/>
        <w:jc w:val="both"/>
        <w:rPr>
          <w:rFonts w:ascii="Arial" w:eastAsia="Arial" w:hAnsi="Arial" w:cs="Arial"/>
        </w:rPr>
      </w:pPr>
    </w:p>
    <w:p w:rsidR="00697B04" w:rsidRDefault="00E229C5">
      <w:pPr>
        <w:spacing w:before="200" w:line="276" w:lineRule="auto"/>
        <w:rPr>
          <w:rFonts w:ascii="Arial" w:eastAsia="Arial" w:hAnsi="Arial" w:cs="Arial"/>
          <w:b/>
          <w:bCs/>
          <w:sz w:val="22"/>
          <w:szCs w:val="22"/>
        </w:rPr>
      </w:pPr>
      <w:r>
        <w:rPr>
          <w:rFonts w:ascii="Arial" w:eastAsia="Arial" w:hAnsi="Arial" w:cs="Arial"/>
          <w:b/>
          <w:bCs/>
          <w:sz w:val="22"/>
          <w:szCs w:val="22"/>
        </w:rPr>
        <w:lastRenderedPageBreak/>
        <w:t>2. RESEARCH METHODS</w:t>
      </w:r>
    </w:p>
    <w:p w:rsidR="00697B04" w:rsidRDefault="00E229C5">
      <w:pPr>
        <w:spacing w:line="276" w:lineRule="auto"/>
        <w:rPr>
          <w:rFonts w:ascii="Arial" w:eastAsia="Arial" w:hAnsi="Arial" w:cs="Arial"/>
          <w:b/>
          <w:bCs/>
          <w:sz w:val="22"/>
          <w:szCs w:val="22"/>
        </w:rPr>
      </w:pPr>
      <w:r>
        <w:rPr>
          <w:rFonts w:ascii="Arial" w:eastAsia="Arial" w:hAnsi="Arial" w:cs="Arial"/>
          <w:b/>
          <w:bCs/>
          <w:sz w:val="22"/>
          <w:szCs w:val="22"/>
        </w:rPr>
        <w:t>2. 1 The study</w:t>
      </w:r>
      <w:r>
        <w:rPr>
          <w:rFonts w:ascii="Arial" w:eastAsia="Arial" w:hAnsi="Arial" w:cs="Arial"/>
          <w:b/>
          <w:bCs/>
          <w:sz w:val="22"/>
          <w:szCs w:val="22"/>
        </w:rPr>
        <w:t xml:space="preserve"> Location</w:t>
      </w:r>
    </w:p>
    <w:p w:rsidR="00697B04" w:rsidRDefault="00E229C5">
      <w:pPr>
        <w:spacing w:line="276" w:lineRule="auto"/>
        <w:jc w:val="both"/>
        <w:rPr>
          <w:rFonts w:ascii="Arial" w:eastAsia="Arial" w:hAnsi="Arial" w:cs="Arial"/>
          <w:highlight w:val="white"/>
        </w:rPr>
      </w:pPr>
      <w:r>
        <w:rPr>
          <w:rFonts w:ascii="Arial" w:eastAsia="Arial" w:hAnsi="Arial" w:cs="Arial"/>
        </w:rPr>
        <w:t xml:space="preserve">Adamawa State lies in northeastern Nigeria within the Guinea and Sudan savannah </w:t>
      </w:r>
      <w:proofErr w:type="spellStart"/>
      <w:r>
        <w:rPr>
          <w:rFonts w:ascii="Arial" w:eastAsia="Arial" w:hAnsi="Arial" w:cs="Arial"/>
        </w:rPr>
        <w:t>agro</w:t>
      </w:r>
      <w:proofErr w:type="spellEnd"/>
      <w:r>
        <w:rPr>
          <w:rFonts w:ascii="Arial" w:eastAsia="Arial" w:hAnsi="Arial" w:cs="Arial"/>
        </w:rPr>
        <w:t>‑ecological zones. Agriculture is predominantly small‑scale and rain‑fed, with crop production forming the main livelihood source for most households (FAO &amp; ICRIS</w:t>
      </w:r>
      <w:r>
        <w:rPr>
          <w:rFonts w:ascii="Arial" w:eastAsia="Arial" w:hAnsi="Arial" w:cs="Arial"/>
        </w:rPr>
        <w:t>AT, 2019).</w:t>
      </w:r>
    </w:p>
    <w:p w:rsidR="00697B04" w:rsidRDefault="00E229C5">
      <w:pPr>
        <w:spacing w:before="220" w:line="276" w:lineRule="auto"/>
        <w:rPr>
          <w:rFonts w:ascii="Arial" w:eastAsia="Arial" w:hAnsi="Arial" w:cs="Arial"/>
          <w:b/>
          <w:bCs/>
          <w:sz w:val="22"/>
          <w:szCs w:val="22"/>
        </w:rPr>
      </w:pPr>
      <w:r>
        <w:rPr>
          <w:rFonts w:ascii="Arial" w:eastAsia="Arial" w:hAnsi="Arial" w:cs="Arial"/>
          <w:b/>
          <w:bCs/>
          <w:sz w:val="22"/>
          <w:szCs w:val="22"/>
        </w:rPr>
        <w:t>2. 2 Sampling Technique and Approach</w:t>
      </w:r>
    </w:p>
    <w:p w:rsidR="00697B04" w:rsidRDefault="00E229C5">
      <w:pPr>
        <w:spacing w:line="276" w:lineRule="auto"/>
        <w:jc w:val="both"/>
        <w:rPr>
          <w:rFonts w:ascii="Arial" w:eastAsia="Arial" w:hAnsi="Arial" w:cs="Arial"/>
          <w:highlight w:val="white"/>
        </w:rPr>
      </w:pPr>
      <w:r>
        <w:rPr>
          <w:rFonts w:ascii="Arial" w:eastAsia="Arial" w:hAnsi="Arial" w:cs="Arial"/>
        </w:rPr>
        <w:t xml:space="preserve">A multistage sampling technique was employed. </w:t>
      </w:r>
      <w:r>
        <w:rPr>
          <w:rFonts w:ascii="Arial" w:eastAsia="Arial" w:hAnsi="Arial" w:cs="Arial"/>
          <w:highlight w:val="white"/>
        </w:rPr>
        <w:t>The structuring of Adamawa State into four (4) agricultural zones by the Agricultural Development Project (ADP) of the State was adopted from where LGAs, wards, c</w:t>
      </w:r>
      <w:r>
        <w:rPr>
          <w:rFonts w:ascii="Arial" w:eastAsia="Arial" w:hAnsi="Arial" w:cs="Arial"/>
          <w:highlight w:val="white"/>
        </w:rPr>
        <w:t xml:space="preserve">ommunities, and target farmers were randomly selected. </w:t>
      </w:r>
    </w:p>
    <w:p w:rsidR="00697B04" w:rsidRDefault="00E229C5">
      <w:pPr>
        <w:spacing w:line="276" w:lineRule="auto"/>
        <w:jc w:val="both"/>
        <w:rPr>
          <w:rFonts w:ascii="Arial" w:eastAsia="Arial" w:hAnsi="Arial" w:cs="Arial"/>
          <w:highlight w:val="white"/>
        </w:rPr>
      </w:pPr>
      <w:r>
        <w:rPr>
          <w:rFonts w:ascii="Arial" w:eastAsia="Arial" w:hAnsi="Arial" w:cs="Arial"/>
          <w:highlight w:val="white"/>
        </w:rPr>
        <w:t xml:space="preserve">The first stage of the sampling technique involved the purposive selection of agricultural zones as structured by the Agricultural Development Project (ADP) of Adamawa State </w:t>
      </w:r>
      <w:r>
        <w:rPr>
          <w:rFonts w:ascii="Arial" w:eastAsia="Arial" w:hAnsi="Arial" w:cs="Arial"/>
        </w:rPr>
        <w:t>(FAO, 2017)</w:t>
      </w:r>
      <w:r>
        <w:rPr>
          <w:rFonts w:ascii="Arial" w:eastAsia="Arial" w:hAnsi="Arial" w:cs="Arial"/>
          <w:highlight w:val="white"/>
        </w:rPr>
        <w:t>. The LGAs in e</w:t>
      </w:r>
      <w:r>
        <w:rPr>
          <w:rFonts w:ascii="Arial" w:eastAsia="Arial" w:hAnsi="Arial" w:cs="Arial"/>
          <w:highlight w:val="white"/>
        </w:rPr>
        <w:t>ach of the four (4</w:t>
      </w:r>
      <w:proofErr w:type="gramStart"/>
      <w:r>
        <w:rPr>
          <w:rFonts w:ascii="Arial" w:eastAsia="Arial" w:hAnsi="Arial" w:cs="Arial"/>
          <w:highlight w:val="white"/>
        </w:rPr>
        <w:t>)  zones</w:t>
      </w:r>
      <w:proofErr w:type="gramEnd"/>
      <w:r>
        <w:rPr>
          <w:rFonts w:ascii="Arial" w:eastAsia="Arial" w:hAnsi="Arial" w:cs="Arial"/>
          <w:highlight w:val="white"/>
        </w:rPr>
        <w:t xml:space="preserve"> are:</w:t>
      </w:r>
    </w:p>
    <w:p w:rsidR="00697B04" w:rsidRDefault="00E229C5">
      <w:pPr>
        <w:numPr>
          <w:ilvl w:val="0"/>
          <w:numId w:val="2"/>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w:t>
      </w:r>
      <w:r>
        <w:rPr>
          <w:rFonts w:ascii="Arial" w:eastAsia="Arial" w:hAnsi="Arial" w:cs="Arial"/>
          <w:highlight w:val="white"/>
        </w:rPr>
        <w:t xml:space="preserve">: Mubi-North, Mubi-South, </w:t>
      </w:r>
      <w:proofErr w:type="spellStart"/>
      <w:r>
        <w:rPr>
          <w:rFonts w:ascii="Arial" w:eastAsia="Arial" w:hAnsi="Arial" w:cs="Arial"/>
          <w:highlight w:val="white"/>
        </w:rPr>
        <w:t>Maiha</w:t>
      </w:r>
      <w:proofErr w:type="spellEnd"/>
      <w:r>
        <w:rPr>
          <w:rFonts w:ascii="Arial" w:eastAsia="Arial" w:hAnsi="Arial" w:cs="Arial"/>
          <w:highlight w:val="white"/>
        </w:rPr>
        <w:t xml:space="preserve">, </w:t>
      </w:r>
      <w:proofErr w:type="spellStart"/>
      <w:r>
        <w:rPr>
          <w:rFonts w:ascii="Arial" w:eastAsia="Arial" w:hAnsi="Arial" w:cs="Arial"/>
          <w:highlight w:val="white"/>
        </w:rPr>
        <w:t>Madagali</w:t>
      </w:r>
      <w:proofErr w:type="spellEnd"/>
      <w:r>
        <w:rPr>
          <w:rFonts w:ascii="Arial" w:eastAsia="Arial" w:hAnsi="Arial" w:cs="Arial"/>
          <w:highlight w:val="white"/>
        </w:rPr>
        <w:t xml:space="preserve"> and Michika LGAs</w:t>
      </w:r>
    </w:p>
    <w:p w:rsidR="00697B04" w:rsidRDefault="00E229C5">
      <w:pPr>
        <w:numPr>
          <w:ilvl w:val="0"/>
          <w:numId w:val="2"/>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II</w:t>
      </w:r>
      <w:r>
        <w:rPr>
          <w:rFonts w:ascii="Arial" w:eastAsia="Arial" w:hAnsi="Arial" w:cs="Arial"/>
          <w:highlight w:val="white"/>
        </w:rPr>
        <w:t xml:space="preserve">: </w:t>
      </w:r>
      <w:proofErr w:type="spellStart"/>
      <w:r>
        <w:rPr>
          <w:rFonts w:ascii="Arial" w:eastAsia="Arial" w:hAnsi="Arial" w:cs="Arial"/>
          <w:highlight w:val="white"/>
        </w:rPr>
        <w:t>Gombi</w:t>
      </w:r>
      <w:proofErr w:type="spellEnd"/>
      <w:r>
        <w:rPr>
          <w:rFonts w:ascii="Arial" w:eastAsia="Arial" w:hAnsi="Arial" w:cs="Arial"/>
          <w:highlight w:val="white"/>
        </w:rPr>
        <w:t xml:space="preserve">, Hong, Song, and </w:t>
      </w:r>
      <w:proofErr w:type="spellStart"/>
      <w:r>
        <w:rPr>
          <w:rFonts w:ascii="Arial" w:eastAsia="Arial" w:hAnsi="Arial" w:cs="Arial"/>
          <w:highlight w:val="white"/>
        </w:rPr>
        <w:t>Girei</w:t>
      </w:r>
      <w:proofErr w:type="spellEnd"/>
      <w:r>
        <w:rPr>
          <w:rFonts w:ascii="Arial" w:eastAsia="Arial" w:hAnsi="Arial" w:cs="Arial"/>
          <w:highlight w:val="white"/>
        </w:rPr>
        <w:t xml:space="preserve"> LGAs</w:t>
      </w:r>
    </w:p>
    <w:p w:rsidR="00697B04" w:rsidRDefault="00E229C5">
      <w:pPr>
        <w:numPr>
          <w:ilvl w:val="0"/>
          <w:numId w:val="2"/>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III</w:t>
      </w:r>
      <w:r>
        <w:rPr>
          <w:rFonts w:ascii="Arial" w:eastAsia="Arial" w:hAnsi="Arial" w:cs="Arial"/>
          <w:highlight w:val="white"/>
        </w:rPr>
        <w:t xml:space="preserve">: </w:t>
      </w:r>
      <w:proofErr w:type="spellStart"/>
      <w:r>
        <w:rPr>
          <w:rFonts w:ascii="Arial" w:eastAsia="Arial" w:hAnsi="Arial" w:cs="Arial"/>
          <w:highlight w:val="white"/>
        </w:rPr>
        <w:t>Fufore</w:t>
      </w:r>
      <w:proofErr w:type="spellEnd"/>
      <w:r>
        <w:rPr>
          <w:rFonts w:ascii="Arial" w:eastAsia="Arial" w:hAnsi="Arial" w:cs="Arial"/>
          <w:highlight w:val="white"/>
        </w:rPr>
        <w:t>, Yola-North, Yola-South, Mayo-</w:t>
      </w:r>
      <w:proofErr w:type="spellStart"/>
      <w:r>
        <w:rPr>
          <w:rFonts w:ascii="Arial" w:eastAsia="Arial" w:hAnsi="Arial" w:cs="Arial"/>
          <w:highlight w:val="white"/>
        </w:rPr>
        <w:t>Belwa</w:t>
      </w:r>
      <w:proofErr w:type="spellEnd"/>
      <w:r>
        <w:rPr>
          <w:rFonts w:ascii="Arial" w:eastAsia="Arial" w:hAnsi="Arial" w:cs="Arial"/>
          <w:highlight w:val="white"/>
        </w:rPr>
        <w:t xml:space="preserve">, Jada, </w:t>
      </w:r>
      <w:proofErr w:type="spellStart"/>
      <w:r>
        <w:rPr>
          <w:rFonts w:ascii="Arial" w:eastAsia="Arial" w:hAnsi="Arial" w:cs="Arial"/>
          <w:highlight w:val="white"/>
        </w:rPr>
        <w:t>Ganye</w:t>
      </w:r>
      <w:proofErr w:type="spellEnd"/>
      <w:r>
        <w:rPr>
          <w:rFonts w:ascii="Arial" w:eastAsia="Arial" w:hAnsi="Arial" w:cs="Arial"/>
          <w:highlight w:val="white"/>
        </w:rPr>
        <w:t xml:space="preserve"> and </w:t>
      </w:r>
      <w:proofErr w:type="spellStart"/>
      <w:r>
        <w:rPr>
          <w:rFonts w:ascii="Arial" w:eastAsia="Arial" w:hAnsi="Arial" w:cs="Arial"/>
          <w:highlight w:val="white"/>
        </w:rPr>
        <w:t>Toungo</w:t>
      </w:r>
      <w:proofErr w:type="spellEnd"/>
    </w:p>
    <w:p w:rsidR="00697B04" w:rsidRDefault="00E229C5">
      <w:pPr>
        <w:numPr>
          <w:ilvl w:val="0"/>
          <w:numId w:val="2"/>
        </w:numPr>
        <w:spacing w:line="276" w:lineRule="auto"/>
        <w:ind w:left="709"/>
        <w:jc w:val="both"/>
        <w:rPr>
          <w:rFonts w:ascii="Times New Roman" w:eastAsia="Times New Roman" w:hAnsi="Times New Roman" w:cs="Times New Roman"/>
          <w:highlight w:val="white"/>
        </w:rPr>
      </w:pPr>
      <w:r>
        <w:rPr>
          <w:rFonts w:ascii="Arial" w:eastAsia="Arial" w:hAnsi="Arial" w:cs="Arial"/>
          <w:b/>
          <w:bCs/>
          <w:highlight w:val="white"/>
        </w:rPr>
        <w:t>Zone IV:</w:t>
      </w:r>
      <w:r>
        <w:rPr>
          <w:rFonts w:ascii="Arial" w:eastAsia="Arial" w:hAnsi="Arial" w:cs="Arial"/>
          <w:highlight w:val="white"/>
        </w:rPr>
        <w:t xml:space="preserve"> </w:t>
      </w:r>
      <w:proofErr w:type="spellStart"/>
      <w:r>
        <w:rPr>
          <w:rFonts w:ascii="Arial" w:eastAsia="Arial" w:hAnsi="Arial" w:cs="Arial"/>
          <w:highlight w:val="white"/>
        </w:rPr>
        <w:t>Guyuk</w:t>
      </w:r>
      <w:proofErr w:type="spellEnd"/>
      <w:r>
        <w:rPr>
          <w:rFonts w:ascii="Arial" w:eastAsia="Arial" w:hAnsi="Arial" w:cs="Arial"/>
          <w:highlight w:val="white"/>
        </w:rPr>
        <w:t xml:space="preserve">, </w:t>
      </w:r>
      <w:proofErr w:type="spellStart"/>
      <w:r>
        <w:rPr>
          <w:rFonts w:ascii="Arial" w:eastAsia="Arial" w:hAnsi="Arial" w:cs="Arial"/>
          <w:highlight w:val="white"/>
        </w:rPr>
        <w:t>Shelleng</w:t>
      </w:r>
      <w:proofErr w:type="spellEnd"/>
      <w:r>
        <w:rPr>
          <w:rFonts w:ascii="Arial" w:eastAsia="Arial" w:hAnsi="Arial" w:cs="Arial"/>
          <w:highlight w:val="white"/>
        </w:rPr>
        <w:t xml:space="preserve">, </w:t>
      </w:r>
      <w:proofErr w:type="spellStart"/>
      <w:r>
        <w:rPr>
          <w:rFonts w:ascii="Arial" w:eastAsia="Arial" w:hAnsi="Arial" w:cs="Arial"/>
          <w:highlight w:val="white"/>
        </w:rPr>
        <w:t>Lamurde</w:t>
      </w:r>
      <w:proofErr w:type="spellEnd"/>
      <w:r>
        <w:rPr>
          <w:rFonts w:ascii="Arial" w:eastAsia="Arial" w:hAnsi="Arial" w:cs="Arial"/>
          <w:highlight w:val="white"/>
        </w:rPr>
        <w:t xml:space="preserve">, </w:t>
      </w:r>
      <w:proofErr w:type="spellStart"/>
      <w:r>
        <w:rPr>
          <w:rFonts w:ascii="Arial" w:eastAsia="Arial" w:hAnsi="Arial" w:cs="Arial"/>
          <w:highlight w:val="white"/>
        </w:rPr>
        <w:t>Numa</w:t>
      </w:r>
      <w:r>
        <w:rPr>
          <w:rFonts w:ascii="Arial" w:eastAsia="Arial" w:hAnsi="Arial" w:cs="Arial"/>
          <w:highlight w:val="white"/>
        </w:rPr>
        <w:t>n</w:t>
      </w:r>
      <w:proofErr w:type="spellEnd"/>
      <w:r>
        <w:rPr>
          <w:rFonts w:ascii="Arial" w:eastAsia="Arial" w:hAnsi="Arial" w:cs="Arial"/>
          <w:highlight w:val="white"/>
        </w:rPr>
        <w:t xml:space="preserve">, and </w:t>
      </w:r>
      <w:proofErr w:type="spellStart"/>
      <w:r>
        <w:rPr>
          <w:rFonts w:ascii="Arial" w:eastAsia="Arial" w:hAnsi="Arial" w:cs="Arial"/>
          <w:highlight w:val="white"/>
        </w:rPr>
        <w:t>Demsa</w:t>
      </w:r>
      <w:proofErr w:type="spellEnd"/>
      <w:r>
        <w:rPr>
          <w:rFonts w:ascii="Arial" w:eastAsia="Arial" w:hAnsi="Arial" w:cs="Arial"/>
          <w:highlight w:val="white"/>
        </w:rPr>
        <w:t xml:space="preserve"> LGAs. </w:t>
      </w:r>
    </w:p>
    <w:p w:rsidR="00697B04" w:rsidRDefault="00E229C5">
      <w:pPr>
        <w:spacing w:line="276" w:lineRule="auto"/>
        <w:jc w:val="both"/>
        <w:rPr>
          <w:rFonts w:ascii="Arial" w:eastAsia="Arial" w:hAnsi="Arial" w:cs="Arial"/>
          <w:highlight w:val="white"/>
        </w:rPr>
      </w:pPr>
      <w:r>
        <w:rPr>
          <w:rFonts w:ascii="Arial" w:eastAsia="Arial" w:hAnsi="Arial" w:cs="Arial"/>
          <w:highlight w:val="white"/>
        </w:rPr>
        <w:t>The second sampling stage involved the random selection of 40% of the LGAs from each of the four (4) agricultural zones. The random selection of Wards within the LGAs selected formed the third sampling stage. Two (2) wards were randomly</w:t>
      </w:r>
      <w:r>
        <w:rPr>
          <w:rFonts w:ascii="Arial" w:eastAsia="Arial" w:hAnsi="Arial" w:cs="Arial"/>
          <w:highlight w:val="white"/>
        </w:rPr>
        <w:t xml:space="preserve"> selected from each of the LGAs selected for the study which resulted in a total of eighteen (18) wards across the nine (9) LGAs randomly selected from the four (4) zones (FAO, 2017). </w:t>
      </w:r>
    </w:p>
    <w:p w:rsidR="00697B04" w:rsidRDefault="00E229C5">
      <w:pPr>
        <w:spacing w:line="276" w:lineRule="auto"/>
        <w:jc w:val="both"/>
        <w:rPr>
          <w:rFonts w:ascii="Arial" w:eastAsia="Arial" w:hAnsi="Arial" w:cs="Arial"/>
          <w:highlight w:val="white"/>
        </w:rPr>
      </w:pPr>
      <w:r>
        <w:rPr>
          <w:rFonts w:ascii="Arial" w:eastAsia="Arial" w:hAnsi="Arial" w:cs="Arial"/>
          <w:highlight w:val="white"/>
        </w:rPr>
        <w:t>The fourth stage involved the random selection of two (2) farming commu</w:t>
      </w:r>
      <w:r>
        <w:rPr>
          <w:rFonts w:ascii="Arial" w:eastAsia="Arial" w:hAnsi="Arial" w:cs="Arial"/>
          <w:highlight w:val="white"/>
        </w:rPr>
        <w:t>nities from each of the eighteen (18) wards which resulted in a total of thirty-six (36) farming communities. In the fifth stage, a minimum of fifteen (15) farmers (respondents) were randomly chosen from the thirty-six (36) farming communities that were pr</w:t>
      </w:r>
      <w:r>
        <w:rPr>
          <w:rFonts w:ascii="Arial" w:eastAsia="Arial" w:hAnsi="Arial" w:cs="Arial"/>
          <w:highlight w:val="white"/>
        </w:rPr>
        <w:t xml:space="preserve">eviously selected at random which gives a total of about 543 farmers (respondents) that participated in the study. The data collection approach ensured at least 75% coverage in each of the thirty-six (36) communities.   </w:t>
      </w:r>
    </w:p>
    <w:p w:rsidR="00697B04" w:rsidRDefault="00697B04">
      <w:pPr>
        <w:spacing w:line="276" w:lineRule="auto"/>
        <w:jc w:val="both"/>
        <w:rPr>
          <w:rFonts w:ascii="Arial" w:eastAsia="Arial" w:hAnsi="Arial" w:cs="Arial"/>
          <w:highlight w:val="white"/>
        </w:rPr>
      </w:pPr>
    </w:p>
    <w:p w:rsidR="00697B04" w:rsidRDefault="00E229C5">
      <w:pPr>
        <w:spacing w:line="276" w:lineRule="auto"/>
        <w:rPr>
          <w:rFonts w:ascii="Arial" w:eastAsia="Arial" w:hAnsi="Arial" w:cs="Arial"/>
          <w:b/>
          <w:bCs/>
          <w:sz w:val="22"/>
          <w:szCs w:val="22"/>
          <w:highlight w:val="white"/>
        </w:rPr>
      </w:pPr>
      <w:r>
        <w:rPr>
          <w:rFonts w:ascii="Arial" w:eastAsia="Arial" w:hAnsi="Arial" w:cs="Arial"/>
          <w:b/>
          <w:bCs/>
          <w:sz w:val="22"/>
          <w:szCs w:val="22"/>
          <w:highlight w:val="white"/>
        </w:rPr>
        <w:t>2.3 Data Collection and Analysis</w:t>
      </w:r>
    </w:p>
    <w:p w:rsidR="00697B04" w:rsidRDefault="00E229C5">
      <w:pPr>
        <w:spacing w:line="276" w:lineRule="auto"/>
        <w:jc w:val="both"/>
        <w:rPr>
          <w:rFonts w:ascii="Arial" w:eastAsia="Arial" w:hAnsi="Arial" w:cs="Arial"/>
        </w:rPr>
      </w:pPr>
      <w:r>
        <w:rPr>
          <w:rFonts w:ascii="Arial" w:eastAsia="Arial" w:hAnsi="Arial" w:cs="Arial"/>
          <w:highlight w:val="white"/>
        </w:rPr>
        <w:t>Primary data were collected through a semi-structured questionnaire using a face-to-face interview technique using an Open Data Kit.</w:t>
      </w:r>
      <w:r>
        <w:rPr>
          <w:rFonts w:ascii="Arial" w:eastAsia="Arial" w:hAnsi="Arial" w:cs="Arial"/>
        </w:rPr>
        <w:t xml:space="preserve"> </w:t>
      </w:r>
      <w:r>
        <w:rPr>
          <w:rFonts w:ascii="Arial" w:eastAsia="Arial" w:hAnsi="Arial" w:cs="Arial"/>
          <w:highlight w:val="white"/>
        </w:rPr>
        <w:t>The Research Assistants (RAs) who collected the data were deliberately recruited from the sampled LGAs to ensure there were</w:t>
      </w:r>
      <w:r>
        <w:rPr>
          <w:rFonts w:ascii="Arial" w:eastAsia="Arial" w:hAnsi="Arial" w:cs="Arial"/>
          <w:highlight w:val="white"/>
        </w:rPr>
        <w:t xml:space="preserve"> no barriers in terms of language, community entry, and acceptance. Before engaging the farmers, the RAs contacted and visited the local community leaders, provided an explanation of the study, and gained permission to work in each of the Wards. The RAs se</w:t>
      </w:r>
      <w:r>
        <w:rPr>
          <w:rFonts w:ascii="Arial" w:eastAsia="Arial" w:hAnsi="Arial" w:cs="Arial"/>
          <w:highlight w:val="white"/>
        </w:rPr>
        <w:t>lected the target farmers at random, taking the first household and counting to the next fifth household after the first household was interviewed.</w:t>
      </w:r>
      <w:r>
        <w:rPr>
          <w:rFonts w:ascii="Arial" w:eastAsia="Arial" w:hAnsi="Arial" w:cs="Arial"/>
        </w:rPr>
        <w:t xml:space="preserve"> The study assessed adoption of the following practices:</w:t>
      </w:r>
    </w:p>
    <w:p w:rsidR="00697B04" w:rsidRDefault="00E229C5">
      <w:pPr>
        <w:numPr>
          <w:ilvl w:val="0"/>
          <w:numId w:val="4"/>
        </w:numPr>
        <w:rPr>
          <w:rFonts w:ascii="Arial" w:eastAsia="Arial" w:hAnsi="Arial" w:cs="Arial"/>
        </w:rPr>
      </w:pPr>
      <w:r>
        <w:rPr>
          <w:rFonts w:ascii="Arial" w:eastAsia="Arial" w:hAnsi="Arial" w:cs="Arial"/>
        </w:rPr>
        <w:t>use of weather and climate information</w:t>
      </w:r>
    </w:p>
    <w:p w:rsidR="00697B04" w:rsidRDefault="00E229C5">
      <w:pPr>
        <w:numPr>
          <w:ilvl w:val="0"/>
          <w:numId w:val="4"/>
        </w:numPr>
        <w:rPr>
          <w:rFonts w:ascii="Arial" w:eastAsia="Arial" w:hAnsi="Arial" w:cs="Arial"/>
        </w:rPr>
      </w:pPr>
      <w:r>
        <w:rPr>
          <w:rFonts w:ascii="Arial" w:eastAsia="Arial" w:hAnsi="Arial" w:cs="Arial"/>
        </w:rPr>
        <w:t>certified/imp</w:t>
      </w:r>
      <w:r>
        <w:rPr>
          <w:rFonts w:ascii="Arial" w:eastAsia="Arial" w:hAnsi="Arial" w:cs="Arial"/>
        </w:rPr>
        <w:t>roved seeds</w:t>
      </w:r>
    </w:p>
    <w:p w:rsidR="00697B04" w:rsidRDefault="00E229C5">
      <w:pPr>
        <w:numPr>
          <w:ilvl w:val="0"/>
          <w:numId w:val="4"/>
        </w:numPr>
        <w:rPr>
          <w:rFonts w:ascii="Arial" w:eastAsia="Arial" w:hAnsi="Arial" w:cs="Arial"/>
        </w:rPr>
      </w:pPr>
      <w:r>
        <w:rPr>
          <w:rFonts w:ascii="Arial" w:eastAsia="Arial" w:hAnsi="Arial" w:cs="Arial"/>
        </w:rPr>
        <w:t>gender‑inclusive production practices</w:t>
      </w:r>
    </w:p>
    <w:p w:rsidR="00697B04" w:rsidRDefault="00E229C5">
      <w:pPr>
        <w:numPr>
          <w:ilvl w:val="0"/>
          <w:numId w:val="4"/>
        </w:numPr>
        <w:rPr>
          <w:rFonts w:ascii="Arial" w:eastAsia="Arial" w:hAnsi="Arial" w:cs="Arial"/>
        </w:rPr>
      </w:pPr>
      <w:r>
        <w:rPr>
          <w:rFonts w:ascii="Arial" w:eastAsia="Arial" w:hAnsi="Arial" w:cs="Arial"/>
        </w:rPr>
        <w:t>intercropping</w:t>
      </w:r>
    </w:p>
    <w:p w:rsidR="00697B04" w:rsidRDefault="00E229C5">
      <w:pPr>
        <w:numPr>
          <w:ilvl w:val="0"/>
          <w:numId w:val="4"/>
        </w:numPr>
        <w:rPr>
          <w:rFonts w:ascii="Arial" w:eastAsia="Arial" w:hAnsi="Arial" w:cs="Arial"/>
        </w:rPr>
      </w:pPr>
      <w:r>
        <w:rPr>
          <w:rFonts w:ascii="Arial" w:eastAsia="Arial" w:hAnsi="Arial" w:cs="Arial"/>
        </w:rPr>
        <w:t>use of organic fertilizers</w:t>
      </w:r>
    </w:p>
    <w:p w:rsidR="00697B04" w:rsidRDefault="00E229C5">
      <w:pPr>
        <w:numPr>
          <w:ilvl w:val="0"/>
          <w:numId w:val="4"/>
        </w:numPr>
        <w:rPr>
          <w:rFonts w:ascii="Arial" w:eastAsia="Arial" w:hAnsi="Arial" w:cs="Arial"/>
        </w:rPr>
      </w:pPr>
      <w:r>
        <w:rPr>
          <w:rFonts w:ascii="Arial" w:eastAsia="Arial" w:hAnsi="Arial" w:cs="Arial"/>
        </w:rPr>
        <w:t>agroforestry</w:t>
      </w:r>
    </w:p>
    <w:p w:rsidR="00697B04" w:rsidRDefault="00E229C5">
      <w:pPr>
        <w:numPr>
          <w:ilvl w:val="0"/>
          <w:numId w:val="4"/>
        </w:numPr>
        <w:spacing w:after="220"/>
        <w:jc w:val="both"/>
        <w:rPr>
          <w:rFonts w:ascii="Arial" w:eastAsia="Arial" w:hAnsi="Arial" w:cs="Arial"/>
        </w:rPr>
      </w:pPr>
      <w:r>
        <w:rPr>
          <w:rFonts w:ascii="Arial" w:eastAsia="Arial" w:hAnsi="Arial" w:cs="Arial"/>
        </w:rPr>
        <w:t>conservative tillage practices.</w:t>
      </w:r>
    </w:p>
    <w:p w:rsidR="00697B04" w:rsidRDefault="00E229C5">
      <w:pPr>
        <w:spacing w:before="220" w:line="276" w:lineRule="auto"/>
        <w:jc w:val="both"/>
        <w:rPr>
          <w:rFonts w:ascii="Arial" w:eastAsia="Arial" w:hAnsi="Arial" w:cs="Arial"/>
        </w:rPr>
      </w:pPr>
      <w:r>
        <w:rPr>
          <w:rFonts w:ascii="Arial" w:eastAsia="Arial" w:hAnsi="Arial" w:cs="Arial"/>
        </w:rPr>
        <w:lastRenderedPageBreak/>
        <w:t xml:space="preserve">Descriptive statistics were used to summarize awareness and adoption. </w:t>
      </w:r>
      <w:r>
        <w:rPr>
          <w:rFonts w:ascii="Arial" w:eastAsia="Arial" w:hAnsi="Arial" w:cs="Arial"/>
          <w:highlight w:val="white"/>
        </w:rPr>
        <w:t xml:space="preserve">For the study, the adoption rate was used which is based on the percentage of adopters of each of the climate-smart </w:t>
      </w:r>
      <w:proofErr w:type="spellStart"/>
      <w:r>
        <w:rPr>
          <w:rFonts w:ascii="Arial" w:eastAsia="Arial" w:hAnsi="Arial" w:cs="Arial"/>
          <w:highlight w:val="white"/>
        </w:rPr>
        <w:t>agritech</w:t>
      </w:r>
      <w:proofErr w:type="spellEnd"/>
      <w:r>
        <w:rPr>
          <w:rFonts w:ascii="Arial" w:eastAsia="Arial" w:hAnsi="Arial" w:cs="Arial"/>
          <w:highlight w:val="white"/>
        </w:rPr>
        <w:t xml:space="preserve"> practices in the total sampled pool of farmers (</w:t>
      </w:r>
      <w:r>
        <w:rPr>
          <w:rFonts w:ascii="Arial" w:eastAsia="Arial" w:hAnsi="Arial" w:cs="Arial"/>
        </w:rPr>
        <w:t>Pannell &amp; Claassen, 2020)</w:t>
      </w:r>
      <w:r>
        <w:rPr>
          <w:rFonts w:ascii="Arial" w:eastAsia="Arial" w:hAnsi="Arial" w:cs="Arial"/>
          <w:highlight w:val="white"/>
        </w:rPr>
        <w:t>. The following criteria were used to rank the rate of ado</w:t>
      </w:r>
      <w:r>
        <w:rPr>
          <w:rFonts w:ascii="Arial" w:eastAsia="Arial" w:hAnsi="Arial" w:cs="Arial"/>
          <w:highlight w:val="white"/>
        </w:rPr>
        <w:t xml:space="preserve">ption of each of the </w:t>
      </w:r>
      <w:r>
        <w:rPr>
          <w:rFonts w:ascii="Arial" w:eastAsia="Arial" w:hAnsi="Arial" w:cs="Arial"/>
        </w:rPr>
        <w:t xml:space="preserve">climate-smart </w:t>
      </w:r>
      <w:proofErr w:type="spellStart"/>
      <w:r>
        <w:rPr>
          <w:rFonts w:ascii="Arial" w:eastAsia="Arial" w:hAnsi="Arial" w:cs="Arial"/>
        </w:rPr>
        <w:t>agritech</w:t>
      </w:r>
      <w:proofErr w:type="spellEnd"/>
      <w:r>
        <w:rPr>
          <w:rFonts w:ascii="Arial" w:eastAsia="Arial" w:hAnsi="Arial" w:cs="Arial"/>
        </w:rPr>
        <w:t xml:space="preserve"> practices: </w:t>
      </w:r>
    </w:p>
    <w:p w:rsidR="00697B04" w:rsidRDefault="00E229C5">
      <w:pPr>
        <w:numPr>
          <w:ilvl w:val="0"/>
          <w:numId w:val="3"/>
        </w:numPr>
        <w:shd w:val="clear" w:color="auto" w:fill="FFFFFF"/>
        <w:spacing w:line="276" w:lineRule="auto"/>
        <w:jc w:val="both"/>
        <w:rPr>
          <w:rFonts w:ascii="Arial" w:eastAsia="Arial" w:hAnsi="Arial" w:cs="Arial"/>
          <w:highlight w:val="white"/>
        </w:rPr>
      </w:pPr>
      <w:r>
        <w:rPr>
          <w:rFonts w:ascii="Arial" w:eastAsia="Arial" w:hAnsi="Arial" w:cs="Arial"/>
          <w:highlight w:val="white"/>
        </w:rPr>
        <w:t xml:space="preserve">Adoption rate of and/ or greater than 70% </w:t>
      </w:r>
      <w:r>
        <w:rPr>
          <w:rFonts w:ascii="Arial" w:eastAsia="Arial" w:hAnsi="Arial" w:cs="Arial"/>
          <w:highlight w:val="white"/>
        </w:rPr>
        <w:tab/>
        <w:t xml:space="preserve">= very high </w:t>
      </w:r>
    </w:p>
    <w:p w:rsidR="00697B04" w:rsidRDefault="00E229C5">
      <w:pPr>
        <w:numPr>
          <w:ilvl w:val="0"/>
          <w:numId w:val="3"/>
        </w:numPr>
        <w:shd w:val="clear" w:color="auto" w:fill="FFFFFF"/>
        <w:spacing w:line="276" w:lineRule="auto"/>
        <w:jc w:val="both"/>
        <w:rPr>
          <w:rFonts w:ascii="Arial" w:eastAsia="Arial" w:hAnsi="Arial" w:cs="Arial"/>
          <w:highlight w:val="white"/>
        </w:rPr>
      </w:pPr>
      <w:r>
        <w:rPr>
          <w:rFonts w:ascii="Arial" w:eastAsia="Arial" w:hAnsi="Arial" w:cs="Arial"/>
          <w:highlight w:val="white"/>
        </w:rPr>
        <w:t xml:space="preserve">Adoption rate within 60 to 70%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xml:space="preserve">= high </w:t>
      </w:r>
    </w:p>
    <w:p w:rsidR="00697B04" w:rsidRDefault="00E229C5">
      <w:pPr>
        <w:numPr>
          <w:ilvl w:val="0"/>
          <w:numId w:val="3"/>
        </w:numPr>
        <w:shd w:val="clear" w:color="auto" w:fill="FFFFFF"/>
        <w:spacing w:line="276" w:lineRule="auto"/>
        <w:jc w:val="both"/>
        <w:rPr>
          <w:rFonts w:ascii="Arial" w:eastAsia="Arial" w:hAnsi="Arial" w:cs="Arial"/>
          <w:highlight w:val="white"/>
        </w:rPr>
      </w:pPr>
      <w:r>
        <w:rPr>
          <w:rFonts w:ascii="Arial" w:eastAsia="Arial" w:hAnsi="Arial" w:cs="Arial"/>
          <w:highlight w:val="white"/>
        </w:rPr>
        <w:t xml:space="preserve">Adoption rate within 50 to 59%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fairly high</w:t>
      </w:r>
    </w:p>
    <w:p w:rsidR="00697B04" w:rsidRDefault="00E229C5">
      <w:pPr>
        <w:numPr>
          <w:ilvl w:val="0"/>
          <w:numId w:val="3"/>
        </w:numPr>
        <w:shd w:val="clear" w:color="auto" w:fill="FFFFFF"/>
        <w:spacing w:line="276" w:lineRule="auto"/>
        <w:jc w:val="both"/>
        <w:rPr>
          <w:rFonts w:ascii="Arial" w:eastAsia="Arial" w:hAnsi="Arial" w:cs="Arial"/>
          <w:highlight w:val="white"/>
        </w:rPr>
      </w:pPr>
      <w:r>
        <w:rPr>
          <w:rFonts w:ascii="Arial" w:eastAsia="Arial" w:hAnsi="Arial" w:cs="Arial"/>
          <w:highlight w:val="white"/>
        </w:rPr>
        <w:t xml:space="preserve">Adoption rate within 40 to 49% </w:t>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 xml:space="preserve">= fairly low </w:t>
      </w:r>
    </w:p>
    <w:p w:rsidR="00697B04" w:rsidRDefault="00E229C5">
      <w:pPr>
        <w:numPr>
          <w:ilvl w:val="0"/>
          <w:numId w:val="3"/>
        </w:numPr>
        <w:shd w:val="clear" w:color="auto" w:fill="FFFFFF"/>
        <w:spacing w:line="276" w:lineRule="auto"/>
        <w:jc w:val="both"/>
        <w:rPr>
          <w:rFonts w:ascii="Arial" w:eastAsia="Arial" w:hAnsi="Arial" w:cs="Arial"/>
          <w:highlight w:val="white"/>
        </w:rPr>
      </w:pPr>
      <w:r>
        <w:rPr>
          <w:rFonts w:ascii="Arial" w:eastAsia="Arial" w:hAnsi="Arial" w:cs="Arial"/>
          <w:highlight w:val="white"/>
        </w:rPr>
        <w:t>Adopti</w:t>
      </w:r>
      <w:r>
        <w:rPr>
          <w:rFonts w:ascii="Arial" w:eastAsia="Arial" w:hAnsi="Arial" w:cs="Arial"/>
          <w:highlight w:val="white"/>
        </w:rPr>
        <w:t xml:space="preserve">on rate below 40% </w:t>
      </w:r>
      <w:r>
        <w:rPr>
          <w:rFonts w:ascii="Arial" w:eastAsia="Arial" w:hAnsi="Arial" w:cs="Arial"/>
          <w:highlight w:val="white"/>
        </w:rPr>
        <w:tab/>
        <w:t xml:space="preserve">   </w:t>
      </w:r>
      <w:r>
        <w:rPr>
          <w:rFonts w:ascii="Arial" w:eastAsia="Arial" w:hAnsi="Arial" w:cs="Arial"/>
          <w:highlight w:val="white"/>
        </w:rPr>
        <w:tab/>
      </w:r>
      <w:r>
        <w:rPr>
          <w:rFonts w:ascii="Arial" w:eastAsia="Arial" w:hAnsi="Arial" w:cs="Arial"/>
          <w:highlight w:val="white"/>
        </w:rPr>
        <w:tab/>
        <w:t>= very low.</w:t>
      </w:r>
    </w:p>
    <w:p w:rsidR="00697B04" w:rsidRDefault="00697B04">
      <w:pPr>
        <w:spacing w:line="276" w:lineRule="auto"/>
        <w:jc w:val="both"/>
        <w:rPr>
          <w:rFonts w:ascii="Arial" w:eastAsia="Arial" w:hAnsi="Arial" w:cs="Arial"/>
          <w:highlight w:val="white"/>
        </w:rPr>
      </w:pPr>
    </w:p>
    <w:p w:rsidR="00697B04" w:rsidRDefault="00E229C5">
      <w:pPr>
        <w:spacing w:after="200" w:line="276" w:lineRule="auto"/>
        <w:jc w:val="both"/>
        <w:rPr>
          <w:rFonts w:ascii="Arial" w:eastAsia="Arial" w:hAnsi="Arial" w:cs="Arial"/>
          <w:highlight w:val="white"/>
          <w:vertAlign w:val="subscript"/>
        </w:rPr>
      </w:pPr>
      <w:r>
        <w:rPr>
          <w:rFonts w:ascii="Arial" w:eastAsia="Arial" w:hAnsi="Arial" w:cs="Arial"/>
          <w:highlight w:val="white"/>
        </w:rPr>
        <w:t xml:space="preserve">Further analysis of the data (to determine the relationship between adoption rate socio-economic characteristics of the farmers) was done using the </w:t>
      </w:r>
      <w:r>
        <w:rPr>
          <w:rFonts w:ascii="Arial" w:eastAsia="Arial" w:hAnsi="Arial" w:cs="Arial"/>
          <w:color w:val="231F20"/>
          <w:highlight w:val="white"/>
        </w:rPr>
        <w:t xml:space="preserve">Chi-square analysis at </w:t>
      </w:r>
      <w:r>
        <w:rPr>
          <w:rFonts w:ascii="Arial" w:eastAsia="Arial" w:hAnsi="Arial" w:cs="Arial"/>
          <w:i/>
          <w:iCs/>
          <w:color w:val="231F20"/>
          <w:highlight w:val="white"/>
        </w:rPr>
        <w:t>(P</w:t>
      </w:r>
      <w:r>
        <w:rPr>
          <w:rFonts w:ascii="Arial" w:eastAsia="Arial" w:hAnsi="Arial" w:cs="Arial"/>
          <w:color w:val="231F20"/>
          <w:highlight w:val="white"/>
        </w:rPr>
        <w:t xml:space="preserve"> = .05) 95% level of significance. The Chi-squ</w:t>
      </w:r>
      <w:r>
        <w:rPr>
          <w:rFonts w:ascii="Arial" w:eastAsia="Arial" w:hAnsi="Arial" w:cs="Arial"/>
          <w:color w:val="231F20"/>
          <w:highlight w:val="white"/>
        </w:rPr>
        <w:t xml:space="preserve">are Statistic was used to analyze the data using formula: </w:t>
      </w:r>
      <w:r>
        <w:rPr>
          <w:rFonts w:ascii="Arial" w:eastAsia="Arial" w:hAnsi="Arial" w:cs="Arial"/>
          <w:highlight w:val="white"/>
        </w:rPr>
        <w:t>X</w:t>
      </w:r>
      <w:r>
        <w:rPr>
          <w:rFonts w:ascii="Arial" w:eastAsia="Arial" w:hAnsi="Arial" w:cs="Arial"/>
          <w:highlight w:val="white"/>
          <w:vertAlign w:val="superscript"/>
        </w:rPr>
        <w:t xml:space="preserve">2 </w:t>
      </w:r>
      <w:r>
        <w:rPr>
          <w:rFonts w:ascii="Arial" w:eastAsia="Arial" w:hAnsi="Arial" w:cs="Arial"/>
          <w:highlight w:val="white"/>
        </w:rPr>
        <w:t>= X</w:t>
      </w:r>
      <w:r>
        <w:rPr>
          <w:rFonts w:ascii="Arial" w:eastAsia="Arial" w:hAnsi="Arial" w:cs="Arial"/>
          <w:highlight w:val="white"/>
          <w:vertAlign w:val="superscript"/>
        </w:rPr>
        <w:t xml:space="preserve">2 </w:t>
      </w:r>
      <w:r>
        <w:rPr>
          <w:rFonts w:ascii="Arial" w:eastAsia="Arial" w:hAnsi="Arial" w:cs="Arial"/>
          <w:highlight w:val="white"/>
        </w:rPr>
        <w:t>(f</w:t>
      </w:r>
      <w:r>
        <w:rPr>
          <w:rFonts w:ascii="Arial" w:eastAsia="Arial" w:hAnsi="Arial" w:cs="Arial"/>
          <w:highlight w:val="white"/>
          <w:vertAlign w:val="subscript"/>
        </w:rPr>
        <w:t>e</w:t>
      </w:r>
      <w:r>
        <w:rPr>
          <w:rFonts w:ascii="Arial" w:eastAsia="Arial" w:hAnsi="Arial" w:cs="Arial"/>
          <w:highlight w:val="white"/>
        </w:rPr>
        <w:t>-f</w:t>
      </w:r>
      <w:r>
        <w:rPr>
          <w:rFonts w:ascii="Arial" w:eastAsia="Arial" w:hAnsi="Arial" w:cs="Arial"/>
          <w:highlight w:val="white"/>
          <w:vertAlign w:val="subscript"/>
        </w:rPr>
        <w:t>0</w:t>
      </w:r>
      <w:r>
        <w:rPr>
          <w:rFonts w:ascii="Arial" w:eastAsia="Arial" w:hAnsi="Arial" w:cs="Arial"/>
          <w:highlight w:val="white"/>
        </w:rPr>
        <w:t>)</w:t>
      </w:r>
      <w:r>
        <w:rPr>
          <w:rFonts w:ascii="Arial" w:eastAsia="Arial" w:hAnsi="Arial" w:cs="Arial"/>
          <w:highlight w:val="white"/>
          <w:vertAlign w:val="superscript"/>
        </w:rPr>
        <w:t>2/</w:t>
      </w:r>
      <w:proofErr w:type="spellStart"/>
      <w:r>
        <w:rPr>
          <w:rFonts w:ascii="Arial" w:eastAsia="Arial" w:hAnsi="Arial" w:cs="Arial"/>
          <w:highlight w:val="white"/>
        </w:rPr>
        <w:t>f</w:t>
      </w:r>
      <w:r>
        <w:rPr>
          <w:rFonts w:ascii="Arial" w:eastAsia="Arial" w:hAnsi="Arial" w:cs="Arial"/>
          <w:highlight w:val="white"/>
          <w:vertAlign w:val="subscript"/>
        </w:rPr>
        <w:t>e</w:t>
      </w:r>
      <w:proofErr w:type="spellEnd"/>
    </w:p>
    <w:p w:rsidR="00697B04" w:rsidRDefault="00E229C5">
      <w:pPr>
        <w:spacing w:after="200" w:line="276" w:lineRule="auto"/>
        <w:jc w:val="both"/>
        <w:rPr>
          <w:rFonts w:ascii="Arial" w:eastAsia="Arial" w:hAnsi="Arial" w:cs="Arial"/>
          <w:highlight w:val="white"/>
        </w:rPr>
      </w:pPr>
      <w:r>
        <w:rPr>
          <w:rFonts w:ascii="Arial" w:eastAsia="Arial" w:hAnsi="Arial" w:cs="Arial"/>
          <w:highlight w:val="white"/>
        </w:rPr>
        <w:t xml:space="preserve">Where </w:t>
      </w:r>
      <w:r>
        <w:rPr>
          <w:rFonts w:ascii="Arial" w:eastAsia="Arial" w:hAnsi="Arial" w:cs="Arial"/>
          <w:highlight w:val="white"/>
        </w:rPr>
        <w:tab/>
        <w:t>X</w:t>
      </w:r>
      <w:r>
        <w:rPr>
          <w:rFonts w:ascii="Arial" w:eastAsia="Arial" w:hAnsi="Arial" w:cs="Arial"/>
          <w:highlight w:val="white"/>
          <w:vertAlign w:val="superscript"/>
        </w:rPr>
        <w:t xml:space="preserve">2   </w:t>
      </w:r>
      <w:r>
        <w:rPr>
          <w:rFonts w:ascii="Arial" w:eastAsia="Arial" w:hAnsi="Arial" w:cs="Arial"/>
          <w:highlight w:val="white"/>
        </w:rPr>
        <w:t xml:space="preserve">= Chi Square, </w:t>
      </w:r>
      <w:proofErr w:type="spellStart"/>
      <w:r>
        <w:rPr>
          <w:rFonts w:ascii="Arial" w:eastAsia="Arial" w:hAnsi="Arial" w:cs="Arial"/>
          <w:highlight w:val="white"/>
        </w:rPr>
        <w:t>f</w:t>
      </w:r>
      <w:r>
        <w:rPr>
          <w:rFonts w:ascii="Arial" w:eastAsia="Arial" w:hAnsi="Arial" w:cs="Arial"/>
          <w:highlight w:val="white"/>
          <w:vertAlign w:val="subscript"/>
        </w:rPr>
        <w:t>e</w:t>
      </w:r>
      <w:proofErr w:type="spellEnd"/>
      <w:r>
        <w:rPr>
          <w:rFonts w:ascii="Arial" w:eastAsia="Arial" w:hAnsi="Arial" w:cs="Arial"/>
          <w:highlight w:val="white"/>
          <w:vertAlign w:val="subscript"/>
        </w:rPr>
        <w:t xml:space="preserve"> </w:t>
      </w:r>
      <w:r>
        <w:rPr>
          <w:rFonts w:ascii="Arial" w:eastAsia="Arial" w:hAnsi="Arial" w:cs="Arial"/>
          <w:highlight w:val="white"/>
        </w:rPr>
        <w:t>= expected frequency and f</w:t>
      </w:r>
      <w:r>
        <w:rPr>
          <w:rFonts w:ascii="Arial" w:eastAsia="Arial" w:hAnsi="Arial" w:cs="Arial"/>
          <w:highlight w:val="white"/>
          <w:vertAlign w:val="subscript"/>
        </w:rPr>
        <w:t xml:space="preserve">0 </w:t>
      </w:r>
      <w:r>
        <w:rPr>
          <w:rFonts w:ascii="Arial" w:eastAsia="Arial" w:hAnsi="Arial" w:cs="Arial"/>
          <w:highlight w:val="white"/>
        </w:rPr>
        <w:t>= observed frequency.</w:t>
      </w:r>
    </w:p>
    <w:p w:rsidR="00697B04" w:rsidRDefault="00E229C5">
      <w:pPr>
        <w:shd w:val="clear" w:color="auto" w:fill="FFFFFF"/>
        <w:spacing w:line="276" w:lineRule="auto"/>
        <w:jc w:val="both"/>
        <w:rPr>
          <w:rFonts w:ascii="Arial" w:eastAsia="Arial" w:hAnsi="Arial" w:cs="Arial"/>
        </w:rPr>
      </w:pPr>
      <w:r>
        <w:rPr>
          <w:rFonts w:ascii="Arial" w:eastAsia="Arial" w:hAnsi="Arial" w:cs="Arial"/>
        </w:rPr>
        <w:t>The use of Chi Square test helps decide whether the variables studied (dependent or independent) are related in any way. This test also determined if a conspicuous discrepancy exists between the observed and expected counts</w:t>
      </w:r>
      <w:r>
        <w:rPr>
          <w:rFonts w:ascii="Arial" w:eastAsia="Arial" w:hAnsi="Arial" w:cs="Arial"/>
          <w:vertAlign w:val="superscript"/>
        </w:rPr>
        <w:t xml:space="preserve"> </w:t>
      </w:r>
      <w:r>
        <w:rPr>
          <w:rFonts w:ascii="Arial" w:eastAsia="Arial" w:hAnsi="Arial" w:cs="Arial"/>
        </w:rPr>
        <w:t>(</w:t>
      </w:r>
      <w:proofErr w:type="spellStart"/>
      <w:r>
        <w:rPr>
          <w:rFonts w:ascii="Arial" w:eastAsia="Arial" w:hAnsi="Arial" w:cs="Arial"/>
        </w:rPr>
        <w:t>Kangogo</w:t>
      </w:r>
      <w:proofErr w:type="spellEnd"/>
      <w:r>
        <w:rPr>
          <w:rFonts w:ascii="Arial" w:eastAsia="Arial" w:hAnsi="Arial" w:cs="Arial"/>
          <w:i/>
          <w:iCs/>
        </w:rPr>
        <w:t xml:space="preserve"> et al., </w:t>
      </w:r>
      <w:r>
        <w:rPr>
          <w:rFonts w:ascii="Arial" w:eastAsia="Arial" w:hAnsi="Arial" w:cs="Arial"/>
        </w:rPr>
        <w:t>2021). It was e</w:t>
      </w:r>
      <w:r>
        <w:rPr>
          <w:rFonts w:ascii="Arial" w:eastAsia="Arial" w:hAnsi="Arial" w:cs="Arial"/>
        </w:rPr>
        <w:t xml:space="preserve">mployed as an analytical method to test whether the explanatory variables were related among the adopters and non-adopters. Attribute was considered statistically significant to adoption of the climate-smart </w:t>
      </w:r>
      <w:proofErr w:type="spellStart"/>
      <w:r>
        <w:rPr>
          <w:rFonts w:ascii="Arial" w:eastAsia="Arial" w:hAnsi="Arial" w:cs="Arial"/>
        </w:rPr>
        <w:t>agritech</w:t>
      </w:r>
      <w:proofErr w:type="spellEnd"/>
      <w:r>
        <w:rPr>
          <w:rFonts w:ascii="Arial" w:eastAsia="Arial" w:hAnsi="Arial" w:cs="Arial"/>
        </w:rPr>
        <w:t xml:space="preserve"> practices if Chi value&gt; critical value.</w:t>
      </w:r>
      <w:r>
        <w:rPr>
          <w:rFonts w:ascii="Arial" w:eastAsia="Arial" w:hAnsi="Arial" w:cs="Arial"/>
        </w:rPr>
        <w:t xml:space="preserve"> Attribute was considered statistically not significant (insignificant) to adoption of agroforestry if Chi-Square value &lt; critical value at 95% level of significance. </w:t>
      </w:r>
    </w:p>
    <w:p w:rsidR="00697B04" w:rsidRDefault="00E229C5">
      <w:pPr>
        <w:shd w:val="clear" w:color="auto" w:fill="FFFFFF"/>
        <w:spacing w:line="276" w:lineRule="auto"/>
        <w:jc w:val="both"/>
        <w:rPr>
          <w:rFonts w:ascii="Arial" w:eastAsia="Arial" w:hAnsi="Arial" w:cs="Arial"/>
          <w:b/>
          <w:bCs/>
          <w:smallCaps/>
          <w:color w:val="000000"/>
          <w:sz w:val="22"/>
          <w:szCs w:val="22"/>
        </w:rPr>
      </w:pPr>
      <w:r>
        <w:rPr>
          <w:rFonts w:ascii="Arial" w:eastAsia="Arial" w:hAnsi="Arial" w:cs="Arial"/>
        </w:rPr>
        <w:t xml:space="preserve">   </w:t>
      </w:r>
    </w:p>
    <w:p w:rsidR="00697B04" w:rsidRDefault="00E229C5">
      <w:pPr>
        <w:spacing w:line="276" w:lineRule="auto"/>
        <w:jc w:val="both"/>
        <w:rPr>
          <w:rFonts w:ascii="Arial" w:eastAsia="Arial" w:hAnsi="Arial" w:cs="Arial"/>
          <w:b/>
          <w:bCs/>
          <w:sz w:val="22"/>
          <w:szCs w:val="22"/>
        </w:rPr>
      </w:pPr>
      <w:r>
        <w:rPr>
          <w:rFonts w:ascii="Arial" w:eastAsia="Arial" w:hAnsi="Arial" w:cs="Arial"/>
          <w:b/>
          <w:bCs/>
          <w:sz w:val="22"/>
          <w:szCs w:val="22"/>
        </w:rPr>
        <w:t>3. RESULTS AND DISCUSSION</w:t>
      </w:r>
    </w:p>
    <w:p w:rsidR="00697B04" w:rsidRDefault="00E229C5">
      <w:pPr>
        <w:spacing w:line="276" w:lineRule="auto"/>
        <w:jc w:val="both"/>
        <w:rPr>
          <w:rFonts w:ascii="Arial" w:eastAsia="Arial" w:hAnsi="Arial" w:cs="Arial"/>
          <w:b/>
          <w:bCs/>
          <w:sz w:val="22"/>
          <w:szCs w:val="22"/>
        </w:rPr>
      </w:pPr>
      <w:r>
        <w:rPr>
          <w:rFonts w:ascii="Arial" w:eastAsia="Arial" w:hAnsi="Arial" w:cs="Arial"/>
          <w:b/>
          <w:bCs/>
          <w:sz w:val="22"/>
          <w:szCs w:val="22"/>
        </w:rPr>
        <w:t>3.1 Socio‑economic Characteristics of Farmers</w:t>
      </w:r>
    </w:p>
    <w:p w:rsidR="00697B04" w:rsidRDefault="00E229C5">
      <w:pPr>
        <w:spacing w:line="276" w:lineRule="auto"/>
        <w:jc w:val="both"/>
        <w:rPr>
          <w:rFonts w:ascii="Arial" w:eastAsia="Arial" w:hAnsi="Arial" w:cs="Arial"/>
          <w:color w:val="464FEB"/>
          <w:sz w:val="21"/>
          <w:szCs w:val="21"/>
        </w:rPr>
      </w:pPr>
      <w:r>
        <w:rPr>
          <w:rFonts w:ascii="Arial" w:eastAsia="Arial" w:hAnsi="Arial" w:cs="Arial"/>
        </w:rPr>
        <w:t xml:space="preserve">The results </w:t>
      </w:r>
      <w:r>
        <w:rPr>
          <w:rFonts w:ascii="Arial" w:eastAsia="Arial" w:hAnsi="Arial" w:cs="Arial"/>
        </w:rPr>
        <w:t xml:space="preserve">of the farmers socio-economic characteristics as presented in Table 1 below shows that the farmers were largely young to middle‑aged, married, small‑scale farmers with low income and moderate educational attainment. the farmers’ mean age of 36 years, with </w:t>
      </w:r>
      <w:r>
        <w:rPr>
          <w:rFonts w:ascii="Arial" w:eastAsia="Arial" w:hAnsi="Arial" w:cs="Arial"/>
        </w:rPr>
        <w:t xml:space="preserve">the majority (65%) falling within the economically active age bracket of 25–44 years. Females slightly outnumbered males (51% versus 49%). Most respondents were married (62%), indicating a predominantly family‑oriented </w:t>
      </w:r>
      <w:proofErr w:type="spellStart"/>
      <w:proofErr w:type="gramStart"/>
      <w:r>
        <w:rPr>
          <w:rFonts w:ascii="Arial" w:eastAsia="Arial" w:hAnsi="Arial" w:cs="Arial"/>
        </w:rPr>
        <w:t>population.Household</w:t>
      </w:r>
      <w:proofErr w:type="spellEnd"/>
      <w:proofErr w:type="gramEnd"/>
      <w:r>
        <w:rPr>
          <w:rFonts w:ascii="Arial" w:eastAsia="Arial" w:hAnsi="Arial" w:cs="Arial"/>
        </w:rPr>
        <w:t xml:space="preserve"> sizes were relat</w:t>
      </w:r>
      <w:r>
        <w:rPr>
          <w:rFonts w:ascii="Arial" w:eastAsia="Arial" w:hAnsi="Arial" w:cs="Arial"/>
        </w:rPr>
        <w:t>ively large, with an average of seven persons per household, and over one‑third of respondents reported households of seven members or more. Educational attainment was generally low to moderate, as half of the respondents had secondary education, while onl</w:t>
      </w:r>
      <w:r>
        <w:rPr>
          <w:rFonts w:ascii="Arial" w:eastAsia="Arial" w:hAnsi="Arial" w:cs="Arial"/>
        </w:rPr>
        <w:t>y 24% attained tertiary education and 9% had no formal education. Farming was the dominant occupation, with crop farming accounting for 51% of respondents, reflecting the agrarian nature of the study area. Income levels were generally low, as 70% of househ</w:t>
      </w:r>
      <w:r>
        <w:rPr>
          <w:rFonts w:ascii="Arial" w:eastAsia="Arial" w:hAnsi="Arial" w:cs="Arial"/>
        </w:rPr>
        <w:t>olds earned below ₦50,000 per month.</w:t>
      </w:r>
      <w:r>
        <w:rPr>
          <w:rFonts w:ascii="Arial" w:eastAsia="Arial" w:hAnsi="Arial" w:cs="Arial"/>
          <w:sz w:val="21"/>
          <w:szCs w:val="21"/>
        </w:rPr>
        <w:t xml:space="preserve"> </w:t>
      </w:r>
    </w:p>
    <w:p w:rsidR="00697B04" w:rsidRDefault="00697B04">
      <w:pPr>
        <w:spacing w:line="276" w:lineRule="auto"/>
        <w:jc w:val="both"/>
        <w:rPr>
          <w:rFonts w:ascii="Arial" w:eastAsia="Arial" w:hAnsi="Arial" w:cs="Arial"/>
          <w:color w:val="464FEB"/>
          <w:sz w:val="21"/>
          <w:szCs w:val="21"/>
        </w:rPr>
      </w:pPr>
    </w:p>
    <w:p w:rsidR="00697B04" w:rsidRDefault="00E229C5">
      <w:pPr>
        <w:spacing w:line="276" w:lineRule="auto"/>
        <w:jc w:val="both"/>
        <w:rPr>
          <w:rFonts w:ascii="Arial" w:eastAsia="Arial" w:hAnsi="Arial" w:cs="Arial"/>
          <w:b/>
          <w:bCs/>
          <w:sz w:val="22"/>
          <w:szCs w:val="22"/>
        </w:rPr>
      </w:pPr>
      <w:r>
        <w:rPr>
          <w:rFonts w:ascii="Arial" w:eastAsia="Arial" w:hAnsi="Arial" w:cs="Arial"/>
          <w:b/>
          <w:bCs/>
          <w:sz w:val="22"/>
          <w:szCs w:val="22"/>
        </w:rPr>
        <w:t>Table 1: Socio‑economic Characteristics of Farmers (Respondents) (N = 538)</w:t>
      </w:r>
    </w:p>
    <w:tbl>
      <w:tblPr>
        <w:tblStyle w:val="a0"/>
        <w:tblW w:w="8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5"/>
        <w:gridCol w:w="2805"/>
        <w:gridCol w:w="1950"/>
      </w:tblGrid>
      <w:tr w:rsidR="00697B04">
        <w:trPr>
          <w:trHeight w:val="240"/>
        </w:trPr>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E229C5">
            <w:pPr>
              <w:rPr>
                <w:b/>
                <w:bCs/>
                <w:sz w:val="22"/>
                <w:szCs w:val="22"/>
              </w:rPr>
            </w:pPr>
            <w:r>
              <w:rPr>
                <w:b/>
                <w:bCs/>
                <w:sz w:val="22"/>
                <w:szCs w:val="22"/>
              </w:rPr>
              <w:t>Characteristic</w:t>
            </w:r>
          </w:p>
        </w:tc>
        <w:tc>
          <w:tcPr>
            <w:tcW w:w="280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E229C5">
            <w:pPr>
              <w:rPr>
                <w:b/>
                <w:bCs/>
                <w:sz w:val="22"/>
                <w:szCs w:val="22"/>
              </w:rPr>
            </w:pPr>
            <w:r>
              <w:rPr>
                <w:b/>
                <w:bCs/>
                <w:sz w:val="22"/>
                <w:szCs w:val="22"/>
              </w:rPr>
              <w:t>Category</w:t>
            </w:r>
          </w:p>
        </w:tc>
        <w:tc>
          <w:tcPr>
            <w:tcW w:w="1950"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E229C5">
            <w:pPr>
              <w:rPr>
                <w:b/>
                <w:bCs/>
                <w:sz w:val="22"/>
                <w:szCs w:val="22"/>
              </w:rPr>
            </w:pPr>
            <w:r>
              <w:rPr>
                <w:b/>
                <w:bCs/>
                <w:sz w:val="22"/>
                <w:szCs w:val="22"/>
              </w:rPr>
              <w:t>Percentage (%)</w:t>
            </w:r>
          </w:p>
        </w:tc>
      </w:tr>
      <w:tr w:rsidR="00697B04">
        <w:trPr>
          <w:trHeight w:val="37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697B04"/>
          <w:p w:rsidR="00697B04" w:rsidRDefault="00E229C5">
            <w:r>
              <w:t>Age (years)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15–24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12</w:t>
            </w:r>
          </w:p>
        </w:tc>
      </w:tr>
      <w:tr w:rsidR="00697B04">
        <w:trPr>
          <w:trHeight w:val="28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25–34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36</w:t>
            </w:r>
          </w:p>
        </w:tc>
      </w:tr>
      <w:tr w:rsidR="00697B04">
        <w:trPr>
          <w:trHeight w:val="37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35–44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29</w:t>
            </w:r>
          </w:p>
        </w:tc>
      </w:tr>
      <w:tr w:rsidR="00697B04">
        <w:trPr>
          <w:trHeight w:val="21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45–54</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17</w:t>
            </w:r>
          </w:p>
        </w:tc>
      </w:tr>
      <w:tr w:rsidR="00697B04">
        <w:trPr>
          <w:trHeight w:val="28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sdt>
              <w:sdtPr>
                <w:tag w:val="goog_rdk_0"/>
                <w:id w:val="2112783882"/>
              </w:sdtPr>
              <w:sdtEndPr/>
              <w:sdtContent>
                <w:r>
                  <w:rPr>
                    <w:rFonts w:ascii="Arial Unicode MS" w:eastAsia="Arial Unicode MS" w:hAnsi="Arial Unicode MS" w:cs="Arial Unicode MS"/>
                  </w:rPr>
                  <w:t>≥55</w:t>
                </w:r>
              </w:sdtContent>
            </w:sdt>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6</w:t>
            </w:r>
          </w:p>
        </w:tc>
      </w:tr>
      <w:tr w:rsidR="00697B04">
        <w:trPr>
          <w:trHeight w:val="195"/>
        </w:trPr>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E229C5">
            <w:r>
              <w:t>Mean age (years)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36</w:t>
            </w:r>
          </w:p>
        </w:tc>
      </w:tr>
      <w:tr w:rsidR="00697B04">
        <w:trPr>
          <w:trHeight w:val="4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E229C5">
            <w:r>
              <w:t>Gender</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Male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49</w:t>
            </w:r>
          </w:p>
        </w:tc>
      </w:tr>
      <w:tr w:rsidR="00697B04">
        <w:trPr>
          <w:trHeight w:val="30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Female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51</w:t>
            </w:r>
          </w:p>
        </w:tc>
      </w:tr>
      <w:tr w:rsidR="00697B04">
        <w:trPr>
          <w:trHeight w:val="345"/>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697B04"/>
          <w:p w:rsidR="00697B04" w:rsidRDefault="00E229C5">
            <w:r>
              <w:t>Marital status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Married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62</w:t>
            </w:r>
          </w:p>
        </w:tc>
      </w:tr>
      <w:tr w:rsidR="00697B04">
        <w:trPr>
          <w:trHeight w:val="27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Single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31</w:t>
            </w:r>
          </w:p>
        </w:tc>
      </w:tr>
      <w:tr w:rsidR="00697B04">
        <w:trPr>
          <w:trHeight w:val="21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Widowed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4</w:t>
            </w:r>
          </w:p>
        </w:tc>
      </w:tr>
      <w:tr w:rsidR="00697B04">
        <w:trPr>
          <w:trHeight w:val="18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Divorced/Separated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w:t>
            </w:r>
          </w:p>
        </w:tc>
      </w:tr>
      <w:tr w:rsidR="00697B04">
        <w:trPr>
          <w:trHeight w:val="210"/>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E229C5">
            <w:r>
              <w:t>Household size (number of persons)</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sdt>
              <w:sdtPr>
                <w:tag w:val="goog_rdk_1"/>
                <w:id w:val="811530027"/>
              </w:sdtPr>
              <w:sdtEndPr/>
              <w:sdtContent>
                <w:r>
                  <w:rPr>
                    <w:rFonts w:ascii="Arial Unicode MS" w:eastAsia="Arial Unicode MS" w:hAnsi="Arial Unicode MS" w:cs="Arial Unicode MS"/>
                  </w:rPr>
                  <w:t>≤4</w:t>
                </w:r>
              </w:sdtContent>
            </w:sdt>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30</w:t>
            </w:r>
          </w:p>
        </w:tc>
      </w:tr>
      <w:tr w:rsidR="00697B04">
        <w:trPr>
          <w:trHeight w:val="4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5–6</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32</w:t>
            </w:r>
          </w:p>
        </w:tc>
      </w:tr>
      <w:tr w:rsidR="00697B04">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sdt>
              <w:sdtPr>
                <w:tag w:val="goog_rdk_2"/>
                <w:id w:val="604967417"/>
              </w:sdtPr>
              <w:sdtEndPr/>
              <w:sdtContent>
                <w:r>
                  <w:rPr>
                    <w:rFonts w:ascii="Arial Unicode MS" w:eastAsia="Arial Unicode MS" w:hAnsi="Arial Unicode MS" w:cs="Arial Unicode MS"/>
                  </w:rPr>
                  <w:t>≥7</w:t>
                </w:r>
              </w:sdtContent>
            </w:sdt>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38</w:t>
            </w:r>
          </w:p>
        </w:tc>
      </w:tr>
      <w:tr w:rsidR="00697B04">
        <w:tc>
          <w:tcPr>
            <w:tcW w:w="3465" w:type="dxa"/>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E229C5">
            <w:r>
              <w:t>Mean household size</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7</w:t>
            </w:r>
          </w:p>
        </w:tc>
      </w:tr>
      <w:tr w:rsidR="00697B04">
        <w:trPr>
          <w:trHeight w:val="199"/>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697B04"/>
          <w:p w:rsidR="00697B04" w:rsidRDefault="00E229C5">
            <w:r>
              <w:t>Education level</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No formal/Islamic</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12</w:t>
            </w:r>
          </w:p>
        </w:tc>
      </w:tr>
      <w:tr w:rsidR="00697B04">
        <w:trPr>
          <w:trHeight w:val="199"/>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Primary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13</w:t>
            </w:r>
          </w:p>
        </w:tc>
      </w:tr>
      <w:tr w:rsidR="00697B04">
        <w:trPr>
          <w:trHeight w:val="4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Secondary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50</w:t>
            </w:r>
          </w:p>
        </w:tc>
      </w:tr>
      <w:tr w:rsidR="00697B04">
        <w:trPr>
          <w:trHeight w:val="54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Tertiary</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24</w:t>
            </w:r>
          </w:p>
        </w:tc>
      </w:tr>
      <w:tr w:rsidR="00697B04">
        <w:trPr>
          <w:trHeight w:val="51"/>
        </w:trPr>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E229C5">
            <w:r>
              <w:t>Main occupation</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Crop farming</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51</w:t>
            </w:r>
          </w:p>
        </w:tc>
      </w:tr>
      <w:tr w:rsidR="00697B04">
        <w:trPr>
          <w:trHeight w:val="270"/>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Business/Trading</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17</w:t>
            </w:r>
          </w:p>
        </w:tc>
      </w:tr>
      <w:tr w:rsidR="00697B04">
        <w:trPr>
          <w:trHeight w:val="13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Civil service</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11</w:t>
            </w:r>
          </w:p>
        </w:tc>
      </w:tr>
      <w:tr w:rsidR="00697B04">
        <w:trPr>
          <w:trHeight w:val="135"/>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Unemployed</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15</w:t>
            </w:r>
          </w:p>
        </w:tc>
      </w:tr>
      <w:tr w:rsidR="00697B04">
        <w:trPr>
          <w:trHeight w:val="267"/>
        </w:trPr>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Others</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6</w:t>
            </w:r>
          </w:p>
        </w:tc>
      </w:tr>
      <w:tr w:rsidR="00697B04">
        <w:tc>
          <w:tcPr>
            <w:tcW w:w="3465" w:type="dxa"/>
            <w:vMerge w:val="restart"/>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 w:rsidR="00697B04" w:rsidRDefault="00E229C5">
            <w:r>
              <w:rPr>
                <w:rFonts w:ascii="PT Sans" w:eastAsia="PT Sans" w:hAnsi="PT Sans" w:cs="PT Sans"/>
              </w:rPr>
              <w:t>Monthly household income (₦)</w:t>
            </w: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&lt;50,000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70</w:t>
            </w:r>
          </w:p>
        </w:tc>
      </w:tr>
      <w:tr w:rsidR="00697B04">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50,000–100,000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28</w:t>
            </w:r>
          </w:p>
        </w:tc>
      </w:tr>
      <w:tr w:rsidR="00697B04">
        <w:tc>
          <w:tcPr>
            <w:tcW w:w="3465" w:type="dxa"/>
            <w:vMerge/>
            <w:tcBorders>
              <w:top w:val="single" w:sz="4" w:space="0" w:color="E6E6E6"/>
              <w:left w:val="single" w:sz="4" w:space="0" w:color="E6E6E6"/>
              <w:bottom w:val="single" w:sz="4" w:space="0" w:color="E6E6E6"/>
              <w:right w:val="single" w:sz="4" w:space="0" w:color="E6E6E6"/>
            </w:tcBorders>
            <w:shd w:val="clear" w:color="auto" w:fill="F5F5F5"/>
            <w:tcMar>
              <w:top w:w="100" w:type="dxa"/>
              <w:left w:w="100" w:type="dxa"/>
              <w:bottom w:w="100" w:type="dxa"/>
              <w:right w:w="100" w:type="dxa"/>
            </w:tcMar>
          </w:tcPr>
          <w:p w:rsidR="00697B04" w:rsidRDefault="00697B04">
            <w:pPr>
              <w:widowControl w:val="0"/>
              <w:pBdr>
                <w:top w:val="nil"/>
                <w:left w:val="nil"/>
                <w:bottom w:val="nil"/>
                <w:right w:val="nil"/>
                <w:between w:val="nil"/>
              </w:pBdr>
              <w:spacing w:line="276" w:lineRule="auto"/>
            </w:pPr>
          </w:p>
        </w:tc>
        <w:tc>
          <w:tcPr>
            <w:tcW w:w="28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&gt;100,000</w:t>
            </w:r>
          </w:p>
        </w:tc>
        <w:tc>
          <w:tcPr>
            <w:tcW w:w="195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r>
              <w:t>2</w:t>
            </w:r>
          </w:p>
        </w:tc>
      </w:tr>
    </w:tbl>
    <w:p w:rsidR="00697B04" w:rsidRDefault="00E229C5">
      <w:pPr>
        <w:spacing w:before="220" w:after="220" w:line="342" w:lineRule="auto"/>
        <w:jc w:val="both"/>
        <w:rPr>
          <w:rFonts w:ascii="Arial" w:eastAsia="Arial" w:hAnsi="Arial" w:cs="Arial"/>
          <w:b/>
          <w:bCs/>
          <w:sz w:val="22"/>
          <w:szCs w:val="22"/>
        </w:rPr>
      </w:pPr>
      <w:r>
        <w:rPr>
          <w:rFonts w:ascii="Arial" w:eastAsia="Arial" w:hAnsi="Arial" w:cs="Arial"/>
          <w:b/>
          <w:bCs/>
          <w:sz w:val="19"/>
          <w:szCs w:val="19"/>
        </w:rPr>
        <w:t>Source: Field survey data (2023/2024)</w:t>
      </w:r>
    </w:p>
    <w:p w:rsidR="00697B04" w:rsidRDefault="00E229C5">
      <w:pPr>
        <w:spacing w:line="276" w:lineRule="auto"/>
        <w:jc w:val="both"/>
        <w:rPr>
          <w:rFonts w:ascii="Arial" w:eastAsia="Arial" w:hAnsi="Arial" w:cs="Arial"/>
          <w:b/>
          <w:bCs/>
          <w:sz w:val="22"/>
          <w:szCs w:val="22"/>
        </w:rPr>
      </w:pPr>
      <w:r>
        <w:rPr>
          <w:rFonts w:ascii="Arial" w:eastAsia="Arial" w:hAnsi="Arial" w:cs="Arial"/>
          <w:b/>
          <w:bCs/>
          <w:sz w:val="22"/>
          <w:szCs w:val="22"/>
        </w:rPr>
        <w:t xml:space="preserve">3.2 Awareness and Adoption of Climate‑smart </w:t>
      </w:r>
      <w:proofErr w:type="spellStart"/>
      <w:r>
        <w:rPr>
          <w:rFonts w:ascii="Arial" w:eastAsia="Arial" w:hAnsi="Arial" w:cs="Arial"/>
          <w:b/>
          <w:bCs/>
          <w:sz w:val="22"/>
          <w:szCs w:val="22"/>
        </w:rPr>
        <w:t>Agritech</w:t>
      </w:r>
      <w:proofErr w:type="spellEnd"/>
      <w:r>
        <w:rPr>
          <w:rFonts w:ascii="Arial" w:eastAsia="Arial" w:hAnsi="Arial" w:cs="Arial"/>
          <w:b/>
          <w:bCs/>
          <w:sz w:val="22"/>
          <w:szCs w:val="22"/>
        </w:rPr>
        <w:t xml:space="preserve"> Practices by Farmers</w:t>
      </w:r>
    </w:p>
    <w:p w:rsidR="00697B04" w:rsidRDefault="00E229C5">
      <w:pPr>
        <w:spacing w:after="220" w:line="276" w:lineRule="auto"/>
        <w:jc w:val="both"/>
        <w:rPr>
          <w:rFonts w:ascii="Arial" w:eastAsia="Arial" w:hAnsi="Arial" w:cs="Arial"/>
        </w:rPr>
      </w:pPr>
      <w:r>
        <w:rPr>
          <w:rFonts w:ascii="Arial" w:eastAsia="Arial" w:hAnsi="Arial" w:cs="Arial"/>
        </w:rPr>
        <w:t>Table 2 shows that intercropping recorded the highest awareness (83%) and adoption (78%), reflecting its compatibility with existing practices. The high adoption rate recorded for in</w:t>
      </w:r>
      <w:r>
        <w:rPr>
          <w:rFonts w:ascii="Arial" w:eastAsia="Arial" w:hAnsi="Arial" w:cs="Arial"/>
        </w:rPr>
        <w:t>tercropping agrees with similar studies. A study in Nigeria (Delta State) found that intercropping was the most adopted climate-smart agriculture (CSA) practice, with an adoption rate of 74.6%, followed by cover cropping (30.4%) and minimal tillage (23.6%)</w:t>
      </w:r>
      <w:r>
        <w:rPr>
          <w:rFonts w:ascii="Arial" w:eastAsia="Arial" w:hAnsi="Arial" w:cs="Arial"/>
        </w:rPr>
        <w:t xml:space="preserve"> (</w:t>
      </w:r>
      <w:proofErr w:type="spellStart"/>
      <w:r>
        <w:rPr>
          <w:rFonts w:ascii="Arial" w:eastAsia="Arial" w:hAnsi="Arial" w:cs="Arial"/>
        </w:rPr>
        <w:t>Nwokobia</w:t>
      </w:r>
      <w:proofErr w:type="spellEnd"/>
      <w:r>
        <w:rPr>
          <w:rFonts w:ascii="Arial" w:eastAsia="Arial" w:hAnsi="Arial" w:cs="Arial"/>
        </w:rPr>
        <w:t xml:space="preserve"> and </w:t>
      </w:r>
      <w:proofErr w:type="spellStart"/>
      <w:r>
        <w:rPr>
          <w:rFonts w:ascii="Arial" w:eastAsia="Arial" w:hAnsi="Arial" w:cs="Arial"/>
        </w:rPr>
        <w:t>Ayoola</w:t>
      </w:r>
      <w:proofErr w:type="spellEnd"/>
      <w:r>
        <w:rPr>
          <w:rFonts w:ascii="Arial" w:eastAsia="Arial" w:hAnsi="Arial" w:cs="Arial"/>
        </w:rPr>
        <w:t xml:space="preserve">, 2025). </w:t>
      </w:r>
      <w:r>
        <w:rPr>
          <w:rFonts w:ascii="Arial" w:eastAsia="Arial" w:hAnsi="Arial" w:cs="Arial"/>
          <w:sz w:val="18"/>
          <w:szCs w:val="18"/>
        </w:rPr>
        <w:t>Research</w:t>
      </w:r>
      <w:r>
        <w:rPr>
          <w:rFonts w:ascii="Arial" w:eastAsia="Arial" w:hAnsi="Arial" w:cs="Arial"/>
        </w:rPr>
        <w:t xml:space="preserve"> on farming in sub-Saharan Africa shows that farmers often have high awareness (often &gt;90%) of traditional practices like intercropping, leading to adoption rates often exceeding 75–80% (</w:t>
      </w:r>
      <w:proofErr w:type="spellStart"/>
      <w:r>
        <w:rPr>
          <w:rFonts w:ascii="Arial" w:eastAsia="Arial" w:hAnsi="Arial" w:cs="Arial"/>
          <w:sz w:val="18"/>
          <w:szCs w:val="18"/>
        </w:rPr>
        <w:t>Midamba</w:t>
      </w:r>
      <w:proofErr w:type="spellEnd"/>
      <w:r>
        <w:rPr>
          <w:rFonts w:ascii="Arial" w:eastAsia="Arial" w:hAnsi="Arial" w:cs="Arial"/>
          <w:sz w:val="18"/>
          <w:szCs w:val="18"/>
        </w:rPr>
        <w:t xml:space="preserve"> </w:t>
      </w:r>
      <w:r>
        <w:rPr>
          <w:rFonts w:ascii="Arial" w:eastAsia="Arial" w:hAnsi="Arial" w:cs="Arial"/>
          <w:i/>
          <w:iCs/>
          <w:sz w:val="18"/>
          <w:szCs w:val="18"/>
        </w:rPr>
        <w:t>et al.,</w:t>
      </w:r>
      <w:r>
        <w:rPr>
          <w:rFonts w:ascii="Arial" w:eastAsia="Arial" w:hAnsi="Arial" w:cs="Arial"/>
          <w:sz w:val="18"/>
          <w:szCs w:val="18"/>
        </w:rPr>
        <w:t xml:space="preserve"> 2024). Addition</w:t>
      </w:r>
      <w:r>
        <w:rPr>
          <w:rFonts w:ascii="Arial" w:eastAsia="Arial" w:hAnsi="Arial" w:cs="Arial"/>
          <w:sz w:val="18"/>
          <w:szCs w:val="18"/>
        </w:rPr>
        <w:t xml:space="preserve">ally, </w:t>
      </w:r>
      <w:r>
        <w:rPr>
          <w:rFonts w:ascii="Arial" w:eastAsia="Arial" w:hAnsi="Arial" w:cs="Arial"/>
        </w:rPr>
        <w:t xml:space="preserve">studies in Rwanda and Uganda confirm that coffee-banana intercropping is highly favored because it fits within the existing traditional farming system, is viewed as low-risk, and offers continuous income and food security (Madsen </w:t>
      </w:r>
      <w:r>
        <w:rPr>
          <w:rFonts w:ascii="Arial" w:eastAsia="Arial" w:hAnsi="Arial" w:cs="Arial"/>
          <w:i/>
          <w:iCs/>
        </w:rPr>
        <w:t>et al.,</w:t>
      </w:r>
      <w:r>
        <w:rPr>
          <w:rFonts w:ascii="Arial" w:eastAsia="Arial" w:hAnsi="Arial" w:cs="Arial"/>
        </w:rPr>
        <w:t xml:space="preserve"> 2020).</w:t>
      </w:r>
    </w:p>
    <w:p w:rsidR="00697B04" w:rsidRDefault="00E229C5">
      <w:pPr>
        <w:spacing w:after="220" w:line="276" w:lineRule="auto"/>
        <w:jc w:val="both"/>
        <w:rPr>
          <w:rFonts w:ascii="Arial" w:eastAsia="Arial" w:hAnsi="Arial" w:cs="Arial"/>
        </w:rPr>
      </w:pPr>
      <w:r>
        <w:rPr>
          <w:rFonts w:ascii="Arial" w:eastAsia="Arial" w:hAnsi="Arial" w:cs="Arial"/>
        </w:rPr>
        <w:t>Adopt</w:t>
      </w:r>
      <w:r>
        <w:rPr>
          <w:rFonts w:ascii="Arial" w:eastAsia="Arial" w:hAnsi="Arial" w:cs="Arial"/>
        </w:rPr>
        <w:t>ion of certified seeds and organic fertilizers was moderate, while agroforestry (27%) and climate information services (34%) remained poorly adopted (Table 2). The moderate adoption of certified seeds and organic fertilizers were reported in previous studi</w:t>
      </w:r>
      <w:r>
        <w:rPr>
          <w:rFonts w:ascii="Arial" w:eastAsia="Arial" w:hAnsi="Arial" w:cs="Arial"/>
        </w:rPr>
        <w:t>es indicating that the adoption of certified seeds is often moderate and constrained by cost and accessibility, rather than a lack of awareness, especially in Africa. While highly recognized, the adoption of organic fertilizer can be moderate due to its "b</w:t>
      </w:r>
      <w:r>
        <w:rPr>
          <w:rFonts w:ascii="Arial" w:eastAsia="Arial" w:hAnsi="Arial" w:cs="Arial"/>
        </w:rPr>
        <w:t xml:space="preserve">ulkiness, labor intensity, and transport costs". However, in areas with subsidized chemical fertilizer availability, organic fertilizer adoption is sometimes low, and where not subsidized, moderate as reported by </w:t>
      </w:r>
      <w:proofErr w:type="spellStart"/>
      <w:r>
        <w:rPr>
          <w:rFonts w:ascii="Arial" w:eastAsia="Arial" w:hAnsi="Arial" w:cs="Arial"/>
        </w:rPr>
        <w:t>Ayanwale</w:t>
      </w:r>
      <w:proofErr w:type="spellEnd"/>
      <w:r>
        <w:rPr>
          <w:rFonts w:ascii="Arial" w:eastAsia="Arial" w:hAnsi="Arial" w:cs="Arial"/>
        </w:rPr>
        <w:t xml:space="preserve"> </w:t>
      </w:r>
      <w:r>
        <w:rPr>
          <w:rFonts w:ascii="Arial" w:eastAsia="Arial" w:hAnsi="Arial" w:cs="Arial"/>
          <w:i/>
          <w:iCs/>
          <w:sz w:val="18"/>
          <w:szCs w:val="18"/>
        </w:rPr>
        <w:t>et al</w:t>
      </w:r>
      <w:r>
        <w:rPr>
          <w:rFonts w:ascii="Arial" w:eastAsia="Arial" w:hAnsi="Arial" w:cs="Arial"/>
          <w:sz w:val="18"/>
          <w:szCs w:val="18"/>
        </w:rPr>
        <w:t>. (2025).</w:t>
      </w:r>
    </w:p>
    <w:p w:rsidR="00697B04" w:rsidRDefault="00E229C5">
      <w:pPr>
        <w:spacing w:before="220" w:line="342" w:lineRule="auto"/>
        <w:jc w:val="both"/>
        <w:rPr>
          <w:rFonts w:ascii="Arial" w:eastAsia="Arial" w:hAnsi="Arial" w:cs="Arial"/>
          <w:b/>
          <w:bCs/>
          <w:sz w:val="22"/>
          <w:szCs w:val="22"/>
        </w:rPr>
      </w:pPr>
      <w:r>
        <w:rPr>
          <w:rFonts w:ascii="Arial" w:eastAsia="Arial" w:hAnsi="Arial" w:cs="Arial"/>
          <w:b/>
          <w:bCs/>
          <w:sz w:val="22"/>
          <w:szCs w:val="22"/>
        </w:rPr>
        <w:t xml:space="preserve">Table 2. Awareness </w:t>
      </w:r>
      <w:r>
        <w:rPr>
          <w:rFonts w:ascii="Arial" w:eastAsia="Arial" w:hAnsi="Arial" w:cs="Arial"/>
          <w:b/>
          <w:bCs/>
          <w:sz w:val="22"/>
          <w:szCs w:val="22"/>
        </w:rPr>
        <w:t>and Adoption of Climate‑Smart Practices (n = 543)</w:t>
      </w:r>
    </w:p>
    <w:tbl>
      <w:tblPr>
        <w:tblStyle w:val="a1"/>
        <w:tblW w:w="8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2235"/>
        <w:gridCol w:w="2070"/>
      </w:tblGrid>
      <w:tr w:rsidR="00697B04">
        <w:trPr>
          <w:trHeight w:val="450"/>
        </w:trPr>
        <w:tc>
          <w:tcPr>
            <w:tcW w:w="385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rPr>
                <w:rFonts w:ascii="Arial" w:eastAsia="Arial" w:hAnsi="Arial" w:cs="Arial"/>
                <w:b/>
                <w:bCs/>
              </w:rPr>
            </w:pPr>
            <w:r>
              <w:rPr>
                <w:rFonts w:ascii="Arial" w:eastAsia="Arial" w:hAnsi="Arial" w:cs="Arial"/>
                <w:b/>
                <w:bCs/>
              </w:rPr>
              <w:t xml:space="preserve">Climate Smart </w:t>
            </w:r>
            <w:proofErr w:type="spellStart"/>
            <w:r>
              <w:rPr>
                <w:rFonts w:ascii="Arial" w:eastAsia="Arial" w:hAnsi="Arial" w:cs="Arial"/>
                <w:b/>
                <w:bCs/>
              </w:rPr>
              <w:t>Agritech</w:t>
            </w:r>
            <w:proofErr w:type="spellEnd"/>
            <w:r>
              <w:rPr>
                <w:rFonts w:ascii="Arial" w:eastAsia="Arial" w:hAnsi="Arial" w:cs="Arial"/>
                <w:b/>
                <w:bCs/>
              </w:rPr>
              <w:t xml:space="preserve"> Practices</w:t>
            </w:r>
          </w:p>
        </w:tc>
        <w:tc>
          <w:tcPr>
            <w:tcW w:w="223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Awareness Rate (%)</w:t>
            </w:r>
          </w:p>
        </w:tc>
        <w:tc>
          <w:tcPr>
            <w:tcW w:w="207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Adoption Rate (%)</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t>Intercropping</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83</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78</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t>Organic fertilizer</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76</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75</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t>Certified seeds</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75</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70</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lastRenderedPageBreak/>
              <w:t>Conservative Tillage</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63</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63</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t>Weather information</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34</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34</w:t>
            </w:r>
          </w:p>
        </w:tc>
      </w:tr>
      <w:tr w:rsidR="00697B04">
        <w:trPr>
          <w:trHeight w:val="575"/>
        </w:trPr>
        <w:tc>
          <w:tcPr>
            <w:tcW w:w="385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rFonts w:ascii="Arial" w:eastAsia="Arial" w:hAnsi="Arial" w:cs="Arial"/>
                <w:sz w:val="22"/>
                <w:szCs w:val="22"/>
              </w:rPr>
            </w:pPr>
            <w:r>
              <w:rPr>
                <w:rFonts w:ascii="Arial" w:eastAsia="Arial" w:hAnsi="Arial" w:cs="Arial"/>
                <w:sz w:val="22"/>
                <w:szCs w:val="22"/>
              </w:rPr>
              <w:t>Agroforestry</w:t>
            </w:r>
          </w:p>
        </w:tc>
        <w:tc>
          <w:tcPr>
            <w:tcW w:w="223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27</w:t>
            </w:r>
          </w:p>
        </w:tc>
        <w:tc>
          <w:tcPr>
            <w:tcW w:w="207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27</w:t>
            </w:r>
          </w:p>
        </w:tc>
      </w:tr>
    </w:tbl>
    <w:p w:rsidR="00697B04" w:rsidRDefault="00E229C5">
      <w:pPr>
        <w:spacing w:before="220" w:after="220" w:line="342" w:lineRule="auto"/>
        <w:jc w:val="both"/>
        <w:rPr>
          <w:rFonts w:ascii="Arial" w:eastAsia="Arial" w:hAnsi="Arial" w:cs="Arial"/>
        </w:rPr>
      </w:pPr>
      <w:r>
        <w:rPr>
          <w:rFonts w:ascii="Arial" w:eastAsia="Arial" w:hAnsi="Arial" w:cs="Arial"/>
          <w:b/>
          <w:bCs/>
          <w:sz w:val="19"/>
          <w:szCs w:val="19"/>
        </w:rPr>
        <w:t>Source: Field survey data (2023/2024)</w:t>
      </w:r>
    </w:p>
    <w:p w:rsidR="00697B04" w:rsidRDefault="00E229C5">
      <w:pPr>
        <w:spacing w:before="200" w:after="240" w:line="276" w:lineRule="auto"/>
        <w:jc w:val="both"/>
        <w:rPr>
          <w:rFonts w:ascii="Arial" w:eastAsia="Arial" w:hAnsi="Arial" w:cs="Arial"/>
        </w:rPr>
      </w:pPr>
      <w:r>
        <w:rPr>
          <w:rFonts w:ascii="Arial" w:eastAsia="Arial" w:hAnsi="Arial" w:cs="Arial"/>
        </w:rPr>
        <w:t>Similar studies confirm that agroforestry is often poorly adopted compared to intercropping, with adoption rates in some African regions reported as low as 10–12% for specific systems like fruit tree integration (</w:t>
      </w:r>
      <w:proofErr w:type="spellStart"/>
      <w:r>
        <w:rPr>
          <w:rFonts w:ascii="Arial" w:eastAsia="Arial" w:hAnsi="Arial" w:cs="Arial"/>
        </w:rPr>
        <w:t>Oduniyi</w:t>
      </w:r>
      <w:proofErr w:type="spellEnd"/>
      <w:r>
        <w:rPr>
          <w:rFonts w:ascii="Arial" w:eastAsia="Arial" w:hAnsi="Arial" w:cs="Arial"/>
        </w:rPr>
        <w:t xml:space="preserve"> and </w:t>
      </w:r>
      <w:proofErr w:type="spellStart"/>
      <w:r>
        <w:rPr>
          <w:rFonts w:ascii="Arial" w:eastAsia="Arial" w:hAnsi="Arial" w:cs="Arial"/>
        </w:rPr>
        <w:t>Tekana</w:t>
      </w:r>
      <w:proofErr w:type="spellEnd"/>
      <w:r>
        <w:rPr>
          <w:rFonts w:ascii="Arial" w:eastAsia="Arial" w:hAnsi="Arial" w:cs="Arial"/>
        </w:rPr>
        <w:t>, 2019). Research on clim</w:t>
      </w:r>
      <w:r>
        <w:rPr>
          <w:rFonts w:ascii="Arial" w:eastAsia="Arial" w:hAnsi="Arial" w:cs="Arial"/>
        </w:rPr>
        <w:t xml:space="preserve">ate-resilient practices frequently notes that, despite high interest, the practical adoption of specialized climate information services remains low due to poor dissemination and lack of technical knowledge as reported by Collins </w:t>
      </w:r>
      <w:r>
        <w:rPr>
          <w:rFonts w:ascii="Arial" w:eastAsia="Arial" w:hAnsi="Arial" w:cs="Arial"/>
          <w:i/>
          <w:iCs/>
        </w:rPr>
        <w:t>et al</w:t>
      </w:r>
      <w:r>
        <w:rPr>
          <w:rFonts w:ascii="Arial" w:eastAsia="Arial" w:hAnsi="Arial" w:cs="Arial"/>
        </w:rPr>
        <w:t>. (2023) which agrees</w:t>
      </w:r>
      <w:r>
        <w:rPr>
          <w:rFonts w:ascii="Arial" w:eastAsia="Arial" w:hAnsi="Arial" w:cs="Arial"/>
        </w:rPr>
        <w:t xml:space="preserve"> with the findings of this study. </w:t>
      </w:r>
    </w:p>
    <w:p w:rsidR="00697B04" w:rsidRDefault="00E229C5">
      <w:pPr>
        <w:pStyle w:val="Heading3"/>
        <w:keepNext w:val="0"/>
        <w:keepLines w:val="0"/>
        <w:spacing w:after="0" w:line="342" w:lineRule="auto"/>
        <w:rPr>
          <w:rFonts w:ascii="Arial" w:eastAsia="Arial" w:hAnsi="Arial" w:cs="Arial"/>
          <w:sz w:val="22"/>
          <w:szCs w:val="22"/>
        </w:rPr>
      </w:pPr>
      <w:bookmarkStart w:id="0" w:name="_heading=h.u1hzbx3y6kja" w:colFirst="0" w:colLast="0"/>
      <w:bookmarkEnd w:id="0"/>
      <w:r>
        <w:rPr>
          <w:rFonts w:ascii="Arial" w:eastAsia="Arial" w:hAnsi="Arial" w:cs="Arial"/>
          <w:sz w:val="22"/>
          <w:szCs w:val="22"/>
        </w:rPr>
        <w:t>3. 3 Socio‑economic Determinants of Adoption</w:t>
      </w:r>
    </w:p>
    <w:p w:rsidR="00697B04" w:rsidRDefault="00E229C5">
      <w:pPr>
        <w:pStyle w:val="Heading3"/>
        <w:keepNext w:val="0"/>
        <w:keepLines w:val="0"/>
        <w:spacing w:before="0" w:line="276" w:lineRule="auto"/>
        <w:jc w:val="both"/>
        <w:rPr>
          <w:rFonts w:ascii="Arial" w:eastAsia="Arial" w:hAnsi="Arial" w:cs="Arial"/>
          <w:b w:val="0"/>
          <w:bCs w:val="0"/>
          <w:sz w:val="20"/>
          <w:szCs w:val="20"/>
        </w:rPr>
      </w:pPr>
      <w:bookmarkStart w:id="1" w:name="_heading=h.bgt9145zp6rw" w:colFirst="0" w:colLast="0"/>
      <w:bookmarkEnd w:id="1"/>
      <w:r>
        <w:rPr>
          <w:rFonts w:ascii="Arial" w:eastAsia="Arial" w:hAnsi="Arial" w:cs="Arial"/>
          <w:b w:val="0"/>
          <w:bCs w:val="0"/>
          <w:sz w:val="20"/>
          <w:szCs w:val="20"/>
        </w:rPr>
        <w:t>Chi‑square analysis (Table 3) indicates that education significantly influenced adoption of weather information services and agroforestry. Gender, age, marital status, and educ</w:t>
      </w:r>
      <w:r>
        <w:rPr>
          <w:rFonts w:ascii="Arial" w:eastAsia="Arial" w:hAnsi="Arial" w:cs="Arial"/>
          <w:b w:val="0"/>
          <w:bCs w:val="0"/>
          <w:sz w:val="20"/>
          <w:szCs w:val="20"/>
        </w:rPr>
        <w:t>ation were all significantly associated with adoption of certified seeds, while marital status and education influenced adoption of gender‑inclusive practices.</w:t>
      </w:r>
    </w:p>
    <w:p w:rsidR="00697B04" w:rsidRDefault="00E229C5">
      <w:pPr>
        <w:spacing w:before="220" w:line="342" w:lineRule="auto"/>
        <w:rPr>
          <w:rFonts w:ascii="Arial" w:eastAsia="Arial" w:hAnsi="Arial" w:cs="Arial"/>
          <w:b/>
          <w:bCs/>
          <w:sz w:val="22"/>
          <w:szCs w:val="22"/>
        </w:rPr>
      </w:pPr>
      <w:r>
        <w:rPr>
          <w:rFonts w:ascii="Arial" w:eastAsia="Arial" w:hAnsi="Arial" w:cs="Arial"/>
          <w:b/>
          <w:bCs/>
          <w:sz w:val="22"/>
          <w:szCs w:val="22"/>
        </w:rPr>
        <w:t>Table 3. Socio‑economic Factors Associated with Adoption (</w:t>
      </w:r>
      <w:r>
        <w:rPr>
          <w:rFonts w:ascii="Arial" w:eastAsia="Arial" w:hAnsi="Arial" w:cs="Arial"/>
          <w:b/>
          <w:bCs/>
          <w:i/>
          <w:iCs/>
          <w:sz w:val="22"/>
          <w:szCs w:val="22"/>
        </w:rPr>
        <w:t xml:space="preserve">P </w:t>
      </w:r>
      <w:r>
        <w:rPr>
          <w:rFonts w:ascii="Arial" w:eastAsia="Arial" w:hAnsi="Arial" w:cs="Arial"/>
          <w:b/>
          <w:bCs/>
          <w:sz w:val="22"/>
          <w:szCs w:val="22"/>
        </w:rPr>
        <w:t>= .05)</w:t>
      </w:r>
    </w:p>
    <w:tbl>
      <w:tblPr>
        <w:tblStyle w:val="a2"/>
        <w:tblW w:w="81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05"/>
        <w:gridCol w:w="960"/>
        <w:gridCol w:w="885"/>
        <w:gridCol w:w="1545"/>
        <w:gridCol w:w="1320"/>
      </w:tblGrid>
      <w:tr w:rsidR="00697B04">
        <w:trPr>
          <w:trHeight w:val="540"/>
        </w:trPr>
        <w:tc>
          <w:tcPr>
            <w:tcW w:w="340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rPr>
                <w:rFonts w:ascii="Arial" w:eastAsia="Arial" w:hAnsi="Arial" w:cs="Arial"/>
                <w:b/>
                <w:bCs/>
              </w:rPr>
            </w:pPr>
            <w:r>
              <w:rPr>
                <w:rFonts w:ascii="Arial" w:eastAsia="Arial" w:hAnsi="Arial" w:cs="Arial"/>
                <w:b/>
                <w:bCs/>
              </w:rPr>
              <w:t xml:space="preserve">Climate Smart </w:t>
            </w:r>
            <w:proofErr w:type="spellStart"/>
            <w:r>
              <w:rPr>
                <w:rFonts w:ascii="Arial" w:eastAsia="Arial" w:hAnsi="Arial" w:cs="Arial"/>
                <w:b/>
                <w:bCs/>
              </w:rPr>
              <w:t>Agritech</w:t>
            </w:r>
            <w:proofErr w:type="spellEnd"/>
            <w:r>
              <w:rPr>
                <w:rFonts w:ascii="Arial" w:eastAsia="Arial" w:hAnsi="Arial" w:cs="Arial"/>
                <w:b/>
                <w:bCs/>
              </w:rPr>
              <w:t xml:space="preserve"> Practices</w:t>
            </w:r>
          </w:p>
        </w:tc>
        <w:tc>
          <w:tcPr>
            <w:tcW w:w="96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Gender</w:t>
            </w:r>
          </w:p>
        </w:tc>
        <w:tc>
          <w:tcPr>
            <w:tcW w:w="88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Age</w:t>
            </w:r>
          </w:p>
        </w:tc>
        <w:tc>
          <w:tcPr>
            <w:tcW w:w="1545"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Marital status</w:t>
            </w:r>
          </w:p>
        </w:tc>
        <w:tc>
          <w:tcPr>
            <w:tcW w:w="1320" w:type="dxa"/>
            <w:tcBorders>
              <w:top w:val="single" w:sz="4" w:space="0" w:color="E6E6E6"/>
              <w:left w:val="single" w:sz="4" w:space="0" w:color="E6E6E6"/>
              <w:bottom w:val="single" w:sz="4" w:space="0" w:color="E6E6E6"/>
              <w:right w:val="single" w:sz="4" w:space="0" w:color="E6E6E6"/>
            </w:tcBorders>
            <w:shd w:val="clear" w:color="auto" w:fill="CCCCCC"/>
            <w:tcMar>
              <w:top w:w="100" w:type="dxa"/>
              <w:left w:w="100" w:type="dxa"/>
              <w:bottom w:w="100" w:type="dxa"/>
              <w:right w:w="100" w:type="dxa"/>
            </w:tcMar>
          </w:tcPr>
          <w:p w:rsidR="00697B04" w:rsidRDefault="00E229C5">
            <w:pPr>
              <w:jc w:val="center"/>
              <w:rPr>
                <w:rFonts w:ascii="Arial" w:eastAsia="Arial" w:hAnsi="Arial" w:cs="Arial"/>
                <w:b/>
                <w:bCs/>
              </w:rPr>
            </w:pPr>
            <w:r>
              <w:rPr>
                <w:rFonts w:ascii="Arial" w:eastAsia="Arial" w:hAnsi="Arial" w:cs="Arial"/>
                <w:b/>
                <w:bCs/>
              </w:rPr>
              <w:t>Education</w:t>
            </w:r>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t>Organic fertilizer</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3"/>
                <w:id w:val="963648092"/>
              </w:sdtPr>
              <w:sdtEndPr/>
              <w:sdtContent>
                <w:r>
                  <w:rPr>
                    <w:rFonts w:ascii="Arial Unicode MS" w:eastAsia="Arial Unicode MS" w:hAnsi="Arial Unicode MS" w:cs="Arial Unicode MS"/>
                  </w:rPr>
                  <w:t>✔</w:t>
                </w:r>
              </w:sdtContent>
            </w:sdt>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4"/>
                <w:id w:val="1857844969"/>
              </w:sdtPr>
              <w:sdtEndPr/>
              <w:sdtContent>
                <w:r>
                  <w:rPr>
                    <w:rFonts w:ascii="Arial Unicode MS" w:eastAsia="Arial Unicode MS" w:hAnsi="Arial Unicode MS" w:cs="Arial Unicode MS"/>
                  </w:rPr>
                  <w:t>✔</w:t>
                </w:r>
              </w:sdtContent>
            </w:sdt>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t>Certified seeds</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5"/>
                <w:id w:val="800591630"/>
              </w:sdtPr>
              <w:sdtEndPr/>
              <w:sdtContent>
                <w:r>
                  <w:rPr>
                    <w:rFonts w:ascii="Arial Unicode MS" w:eastAsia="Arial Unicode MS" w:hAnsi="Arial Unicode MS" w:cs="Arial Unicode MS"/>
                  </w:rPr>
                  <w:t>✔</w:t>
                </w:r>
              </w:sdtContent>
            </w:sdt>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6"/>
                <w:id w:val="-1447630365"/>
              </w:sdtPr>
              <w:sdtEndPr/>
              <w:sdtContent>
                <w:r>
                  <w:rPr>
                    <w:rFonts w:ascii="Arial Unicode MS" w:eastAsia="Arial Unicode MS" w:hAnsi="Arial Unicode MS" w:cs="Arial Unicode MS"/>
                  </w:rPr>
                  <w:t>✔</w:t>
                </w:r>
              </w:sdtContent>
            </w:sdt>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7"/>
                <w:id w:val="-332357959"/>
              </w:sdtPr>
              <w:sdtEndPr/>
              <w:sdtContent>
                <w:r>
                  <w:rPr>
                    <w:rFonts w:ascii="Arial Unicode MS" w:eastAsia="Arial Unicode MS" w:hAnsi="Arial Unicode MS" w:cs="Arial Unicode MS"/>
                  </w:rPr>
                  <w:t>✔</w:t>
                </w:r>
              </w:sdtContent>
            </w:sdt>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8"/>
                <w:id w:val="-339307507"/>
              </w:sdtPr>
              <w:sdtEndPr/>
              <w:sdtContent>
                <w:r>
                  <w:rPr>
                    <w:rFonts w:ascii="Arial Unicode MS" w:eastAsia="Arial Unicode MS" w:hAnsi="Arial Unicode MS" w:cs="Arial Unicode MS"/>
                  </w:rPr>
                  <w:t>✔</w:t>
                </w:r>
              </w:sdtContent>
            </w:sdt>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t>Conservative Tillage</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9"/>
                <w:id w:val="-1513881739"/>
              </w:sdtPr>
              <w:sdtEndPr/>
              <w:sdtContent>
                <w:r>
                  <w:rPr>
                    <w:rFonts w:ascii="Arial Unicode MS" w:eastAsia="Arial Unicode MS" w:hAnsi="Arial Unicode MS" w:cs="Arial Unicode MS"/>
                  </w:rPr>
                  <w:t>✔</w:t>
                </w:r>
              </w:sdtContent>
            </w:sdt>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10"/>
                <w:id w:val="963360919"/>
              </w:sdtPr>
              <w:sdtEndPr/>
              <w:sdtContent>
                <w:r>
                  <w:rPr>
                    <w:rFonts w:ascii="Arial Unicode MS" w:eastAsia="Arial Unicode MS" w:hAnsi="Arial Unicode MS" w:cs="Arial Unicode MS"/>
                  </w:rPr>
                  <w:t>✔</w:t>
                </w:r>
              </w:sdtContent>
            </w:sdt>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t>Gender‑inclusive practices</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11"/>
                <w:id w:val="1987468543"/>
              </w:sdtPr>
              <w:sdtEndPr/>
              <w:sdtContent>
                <w:r>
                  <w:rPr>
                    <w:rFonts w:ascii="Arial Unicode MS" w:eastAsia="Arial Unicode MS" w:hAnsi="Arial Unicode MS" w:cs="Arial Unicode MS"/>
                  </w:rPr>
                  <w:t>✔</w:t>
                </w:r>
              </w:sdtContent>
            </w:sdt>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12"/>
                <w:id w:val="129390811"/>
              </w:sdtPr>
              <w:sdtEndPr/>
              <w:sdtContent>
                <w:r>
                  <w:rPr>
                    <w:rFonts w:ascii="Arial Unicode MS" w:eastAsia="Arial Unicode MS" w:hAnsi="Arial Unicode MS" w:cs="Arial Unicode MS"/>
                  </w:rPr>
                  <w:t>✔</w:t>
                </w:r>
              </w:sdtContent>
            </w:sdt>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t>Weather information</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13"/>
                <w:id w:val="-205161759"/>
              </w:sdtPr>
              <w:sdtEndPr/>
              <w:sdtContent>
                <w:r>
                  <w:rPr>
                    <w:rFonts w:ascii="Arial Unicode MS" w:eastAsia="Arial Unicode MS" w:hAnsi="Arial Unicode MS" w:cs="Arial Unicode MS"/>
                  </w:rPr>
                  <w:t>✔</w:t>
                </w:r>
              </w:sdtContent>
            </w:sdt>
          </w:p>
        </w:tc>
      </w:tr>
      <w:tr w:rsidR="00697B04">
        <w:trPr>
          <w:trHeight w:val="575"/>
        </w:trPr>
        <w:tc>
          <w:tcPr>
            <w:tcW w:w="340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rPr>
                <w:sz w:val="22"/>
                <w:szCs w:val="22"/>
              </w:rPr>
            </w:pPr>
            <w:r>
              <w:rPr>
                <w:sz w:val="22"/>
                <w:szCs w:val="22"/>
              </w:rPr>
              <w:lastRenderedPageBreak/>
              <w:t>Agroforestry</w:t>
            </w:r>
          </w:p>
        </w:tc>
        <w:tc>
          <w:tcPr>
            <w:tcW w:w="96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88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1545"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r>
              <w:rPr>
                <w:rFonts w:ascii="Arial" w:eastAsia="Arial" w:hAnsi="Arial" w:cs="Arial"/>
              </w:rPr>
              <w:t>–</w:t>
            </w:r>
          </w:p>
        </w:tc>
        <w:tc>
          <w:tcPr>
            <w:tcW w:w="1320" w:type="dxa"/>
            <w:tcBorders>
              <w:top w:val="single" w:sz="4" w:space="0" w:color="E6E6E6"/>
              <w:left w:val="single" w:sz="4" w:space="0" w:color="E6E6E6"/>
              <w:bottom w:val="single" w:sz="4" w:space="0" w:color="E6E6E6"/>
              <w:right w:val="single" w:sz="4" w:space="0" w:color="E6E6E6"/>
            </w:tcBorders>
            <w:tcMar>
              <w:top w:w="100" w:type="dxa"/>
              <w:left w:w="100" w:type="dxa"/>
              <w:bottom w:w="100" w:type="dxa"/>
              <w:right w:w="100" w:type="dxa"/>
            </w:tcMar>
          </w:tcPr>
          <w:p w:rsidR="00697B04" w:rsidRDefault="00E229C5">
            <w:pPr>
              <w:jc w:val="center"/>
              <w:rPr>
                <w:rFonts w:ascii="Arial" w:eastAsia="Arial" w:hAnsi="Arial" w:cs="Arial"/>
              </w:rPr>
            </w:pPr>
            <w:sdt>
              <w:sdtPr>
                <w:tag w:val="goog_rdk_14"/>
                <w:id w:val="-1789584241"/>
              </w:sdtPr>
              <w:sdtEndPr/>
              <w:sdtContent>
                <w:r>
                  <w:rPr>
                    <w:rFonts w:ascii="Arial Unicode MS" w:eastAsia="Arial Unicode MS" w:hAnsi="Arial Unicode MS" w:cs="Arial Unicode MS"/>
                  </w:rPr>
                  <w:t>✔</w:t>
                </w:r>
              </w:sdtContent>
            </w:sdt>
          </w:p>
        </w:tc>
      </w:tr>
    </w:tbl>
    <w:p w:rsidR="00697B04" w:rsidRDefault="00E229C5">
      <w:pPr>
        <w:spacing w:before="220" w:after="220" w:line="342" w:lineRule="auto"/>
        <w:jc w:val="both"/>
        <w:rPr>
          <w:rFonts w:ascii="Arial" w:eastAsia="Arial" w:hAnsi="Arial" w:cs="Arial"/>
        </w:rPr>
      </w:pPr>
      <w:r>
        <w:rPr>
          <w:rFonts w:ascii="Arial" w:eastAsia="Arial" w:hAnsi="Arial" w:cs="Arial"/>
          <w:b/>
          <w:bCs/>
          <w:sz w:val="19"/>
          <w:szCs w:val="19"/>
        </w:rPr>
        <w:t>Source: Field survey data (2023/2024)</w:t>
      </w:r>
    </w:p>
    <w:p w:rsidR="00697B04" w:rsidRDefault="00E229C5">
      <w:pPr>
        <w:shd w:val="clear" w:color="auto" w:fill="FFFFFF"/>
        <w:spacing w:before="220" w:after="220" w:line="276" w:lineRule="auto"/>
        <w:jc w:val="both"/>
        <w:rPr>
          <w:rFonts w:ascii="Arial" w:eastAsia="Arial" w:hAnsi="Arial" w:cs="Arial"/>
        </w:rPr>
      </w:pPr>
      <w:r>
        <w:rPr>
          <w:rFonts w:ascii="Arial" w:eastAsia="Arial" w:hAnsi="Arial" w:cs="Arial"/>
        </w:rPr>
        <w:t xml:space="preserve">The findings reveal uneven adoption of climate‑smart </w:t>
      </w:r>
      <w:proofErr w:type="spellStart"/>
      <w:r>
        <w:rPr>
          <w:rFonts w:ascii="Arial" w:eastAsia="Arial" w:hAnsi="Arial" w:cs="Arial"/>
        </w:rPr>
        <w:t>agritech</w:t>
      </w:r>
      <w:proofErr w:type="spellEnd"/>
      <w:r>
        <w:rPr>
          <w:rFonts w:ascii="Arial" w:eastAsia="Arial" w:hAnsi="Arial" w:cs="Arial"/>
        </w:rPr>
        <w:t xml:space="preserve"> among smallholders in the study area shaped by socio‑economic and gendered constraints. High uptake of intercropping aligns with evidence that farmers prioritize familiar, low‑risk strategies in</w:t>
      </w:r>
      <w:r>
        <w:rPr>
          <w:rFonts w:ascii="Arial" w:eastAsia="Arial" w:hAnsi="Arial" w:cs="Arial"/>
        </w:rPr>
        <w:t xml:space="preserve"> contexts of limited institutional support (</w:t>
      </w:r>
      <w:proofErr w:type="spellStart"/>
      <w:r>
        <w:rPr>
          <w:rFonts w:ascii="Arial" w:eastAsia="Arial" w:hAnsi="Arial" w:cs="Arial"/>
        </w:rPr>
        <w:t>Kangogo</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2021). In contrast, low adoption of agroforestry and climate information services reflects education gaps, limited extension outreach, and constrained access to information particularly among wome</w:t>
      </w:r>
      <w:r>
        <w:rPr>
          <w:rFonts w:ascii="Arial" w:eastAsia="Arial" w:hAnsi="Arial" w:cs="Arial"/>
        </w:rPr>
        <w:t xml:space="preserve">n farmers. </w:t>
      </w:r>
    </w:p>
    <w:p w:rsidR="00697B04" w:rsidRDefault="00E229C5">
      <w:pPr>
        <w:shd w:val="clear" w:color="auto" w:fill="FFFFFF"/>
        <w:spacing w:before="220" w:after="220" w:line="276" w:lineRule="auto"/>
        <w:jc w:val="both"/>
        <w:rPr>
          <w:rFonts w:ascii="Arial" w:eastAsia="Arial" w:hAnsi="Arial" w:cs="Arial"/>
        </w:rPr>
      </w:pPr>
      <w:r>
        <w:rPr>
          <w:rFonts w:ascii="Arial" w:eastAsia="Arial" w:hAnsi="Arial" w:cs="Arial"/>
        </w:rPr>
        <w:t>Gender disparities observed in adoption of improved seeds and information‑based technologies are consistent with broader literature showing that unequal access to resources and services reduces women’s adaptive capacity (</w:t>
      </w:r>
      <w:proofErr w:type="spellStart"/>
      <w:r>
        <w:rPr>
          <w:rFonts w:ascii="Arial" w:eastAsia="Arial" w:hAnsi="Arial" w:cs="Arial"/>
        </w:rPr>
        <w:t>Jost</w:t>
      </w:r>
      <w:proofErr w:type="spellEnd"/>
      <w:r>
        <w:rPr>
          <w:rFonts w:ascii="Arial" w:eastAsia="Arial" w:hAnsi="Arial" w:cs="Arial"/>
          <w:i/>
          <w:iCs/>
        </w:rPr>
        <w:t xml:space="preserve"> et al., </w:t>
      </w:r>
      <w:r>
        <w:rPr>
          <w:rFonts w:ascii="Arial" w:eastAsia="Arial" w:hAnsi="Arial" w:cs="Arial"/>
        </w:rPr>
        <w:t>2016). Emp</w:t>
      </w:r>
      <w:r>
        <w:rPr>
          <w:rFonts w:ascii="Arial" w:eastAsia="Arial" w:hAnsi="Arial" w:cs="Arial"/>
        </w:rPr>
        <w:t>irical studies from multiple Nigerian states show that gender significantly influences climate adaptation choices and outcomes, with men more likely to access improved seeds, fertilizer, and extension services, while women rely more on indigenous knowledge</w:t>
      </w:r>
      <w:r>
        <w:rPr>
          <w:rFonts w:ascii="Arial" w:eastAsia="Arial" w:hAnsi="Arial" w:cs="Arial"/>
        </w:rPr>
        <w:t xml:space="preserve"> and social networks (Ibrahim </w:t>
      </w:r>
      <w:r>
        <w:rPr>
          <w:rFonts w:ascii="Arial" w:eastAsia="Arial" w:hAnsi="Arial" w:cs="Arial"/>
          <w:i/>
          <w:iCs/>
        </w:rPr>
        <w:t>et al.,</w:t>
      </w:r>
      <w:r>
        <w:rPr>
          <w:rFonts w:ascii="Arial" w:eastAsia="Arial" w:hAnsi="Arial" w:cs="Arial"/>
        </w:rPr>
        <w:t xml:space="preserve"> 2025). Without gender‑responsive intervention design, </w:t>
      </w:r>
      <w:proofErr w:type="spellStart"/>
      <w:r>
        <w:rPr>
          <w:rFonts w:ascii="Arial" w:eastAsia="Arial" w:hAnsi="Arial" w:cs="Arial"/>
        </w:rPr>
        <w:t>agritech</w:t>
      </w:r>
      <w:proofErr w:type="spellEnd"/>
      <w:r>
        <w:rPr>
          <w:rFonts w:ascii="Arial" w:eastAsia="Arial" w:hAnsi="Arial" w:cs="Arial"/>
        </w:rPr>
        <w:t xml:space="preserve">‑driven CSA risks reinforcing existing inequalities rather than advancing inclusive resilience. </w:t>
      </w:r>
    </w:p>
    <w:p w:rsidR="00697B04" w:rsidRDefault="00E229C5">
      <w:pPr>
        <w:shd w:val="clear" w:color="auto" w:fill="FFFFFF"/>
        <w:spacing w:before="220" w:after="220" w:line="276" w:lineRule="auto"/>
        <w:jc w:val="both"/>
        <w:rPr>
          <w:rFonts w:ascii="Arial" w:eastAsia="Arial" w:hAnsi="Arial" w:cs="Arial"/>
        </w:rPr>
      </w:pPr>
      <w:r>
        <w:rPr>
          <w:rFonts w:ascii="Arial" w:eastAsia="Arial" w:hAnsi="Arial" w:cs="Arial"/>
        </w:rPr>
        <w:t xml:space="preserve">Gender roles shape exposure to risk and adaptive capacity. </w:t>
      </w:r>
      <w:r>
        <w:rPr>
          <w:rFonts w:ascii="Arial" w:eastAsia="Arial" w:hAnsi="Arial" w:cs="Arial"/>
        </w:rPr>
        <w:t xml:space="preserve">In most Nigerian farming systems, men and women play different roles along agricultural value chains and these roles affect how climate and economic shocks are experienced and managed. Climate shocks such as droughts, floods, delayed rainfall affect men’s </w:t>
      </w:r>
      <w:r>
        <w:rPr>
          <w:rFonts w:ascii="Arial" w:eastAsia="Arial" w:hAnsi="Arial" w:cs="Arial"/>
        </w:rPr>
        <w:t xml:space="preserve">and women’s livelihoods differently and require distinct adaptation strategies. The results of the study </w:t>
      </w:r>
      <w:proofErr w:type="gramStart"/>
      <w:r>
        <w:rPr>
          <w:rFonts w:ascii="Arial" w:eastAsia="Arial" w:hAnsi="Arial" w:cs="Arial"/>
        </w:rPr>
        <w:t>shows</w:t>
      </w:r>
      <w:proofErr w:type="gramEnd"/>
      <w:r>
        <w:rPr>
          <w:rFonts w:ascii="Arial" w:eastAsia="Arial" w:hAnsi="Arial" w:cs="Arial"/>
        </w:rPr>
        <w:t xml:space="preserve"> the need for CSA policies that integrate social inclusion with technology delivery approaches. Bundling </w:t>
      </w:r>
      <w:proofErr w:type="spellStart"/>
      <w:r>
        <w:rPr>
          <w:rFonts w:ascii="Arial" w:eastAsia="Arial" w:hAnsi="Arial" w:cs="Arial"/>
        </w:rPr>
        <w:t>agritech</w:t>
      </w:r>
      <w:proofErr w:type="spellEnd"/>
      <w:r>
        <w:rPr>
          <w:rFonts w:ascii="Arial" w:eastAsia="Arial" w:hAnsi="Arial" w:cs="Arial"/>
        </w:rPr>
        <w:t xml:space="preserve"> with extension support, adult ed</w:t>
      </w:r>
      <w:r>
        <w:rPr>
          <w:rFonts w:ascii="Arial" w:eastAsia="Arial" w:hAnsi="Arial" w:cs="Arial"/>
        </w:rPr>
        <w:t xml:space="preserve">ucation, and tailored outreach can enhance adoption and strengthen climate adaptation outcomes (FAO, 2017; FAO &amp; ICRISAT, 2019). </w:t>
      </w:r>
      <w:proofErr w:type="spellStart"/>
      <w:r>
        <w:rPr>
          <w:rFonts w:ascii="Arial" w:eastAsia="Arial" w:hAnsi="Arial" w:cs="Arial"/>
        </w:rPr>
        <w:t>Programmes</w:t>
      </w:r>
      <w:proofErr w:type="spellEnd"/>
      <w:r>
        <w:rPr>
          <w:rFonts w:ascii="Arial" w:eastAsia="Arial" w:hAnsi="Arial" w:cs="Arial"/>
        </w:rPr>
        <w:t xml:space="preserve"> that ignore gender differences risk supporting only part of the farming system and undermining overall household res</w:t>
      </w:r>
      <w:r>
        <w:rPr>
          <w:rFonts w:ascii="Arial" w:eastAsia="Arial" w:hAnsi="Arial" w:cs="Arial"/>
        </w:rPr>
        <w:t>ilience to climate-induced shocks.</w:t>
      </w:r>
    </w:p>
    <w:p w:rsidR="00697B04" w:rsidRDefault="00E229C5">
      <w:pPr>
        <w:shd w:val="clear" w:color="auto" w:fill="FFFFFF"/>
        <w:spacing w:before="220" w:after="220" w:line="276" w:lineRule="auto"/>
        <w:jc w:val="both"/>
        <w:rPr>
          <w:rFonts w:ascii="Arial" w:eastAsia="Arial" w:hAnsi="Arial" w:cs="Arial"/>
          <w:sz w:val="22"/>
          <w:szCs w:val="22"/>
        </w:rPr>
      </w:pPr>
      <w:r>
        <w:rPr>
          <w:rFonts w:ascii="Arial" w:eastAsia="Arial" w:hAnsi="Arial" w:cs="Arial"/>
        </w:rPr>
        <w:t>Structural gender inequalities limit women’s productivity and resilience. Women make up a substantial share of Nigeria’s agricultural workforce yet face systemic constraints that reduce their productivity and ability to cope with shocks. World Bank analysi</w:t>
      </w:r>
      <w:r>
        <w:rPr>
          <w:rFonts w:ascii="Arial" w:eastAsia="Arial" w:hAnsi="Arial" w:cs="Arial"/>
        </w:rPr>
        <w:t xml:space="preserve">s shows that women farmers in Nigeria produce about 30% less per hectare than men, not due to lower skill, but because they use fewer inputs, cultivate lower‑value crops, and receive less public support. FAO and CGIAR data further estimate a 47% </w:t>
      </w:r>
      <w:proofErr w:type="spellStart"/>
      <w:r>
        <w:rPr>
          <w:rFonts w:ascii="Arial" w:eastAsia="Arial" w:hAnsi="Arial" w:cs="Arial"/>
        </w:rPr>
        <w:t>labour</w:t>
      </w:r>
      <w:proofErr w:type="spellEnd"/>
      <w:r>
        <w:rPr>
          <w:rFonts w:ascii="Arial" w:eastAsia="Arial" w:hAnsi="Arial" w:cs="Arial"/>
        </w:rPr>
        <w:t xml:space="preserve"> pro</w:t>
      </w:r>
      <w:r>
        <w:rPr>
          <w:rFonts w:ascii="Arial" w:eastAsia="Arial" w:hAnsi="Arial" w:cs="Arial"/>
        </w:rPr>
        <w:t xml:space="preserve">ductivity gap between male and female farm managers (World Bank, 2023; Paul, 2023 </w:t>
      </w:r>
      <w:proofErr w:type="spellStart"/>
      <w:r>
        <w:rPr>
          <w:rFonts w:ascii="Arial" w:eastAsia="Arial" w:hAnsi="Arial" w:cs="Arial"/>
        </w:rPr>
        <w:t>Enemali</w:t>
      </w:r>
      <w:proofErr w:type="spellEnd"/>
      <w:r>
        <w:rPr>
          <w:rFonts w:ascii="Arial" w:eastAsia="Arial" w:hAnsi="Arial" w:cs="Arial"/>
        </w:rPr>
        <w:t xml:space="preserve">, </w:t>
      </w:r>
      <w:r>
        <w:rPr>
          <w:rFonts w:ascii="Arial" w:eastAsia="Arial" w:hAnsi="Arial" w:cs="Arial"/>
          <w:i/>
          <w:iCs/>
        </w:rPr>
        <w:t>et al.</w:t>
      </w:r>
      <w:r>
        <w:rPr>
          <w:rFonts w:ascii="Arial" w:eastAsia="Arial" w:hAnsi="Arial" w:cs="Arial"/>
        </w:rPr>
        <w:t>, 2024). Resilience outcomes improve when women are specifically targeted. Evidence from Nigeria shows that closing gender gaps enhances resilience and food se</w:t>
      </w:r>
      <w:r>
        <w:rPr>
          <w:rFonts w:ascii="Arial" w:eastAsia="Arial" w:hAnsi="Arial" w:cs="Arial"/>
        </w:rPr>
        <w:t>curity (</w:t>
      </w:r>
      <w:proofErr w:type="spellStart"/>
      <w:r>
        <w:rPr>
          <w:rFonts w:ascii="Arial" w:eastAsia="Arial" w:hAnsi="Arial" w:cs="Arial"/>
        </w:rPr>
        <w:t>Olohunlana</w:t>
      </w:r>
      <w:proofErr w:type="spellEnd"/>
      <w:r>
        <w:rPr>
          <w:rFonts w:ascii="Arial" w:eastAsia="Arial" w:hAnsi="Arial" w:cs="Arial"/>
        </w:rPr>
        <w:t xml:space="preserve">, 2026). Resilience </w:t>
      </w:r>
      <w:proofErr w:type="spellStart"/>
      <w:r>
        <w:rPr>
          <w:rFonts w:ascii="Arial" w:eastAsia="Arial" w:hAnsi="Arial" w:cs="Arial"/>
        </w:rPr>
        <w:t>programmes</w:t>
      </w:r>
      <w:proofErr w:type="spellEnd"/>
      <w:r>
        <w:rPr>
          <w:rFonts w:ascii="Arial" w:eastAsia="Arial" w:hAnsi="Arial" w:cs="Arial"/>
        </w:rPr>
        <w:t xml:space="preserve"> that are not gender‑responsive may unintentionally reinforce these inequalities, reducing their effectiveness and economic impact.</w:t>
      </w:r>
    </w:p>
    <w:p w:rsidR="00697B04" w:rsidRDefault="00E229C5">
      <w:pPr>
        <w:spacing w:line="276" w:lineRule="auto"/>
        <w:jc w:val="both"/>
        <w:rPr>
          <w:rFonts w:ascii="Arial" w:eastAsia="Arial" w:hAnsi="Arial" w:cs="Arial"/>
          <w:b/>
          <w:bCs/>
          <w:sz w:val="22"/>
          <w:szCs w:val="22"/>
        </w:rPr>
      </w:pPr>
      <w:r>
        <w:rPr>
          <w:rFonts w:ascii="Arial" w:eastAsia="Arial" w:hAnsi="Arial" w:cs="Arial"/>
          <w:b/>
          <w:bCs/>
          <w:sz w:val="22"/>
          <w:szCs w:val="22"/>
        </w:rPr>
        <w:t>3.4 Entrepreneurial Orientation (EO) of the Farmers</w:t>
      </w:r>
    </w:p>
    <w:p w:rsidR="00697B04" w:rsidRDefault="00E229C5">
      <w:pPr>
        <w:spacing w:line="276" w:lineRule="auto"/>
        <w:jc w:val="both"/>
        <w:rPr>
          <w:rFonts w:ascii="Arial" w:eastAsia="Arial" w:hAnsi="Arial" w:cs="Arial"/>
        </w:rPr>
      </w:pPr>
      <w:r>
        <w:rPr>
          <w:rFonts w:ascii="Arial" w:eastAsia="Arial" w:hAnsi="Arial" w:cs="Arial"/>
        </w:rPr>
        <w:lastRenderedPageBreak/>
        <w:t>Entrepreneurial Orientat</w:t>
      </w:r>
      <w:r>
        <w:rPr>
          <w:rFonts w:ascii="Arial" w:eastAsia="Arial" w:hAnsi="Arial" w:cs="Arial"/>
        </w:rPr>
        <w:t>ion (EO) reflects innovativeness, proactiveness, and risk‑taking is an important driver of adaptive capacity among smallholder farmers. The results (in Table 4) indicate strong innovative and proactive tendencies: most of the farmers (49%) are open to tryi</w:t>
      </w:r>
      <w:r>
        <w:rPr>
          <w:rFonts w:ascii="Arial" w:eastAsia="Arial" w:hAnsi="Arial" w:cs="Arial"/>
        </w:rPr>
        <w:t xml:space="preserve">ng new practices, actively seek updated farming information, and respond quickly to changes in their farm environment, placing many in the early‑adopter category and suggesting a high likelihood of adopting climate‑smart </w:t>
      </w:r>
      <w:proofErr w:type="spellStart"/>
      <w:r>
        <w:rPr>
          <w:rFonts w:ascii="Arial" w:eastAsia="Arial" w:hAnsi="Arial" w:cs="Arial"/>
        </w:rPr>
        <w:t>agritech</w:t>
      </w:r>
      <w:proofErr w:type="spellEnd"/>
      <w:r>
        <w:rPr>
          <w:rFonts w:ascii="Arial" w:eastAsia="Arial" w:hAnsi="Arial" w:cs="Arial"/>
        </w:rPr>
        <w:t xml:space="preserve"> practices. However, this p</w:t>
      </w:r>
      <w:r>
        <w:rPr>
          <w:rFonts w:ascii="Arial" w:eastAsia="Arial" w:hAnsi="Arial" w:cs="Arial"/>
        </w:rPr>
        <w:t xml:space="preserve">ositive orientation is moderated by risk aversion, as a substantial proportion of the farmers were reluctant to commit additional investment under uncertain environmental conditions, potentially constraining uptake of resource‑intensive CSA practices. </w:t>
      </w:r>
    </w:p>
    <w:p w:rsidR="00697B04" w:rsidRDefault="00E229C5">
      <w:pPr>
        <w:spacing w:line="276" w:lineRule="auto"/>
        <w:jc w:val="both"/>
        <w:rPr>
          <w:rFonts w:ascii="Arial" w:eastAsia="Arial" w:hAnsi="Arial" w:cs="Arial"/>
        </w:rPr>
      </w:pPr>
      <w:r>
        <w:rPr>
          <w:rFonts w:ascii="Arial" w:eastAsia="Arial" w:hAnsi="Arial" w:cs="Arial"/>
        </w:rPr>
        <w:t xml:space="preserve">In </w:t>
      </w:r>
      <w:r>
        <w:rPr>
          <w:rFonts w:ascii="Arial" w:eastAsia="Arial" w:hAnsi="Arial" w:cs="Arial"/>
        </w:rPr>
        <w:t xml:space="preserve">terms of resilience, just over half (53%) of the target farmers reported preparedness to absorb climate‑related shocks, with notable gender and spatial variation higher preparedness among males and in LGAs such as </w:t>
      </w:r>
      <w:proofErr w:type="spellStart"/>
      <w:r>
        <w:rPr>
          <w:rFonts w:ascii="Arial" w:eastAsia="Arial" w:hAnsi="Arial" w:cs="Arial"/>
        </w:rPr>
        <w:t>Fufore</w:t>
      </w:r>
      <w:proofErr w:type="spellEnd"/>
      <w:r>
        <w:rPr>
          <w:rFonts w:ascii="Arial" w:eastAsia="Arial" w:hAnsi="Arial" w:cs="Arial"/>
        </w:rPr>
        <w:t xml:space="preserve"> and </w:t>
      </w:r>
      <w:proofErr w:type="spellStart"/>
      <w:r>
        <w:rPr>
          <w:rFonts w:ascii="Arial" w:eastAsia="Arial" w:hAnsi="Arial" w:cs="Arial"/>
        </w:rPr>
        <w:t>Demsa</w:t>
      </w:r>
      <w:proofErr w:type="spellEnd"/>
      <w:r>
        <w:rPr>
          <w:rFonts w:ascii="Arial" w:eastAsia="Arial" w:hAnsi="Arial" w:cs="Arial"/>
        </w:rPr>
        <w:t>, and lower preparedness i</w:t>
      </w:r>
      <w:r>
        <w:rPr>
          <w:rFonts w:ascii="Arial" w:eastAsia="Arial" w:hAnsi="Arial" w:cs="Arial"/>
        </w:rPr>
        <w:t xml:space="preserve">n Mubi South and </w:t>
      </w:r>
      <w:proofErr w:type="spellStart"/>
      <w:r>
        <w:rPr>
          <w:rFonts w:ascii="Arial" w:eastAsia="Arial" w:hAnsi="Arial" w:cs="Arial"/>
        </w:rPr>
        <w:t>Numan</w:t>
      </w:r>
      <w:proofErr w:type="spellEnd"/>
      <w:r>
        <w:rPr>
          <w:rFonts w:ascii="Arial" w:eastAsia="Arial" w:hAnsi="Arial" w:cs="Arial"/>
        </w:rPr>
        <w:t xml:space="preserve"> highlighting uneven adaptive capacity across locations and the need for targeted, context‑specific support and interventions aimed at building farmers resilience to climate-induced shocks and stressors.</w:t>
      </w:r>
    </w:p>
    <w:p w:rsidR="00697B04" w:rsidRDefault="00E229C5">
      <w:pPr>
        <w:spacing w:before="200" w:line="276" w:lineRule="auto"/>
        <w:jc w:val="both"/>
        <w:rPr>
          <w:rFonts w:ascii="Arial" w:eastAsia="Arial" w:hAnsi="Arial" w:cs="Arial"/>
          <w:b/>
          <w:bCs/>
          <w:sz w:val="22"/>
          <w:szCs w:val="22"/>
        </w:rPr>
      </w:pPr>
      <w:r>
        <w:rPr>
          <w:rFonts w:ascii="Arial" w:eastAsia="Arial" w:hAnsi="Arial" w:cs="Arial"/>
          <w:b/>
          <w:bCs/>
          <w:sz w:val="22"/>
          <w:szCs w:val="22"/>
        </w:rPr>
        <w:t xml:space="preserve"> Table 4. The Farmers Entrepre</w:t>
      </w:r>
      <w:r>
        <w:rPr>
          <w:rFonts w:ascii="Arial" w:eastAsia="Arial" w:hAnsi="Arial" w:cs="Arial"/>
          <w:b/>
          <w:bCs/>
          <w:sz w:val="22"/>
          <w:szCs w:val="22"/>
        </w:rPr>
        <w:t>neurial Orientation (EO: n=538)</w:t>
      </w:r>
    </w:p>
    <w:tbl>
      <w:tblPr>
        <w:tblStyle w:val="a3"/>
        <w:tblW w:w="9615" w:type="dxa"/>
        <w:tblInd w:w="-320" w:type="dxa"/>
        <w:tblLayout w:type="fixed"/>
        <w:tblLook w:val="0400" w:firstRow="0" w:lastRow="0" w:firstColumn="0" w:lastColumn="0" w:noHBand="0" w:noVBand="1"/>
      </w:tblPr>
      <w:tblGrid>
        <w:gridCol w:w="3195"/>
        <w:gridCol w:w="1215"/>
        <w:gridCol w:w="1125"/>
        <w:gridCol w:w="1290"/>
        <w:gridCol w:w="840"/>
        <w:gridCol w:w="1065"/>
        <w:gridCol w:w="885"/>
      </w:tblGrid>
      <w:tr w:rsidR="00697B04">
        <w:trPr>
          <w:trHeight w:val="297"/>
        </w:trPr>
        <w:tc>
          <w:tcPr>
            <w:tcW w:w="3195"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Perception about the Farmers EO</w:t>
            </w:r>
          </w:p>
        </w:tc>
        <w:tc>
          <w:tcPr>
            <w:tcW w:w="1215"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Strongly Disagree</w:t>
            </w:r>
          </w:p>
        </w:tc>
        <w:tc>
          <w:tcPr>
            <w:tcW w:w="1125"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Disagree</w:t>
            </w:r>
          </w:p>
        </w:tc>
        <w:tc>
          <w:tcPr>
            <w:tcW w:w="1290"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Undecided</w:t>
            </w:r>
          </w:p>
        </w:tc>
        <w:tc>
          <w:tcPr>
            <w:tcW w:w="840"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Agree</w:t>
            </w:r>
          </w:p>
        </w:tc>
        <w:tc>
          <w:tcPr>
            <w:tcW w:w="1065"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Strongly Agree</w:t>
            </w:r>
          </w:p>
        </w:tc>
        <w:tc>
          <w:tcPr>
            <w:tcW w:w="885" w:type="dxa"/>
            <w:tcBorders>
              <w:top w:val="single" w:sz="12" w:space="0" w:color="000000"/>
              <w:bottom w:val="single" w:sz="4" w:space="0" w:color="000000"/>
            </w:tcBorders>
            <w:vAlign w:val="center"/>
          </w:tcPr>
          <w:p w:rsidR="00697B04" w:rsidRDefault="00E229C5">
            <w:pPr>
              <w:rPr>
                <w:rFonts w:ascii="Arial" w:eastAsia="Arial" w:hAnsi="Arial" w:cs="Arial"/>
                <w:b/>
                <w:bCs/>
              </w:rPr>
            </w:pPr>
            <w:r>
              <w:rPr>
                <w:rFonts w:ascii="Arial" w:eastAsia="Arial" w:hAnsi="Arial" w:cs="Arial"/>
                <w:b/>
                <w:bCs/>
              </w:rPr>
              <w:t>Total</w:t>
            </w:r>
          </w:p>
        </w:tc>
      </w:tr>
      <w:tr w:rsidR="00697B04">
        <w:trPr>
          <w:trHeight w:val="413"/>
        </w:trPr>
        <w:tc>
          <w:tcPr>
            <w:tcW w:w="3195" w:type="dxa"/>
            <w:tcBorders>
              <w:top w:val="single" w:sz="4" w:space="0" w:color="000000"/>
            </w:tcBorders>
            <w:vAlign w:val="bottom"/>
          </w:tcPr>
          <w:p w:rsidR="00697B04" w:rsidRDefault="00E229C5">
            <w:pPr>
              <w:rPr>
                <w:rFonts w:ascii="Arial" w:eastAsia="Arial" w:hAnsi="Arial" w:cs="Arial"/>
              </w:rPr>
            </w:pPr>
            <w:r>
              <w:rPr>
                <w:rFonts w:ascii="Arial" w:eastAsia="Arial" w:hAnsi="Arial" w:cs="Arial"/>
              </w:rPr>
              <w:t>I prefer to stick to my current farming practices rather than trying new ones</w:t>
            </w:r>
          </w:p>
        </w:tc>
        <w:tc>
          <w:tcPr>
            <w:tcW w:w="1215"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18%</w:t>
            </w:r>
          </w:p>
        </w:tc>
        <w:tc>
          <w:tcPr>
            <w:tcW w:w="1125"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31%</w:t>
            </w:r>
          </w:p>
        </w:tc>
        <w:tc>
          <w:tcPr>
            <w:tcW w:w="1290"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23%</w:t>
            </w:r>
          </w:p>
        </w:tc>
        <w:tc>
          <w:tcPr>
            <w:tcW w:w="840"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11%</w:t>
            </w:r>
          </w:p>
        </w:tc>
        <w:tc>
          <w:tcPr>
            <w:tcW w:w="1065"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17%</w:t>
            </w:r>
          </w:p>
        </w:tc>
        <w:tc>
          <w:tcPr>
            <w:tcW w:w="885" w:type="dxa"/>
            <w:tcBorders>
              <w:top w:val="single" w:sz="4"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446"/>
        </w:trPr>
        <w:tc>
          <w:tcPr>
            <w:tcW w:w="3195" w:type="dxa"/>
            <w:vAlign w:val="bottom"/>
          </w:tcPr>
          <w:p w:rsidR="00697B04" w:rsidRDefault="00E229C5">
            <w:pPr>
              <w:rPr>
                <w:rFonts w:ascii="Arial" w:eastAsia="Arial" w:hAnsi="Arial" w:cs="Arial"/>
              </w:rPr>
            </w:pPr>
            <w:r>
              <w:rPr>
                <w:rFonts w:ascii="Arial" w:eastAsia="Arial" w:hAnsi="Arial" w:cs="Arial"/>
              </w:rPr>
              <w:t>With the current challenging farming environment, I prefer to avoid further investment on my farm</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12%</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23%</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22%</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29%</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14%</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300"/>
        </w:trPr>
        <w:tc>
          <w:tcPr>
            <w:tcW w:w="3195" w:type="dxa"/>
            <w:vAlign w:val="bottom"/>
          </w:tcPr>
          <w:p w:rsidR="00697B04" w:rsidRDefault="00E229C5">
            <w:pPr>
              <w:rPr>
                <w:rFonts w:ascii="Arial" w:eastAsia="Arial" w:hAnsi="Arial" w:cs="Arial"/>
              </w:rPr>
            </w:pPr>
            <w:r>
              <w:rPr>
                <w:rFonts w:ascii="Arial" w:eastAsia="Arial" w:hAnsi="Arial" w:cs="Arial"/>
              </w:rPr>
              <w:t>I am always ready to try new farming practices</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2%</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16%</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47%</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34%</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530"/>
        </w:trPr>
        <w:tc>
          <w:tcPr>
            <w:tcW w:w="3195" w:type="dxa"/>
            <w:vAlign w:val="bottom"/>
          </w:tcPr>
          <w:p w:rsidR="00697B04" w:rsidRDefault="00E229C5">
            <w:pPr>
              <w:rPr>
                <w:rFonts w:ascii="Arial" w:eastAsia="Arial" w:hAnsi="Arial" w:cs="Arial"/>
              </w:rPr>
            </w:pPr>
            <w:r>
              <w:rPr>
                <w:rFonts w:ascii="Arial" w:eastAsia="Arial" w:hAnsi="Arial" w:cs="Arial"/>
              </w:rPr>
              <w:t xml:space="preserve">I like to use new farming practices </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11%</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48%</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38%</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440"/>
        </w:trPr>
        <w:tc>
          <w:tcPr>
            <w:tcW w:w="3195" w:type="dxa"/>
            <w:vAlign w:val="bottom"/>
          </w:tcPr>
          <w:p w:rsidR="00697B04" w:rsidRDefault="00E229C5">
            <w:pPr>
              <w:rPr>
                <w:rFonts w:ascii="Arial" w:eastAsia="Arial" w:hAnsi="Arial" w:cs="Arial"/>
              </w:rPr>
            </w:pPr>
            <w:r>
              <w:rPr>
                <w:rFonts w:ascii="Arial" w:eastAsia="Arial" w:hAnsi="Arial" w:cs="Arial"/>
              </w:rPr>
              <w:t>I often improve my farming practices</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14%</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47%</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37%</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440"/>
        </w:trPr>
        <w:tc>
          <w:tcPr>
            <w:tcW w:w="3195" w:type="dxa"/>
            <w:vAlign w:val="bottom"/>
          </w:tcPr>
          <w:p w:rsidR="00697B04" w:rsidRDefault="00E229C5">
            <w:pPr>
              <w:rPr>
                <w:rFonts w:ascii="Arial" w:eastAsia="Arial" w:hAnsi="Arial" w:cs="Arial"/>
              </w:rPr>
            </w:pPr>
            <w:r>
              <w:rPr>
                <w:rFonts w:ascii="Arial" w:eastAsia="Arial" w:hAnsi="Arial" w:cs="Arial"/>
              </w:rPr>
              <w:t>I like to have the latest information on farming practices</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1%</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11%</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43%</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44%</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710"/>
        </w:trPr>
        <w:tc>
          <w:tcPr>
            <w:tcW w:w="3195" w:type="dxa"/>
            <w:vAlign w:val="bottom"/>
          </w:tcPr>
          <w:p w:rsidR="00697B04" w:rsidRDefault="00E229C5">
            <w:pPr>
              <w:rPr>
                <w:rFonts w:ascii="Arial" w:eastAsia="Arial" w:hAnsi="Arial" w:cs="Arial"/>
              </w:rPr>
            </w:pPr>
            <w:r>
              <w:rPr>
                <w:rFonts w:ascii="Arial" w:eastAsia="Arial" w:hAnsi="Arial" w:cs="Arial"/>
              </w:rPr>
              <w:t xml:space="preserve">I respond more quickly to changes in the environment of my farm compared to other farmers </w:t>
            </w:r>
          </w:p>
        </w:tc>
        <w:tc>
          <w:tcPr>
            <w:tcW w:w="1215" w:type="dxa"/>
            <w:vAlign w:val="center"/>
          </w:tcPr>
          <w:p w:rsidR="00697B04" w:rsidRDefault="00E229C5">
            <w:pPr>
              <w:rPr>
                <w:rFonts w:ascii="Arial" w:eastAsia="Arial" w:hAnsi="Arial" w:cs="Arial"/>
                <w:sz w:val="22"/>
                <w:szCs w:val="22"/>
              </w:rPr>
            </w:pPr>
            <w:r>
              <w:rPr>
                <w:rFonts w:ascii="Arial" w:eastAsia="Arial" w:hAnsi="Arial" w:cs="Arial"/>
                <w:sz w:val="22"/>
                <w:szCs w:val="22"/>
              </w:rPr>
              <w:t>0%</w:t>
            </w:r>
          </w:p>
        </w:tc>
        <w:tc>
          <w:tcPr>
            <w:tcW w:w="1125" w:type="dxa"/>
            <w:vAlign w:val="center"/>
          </w:tcPr>
          <w:p w:rsidR="00697B04" w:rsidRDefault="00E229C5">
            <w:pPr>
              <w:rPr>
                <w:rFonts w:ascii="Arial" w:eastAsia="Arial" w:hAnsi="Arial" w:cs="Arial"/>
                <w:sz w:val="22"/>
                <w:szCs w:val="22"/>
              </w:rPr>
            </w:pPr>
            <w:r>
              <w:rPr>
                <w:rFonts w:ascii="Arial" w:eastAsia="Arial" w:hAnsi="Arial" w:cs="Arial"/>
                <w:sz w:val="22"/>
                <w:szCs w:val="22"/>
              </w:rPr>
              <w:t>3%</w:t>
            </w:r>
          </w:p>
        </w:tc>
        <w:tc>
          <w:tcPr>
            <w:tcW w:w="1290" w:type="dxa"/>
            <w:vAlign w:val="center"/>
          </w:tcPr>
          <w:p w:rsidR="00697B04" w:rsidRDefault="00E229C5">
            <w:pPr>
              <w:rPr>
                <w:rFonts w:ascii="Arial" w:eastAsia="Arial" w:hAnsi="Arial" w:cs="Arial"/>
                <w:sz w:val="22"/>
                <w:szCs w:val="22"/>
              </w:rPr>
            </w:pPr>
            <w:r>
              <w:rPr>
                <w:rFonts w:ascii="Arial" w:eastAsia="Arial" w:hAnsi="Arial" w:cs="Arial"/>
                <w:sz w:val="22"/>
                <w:szCs w:val="22"/>
              </w:rPr>
              <w:t>17%</w:t>
            </w:r>
          </w:p>
        </w:tc>
        <w:tc>
          <w:tcPr>
            <w:tcW w:w="840" w:type="dxa"/>
            <w:vAlign w:val="center"/>
          </w:tcPr>
          <w:p w:rsidR="00697B04" w:rsidRDefault="00E229C5">
            <w:pPr>
              <w:rPr>
                <w:rFonts w:ascii="Arial" w:eastAsia="Arial" w:hAnsi="Arial" w:cs="Arial"/>
                <w:sz w:val="22"/>
                <w:szCs w:val="22"/>
              </w:rPr>
            </w:pPr>
            <w:r>
              <w:rPr>
                <w:rFonts w:ascii="Arial" w:eastAsia="Arial" w:hAnsi="Arial" w:cs="Arial"/>
                <w:sz w:val="22"/>
                <w:szCs w:val="22"/>
              </w:rPr>
              <w:t>46%</w:t>
            </w:r>
          </w:p>
        </w:tc>
        <w:tc>
          <w:tcPr>
            <w:tcW w:w="1065" w:type="dxa"/>
            <w:vAlign w:val="center"/>
          </w:tcPr>
          <w:p w:rsidR="00697B04" w:rsidRDefault="00E229C5">
            <w:pPr>
              <w:rPr>
                <w:rFonts w:ascii="Arial" w:eastAsia="Arial" w:hAnsi="Arial" w:cs="Arial"/>
                <w:sz w:val="22"/>
                <w:szCs w:val="22"/>
              </w:rPr>
            </w:pPr>
            <w:r>
              <w:rPr>
                <w:rFonts w:ascii="Arial" w:eastAsia="Arial" w:hAnsi="Arial" w:cs="Arial"/>
                <w:sz w:val="22"/>
                <w:szCs w:val="22"/>
              </w:rPr>
              <w:t>33%</w:t>
            </w:r>
          </w:p>
        </w:tc>
        <w:tc>
          <w:tcPr>
            <w:tcW w:w="885" w:type="dxa"/>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r w:rsidR="00697B04">
        <w:trPr>
          <w:trHeight w:val="446"/>
        </w:trPr>
        <w:tc>
          <w:tcPr>
            <w:tcW w:w="3195" w:type="dxa"/>
            <w:tcBorders>
              <w:bottom w:val="single" w:sz="12" w:space="0" w:color="000000"/>
            </w:tcBorders>
            <w:vAlign w:val="bottom"/>
          </w:tcPr>
          <w:p w:rsidR="00697B04" w:rsidRDefault="00E229C5">
            <w:pPr>
              <w:rPr>
                <w:rFonts w:ascii="Arial" w:eastAsia="Arial" w:hAnsi="Arial" w:cs="Arial"/>
              </w:rPr>
            </w:pPr>
            <w:r>
              <w:rPr>
                <w:rFonts w:ascii="Arial" w:eastAsia="Arial" w:hAnsi="Arial" w:cs="Arial"/>
              </w:rPr>
              <w:t>I am among the first farmers to adopt new farming practices in my area</w:t>
            </w:r>
          </w:p>
        </w:tc>
        <w:tc>
          <w:tcPr>
            <w:tcW w:w="1215"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4%</w:t>
            </w:r>
          </w:p>
        </w:tc>
        <w:tc>
          <w:tcPr>
            <w:tcW w:w="1125"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12%</w:t>
            </w:r>
          </w:p>
        </w:tc>
        <w:tc>
          <w:tcPr>
            <w:tcW w:w="1290"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22%</w:t>
            </w:r>
          </w:p>
        </w:tc>
        <w:tc>
          <w:tcPr>
            <w:tcW w:w="840"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32%</w:t>
            </w:r>
          </w:p>
        </w:tc>
        <w:tc>
          <w:tcPr>
            <w:tcW w:w="1065"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29%</w:t>
            </w:r>
          </w:p>
        </w:tc>
        <w:tc>
          <w:tcPr>
            <w:tcW w:w="885" w:type="dxa"/>
            <w:tcBorders>
              <w:bottom w:val="single" w:sz="12" w:space="0" w:color="000000"/>
            </w:tcBorders>
            <w:vAlign w:val="center"/>
          </w:tcPr>
          <w:p w:rsidR="00697B04" w:rsidRDefault="00E229C5">
            <w:pPr>
              <w:rPr>
                <w:rFonts w:ascii="Arial" w:eastAsia="Arial" w:hAnsi="Arial" w:cs="Arial"/>
                <w:sz w:val="22"/>
                <w:szCs w:val="22"/>
              </w:rPr>
            </w:pPr>
            <w:r>
              <w:rPr>
                <w:rFonts w:ascii="Arial" w:eastAsia="Arial" w:hAnsi="Arial" w:cs="Arial"/>
                <w:sz w:val="22"/>
                <w:szCs w:val="22"/>
              </w:rPr>
              <w:t>100%</w:t>
            </w:r>
          </w:p>
        </w:tc>
      </w:tr>
    </w:tbl>
    <w:p w:rsidR="00697B04" w:rsidRDefault="00E229C5">
      <w:pPr>
        <w:spacing w:before="220" w:after="220" w:line="342" w:lineRule="auto"/>
        <w:jc w:val="both"/>
        <w:rPr>
          <w:rFonts w:ascii="Arial" w:eastAsia="Arial" w:hAnsi="Arial" w:cs="Arial"/>
          <w:color w:val="000000"/>
        </w:rPr>
      </w:pPr>
      <w:r>
        <w:rPr>
          <w:rFonts w:ascii="Arial" w:eastAsia="Arial" w:hAnsi="Arial" w:cs="Arial"/>
          <w:b/>
          <w:bCs/>
          <w:sz w:val="19"/>
          <w:szCs w:val="19"/>
        </w:rPr>
        <w:t>Source: Field survey data (2023/2024)</w:t>
      </w:r>
    </w:p>
    <w:p w:rsidR="00697B04" w:rsidRDefault="00E229C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4. Conclusion </w:t>
      </w:r>
    </w:p>
    <w:p w:rsidR="00697B04" w:rsidRDefault="00E229C5">
      <w:pPr>
        <w:jc w:val="both"/>
        <w:rPr>
          <w:rFonts w:ascii="Arial" w:eastAsia="Arial" w:hAnsi="Arial" w:cs="Arial"/>
        </w:rPr>
      </w:pPr>
      <w:r>
        <w:rPr>
          <w:rFonts w:ascii="Arial" w:eastAsia="Arial" w:hAnsi="Arial" w:cs="Arial"/>
        </w:rPr>
        <w:t xml:space="preserve">Climate‑smart </w:t>
      </w:r>
      <w:proofErr w:type="spellStart"/>
      <w:r>
        <w:rPr>
          <w:rFonts w:ascii="Arial" w:eastAsia="Arial" w:hAnsi="Arial" w:cs="Arial"/>
        </w:rPr>
        <w:t>agritech</w:t>
      </w:r>
      <w:proofErr w:type="spellEnd"/>
      <w:r>
        <w:rPr>
          <w:rFonts w:ascii="Arial" w:eastAsia="Arial" w:hAnsi="Arial" w:cs="Arial"/>
        </w:rPr>
        <w:t xml:space="preserve"> adoption among smallholder farmers in Adamawa State is socially differentiated. While intercropping and organic fertilizer use are widely adopted, uptake of agroforestry and climate information services remains limited by education a</w:t>
      </w:r>
      <w:r>
        <w:rPr>
          <w:rFonts w:ascii="Arial" w:eastAsia="Arial" w:hAnsi="Arial" w:cs="Arial"/>
        </w:rPr>
        <w:t xml:space="preserve">nd gendered access barriers. Effective climate adaptation strategies must therefore move beyond technology promotion to address enabling conditions for adoption. </w:t>
      </w:r>
    </w:p>
    <w:p w:rsidR="00697B04" w:rsidRDefault="00E229C5">
      <w:pPr>
        <w:jc w:val="both"/>
        <w:rPr>
          <w:rFonts w:ascii="Arial" w:eastAsia="Arial" w:hAnsi="Arial" w:cs="Arial"/>
        </w:rPr>
      </w:pPr>
      <w:r>
        <w:rPr>
          <w:rFonts w:ascii="Arial" w:eastAsia="Arial" w:hAnsi="Arial" w:cs="Arial"/>
        </w:rPr>
        <w:lastRenderedPageBreak/>
        <w:t>Resilience to climate shocks and stressors remains uneven, with only about half of farmers pr</w:t>
      </w:r>
      <w:r>
        <w:rPr>
          <w:rFonts w:ascii="Arial" w:eastAsia="Arial" w:hAnsi="Arial" w:cs="Arial"/>
        </w:rPr>
        <w:t>epared to absorb climate‑related stressors and clear gender and spatial disparities across LGAs, underscoring structural differences in access to resources, information, and support system. Policy efforts should prioritize gender‑responsive extension, impr</w:t>
      </w:r>
      <w:r>
        <w:rPr>
          <w:rFonts w:ascii="Arial" w:eastAsia="Arial" w:hAnsi="Arial" w:cs="Arial"/>
        </w:rPr>
        <w:t xml:space="preserve">oved access to climate information, and education‑linked </w:t>
      </w:r>
      <w:proofErr w:type="spellStart"/>
      <w:r>
        <w:rPr>
          <w:rFonts w:ascii="Arial" w:eastAsia="Arial" w:hAnsi="Arial" w:cs="Arial"/>
        </w:rPr>
        <w:t>agritech</w:t>
      </w:r>
      <w:proofErr w:type="spellEnd"/>
      <w:r>
        <w:rPr>
          <w:rFonts w:ascii="Arial" w:eastAsia="Arial" w:hAnsi="Arial" w:cs="Arial"/>
        </w:rPr>
        <w:t xml:space="preserve"> delivery models. Such approaches are essential for enhancing adaptive capacity, reducing vulnerability, and supporting climate‑resilient rural development in Nigeria and comparable settings.</w:t>
      </w:r>
      <w:r>
        <w:rPr>
          <w:rFonts w:ascii="Arial" w:eastAsia="Arial" w:hAnsi="Arial" w:cs="Arial"/>
        </w:rPr>
        <w:t xml:space="preserve"> The findings suggest the need for development </w:t>
      </w:r>
      <w:proofErr w:type="spellStart"/>
      <w:r>
        <w:rPr>
          <w:rFonts w:ascii="Arial" w:eastAsia="Arial" w:hAnsi="Arial" w:cs="Arial"/>
        </w:rPr>
        <w:t>programmes</w:t>
      </w:r>
      <w:proofErr w:type="spellEnd"/>
      <w:r>
        <w:rPr>
          <w:rFonts w:ascii="Arial" w:eastAsia="Arial" w:hAnsi="Arial" w:cs="Arial"/>
        </w:rPr>
        <w:t xml:space="preserve"> to be tailored to local realities, contexts in order to be relevant, accepted, impactful, and sustainable. Beyond social equity, there is a strong economic case and policy rationale for inclusive, t</w:t>
      </w:r>
      <w:r>
        <w:rPr>
          <w:rFonts w:ascii="Arial" w:eastAsia="Arial" w:hAnsi="Arial" w:cs="Arial"/>
        </w:rPr>
        <w:t xml:space="preserve">ailored </w:t>
      </w:r>
      <w:proofErr w:type="spellStart"/>
      <w:r>
        <w:rPr>
          <w:rFonts w:ascii="Arial" w:eastAsia="Arial" w:hAnsi="Arial" w:cs="Arial"/>
        </w:rPr>
        <w:t>programmes</w:t>
      </w:r>
      <w:proofErr w:type="spellEnd"/>
      <w:r>
        <w:rPr>
          <w:rFonts w:ascii="Arial" w:eastAsia="Arial" w:hAnsi="Arial" w:cs="Arial"/>
        </w:rPr>
        <w:t xml:space="preserve"> as shown from the results. </w:t>
      </w:r>
    </w:p>
    <w:p w:rsidR="00AC0D7D" w:rsidRDefault="00AC0D7D">
      <w:pPr>
        <w:jc w:val="both"/>
        <w:rPr>
          <w:rFonts w:ascii="Arial" w:eastAsia="Arial" w:hAnsi="Arial" w:cs="Arial"/>
        </w:rPr>
      </w:pPr>
    </w:p>
    <w:p w:rsidR="00AC0D7D" w:rsidRPr="00AC0D7D" w:rsidRDefault="00AC0D7D" w:rsidP="00AC0D7D">
      <w:pPr>
        <w:jc w:val="both"/>
        <w:rPr>
          <w:rFonts w:ascii="Arial" w:eastAsia="Arial" w:hAnsi="Arial" w:cs="Arial"/>
          <w:b/>
          <w:bCs/>
          <w:sz w:val="22"/>
          <w:szCs w:val="22"/>
        </w:rPr>
      </w:pPr>
      <w:r>
        <w:rPr>
          <w:rFonts w:ascii="Arial" w:eastAsia="Arial" w:hAnsi="Arial" w:cs="Arial"/>
          <w:b/>
          <w:bCs/>
          <w:sz w:val="22"/>
          <w:szCs w:val="22"/>
        </w:rPr>
        <w:t xml:space="preserve">5. </w:t>
      </w:r>
      <w:r w:rsidRPr="00AC0D7D">
        <w:rPr>
          <w:rFonts w:ascii="Arial" w:eastAsia="Arial" w:hAnsi="Arial" w:cs="Arial"/>
          <w:b/>
          <w:bCs/>
          <w:sz w:val="22"/>
          <w:szCs w:val="22"/>
        </w:rPr>
        <w:t>Limitations of the Study</w:t>
      </w:r>
    </w:p>
    <w:p w:rsidR="00AC0D7D" w:rsidRPr="00AC0D7D" w:rsidRDefault="00AC0D7D" w:rsidP="00AC0D7D">
      <w:pPr>
        <w:numPr>
          <w:ilvl w:val="0"/>
          <w:numId w:val="1"/>
        </w:numPr>
        <w:jc w:val="both"/>
        <w:rPr>
          <w:rFonts w:ascii="Arial" w:eastAsia="Arial" w:hAnsi="Arial" w:cs="Arial"/>
        </w:rPr>
      </w:pPr>
      <w:r w:rsidRPr="00AC0D7D">
        <w:rPr>
          <w:rFonts w:ascii="Arial" w:eastAsia="Arial" w:hAnsi="Arial" w:cs="Arial"/>
        </w:rPr>
        <w:t>The protracted insecurity in some parts of the study areas have constrained access to certain communities, potentially limiting access to more in-depth insights on the subject matter. Households in highly insecure or remote areas who may face distinct adoption barriers could have been underrepresented in the sample.</w:t>
      </w:r>
    </w:p>
    <w:p w:rsidR="00AC0D7D" w:rsidRPr="00AC0D7D" w:rsidRDefault="00AC0D7D" w:rsidP="00AC0D7D">
      <w:pPr>
        <w:numPr>
          <w:ilvl w:val="0"/>
          <w:numId w:val="1"/>
        </w:numPr>
        <w:jc w:val="both"/>
        <w:rPr>
          <w:rFonts w:ascii="Arial" w:eastAsia="Arial" w:hAnsi="Arial" w:cs="Arial"/>
        </w:rPr>
      </w:pPr>
      <w:r w:rsidRPr="00AC0D7D">
        <w:rPr>
          <w:rFonts w:ascii="Arial" w:eastAsia="Arial" w:hAnsi="Arial" w:cs="Arial"/>
        </w:rPr>
        <w:t>While socio</w:t>
      </w:r>
      <w:r w:rsidRPr="00AC0D7D">
        <w:rPr>
          <w:rFonts w:ascii="Cambria Math" w:eastAsia="Arial" w:hAnsi="Cambria Math" w:cs="Cambria Math"/>
        </w:rPr>
        <w:t>‑</w:t>
      </w:r>
      <w:r w:rsidRPr="00AC0D7D">
        <w:rPr>
          <w:rFonts w:ascii="Arial" w:eastAsia="Arial" w:hAnsi="Arial" w:cs="Arial"/>
        </w:rPr>
        <w:t>economic and gender factors are drivers of CSA adoption, the study may not have fully accounted for broader structural drivers such as donor and humanitarian interventions, policy incentives, or private</w:t>
      </w:r>
      <w:r w:rsidRPr="00AC0D7D">
        <w:rPr>
          <w:rFonts w:ascii="Cambria Math" w:eastAsia="Arial" w:hAnsi="Cambria Math" w:cs="Cambria Math"/>
        </w:rPr>
        <w:t>‑</w:t>
      </w:r>
      <w:r w:rsidRPr="00AC0D7D">
        <w:rPr>
          <w:rFonts w:ascii="Arial" w:eastAsia="Arial" w:hAnsi="Arial" w:cs="Arial"/>
        </w:rPr>
        <w:t xml:space="preserve">sector presence, which could have influenced the CSA </w:t>
      </w:r>
      <w:proofErr w:type="spellStart"/>
      <w:r w:rsidRPr="00AC0D7D">
        <w:rPr>
          <w:rFonts w:ascii="Arial" w:eastAsia="Arial" w:hAnsi="Arial" w:cs="Arial"/>
        </w:rPr>
        <w:t>agritech</w:t>
      </w:r>
      <w:proofErr w:type="spellEnd"/>
      <w:r w:rsidRPr="00AC0D7D">
        <w:rPr>
          <w:rFonts w:ascii="Arial" w:eastAsia="Arial" w:hAnsi="Arial" w:cs="Arial"/>
        </w:rPr>
        <w:t xml:space="preserve"> awareness and adoption.</w:t>
      </w:r>
    </w:p>
    <w:p w:rsidR="00AC0D7D" w:rsidRDefault="00AC0D7D">
      <w:pPr>
        <w:jc w:val="both"/>
        <w:rPr>
          <w:rFonts w:ascii="Arial" w:eastAsia="Arial" w:hAnsi="Arial" w:cs="Arial"/>
        </w:rPr>
      </w:pPr>
    </w:p>
    <w:p w:rsidR="00697B04" w:rsidRDefault="00697B04">
      <w:pPr>
        <w:jc w:val="both"/>
        <w:rPr>
          <w:rFonts w:ascii="Arial" w:eastAsia="Arial" w:hAnsi="Arial" w:cs="Arial"/>
        </w:rPr>
      </w:pPr>
    </w:p>
    <w:p w:rsidR="00AC0D7D" w:rsidRDefault="00AC0D7D">
      <w:pPr>
        <w:jc w:val="both"/>
        <w:rPr>
          <w:rFonts w:ascii="Arial" w:eastAsia="Arial" w:hAnsi="Arial" w:cs="Arial"/>
          <w:b/>
          <w:bCs/>
          <w:sz w:val="22"/>
          <w:szCs w:val="22"/>
        </w:rPr>
      </w:pPr>
      <w:r>
        <w:rPr>
          <w:rFonts w:ascii="Arial" w:eastAsia="Arial" w:hAnsi="Arial" w:cs="Arial"/>
          <w:b/>
          <w:bCs/>
          <w:sz w:val="22"/>
          <w:szCs w:val="22"/>
        </w:rPr>
        <w:t xml:space="preserve">Ethical approval and Consent: </w:t>
      </w:r>
    </w:p>
    <w:p w:rsidR="00697B04" w:rsidRDefault="00E229C5">
      <w:pPr>
        <w:jc w:val="both"/>
        <w:rPr>
          <w:rFonts w:ascii="Arial" w:eastAsia="Arial" w:hAnsi="Arial" w:cs="Arial"/>
        </w:rPr>
      </w:pPr>
      <w:r>
        <w:rPr>
          <w:rFonts w:ascii="Arial" w:eastAsia="Arial" w:hAnsi="Arial" w:cs="Arial"/>
        </w:rPr>
        <w:t>The study adhered to conventional research ethics guidelines. The processes involved undergoing a research ethics review by the Research Assistants and seeking informed consent from t</w:t>
      </w:r>
      <w:r>
        <w:rPr>
          <w:rFonts w:ascii="Arial" w:eastAsia="Arial" w:hAnsi="Arial" w:cs="Arial"/>
        </w:rPr>
        <w:t>he participants (community leaders and farmers). The study obtained informed consent from the interviewed farmers before the actual interview session. The study ensured that the principle of anonymity and voluntary participation was explained and respected</w:t>
      </w:r>
      <w:r>
        <w:rPr>
          <w:rFonts w:ascii="Arial" w:eastAsia="Arial" w:hAnsi="Arial" w:cs="Arial"/>
        </w:rPr>
        <w:t xml:space="preserve"> and that the information will be confidential. The Research Assistants were trained on how to seek informed consent from the target farmers and agreement on voluntary participation in the study.</w:t>
      </w:r>
    </w:p>
    <w:p w:rsidR="00697B04" w:rsidRDefault="00697B04">
      <w:pPr>
        <w:jc w:val="both"/>
        <w:rPr>
          <w:rFonts w:ascii="Arial" w:eastAsia="Arial" w:hAnsi="Arial" w:cs="Arial"/>
        </w:rPr>
      </w:pPr>
    </w:p>
    <w:p w:rsidR="00697B04" w:rsidRDefault="00697B04">
      <w:pPr>
        <w:spacing w:after="200" w:line="276" w:lineRule="auto"/>
        <w:jc w:val="both"/>
        <w:rPr>
          <w:rFonts w:ascii="Arial" w:eastAsia="Arial" w:hAnsi="Arial" w:cs="Arial"/>
          <w:b/>
          <w:bCs/>
          <w:sz w:val="22"/>
          <w:szCs w:val="22"/>
        </w:rPr>
      </w:pPr>
    </w:p>
    <w:p w:rsidR="00697B04" w:rsidRPr="00AC0D7D" w:rsidRDefault="00E229C5">
      <w:pPr>
        <w:pBdr>
          <w:top w:val="nil"/>
          <w:left w:val="nil"/>
          <w:bottom w:val="nil"/>
          <w:right w:val="nil"/>
          <w:between w:val="nil"/>
        </w:pBdr>
        <w:rPr>
          <w:rFonts w:ascii="Arial" w:eastAsia="Arial" w:hAnsi="Arial" w:cs="Arial"/>
          <w:b/>
          <w:color w:val="000000"/>
          <w:sz w:val="22"/>
          <w:szCs w:val="22"/>
          <w:highlight w:val="yellow"/>
        </w:rPr>
      </w:pPr>
      <w:bookmarkStart w:id="2" w:name="_heading=h.lcc82xrxo7al" w:colFirst="0" w:colLast="0"/>
      <w:bookmarkEnd w:id="2"/>
      <w:r w:rsidRPr="00AC0D7D">
        <w:rPr>
          <w:rFonts w:ascii="Arial" w:eastAsia="Arial" w:hAnsi="Arial" w:cs="Arial"/>
          <w:b/>
          <w:color w:val="000000"/>
          <w:sz w:val="22"/>
          <w:szCs w:val="22"/>
          <w:highlight w:val="yellow"/>
        </w:rPr>
        <w:t>Disclaimer (Artificial intelligence)</w:t>
      </w:r>
    </w:p>
    <w:p w:rsidR="00697B04" w:rsidRDefault="00697B04">
      <w:pPr>
        <w:pBdr>
          <w:top w:val="nil"/>
          <w:left w:val="nil"/>
          <w:bottom w:val="nil"/>
          <w:right w:val="nil"/>
          <w:between w:val="nil"/>
        </w:pBdr>
        <w:rPr>
          <w:rFonts w:ascii="Arial" w:eastAsia="Arial" w:hAnsi="Arial" w:cs="Arial"/>
          <w:color w:val="000000"/>
          <w:sz w:val="22"/>
          <w:szCs w:val="22"/>
          <w:highlight w:val="yellow"/>
        </w:rPr>
      </w:pPr>
    </w:p>
    <w:p w:rsidR="00697B04" w:rsidRDefault="00E229C5">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generative AI technologies such as Large Language Models (</w:t>
      </w:r>
      <w:proofErr w:type="spellStart"/>
      <w:r>
        <w:rPr>
          <w:rFonts w:ascii="Arial" w:eastAsia="Arial" w:hAnsi="Arial" w:cs="Arial"/>
          <w:color w:val="000000"/>
          <w:sz w:val="22"/>
          <w:szCs w:val="22"/>
          <w:highlight w:val="yellow"/>
        </w:rPr>
        <w:t>ChatGPT</w:t>
      </w:r>
      <w:proofErr w:type="spellEnd"/>
      <w:r>
        <w:rPr>
          <w:rFonts w:ascii="Arial" w:eastAsia="Arial" w:hAnsi="Arial" w:cs="Arial"/>
          <w:color w:val="000000"/>
          <w:sz w:val="22"/>
          <w:szCs w:val="22"/>
          <w:highlight w:val="yellow"/>
        </w:rPr>
        <w:t xml:space="preserve">, COPILOT, etc.) and text-to-image generators have been used during the writing or editing of this manuscript. </w:t>
      </w:r>
    </w:p>
    <w:p w:rsidR="00697B04" w:rsidRDefault="00697B04">
      <w:pPr>
        <w:keepNext/>
        <w:pBdr>
          <w:top w:val="nil"/>
          <w:left w:val="nil"/>
          <w:bottom w:val="nil"/>
          <w:right w:val="nil"/>
          <w:between w:val="nil"/>
        </w:pBdr>
        <w:jc w:val="both"/>
        <w:rPr>
          <w:rFonts w:ascii="Arial" w:eastAsia="Arial" w:hAnsi="Arial" w:cs="Arial"/>
          <w:color w:val="000000"/>
        </w:rPr>
      </w:pPr>
    </w:p>
    <w:p w:rsidR="00697B04" w:rsidRDefault="00697B04">
      <w:pPr>
        <w:keepNext/>
        <w:pBdr>
          <w:top w:val="nil"/>
          <w:left w:val="nil"/>
          <w:bottom w:val="nil"/>
          <w:right w:val="nil"/>
          <w:between w:val="nil"/>
        </w:pBdr>
        <w:jc w:val="both"/>
        <w:rPr>
          <w:rFonts w:ascii="Arial" w:eastAsia="Arial" w:hAnsi="Arial" w:cs="Arial"/>
          <w:b/>
          <w:bCs/>
          <w:smallCaps/>
          <w:color w:val="000000"/>
          <w:sz w:val="22"/>
          <w:szCs w:val="22"/>
        </w:rPr>
      </w:pPr>
    </w:p>
    <w:p w:rsidR="00697B04" w:rsidRDefault="00E229C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References</w:t>
      </w:r>
    </w:p>
    <w:p w:rsidR="00697B04" w:rsidRPr="00AC0D7D" w:rsidRDefault="00E229C5" w:rsidP="00AC0D7D">
      <w:pPr>
        <w:pStyle w:val="ListParagraph"/>
        <w:numPr>
          <w:ilvl w:val="0"/>
          <w:numId w:val="5"/>
        </w:numPr>
        <w:spacing w:after="240"/>
        <w:jc w:val="both"/>
        <w:rPr>
          <w:rFonts w:ascii="Arial" w:eastAsia="Arial" w:hAnsi="Arial" w:cs="Arial"/>
        </w:rPr>
      </w:pPr>
      <w:proofErr w:type="spellStart"/>
      <w:r w:rsidRPr="00AC0D7D">
        <w:rPr>
          <w:rFonts w:ascii="Arial" w:eastAsia="Arial" w:hAnsi="Arial" w:cs="Arial"/>
        </w:rPr>
        <w:t>Ayanwale</w:t>
      </w:r>
      <w:proofErr w:type="spellEnd"/>
      <w:r w:rsidRPr="00AC0D7D">
        <w:rPr>
          <w:rFonts w:ascii="Arial" w:eastAsia="Arial" w:hAnsi="Arial" w:cs="Arial"/>
        </w:rPr>
        <w:t xml:space="preserve">, A., Kehinde, A. and </w:t>
      </w:r>
      <w:proofErr w:type="spellStart"/>
      <w:r w:rsidRPr="00AC0D7D">
        <w:rPr>
          <w:rFonts w:ascii="Arial" w:eastAsia="Arial" w:hAnsi="Arial" w:cs="Arial"/>
        </w:rPr>
        <w:t>Ige</w:t>
      </w:r>
      <w:proofErr w:type="spellEnd"/>
      <w:r w:rsidRPr="00AC0D7D">
        <w:rPr>
          <w:rFonts w:ascii="Arial" w:eastAsia="Arial" w:hAnsi="Arial" w:cs="Arial"/>
        </w:rPr>
        <w:t>, A. (2025). Determinants of organic fertilizer adoption and its implications for poverty reduction among farming households in Nigeria.</w:t>
      </w:r>
      <w:hyperlink r:id="rId15">
        <w:r w:rsidRPr="00AC0D7D">
          <w:rPr>
            <w:rFonts w:ascii="Arial" w:eastAsia="Arial" w:hAnsi="Arial" w:cs="Arial"/>
          </w:rPr>
          <w:t xml:space="preserve"> </w:t>
        </w:r>
      </w:hyperlink>
      <w:hyperlink r:id="rId16">
        <w:r w:rsidRPr="00AC0D7D">
          <w:rPr>
            <w:rFonts w:ascii="Arial" w:eastAsia="Arial" w:hAnsi="Arial" w:cs="Arial"/>
            <w:i/>
            <w:iCs/>
            <w:color w:val="1155CC"/>
            <w:u w:val="single"/>
          </w:rPr>
          <w:t>Social Sciences &amp; Humanities Open</w:t>
        </w:r>
      </w:hyperlink>
      <w:hyperlink r:id="rId17">
        <w:r w:rsidRPr="00AC0D7D">
          <w:rPr>
            <w:rFonts w:ascii="Arial" w:eastAsia="Arial" w:hAnsi="Arial" w:cs="Arial"/>
            <w:i/>
            <w:iCs/>
          </w:rPr>
          <w:t xml:space="preserve"> </w:t>
        </w:r>
      </w:hyperlink>
      <w:hyperlink r:id="rId18">
        <w:r w:rsidRPr="00AC0D7D">
          <w:rPr>
            <w:rFonts w:ascii="Arial" w:eastAsia="Arial" w:hAnsi="Arial" w:cs="Arial"/>
            <w:i/>
            <w:iCs/>
            <w:color w:val="1155CC"/>
            <w:u w:val="single"/>
          </w:rPr>
          <w:t>Volume 12</w:t>
        </w:r>
      </w:hyperlink>
      <w:r w:rsidRPr="00AC0D7D">
        <w:rPr>
          <w:rFonts w:ascii="Arial" w:eastAsia="Arial" w:hAnsi="Arial" w:cs="Arial"/>
          <w:i/>
          <w:iCs/>
        </w:rPr>
        <w:t>, 2025, 102328</w:t>
      </w:r>
    </w:p>
    <w:p w:rsidR="00697B04" w:rsidRPr="00AC0D7D" w:rsidRDefault="00E229C5" w:rsidP="00AC0D7D">
      <w:pPr>
        <w:pStyle w:val="ListParagraph"/>
        <w:numPr>
          <w:ilvl w:val="0"/>
          <w:numId w:val="5"/>
        </w:numPr>
        <w:spacing w:before="240" w:after="240"/>
        <w:jc w:val="both"/>
        <w:rPr>
          <w:rFonts w:ascii="Arial" w:eastAsia="Arial" w:hAnsi="Arial" w:cs="Arial"/>
        </w:rPr>
      </w:pPr>
      <w:proofErr w:type="spellStart"/>
      <w:r w:rsidRPr="00AC0D7D">
        <w:rPr>
          <w:rFonts w:ascii="Arial" w:eastAsia="Arial" w:hAnsi="Arial" w:cs="Arial"/>
          <w:highlight w:val="white"/>
        </w:rPr>
        <w:t>Baras</w:t>
      </w:r>
      <w:proofErr w:type="spellEnd"/>
      <w:r w:rsidRPr="00AC0D7D">
        <w:rPr>
          <w:rFonts w:ascii="Arial" w:eastAsia="Arial" w:hAnsi="Arial" w:cs="Arial"/>
          <w:highlight w:val="white"/>
        </w:rPr>
        <w:t xml:space="preserve">, D.M., </w:t>
      </w:r>
      <w:proofErr w:type="spellStart"/>
      <w:r w:rsidRPr="00AC0D7D">
        <w:rPr>
          <w:rFonts w:ascii="Arial" w:eastAsia="Arial" w:hAnsi="Arial" w:cs="Arial"/>
          <w:highlight w:val="white"/>
        </w:rPr>
        <w:t>Adolwa</w:t>
      </w:r>
      <w:proofErr w:type="spellEnd"/>
      <w:r w:rsidRPr="00AC0D7D">
        <w:rPr>
          <w:rFonts w:ascii="Arial" w:eastAsia="Arial" w:hAnsi="Arial" w:cs="Arial"/>
          <w:highlight w:val="white"/>
        </w:rPr>
        <w:t xml:space="preserve">, I., </w:t>
      </w:r>
      <w:proofErr w:type="spellStart"/>
      <w:r w:rsidRPr="00AC0D7D">
        <w:rPr>
          <w:rFonts w:ascii="Arial" w:eastAsia="Arial" w:hAnsi="Arial" w:cs="Arial"/>
          <w:highlight w:val="white"/>
        </w:rPr>
        <w:t>Abubakari</w:t>
      </w:r>
      <w:proofErr w:type="spellEnd"/>
      <w:r w:rsidRPr="00AC0D7D">
        <w:rPr>
          <w:rFonts w:ascii="Arial" w:eastAsia="Arial" w:hAnsi="Arial" w:cs="Arial"/>
          <w:highlight w:val="white"/>
        </w:rPr>
        <w:t xml:space="preserve">, M., </w:t>
      </w:r>
      <w:proofErr w:type="spellStart"/>
      <w:r w:rsidRPr="00AC0D7D">
        <w:rPr>
          <w:rFonts w:ascii="Arial" w:eastAsia="Arial" w:hAnsi="Arial" w:cs="Arial"/>
          <w:highlight w:val="white"/>
        </w:rPr>
        <w:t>Kavise</w:t>
      </w:r>
      <w:proofErr w:type="spellEnd"/>
      <w:r w:rsidRPr="00AC0D7D">
        <w:rPr>
          <w:rFonts w:ascii="Arial" w:eastAsia="Arial" w:hAnsi="Arial" w:cs="Arial"/>
          <w:highlight w:val="white"/>
        </w:rPr>
        <w:t>, B, Limo, B. and Pali, P.N. (2026) Understanding farmer decision-making and gendered adopti</w:t>
      </w:r>
      <w:r w:rsidRPr="00AC0D7D">
        <w:rPr>
          <w:rFonts w:ascii="Arial" w:eastAsia="Arial" w:hAnsi="Arial" w:cs="Arial"/>
          <w:highlight w:val="white"/>
        </w:rPr>
        <w:t xml:space="preserve">on strategies under climate shocks in sub-Saharan Africa. </w:t>
      </w:r>
      <w:r w:rsidRPr="00AC0D7D">
        <w:rPr>
          <w:rFonts w:ascii="Arial" w:eastAsia="Arial" w:hAnsi="Arial" w:cs="Arial"/>
          <w:i/>
          <w:iCs/>
          <w:highlight w:val="white"/>
        </w:rPr>
        <w:t>Front. Sustain. Food Syst.</w:t>
      </w:r>
      <w:r w:rsidRPr="00AC0D7D">
        <w:rPr>
          <w:rFonts w:ascii="Arial" w:eastAsia="Arial" w:hAnsi="Arial" w:cs="Arial"/>
          <w:highlight w:val="white"/>
        </w:rPr>
        <w:t xml:space="preserve"> 10:1676698.</w:t>
      </w:r>
    </w:p>
    <w:p w:rsidR="00697B04" w:rsidRPr="00AC0D7D" w:rsidRDefault="00E229C5" w:rsidP="00AC0D7D">
      <w:pPr>
        <w:pStyle w:val="ListParagraph"/>
        <w:keepNext/>
        <w:numPr>
          <w:ilvl w:val="0"/>
          <w:numId w:val="5"/>
        </w:numPr>
        <w:pBdr>
          <w:top w:val="nil"/>
          <w:left w:val="nil"/>
          <w:bottom w:val="nil"/>
          <w:right w:val="nil"/>
          <w:between w:val="nil"/>
        </w:pBdr>
        <w:jc w:val="both"/>
        <w:rPr>
          <w:rFonts w:ascii="Arial" w:eastAsia="Arial" w:hAnsi="Arial" w:cs="Arial"/>
          <w:i/>
          <w:iCs/>
        </w:rPr>
      </w:pPr>
      <w:r w:rsidRPr="00AC0D7D">
        <w:rPr>
          <w:rFonts w:ascii="Arial" w:eastAsia="Arial" w:hAnsi="Arial" w:cs="Arial"/>
        </w:rPr>
        <w:lastRenderedPageBreak/>
        <w:t>Collins, E. A., William, Q., Charity, O-A., Andrew, E. O. and Daniel, B. S. (2023). Improving smallholder farmers’ access to and utilization of climate informa</w:t>
      </w:r>
      <w:r w:rsidRPr="00AC0D7D">
        <w:rPr>
          <w:rFonts w:ascii="Arial" w:eastAsia="Arial" w:hAnsi="Arial" w:cs="Arial"/>
        </w:rPr>
        <w:t>tion services in sub-Saharan Africa through social networks: A systematic review.</w:t>
      </w:r>
      <w:hyperlink r:id="rId19">
        <w:r w:rsidRPr="00AC0D7D">
          <w:rPr>
            <w:rFonts w:ascii="Arial" w:eastAsia="Arial" w:hAnsi="Arial" w:cs="Arial"/>
          </w:rPr>
          <w:t xml:space="preserve"> </w:t>
        </w:r>
      </w:hyperlink>
      <w:hyperlink r:id="rId20">
        <w:r w:rsidRPr="00AC0D7D">
          <w:rPr>
            <w:rFonts w:ascii="Arial" w:eastAsia="Arial" w:hAnsi="Arial" w:cs="Arial"/>
            <w:i/>
            <w:iCs/>
            <w:color w:val="1155CC"/>
          </w:rPr>
          <w:t>Climate Services</w:t>
        </w:r>
      </w:hyperlink>
      <w:hyperlink r:id="rId21">
        <w:r w:rsidRPr="00AC0D7D">
          <w:rPr>
            <w:rFonts w:ascii="Arial" w:eastAsia="Arial" w:hAnsi="Arial" w:cs="Arial"/>
            <w:i/>
            <w:iCs/>
          </w:rPr>
          <w:t xml:space="preserve"> </w:t>
        </w:r>
      </w:hyperlink>
      <w:hyperlink r:id="rId22">
        <w:r w:rsidRPr="00AC0D7D">
          <w:rPr>
            <w:rFonts w:ascii="Arial" w:eastAsia="Arial" w:hAnsi="Arial" w:cs="Arial"/>
            <w:i/>
            <w:iCs/>
            <w:color w:val="1155CC"/>
          </w:rPr>
          <w:t>Volume 37</w:t>
        </w:r>
      </w:hyperlink>
      <w:r w:rsidRPr="00AC0D7D">
        <w:rPr>
          <w:rFonts w:ascii="Arial" w:eastAsia="Arial" w:hAnsi="Arial" w:cs="Arial"/>
          <w:i/>
          <w:iCs/>
        </w:rPr>
        <w:t>, January 2025, 100528</w:t>
      </w:r>
    </w:p>
    <w:p w:rsidR="00697B04" w:rsidRDefault="00697B04">
      <w:pPr>
        <w:keepNext/>
        <w:pBdr>
          <w:top w:val="nil"/>
          <w:left w:val="nil"/>
          <w:bottom w:val="nil"/>
          <w:right w:val="nil"/>
          <w:between w:val="nil"/>
        </w:pBdr>
        <w:jc w:val="both"/>
        <w:rPr>
          <w:rFonts w:ascii="Arial" w:eastAsia="Arial" w:hAnsi="Arial" w:cs="Arial"/>
          <w:i/>
          <w:iCs/>
        </w:rPr>
      </w:pPr>
    </w:p>
    <w:p w:rsidR="00697B04" w:rsidRPr="00AC0D7D" w:rsidRDefault="00E229C5" w:rsidP="00AC0D7D">
      <w:pPr>
        <w:pStyle w:val="ListParagraph"/>
        <w:numPr>
          <w:ilvl w:val="0"/>
          <w:numId w:val="5"/>
        </w:numPr>
        <w:spacing w:line="276" w:lineRule="auto"/>
        <w:jc w:val="both"/>
        <w:rPr>
          <w:rFonts w:ascii="Arial" w:eastAsia="Arial" w:hAnsi="Arial" w:cs="Arial"/>
        </w:rPr>
      </w:pPr>
      <w:r w:rsidRPr="00AC0D7D">
        <w:rPr>
          <w:rFonts w:ascii="Arial" w:eastAsia="Arial" w:hAnsi="Arial" w:cs="Arial"/>
        </w:rPr>
        <w:t xml:space="preserve">FAO. (2017). </w:t>
      </w:r>
      <w:r w:rsidRPr="00AC0D7D">
        <w:rPr>
          <w:rFonts w:ascii="Arial" w:eastAsia="Arial" w:hAnsi="Arial" w:cs="Arial"/>
          <w:i/>
          <w:iCs/>
        </w:rPr>
        <w:t>The future of food and agriculture: Trends and challenges</w:t>
      </w:r>
      <w:r w:rsidRPr="00AC0D7D">
        <w:rPr>
          <w:rFonts w:ascii="Arial" w:eastAsia="Arial" w:hAnsi="Arial" w:cs="Arial"/>
        </w:rPr>
        <w:t>. Food and Agriculture Organization of the United Nations.</w:t>
      </w:r>
    </w:p>
    <w:p w:rsidR="00697B04" w:rsidRDefault="00697B04">
      <w:pPr>
        <w:spacing w:line="276" w:lineRule="auto"/>
        <w:jc w:val="both"/>
        <w:rPr>
          <w:rFonts w:ascii="Arial" w:eastAsia="Arial" w:hAnsi="Arial" w:cs="Arial"/>
        </w:rPr>
      </w:pPr>
    </w:p>
    <w:p w:rsidR="00697B04" w:rsidRPr="00AC0D7D" w:rsidRDefault="00E229C5" w:rsidP="00AC0D7D">
      <w:pPr>
        <w:pStyle w:val="ListParagraph"/>
        <w:numPr>
          <w:ilvl w:val="0"/>
          <w:numId w:val="5"/>
        </w:numPr>
        <w:spacing w:line="276" w:lineRule="auto"/>
        <w:jc w:val="both"/>
        <w:rPr>
          <w:rFonts w:ascii="Arial" w:eastAsia="Arial" w:hAnsi="Arial" w:cs="Arial"/>
        </w:rPr>
      </w:pPr>
      <w:r w:rsidRPr="00AC0D7D">
        <w:rPr>
          <w:rFonts w:ascii="Arial" w:eastAsia="Arial" w:hAnsi="Arial" w:cs="Arial"/>
        </w:rPr>
        <w:t xml:space="preserve">FAO, &amp; ICRISAT. (2019). </w:t>
      </w:r>
      <w:r w:rsidRPr="00AC0D7D">
        <w:rPr>
          <w:rFonts w:ascii="Arial" w:eastAsia="Arial" w:hAnsi="Arial" w:cs="Arial"/>
          <w:i/>
          <w:iCs/>
        </w:rPr>
        <w:t>Climate</w:t>
      </w:r>
      <w:r w:rsidRPr="00AC0D7D">
        <w:rPr>
          <w:rFonts w:ascii="Cambria Math" w:eastAsia="Arial" w:hAnsi="Cambria Math" w:cs="Cambria Math"/>
          <w:i/>
          <w:iCs/>
        </w:rPr>
        <w:t>‑</w:t>
      </w:r>
      <w:r w:rsidRPr="00AC0D7D">
        <w:rPr>
          <w:rFonts w:ascii="Arial" w:eastAsia="Arial" w:hAnsi="Arial" w:cs="Arial"/>
          <w:i/>
          <w:iCs/>
        </w:rPr>
        <w:t>smart agriculture in the Adamawa State of Nigeria: CSA country profiles for Africa series</w:t>
      </w:r>
      <w:r w:rsidRPr="00AC0D7D">
        <w:rPr>
          <w:rFonts w:ascii="Arial" w:eastAsia="Arial" w:hAnsi="Arial" w:cs="Arial"/>
        </w:rPr>
        <w:t>. FAO.</w:t>
      </w:r>
    </w:p>
    <w:p w:rsidR="00697B04" w:rsidRPr="00AC0D7D" w:rsidRDefault="00E229C5" w:rsidP="00AC0D7D">
      <w:pPr>
        <w:pStyle w:val="ListParagraph"/>
        <w:numPr>
          <w:ilvl w:val="0"/>
          <w:numId w:val="5"/>
        </w:numPr>
        <w:spacing w:before="220" w:after="220" w:line="276" w:lineRule="auto"/>
        <w:jc w:val="both"/>
        <w:rPr>
          <w:rFonts w:ascii="Arial" w:eastAsia="Arial" w:hAnsi="Arial" w:cs="Arial"/>
        </w:rPr>
      </w:pPr>
      <w:proofErr w:type="spellStart"/>
      <w:r w:rsidRPr="00AC0D7D">
        <w:rPr>
          <w:rFonts w:ascii="Arial" w:eastAsia="Arial" w:hAnsi="Arial" w:cs="Arial"/>
        </w:rPr>
        <w:t>Jost</w:t>
      </w:r>
      <w:proofErr w:type="spellEnd"/>
      <w:r w:rsidRPr="00AC0D7D">
        <w:rPr>
          <w:rFonts w:ascii="Arial" w:eastAsia="Arial" w:hAnsi="Arial" w:cs="Arial"/>
        </w:rPr>
        <w:t xml:space="preserve">, C., </w:t>
      </w:r>
      <w:proofErr w:type="spellStart"/>
      <w:r w:rsidRPr="00AC0D7D">
        <w:rPr>
          <w:rFonts w:ascii="Arial" w:eastAsia="Arial" w:hAnsi="Arial" w:cs="Arial"/>
        </w:rPr>
        <w:t>K</w:t>
      </w:r>
      <w:r w:rsidRPr="00AC0D7D">
        <w:rPr>
          <w:rFonts w:ascii="Arial" w:eastAsia="Arial" w:hAnsi="Arial" w:cs="Arial"/>
        </w:rPr>
        <w:t>yazze</w:t>
      </w:r>
      <w:proofErr w:type="spellEnd"/>
      <w:r w:rsidRPr="00AC0D7D">
        <w:rPr>
          <w:rFonts w:ascii="Arial" w:eastAsia="Arial" w:hAnsi="Arial" w:cs="Arial"/>
        </w:rPr>
        <w:t xml:space="preserve">, F., </w:t>
      </w:r>
      <w:proofErr w:type="spellStart"/>
      <w:r w:rsidRPr="00AC0D7D">
        <w:rPr>
          <w:rFonts w:ascii="Arial" w:eastAsia="Arial" w:hAnsi="Arial" w:cs="Arial"/>
        </w:rPr>
        <w:t>Naab</w:t>
      </w:r>
      <w:proofErr w:type="spellEnd"/>
      <w:r w:rsidRPr="00AC0D7D">
        <w:rPr>
          <w:rFonts w:ascii="Arial" w:eastAsia="Arial" w:hAnsi="Arial" w:cs="Arial"/>
        </w:rPr>
        <w:t xml:space="preserve">, J., </w:t>
      </w:r>
      <w:proofErr w:type="spellStart"/>
      <w:r w:rsidRPr="00AC0D7D">
        <w:rPr>
          <w:rFonts w:ascii="Arial" w:eastAsia="Arial" w:hAnsi="Arial" w:cs="Arial"/>
        </w:rPr>
        <w:t>Neelormi</w:t>
      </w:r>
      <w:proofErr w:type="spellEnd"/>
      <w:r w:rsidRPr="00AC0D7D">
        <w:rPr>
          <w:rFonts w:ascii="Arial" w:eastAsia="Arial" w:hAnsi="Arial" w:cs="Arial"/>
        </w:rPr>
        <w:t xml:space="preserve">, S., </w:t>
      </w:r>
      <w:proofErr w:type="spellStart"/>
      <w:r w:rsidRPr="00AC0D7D">
        <w:rPr>
          <w:rFonts w:ascii="Arial" w:eastAsia="Arial" w:hAnsi="Arial" w:cs="Arial"/>
        </w:rPr>
        <w:t>Kinyangi</w:t>
      </w:r>
      <w:proofErr w:type="spellEnd"/>
      <w:r w:rsidRPr="00AC0D7D">
        <w:rPr>
          <w:rFonts w:ascii="Arial" w:eastAsia="Arial" w:hAnsi="Arial" w:cs="Arial"/>
        </w:rPr>
        <w:t xml:space="preserve">, J., </w:t>
      </w:r>
      <w:proofErr w:type="spellStart"/>
      <w:r w:rsidRPr="00AC0D7D">
        <w:rPr>
          <w:rFonts w:ascii="Arial" w:eastAsia="Arial" w:hAnsi="Arial" w:cs="Arial"/>
        </w:rPr>
        <w:t>Zougmore</w:t>
      </w:r>
      <w:proofErr w:type="spellEnd"/>
      <w:r w:rsidRPr="00AC0D7D">
        <w:rPr>
          <w:rFonts w:ascii="Arial" w:eastAsia="Arial" w:hAnsi="Arial" w:cs="Arial"/>
        </w:rPr>
        <w:t xml:space="preserve">, R., Aggarwal, P., &amp; </w:t>
      </w:r>
      <w:proofErr w:type="spellStart"/>
      <w:r w:rsidRPr="00AC0D7D">
        <w:rPr>
          <w:rFonts w:ascii="Arial" w:eastAsia="Arial" w:hAnsi="Arial" w:cs="Arial"/>
        </w:rPr>
        <w:t>Kristjanson</w:t>
      </w:r>
      <w:proofErr w:type="spellEnd"/>
      <w:r w:rsidRPr="00AC0D7D">
        <w:rPr>
          <w:rFonts w:ascii="Arial" w:eastAsia="Arial" w:hAnsi="Arial" w:cs="Arial"/>
        </w:rPr>
        <w:t xml:space="preserve">, P. (2016). Understanding gender dimensions of agriculture and climate change in smallholder farming communities. </w:t>
      </w:r>
      <w:r w:rsidRPr="00AC0D7D">
        <w:rPr>
          <w:rFonts w:ascii="Arial" w:eastAsia="Arial" w:hAnsi="Arial" w:cs="Arial"/>
          <w:i/>
          <w:iCs/>
        </w:rPr>
        <w:t>Climate and Development, 8</w:t>
      </w:r>
      <w:r w:rsidRPr="00AC0D7D">
        <w:rPr>
          <w:rFonts w:ascii="Arial" w:eastAsia="Arial" w:hAnsi="Arial" w:cs="Arial"/>
        </w:rPr>
        <w:t>(2), 133–144. https://doi</w:t>
      </w:r>
      <w:r w:rsidRPr="00AC0D7D">
        <w:rPr>
          <w:rFonts w:ascii="Arial" w:eastAsia="Arial" w:hAnsi="Arial" w:cs="Arial"/>
        </w:rPr>
        <w:t>.org/10.1080/17565529.2015.1050978</w:t>
      </w:r>
    </w:p>
    <w:p w:rsidR="00697B04" w:rsidRPr="00AC0D7D" w:rsidRDefault="00E229C5" w:rsidP="00AC0D7D">
      <w:pPr>
        <w:pStyle w:val="ListParagraph"/>
        <w:numPr>
          <w:ilvl w:val="0"/>
          <w:numId w:val="5"/>
        </w:numPr>
        <w:spacing w:before="220" w:after="220" w:line="276" w:lineRule="auto"/>
        <w:jc w:val="both"/>
        <w:rPr>
          <w:rFonts w:ascii="Arial" w:eastAsia="Arial" w:hAnsi="Arial" w:cs="Arial"/>
        </w:rPr>
      </w:pPr>
      <w:proofErr w:type="spellStart"/>
      <w:r w:rsidRPr="00AC0D7D">
        <w:rPr>
          <w:rFonts w:ascii="Arial" w:eastAsia="Arial" w:hAnsi="Arial" w:cs="Arial"/>
        </w:rPr>
        <w:t>Kangogo</w:t>
      </w:r>
      <w:proofErr w:type="spellEnd"/>
      <w:r w:rsidRPr="00AC0D7D">
        <w:rPr>
          <w:rFonts w:ascii="Arial" w:eastAsia="Arial" w:hAnsi="Arial" w:cs="Arial"/>
        </w:rPr>
        <w:t xml:space="preserve">, D., </w:t>
      </w:r>
      <w:proofErr w:type="spellStart"/>
      <w:r w:rsidRPr="00AC0D7D">
        <w:rPr>
          <w:rFonts w:ascii="Arial" w:eastAsia="Arial" w:hAnsi="Arial" w:cs="Arial"/>
        </w:rPr>
        <w:t>Dentoni</w:t>
      </w:r>
      <w:proofErr w:type="spellEnd"/>
      <w:r w:rsidRPr="00AC0D7D">
        <w:rPr>
          <w:rFonts w:ascii="Arial" w:eastAsia="Arial" w:hAnsi="Arial" w:cs="Arial"/>
        </w:rPr>
        <w:t xml:space="preserve">, D., &amp; </w:t>
      </w:r>
      <w:proofErr w:type="spellStart"/>
      <w:r w:rsidRPr="00AC0D7D">
        <w:rPr>
          <w:rFonts w:ascii="Arial" w:eastAsia="Arial" w:hAnsi="Arial" w:cs="Arial"/>
        </w:rPr>
        <w:t>Bijman</w:t>
      </w:r>
      <w:proofErr w:type="spellEnd"/>
      <w:r w:rsidRPr="00AC0D7D">
        <w:rPr>
          <w:rFonts w:ascii="Arial" w:eastAsia="Arial" w:hAnsi="Arial" w:cs="Arial"/>
        </w:rPr>
        <w:t>, J. (2021). Adoption of climate</w:t>
      </w:r>
      <w:r w:rsidRPr="00AC0D7D">
        <w:rPr>
          <w:rFonts w:ascii="Cambria Math" w:eastAsia="Arial" w:hAnsi="Cambria Math" w:cs="Cambria Math"/>
        </w:rPr>
        <w:t>‑</w:t>
      </w:r>
      <w:r w:rsidRPr="00AC0D7D">
        <w:rPr>
          <w:rFonts w:ascii="Arial" w:eastAsia="Arial" w:hAnsi="Arial" w:cs="Arial"/>
        </w:rPr>
        <w:t xml:space="preserve">smart agriculture among smallholder farmers: Does farmer entrepreneurship matter? </w:t>
      </w:r>
      <w:r w:rsidRPr="00AC0D7D">
        <w:rPr>
          <w:rFonts w:ascii="Arial" w:eastAsia="Arial" w:hAnsi="Arial" w:cs="Arial"/>
          <w:i/>
          <w:iCs/>
        </w:rPr>
        <w:t>Land Use Policy, 109</w:t>
      </w:r>
      <w:r w:rsidRPr="00AC0D7D">
        <w:rPr>
          <w:rFonts w:ascii="Arial" w:eastAsia="Arial" w:hAnsi="Arial" w:cs="Arial"/>
        </w:rPr>
        <w:t>, 105666. https://doi.org/10.1016/j.landusepol.2021.</w:t>
      </w:r>
      <w:r w:rsidRPr="00AC0D7D">
        <w:rPr>
          <w:rFonts w:ascii="Arial" w:eastAsia="Arial" w:hAnsi="Arial" w:cs="Arial"/>
        </w:rPr>
        <w:t>105666</w:t>
      </w:r>
    </w:p>
    <w:p w:rsidR="00697B04" w:rsidRPr="00AC0D7D" w:rsidRDefault="00E229C5" w:rsidP="00AC0D7D">
      <w:pPr>
        <w:pStyle w:val="ListParagraph"/>
        <w:numPr>
          <w:ilvl w:val="0"/>
          <w:numId w:val="5"/>
        </w:numPr>
        <w:spacing w:before="220" w:after="220" w:line="276" w:lineRule="auto"/>
        <w:jc w:val="both"/>
        <w:rPr>
          <w:rFonts w:ascii="Arial" w:eastAsia="Arial" w:hAnsi="Arial" w:cs="Arial"/>
          <w:sz w:val="19"/>
          <w:szCs w:val="19"/>
        </w:rPr>
      </w:pPr>
      <w:r w:rsidRPr="00AC0D7D">
        <w:rPr>
          <w:rFonts w:ascii="Arial" w:eastAsia="Arial" w:hAnsi="Arial" w:cs="Arial"/>
        </w:rPr>
        <w:t xml:space="preserve">Pannell, D. J., &amp; Claassen, R. (2020). The roles of adoption and behavior change in agricultural policy. </w:t>
      </w:r>
      <w:r w:rsidRPr="00AC0D7D">
        <w:rPr>
          <w:rFonts w:ascii="Arial" w:eastAsia="Arial" w:hAnsi="Arial" w:cs="Arial"/>
          <w:i/>
          <w:iCs/>
        </w:rPr>
        <w:t>Applied Economic Perspectives and Policy, 41</w:t>
      </w:r>
      <w:r w:rsidRPr="00AC0D7D">
        <w:rPr>
          <w:rFonts w:ascii="Arial" w:eastAsia="Arial" w:hAnsi="Arial" w:cs="Arial"/>
        </w:rPr>
        <w:t xml:space="preserve">(1), 1–20. </w:t>
      </w:r>
      <w:hyperlink r:id="rId23">
        <w:r w:rsidRPr="00AC0D7D">
          <w:rPr>
            <w:rFonts w:ascii="Arial" w:eastAsia="Arial" w:hAnsi="Arial" w:cs="Arial"/>
            <w:color w:val="1155CC"/>
            <w:u w:val="single"/>
          </w:rPr>
          <w:t>https://doi.org/1</w:t>
        </w:r>
      </w:hyperlink>
      <w:hyperlink r:id="rId24">
        <w:r w:rsidRPr="00AC0D7D">
          <w:rPr>
            <w:rFonts w:ascii="Arial" w:eastAsia="Arial" w:hAnsi="Arial" w:cs="Arial"/>
            <w:color w:val="1155CC"/>
            <w:sz w:val="19"/>
            <w:szCs w:val="19"/>
            <w:u w:val="single"/>
          </w:rPr>
          <w:t>0.1002/aepp.13009</w:t>
        </w:r>
      </w:hyperlink>
      <w:r w:rsidRPr="00AC0D7D">
        <w:rPr>
          <w:rFonts w:ascii="Arial" w:eastAsia="Arial" w:hAnsi="Arial" w:cs="Arial"/>
          <w:sz w:val="19"/>
          <w:szCs w:val="19"/>
        </w:rPr>
        <w:t>.</w:t>
      </w:r>
    </w:p>
    <w:p w:rsidR="00697B04" w:rsidRPr="00AC0D7D" w:rsidRDefault="00E229C5" w:rsidP="00AC0D7D">
      <w:pPr>
        <w:pStyle w:val="ListParagraph"/>
        <w:numPr>
          <w:ilvl w:val="0"/>
          <w:numId w:val="5"/>
        </w:numPr>
        <w:spacing w:before="240"/>
        <w:jc w:val="both"/>
        <w:rPr>
          <w:rFonts w:ascii="Arial" w:eastAsia="Arial" w:hAnsi="Arial" w:cs="Arial"/>
        </w:rPr>
      </w:pPr>
      <w:r w:rsidRPr="00AC0D7D">
        <w:rPr>
          <w:rFonts w:ascii="Arial" w:eastAsia="Arial" w:hAnsi="Arial" w:cs="Arial"/>
        </w:rPr>
        <w:t xml:space="preserve">Madsen, S., </w:t>
      </w:r>
      <w:proofErr w:type="spellStart"/>
      <w:r w:rsidRPr="00AC0D7D">
        <w:rPr>
          <w:rFonts w:ascii="Arial" w:eastAsia="Arial" w:hAnsi="Arial" w:cs="Arial"/>
        </w:rPr>
        <w:t>Karuga</w:t>
      </w:r>
      <w:proofErr w:type="spellEnd"/>
      <w:r w:rsidRPr="00AC0D7D">
        <w:rPr>
          <w:rFonts w:ascii="Arial" w:eastAsia="Arial" w:hAnsi="Arial" w:cs="Arial"/>
        </w:rPr>
        <w:t xml:space="preserve">, J. and </w:t>
      </w:r>
      <w:proofErr w:type="spellStart"/>
      <w:r w:rsidRPr="00AC0D7D">
        <w:rPr>
          <w:rFonts w:ascii="Arial" w:eastAsia="Arial" w:hAnsi="Arial" w:cs="Arial"/>
        </w:rPr>
        <w:t>Wezel</w:t>
      </w:r>
      <w:proofErr w:type="spellEnd"/>
      <w:r w:rsidRPr="00AC0D7D">
        <w:rPr>
          <w:rFonts w:ascii="Arial" w:eastAsia="Arial" w:hAnsi="Arial" w:cs="Arial"/>
        </w:rPr>
        <w:t>, A. (2020).</w:t>
      </w:r>
      <w:r w:rsidRPr="00AC0D7D">
        <w:rPr>
          <w:rFonts w:ascii="Arial" w:eastAsia="Arial" w:hAnsi="Arial" w:cs="Arial"/>
          <w:i/>
          <w:iCs/>
        </w:rPr>
        <w:t xml:space="preserve"> </w:t>
      </w:r>
      <w:r w:rsidRPr="00AC0D7D">
        <w:rPr>
          <w:rFonts w:ascii="Arial" w:eastAsia="Arial" w:hAnsi="Arial" w:cs="Arial"/>
        </w:rPr>
        <w:t>Coffee-Banana Intercropping in Uganda;</w:t>
      </w:r>
      <w:r w:rsidRPr="00AC0D7D">
        <w:rPr>
          <w:rFonts w:ascii="Arial" w:eastAsia="Arial" w:hAnsi="Arial" w:cs="Arial"/>
          <w:i/>
          <w:iCs/>
        </w:rPr>
        <w:t xml:space="preserve"> CT-EX2019D351242-102 Agroecology for Food Insecure Countries, 2020</w:t>
      </w:r>
    </w:p>
    <w:p w:rsidR="00697B04" w:rsidRPr="00AC0D7D" w:rsidRDefault="00E229C5" w:rsidP="00AC0D7D">
      <w:pPr>
        <w:pStyle w:val="ListParagraph"/>
        <w:numPr>
          <w:ilvl w:val="0"/>
          <w:numId w:val="5"/>
        </w:numPr>
        <w:spacing w:before="240"/>
        <w:jc w:val="both"/>
        <w:rPr>
          <w:rFonts w:ascii="Arial" w:eastAsia="Arial" w:hAnsi="Arial" w:cs="Arial"/>
          <w:sz w:val="22"/>
          <w:szCs w:val="22"/>
        </w:rPr>
      </w:pPr>
      <w:proofErr w:type="spellStart"/>
      <w:r w:rsidRPr="00AC0D7D">
        <w:rPr>
          <w:rFonts w:ascii="Arial" w:eastAsia="Arial" w:hAnsi="Arial" w:cs="Arial"/>
          <w:highlight w:val="white"/>
        </w:rPr>
        <w:t>Manono</w:t>
      </w:r>
      <w:proofErr w:type="spellEnd"/>
      <w:r w:rsidRPr="00AC0D7D">
        <w:rPr>
          <w:rFonts w:ascii="Arial" w:eastAsia="Arial" w:hAnsi="Arial" w:cs="Arial"/>
          <w:highlight w:val="white"/>
        </w:rPr>
        <w:t xml:space="preserve">, B. O., Khan, S., &amp; </w:t>
      </w:r>
      <w:proofErr w:type="spellStart"/>
      <w:r w:rsidRPr="00AC0D7D">
        <w:rPr>
          <w:rFonts w:ascii="Arial" w:eastAsia="Arial" w:hAnsi="Arial" w:cs="Arial"/>
          <w:highlight w:val="white"/>
        </w:rPr>
        <w:t>Kithaka</w:t>
      </w:r>
      <w:proofErr w:type="spellEnd"/>
      <w:r w:rsidRPr="00AC0D7D">
        <w:rPr>
          <w:rFonts w:ascii="Arial" w:eastAsia="Arial" w:hAnsi="Arial" w:cs="Arial"/>
          <w:highlight w:val="white"/>
        </w:rPr>
        <w:t xml:space="preserve">, K. M. (2025). A Review of the Socio-Economic, Institutional, and Biophysical Factors Influencing Smallholder Farmers’ Adoption of Climate Smart Agricultural Practices in Sub-Saharan Africa. </w:t>
      </w:r>
      <w:r w:rsidRPr="00AC0D7D">
        <w:rPr>
          <w:rFonts w:ascii="Arial" w:eastAsia="Arial" w:hAnsi="Arial" w:cs="Arial"/>
          <w:i/>
          <w:iCs/>
          <w:highlight w:val="white"/>
        </w:rPr>
        <w:t>Earth</w:t>
      </w:r>
      <w:r w:rsidRPr="00AC0D7D">
        <w:rPr>
          <w:rFonts w:ascii="Arial" w:eastAsia="Arial" w:hAnsi="Arial" w:cs="Arial"/>
          <w:highlight w:val="white"/>
        </w:rPr>
        <w:t xml:space="preserve">, </w:t>
      </w:r>
      <w:r w:rsidRPr="00AC0D7D">
        <w:rPr>
          <w:rFonts w:ascii="Arial" w:eastAsia="Arial" w:hAnsi="Arial" w:cs="Arial"/>
          <w:i/>
          <w:iCs/>
          <w:highlight w:val="white"/>
        </w:rPr>
        <w:t>6</w:t>
      </w:r>
      <w:r w:rsidRPr="00AC0D7D">
        <w:rPr>
          <w:rFonts w:ascii="Arial" w:eastAsia="Arial" w:hAnsi="Arial" w:cs="Arial"/>
          <w:highlight w:val="white"/>
        </w:rPr>
        <w:t>(2), 48</w:t>
      </w:r>
    </w:p>
    <w:p w:rsidR="00697B04" w:rsidRPr="00AC0D7D" w:rsidRDefault="00E229C5" w:rsidP="00AC0D7D">
      <w:pPr>
        <w:pStyle w:val="ListParagraph"/>
        <w:numPr>
          <w:ilvl w:val="0"/>
          <w:numId w:val="5"/>
        </w:numPr>
        <w:spacing w:before="240"/>
        <w:jc w:val="both"/>
        <w:rPr>
          <w:rFonts w:ascii="Arial" w:eastAsia="Arial" w:hAnsi="Arial" w:cs="Arial"/>
        </w:rPr>
      </w:pPr>
      <w:proofErr w:type="spellStart"/>
      <w:r w:rsidRPr="00AC0D7D">
        <w:rPr>
          <w:rFonts w:ascii="Arial" w:eastAsia="Arial" w:hAnsi="Arial" w:cs="Arial"/>
        </w:rPr>
        <w:t>Midamba</w:t>
      </w:r>
      <w:proofErr w:type="spellEnd"/>
      <w:r w:rsidRPr="00AC0D7D">
        <w:rPr>
          <w:rFonts w:ascii="Arial" w:eastAsia="Arial" w:hAnsi="Arial" w:cs="Arial"/>
        </w:rPr>
        <w:t>, D. C.</w:t>
      </w:r>
      <w:r w:rsidRPr="00AC0D7D">
        <w:rPr>
          <w:rFonts w:ascii="Arial" w:eastAsia="Arial" w:hAnsi="Arial" w:cs="Arial"/>
        </w:rPr>
        <w:t xml:space="preserve">, </w:t>
      </w:r>
      <w:proofErr w:type="spellStart"/>
      <w:r w:rsidRPr="00AC0D7D">
        <w:rPr>
          <w:rFonts w:ascii="Arial" w:eastAsia="Arial" w:hAnsi="Arial" w:cs="Arial"/>
        </w:rPr>
        <w:t>Kwesiga</w:t>
      </w:r>
      <w:proofErr w:type="spellEnd"/>
      <w:r w:rsidRPr="00AC0D7D">
        <w:rPr>
          <w:rFonts w:ascii="Arial" w:eastAsia="Arial" w:hAnsi="Arial" w:cs="Arial"/>
        </w:rPr>
        <w:t xml:space="preserve">, M., and Ouko, K. O. (2024). Determinants of adoption of sustainable agricultural practices among maize producers in Northern Uganda. </w:t>
      </w:r>
      <w:r w:rsidRPr="00AC0D7D">
        <w:rPr>
          <w:rFonts w:ascii="Arial" w:eastAsia="Arial" w:hAnsi="Arial" w:cs="Arial"/>
          <w:i/>
          <w:iCs/>
        </w:rPr>
        <w:t>Cogent Social Sciences</w:t>
      </w:r>
      <w:r w:rsidRPr="00AC0D7D">
        <w:rPr>
          <w:rFonts w:ascii="Arial" w:eastAsia="Arial" w:hAnsi="Arial" w:cs="Arial"/>
        </w:rPr>
        <w:t xml:space="preserve">, </w:t>
      </w:r>
      <w:r w:rsidRPr="00AC0D7D">
        <w:rPr>
          <w:rFonts w:ascii="Arial" w:eastAsia="Arial" w:hAnsi="Arial" w:cs="Arial"/>
          <w:i/>
          <w:iCs/>
        </w:rPr>
        <w:t>10(1).</w:t>
      </w:r>
      <w:hyperlink r:id="rId25">
        <w:r w:rsidRPr="00AC0D7D">
          <w:rPr>
            <w:rFonts w:ascii="Arial" w:eastAsia="Arial" w:hAnsi="Arial" w:cs="Arial"/>
            <w:i/>
            <w:iCs/>
          </w:rPr>
          <w:t xml:space="preserve"> </w:t>
        </w:r>
      </w:hyperlink>
      <w:hyperlink r:id="rId26">
        <w:r w:rsidRPr="00AC0D7D">
          <w:rPr>
            <w:rFonts w:ascii="Arial" w:eastAsia="Arial" w:hAnsi="Arial" w:cs="Arial"/>
            <w:i/>
            <w:iCs/>
            <w:color w:val="1155CC"/>
            <w:u w:val="single"/>
          </w:rPr>
          <w:t>https://doi.org/10.1080/23311886.2023.2286034</w:t>
        </w:r>
      </w:hyperlink>
    </w:p>
    <w:p w:rsidR="00697B04" w:rsidRPr="00AC0D7D" w:rsidRDefault="00E229C5" w:rsidP="00AC0D7D">
      <w:pPr>
        <w:pStyle w:val="ListParagraph"/>
        <w:numPr>
          <w:ilvl w:val="0"/>
          <w:numId w:val="5"/>
        </w:numPr>
        <w:spacing w:before="240"/>
        <w:jc w:val="both"/>
        <w:rPr>
          <w:rFonts w:ascii="Arial" w:eastAsia="Arial" w:hAnsi="Arial" w:cs="Arial"/>
          <w:i/>
          <w:iCs/>
          <w:color w:val="1155CC"/>
          <w:u w:val="single"/>
        </w:rPr>
      </w:pPr>
      <w:proofErr w:type="spellStart"/>
      <w:r w:rsidRPr="00AC0D7D">
        <w:rPr>
          <w:rFonts w:ascii="Arial" w:eastAsia="Arial" w:hAnsi="Arial" w:cs="Arial"/>
        </w:rPr>
        <w:t>Nwokobia</w:t>
      </w:r>
      <w:proofErr w:type="spellEnd"/>
      <w:r w:rsidRPr="00AC0D7D">
        <w:rPr>
          <w:rFonts w:ascii="Arial" w:eastAsia="Arial" w:hAnsi="Arial" w:cs="Arial"/>
        </w:rPr>
        <w:t xml:space="preserve">, D. O. and </w:t>
      </w:r>
      <w:proofErr w:type="spellStart"/>
      <w:r w:rsidRPr="00AC0D7D">
        <w:rPr>
          <w:rFonts w:ascii="Arial" w:eastAsia="Arial" w:hAnsi="Arial" w:cs="Arial"/>
        </w:rPr>
        <w:t>Ayoola</w:t>
      </w:r>
      <w:proofErr w:type="spellEnd"/>
      <w:r w:rsidRPr="00AC0D7D">
        <w:rPr>
          <w:rFonts w:ascii="Arial" w:eastAsia="Arial" w:hAnsi="Arial" w:cs="Arial"/>
        </w:rPr>
        <w:t xml:space="preserve">, J. T. (2025).  Assessing the extent of adoption of the climate smart agriculture practices by farmers in Delta State, Nigeria. </w:t>
      </w:r>
      <w:r w:rsidRPr="00AC0D7D">
        <w:rPr>
          <w:rFonts w:ascii="Arial" w:eastAsia="Arial" w:hAnsi="Arial" w:cs="Arial"/>
          <w:i/>
          <w:iCs/>
        </w:rPr>
        <w:t>Direct</w:t>
      </w:r>
      <w:r w:rsidRPr="00AC0D7D">
        <w:rPr>
          <w:rFonts w:ascii="Arial" w:eastAsia="Arial" w:hAnsi="Arial" w:cs="Arial"/>
          <w:i/>
          <w:iCs/>
        </w:rPr>
        <w:t xml:space="preserve"> Research Journal of Agriculture and Food Science; Vol. 13(2), Pp. 62-72</w:t>
      </w:r>
    </w:p>
    <w:p w:rsidR="00697B04" w:rsidRPr="00AC0D7D" w:rsidRDefault="00E229C5" w:rsidP="00AC0D7D">
      <w:pPr>
        <w:pStyle w:val="ListParagraph"/>
        <w:numPr>
          <w:ilvl w:val="0"/>
          <w:numId w:val="5"/>
        </w:numPr>
        <w:spacing w:before="240" w:after="240"/>
        <w:jc w:val="both"/>
        <w:rPr>
          <w:rFonts w:ascii="Arial" w:eastAsia="Arial" w:hAnsi="Arial" w:cs="Arial"/>
        </w:rPr>
      </w:pPr>
      <w:proofErr w:type="spellStart"/>
      <w:r w:rsidRPr="00AC0D7D">
        <w:rPr>
          <w:rFonts w:ascii="Arial" w:eastAsia="Arial" w:hAnsi="Arial" w:cs="Arial"/>
        </w:rPr>
        <w:t>Oduniyi</w:t>
      </w:r>
      <w:proofErr w:type="spellEnd"/>
      <w:r w:rsidRPr="00AC0D7D">
        <w:rPr>
          <w:rFonts w:ascii="Arial" w:eastAsia="Arial" w:hAnsi="Arial" w:cs="Arial"/>
        </w:rPr>
        <w:t xml:space="preserve">, O. S. and </w:t>
      </w:r>
      <w:proofErr w:type="spellStart"/>
      <w:r w:rsidRPr="00AC0D7D">
        <w:rPr>
          <w:rFonts w:ascii="Arial" w:eastAsia="Arial" w:hAnsi="Arial" w:cs="Arial"/>
        </w:rPr>
        <w:t>Tekana</w:t>
      </w:r>
      <w:proofErr w:type="spellEnd"/>
      <w:r w:rsidRPr="00AC0D7D">
        <w:rPr>
          <w:rFonts w:ascii="Arial" w:eastAsia="Arial" w:hAnsi="Arial" w:cs="Arial"/>
        </w:rPr>
        <w:t>, S. S. (2019). Adoption of agroforestry practices and climate change mitigation strategies i</w:t>
      </w:r>
      <w:bookmarkStart w:id="3" w:name="_GoBack"/>
      <w:bookmarkEnd w:id="3"/>
      <w:r w:rsidRPr="00AC0D7D">
        <w:rPr>
          <w:rFonts w:ascii="Arial" w:eastAsia="Arial" w:hAnsi="Arial" w:cs="Arial"/>
        </w:rPr>
        <w:t xml:space="preserve">n North West province of South Africa. </w:t>
      </w:r>
      <w:r w:rsidRPr="00AC0D7D">
        <w:rPr>
          <w:rFonts w:ascii="Arial" w:eastAsia="Arial" w:hAnsi="Arial" w:cs="Arial"/>
          <w:i/>
          <w:iCs/>
        </w:rPr>
        <w:t>International Journal of C</w:t>
      </w:r>
      <w:r w:rsidRPr="00AC0D7D">
        <w:rPr>
          <w:rFonts w:ascii="Arial" w:eastAsia="Arial" w:hAnsi="Arial" w:cs="Arial"/>
          <w:i/>
          <w:iCs/>
        </w:rPr>
        <w:t>limate Change Strategies and Management</w:t>
      </w:r>
      <w:r w:rsidRPr="00AC0D7D">
        <w:rPr>
          <w:rFonts w:ascii="Arial" w:eastAsia="Arial" w:hAnsi="Arial" w:cs="Arial"/>
        </w:rPr>
        <w:t>, Vol. 11 No. 5 pp. 716–729</w:t>
      </w:r>
    </w:p>
    <w:p w:rsidR="00697B04" w:rsidRPr="00AC0D7D" w:rsidRDefault="00E229C5" w:rsidP="00AC0D7D">
      <w:pPr>
        <w:pStyle w:val="ListParagraph"/>
        <w:numPr>
          <w:ilvl w:val="0"/>
          <w:numId w:val="5"/>
        </w:numPr>
        <w:spacing w:before="240" w:after="240"/>
        <w:jc w:val="both"/>
        <w:rPr>
          <w:rFonts w:ascii="Arial" w:eastAsia="Arial" w:hAnsi="Arial" w:cs="Arial"/>
        </w:rPr>
        <w:sectPr w:rsidR="00697B04" w:rsidRPr="00AC0D7D">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sectPr>
      </w:pPr>
      <w:r w:rsidRPr="00AC0D7D">
        <w:rPr>
          <w:rFonts w:ascii="Arial" w:eastAsia="Arial" w:hAnsi="Arial" w:cs="Arial"/>
        </w:rPr>
        <w:t xml:space="preserve">Romy, C. (2023). Strengthening Africa’s climate-smart agriculture and food systems through enhanced policy coherence </w:t>
      </w:r>
      <w:r w:rsidRPr="00AC0D7D">
        <w:rPr>
          <w:rFonts w:ascii="Arial" w:eastAsia="Arial" w:hAnsi="Arial" w:cs="Arial"/>
        </w:rPr>
        <w:lastRenderedPageBreak/>
        <w:t>and coordinated action. South African Journal of</w:t>
      </w:r>
      <w:r w:rsidRPr="00AC0D7D">
        <w:rPr>
          <w:rFonts w:ascii="Arial" w:eastAsia="Arial" w:hAnsi="Arial" w:cs="Arial"/>
        </w:rPr>
        <w:t xml:space="preserve"> International Affairs; 30:4, pp. 595-618</w:t>
      </w:r>
    </w:p>
    <w:p w:rsidR="00697B04" w:rsidRDefault="00697B04">
      <w:pPr>
        <w:keepNext/>
        <w:spacing w:before="1440" w:after="1080"/>
        <w:jc w:val="both"/>
        <w:rPr>
          <w:rFonts w:ascii="Arial" w:eastAsia="Arial" w:hAnsi="Arial" w:cs="Arial"/>
          <w:sz w:val="24"/>
          <w:szCs w:val="24"/>
          <w:highlight w:val="white"/>
        </w:rPr>
      </w:pPr>
    </w:p>
    <w:p w:rsidR="00697B04" w:rsidRDefault="00697B04">
      <w:pPr>
        <w:keepNext/>
        <w:pBdr>
          <w:top w:val="nil"/>
          <w:left w:val="nil"/>
          <w:bottom w:val="nil"/>
          <w:right w:val="nil"/>
          <w:between w:val="nil"/>
        </w:pBdr>
        <w:jc w:val="both"/>
        <w:rPr>
          <w:rFonts w:ascii="Arial" w:eastAsia="Arial" w:hAnsi="Arial" w:cs="Arial"/>
          <w:smallCaps/>
          <w:sz w:val="22"/>
          <w:szCs w:val="22"/>
        </w:rPr>
      </w:pPr>
    </w:p>
    <w:sectPr w:rsidR="00697B0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9C5" w:rsidRDefault="00E229C5">
      <w:r>
        <w:separator/>
      </w:r>
    </w:p>
  </w:endnote>
  <w:endnote w:type="continuationSeparator" w:id="0">
    <w:p w:rsidR="00E229C5" w:rsidRDefault="00E2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B86FFC2B-081E-41F0-9F18-3FC1B8F99070}"/>
    <w:embedBold r:id="rId2" w:fontKey="{20B4EEA0-7C28-4513-A759-6AA60322031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6689C7D-40AF-41AC-A005-322238678738}"/>
  </w:font>
  <w:font w:name="Arial Unicode MS">
    <w:altName w:val="Yu Gothic"/>
    <w:panose1 w:val="020B0604020202020204"/>
    <w:charset w:val="00"/>
    <w:family w:val="auto"/>
    <w:pitch w:val="default"/>
  </w:font>
  <w:font w:name="PT Sans">
    <w:charset w:val="00"/>
    <w:family w:val="auto"/>
    <w:pitch w:val="default"/>
    <w:embedRegular r:id="rId4" w:fontKey="{D220DC0E-2E6E-4DC2-BFDD-1DF0121E92DA}"/>
  </w:font>
  <w:font w:name="Cambria Math">
    <w:panose1 w:val="02040503050406030204"/>
    <w:charset w:val="00"/>
    <w:family w:val="roman"/>
    <w:pitch w:val="variable"/>
    <w:sig w:usb0="E00006FF" w:usb1="420024FF" w:usb2="02000000" w:usb3="00000000" w:csb0="0000019F" w:csb1="00000000"/>
    <w:embedRegular r:id="rId5" w:fontKey="{FC1C6692-56C9-42B1-A9CE-E50474F34B5C}"/>
    <w:embedItalic r:id="rId6" w:fontKey="{00993FA9-C987-492D-B1EB-FAC9EFA3859C}"/>
  </w:font>
  <w:font w:name="Calibri">
    <w:panose1 w:val="020F0502020204030204"/>
    <w:charset w:val="00"/>
    <w:family w:val="swiss"/>
    <w:pitch w:val="variable"/>
    <w:sig w:usb0="E4002EFF" w:usb1="C200247B" w:usb2="00000009" w:usb3="00000000" w:csb0="000001FF" w:csb1="00000000"/>
    <w:embedRegular r:id="rId7" w:fontKey="{488629DE-F33B-4D82-9347-BB942E298922}"/>
  </w:font>
  <w:font w:name="Cambria">
    <w:panose1 w:val="02040503050406030204"/>
    <w:charset w:val="00"/>
    <w:family w:val="roman"/>
    <w:pitch w:val="variable"/>
    <w:sig w:usb0="E00006FF" w:usb1="420024FF" w:usb2="02000000" w:usb3="00000000" w:csb0="0000019F" w:csb1="00000000"/>
    <w:embedRegular r:id="rId8" w:fontKey="{9238FD59-393C-48F8-B020-6DBF0E794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697B0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513"/>
        <w:tab w:val="right" w:pos="9026"/>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697B04">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97B04" w:rsidRDefault="00E229C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697B04" w:rsidRDefault="00697B04">
    <w:pPr>
      <w:pBdr>
        <w:top w:val="nil"/>
        <w:left w:val="nil"/>
        <w:bottom w:val="nil"/>
        <w:right w:val="nil"/>
        <w:between w:val="nil"/>
      </w:pBdr>
      <w:tabs>
        <w:tab w:val="center" w:pos="4320"/>
        <w:tab w:val="right" w:pos="8640"/>
      </w:tabs>
      <w:rPr>
        <w:rFonts w:ascii="Arial" w:eastAsia="Arial" w:hAnsi="Arial" w:cs="Arial"/>
        <w:color w:val="000000"/>
        <w:sz w:val="16"/>
        <w:szCs w:val="16"/>
      </w:rPr>
    </w:pPr>
  </w:p>
  <w:p w:rsidR="00697B04" w:rsidRDefault="00E229C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320"/>
        <w:tab w:val="right" w:pos="8640"/>
      </w:tabs>
      <w:jc w:val="right"/>
      <w:rPr>
        <w:color w:val="000000"/>
      </w:rPr>
    </w:pPr>
    <w:r>
      <w:fldChar w:fldCharType="begin"/>
    </w:r>
    <w:r>
      <w:instrText>PAGE</w:instrText>
    </w:r>
    <w:r w:rsidR="00AC0D7D">
      <w:fldChar w:fldCharType="separate"/>
    </w:r>
    <w:r w:rsidR="00AC0D7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9C5" w:rsidRDefault="00E229C5">
      <w:r>
        <w:separator/>
      </w:r>
    </w:p>
  </w:footnote>
  <w:footnote w:type="continuationSeparator" w:id="0">
    <w:p w:rsidR="00E229C5" w:rsidRDefault="00E22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320"/>
        <w:tab w:val="right" w:pos="8640"/>
      </w:tabs>
      <w:rPr>
        <w:color w:val="000000"/>
      </w:rPr>
    </w:pPr>
    <w:r>
      <w:pict w14:anchorId="12CF9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320"/>
        <w:tab w:val="right" w:pos="8640"/>
      </w:tabs>
      <w:rPr>
        <w:color w:val="000000"/>
      </w:rPr>
    </w:pPr>
    <w:r>
      <w:pict w14:anchorId="38884E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ind w:left="2160"/>
      <w:jc w:val="center"/>
      <w:rPr>
        <w:rFonts w:ascii="Times New Roman" w:eastAsia="Times New Roman" w:hAnsi="Times New Roman" w:cs="Times New Roman"/>
        <w:i/>
        <w:iCs/>
        <w:sz w:val="18"/>
        <w:szCs w:val="18"/>
      </w:rPr>
    </w:pPr>
    <w:r>
      <w:pict w14:anchorId="7DD4F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697B04" w:rsidRDefault="00E229C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97B04" w:rsidRDefault="00E229C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697B04" w:rsidRDefault="00E229C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697B04" w:rsidRDefault="00E229C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697B04" w:rsidRDefault="00E229C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697B04" w:rsidRDefault="00E229C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B04" w:rsidRDefault="00E229C5">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37BAD"/>
    <w:multiLevelType w:val="multilevel"/>
    <w:tmpl w:val="CE8C6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C35C28"/>
    <w:multiLevelType w:val="multilevel"/>
    <w:tmpl w:val="83B88E8E"/>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E076DBC"/>
    <w:multiLevelType w:val="multilevel"/>
    <w:tmpl w:val="40661F18"/>
    <w:lvl w:ilvl="0">
      <w:start w:val="1"/>
      <w:numFmt w:val="decimal"/>
      <w:lvlText w:val="%1."/>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3" w15:restartNumberingAfterBreak="0">
    <w:nsid w:val="609C0BB2"/>
    <w:multiLevelType w:val="multilevel"/>
    <w:tmpl w:val="C9A65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693559"/>
    <w:multiLevelType w:val="multilevel"/>
    <w:tmpl w:val="40661F18"/>
    <w:lvl w:ilvl="0">
      <w:start w:val="1"/>
      <w:numFmt w:val="decimal"/>
      <w:lvlText w:val="%1."/>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B04"/>
    <w:rsid w:val="00697B04"/>
    <w:rsid w:val="00AC0D7D"/>
    <w:rsid w:val="00E2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F0192A"/>
  <w15:docId w15:val="{A28A22F7-6227-4803-BEC0-0052057A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AC0D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393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journal/social-sciences-and-humanities-open/vol/12/suppl/C" TargetMode="External"/><Relationship Id="rId26" Type="http://schemas.openxmlformats.org/officeDocument/2006/relationships/hyperlink" Target="https://doi.org/10.1080/23311886.2023.2286034" TargetMode="External"/><Relationship Id="rId3" Type="http://schemas.openxmlformats.org/officeDocument/2006/relationships/styles" Target="styles.xml"/><Relationship Id="rId21" Type="http://schemas.openxmlformats.org/officeDocument/2006/relationships/hyperlink" Target="https://www.sciencedirect.com/journal/climate-services/vol/37/suppl/C"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journal/social-sciences-and-humanities-open/vol/12/suppl/C" TargetMode="External"/><Relationship Id="rId25" Type="http://schemas.openxmlformats.org/officeDocument/2006/relationships/hyperlink" Target="https://doi.org/10.1080/23311886.2023.2286034" TargetMode="External"/><Relationship Id="rId2" Type="http://schemas.openxmlformats.org/officeDocument/2006/relationships/numbering" Target="numbering.xml"/><Relationship Id="rId16" Type="http://schemas.openxmlformats.org/officeDocument/2006/relationships/hyperlink" Target="https://www.sciencedirect.com/journal/social-sciences-and-humanities-open" TargetMode="External"/><Relationship Id="rId20" Type="http://schemas.openxmlformats.org/officeDocument/2006/relationships/hyperlink" Target="https://www.sciencedirect.com/journal/climate-service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2/aepp.1300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direct.com/journal/social-sciences-and-humanities-open" TargetMode="External"/><Relationship Id="rId23" Type="http://schemas.openxmlformats.org/officeDocument/2006/relationships/hyperlink" Target="https://doi.org/10.1002/aepp.13009"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sciencedirect.com/journal/climate-servic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ciencedirect.com/journal/climate-services/vol/37/suppl/C" TargetMode="Externa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58AEU6eIT8b5fonXwts4sJLG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zIOaC51MWh6YngzeTZramEyDmguYmd0OTE0NXpwNnJ3Mg5oLmxjYzgyeHJ4bzdhbDgAciExOWFLRVJXamRJOUNjWV9uTE5EMmJRaHRFUEkzN2ZYQ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4404</Words>
  <Characters>25108</Characters>
  <Application>Microsoft Office Word</Application>
  <DocSecurity>0</DocSecurity>
  <Lines>209</Lines>
  <Paragraphs>58</Paragraphs>
  <ScaleCrop>false</ScaleCrop>
  <Company/>
  <LinksUpToDate>false</LinksUpToDate>
  <CharactersWithSpaces>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2</cp:revision>
  <dcterms:created xsi:type="dcterms:W3CDTF">2026-04-25T11:42:00Z</dcterms:created>
  <dcterms:modified xsi:type="dcterms:W3CDTF">2026-04-25T11:48:00Z</dcterms:modified>
</cp:coreProperties>
</file>