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00867" w14:textId="49AA7987" w:rsidR="0099756F" w:rsidRPr="0099756F" w:rsidRDefault="0099756F" w:rsidP="000E7752">
      <w:pPr>
        <w:spacing w:line="360" w:lineRule="auto"/>
        <w:jc w:val="center"/>
        <w:rPr>
          <w:rFonts w:ascii="Garamond" w:eastAsia="Garamond" w:hAnsi="Garamond" w:cs="Garamond"/>
          <w:b/>
          <w:bCs/>
        </w:rPr>
      </w:pPr>
      <w:r w:rsidRPr="0099756F">
        <w:rPr>
          <w:rFonts w:ascii="Times New Roman" w:eastAsia="Times New Roman" w:hAnsi="Times New Roman" w:cs="Times New Roman"/>
          <w:b/>
          <w:bCs/>
        </w:rPr>
        <w:t>The influence of flooding on food security in Baringo County Kenya</w:t>
      </w:r>
    </w:p>
    <w:p w14:paraId="50B9F6C0" w14:textId="77777777" w:rsidR="0099756F" w:rsidRDefault="0099756F">
      <w:pPr>
        <w:spacing w:line="360" w:lineRule="auto"/>
        <w:jc w:val="both"/>
        <w:rPr>
          <w:rFonts w:ascii="Garamond" w:eastAsia="Garamond" w:hAnsi="Garamond" w:cs="Garamond"/>
          <w:b/>
          <w:bCs/>
          <w:sz w:val="24"/>
          <w:szCs w:val="24"/>
        </w:rPr>
      </w:pPr>
    </w:p>
    <w:p w14:paraId="5E17948B" w14:textId="77777777" w:rsidR="0099756F" w:rsidRDefault="0099756F">
      <w:pPr>
        <w:spacing w:line="360" w:lineRule="auto"/>
        <w:jc w:val="both"/>
        <w:rPr>
          <w:rFonts w:ascii="Garamond" w:eastAsia="Garamond" w:hAnsi="Garamond" w:cs="Garamond"/>
          <w:b/>
          <w:bCs/>
          <w:sz w:val="24"/>
          <w:szCs w:val="24"/>
        </w:rPr>
      </w:pPr>
    </w:p>
    <w:p w14:paraId="0497CF45" w14:textId="77777777" w:rsidR="00B606BF" w:rsidRDefault="00B606BF">
      <w:pPr>
        <w:spacing w:line="360" w:lineRule="auto"/>
        <w:jc w:val="both"/>
        <w:rPr>
          <w:rFonts w:ascii="Garamond" w:eastAsia="Garamond" w:hAnsi="Garamond" w:cs="Garamond"/>
          <w:b/>
          <w:bCs/>
          <w:sz w:val="24"/>
          <w:szCs w:val="24"/>
        </w:rPr>
      </w:pPr>
    </w:p>
    <w:p w14:paraId="4D79A79C" w14:textId="241CEC09"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 xml:space="preserve">Abstract </w:t>
      </w:r>
    </w:p>
    <w:p w14:paraId="269B2204" w14:textId="4740C42C" w:rsidR="002E4407" w:rsidRPr="002E4407" w:rsidRDefault="002E4407" w:rsidP="002E4407">
      <w:pPr>
        <w:pStyle w:val="NormalWeb"/>
        <w:jc w:val="both"/>
        <w:rPr>
          <w:rFonts w:ascii="Garamond" w:hAnsi="Garamond"/>
        </w:rPr>
      </w:pPr>
      <w:r w:rsidRPr="002E4407">
        <w:rPr>
          <w:rFonts w:ascii="Garamond" w:hAnsi="Garamond"/>
        </w:rPr>
        <w:t xml:space="preserve">Climate change has continued to pose a major threat to food security, particularly in developing countries where livelihoods depended on agriculture. In Kenya, flood-prone regions such as </w:t>
      </w:r>
      <w:r w:rsidRPr="002E4407">
        <w:rPr>
          <w:rStyle w:val="whitespace-normal"/>
          <w:rFonts w:ascii="Garamond" w:hAnsi="Garamond"/>
        </w:rPr>
        <w:t>Baringo County</w:t>
      </w:r>
      <w:r w:rsidRPr="002E4407">
        <w:rPr>
          <w:rFonts w:ascii="Garamond" w:hAnsi="Garamond"/>
        </w:rPr>
        <w:t xml:space="preserve"> experienced increasing climate variability, with recurrent flooding disrupting agricultural production and household livelihoods. This study focused on </w:t>
      </w:r>
      <w:r w:rsidRPr="002E4407">
        <w:rPr>
          <w:rStyle w:val="whitespace-normal"/>
          <w:rFonts w:ascii="Garamond" w:hAnsi="Garamond"/>
        </w:rPr>
        <w:t>Baringo South Sub-County</w:t>
      </w:r>
      <w:r w:rsidRPr="002E4407">
        <w:rPr>
          <w:rFonts w:ascii="Garamond" w:hAnsi="Garamond"/>
        </w:rPr>
        <w:t xml:space="preserve">, which is highly susceptible to flooding due to its proximity to </w:t>
      </w:r>
      <w:r w:rsidRPr="002E4407">
        <w:rPr>
          <w:rStyle w:val="whitespace-normal"/>
          <w:rFonts w:ascii="Garamond" w:hAnsi="Garamond"/>
        </w:rPr>
        <w:t>Lake Baringo</w:t>
      </w:r>
      <w:r w:rsidRPr="002E4407">
        <w:rPr>
          <w:rFonts w:ascii="Garamond" w:hAnsi="Garamond"/>
        </w:rPr>
        <w:t xml:space="preserve"> and </w:t>
      </w:r>
      <w:r w:rsidRPr="002E4407">
        <w:rPr>
          <w:rStyle w:val="whitespace-normal"/>
          <w:rFonts w:ascii="Garamond" w:hAnsi="Garamond"/>
        </w:rPr>
        <w:t xml:space="preserve">Lake </w:t>
      </w:r>
      <w:proofErr w:type="spellStart"/>
      <w:r w:rsidRPr="002E4407">
        <w:rPr>
          <w:rStyle w:val="whitespace-normal"/>
          <w:rFonts w:ascii="Garamond" w:hAnsi="Garamond"/>
        </w:rPr>
        <w:t>Bogoria</w:t>
      </w:r>
      <w:proofErr w:type="spellEnd"/>
      <w:r w:rsidRPr="002E4407">
        <w:rPr>
          <w:rFonts w:ascii="Garamond" w:hAnsi="Garamond"/>
        </w:rPr>
        <w:t>. A cross-sectional survey design was used, involving 384 households selected through stratified random sampling. Data were collected using structured questionnaires, key informant interviews, and focus group discussions, and analyzed using descriptive statistics, chi-square tests, multiple regression, and thematic analysis. Findings showed that 68% of households experienced annual flooding, significantly affecting crop production (χ² = 18.6, p &lt; 0.01) and livestock loss (χ² = 15.2, p &lt; 0.05). Regression results indicated a significant negative effect of flooding on food security (β = -0.47, p = 0.002), particularly on food availability and access. Additionally, 61% of households were highly vulnerable due to low adaptive capacity and reliance on climate-sensitive livelihoods. The study rejected the null hypothesis, concluding that flooding significantly influenced food security, and recommended targeted adaptation strategies to enhance resilience.</w:t>
      </w:r>
    </w:p>
    <w:p w14:paraId="17471229"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color w:val="000000"/>
          <w:sz w:val="24"/>
          <w:szCs w:val="24"/>
        </w:rPr>
        <w:t>Keywords:</w:t>
      </w:r>
      <w:r>
        <w:rPr>
          <w:rFonts w:ascii="Garamond" w:eastAsia="Garamond" w:hAnsi="Garamond" w:cs="Garamond"/>
          <w:b/>
          <w:bCs/>
          <w:color w:val="000000"/>
          <w:sz w:val="24"/>
          <w:szCs w:val="24"/>
        </w:rPr>
        <w:t xml:space="preserve"> Flooding, climate variability, natural disasters, agricultural loss, food security</w:t>
      </w:r>
    </w:p>
    <w:p w14:paraId="1C90606D"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 xml:space="preserve">1.0. Introduction </w:t>
      </w:r>
    </w:p>
    <w:p w14:paraId="69CFEB8B"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 xml:space="preserve">1.1. Flooding and Food Security </w:t>
      </w:r>
    </w:p>
    <w:p w14:paraId="688C2B4E"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 xml:space="preserve">Flooding is a major global environmental hazard that occurs when excess water inundates normally dry land, often due to irregular rainfall, snowmelt, or storm surges (World Health Organization, 2024; </w:t>
      </w:r>
      <w:proofErr w:type="spellStart"/>
      <w:r>
        <w:rPr>
          <w:rFonts w:ascii="Garamond" w:eastAsia="Garamond" w:hAnsi="Garamond" w:cs="Garamond"/>
          <w:sz w:val="24"/>
          <w:szCs w:val="24"/>
        </w:rPr>
        <w:t>Amerasinghe</w:t>
      </w:r>
      <w:proofErr w:type="spellEnd"/>
      <w:r>
        <w:rPr>
          <w:rFonts w:ascii="Garamond" w:eastAsia="Garamond" w:hAnsi="Garamond" w:cs="Garamond"/>
          <w:sz w:val="24"/>
          <w:szCs w:val="24"/>
        </w:rPr>
        <w:t xml:space="preserve"> et al., 2020). Water-related disasters account for a large proportion of natural hazards, affecting billions of people and causing significant mortality and livelihood disruption (Food and Agriculture Organization of the United Nations [FAO], 2021b). The frequency of floods has increased over time, reflecting intensifying climate variability and environmental change (FAO, 2021b; Intergovernmental Panel on Climate Change [IPCC], 2022). Flooding leads to destruction of crops, livestock losses, infrastructure damage, and disruption of food systems (IPCC, 2020). Consequently, </w:t>
      </w:r>
      <w:r>
        <w:rPr>
          <w:rFonts w:ascii="Garamond" w:eastAsia="Garamond" w:hAnsi="Garamond" w:cs="Garamond"/>
          <w:sz w:val="24"/>
          <w:szCs w:val="24"/>
        </w:rPr>
        <w:lastRenderedPageBreak/>
        <w:t>floods pose a major threat to food security and undermine global efforts to achieve zero hunger targets (Relief Web, 2023; FAO, 2021b).</w:t>
      </w:r>
    </w:p>
    <w:p w14:paraId="64663A2F"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1.2. Global and Regional Food Insecurity Trends</w:t>
      </w:r>
    </w:p>
    <w:p w14:paraId="40D2F7AA"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 xml:space="preserve">Food security refers to consistent access to sufficient, safe, and nutritious food, yet climate shocks continue to undermine this goal (Relief Web, 2023; FAO, 2021a). Globally, hundreds of millions of people remain undernourished, while billions experience moderate to severe food insecurity (World Food </w:t>
      </w:r>
      <w:proofErr w:type="spellStart"/>
      <w:r>
        <w:rPr>
          <w:rFonts w:ascii="Garamond" w:eastAsia="Garamond" w:hAnsi="Garamond" w:cs="Garamond"/>
          <w:sz w:val="24"/>
          <w:szCs w:val="24"/>
        </w:rPr>
        <w:t>Programme</w:t>
      </w:r>
      <w:proofErr w:type="spellEnd"/>
      <w:r>
        <w:rPr>
          <w:rFonts w:ascii="Garamond" w:eastAsia="Garamond" w:hAnsi="Garamond" w:cs="Garamond"/>
          <w:sz w:val="24"/>
          <w:szCs w:val="24"/>
        </w:rPr>
        <w:t xml:space="preserve"> &amp; UNICEF, 2018; World Health Organization &amp; World Food </w:t>
      </w:r>
      <w:proofErr w:type="spellStart"/>
      <w:r>
        <w:rPr>
          <w:rFonts w:ascii="Garamond" w:eastAsia="Garamond" w:hAnsi="Garamond" w:cs="Garamond"/>
          <w:sz w:val="24"/>
          <w:szCs w:val="24"/>
        </w:rPr>
        <w:t>Programme</w:t>
      </w:r>
      <w:proofErr w:type="spellEnd"/>
      <w:r>
        <w:rPr>
          <w:rFonts w:ascii="Garamond" w:eastAsia="Garamond" w:hAnsi="Garamond" w:cs="Garamond"/>
          <w:sz w:val="24"/>
          <w:szCs w:val="24"/>
        </w:rPr>
        <w:t>, 2020). FAOSTAT (2020) further highlights that a significant proportion of the global population faces food insecurity pressures. In Africa, food insecurity remains widespread due to climate variability, conflict, and economic instability (FAO, 2020). Eastern and Central Africa are particularly affected, with high vulnerability levels driven by environmental and socioeconomic pressures (Perez et al., 2019; FAO, 2020).</w:t>
      </w:r>
    </w:p>
    <w:p w14:paraId="7873FF62"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1.3. Flooding and Food Security in Africa and Kenya</w:t>
      </w:r>
    </w:p>
    <w:p w14:paraId="15194F83"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Flooding has significantly affected food security across Africa by displacing populations and destroying agricultural systems (</w:t>
      </w:r>
      <w:proofErr w:type="spellStart"/>
      <w:r>
        <w:rPr>
          <w:rFonts w:ascii="Garamond" w:eastAsia="Garamond" w:hAnsi="Garamond" w:cs="Garamond"/>
          <w:sz w:val="24"/>
          <w:szCs w:val="24"/>
        </w:rPr>
        <w:t>Anabaraonye</w:t>
      </w:r>
      <w:proofErr w:type="spellEnd"/>
      <w:r>
        <w:rPr>
          <w:rFonts w:ascii="Garamond" w:eastAsia="Garamond" w:hAnsi="Garamond" w:cs="Garamond"/>
          <w:sz w:val="24"/>
          <w:szCs w:val="24"/>
        </w:rPr>
        <w:t>, 2020). In Nigeria, major flood events have led to widespread displacement and agricultural losses, worsening food insecurity (</w:t>
      </w:r>
      <w:proofErr w:type="spellStart"/>
      <w:r>
        <w:rPr>
          <w:rFonts w:ascii="Garamond" w:eastAsia="Garamond" w:hAnsi="Garamond" w:cs="Garamond"/>
          <w:sz w:val="24"/>
          <w:szCs w:val="24"/>
        </w:rPr>
        <w:t>Anabaraonye</w:t>
      </w:r>
      <w:proofErr w:type="spellEnd"/>
      <w:r>
        <w:rPr>
          <w:rFonts w:ascii="Garamond" w:eastAsia="Garamond" w:hAnsi="Garamond" w:cs="Garamond"/>
          <w:sz w:val="24"/>
          <w:szCs w:val="24"/>
        </w:rPr>
        <w:t>, 2020). In Kenya, floods have caused extensive destruction of crops and livestock, undermining rural livelihoods (Kenya Red Cross Society, 2019). The country is highly vulnerable to climate change impacts, including flooding (Notre Dame Global Adaptation Initiative, 2023). Historical flood events have also contributed to economic losses and reduced agricultural productivity (</w:t>
      </w:r>
      <w:proofErr w:type="spellStart"/>
      <w:r>
        <w:rPr>
          <w:rFonts w:ascii="Garamond" w:eastAsia="Garamond" w:hAnsi="Garamond" w:cs="Garamond"/>
          <w:sz w:val="24"/>
          <w:szCs w:val="24"/>
        </w:rPr>
        <w:t>Muia</w:t>
      </w:r>
      <w:proofErr w:type="spellEnd"/>
      <w:r>
        <w:rPr>
          <w:rFonts w:ascii="Garamond" w:eastAsia="Garamond" w:hAnsi="Garamond" w:cs="Garamond"/>
          <w:sz w:val="24"/>
          <w:szCs w:val="24"/>
        </w:rPr>
        <w:t xml:space="preserve"> et al., 2020; </w:t>
      </w:r>
      <w:proofErr w:type="spellStart"/>
      <w:r>
        <w:rPr>
          <w:rFonts w:ascii="Garamond" w:eastAsia="Garamond" w:hAnsi="Garamond" w:cs="Garamond"/>
          <w:sz w:val="24"/>
          <w:szCs w:val="24"/>
        </w:rPr>
        <w:t>Opere</w:t>
      </w:r>
      <w:proofErr w:type="spellEnd"/>
      <w:r>
        <w:rPr>
          <w:rFonts w:ascii="Garamond" w:eastAsia="Garamond" w:hAnsi="Garamond" w:cs="Garamond"/>
          <w:sz w:val="24"/>
          <w:szCs w:val="24"/>
        </w:rPr>
        <w:t>, 2019).</w:t>
      </w:r>
    </w:p>
    <w:p w14:paraId="070C0047"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1.4. Flooding and Food Security in Baringo County</w:t>
      </w:r>
    </w:p>
    <w:p w14:paraId="7273534B"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Baringo County experiences recurrent flooding linked to rising lake levels and increased rainfall variability (</w:t>
      </w:r>
      <w:proofErr w:type="spellStart"/>
      <w:r>
        <w:rPr>
          <w:rFonts w:ascii="Garamond" w:eastAsia="Garamond" w:hAnsi="Garamond" w:cs="Garamond"/>
          <w:sz w:val="24"/>
          <w:szCs w:val="24"/>
        </w:rPr>
        <w:t>Opere</w:t>
      </w:r>
      <w:proofErr w:type="spellEnd"/>
      <w:r>
        <w:rPr>
          <w:rFonts w:ascii="Garamond" w:eastAsia="Garamond" w:hAnsi="Garamond" w:cs="Garamond"/>
          <w:sz w:val="24"/>
          <w:szCs w:val="24"/>
        </w:rPr>
        <w:t>, 2019). These floods have destroyed farmland, infrastructure, and biodiversity, affecting household livelihoods. The expansion of Lake Baringo has further increased exposure of settlements and agricultural land to flooding risks (</w:t>
      </w:r>
      <w:proofErr w:type="spellStart"/>
      <w:r>
        <w:rPr>
          <w:rFonts w:ascii="Garamond" w:eastAsia="Garamond" w:hAnsi="Garamond" w:cs="Garamond"/>
          <w:sz w:val="24"/>
          <w:szCs w:val="24"/>
        </w:rPr>
        <w:t>Herrnegger</w:t>
      </w:r>
      <w:proofErr w:type="spellEnd"/>
      <w:r>
        <w:rPr>
          <w:rFonts w:ascii="Garamond" w:eastAsia="Garamond" w:hAnsi="Garamond" w:cs="Garamond"/>
          <w:sz w:val="24"/>
          <w:szCs w:val="24"/>
        </w:rPr>
        <w:t xml:space="preserve"> et al., 2021). These environmental changes have reduced agricultural productivity and grazing land availability, increasing food insecurity. However, limited empirical research exists on the direct flooding–food security nexus in the region.</w:t>
      </w:r>
    </w:p>
    <w:p w14:paraId="4D4F6A98" w14:textId="77777777" w:rsidR="00203701" w:rsidRDefault="003D14C2">
      <w:pPr>
        <w:spacing w:line="360" w:lineRule="auto"/>
        <w:jc w:val="both"/>
        <w:rPr>
          <w:rFonts w:ascii="Garamond" w:eastAsia="Garamond" w:hAnsi="Garamond" w:cs="Garamond"/>
          <w:b/>
          <w:bCs/>
          <w:sz w:val="24"/>
          <w:szCs w:val="24"/>
        </w:rPr>
      </w:pPr>
      <w:bookmarkStart w:id="0" w:name="_cxbq98gzq72p" w:colFirst="0" w:colLast="0"/>
      <w:bookmarkEnd w:id="0"/>
      <w:r>
        <w:rPr>
          <w:rFonts w:ascii="Garamond" w:eastAsia="Garamond" w:hAnsi="Garamond" w:cs="Garamond"/>
          <w:b/>
          <w:bCs/>
          <w:sz w:val="24"/>
          <w:szCs w:val="24"/>
        </w:rPr>
        <w:lastRenderedPageBreak/>
        <w:t>1.5. Statement of the Problem</w:t>
      </w:r>
    </w:p>
    <w:p w14:paraId="7AB916EB"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Baringo County is increasingly affected by climate variability characterized by alternating droughts and floods (</w:t>
      </w:r>
      <w:proofErr w:type="spellStart"/>
      <w:r>
        <w:rPr>
          <w:rFonts w:ascii="Garamond" w:eastAsia="Garamond" w:hAnsi="Garamond" w:cs="Garamond"/>
          <w:sz w:val="24"/>
          <w:szCs w:val="24"/>
        </w:rPr>
        <w:t>Herrnegger</w:t>
      </w:r>
      <w:proofErr w:type="spellEnd"/>
      <w:r>
        <w:rPr>
          <w:rFonts w:ascii="Garamond" w:eastAsia="Garamond" w:hAnsi="Garamond" w:cs="Garamond"/>
          <w:sz w:val="24"/>
          <w:szCs w:val="24"/>
        </w:rPr>
        <w:t xml:space="preserve"> et al., 2021). Rising rainfall patterns have contributed to increased flooding frequency and lake expansion. This has led to land degradation, water quality challenges, and displacement of communities. Irrigation schemes supporting thousands of households have also been affected (</w:t>
      </w:r>
      <w:proofErr w:type="spellStart"/>
      <w:r>
        <w:rPr>
          <w:rFonts w:ascii="Garamond" w:eastAsia="Garamond" w:hAnsi="Garamond" w:cs="Garamond"/>
          <w:sz w:val="24"/>
          <w:szCs w:val="24"/>
        </w:rPr>
        <w:t>Herrnegger</w:t>
      </w:r>
      <w:proofErr w:type="spellEnd"/>
      <w:r>
        <w:rPr>
          <w:rFonts w:ascii="Garamond" w:eastAsia="Garamond" w:hAnsi="Garamond" w:cs="Garamond"/>
          <w:sz w:val="24"/>
          <w:szCs w:val="24"/>
        </w:rPr>
        <w:t xml:space="preserve"> et al., 2021). Additionally, large-scale crop destruction has threatened food security and livelihoods in the region (</w:t>
      </w:r>
      <w:proofErr w:type="spellStart"/>
      <w:r>
        <w:rPr>
          <w:rFonts w:ascii="Garamond" w:eastAsia="Garamond" w:hAnsi="Garamond" w:cs="Garamond"/>
          <w:sz w:val="24"/>
          <w:szCs w:val="24"/>
        </w:rPr>
        <w:t>Muia</w:t>
      </w:r>
      <w:proofErr w:type="spellEnd"/>
      <w:r>
        <w:rPr>
          <w:rFonts w:ascii="Garamond" w:eastAsia="Garamond" w:hAnsi="Garamond" w:cs="Garamond"/>
          <w:sz w:val="24"/>
          <w:szCs w:val="24"/>
        </w:rPr>
        <w:t>, 2021).</w:t>
      </w:r>
    </w:p>
    <w:p w14:paraId="29B11D13"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1.6. Research Questions</w:t>
      </w:r>
    </w:p>
    <w:p w14:paraId="0AB5245E"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The study seeks to examine the frequency and extent of flooding in Baringo County and its implications for livelihoods. It explores how household vulnerability and adaptive capacity differ across the region in response to climate shocks. The research also investigates the key determinants influencing food security among households. Furthermore, it examines the relationship between flooding and food insecurity in the county. These questions aim to generate evidence for understanding the complex interaction between environmental hazards and food systems.</w:t>
      </w:r>
    </w:p>
    <w:p w14:paraId="6240E20B"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1.7. Objectives of the Study</w:t>
      </w:r>
    </w:p>
    <w:p w14:paraId="6E2CAD2A"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The general objective of the study is to assess the impact of flooding on food security in Baringo County, Kenya. Specifically, the study aims to determine the frequency, causes, and extent of flooding in the region. It also seeks to examine variations in household vulnerability and adaptive capacity to flooding. Additionally, the study identifies key factors influencing food security status among households. Finally, it evaluates the direct effects of flooding on food security outcomes in the county.</w:t>
      </w:r>
    </w:p>
    <w:p w14:paraId="42FC170C"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1.8. Research Hypothesis</w:t>
      </w:r>
    </w:p>
    <w:p w14:paraId="5C0D0BB0"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The study is guided by the null hypothesis that there is no significant relationship between flooding and food security in Baringo County. This hypothesis provides a basis for statistical testing and empirical analysis. It assumes that flooding does not significantly influence food availability, access, or utilization. However, existing literature suggests a likely relationship between climate hazards and food insecurity (IPCC, 2020). Testing this hypothesis will help validate or refute these assumptions within the local context.</w:t>
      </w:r>
    </w:p>
    <w:p w14:paraId="7B864117"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lastRenderedPageBreak/>
        <w:t>1.9. Significance of the Study</w:t>
      </w:r>
    </w:p>
    <w:p w14:paraId="687C0D9C"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This study contributes to a better understanding of how flooding affects food security in Baringo County, where limited empirical data currently exists. The findings support the development of effective mitigation and adaptation strategies to enhance community resilience. The research also raises awareness among local populations on sustainable coping mechanisms and disaster preparedness. Additionally, it provides valuable insights for policymakers, NGOs, and government agencies such as the Ministries of Agriculture and Environment. Ultimately, the study adds to the broader body of knowledge on climate change, flooding, and food security.</w:t>
      </w:r>
    </w:p>
    <w:p w14:paraId="7A22F60E"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2.0. Literature Review </w:t>
      </w:r>
    </w:p>
    <w:p w14:paraId="2A4675DE"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2.1. Theoretical framework </w:t>
      </w:r>
    </w:p>
    <w:p w14:paraId="6C248602"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The study is anchored on a conceptual framework that links flooding to food insecurity through its impacts on agricultural production, livelihoods, infrastructure, and health conditions. Flooding leads to crop destruction, livestock losses, and displacement, which in turn affect food availability and access, while poor sanitation and water contamination compromise food utilization and stability. Review of literature highlights that flooding is driven by both natural and human-induced factors, including excessive rainfall, poor land use practices, and environmental degradation. Vulnerability to flooding is influenced by socioeconomic and institutional factors such as income, education, gender, and access to resources. Adaptation strategies range from structural measures like dykes to ecosystem-based approaches such as watershed restoration. However, existing studies have largely focused on socioeconomic determinants of food security, with limited attention to environmental shocks like flooding, particularly in the Kenyan context.</w:t>
      </w:r>
    </w:p>
    <w:p w14:paraId="5035FC0D"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2.2. Causes, Occurrence, and Magnitude of Floods in Baringo County</w:t>
      </w:r>
    </w:p>
    <w:p w14:paraId="42136C58"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 xml:space="preserve">Flooding is caused by heavy rainfall, river overflow, and environmental degradation (FAO, 2021b). Its impacts include crop destruction, land degradation, and loss of human and animal life (IPCC, 2020). Human activities such as deforestation and poor land use intensify flood severity (United Nations Environment </w:t>
      </w:r>
      <w:proofErr w:type="spellStart"/>
      <w:r>
        <w:rPr>
          <w:rFonts w:ascii="Garamond" w:eastAsia="Garamond" w:hAnsi="Garamond" w:cs="Garamond"/>
          <w:sz w:val="24"/>
          <w:szCs w:val="24"/>
        </w:rPr>
        <w:t>Programme</w:t>
      </w:r>
      <w:proofErr w:type="spellEnd"/>
      <w:r>
        <w:rPr>
          <w:rFonts w:ascii="Garamond" w:eastAsia="Garamond" w:hAnsi="Garamond" w:cs="Garamond"/>
          <w:sz w:val="24"/>
          <w:szCs w:val="24"/>
        </w:rPr>
        <w:t>, 2021). Vulnerability is higher in low-lying and riparian areas (Perez et al., 2019). In Kenya, flooding significantly disrupts agriculture and food systems (</w:t>
      </w:r>
      <w:proofErr w:type="spellStart"/>
      <w:r>
        <w:rPr>
          <w:rFonts w:ascii="Garamond" w:eastAsia="Garamond" w:hAnsi="Garamond" w:cs="Garamond"/>
          <w:sz w:val="24"/>
          <w:szCs w:val="24"/>
        </w:rPr>
        <w:t>Muia</w:t>
      </w:r>
      <w:proofErr w:type="spellEnd"/>
      <w:r>
        <w:rPr>
          <w:rFonts w:ascii="Garamond" w:eastAsia="Garamond" w:hAnsi="Garamond" w:cs="Garamond"/>
          <w:sz w:val="24"/>
          <w:szCs w:val="24"/>
        </w:rPr>
        <w:t xml:space="preserve"> et al., 2020).</w:t>
      </w:r>
    </w:p>
    <w:p w14:paraId="7E303BD7" w14:textId="77777777" w:rsidR="00203701" w:rsidRDefault="00203701">
      <w:pPr>
        <w:spacing w:after="0" w:line="360" w:lineRule="auto"/>
        <w:jc w:val="both"/>
        <w:rPr>
          <w:rFonts w:ascii="Garamond" w:eastAsia="Garamond" w:hAnsi="Garamond" w:cs="Garamond"/>
          <w:sz w:val="24"/>
          <w:szCs w:val="24"/>
        </w:rPr>
      </w:pPr>
    </w:p>
    <w:p w14:paraId="1B749913"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2.3. Vulnerability and Adaptation</w:t>
      </w:r>
    </w:p>
    <w:p w14:paraId="63212C04"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 xml:space="preserve">Vulnerability refers to the susceptibility of systems to climate hazards, influenced by exposure, sensitivity, and adaptive capacity (IPCC, 2020). It varies across socioeconomic and environmental contexts (United Nations Environment </w:t>
      </w:r>
      <w:proofErr w:type="spellStart"/>
      <w:r>
        <w:rPr>
          <w:rFonts w:ascii="Garamond" w:eastAsia="Garamond" w:hAnsi="Garamond" w:cs="Garamond"/>
          <w:sz w:val="24"/>
          <w:szCs w:val="24"/>
        </w:rPr>
        <w:t>Programme</w:t>
      </w:r>
      <w:proofErr w:type="spellEnd"/>
      <w:r>
        <w:rPr>
          <w:rFonts w:ascii="Garamond" w:eastAsia="Garamond" w:hAnsi="Garamond" w:cs="Garamond"/>
          <w:sz w:val="24"/>
          <w:szCs w:val="24"/>
        </w:rPr>
        <w:t>, 2021). Adaptation strategies include early warning systems, land-use planning, and ecosystem restoration (UNEP, 2021). Nature-based solutions improve resilience to flooding (UNEP, 2021). However, social inequality continues to limit adaptive capacity in many communities (IPCC, 2022).</w:t>
      </w:r>
    </w:p>
    <w:p w14:paraId="0AA2858D"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2.4. Factors Affecting Food Security Status in Baringo County</w:t>
      </w:r>
    </w:p>
    <w:p w14:paraId="17EA1B83" w14:textId="77777777" w:rsidR="00203701" w:rsidRDefault="003D14C2">
      <w:pPr>
        <w:spacing w:line="360" w:lineRule="auto"/>
        <w:jc w:val="both"/>
        <w:rPr>
          <w:rFonts w:ascii="Garamond" w:eastAsia="Garamond" w:hAnsi="Garamond" w:cs="Garamond"/>
          <w:sz w:val="24"/>
          <w:szCs w:val="24"/>
        </w:rPr>
      </w:pPr>
      <w:r>
        <w:rPr>
          <w:rFonts w:ascii="Garamond" w:eastAsia="Garamond" w:hAnsi="Garamond" w:cs="Garamond"/>
          <w:sz w:val="24"/>
          <w:szCs w:val="24"/>
        </w:rPr>
        <w:t>Food security is determined by four key pillars: availability, access, utilization, and stability (FAO, 2021). Availability refers to sufficient food supply from production, markets, or aid, while access depends on household income and purchasing power. Utilization involves proper nutrition, food quality, and health conditions necessary for effective food consumption. Stability ensures consistent access to food over time despite shocks such as climate variability or market disruptions. These interconnected factors collectively determine the food security status of households in Baringo County.</w:t>
      </w:r>
    </w:p>
    <w:p w14:paraId="0B2E274B"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2.5. Factors Affecting Food Security</w:t>
      </w:r>
    </w:p>
    <w:p w14:paraId="04A60C4A" w14:textId="77777777" w:rsidR="00203701" w:rsidRDefault="003D14C2">
      <w:pPr>
        <w:spacing w:line="360" w:lineRule="auto"/>
        <w:jc w:val="both"/>
        <w:rPr>
          <w:rFonts w:ascii="Garamond" w:eastAsia="Garamond" w:hAnsi="Garamond" w:cs="Garamond"/>
          <w:sz w:val="24"/>
          <w:szCs w:val="24"/>
        </w:rPr>
      </w:pPr>
      <w:r>
        <w:rPr>
          <w:rFonts w:ascii="Garamond" w:eastAsia="Garamond" w:hAnsi="Garamond" w:cs="Garamond"/>
          <w:sz w:val="24"/>
          <w:szCs w:val="24"/>
        </w:rPr>
        <w:t>Food security is influenced by socioeconomic factors such as household size, age, gender, education, and income levels (</w:t>
      </w:r>
      <w:proofErr w:type="spellStart"/>
      <w:r>
        <w:rPr>
          <w:rFonts w:ascii="Garamond" w:eastAsia="Garamond" w:hAnsi="Garamond" w:cs="Garamond"/>
          <w:sz w:val="24"/>
          <w:szCs w:val="24"/>
        </w:rPr>
        <w:t>Adeyanju</w:t>
      </w:r>
      <w:proofErr w:type="spellEnd"/>
      <w:r>
        <w:rPr>
          <w:rFonts w:ascii="Garamond" w:eastAsia="Garamond" w:hAnsi="Garamond" w:cs="Garamond"/>
          <w:sz w:val="24"/>
          <w:szCs w:val="24"/>
        </w:rPr>
        <w:t xml:space="preserve"> et al., 2023). Large households tend to experience higher food insecurity due to increased consumption pressure and limited resources. Gender plays a critical role, as women significantly contribute to food production but often face limited access to land and resources (FAO, 2021). Education improves food security by enhancing income opportunities and adoption of improved agricultural practices (</w:t>
      </w:r>
      <w:proofErr w:type="spellStart"/>
      <w:r>
        <w:rPr>
          <w:rFonts w:ascii="Garamond" w:eastAsia="Garamond" w:hAnsi="Garamond" w:cs="Garamond"/>
          <w:sz w:val="24"/>
          <w:szCs w:val="24"/>
        </w:rPr>
        <w:t>Muluken</w:t>
      </w:r>
      <w:proofErr w:type="spellEnd"/>
      <w:r>
        <w:rPr>
          <w:rFonts w:ascii="Garamond" w:eastAsia="Garamond" w:hAnsi="Garamond" w:cs="Garamond"/>
          <w:sz w:val="24"/>
          <w:szCs w:val="24"/>
        </w:rPr>
        <w:t xml:space="preserve">, 2021). Additionally, high food prices disproportionately affect low-income households, increasing vulnerability to food insecurity (IMF, 2022; </w:t>
      </w:r>
      <w:proofErr w:type="spellStart"/>
      <w:r>
        <w:rPr>
          <w:rFonts w:ascii="Garamond" w:eastAsia="Garamond" w:hAnsi="Garamond" w:cs="Garamond"/>
          <w:sz w:val="24"/>
          <w:szCs w:val="24"/>
        </w:rPr>
        <w:t>Oluoko-Odingo</w:t>
      </w:r>
      <w:proofErr w:type="spellEnd"/>
      <w:r>
        <w:rPr>
          <w:rFonts w:ascii="Garamond" w:eastAsia="Garamond" w:hAnsi="Garamond" w:cs="Garamond"/>
          <w:sz w:val="24"/>
          <w:szCs w:val="24"/>
        </w:rPr>
        <w:t>, 2006).</w:t>
      </w:r>
    </w:p>
    <w:p w14:paraId="71323484"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2.6. Effects of Floods on Food Security</w:t>
      </w:r>
    </w:p>
    <w:p w14:paraId="2E15B0A7"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 xml:space="preserve">Flooding reduces food availability by destroying crops and livestock (IPCC, 2020). It disrupts transport and market systems, limiting food access (FAO, 2021a). Repeated flood exposure weakens </w:t>
      </w:r>
      <w:r>
        <w:rPr>
          <w:rFonts w:ascii="Garamond" w:eastAsia="Garamond" w:hAnsi="Garamond" w:cs="Garamond"/>
          <w:sz w:val="24"/>
          <w:szCs w:val="24"/>
        </w:rPr>
        <w:lastRenderedPageBreak/>
        <w:t xml:space="preserve">household resilience and increases vulnerability to hunger (World Food </w:t>
      </w:r>
      <w:proofErr w:type="spellStart"/>
      <w:r>
        <w:rPr>
          <w:rFonts w:ascii="Garamond" w:eastAsia="Garamond" w:hAnsi="Garamond" w:cs="Garamond"/>
          <w:sz w:val="24"/>
          <w:szCs w:val="24"/>
        </w:rPr>
        <w:t>Programme</w:t>
      </w:r>
      <w:proofErr w:type="spellEnd"/>
      <w:r>
        <w:rPr>
          <w:rFonts w:ascii="Garamond" w:eastAsia="Garamond" w:hAnsi="Garamond" w:cs="Garamond"/>
          <w:sz w:val="24"/>
          <w:szCs w:val="24"/>
        </w:rPr>
        <w:t>, 2020). Flooding also reduces long-term agricultural productivity (FAO, 2021b). Overall, it significantly undermines food security systems.</w:t>
      </w:r>
    </w:p>
    <w:p w14:paraId="1126C486"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2.7. Literature Gap</w:t>
      </w:r>
    </w:p>
    <w:p w14:paraId="174DF198" w14:textId="77777777" w:rsidR="00203701" w:rsidRDefault="003D14C2">
      <w:pPr>
        <w:spacing w:line="360" w:lineRule="auto"/>
        <w:jc w:val="both"/>
        <w:rPr>
          <w:rFonts w:ascii="Garamond" w:eastAsia="Garamond" w:hAnsi="Garamond" w:cs="Garamond"/>
          <w:sz w:val="24"/>
          <w:szCs w:val="24"/>
        </w:rPr>
      </w:pPr>
      <w:r>
        <w:rPr>
          <w:rFonts w:ascii="Garamond" w:eastAsia="Garamond" w:hAnsi="Garamond" w:cs="Garamond"/>
          <w:sz w:val="24"/>
          <w:szCs w:val="24"/>
        </w:rPr>
        <w:t>Existing studies highlight the importance of education and socioeconomic factors in influencing food security outcomes (</w:t>
      </w:r>
      <w:proofErr w:type="spellStart"/>
      <w:r>
        <w:rPr>
          <w:rFonts w:ascii="Garamond" w:eastAsia="Garamond" w:hAnsi="Garamond" w:cs="Garamond"/>
          <w:sz w:val="24"/>
          <w:szCs w:val="24"/>
        </w:rPr>
        <w:t>Muluken</w:t>
      </w:r>
      <w:proofErr w:type="spellEnd"/>
      <w:r>
        <w:rPr>
          <w:rFonts w:ascii="Garamond" w:eastAsia="Garamond" w:hAnsi="Garamond" w:cs="Garamond"/>
          <w:sz w:val="24"/>
          <w:szCs w:val="24"/>
        </w:rPr>
        <w:t>, 2021). However, limited research has examined the direct relationship between flooding and food security, particularly in Kenya. Many studies focus on either physical or social vulnerability, without integrating both dimensions. There is also a lack of consensus on the most appropriate indicators for measuring food security. Furthermore, little research has explored how floods affect households with different socioeconomic characteristics within the same region, creating a significant knowledge gap.</w:t>
      </w:r>
    </w:p>
    <w:p w14:paraId="1C175359" w14:textId="0D47A2D5" w:rsidR="003C4388" w:rsidRPr="003C4388" w:rsidRDefault="003C4388">
      <w:pPr>
        <w:spacing w:line="360" w:lineRule="auto"/>
        <w:jc w:val="both"/>
        <w:rPr>
          <w:rFonts w:ascii="Garamond" w:eastAsia="Garamond" w:hAnsi="Garamond" w:cs="Times New Roman"/>
          <w:b/>
          <w:sz w:val="24"/>
          <w:szCs w:val="24"/>
        </w:rPr>
      </w:pPr>
      <w:r w:rsidRPr="003C4388">
        <w:rPr>
          <w:rFonts w:ascii="Garamond" w:eastAsia="Garamond" w:hAnsi="Garamond" w:cs="Times New Roman"/>
          <w:b/>
          <w:sz w:val="24"/>
          <w:szCs w:val="24"/>
        </w:rPr>
        <w:t xml:space="preserve">2.8. </w:t>
      </w:r>
      <w:r w:rsidRPr="003C4388">
        <w:rPr>
          <w:rFonts w:ascii="Garamond" w:hAnsi="Garamond" w:cs="Times New Roman"/>
          <w:b/>
          <w:sz w:val="24"/>
          <w:szCs w:val="24"/>
          <w:lang w:val="en-GB"/>
        </w:rPr>
        <w:t>Empirical finding that will guide to future research.</w:t>
      </w:r>
    </w:p>
    <w:p w14:paraId="0D6BC275" w14:textId="620F8AE5" w:rsidR="003C4388" w:rsidRPr="003C4388" w:rsidRDefault="003C4388" w:rsidP="003C4388">
      <w:pPr>
        <w:spacing w:line="360" w:lineRule="auto"/>
        <w:jc w:val="both"/>
        <w:rPr>
          <w:rFonts w:ascii="Garamond" w:hAnsi="Garamond"/>
          <w:sz w:val="24"/>
          <w:szCs w:val="24"/>
        </w:rPr>
      </w:pPr>
      <w:r w:rsidRPr="003C4388">
        <w:rPr>
          <w:rFonts w:ascii="Garamond" w:hAnsi="Garamond"/>
          <w:sz w:val="24"/>
          <w:szCs w:val="24"/>
        </w:rPr>
        <w:t>Empirical studies in Baringo County show that flooding has a significant negative effect on household food security by disrupting agricultural production systems and livelihoods. For instance, research on extreme flooding around Lake Baringo found that floods submerged farmlands and grazing areas, leading to loss of crops and livestock, which are primary food sources for households. This directly reduced food availability and income, thereby increasing household vulnerability to food insecurity. Additionally, climate-related studies indicate that floods, though less frequent than drought, still affect 31.8% of households, contributing to instability in food systems</w:t>
      </w:r>
    </w:p>
    <w:p w14:paraId="243A0E71"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3.0. Methodology </w:t>
      </w:r>
    </w:p>
    <w:p w14:paraId="6248BDB2"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3.1. Location </w:t>
      </w:r>
    </w:p>
    <w:p w14:paraId="1BA23BCB"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Baringo County is located in Kenya and is bordered by Turkana and West Pokot to the north, Samburu and Laikipia to the east, Nakuru and Kericho to the south, </w:t>
      </w:r>
      <w:proofErr w:type="spellStart"/>
      <w:r>
        <w:rPr>
          <w:rFonts w:ascii="Garamond" w:eastAsia="Garamond" w:hAnsi="Garamond" w:cs="Garamond"/>
          <w:color w:val="000000"/>
          <w:sz w:val="24"/>
          <w:szCs w:val="24"/>
        </w:rPr>
        <w:t>Uasin</w:t>
      </w:r>
      <w:proofErr w:type="spellEnd"/>
      <w:r>
        <w:rPr>
          <w:rFonts w:ascii="Garamond" w:eastAsia="Garamond" w:hAnsi="Garamond" w:cs="Garamond"/>
          <w:color w:val="000000"/>
          <w:sz w:val="24"/>
          <w:szCs w:val="24"/>
        </w:rPr>
        <w:t xml:space="preserve"> Gishu to the southwest, and </w:t>
      </w:r>
      <w:proofErr w:type="spellStart"/>
      <w:r>
        <w:rPr>
          <w:rFonts w:ascii="Garamond" w:eastAsia="Garamond" w:hAnsi="Garamond" w:cs="Garamond"/>
          <w:color w:val="000000"/>
          <w:sz w:val="24"/>
          <w:szCs w:val="24"/>
        </w:rPr>
        <w:t>Elgeyo</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Marakwet</w:t>
      </w:r>
      <w:proofErr w:type="spellEnd"/>
      <w:r>
        <w:rPr>
          <w:rFonts w:ascii="Garamond" w:eastAsia="Garamond" w:hAnsi="Garamond" w:cs="Garamond"/>
          <w:color w:val="000000"/>
          <w:sz w:val="24"/>
          <w:szCs w:val="24"/>
        </w:rPr>
        <w:t xml:space="preserve"> to the west. It covers approximately 8,655 km² and lies between latitudes 0°13′ South and 1°40′ North, and longitudes 35°36′ and 36°30′ East. The study focuses on selected areas within the county, namely Salaam, Gumbo, </w:t>
      </w:r>
      <w:proofErr w:type="spellStart"/>
      <w:r>
        <w:rPr>
          <w:rFonts w:ascii="Garamond" w:eastAsia="Garamond" w:hAnsi="Garamond" w:cs="Garamond"/>
          <w:color w:val="000000"/>
          <w:sz w:val="24"/>
          <w:szCs w:val="24"/>
        </w:rPr>
        <w:t>Loruk</w:t>
      </w:r>
      <w:proofErr w:type="spellEnd"/>
      <w:r>
        <w:rPr>
          <w:rFonts w:ascii="Garamond" w:eastAsia="Garamond" w:hAnsi="Garamond" w:cs="Garamond"/>
          <w:color w:val="000000"/>
          <w:sz w:val="24"/>
          <w:szCs w:val="24"/>
        </w:rPr>
        <w:t xml:space="preserve">, and </w:t>
      </w:r>
      <w:proofErr w:type="spellStart"/>
      <w:r>
        <w:rPr>
          <w:rFonts w:ascii="Garamond" w:eastAsia="Garamond" w:hAnsi="Garamond" w:cs="Garamond"/>
          <w:color w:val="000000"/>
          <w:sz w:val="24"/>
          <w:szCs w:val="24"/>
        </w:rPr>
        <w:t>Kambiyasamaki</w:t>
      </w:r>
      <w:proofErr w:type="spellEnd"/>
      <w:r>
        <w:rPr>
          <w:rFonts w:ascii="Garamond" w:eastAsia="Garamond" w:hAnsi="Garamond" w:cs="Garamond"/>
          <w:color w:val="000000"/>
          <w:sz w:val="24"/>
          <w:szCs w:val="24"/>
        </w:rPr>
        <w:t xml:space="preserve">, which represent diverse geographical zones. The county is largely dry and semi-arid, with livestock keeping as the dominant livelihood, although droughts frequently threaten pastoral production. Agriculture also plays a key economic role, </w:t>
      </w:r>
      <w:r>
        <w:rPr>
          <w:rFonts w:ascii="Garamond" w:eastAsia="Garamond" w:hAnsi="Garamond" w:cs="Garamond"/>
          <w:color w:val="000000"/>
          <w:sz w:val="24"/>
          <w:szCs w:val="24"/>
        </w:rPr>
        <w:lastRenderedPageBreak/>
        <w:t>with crops such as maize, beans, sorghum, and cassava grown alongside cash crops and livestock products, though limited value addition reduces their economic returns.</w:t>
      </w:r>
    </w:p>
    <w:p w14:paraId="39DCA454" w14:textId="2EE72BB3" w:rsidR="00203701" w:rsidRDefault="009028BC">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sidRPr="00FA1B84">
        <w:rPr>
          <w:rFonts w:ascii="Garamond" w:hAnsi="Garamond"/>
          <w:noProof/>
          <w:color w:val="000000"/>
        </w:rPr>
        <w:drawing>
          <wp:inline distT="0" distB="0" distL="0" distR="0" wp14:anchorId="7584517C" wp14:editId="6604F360">
            <wp:extent cx="5943600" cy="2762250"/>
            <wp:effectExtent l="19050" t="19050" r="19050" b="1905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943600" cy="2762250"/>
                    </a:xfrm>
                    <a:prstGeom prst="rect">
                      <a:avLst/>
                    </a:prstGeom>
                    <a:ln w="19050">
                      <a:solidFill>
                        <a:schemeClr val="tx1"/>
                      </a:solidFill>
                    </a:ln>
                  </pic:spPr>
                </pic:pic>
              </a:graphicData>
            </a:graphic>
          </wp:inline>
        </w:drawing>
      </w:r>
    </w:p>
    <w:p w14:paraId="6098EC3A" w14:textId="20D555C9"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Figure 1. </w:t>
      </w:r>
      <w:r w:rsidR="000E7752">
        <w:rPr>
          <w:rFonts w:ascii="Garamond" w:eastAsia="Garamond" w:hAnsi="Garamond" w:cs="Garamond"/>
          <w:b/>
          <w:bCs/>
          <w:color w:val="000000"/>
          <w:sz w:val="24"/>
          <w:szCs w:val="24"/>
        </w:rPr>
        <w:t xml:space="preserve">Map of the </w:t>
      </w:r>
      <w:r>
        <w:rPr>
          <w:rFonts w:ascii="Garamond" w:eastAsia="Garamond" w:hAnsi="Garamond" w:cs="Garamond"/>
          <w:b/>
          <w:bCs/>
          <w:color w:val="000000"/>
          <w:sz w:val="24"/>
          <w:szCs w:val="24"/>
        </w:rPr>
        <w:t>Study area (Field research, 2025)</w:t>
      </w:r>
    </w:p>
    <w:p w14:paraId="65AB525F"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3.2. Study design </w:t>
      </w:r>
    </w:p>
    <w:p w14:paraId="7883F687" w14:textId="77777777" w:rsidR="00203701" w:rsidRDefault="003D14C2">
      <w:pPr>
        <w:spacing w:line="360" w:lineRule="auto"/>
        <w:jc w:val="both"/>
        <w:rPr>
          <w:rFonts w:ascii="Garamond" w:eastAsia="Garamond" w:hAnsi="Garamond" w:cs="Garamond"/>
          <w:sz w:val="24"/>
          <w:szCs w:val="24"/>
        </w:rPr>
      </w:pPr>
      <w:r>
        <w:rPr>
          <w:rFonts w:ascii="Garamond" w:eastAsia="Garamond" w:hAnsi="Garamond" w:cs="Garamond"/>
          <w:sz w:val="24"/>
          <w:szCs w:val="24"/>
        </w:rPr>
        <w:t xml:space="preserve">The study adopts a descriptive survey design incorporating both qualitative and quantitative approaches to provide a comprehensive understanding of the research problem. The target population consists of households in selected flood-prone areas of Baringo South Sub-County, including </w:t>
      </w:r>
      <w:proofErr w:type="spellStart"/>
      <w:r>
        <w:rPr>
          <w:rFonts w:ascii="Garamond" w:eastAsia="Garamond" w:hAnsi="Garamond" w:cs="Garamond"/>
          <w:sz w:val="24"/>
          <w:szCs w:val="24"/>
        </w:rPr>
        <w:t>Salabani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Ngambo</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Loruk</w:t>
      </w:r>
      <w:proofErr w:type="spellEnd"/>
      <w:r>
        <w:rPr>
          <w:rFonts w:ascii="Garamond" w:eastAsia="Garamond" w:hAnsi="Garamond" w:cs="Garamond"/>
          <w:sz w:val="24"/>
          <w:szCs w:val="24"/>
        </w:rPr>
        <w:t xml:space="preserve">, and </w:t>
      </w:r>
      <w:proofErr w:type="spellStart"/>
      <w:r>
        <w:rPr>
          <w:rFonts w:ascii="Garamond" w:eastAsia="Garamond" w:hAnsi="Garamond" w:cs="Garamond"/>
          <w:sz w:val="24"/>
          <w:szCs w:val="24"/>
        </w:rPr>
        <w:t>Kambi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ya</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Samaki</w:t>
      </w:r>
      <w:proofErr w:type="spellEnd"/>
      <w:r>
        <w:rPr>
          <w:rFonts w:ascii="Garamond" w:eastAsia="Garamond" w:hAnsi="Garamond" w:cs="Garamond"/>
          <w:sz w:val="24"/>
          <w:szCs w:val="24"/>
        </w:rPr>
        <w:t>. Using stratified random sampling, a sample size of 389 respondents (384 household heads and key informants) was selected to ensure representativeness across different locations.</w:t>
      </w:r>
    </w:p>
    <w:p w14:paraId="79958815"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 xml:space="preserve"> 3.3. Population</w:t>
      </w:r>
    </w:p>
    <w:p w14:paraId="78929552"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According to the 2019 national census, Baringo South Sub-County has a population of 90,955, while Baringo County has a total population of 666,763. The study focused on approximately 20,000 residents from </w:t>
      </w:r>
      <w:proofErr w:type="spellStart"/>
      <w:r>
        <w:rPr>
          <w:rFonts w:ascii="Garamond" w:eastAsia="Garamond" w:hAnsi="Garamond" w:cs="Garamond"/>
          <w:color w:val="000000"/>
          <w:sz w:val="24"/>
          <w:szCs w:val="24"/>
        </w:rPr>
        <w:t>Salabani</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Ngambo</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Loruk</w:t>
      </w:r>
      <w:proofErr w:type="spellEnd"/>
      <w:r>
        <w:rPr>
          <w:rFonts w:ascii="Garamond" w:eastAsia="Garamond" w:hAnsi="Garamond" w:cs="Garamond"/>
          <w:color w:val="000000"/>
          <w:sz w:val="24"/>
          <w:szCs w:val="24"/>
        </w:rPr>
        <w:t xml:space="preserve">, and </w:t>
      </w:r>
      <w:proofErr w:type="spellStart"/>
      <w:r>
        <w:rPr>
          <w:rFonts w:ascii="Garamond" w:eastAsia="Garamond" w:hAnsi="Garamond" w:cs="Garamond"/>
          <w:color w:val="000000"/>
          <w:sz w:val="24"/>
          <w:szCs w:val="24"/>
        </w:rPr>
        <w:t>Kambi</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ya</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Samaki</w:t>
      </w:r>
      <w:proofErr w:type="spellEnd"/>
      <w:r>
        <w:rPr>
          <w:rFonts w:ascii="Garamond" w:eastAsia="Garamond" w:hAnsi="Garamond" w:cs="Garamond"/>
          <w:color w:val="000000"/>
          <w:sz w:val="24"/>
          <w:szCs w:val="24"/>
        </w:rPr>
        <w:t xml:space="preserve">. These locations were selected due to their proximity to Lakes Baringo and </w:t>
      </w:r>
      <w:proofErr w:type="spellStart"/>
      <w:r>
        <w:rPr>
          <w:rFonts w:ascii="Garamond" w:eastAsia="Garamond" w:hAnsi="Garamond" w:cs="Garamond"/>
          <w:color w:val="000000"/>
          <w:sz w:val="24"/>
          <w:szCs w:val="24"/>
        </w:rPr>
        <w:t>Bogoria</w:t>
      </w:r>
      <w:proofErr w:type="spellEnd"/>
      <w:r>
        <w:rPr>
          <w:rFonts w:ascii="Garamond" w:eastAsia="Garamond" w:hAnsi="Garamond" w:cs="Garamond"/>
          <w:color w:val="000000"/>
          <w:sz w:val="24"/>
          <w:szCs w:val="24"/>
        </w:rPr>
        <w:t xml:space="preserve"> and their vulnerability to flooding. The research aimed to examine how this proximity influences household food security. It specifically assessed food security conditions during and after flood events.</w:t>
      </w:r>
    </w:p>
    <w:p w14:paraId="2A776932"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lastRenderedPageBreak/>
        <w:t>3.4. Sampling Procedure</w:t>
      </w:r>
    </w:p>
    <w:p w14:paraId="420B6720"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The study used a stratified random sampling technique to ensure representative population coverage. Households were grouped based on geographic location and randomly selected from each stratum. This method ensured equal and independent chances of selection for all households. It was suitable due to variations in flood exposure and socioeconomic characteristics across the study area. The approach enhanced the reliability and inclusiveness of the data collected.</w:t>
      </w:r>
    </w:p>
    <w:p w14:paraId="4A8006CC"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3.5. Sample Size</w:t>
      </w:r>
    </w:p>
    <w:p w14:paraId="2C91A796"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The study sample consisted of 389 respondents, including 384 household heads and 3 key informants. The sample size was determined using a standard formula with a 5% margin of error, resulting in 384 households. Stratified proportional allocation was used to distribute respondents evenly across the four study locations. This ensured fair representation of each area in the research. The inclusion of key informants enriched the overall dataset.</w:t>
      </w:r>
    </w:p>
    <w:p w14:paraId="6AD6F969"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3.6. Instruments</w:t>
      </w:r>
    </w:p>
    <w:p w14:paraId="542B1BC4"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3.6.1. Questionnaire</w:t>
      </w:r>
    </w:p>
    <w:p w14:paraId="14D51A54"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Data were collected using structured questionnaires to gather both qualitative and quantitative information. The tool captured demographic data and experiences related to flooding and food security. Both open-ended and closed-ended questions were included for comprehensive responses. Household heads were selected through stratified random sampling to ensure representation. Questionnaires were effective for collecting data from a large population.</w:t>
      </w:r>
    </w:p>
    <w:p w14:paraId="4E5FC01D"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3.6.2. Key Informant Interviews</w:t>
      </w:r>
    </w:p>
    <w:p w14:paraId="4A59E9D5"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Key informant interviews were conducted to obtain in-depth insights beyond questionnaire data. Participants included individuals with expertise in flooding and food security issues. A structured interview guide was used to maintain consistency. The interviews provided contextual and historical perspectives on the study area. This enriched the overall quality and depth of the findings.</w:t>
      </w:r>
    </w:p>
    <w:p w14:paraId="766C6D49"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3.6.3. Photographic Evidence</w:t>
      </w:r>
    </w:p>
    <w:p w14:paraId="38A992B7"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Photographs were taken during fieldwork to document flooding and food security conditions. These visual records supported and validated the data collected from respondents. They provided tangible evidence of observed events and environmental conditions. Photographic documentation enhanced the credibility of the study. It also helped illustrate key findings for better interpretation.</w:t>
      </w:r>
    </w:p>
    <w:p w14:paraId="5C6E406F"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3.7. Data collection </w:t>
      </w:r>
    </w:p>
    <w:p w14:paraId="0CAAC6E2"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Data collection was conducted using structured questionnaires, key informant interviews, and photographic documentation. Questionnaires captured demographic characteristics and household experiences related to flooding and food security, while interviews provided in-depth insights into local conditions and adaptive strategies.</w:t>
      </w:r>
    </w:p>
    <w:p w14:paraId="0E9C7670"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3.8. Data analysis </w:t>
      </w:r>
    </w:p>
    <w:p w14:paraId="23787238"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Data analysis employed both qualitative and quantitative techniques. Qualitative data were analyzed thematically to identify key patterns related to flood impacts and coping mechanisms. Quantitative data were analyzed using descriptive statistics (frequencies, percentages, and means) and inferential statistics to examine relationships between flooding and food security indicators. The findings were presented using tables, graphs, and charts to facilitate interpretation and comparison. Overall, the study provides an integrated assessment of how flooding influences food security in Baringo County, combining statistical evidence with contextual insights to address existing research gaps and inform policy and intervention strategies.</w:t>
      </w:r>
    </w:p>
    <w:p w14:paraId="58429BC9" w14:textId="1C405FE0" w:rsidR="00BD46BA" w:rsidRPr="00BD46BA" w:rsidRDefault="00BD46BA">
      <w:pPr>
        <w:pBdr>
          <w:top w:val="nil"/>
          <w:left w:val="nil"/>
          <w:bottom w:val="nil"/>
          <w:right w:val="nil"/>
          <w:between w:val="nil"/>
        </w:pBdr>
        <w:spacing w:before="280" w:after="280" w:line="360" w:lineRule="auto"/>
        <w:jc w:val="both"/>
        <w:rPr>
          <w:rFonts w:ascii="Garamond" w:eastAsia="Garamond" w:hAnsi="Garamond" w:cs="Garamond"/>
          <w:b/>
          <w:color w:val="000000"/>
          <w:sz w:val="24"/>
          <w:szCs w:val="24"/>
        </w:rPr>
      </w:pPr>
      <w:r w:rsidRPr="00BD46BA">
        <w:rPr>
          <w:rFonts w:ascii="Garamond" w:eastAsia="Garamond" w:hAnsi="Garamond" w:cs="Garamond"/>
          <w:b/>
          <w:color w:val="000000"/>
          <w:sz w:val="24"/>
          <w:szCs w:val="24"/>
        </w:rPr>
        <w:t xml:space="preserve">3.9. Ethical Consideration </w:t>
      </w:r>
    </w:p>
    <w:p w14:paraId="6CAAC719" w14:textId="4BA07B31" w:rsidR="00BD46BA" w:rsidRPr="00BD46BA" w:rsidRDefault="00BD46BA">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sidRPr="00BD46BA">
        <w:rPr>
          <w:rFonts w:ascii="Garamond" w:hAnsi="Garamond"/>
          <w:sz w:val="24"/>
          <w:szCs w:val="24"/>
        </w:rPr>
        <w:t>Flood occurrence refers to the frequency, intensity, and spatial distribution of flood events within a given area over time, while its causes include natural factors such as heavy rainfall and river overflow, as well as human factors like poor drainage and unplanned settlements. Trends indicate that flooding has been increasing in frequency and severity due to climate variability, land-use changes, and rapid urbanization. In studying these patterns, ethical considerations were observed, including obtaining informed consent, ensuring confidentiality of respondents, and minimizing harm while collecting and reporting data.</w:t>
      </w:r>
    </w:p>
    <w:p w14:paraId="5EC2856A" w14:textId="25A329ED"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4.0. Results </w:t>
      </w:r>
      <w:r w:rsidR="000E7752">
        <w:rPr>
          <w:rFonts w:ascii="Garamond" w:eastAsia="Garamond" w:hAnsi="Garamond" w:cs="Garamond"/>
          <w:b/>
          <w:bCs/>
          <w:color w:val="000000"/>
          <w:sz w:val="24"/>
          <w:szCs w:val="24"/>
        </w:rPr>
        <w:t>and Discussion:</w:t>
      </w:r>
    </w:p>
    <w:p w14:paraId="678520C0" w14:textId="77777777" w:rsidR="00203701" w:rsidRDefault="003D14C2">
      <w:pPr>
        <w:spacing w:before="280" w:after="280" w:line="360" w:lineRule="auto"/>
        <w:jc w:val="both"/>
        <w:rPr>
          <w:rFonts w:ascii="Garamond" w:eastAsia="Garamond" w:hAnsi="Garamond" w:cs="Garamond"/>
          <w:b/>
          <w:bCs/>
          <w:sz w:val="24"/>
          <w:szCs w:val="24"/>
        </w:rPr>
      </w:pPr>
      <w:r>
        <w:rPr>
          <w:rFonts w:ascii="Garamond" w:eastAsia="Garamond" w:hAnsi="Garamond" w:cs="Garamond"/>
          <w:b/>
          <w:bCs/>
          <w:sz w:val="24"/>
          <w:szCs w:val="24"/>
        </w:rPr>
        <w:lastRenderedPageBreak/>
        <w:t>4.1. Response Rate and Demographic Characteristics</w:t>
      </w:r>
    </w:p>
    <w:p w14:paraId="50C42ADB" w14:textId="77777777" w:rsidR="00203701" w:rsidRDefault="003D14C2">
      <w:pPr>
        <w:spacing w:before="280" w:after="280" w:line="360" w:lineRule="auto"/>
        <w:jc w:val="both"/>
        <w:rPr>
          <w:rFonts w:ascii="Garamond" w:eastAsia="Garamond" w:hAnsi="Garamond" w:cs="Garamond"/>
          <w:b/>
          <w:bCs/>
          <w:sz w:val="24"/>
          <w:szCs w:val="24"/>
        </w:rPr>
      </w:pPr>
      <w:r>
        <w:rPr>
          <w:rFonts w:ascii="Garamond" w:eastAsia="Garamond" w:hAnsi="Garamond" w:cs="Garamond"/>
          <w:b/>
          <w:bCs/>
          <w:sz w:val="24"/>
          <w:szCs w:val="24"/>
        </w:rPr>
        <w:t>4.2. Flood Occurrence, Causes, and Trends</w:t>
      </w:r>
    </w:p>
    <w:p w14:paraId="750C443E" w14:textId="5F90A00E" w:rsidR="003C21CE" w:rsidRPr="003C21CE" w:rsidRDefault="003C21CE">
      <w:pPr>
        <w:spacing w:before="280" w:after="280" w:line="360" w:lineRule="auto"/>
        <w:jc w:val="both"/>
        <w:rPr>
          <w:rFonts w:ascii="Garamond" w:eastAsia="Garamond" w:hAnsi="Garamond" w:cs="Garamond"/>
          <w:b/>
          <w:bCs/>
          <w:sz w:val="24"/>
          <w:szCs w:val="24"/>
        </w:rPr>
      </w:pPr>
      <w:r w:rsidRPr="003C21CE">
        <w:rPr>
          <w:rFonts w:ascii="Garamond" w:hAnsi="Garamond"/>
          <w:sz w:val="24"/>
          <w:szCs w:val="24"/>
        </w:rPr>
        <w:t>Flood occurrence refers to the frequency, intensity, and spatial distribution of flood events within a given area over time. The causes of flooding include both natural factors such as heavy rainfall, river overflow, and topography, as well as human factors like poor drainage, deforestation, and unplanned settlements. Trends in flooding indicate increasing frequency and severity in many regions, largely driven by climate variability, land-use changes, and rapid urbanization.</w:t>
      </w:r>
    </w:p>
    <w:p w14:paraId="10ACE7EE" w14:textId="77777777" w:rsidR="00203701" w:rsidRDefault="003D14C2">
      <w:pPr>
        <w:pBdr>
          <w:top w:val="nil"/>
          <w:left w:val="nil"/>
          <w:bottom w:val="nil"/>
          <w:right w:val="nil"/>
          <w:between w:val="nil"/>
        </w:pBdr>
        <w:tabs>
          <w:tab w:val="left" w:pos="1632"/>
        </w:tabs>
        <w:spacing w:after="0" w:line="360" w:lineRule="auto"/>
        <w:jc w:val="both"/>
        <w:rPr>
          <w:rFonts w:ascii="Garamond" w:eastAsia="Garamond" w:hAnsi="Garamond" w:cs="Garamond"/>
          <w:b/>
          <w:bCs/>
          <w:color w:val="000000"/>
          <w:sz w:val="24"/>
          <w:szCs w:val="24"/>
        </w:rPr>
      </w:pPr>
      <w:bookmarkStart w:id="1" w:name="_7tnzuig8tlme" w:colFirst="0" w:colLast="0"/>
      <w:bookmarkEnd w:id="1"/>
      <w:r>
        <w:rPr>
          <w:rFonts w:ascii="Garamond" w:eastAsia="Garamond" w:hAnsi="Garamond" w:cs="Garamond"/>
          <w:b/>
          <w:bCs/>
          <w:color w:val="000000"/>
          <w:sz w:val="24"/>
          <w:szCs w:val="24"/>
          <w:highlight w:val="white"/>
        </w:rPr>
        <w:t>Table 1. Flood experience</w:t>
      </w:r>
    </w:p>
    <w:p w14:paraId="544A5D2B" w14:textId="77777777" w:rsidR="00203701" w:rsidRDefault="00203701">
      <w:pPr>
        <w:pBdr>
          <w:top w:val="nil"/>
          <w:left w:val="nil"/>
          <w:bottom w:val="nil"/>
          <w:right w:val="nil"/>
          <w:between w:val="nil"/>
        </w:pBdr>
        <w:spacing w:after="200" w:line="360" w:lineRule="auto"/>
        <w:jc w:val="both"/>
        <w:rPr>
          <w:rFonts w:ascii="Garamond" w:eastAsia="Garamond" w:hAnsi="Garamond" w:cs="Garamond"/>
          <w:i/>
          <w:iCs/>
          <w:color w:val="44546A"/>
          <w:sz w:val="24"/>
          <w:szCs w:val="24"/>
        </w:rPr>
      </w:pPr>
    </w:p>
    <w:tbl>
      <w:tblPr>
        <w:tblStyle w:val="a"/>
        <w:tblW w:w="9720" w:type="dxa"/>
        <w:tblInd w:w="0"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2970"/>
        <w:gridCol w:w="1530"/>
        <w:gridCol w:w="720"/>
        <w:gridCol w:w="1620"/>
        <w:gridCol w:w="1350"/>
        <w:gridCol w:w="1530"/>
      </w:tblGrid>
      <w:tr w:rsidR="00203701" w14:paraId="43129A55" w14:textId="77777777">
        <w:tc>
          <w:tcPr>
            <w:tcW w:w="2970" w:type="dxa"/>
            <w:tcBorders>
              <w:top w:val="single" w:sz="4" w:space="0" w:color="000000"/>
              <w:left w:val="nil"/>
              <w:bottom w:val="single" w:sz="4" w:space="0" w:color="000000"/>
              <w:right w:val="nil"/>
            </w:tcBorders>
            <w:tcMar>
              <w:top w:w="0" w:type="dxa"/>
              <w:left w:w="108" w:type="dxa"/>
              <w:bottom w:w="0" w:type="dxa"/>
              <w:right w:w="108" w:type="dxa"/>
            </w:tcMar>
          </w:tcPr>
          <w:p w14:paraId="43E50DF1"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Has Flooding ever happened in you Farm</w:t>
            </w:r>
          </w:p>
        </w:tc>
        <w:tc>
          <w:tcPr>
            <w:tcW w:w="1530" w:type="dxa"/>
            <w:tcBorders>
              <w:top w:val="single" w:sz="4" w:space="0" w:color="000000"/>
              <w:left w:val="nil"/>
              <w:bottom w:val="single" w:sz="4" w:space="0" w:color="000000"/>
              <w:right w:val="nil"/>
            </w:tcBorders>
            <w:tcMar>
              <w:top w:w="0" w:type="dxa"/>
              <w:left w:w="108" w:type="dxa"/>
              <w:bottom w:w="0" w:type="dxa"/>
              <w:right w:w="108" w:type="dxa"/>
            </w:tcMar>
          </w:tcPr>
          <w:p w14:paraId="4554AFCA"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Mean Age (Years)</w:t>
            </w:r>
          </w:p>
        </w:tc>
        <w:tc>
          <w:tcPr>
            <w:tcW w:w="720" w:type="dxa"/>
            <w:tcBorders>
              <w:top w:val="single" w:sz="4" w:space="0" w:color="000000"/>
              <w:left w:val="nil"/>
              <w:bottom w:val="single" w:sz="4" w:space="0" w:color="000000"/>
              <w:right w:val="nil"/>
            </w:tcBorders>
            <w:tcMar>
              <w:top w:w="0" w:type="dxa"/>
              <w:left w:w="108" w:type="dxa"/>
              <w:bottom w:w="0" w:type="dxa"/>
              <w:right w:w="108" w:type="dxa"/>
            </w:tcMar>
          </w:tcPr>
          <w:p w14:paraId="5CE8BF08"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N</w:t>
            </w:r>
          </w:p>
        </w:tc>
        <w:tc>
          <w:tcPr>
            <w:tcW w:w="1620" w:type="dxa"/>
            <w:tcBorders>
              <w:top w:val="single" w:sz="4" w:space="0" w:color="000000"/>
              <w:left w:val="nil"/>
              <w:bottom w:val="single" w:sz="4" w:space="0" w:color="000000"/>
              <w:right w:val="nil"/>
            </w:tcBorders>
            <w:tcMar>
              <w:top w:w="0" w:type="dxa"/>
              <w:left w:w="108" w:type="dxa"/>
              <w:bottom w:w="0" w:type="dxa"/>
              <w:right w:w="108" w:type="dxa"/>
            </w:tcMar>
          </w:tcPr>
          <w:p w14:paraId="67F59043"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Std. Deviation</w:t>
            </w:r>
          </w:p>
        </w:tc>
        <w:tc>
          <w:tcPr>
            <w:tcW w:w="1350" w:type="dxa"/>
            <w:tcBorders>
              <w:top w:val="single" w:sz="4" w:space="0" w:color="000000"/>
              <w:left w:val="nil"/>
              <w:bottom w:val="single" w:sz="4" w:space="0" w:color="000000"/>
              <w:right w:val="nil"/>
            </w:tcBorders>
            <w:tcMar>
              <w:top w:w="0" w:type="dxa"/>
              <w:left w:w="108" w:type="dxa"/>
              <w:bottom w:w="0" w:type="dxa"/>
              <w:right w:w="108" w:type="dxa"/>
            </w:tcMar>
          </w:tcPr>
          <w:p w14:paraId="52AC4BEE"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Skewness</w:t>
            </w:r>
          </w:p>
        </w:tc>
        <w:tc>
          <w:tcPr>
            <w:tcW w:w="1530" w:type="dxa"/>
            <w:tcBorders>
              <w:top w:val="single" w:sz="4" w:space="0" w:color="000000"/>
              <w:left w:val="nil"/>
              <w:bottom w:val="single" w:sz="4" w:space="0" w:color="000000"/>
              <w:right w:val="nil"/>
            </w:tcBorders>
            <w:tcMar>
              <w:top w:w="0" w:type="dxa"/>
              <w:left w:w="108" w:type="dxa"/>
              <w:bottom w:w="0" w:type="dxa"/>
              <w:right w:w="108" w:type="dxa"/>
            </w:tcMar>
          </w:tcPr>
          <w:p w14:paraId="36E9D163"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 of Total N</w:t>
            </w:r>
          </w:p>
        </w:tc>
      </w:tr>
      <w:tr w:rsidR="00203701" w14:paraId="50D551D7" w14:textId="77777777">
        <w:tc>
          <w:tcPr>
            <w:tcW w:w="2970" w:type="dxa"/>
            <w:tcBorders>
              <w:top w:val="single" w:sz="4" w:space="0" w:color="000000"/>
              <w:left w:val="nil"/>
              <w:bottom w:val="nil"/>
              <w:right w:val="nil"/>
            </w:tcBorders>
            <w:tcMar>
              <w:top w:w="0" w:type="dxa"/>
              <w:left w:w="108" w:type="dxa"/>
              <w:bottom w:w="0" w:type="dxa"/>
              <w:right w:w="108" w:type="dxa"/>
            </w:tcMar>
          </w:tcPr>
          <w:p w14:paraId="3BB780C7"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No</w:t>
            </w:r>
          </w:p>
        </w:tc>
        <w:tc>
          <w:tcPr>
            <w:tcW w:w="1530" w:type="dxa"/>
            <w:tcBorders>
              <w:top w:val="single" w:sz="4" w:space="0" w:color="000000"/>
              <w:left w:val="nil"/>
              <w:bottom w:val="nil"/>
              <w:right w:val="nil"/>
            </w:tcBorders>
            <w:tcMar>
              <w:top w:w="0" w:type="dxa"/>
              <w:left w:w="108" w:type="dxa"/>
              <w:bottom w:w="0" w:type="dxa"/>
              <w:right w:w="108" w:type="dxa"/>
            </w:tcMar>
          </w:tcPr>
          <w:p w14:paraId="09D41A3A"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28.96</w:t>
            </w:r>
          </w:p>
        </w:tc>
        <w:tc>
          <w:tcPr>
            <w:tcW w:w="720" w:type="dxa"/>
            <w:tcBorders>
              <w:top w:val="single" w:sz="4" w:space="0" w:color="000000"/>
              <w:left w:val="nil"/>
              <w:bottom w:val="nil"/>
              <w:right w:val="nil"/>
            </w:tcBorders>
            <w:tcMar>
              <w:top w:w="0" w:type="dxa"/>
              <w:left w:w="108" w:type="dxa"/>
              <w:bottom w:w="0" w:type="dxa"/>
              <w:right w:w="108" w:type="dxa"/>
            </w:tcMar>
          </w:tcPr>
          <w:p w14:paraId="28FEE4EF"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24</w:t>
            </w:r>
          </w:p>
        </w:tc>
        <w:tc>
          <w:tcPr>
            <w:tcW w:w="1620" w:type="dxa"/>
            <w:tcBorders>
              <w:top w:val="single" w:sz="4" w:space="0" w:color="000000"/>
              <w:left w:val="nil"/>
              <w:bottom w:val="nil"/>
              <w:right w:val="nil"/>
            </w:tcBorders>
            <w:tcMar>
              <w:top w:w="0" w:type="dxa"/>
              <w:left w:w="108" w:type="dxa"/>
              <w:bottom w:w="0" w:type="dxa"/>
              <w:right w:w="108" w:type="dxa"/>
            </w:tcMar>
          </w:tcPr>
          <w:p w14:paraId="55A171B3"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8.513</w:t>
            </w:r>
          </w:p>
        </w:tc>
        <w:tc>
          <w:tcPr>
            <w:tcW w:w="1350" w:type="dxa"/>
            <w:tcBorders>
              <w:top w:val="single" w:sz="4" w:space="0" w:color="000000"/>
              <w:left w:val="nil"/>
              <w:bottom w:val="nil"/>
              <w:right w:val="nil"/>
            </w:tcBorders>
            <w:tcMar>
              <w:top w:w="0" w:type="dxa"/>
              <w:left w:w="108" w:type="dxa"/>
              <w:bottom w:w="0" w:type="dxa"/>
              <w:right w:w="108" w:type="dxa"/>
            </w:tcMar>
          </w:tcPr>
          <w:p w14:paraId="2D93C7CE"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1.599</w:t>
            </w:r>
          </w:p>
        </w:tc>
        <w:tc>
          <w:tcPr>
            <w:tcW w:w="1530" w:type="dxa"/>
            <w:tcBorders>
              <w:top w:val="single" w:sz="4" w:space="0" w:color="000000"/>
              <w:left w:val="nil"/>
              <w:bottom w:val="nil"/>
              <w:right w:val="nil"/>
            </w:tcBorders>
            <w:tcMar>
              <w:top w:w="0" w:type="dxa"/>
              <w:left w:w="108" w:type="dxa"/>
              <w:bottom w:w="0" w:type="dxa"/>
              <w:right w:w="108" w:type="dxa"/>
            </w:tcMar>
          </w:tcPr>
          <w:p w14:paraId="1964F345"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12.9%</w:t>
            </w:r>
          </w:p>
        </w:tc>
      </w:tr>
      <w:tr w:rsidR="00203701" w14:paraId="04587681" w14:textId="77777777">
        <w:tc>
          <w:tcPr>
            <w:tcW w:w="2970" w:type="dxa"/>
            <w:tcBorders>
              <w:top w:val="nil"/>
              <w:left w:val="nil"/>
              <w:bottom w:val="single" w:sz="4" w:space="0" w:color="000000"/>
              <w:right w:val="nil"/>
            </w:tcBorders>
            <w:tcMar>
              <w:top w:w="0" w:type="dxa"/>
              <w:left w:w="108" w:type="dxa"/>
              <w:bottom w:w="0" w:type="dxa"/>
              <w:right w:w="108" w:type="dxa"/>
            </w:tcMar>
          </w:tcPr>
          <w:p w14:paraId="22B192A7"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Yes</w:t>
            </w:r>
          </w:p>
        </w:tc>
        <w:tc>
          <w:tcPr>
            <w:tcW w:w="1530" w:type="dxa"/>
            <w:tcBorders>
              <w:top w:val="nil"/>
              <w:left w:val="nil"/>
              <w:bottom w:val="single" w:sz="4" w:space="0" w:color="000000"/>
              <w:right w:val="nil"/>
            </w:tcBorders>
            <w:tcMar>
              <w:top w:w="0" w:type="dxa"/>
              <w:left w:w="108" w:type="dxa"/>
              <w:bottom w:w="0" w:type="dxa"/>
              <w:right w:w="108" w:type="dxa"/>
            </w:tcMar>
          </w:tcPr>
          <w:p w14:paraId="1153D994"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35.03</w:t>
            </w:r>
          </w:p>
        </w:tc>
        <w:tc>
          <w:tcPr>
            <w:tcW w:w="720" w:type="dxa"/>
            <w:tcBorders>
              <w:top w:val="nil"/>
              <w:left w:val="nil"/>
              <w:bottom w:val="single" w:sz="4" w:space="0" w:color="000000"/>
              <w:right w:val="nil"/>
            </w:tcBorders>
            <w:tcMar>
              <w:top w:w="0" w:type="dxa"/>
              <w:left w:w="108" w:type="dxa"/>
              <w:bottom w:w="0" w:type="dxa"/>
              <w:right w:w="108" w:type="dxa"/>
            </w:tcMar>
          </w:tcPr>
          <w:p w14:paraId="58CEAC20"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162</w:t>
            </w:r>
          </w:p>
        </w:tc>
        <w:tc>
          <w:tcPr>
            <w:tcW w:w="1620" w:type="dxa"/>
            <w:tcBorders>
              <w:top w:val="nil"/>
              <w:left w:val="nil"/>
              <w:bottom w:val="single" w:sz="4" w:space="0" w:color="000000"/>
              <w:right w:val="nil"/>
            </w:tcBorders>
            <w:tcMar>
              <w:top w:w="0" w:type="dxa"/>
              <w:left w:w="108" w:type="dxa"/>
              <w:bottom w:w="0" w:type="dxa"/>
              <w:right w:w="108" w:type="dxa"/>
            </w:tcMar>
          </w:tcPr>
          <w:p w14:paraId="0BAE2BA8"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11.824</w:t>
            </w:r>
          </w:p>
        </w:tc>
        <w:tc>
          <w:tcPr>
            <w:tcW w:w="1350" w:type="dxa"/>
            <w:tcBorders>
              <w:top w:val="nil"/>
              <w:left w:val="nil"/>
              <w:bottom w:val="single" w:sz="4" w:space="0" w:color="000000"/>
              <w:right w:val="nil"/>
            </w:tcBorders>
            <w:tcMar>
              <w:top w:w="0" w:type="dxa"/>
              <w:left w:w="108" w:type="dxa"/>
              <w:bottom w:w="0" w:type="dxa"/>
              <w:right w:w="108" w:type="dxa"/>
            </w:tcMar>
          </w:tcPr>
          <w:p w14:paraId="33CD9251"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1.119</w:t>
            </w:r>
          </w:p>
        </w:tc>
        <w:tc>
          <w:tcPr>
            <w:tcW w:w="1530" w:type="dxa"/>
            <w:tcBorders>
              <w:top w:val="nil"/>
              <w:left w:val="nil"/>
              <w:bottom w:val="single" w:sz="4" w:space="0" w:color="000000"/>
              <w:right w:val="nil"/>
            </w:tcBorders>
            <w:tcMar>
              <w:top w:w="0" w:type="dxa"/>
              <w:left w:w="108" w:type="dxa"/>
              <w:bottom w:w="0" w:type="dxa"/>
              <w:right w:w="108" w:type="dxa"/>
            </w:tcMar>
          </w:tcPr>
          <w:p w14:paraId="7072EF6F"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87.1%</w:t>
            </w:r>
          </w:p>
        </w:tc>
      </w:tr>
      <w:tr w:rsidR="00203701" w14:paraId="370E92AF" w14:textId="77777777">
        <w:tc>
          <w:tcPr>
            <w:tcW w:w="2970" w:type="dxa"/>
            <w:tcBorders>
              <w:top w:val="single" w:sz="4" w:space="0" w:color="000000"/>
              <w:left w:val="nil"/>
              <w:bottom w:val="single" w:sz="4" w:space="0" w:color="000000"/>
              <w:right w:val="nil"/>
            </w:tcBorders>
            <w:tcMar>
              <w:top w:w="0" w:type="dxa"/>
              <w:left w:w="108" w:type="dxa"/>
              <w:bottom w:w="0" w:type="dxa"/>
              <w:right w:w="108" w:type="dxa"/>
            </w:tcMar>
          </w:tcPr>
          <w:p w14:paraId="50C6EC08"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Total</w:t>
            </w:r>
          </w:p>
        </w:tc>
        <w:tc>
          <w:tcPr>
            <w:tcW w:w="1530" w:type="dxa"/>
            <w:tcBorders>
              <w:top w:val="single" w:sz="4" w:space="0" w:color="000000"/>
              <w:left w:val="nil"/>
              <w:bottom w:val="single" w:sz="4" w:space="0" w:color="000000"/>
              <w:right w:val="nil"/>
            </w:tcBorders>
            <w:tcMar>
              <w:top w:w="0" w:type="dxa"/>
              <w:left w:w="108" w:type="dxa"/>
              <w:bottom w:w="0" w:type="dxa"/>
              <w:right w:w="108" w:type="dxa"/>
            </w:tcMar>
          </w:tcPr>
          <w:p w14:paraId="7A59DF72"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34.25</w:t>
            </w:r>
          </w:p>
        </w:tc>
        <w:tc>
          <w:tcPr>
            <w:tcW w:w="720" w:type="dxa"/>
            <w:tcBorders>
              <w:top w:val="single" w:sz="4" w:space="0" w:color="000000"/>
              <w:left w:val="nil"/>
              <w:bottom w:val="single" w:sz="4" w:space="0" w:color="000000"/>
              <w:right w:val="nil"/>
            </w:tcBorders>
            <w:tcMar>
              <w:top w:w="0" w:type="dxa"/>
              <w:left w:w="108" w:type="dxa"/>
              <w:bottom w:w="0" w:type="dxa"/>
              <w:right w:w="108" w:type="dxa"/>
            </w:tcMar>
          </w:tcPr>
          <w:p w14:paraId="64DE11DF"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186</w:t>
            </w:r>
          </w:p>
        </w:tc>
        <w:tc>
          <w:tcPr>
            <w:tcW w:w="1620" w:type="dxa"/>
            <w:tcBorders>
              <w:top w:val="single" w:sz="4" w:space="0" w:color="000000"/>
              <w:left w:val="nil"/>
              <w:bottom w:val="single" w:sz="4" w:space="0" w:color="000000"/>
              <w:right w:val="nil"/>
            </w:tcBorders>
            <w:tcMar>
              <w:top w:w="0" w:type="dxa"/>
              <w:left w:w="108" w:type="dxa"/>
              <w:bottom w:w="0" w:type="dxa"/>
              <w:right w:w="108" w:type="dxa"/>
            </w:tcMar>
          </w:tcPr>
          <w:p w14:paraId="366082C9"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11.612</w:t>
            </w:r>
          </w:p>
        </w:tc>
        <w:tc>
          <w:tcPr>
            <w:tcW w:w="1350" w:type="dxa"/>
            <w:tcBorders>
              <w:top w:val="single" w:sz="4" w:space="0" w:color="000000"/>
              <w:left w:val="nil"/>
              <w:bottom w:val="single" w:sz="4" w:space="0" w:color="000000"/>
              <w:right w:val="nil"/>
            </w:tcBorders>
            <w:tcMar>
              <w:top w:w="0" w:type="dxa"/>
              <w:left w:w="108" w:type="dxa"/>
              <w:bottom w:w="0" w:type="dxa"/>
              <w:right w:w="108" w:type="dxa"/>
            </w:tcMar>
          </w:tcPr>
          <w:p w14:paraId="2F862CA4"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1.179</w:t>
            </w:r>
          </w:p>
        </w:tc>
        <w:tc>
          <w:tcPr>
            <w:tcW w:w="1530" w:type="dxa"/>
            <w:tcBorders>
              <w:top w:val="single" w:sz="4" w:space="0" w:color="000000"/>
              <w:left w:val="nil"/>
              <w:bottom w:val="single" w:sz="4" w:space="0" w:color="000000"/>
              <w:right w:val="nil"/>
            </w:tcBorders>
            <w:tcMar>
              <w:top w:w="0" w:type="dxa"/>
              <w:left w:w="108" w:type="dxa"/>
              <w:bottom w:w="0" w:type="dxa"/>
              <w:right w:w="108" w:type="dxa"/>
            </w:tcMar>
          </w:tcPr>
          <w:p w14:paraId="496B5E54"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100.0%</w:t>
            </w:r>
          </w:p>
        </w:tc>
      </w:tr>
    </w:tbl>
    <w:p w14:paraId="28B2E367" w14:textId="61714B7F" w:rsidR="003C21CE" w:rsidRDefault="003C21CE">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(Field research, 2025)</w:t>
      </w:r>
    </w:p>
    <w:p w14:paraId="451E1911" w14:textId="71CAA44E"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Flooding in the study area was highly prevalent, with most respondents reporting exposure to floods. This aligns with evidence that climate change is increasing flood frequency and intensity globally (IPCC, 2022). Rising lake levels and rainfall variability have contributed significantly to flood expansion (</w:t>
      </w:r>
      <w:proofErr w:type="spellStart"/>
      <w:r>
        <w:rPr>
          <w:rFonts w:ascii="Garamond" w:eastAsia="Garamond" w:hAnsi="Garamond" w:cs="Garamond"/>
          <w:sz w:val="24"/>
          <w:szCs w:val="24"/>
        </w:rPr>
        <w:t>Kimtai</w:t>
      </w:r>
      <w:proofErr w:type="spellEnd"/>
      <w:r>
        <w:rPr>
          <w:rFonts w:ascii="Garamond" w:eastAsia="Garamond" w:hAnsi="Garamond" w:cs="Garamond"/>
          <w:sz w:val="24"/>
          <w:szCs w:val="24"/>
        </w:rPr>
        <w:t xml:space="preserve"> </w:t>
      </w:r>
      <w:r w:rsidRPr="00BD46BA">
        <w:rPr>
          <w:rFonts w:ascii="Garamond" w:eastAsia="Garamond" w:hAnsi="Garamond" w:cs="Garamond"/>
          <w:i/>
          <w:sz w:val="24"/>
          <w:szCs w:val="24"/>
        </w:rPr>
        <w:t>et al.,</w:t>
      </w:r>
      <w:r>
        <w:rPr>
          <w:rFonts w:ascii="Garamond" w:eastAsia="Garamond" w:hAnsi="Garamond" w:cs="Garamond"/>
          <w:sz w:val="24"/>
          <w:szCs w:val="24"/>
        </w:rPr>
        <w:t xml:space="preserve"> 2024). These findings are consistent with regional climate change trends reported by FAO (2021b). Environmental and structural factors remain major drivers of flood risk.</w:t>
      </w:r>
    </w:p>
    <w:p w14:paraId="2EB484AF"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Flooding was predominantly severe (80.3%), with peak occurrences in April and August, corresponding to Kenya’s bimodal rainfall pattern. This aligns with broader climate evidence indicating increasing flood frequency and intensity due to changing precipitation patterns (Intergovernmental Panel on Climate Change, 2022). Trend analysis (2012–2024) revealed a steady increase in flood occurrences, with peaks in 2020, 2022, and 2024. The regression model (R² = 0.3789) confirmed a rising trend, although other factors such as land use and environmental degradation also contribute.</w:t>
      </w:r>
    </w:p>
    <w:p w14:paraId="5E52E971" w14:textId="3A78005E"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lastRenderedPageBreak/>
        <w:t>Satellite-based observations further showed that Lake Baringo expanded significantly between 2010 and 2024, nearly doubling in size at its peak. This expansion is consistent with studies linking Rift Valley lake level increases to climate variability and catchment degradation (</w:t>
      </w:r>
      <w:proofErr w:type="spellStart"/>
      <w:r>
        <w:rPr>
          <w:rFonts w:ascii="Garamond" w:eastAsia="Garamond" w:hAnsi="Garamond" w:cs="Garamond"/>
          <w:sz w:val="24"/>
          <w:szCs w:val="24"/>
        </w:rPr>
        <w:t>Kimtai</w:t>
      </w:r>
      <w:proofErr w:type="spellEnd"/>
      <w:r>
        <w:rPr>
          <w:rFonts w:ascii="Garamond" w:eastAsia="Garamond" w:hAnsi="Garamond" w:cs="Garamond"/>
          <w:sz w:val="24"/>
          <w:szCs w:val="24"/>
        </w:rPr>
        <w:t xml:space="preserve"> </w:t>
      </w:r>
      <w:r w:rsidRPr="00BD46BA">
        <w:rPr>
          <w:rFonts w:ascii="Garamond" w:eastAsia="Garamond" w:hAnsi="Garamond" w:cs="Garamond"/>
          <w:i/>
          <w:sz w:val="24"/>
          <w:szCs w:val="24"/>
        </w:rPr>
        <w:t>et al</w:t>
      </w:r>
      <w:r w:rsidR="003C21CE" w:rsidRPr="00BD46BA">
        <w:rPr>
          <w:rFonts w:ascii="Garamond" w:eastAsia="Garamond" w:hAnsi="Garamond" w:cs="Garamond"/>
          <w:i/>
          <w:sz w:val="24"/>
          <w:szCs w:val="24"/>
        </w:rPr>
        <w:t>.,</w:t>
      </w:r>
      <w:r>
        <w:rPr>
          <w:rFonts w:ascii="Garamond" w:eastAsia="Garamond" w:hAnsi="Garamond" w:cs="Garamond"/>
          <w:sz w:val="24"/>
          <w:szCs w:val="24"/>
        </w:rPr>
        <w:t xml:space="preserve"> 2024).</w:t>
      </w:r>
    </w:p>
    <w:p w14:paraId="2DD272E9"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4.3. Household Vulnerability and Adaptive Capacity</w:t>
      </w:r>
    </w:p>
    <w:p w14:paraId="7D8F2CD5"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Household resilience varied significantly across demographic groups. Female-headed households, younger individuals (&lt;25 years), and older adults (&gt;55 years) experienced longer recovery periods, reflecting limited access to resources and reduced adaptive capacity. On average, households required 4.68 months to recover from flooding, with longer durations associated with structural housing types such as brick buildings.</w:t>
      </w:r>
    </w:p>
    <w:p w14:paraId="78B7DF90"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 xml:space="preserve">These findings support the broader understanding that vulnerability is shaped by socio-economic and demographic factors, including gender, age, and asset ownership (United Nations Environment </w:t>
      </w:r>
      <w:proofErr w:type="spellStart"/>
      <w:r>
        <w:rPr>
          <w:rFonts w:ascii="Garamond" w:eastAsia="Garamond" w:hAnsi="Garamond" w:cs="Garamond"/>
          <w:sz w:val="24"/>
          <w:szCs w:val="24"/>
        </w:rPr>
        <w:t>Programme</w:t>
      </w:r>
      <w:proofErr w:type="spellEnd"/>
      <w:r>
        <w:rPr>
          <w:rFonts w:ascii="Garamond" w:eastAsia="Garamond" w:hAnsi="Garamond" w:cs="Garamond"/>
          <w:sz w:val="24"/>
          <w:szCs w:val="24"/>
        </w:rPr>
        <w:t>, 2021). Government interventions such as early warning systems, drainage construction, and relief services were reported, with early warning systems being the most common. However, their effectiveness appeared uneven, highlighting gaps in implementation and coverage.</w:t>
      </w:r>
    </w:p>
    <w:p w14:paraId="41087EA4"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4.4. Factors Affecting Food Security</w:t>
      </w:r>
    </w:p>
    <w:p w14:paraId="7DEF1FA2"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 xml:space="preserve">Food security in the region is heavily dependent on subsistence agriculture, particularly maize production (FAO, 2023). Flooding significantly reduces agricultural productivity through crop destruction and soil degradation (IPCC, 2022). Repeated climate shocks further reduce household resilience and food availability (World Food </w:t>
      </w:r>
      <w:proofErr w:type="spellStart"/>
      <w:r>
        <w:rPr>
          <w:rFonts w:ascii="Garamond" w:eastAsia="Garamond" w:hAnsi="Garamond" w:cs="Garamond"/>
          <w:sz w:val="24"/>
          <w:szCs w:val="24"/>
        </w:rPr>
        <w:t>Programme</w:t>
      </w:r>
      <w:proofErr w:type="spellEnd"/>
      <w:r>
        <w:rPr>
          <w:rFonts w:ascii="Garamond" w:eastAsia="Garamond" w:hAnsi="Garamond" w:cs="Garamond"/>
          <w:sz w:val="24"/>
          <w:szCs w:val="24"/>
        </w:rPr>
        <w:t>, 2020). These findings align with evidence that agricultural dependency increases vulnerability to climate risks (FAO, 2021a). Structural poverty further worsens food insecurity outcomes</w:t>
      </w:r>
    </w:p>
    <w:p w14:paraId="599D83AF"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Flooding had a profound impact on agricultural productivity. Approximately 96.34% of respondents reported declining crop yields, with severe flooding responsible for the majority of losses. Only 3.66% reported yield increases, primarily under moderate flooding conditions, suggesting limited beneficial effects through soil moisture replenishment. Over a five-year period, 96.4% of respondents observed declining yields, particularly for maize, tomatoes, and kales.</w:t>
      </w:r>
    </w:p>
    <w:p w14:paraId="186EC42C" w14:textId="77777777" w:rsidR="00203701" w:rsidRDefault="00203701">
      <w:pPr>
        <w:pBdr>
          <w:top w:val="nil"/>
          <w:left w:val="nil"/>
          <w:bottom w:val="nil"/>
          <w:right w:val="nil"/>
          <w:between w:val="nil"/>
        </w:pBdr>
        <w:tabs>
          <w:tab w:val="left" w:pos="1632"/>
        </w:tabs>
        <w:spacing w:after="0" w:line="360" w:lineRule="auto"/>
        <w:jc w:val="both"/>
        <w:rPr>
          <w:rFonts w:ascii="Garamond" w:eastAsia="Garamond" w:hAnsi="Garamond" w:cs="Garamond"/>
          <w:b/>
          <w:bCs/>
          <w:color w:val="000000"/>
          <w:sz w:val="24"/>
          <w:szCs w:val="24"/>
        </w:rPr>
      </w:pPr>
      <w:bookmarkStart w:id="2" w:name="_bahx3pdtv1nk" w:colFirst="0" w:colLast="0"/>
      <w:bookmarkEnd w:id="2"/>
    </w:p>
    <w:p w14:paraId="6C6883A7" w14:textId="77777777" w:rsidR="00203701" w:rsidRDefault="003D14C2">
      <w:pPr>
        <w:pBdr>
          <w:top w:val="nil"/>
          <w:left w:val="nil"/>
          <w:bottom w:val="nil"/>
          <w:right w:val="nil"/>
          <w:between w:val="nil"/>
        </w:pBdr>
        <w:tabs>
          <w:tab w:val="left" w:pos="1632"/>
        </w:tabs>
        <w:spacing w:after="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lastRenderedPageBreak/>
        <w:t>Table 2. Binary Logistic Regression on Determinants of Flood Occurrence in Farms and Homes around Lake Baringo</w:t>
      </w:r>
    </w:p>
    <w:p w14:paraId="008F9C4D" w14:textId="77777777" w:rsidR="00203701" w:rsidRDefault="00203701">
      <w:pPr>
        <w:pBdr>
          <w:top w:val="nil"/>
          <w:left w:val="nil"/>
          <w:bottom w:val="nil"/>
          <w:right w:val="nil"/>
          <w:between w:val="nil"/>
        </w:pBdr>
        <w:spacing w:after="200" w:line="360" w:lineRule="auto"/>
        <w:jc w:val="both"/>
        <w:rPr>
          <w:rFonts w:ascii="Garamond" w:eastAsia="Garamond" w:hAnsi="Garamond" w:cs="Garamond"/>
          <w:i/>
          <w:iCs/>
          <w:color w:val="44546A"/>
          <w:sz w:val="24"/>
          <w:szCs w:val="24"/>
        </w:rPr>
      </w:pPr>
    </w:p>
    <w:tbl>
      <w:tblPr>
        <w:tblStyle w:val="a0"/>
        <w:tblW w:w="9450" w:type="dxa"/>
        <w:tblInd w:w="0" w:type="dxa"/>
        <w:tblLayout w:type="fixed"/>
        <w:tblLook w:val="0000" w:firstRow="0" w:lastRow="0" w:firstColumn="0" w:lastColumn="0" w:noHBand="0" w:noVBand="0"/>
      </w:tblPr>
      <w:tblGrid>
        <w:gridCol w:w="720"/>
        <w:gridCol w:w="286"/>
        <w:gridCol w:w="1784"/>
        <w:gridCol w:w="900"/>
        <w:gridCol w:w="1080"/>
        <w:gridCol w:w="810"/>
        <w:gridCol w:w="540"/>
        <w:gridCol w:w="540"/>
        <w:gridCol w:w="720"/>
        <w:gridCol w:w="900"/>
        <w:gridCol w:w="180"/>
        <w:gridCol w:w="990"/>
      </w:tblGrid>
      <w:tr w:rsidR="00203701" w14:paraId="48649DD3" w14:textId="77777777">
        <w:tc>
          <w:tcPr>
            <w:tcW w:w="2790" w:type="dxa"/>
            <w:gridSpan w:val="3"/>
            <w:vMerge w:val="restart"/>
            <w:tcBorders>
              <w:top w:val="single" w:sz="4" w:space="0" w:color="000000"/>
            </w:tcBorders>
            <w:tcMar>
              <w:top w:w="0" w:type="dxa"/>
              <w:left w:w="108" w:type="dxa"/>
              <w:bottom w:w="0" w:type="dxa"/>
              <w:right w:w="108" w:type="dxa"/>
            </w:tcMar>
          </w:tcPr>
          <w:p w14:paraId="206BE88D"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Has Flooding ever happened in you </w:t>
            </w:r>
            <w:proofErr w:type="spellStart"/>
            <w:r>
              <w:rPr>
                <w:rFonts w:ascii="Garamond" w:eastAsia="Garamond" w:hAnsi="Garamond" w:cs="Garamond"/>
                <w:color w:val="000000"/>
                <w:sz w:val="24"/>
                <w:szCs w:val="24"/>
              </w:rPr>
              <w:t>Farm</w:t>
            </w:r>
            <w:r>
              <w:rPr>
                <w:rFonts w:ascii="Garamond" w:eastAsia="Garamond" w:hAnsi="Garamond" w:cs="Garamond"/>
                <w:color w:val="000000"/>
                <w:sz w:val="24"/>
                <w:szCs w:val="24"/>
                <w:vertAlign w:val="superscript"/>
              </w:rPr>
              <w:t>a</w:t>
            </w:r>
            <w:proofErr w:type="spellEnd"/>
          </w:p>
        </w:tc>
        <w:tc>
          <w:tcPr>
            <w:tcW w:w="900" w:type="dxa"/>
            <w:vMerge w:val="restart"/>
            <w:tcBorders>
              <w:top w:val="single" w:sz="4" w:space="0" w:color="000000"/>
            </w:tcBorders>
            <w:tcMar>
              <w:top w:w="0" w:type="dxa"/>
              <w:left w:w="108" w:type="dxa"/>
              <w:bottom w:w="0" w:type="dxa"/>
              <w:right w:w="108" w:type="dxa"/>
            </w:tcMar>
          </w:tcPr>
          <w:p w14:paraId="66C53400"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B</w:t>
            </w:r>
          </w:p>
        </w:tc>
        <w:tc>
          <w:tcPr>
            <w:tcW w:w="1080" w:type="dxa"/>
            <w:vMerge w:val="restart"/>
            <w:tcBorders>
              <w:top w:val="single" w:sz="4" w:space="0" w:color="000000"/>
            </w:tcBorders>
            <w:tcMar>
              <w:top w:w="0" w:type="dxa"/>
              <w:left w:w="108" w:type="dxa"/>
              <w:bottom w:w="0" w:type="dxa"/>
              <w:right w:w="108" w:type="dxa"/>
            </w:tcMar>
          </w:tcPr>
          <w:p w14:paraId="3668D3FB"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Std. Error</w:t>
            </w:r>
          </w:p>
        </w:tc>
        <w:tc>
          <w:tcPr>
            <w:tcW w:w="810" w:type="dxa"/>
            <w:vMerge w:val="restart"/>
            <w:tcBorders>
              <w:top w:val="single" w:sz="4" w:space="0" w:color="000000"/>
            </w:tcBorders>
            <w:tcMar>
              <w:top w:w="0" w:type="dxa"/>
              <w:left w:w="108" w:type="dxa"/>
              <w:bottom w:w="0" w:type="dxa"/>
              <w:right w:w="108" w:type="dxa"/>
            </w:tcMar>
          </w:tcPr>
          <w:p w14:paraId="6E991C99"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Wald</w:t>
            </w:r>
          </w:p>
        </w:tc>
        <w:tc>
          <w:tcPr>
            <w:tcW w:w="540" w:type="dxa"/>
            <w:vMerge w:val="restart"/>
            <w:tcBorders>
              <w:top w:val="single" w:sz="4" w:space="0" w:color="000000"/>
            </w:tcBorders>
            <w:tcMar>
              <w:top w:w="0" w:type="dxa"/>
              <w:left w:w="108" w:type="dxa"/>
              <w:bottom w:w="0" w:type="dxa"/>
              <w:right w:w="108" w:type="dxa"/>
            </w:tcMar>
          </w:tcPr>
          <w:p w14:paraId="02EB0050"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df</w:t>
            </w:r>
          </w:p>
        </w:tc>
        <w:tc>
          <w:tcPr>
            <w:tcW w:w="540" w:type="dxa"/>
            <w:vMerge w:val="restart"/>
            <w:tcBorders>
              <w:top w:val="single" w:sz="4" w:space="0" w:color="000000"/>
            </w:tcBorders>
            <w:tcMar>
              <w:top w:w="0" w:type="dxa"/>
              <w:left w:w="108" w:type="dxa"/>
              <w:bottom w:w="0" w:type="dxa"/>
              <w:right w:w="108" w:type="dxa"/>
            </w:tcMar>
          </w:tcPr>
          <w:p w14:paraId="0C77B1BE"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Sig.</w:t>
            </w:r>
          </w:p>
        </w:tc>
        <w:tc>
          <w:tcPr>
            <w:tcW w:w="720" w:type="dxa"/>
            <w:vMerge w:val="restart"/>
            <w:tcBorders>
              <w:top w:val="single" w:sz="4" w:space="0" w:color="000000"/>
            </w:tcBorders>
            <w:tcMar>
              <w:top w:w="0" w:type="dxa"/>
              <w:left w:w="108" w:type="dxa"/>
              <w:bottom w:w="0" w:type="dxa"/>
              <w:right w:w="108" w:type="dxa"/>
            </w:tcMar>
          </w:tcPr>
          <w:p w14:paraId="66EA6DBC"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Exp(B)</w:t>
            </w:r>
          </w:p>
        </w:tc>
        <w:tc>
          <w:tcPr>
            <w:tcW w:w="2070" w:type="dxa"/>
            <w:gridSpan w:val="3"/>
            <w:tcBorders>
              <w:top w:val="single" w:sz="4" w:space="0" w:color="000000"/>
            </w:tcBorders>
            <w:tcMar>
              <w:top w:w="0" w:type="dxa"/>
              <w:left w:w="108" w:type="dxa"/>
              <w:bottom w:w="0" w:type="dxa"/>
              <w:right w:w="108" w:type="dxa"/>
            </w:tcMar>
          </w:tcPr>
          <w:p w14:paraId="4A80C078"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95% Confidence Interval for Exp(B)</w:t>
            </w:r>
          </w:p>
        </w:tc>
      </w:tr>
      <w:tr w:rsidR="00203701" w14:paraId="411BE30D" w14:textId="77777777">
        <w:trPr>
          <w:trHeight w:val="288"/>
        </w:trPr>
        <w:tc>
          <w:tcPr>
            <w:tcW w:w="2790" w:type="dxa"/>
            <w:gridSpan w:val="3"/>
            <w:vMerge/>
            <w:tcBorders>
              <w:top w:val="single" w:sz="4" w:space="0" w:color="000000"/>
            </w:tcBorders>
            <w:tcMar>
              <w:top w:w="0" w:type="dxa"/>
              <w:left w:w="108" w:type="dxa"/>
              <w:bottom w:w="0" w:type="dxa"/>
              <w:right w:w="108" w:type="dxa"/>
            </w:tcMar>
          </w:tcPr>
          <w:p w14:paraId="57078683"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900" w:type="dxa"/>
            <w:vMerge/>
            <w:tcBorders>
              <w:top w:val="single" w:sz="4" w:space="0" w:color="000000"/>
            </w:tcBorders>
            <w:tcMar>
              <w:top w:w="0" w:type="dxa"/>
              <w:left w:w="108" w:type="dxa"/>
              <w:bottom w:w="0" w:type="dxa"/>
              <w:right w:w="108" w:type="dxa"/>
            </w:tcMar>
          </w:tcPr>
          <w:p w14:paraId="56C027C8"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1080" w:type="dxa"/>
            <w:vMerge/>
            <w:tcBorders>
              <w:top w:val="single" w:sz="4" w:space="0" w:color="000000"/>
            </w:tcBorders>
            <w:tcMar>
              <w:top w:w="0" w:type="dxa"/>
              <w:left w:w="108" w:type="dxa"/>
              <w:bottom w:w="0" w:type="dxa"/>
              <w:right w:w="108" w:type="dxa"/>
            </w:tcMar>
          </w:tcPr>
          <w:p w14:paraId="24C2F57B"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810" w:type="dxa"/>
            <w:vMerge/>
            <w:tcBorders>
              <w:top w:val="single" w:sz="4" w:space="0" w:color="000000"/>
            </w:tcBorders>
            <w:tcMar>
              <w:top w:w="0" w:type="dxa"/>
              <w:left w:w="108" w:type="dxa"/>
              <w:bottom w:w="0" w:type="dxa"/>
              <w:right w:w="108" w:type="dxa"/>
            </w:tcMar>
          </w:tcPr>
          <w:p w14:paraId="665030A5"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540" w:type="dxa"/>
            <w:vMerge/>
            <w:tcBorders>
              <w:top w:val="single" w:sz="4" w:space="0" w:color="000000"/>
            </w:tcBorders>
            <w:tcMar>
              <w:top w:w="0" w:type="dxa"/>
              <w:left w:w="108" w:type="dxa"/>
              <w:bottom w:w="0" w:type="dxa"/>
              <w:right w:w="108" w:type="dxa"/>
            </w:tcMar>
          </w:tcPr>
          <w:p w14:paraId="2D67164A"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540" w:type="dxa"/>
            <w:vMerge/>
            <w:tcBorders>
              <w:top w:val="single" w:sz="4" w:space="0" w:color="000000"/>
            </w:tcBorders>
            <w:tcMar>
              <w:top w:w="0" w:type="dxa"/>
              <w:left w:w="108" w:type="dxa"/>
              <w:bottom w:w="0" w:type="dxa"/>
              <w:right w:w="108" w:type="dxa"/>
            </w:tcMar>
          </w:tcPr>
          <w:p w14:paraId="66CEE162"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720" w:type="dxa"/>
            <w:vMerge/>
            <w:tcBorders>
              <w:top w:val="single" w:sz="4" w:space="0" w:color="000000"/>
            </w:tcBorders>
            <w:tcMar>
              <w:top w:w="0" w:type="dxa"/>
              <w:left w:w="108" w:type="dxa"/>
              <w:bottom w:w="0" w:type="dxa"/>
              <w:right w:w="108" w:type="dxa"/>
            </w:tcMar>
          </w:tcPr>
          <w:p w14:paraId="29A957E7"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1080" w:type="dxa"/>
            <w:gridSpan w:val="2"/>
            <w:tcMar>
              <w:top w:w="0" w:type="dxa"/>
              <w:left w:w="108" w:type="dxa"/>
              <w:bottom w:w="0" w:type="dxa"/>
              <w:right w:w="108" w:type="dxa"/>
            </w:tcMar>
          </w:tcPr>
          <w:p w14:paraId="609DF097"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Lower Bound</w:t>
            </w:r>
          </w:p>
        </w:tc>
        <w:tc>
          <w:tcPr>
            <w:tcW w:w="990" w:type="dxa"/>
            <w:tcMar>
              <w:top w:w="0" w:type="dxa"/>
              <w:left w:w="108" w:type="dxa"/>
              <w:bottom w:w="0" w:type="dxa"/>
              <w:right w:w="108" w:type="dxa"/>
            </w:tcMar>
          </w:tcPr>
          <w:p w14:paraId="2623A91F"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Upper Bound</w:t>
            </w:r>
          </w:p>
        </w:tc>
      </w:tr>
      <w:tr w:rsidR="00203701" w14:paraId="1939E6D3" w14:textId="77777777">
        <w:tc>
          <w:tcPr>
            <w:tcW w:w="720" w:type="dxa"/>
            <w:vMerge w:val="restart"/>
            <w:tcMar>
              <w:top w:w="0" w:type="dxa"/>
              <w:left w:w="108" w:type="dxa"/>
              <w:bottom w:w="0" w:type="dxa"/>
              <w:right w:w="108" w:type="dxa"/>
            </w:tcMar>
          </w:tcPr>
          <w:p w14:paraId="65E24CED"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Yes</w:t>
            </w:r>
          </w:p>
        </w:tc>
        <w:tc>
          <w:tcPr>
            <w:tcW w:w="2070" w:type="dxa"/>
            <w:gridSpan w:val="2"/>
            <w:tcBorders>
              <w:top w:val="single" w:sz="4" w:space="0" w:color="000000"/>
            </w:tcBorders>
            <w:tcMar>
              <w:top w:w="0" w:type="dxa"/>
              <w:left w:w="108" w:type="dxa"/>
              <w:bottom w:w="0" w:type="dxa"/>
              <w:right w:w="108" w:type="dxa"/>
            </w:tcMar>
          </w:tcPr>
          <w:p w14:paraId="35AE0CD2" w14:textId="77777777" w:rsidR="00203701" w:rsidRDefault="003D14C2">
            <w:pPr>
              <w:spacing w:after="0" w:line="360" w:lineRule="auto"/>
              <w:ind w:right="60"/>
              <w:jc w:val="both"/>
              <w:rPr>
                <w:rFonts w:ascii="Garamond" w:eastAsia="Garamond" w:hAnsi="Garamond" w:cs="Garamond"/>
                <w:color w:val="000000"/>
                <w:sz w:val="24"/>
                <w:szCs w:val="24"/>
              </w:rPr>
            </w:pPr>
            <w:r>
              <w:rPr>
                <w:rFonts w:ascii="Garamond" w:eastAsia="Garamond" w:hAnsi="Garamond" w:cs="Garamond"/>
                <w:color w:val="000000"/>
                <w:sz w:val="24"/>
                <w:szCs w:val="24"/>
              </w:rPr>
              <w:t>Intercept</w:t>
            </w:r>
          </w:p>
        </w:tc>
        <w:tc>
          <w:tcPr>
            <w:tcW w:w="900" w:type="dxa"/>
            <w:tcBorders>
              <w:top w:val="single" w:sz="4" w:space="0" w:color="000000"/>
            </w:tcBorders>
            <w:tcMar>
              <w:top w:w="0" w:type="dxa"/>
              <w:left w:w="108" w:type="dxa"/>
              <w:bottom w:w="0" w:type="dxa"/>
              <w:right w:w="108" w:type="dxa"/>
            </w:tcMar>
          </w:tcPr>
          <w:p w14:paraId="712E9D44"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1.887</w:t>
            </w:r>
          </w:p>
        </w:tc>
        <w:tc>
          <w:tcPr>
            <w:tcW w:w="1080" w:type="dxa"/>
            <w:tcBorders>
              <w:top w:val="single" w:sz="4" w:space="0" w:color="000000"/>
            </w:tcBorders>
            <w:tcMar>
              <w:top w:w="0" w:type="dxa"/>
              <w:left w:w="108" w:type="dxa"/>
              <w:bottom w:w="0" w:type="dxa"/>
              <w:right w:w="108" w:type="dxa"/>
            </w:tcMar>
          </w:tcPr>
          <w:p w14:paraId="245436C3"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.240</w:t>
            </w:r>
          </w:p>
        </w:tc>
        <w:tc>
          <w:tcPr>
            <w:tcW w:w="810" w:type="dxa"/>
            <w:tcBorders>
              <w:top w:val="single" w:sz="4" w:space="0" w:color="000000"/>
            </w:tcBorders>
            <w:tcMar>
              <w:top w:w="0" w:type="dxa"/>
              <w:left w:w="108" w:type="dxa"/>
              <w:bottom w:w="0" w:type="dxa"/>
              <w:right w:w="108" w:type="dxa"/>
            </w:tcMar>
          </w:tcPr>
          <w:p w14:paraId="4DC59076"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61.850</w:t>
            </w:r>
          </w:p>
        </w:tc>
        <w:tc>
          <w:tcPr>
            <w:tcW w:w="540" w:type="dxa"/>
            <w:tcBorders>
              <w:top w:val="single" w:sz="4" w:space="0" w:color="000000"/>
            </w:tcBorders>
            <w:tcMar>
              <w:top w:w="0" w:type="dxa"/>
              <w:left w:w="108" w:type="dxa"/>
              <w:bottom w:w="0" w:type="dxa"/>
              <w:right w:w="108" w:type="dxa"/>
            </w:tcMar>
          </w:tcPr>
          <w:p w14:paraId="2F43CC7F"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w:t>
            </w:r>
          </w:p>
        </w:tc>
        <w:tc>
          <w:tcPr>
            <w:tcW w:w="540" w:type="dxa"/>
            <w:tcBorders>
              <w:top w:val="single" w:sz="4" w:space="0" w:color="000000"/>
            </w:tcBorders>
            <w:tcMar>
              <w:top w:w="0" w:type="dxa"/>
              <w:left w:w="108" w:type="dxa"/>
              <w:bottom w:w="0" w:type="dxa"/>
              <w:right w:w="108" w:type="dxa"/>
            </w:tcMar>
          </w:tcPr>
          <w:p w14:paraId="5708DE81"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.000</w:t>
            </w:r>
          </w:p>
        </w:tc>
        <w:tc>
          <w:tcPr>
            <w:tcW w:w="720" w:type="dxa"/>
            <w:tcBorders>
              <w:top w:val="single" w:sz="4" w:space="0" w:color="000000"/>
            </w:tcBorders>
            <w:tcMar>
              <w:top w:w="0" w:type="dxa"/>
              <w:left w:w="108" w:type="dxa"/>
              <w:bottom w:w="0" w:type="dxa"/>
              <w:right w:w="108" w:type="dxa"/>
            </w:tcMar>
          </w:tcPr>
          <w:p w14:paraId="0A4CE7D0" w14:textId="77777777" w:rsidR="00203701" w:rsidRDefault="00203701">
            <w:pPr>
              <w:spacing w:after="0" w:line="360" w:lineRule="auto"/>
              <w:jc w:val="both"/>
              <w:rPr>
                <w:rFonts w:ascii="Garamond" w:eastAsia="Garamond" w:hAnsi="Garamond" w:cs="Garamond"/>
                <w:color w:val="000000"/>
                <w:sz w:val="24"/>
                <w:szCs w:val="24"/>
              </w:rPr>
            </w:pPr>
          </w:p>
        </w:tc>
        <w:tc>
          <w:tcPr>
            <w:tcW w:w="1080" w:type="dxa"/>
            <w:gridSpan w:val="2"/>
            <w:tcBorders>
              <w:top w:val="single" w:sz="4" w:space="0" w:color="000000"/>
            </w:tcBorders>
            <w:tcMar>
              <w:top w:w="0" w:type="dxa"/>
              <w:left w:w="108" w:type="dxa"/>
              <w:bottom w:w="0" w:type="dxa"/>
              <w:right w:w="108" w:type="dxa"/>
            </w:tcMar>
          </w:tcPr>
          <w:p w14:paraId="4365CE16" w14:textId="77777777" w:rsidR="00203701" w:rsidRDefault="00203701">
            <w:pPr>
              <w:spacing w:after="0" w:line="360" w:lineRule="auto"/>
              <w:jc w:val="both"/>
              <w:rPr>
                <w:rFonts w:ascii="Garamond" w:eastAsia="Garamond" w:hAnsi="Garamond" w:cs="Garamond"/>
                <w:color w:val="000000"/>
                <w:sz w:val="24"/>
                <w:szCs w:val="24"/>
              </w:rPr>
            </w:pPr>
          </w:p>
        </w:tc>
        <w:tc>
          <w:tcPr>
            <w:tcW w:w="990" w:type="dxa"/>
            <w:tcBorders>
              <w:top w:val="single" w:sz="4" w:space="0" w:color="000000"/>
            </w:tcBorders>
            <w:tcMar>
              <w:top w:w="0" w:type="dxa"/>
              <w:left w:w="108" w:type="dxa"/>
              <w:bottom w:w="0" w:type="dxa"/>
              <w:right w:w="108" w:type="dxa"/>
            </w:tcMar>
          </w:tcPr>
          <w:p w14:paraId="339FEC52" w14:textId="77777777" w:rsidR="00203701" w:rsidRDefault="00203701">
            <w:pPr>
              <w:spacing w:after="0" w:line="360" w:lineRule="auto"/>
              <w:jc w:val="both"/>
              <w:rPr>
                <w:rFonts w:ascii="Garamond" w:eastAsia="Garamond" w:hAnsi="Garamond" w:cs="Garamond"/>
                <w:color w:val="000000"/>
                <w:sz w:val="24"/>
                <w:szCs w:val="24"/>
              </w:rPr>
            </w:pPr>
          </w:p>
        </w:tc>
      </w:tr>
      <w:tr w:rsidR="00203701" w14:paraId="497F92B1" w14:textId="77777777">
        <w:tc>
          <w:tcPr>
            <w:tcW w:w="720" w:type="dxa"/>
            <w:vMerge/>
            <w:tcMar>
              <w:top w:w="0" w:type="dxa"/>
              <w:left w:w="108" w:type="dxa"/>
              <w:bottom w:w="0" w:type="dxa"/>
              <w:right w:w="108" w:type="dxa"/>
            </w:tcMar>
          </w:tcPr>
          <w:p w14:paraId="5D58E8BE"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2070" w:type="dxa"/>
            <w:gridSpan w:val="2"/>
            <w:tcMar>
              <w:top w:w="0" w:type="dxa"/>
              <w:left w:w="108" w:type="dxa"/>
              <w:bottom w:w="0" w:type="dxa"/>
              <w:right w:w="108" w:type="dxa"/>
            </w:tcMar>
          </w:tcPr>
          <w:p w14:paraId="36E5B4CA"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Climate Change</w:t>
            </w:r>
          </w:p>
        </w:tc>
        <w:tc>
          <w:tcPr>
            <w:tcW w:w="900" w:type="dxa"/>
            <w:tcMar>
              <w:top w:w="0" w:type="dxa"/>
              <w:left w:w="108" w:type="dxa"/>
              <w:bottom w:w="0" w:type="dxa"/>
              <w:right w:w="108" w:type="dxa"/>
            </w:tcMar>
          </w:tcPr>
          <w:p w14:paraId="25557536"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.821</w:t>
            </w:r>
          </w:p>
        </w:tc>
        <w:tc>
          <w:tcPr>
            <w:tcW w:w="1080" w:type="dxa"/>
            <w:tcMar>
              <w:top w:w="0" w:type="dxa"/>
              <w:left w:w="108" w:type="dxa"/>
              <w:bottom w:w="0" w:type="dxa"/>
              <w:right w:w="108" w:type="dxa"/>
            </w:tcMar>
          </w:tcPr>
          <w:p w14:paraId="5A7E6B90"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.569</w:t>
            </w:r>
          </w:p>
        </w:tc>
        <w:tc>
          <w:tcPr>
            <w:tcW w:w="810" w:type="dxa"/>
            <w:tcMar>
              <w:top w:w="0" w:type="dxa"/>
              <w:left w:w="108" w:type="dxa"/>
              <w:bottom w:w="0" w:type="dxa"/>
              <w:right w:w="108" w:type="dxa"/>
            </w:tcMar>
          </w:tcPr>
          <w:p w14:paraId="3EF15013"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2.079</w:t>
            </w:r>
          </w:p>
        </w:tc>
        <w:tc>
          <w:tcPr>
            <w:tcW w:w="540" w:type="dxa"/>
            <w:tcMar>
              <w:top w:w="0" w:type="dxa"/>
              <w:left w:w="108" w:type="dxa"/>
              <w:bottom w:w="0" w:type="dxa"/>
              <w:right w:w="108" w:type="dxa"/>
            </w:tcMar>
          </w:tcPr>
          <w:p w14:paraId="4A99BDCC"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w:t>
            </w:r>
          </w:p>
        </w:tc>
        <w:tc>
          <w:tcPr>
            <w:tcW w:w="540" w:type="dxa"/>
            <w:tcMar>
              <w:top w:w="0" w:type="dxa"/>
              <w:left w:w="108" w:type="dxa"/>
              <w:bottom w:w="0" w:type="dxa"/>
              <w:right w:w="108" w:type="dxa"/>
            </w:tcMar>
          </w:tcPr>
          <w:p w14:paraId="07130D3C"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.149</w:t>
            </w:r>
          </w:p>
        </w:tc>
        <w:tc>
          <w:tcPr>
            <w:tcW w:w="720" w:type="dxa"/>
            <w:tcMar>
              <w:top w:w="0" w:type="dxa"/>
              <w:left w:w="108" w:type="dxa"/>
              <w:bottom w:w="0" w:type="dxa"/>
              <w:right w:w="108" w:type="dxa"/>
            </w:tcMar>
          </w:tcPr>
          <w:p w14:paraId="00EF6D46"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2.273</w:t>
            </w:r>
          </w:p>
        </w:tc>
        <w:tc>
          <w:tcPr>
            <w:tcW w:w="1080" w:type="dxa"/>
            <w:gridSpan w:val="2"/>
            <w:tcMar>
              <w:top w:w="0" w:type="dxa"/>
              <w:left w:w="108" w:type="dxa"/>
              <w:bottom w:w="0" w:type="dxa"/>
              <w:right w:w="108" w:type="dxa"/>
            </w:tcMar>
          </w:tcPr>
          <w:p w14:paraId="7C3FCBED"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.744</w:t>
            </w:r>
          </w:p>
        </w:tc>
        <w:tc>
          <w:tcPr>
            <w:tcW w:w="990" w:type="dxa"/>
            <w:tcMar>
              <w:top w:w="0" w:type="dxa"/>
              <w:left w:w="108" w:type="dxa"/>
              <w:bottom w:w="0" w:type="dxa"/>
              <w:right w:w="108" w:type="dxa"/>
            </w:tcMar>
          </w:tcPr>
          <w:p w14:paraId="367F3777"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6.938</w:t>
            </w:r>
          </w:p>
        </w:tc>
      </w:tr>
      <w:tr w:rsidR="00203701" w14:paraId="2F09BF3E" w14:textId="77777777">
        <w:tc>
          <w:tcPr>
            <w:tcW w:w="720" w:type="dxa"/>
            <w:vMerge/>
            <w:tcMar>
              <w:top w:w="0" w:type="dxa"/>
              <w:left w:w="108" w:type="dxa"/>
              <w:bottom w:w="0" w:type="dxa"/>
              <w:right w:w="108" w:type="dxa"/>
            </w:tcMar>
          </w:tcPr>
          <w:p w14:paraId="3E2B6E90"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2070" w:type="dxa"/>
            <w:gridSpan w:val="2"/>
            <w:tcMar>
              <w:top w:w="0" w:type="dxa"/>
              <w:left w:w="108" w:type="dxa"/>
              <w:bottom w:w="0" w:type="dxa"/>
              <w:right w:w="108" w:type="dxa"/>
            </w:tcMar>
          </w:tcPr>
          <w:p w14:paraId="233D511F"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Flat Terrane</w:t>
            </w:r>
          </w:p>
        </w:tc>
        <w:tc>
          <w:tcPr>
            <w:tcW w:w="900" w:type="dxa"/>
            <w:tcMar>
              <w:top w:w="0" w:type="dxa"/>
              <w:left w:w="108" w:type="dxa"/>
              <w:bottom w:w="0" w:type="dxa"/>
              <w:right w:w="108" w:type="dxa"/>
            </w:tcMar>
          </w:tcPr>
          <w:p w14:paraId="025DDEB1"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.697</w:t>
            </w:r>
          </w:p>
        </w:tc>
        <w:tc>
          <w:tcPr>
            <w:tcW w:w="1080" w:type="dxa"/>
            <w:tcMar>
              <w:top w:w="0" w:type="dxa"/>
              <w:left w:w="108" w:type="dxa"/>
              <w:bottom w:w="0" w:type="dxa"/>
              <w:right w:w="108" w:type="dxa"/>
            </w:tcMar>
          </w:tcPr>
          <w:p w14:paraId="6634EA44"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.571</w:t>
            </w:r>
          </w:p>
        </w:tc>
        <w:tc>
          <w:tcPr>
            <w:tcW w:w="810" w:type="dxa"/>
            <w:tcMar>
              <w:top w:w="0" w:type="dxa"/>
              <w:left w:w="108" w:type="dxa"/>
              <w:bottom w:w="0" w:type="dxa"/>
              <w:right w:w="108" w:type="dxa"/>
            </w:tcMar>
          </w:tcPr>
          <w:p w14:paraId="170C14DD"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1.488</w:t>
            </w:r>
          </w:p>
        </w:tc>
        <w:tc>
          <w:tcPr>
            <w:tcW w:w="540" w:type="dxa"/>
            <w:tcMar>
              <w:top w:w="0" w:type="dxa"/>
              <w:left w:w="108" w:type="dxa"/>
              <w:bottom w:w="0" w:type="dxa"/>
              <w:right w:w="108" w:type="dxa"/>
            </w:tcMar>
          </w:tcPr>
          <w:p w14:paraId="45892AD1"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w:t>
            </w:r>
          </w:p>
        </w:tc>
        <w:tc>
          <w:tcPr>
            <w:tcW w:w="540" w:type="dxa"/>
            <w:tcMar>
              <w:top w:w="0" w:type="dxa"/>
              <w:left w:w="108" w:type="dxa"/>
              <w:bottom w:w="0" w:type="dxa"/>
              <w:right w:w="108" w:type="dxa"/>
            </w:tcMar>
          </w:tcPr>
          <w:p w14:paraId="3A3C672C"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.223</w:t>
            </w:r>
          </w:p>
        </w:tc>
        <w:tc>
          <w:tcPr>
            <w:tcW w:w="720" w:type="dxa"/>
            <w:tcMar>
              <w:top w:w="0" w:type="dxa"/>
              <w:left w:w="108" w:type="dxa"/>
              <w:bottom w:w="0" w:type="dxa"/>
              <w:right w:w="108" w:type="dxa"/>
            </w:tcMar>
          </w:tcPr>
          <w:p w14:paraId="3A4ED542"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2.008</w:t>
            </w:r>
          </w:p>
        </w:tc>
        <w:tc>
          <w:tcPr>
            <w:tcW w:w="1080" w:type="dxa"/>
            <w:gridSpan w:val="2"/>
            <w:tcMar>
              <w:top w:w="0" w:type="dxa"/>
              <w:left w:w="108" w:type="dxa"/>
              <w:bottom w:w="0" w:type="dxa"/>
              <w:right w:w="108" w:type="dxa"/>
            </w:tcMar>
          </w:tcPr>
          <w:p w14:paraId="7D580962"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.655</w:t>
            </w:r>
          </w:p>
        </w:tc>
        <w:tc>
          <w:tcPr>
            <w:tcW w:w="990" w:type="dxa"/>
            <w:tcMar>
              <w:top w:w="0" w:type="dxa"/>
              <w:left w:w="108" w:type="dxa"/>
              <w:bottom w:w="0" w:type="dxa"/>
              <w:right w:w="108" w:type="dxa"/>
            </w:tcMar>
          </w:tcPr>
          <w:p w14:paraId="356CEE96"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6.152</w:t>
            </w:r>
          </w:p>
        </w:tc>
      </w:tr>
      <w:tr w:rsidR="00203701" w14:paraId="46460DAE" w14:textId="77777777">
        <w:tc>
          <w:tcPr>
            <w:tcW w:w="720" w:type="dxa"/>
            <w:vMerge/>
            <w:tcMar>
              <w:top w:w="0" w:type="dxa"/>
              <w:left w:w="108" w:type="dxa"/>
              <w:bottom w:w="0" w:type="dxa"/>
              <w:right w:w="108" w:type="dxa"/>
            </w:tcMar>
          </w:tcPr>
          <w:p w14:paraId="23FA83B1"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2070" w:type="dxa"/>
            <w:gridSpan w:val="2"/>
            <w:tcBorders>
              <w:bottom w:val="single" w:sz="4" w:space="0" w:color="000000"/>
            </w:tcBorders>
            <w:tcMar>
              <w:top w:w="0" w:type="dxa"/>
              <w:left w:w="108" w:type="dxa"/>
              <w:bottom w:w="0" w:type="dxa"/>
              <w:right w:w="108" w:type="dxa"/>
            </w:tcMar>
          </w:tcPr>
          <w:p w14:paraId="5C9AF2CB"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Overflow of Lake Baringo</w:t>
            </w:r>
          </w:p>
        </w:tc>
        <w:tc>
          <w:tcPr>
            <w:tcW w:w="900" w:type="dxa"/>
            <w:tcBorders>
              <w:bottom w:val="single" w:sz="4" w:space="0" w:color="000000"/>
            </w:tcBorders>
            <w:tcMar>
              <w:top w:w="0" w:type="dxa"/>
              <w:left w:w="108" w:type="dxa"/>
              <w:bottom w:w="0" w:type="dxa"/>
              <w:right w:w="108" w:type="dxa"/>
            </w:tcMar>
          </w:tcPr>
          <w:p w14:paraId="3F613940"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0</w:t>
            </w:r>
            <w:r>
              <w:rPr>
                <w:rFonts w:ascii="Garamond" w:eastAsia="Garamond" w:hAnsi="Garamond" w:cs="Garamond"/>
                <w:color w:val="000000"/>
                <w:sz w:val="24"/>
                <w:szCs w:val="24"/>
                <w:vertAlign w:val="superscript"/>
              </w:rPr>
              <w:t>b</w:t>
            </w:r>
          </w:p>
        </w:tc>
        <w:tc>
          <w:tcPr>
            <w:tcW w:w="1080" w:type="dxa"/>
            <w:tcBorders>
              <w:bottom w:val="single" w:sz="4" w:space="0" w:color="000000"/>
            </w:tcBorders>
            <w:tcMar>
              <w:top w:w="0" w:type="dxa"/>
              <w:left w:w="108" w:type="dxa"/>
              <w:bottom w:w="0" w:type="dxa"/>
              <w:right w:w="108" w:type="dxa"/>
            </w:tcMar>
          </w:tcPr>
          <w:p w14:paraId="0FDE2E7C"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c>
          <w:tcPr>
            <w:tcW w:w="810" w:type="dxa"/>
            <w:tcBorders>
              <w:bottom w:val="single" w:sz="4" w:space="0" w:color="000000"/>
            </w:tcBorders>
            <w:tcMar>
              <w:top w:w="0" w:type="dxa"/>
              <w:left w:w="108" w:type="dxa"/>
              <w:bottom w:w="0" w:type="dxa"/>
              <w:right w:w="108" w:type="dxa"/>
            </w:tcMar>
          </w:tcPr>
          <w:p w14:paraId="59AA038B"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c>
          <w:tcPr>
            <w:tcW w:w="540" w:type="dxa"/>
            <w:tcBorders>
              <w:bottom w:val="single" w:sz="4" w:space="0" w:color="000000"/>
            </w:tcBorders>
            <w:tcMar>
              <w:top w:w="0" w:type="dxa"/>
              <w:left w:w="108" w:type="dxa"/>
              <w:bottom w:w="0" w:type="dxa"/>
              <w:right w:w="108" w:type="dxa"/>
            </w:tcMar>
          </w:tcPr>
          <w:p w14:paraId="6A56C3AF"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0</w:t>
            </w:r>
          </w:p>
        </w:tc>
        <w:tc>
          <w:tcPr>
            <w:tcW w:w="540" w:type="dxa"/>
            <w:tcBorders>
              <w:bottom w:val="single" w:sz="4" w:space="0" w:color="000000"/>
            </w:tcBorders>
            <w:tcMar>
              <w:top w:w="0" w:type="dxa"/>
              <w:left w:w="108" w:type="dxa"/>
              <w:bottom w:w="0" w:type="dxa"/>
              <w:right w:w="108" w:type="dxa"/>
            </w:tcMar>
          </w:tcPr>
          <w:p w14:paraId="1D9E08C3"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c>
          <w:tcPr>
            <w:tcW w:w="720" w:type="dxa"/>
            <w:tcBorders>
              <w:bottom w:val="single" w:sz="4" w:space="0" w:color="000000"/>
            </w:tcBorders>
            <w:tcMar>
              <w:top w:w="0" w:type="dxa"/>
              <w:left w:w="108" w:type="dxa"/>
              <w:bottom w:w="0" w:type="dxa"/>
              <w:right w:w="108" w:type="dxa"/>
            </w:tcMar>
          </w:tcPr>
          <w:p w14:paraId="52C2E1CD"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c>
          <w:tcPr>
            <w:tcW w:w="1080" w:type="dxa"/>
            <w:gridSpan w:val="2"/>
            <w:tcBorders>
              <w:bottom w:val="single" w:sz="4" w:space="0" w:color="000000"/>
            </w:tcBorders>
            <w:tcMar>
              <w:top w:w="0" w:type="dxa"/>
              <w:left w:w="108" w:type="dxa"/>
              <w:bottom w:w="0" w:type="dxa"/>
              <w:right w:w="108" w:type="dxa"/>
            </w:tcMar>
          </w:tcPr>
          <w:p w14:paraId="195D61D2"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c>
          <w:tcPr>
            <w:tcW w:w="990" w:type="dxa"/>
            <w:tcBorders>
              <w:bottom w:val="single" w:sz="4" w:space="0" w:color="000000"/>
            </w:tcBorders>
            <w:tcMar>
              <w:top w:w="0" w:type="dxa"/>
              <w:left w:w="108" w:type="dxa"/>
              <w:bottom w:w="0" w:type="dxa"/>
              <w:right w:w="108" w:type="dxa"/>
            </w:tcMar>
          </w:tcPr>
          <w:p w14:paraId="2E7E81CB"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r>
      <w:tr w:rsidR="00203701" w14:paraId="579B0B27" w14:textId="77777777">
        <w:trPr>
          <w:trHeight w:val="82"/>
        </w:trPr>
        <w:tc>
          <w:tcPr>
            <w:tcW w:w="9450" w:type="dxa"/>
            <w:gridSpan w:val="12"/>
            <w:tcBorders>
              <w:top w:val="single" w:sz="4" w:space="0" w:color="000000"/>
            </w:tcBorders>
            <w:tcMar>
              <w:top w:w="0" w:type="dxa"/>
              <w:left w:w="108" w:type="dxa"/>
              <w:bottom w:w="0" w:type="dxa"/>
              <w:right w:w="108" w:type="dxa"/>
            </w:tcMar>
          </w:tcPr>
          <w:p w14:paraId="0887AA40"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Has flooding ever happened in your </w:t>
            </w:r>
            <w:proofErr w:type="spellStart"/>
            <w:r>
              <w:rPr>
                <w:rFonts w:ascii="Garamond" w:eastAsia="Garamond" w:hAnsi="Garamond" w:cs="Garamond"/>
                <w:color w:val="000000"/>
                <w:sz w:val="24"/>
                <w:szCs w:val="24"/>
              </w:rPr>
              <w:t>Home</w:t>
            </w:r>
            <w:r>
              <w:rPr>
                <w:rFonts w:ascii="Garamond" w:eastAsia="Garamond" w:hAnsi="Garamond" w:cs="Garamond"/>
                <w:color w:val="000000"/>
                <w:sz w:val="24"/>
                <w:szCs w:val="24"/>
                <w:vertAlign w:val="superscript"/>
              </w:rPr>
              <w:t>a</w:t>
            </w:r>
            <w:proofErr w:type="spellEnd"/>
          </w:p>
        </w:tc>
      </w:tr>
      <w:tr w:rsidR="00203701" w14:paraId="547D3CC6" w14:textId="77777777">
        <w:tc>
          <w:tcPr>
            <w:tcW w:w="1006" w:type="dxa"/>
            <w:gridSpan w:val="2"/>
            <w:vMerge w:val="restart"/>
            <w:tcMar>
              <w:top w:w="0" w:type="dxa"/>
              <w:left w:w="108" w:type="dxa"/>
              <w:bottom w:w="0" w:type="dxa"/>
              <w:right w:w="108" w:type="dxa"/>
            </w:tcMar>
          </w:tcPr>
          <w:p w14:paraId="7207AFF5" w14:textId="77777777" w:rsidR="00203701" w:rsidRDefault="00203701">
            <w:pPr>
              <w:spacing w:after="0" w:line="360" w:lineRule="auto"/>
              <w:ind w:right="60"/>
              <w:jc w:val="both"/>
              <w:rPr>
                <w:rFonts w:ascii="Garamond" w:eastAsia="Garamond" w:hAnsi="Garamond" w:cs="Garamond"/>
                <w:color w:val="000000"/>
                <w:sz w:val="24"/>
                <w:szCs w:val="24"/>
              </w:rPr>
            </w:pPr>
          </w:p>
        </w:tc>
        <w:tc>
          <w:tcPr>
            <w:tcW w:w="1784" w:type="dxa"/>
            <w:tcMar>
              <w:top w:w="0" w:type="dxa"/>
              <w:left w:w="108" w:type="dxa"/>
              <w:bottom w:w="0" w:type="dxa"/>
              <w:right w:w="108" w:type="dxa"/>
            </w:tcMar>
          </w:tcPr>
          <w:p w14:paraId="2BF62D36"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Intercept</w:t>
            </w:r>
          </w:p>
        </w:tc>
        <w:tc>
          <w:tcPr>
            <w:tcW w:w="900" w:type="dxa"/>
            <w:tcMar>
              <w:top w:w="0" w:type="dxa"/>
              <w:left w:w="108" w:type="dxa"/>
              <w:bottom w:w="0" w:type="dxa"/>
              <w:right w:w="108" w:type="dxa"/>
            </w:tcMar>
          </w:tcPr>
          <w:p w14:paraId="1E3136FA"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1.946</w:t>
            </w:r>
          </w:p>
        </w:tc>
        <w:tc>
          <w:tcPr>
            <w:tcW w:w="1080" w:type="dxa"/>
            <w:tcMar>
              <w:top w:w="0" w:type="dxa"/>
              <w:left w:w="108" w:type="dxa"/>
              <w:bottom w:w="0" w:type="dxa"/>
              <w:right w:w="108" w:type="dxa"/>
            </w:tcMar>
          </w:tcPr>
          <w:p w14:paraId="6116DDCC"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.245</w:t>
            </w:r>
          </w:p>
        </w:tc>
        <w:tc>
          <w:tcPr>
            <w:tcW w:w="810" w:type="dxa"/>
            <w:tcMar>
              <w:top w:w="0" w:type="dxa"/>
              <w:left w:w="108" w:type="dxa"/>
              <w:bottom w:w="0" w:type="dxa"/>
              <w:right w:w="108" w:type="dxa"/>
            </w:tcMar>
          </w:tcPr>
          <w:p w14:paraId="4547D82A"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62.952</w:t>
            </w:r>
          </w:p>
        </w:tc>
        <w:tc>
          <w:tcPr>
            <w:tcW w:w="540" w:type="dxa"/>
            <w:tcMar>
              <w:top w:w="0" w:type="dxa"/>
              <w:left w:w="108" w:type="dxa"/>
              <w:bottom w:w="0" w:type="dxa"/>
              <w:right w:w="108" w:type="dxa"/>
            </w:tcMar>
          </w:tcPr>
          <w:p w14:paraId="703CA32A"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w:t>
            </w:r>
          </w:p>
        </w:tc>
        <w:tc>
          <w:tcPr>
            <w:tcW w:w="540" w:type="dxa"/>
            <w:tcMar>
              <w:top w:w="0" w:type="dxa"/>
              <w:left w:w="108" w:type="dxa"/>
              <w:bottom w:w="0" w:type="dxa"/>
              <w:right w:w="108" w:type="dxa"/>
            </w:tcMar>
          </w:tcPr>
          <w:p w14:paraId="614C6F47"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.000</w:t>
            </w:r>
          </w:p>
        </w:tc>
        <w:tc>
          <w:tcPr>
            <w:tcW w:w="720" w:type="dxa"/>
            <w:tcMar>
              <w:top w:w="0" w:type="dxa"/>
              <w:left w:w="108" w:type="dxa"/>
              <w:bottom w:w="0" w:type="dxa"/>
              <w:right w:w="108" w:type="dxa"/>
            </w:tcMar>
          </w:tcPr>
          <w:p w14:paraId="4C55DBB9" w14:textId="77777777" w:rsidR="00203701" w:rsidRDefault="00203701">
            <w:pPr>
              <w:spacing w:after="0" w:line="360" w:lineRule="auto"/>
              <w:jc w:val="both"/>
              <w:rPr>
                <w:rFonts w:ascii="Garamond" w:eastAsia="Garamond" w:hAnsi="Garamond" w:cs="Garamond"/>
                <w:color w:val="000000"/>
                <w:sz w:val="24"/>
                <w:szCs w:val="24"/>
              </w:rPr>
            </w:pPr>
          </w:p>
        </w:tc>
        <w:tc>
          <w:tcPr>
            <w:tcW w:w="900" w:type="dxa"/>
            <w:tcMar>
              <w:top w:w="0" w:type="dxa"/>
              <w:left w:w="108" w:type="dxa"/>
              <w:bottom w:w="0" w:type="dxa"/>
              <w:right w:w="108" w:type="dxa"/>
            </w:tcMar>
          </w:tcPr>
          <w:p w14:paraId="14DB1563" w14:textId="77777777" w:rsidR="00203701" w:rsidRDefault="00203701">
            <w:pPr>
              <w:spacing w:after="0" w:line="360" w:lineRule="auto"/>
              <w:jc w:val="both"/>
              <w:rPr>
                <w:rFonts w:ascii="Garamond" w:eastAsia="Garamond" w:hAnsi="Garamond" w:cs="Garamond"/>
                <w:color w:val="000000"/>
                <w:sz w:val="24"/>
                <w:szCs w:val="24"/>
              </w:rPr>
            </w:pPr>
          </w:p>
        </w:tc>
        <w:tc>
          <w:tcPr>
            <w:tcW w:w="1170" w:type="dxa"/>
            <w:gridSpan w:val="2"/>
            <w:tcMar>
              <w:top w:w="0" w:type="dxa"/>
              <w:left w:w="108" w:type="dxa"/>
              <w:bottom w:w="0" w:type="dxa"/>
              <w:right w:w="108" w:type="dxa"/>
            </w:tcMar>
          </w:tcPr>
          <w:p w14:paraId="33D02DE3" w14:textId="77777777" w:rsidR="00203701" w:rsidRDefault="00203701">
            <w:pPr>
              <w:spacing w:after="0" w:line="360" w:lineRule="auto"/>
              <w:jc w:val="both"/>
              <w:rPr>
                <w:rFonts w:ascii="Garamond" w:eastAsia="Garamond" w:hAnsi="Garamond" w:cs="Garamond"/>
                <w:color w:val="000000"/>
                <w:sz w:val="24"/>
                <w:szCs w:val="24"/>
              </w:rPr>
            </w:pPr>
          </w:p>
        </w:tc>
      </w:tr>
      <w:tr w:rsidR="00203701" w14:paraId="30A42BC9" w14:textId="77777777">
        <w:tc>
          <w:tcPr>
            <w:tcW w:w="1006" w:type="dxa"/>
            <w:gridSpan w:val="2"/>
            <w:vMerge/>
            <w:tcMar>
              <w:top w:w="0" w:type="dxa"/>
              <w:left w:w="108" w:type="dxa"/>
              <w:bottom w:w="0" w:type="dxa"/>
              <w:right w:w="108" w:type="dxa"/>
            </w:tcMar>
          </w:tcPr>
          <w:p w14:paraId="63915391"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1784" w:type="dxa"/>
            <w:tcMar>
              <w:top w:w="0" w:type="dxa"/>
              <w:left w:w="108" w:type="dxa"/>
              <w:bottom w:w="0" w:type="dxa"/>
              <w:right w:w="108" w:type="dxa"/>
            </w:tcMar>
          </w:tcPr>
          <w:p w14:paraId="593FC122"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Climate Change</w:t>
            </w:r>
          </w:p>
        </w:tc>
        <w:tc>
          <w:tcPr>
            <w:tcW w:w="900" w:type="dxa"/>
            <w:tcMar>
              <w:top w:w="0" w:type="dxa"/>
              <w:left w:w="108" w:type="dxa"/>
              <w:bottom w:w="0" w:type="dxa"/>
              <w:right w:w="108" w:type="dxa"/>
            </w:tcMar>
          </w:tcPr>
          <w:p w14:paraId="7DE11EEC"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.762</w:t>
            </w:r>
          </w:p>
        </w:tc>
        <w:tc>
          <w:tcPr>
            <w:tcW w:w="1080" w:type="dxa"/>
            <w:tcMar>
              <w:top w:w="0" w:type="dxa"/>
              <w:left w:w="108" w:type="dxa"/>
              <w:bottom w:w="0" w:type="dxa"/>
              <w:right w:w="108" w:type="dxa"/>
            </w:tcMar>
          </w:tcPr>
          <w:p w14:paraId="406C4151"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.572</w:t>
            </w:r>
          </w:p>
        </w:tc>
        <w:tc>
          <w:tcPr>
            <w:tcW w:w="810" w:type="dxa"/>
            <w:tcMar>
              <w:top w:w="0" w:type="dxa"/>
              <w:left w:w="108" w:type="dxa"/>
              <w:bottom w:w="0" w:type="dxa"/>
              <w:right w:w="108" w:type="dxa"/>
            </w:tcMar>
          </w:tcPr>
          <w:p w14:paraId="14128464"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1.777</w:t>
            </w:r>
          </w:p>
        </w:tc>
        <w:tc>
          <w:tcPr>
            <w:tcW w:w="540" w:type="dxa"/>
            <w:tcMar>
              <w:top w:w="0" w:type="dxa"/>
              <w:left w:w="108" w:type="dxa"/>
              <w:bottom w:w="0" w:type="dxa"/>
              <w:right w:w="108" w:type="dxa"/>
            </w:tcMar>
          </w:tcPr>
          <w:p w14:paraId="256D9A24"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w:t>
            </w:r>
          </w:p>
        </w:tc>
        <w:tc>
          <w:tcPr>
            <w:tcW w:w="540" w:type="dxa"/>
            <w:tcMar>
              <w:top w:w="0" w:type="dxa"/>
              <w:left w:w="108" w:type="dxa"/>
              <w:bottom w:w="0" w:type="dxa"/>
              <w:right w:w="108" w:type="dxa"/>
            </w:tcMar>
          </w:tcPr>
          <w:p w14:paraId="78BF1830"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.182</w:t>
            </w:r>
          </w:p>
        </w:tc>
        <w:tc>
          <w:tcPr>
            <w:tcW w:w="720" w:type="dxa"/>
            <w:tcMar>
              <w:top w:w="0" w:type="dxa"/>
              <w:left w:w="108" w:type="dxa"/>
              <w:bottom w:w="0" w:type="dxa"/>
              <w:right w:w="108" w:type="dxa"/>
            </w:tcMar>
          </w:tcPr>
          <w:p w14:paraId="560FE3B8"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2.143</w:t>
            </w:r>
          </w:p>
        </w:tc>
        <w:tc>
          <w:tcPr>
            <w:tcW w:w="900" w:type="dxa"/>
            <w:tcMar>
              <w:top w:w="0" w:type="dxa"/>
              <w:left w:w="108" w:type="dxa"/>
              <w:bottom w:w="0" w:type="dxa"/>
              <w:right w:w="108" w:type="dxa"/>
            </w:tcMar>
          </w:tcPr>
          <w:p w14:paraId="3A9FF478"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.699</w:t>
            </w:r>
          </w:p>
        </w:tc>
        <w:tc>
          <w:tcPr>
            <w:tcW w:w="1170" w:type="dxa"/>
            <w:gridSpan w:val="2"/>
            <w:tcMar>
              <w:top w:w="0" w:type="dxa"/>
              <w:left w:w="108" w:type="dxa"/>
              <w:bottom w:w="0" w:type="dxa"/>
              <w:right w:w="108" w:type="dxa"/>
            </w:tcMar>
          </w:tcPr>
          <w:p w14:paraId="25726547"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6.571</w:t>
            </w:r>
          </w:p>
        </w:tc>
      </w:tr>
      <w:tr w:rsidR="00203701" w14:paraId="2381E4B6" w14:textId="77777777">
        <w:tc>
          <w:tcPr>
            <w:tcW w:w="1006" w:type="dxa"/>
            <w:gridSpan w:val="2"/>
            <w:vMerge/>
            <w:tcMar>
              <w:top w:w="0" w:type="dxa"/>
              <w:left w:w="108" w:type="dxa"/>
              <w:bottom w:w="0" w:type="dxa"/>
              <w:right w:w="108" w:type="dxa"/>
            </w:tcMar>
          </w:tcPr>
          <w:p w14:paraId="25309371"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1784" w:type="dxa"/>
            <w:tcMar>
              <w:top w:w="0" w:type="dxa"/>
              <w:left w:w="108" w:type="dxa"/>
              <w:bottom w:w="0" w:type="dxa"/>
              <w:right w:w="108" w:type="dxa"/>
            </w:tcMar>
          </w:tcPr>
          <w:p w14:paraId="53950C39"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Flat Terrane</w:t>
            </w:r>
          </w:p>
        </w:tc>
        <w:tc>
          <w:tcPr>
            <w:tcW w:w="900" w:type="dxa"/>
            <w:tcMar>
              <w:top w:w="0" w:type="dxa"/>
              <w:left w:w="108" w:type="dxa"/>
              <w:bottom w:w="0" w:type="dxa"/>
              <w:right w:w="108" w:type="dxa"/>
            </w:tcMar>
          </w:tcPr>
          <w:p w14:paraId="1802CD10"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.638</w:t>
            </w:r>
          </w:p>
        </w:tc>
        <w:tc>
          <w:tcPr>
            <w:tcW w:w="1080" w:type="dxa"/>
            <w:tcMar>
              <w:top w:w="0" w:type="dxa"/>
              <w:left w:w="108" w:type="dxa"/>
              <w:bottom w:w="0" w:type="dxa"/>
              <w:right w:w="108" w:type="dxa"/>
            </w:tcMar>
          </w:tcPr>
          <w:p w14:paraId="3E8196EF"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.574</w:t>
            </w:r>
          </w:p>
        </w:tc>
        <w:tc>
          <w:tcPr>
            <w:tcW w:w="810" w:type="dxa"/>
            <w:tcMar>
              <w:top w:w="0" w:type="dxa"/>
              <w:left w:w="108" w:type="dxa"/>
              <w:bottom w:w="0" w:type="dxa"/>
              <w:right w:w="108" w:type="dxa"/>
            </w:tcMar>
          </w:tcPr>
          <w:p w14:paraId="0C882A8A"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1.237</w:t>
            </w:r>
          </w:p>
        </w:tc>
        <w:tc>
          <w:tcPr>
            <w:tcW w:w="540" w:type="dxa"/>
            <w:tcMar>
              <w:top w:w="0" w:type="dxa"/>
              <w:left w:w="108" w:type="dxa"/>
              <w:bottom w:w="0" w:type="dxa"/>
              <w:right w:w="108" w:type="dxa"/>
            </w:tcMar>
          </w:tcPr>
          <w:p w14:paraId="5ED4B032"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w:t>
            </w:r>
          </w:p>
        </w:tc>
        <w:tc>
          <w:tcPr>
            <w:tcW w:w="540" w:type="dxa"/>
            <w:tcMar>
              <w:top w:w="0" w:type="dxa"/>
              <w:left w:w="108" w:type="dxa"/>
              <w:bottom w:w="0" w:type="dxa"/>
              <w:right w:w="108" w:type="dxa"/>
            </w:tcMar>
          </w:tcPr>
          <w:p w14:paraId="2078539F"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.266</w:t>
            </w:r>
          </w:p>
        </w:tc>
        <w:tc>
          <w:tcPr>
            <w:tcW w:w="720" w:type="dxa"/>
            <w:tcMar>
              <w:top w:w="0" w:type="dxa"/>
              <w:left w:w="108" w:type="dxa"/>
              <w:bottom w:w="0" w:type="dxa"/>
              <w:right w:w="108" w:type="dxa"/>
            </w:tcMar>
          </w:tcPr>
          <w:p w14:paraId="432CABFD"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1.893</w:t>
            </w:r>
          </w:p>
        </w:tc>
        <w:tc>
          <w:tcPr>
            <w:tcW w:w="900" w:type="dxa"/>
            <w:tcMar>
              <w:top w:w="0" w:type="dxa"/>
              <w:left w:w="108" w:type="dxa"/>
              <w:bottom w:w="0" w:type="dxa"/>
              <w:right w:w="108" w:type="dxa"/>
            </w:tcMar>
          </w:tcPr>
          <w:p w14:paraId="23CEEFB7"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.615</w:t>
            </w:r>
          </w:p>
        </w:tc>
        <w:tc>
          <w:tcPr>
            <w:tcW w:w="1170" w:type="dxa"/>
            <w:gridSpan w:val="2"/>
            <w:tcMar>
              <w:top w:w="0" w:type="dxa"/>
              <w:left w:w="108" w:type="dxa"/>
              <w:bottom w:w="0" w:type="dxa"/>
              <w:right w:w="108" w:type="dxa"/>
            </w:tcMar>
          </w:tcPr>
          <w:p w14:paraId="54CEFB0C"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5.826</w:t>
            </w:r>
          </w:p>
        </w:tc>
      </w:tr>
      <w:tr w:rsidR="00203701" w14:paraId="4D5CBD65" w14:textId="77777777">
        <w:tc>
          <w:tcPr>
            <w:tcW w:w="1006" w:type="dxa"/>
            <w:gridSpan w:val="2"/>
            <w:vMerge/>
            <w:tcMar>
              <w:top w:w="0" w:type="dxa"/>
              <w:left w:w="108" w:type="dxa"/>
              <w:bottom w:w="0" w:type="dxa"/>
              <w:right w:w="108" w:type="dxa"/>
            </w:tcMar>
          </w:tcPr>
          <w:p w14:paraId="492FDC6E"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1784" w:type="dxa"/>
            <w:tcBorders>
              <w:bottom w:val="single" w:sz="4" w:space="0" w:color="000000"/>
            </w:tcBorders>
            <w:tcMar>
              <w:top w:w="0" w:type="dxa"/>
              <w:left w:w="108" w:type="dxa"/>
              <w:bottom w:w="0" w:type="dxa"/>
              <w:right w:w="108" w:type="dxa"/>
            </w:tcMar>
          </w:tcPr>
          <w:p w14:paraId="4C283849"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Overflow of Lake Baringo</w:t>
            </w:r>
          </w:p>
        </w:tc>
        <w:tc>
          <w:tcPr>
            <w:tcW w:w="900" w:type="dxa"/>
            <w:tcBorders>
              <w:bottom w:val="single" w:sz="4" w:space="0" w:color="000000"/>
            </w:tcBorders>
            <w:tcMar>
              <w:top w:w="0" w:type="dxa"/>
              <w:left w:w="108" w:type="dxa"/>
              <w:bottom w:w="0" w:type="dxa"/>
              <w:right w:w="108" w:type="dxa"/>
            </w:tcMar>
          </w:tcPr>
          <w:p w14:paraId="3E041792"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0</w:t>
            </w:r>
            <w:r>
              <w:rPr>
                <w:rFonts w:ascii="Garamond" w:eastAsia="Garamond" w:hAnsi="Garamond" w:cs="Garamond"/>
                <w:color w:val="000000"/>
                <w:sz w:val="24"/>
                <w:szCs w:val="24"/>
                <w:vertAlign w:val="superscript"/>
              </w:rPr>
              <w:t>b</w:t>
            </w:r>
          </w:p>
        </w:tc>
        <w:tc>
          <w:tcPr>
            <w:tcW w:w="1080" w:type="dxa"/>
            <w:tcBorders>
              <w:bottom w:val="single" w:sz="4" w:space="0" w:color="000000"/>
            </w:tcBorders>
            <w:tcMar>
              <w:top w:w="0" w:type="dxa"/>
              <w:left w:w="108" w:type="dxa"/>
              <w:bottom w:w="0" w:type="dxa"/>
              <w:right w:w="108" w:type="dxa"/>
            </w:tcMar>
          </w:tcPr>
          <w:p w14:paraId="3E0907B8"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c>
          <w:tcPr>
            <w:tcW w:w="810" w:type="dxa"/>
            <w:tcBorders>
              <w:bottom w:val="single" w:sz="4" w:space="0" w:color="000000"/>
            </w:tcBorders>
            <w:tcMar>
              <w:top w:w="0" w:type="dxa"/>
              <w:left w:w="108" w:type="dxa"/>
              <w:bottom w:w="0" w:type="dxa"/>
              <w:right w:w="108" w:type="dxa"/>
            </w:tcMar>
          </w:tcPr>
          <w:p w14:paraId="7B79E2D9"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c>
          <w:tcPr>
            <w:tcW w:w="540" w:type="dxa"/>
            <w:tcBorders>
              <w:bottom w:val="single" w:sz="4" w:space="0" w:color="000000"/>
            </w:tcBorders>
            <w:tcMar>
              <w:top w:w="0" w:type="dxa"/>
              <w:left w:w="108" w:type="dxa"/>
              <w:bottom w:w="0" w:type="dxa"/>
              <w:right w:w="108" w:type="dxa"/>
            </w:tcMar>
          </w:tcPr>
          <w:p w14:paraId="0E00AA34"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0</w:t>
            </w:r>
          </w:p>
        </w:tc>
        <w:tc>
          <w:tcPr>
            <w:tcW w:w="540" w:type="dxa"/>
            <w:tcBorders>
              <w:bottom w:val="single" w:sz="4" w:space="0" w:color="000000"/>
            </w:tcBorders>
            <w:tcMar>
              <w:top w:w="0" w:type="dxa"/>
              <w:left w:w="108" w:type="dxa"/>
              <w:bottom w:w="0" w:type="dxa"/>
              <w:right w:w="108" w:type="dxa"/>
            </w:tcMar>
          </w:tcPr>
          <w:p w14:paraId="4A8E3AAC"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c>
          <w:tcPr>
            <w:tcW w:w="720" w:type="dxa"/>
            <w:tcBorders>
              <w:bottom w:val="single" w:sz="4" w:space="0" w:color="000000"/>
            </w:tcBorders>
            <w:tcMar>
              <w:top w:w="0" w:type="dxa"/>
              <w:left w:w="108" w:type="dxa"/>
              <w:bottom w:w="0" w:type="dxa"/>
              <w:right w:w="108" w:type="dxa"/>
            </w:tcMar>
          </w:tcPr>
          <w:p w14:paraId="4D6DB1A6"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c>
          <w:tcPr>
            <w:tcW w:w="900" w:type="dxa"/>
            <w:tcBorders>
              <w:bottom w:val="single" w:sz="4" w:space="0" w:color="000000"/>
            </w:tcBorders>
            <w:tcMar>
              <w:top w:w="0" w:type="dxa"/>
              <w:left w:w="108" w:type="dxa"/>
              <w:bottom w:w="0" w:type="dxa"/>
              <w:right w:w="108" w:type="dxa"/>
            </w:tcMar>
          </w:tcPr>
          <w:p w14:paraId="04450CFE"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c>
          <w:tcPr>
            <w:tcW w:w="1170" w:type="dxa"/>
            <w:gridSpan w:val="2"/>
            <w:tcBorders>
              <w:bottom w:val="single" w:sz="4" w:space="0" w:color="000000"/>
            </w:tcBorders>
            <w:tcMar>
              <w:top w:w="0" w:type="dxa"/>
              <w:left w:w="108" w:type="dxa"/>
              <w:bottom w:w="0" w:type="dxa"/>
              <w:right w:w="108" w:type="dxa"/>
            </w:tcMar>
          </w:tcPr>
          <w:p w14:paraId="68101E06"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r>
      <w:tr w:rsidR="00203701" w14:paraId="56B0A5AF" w14:textId="77777777">
        <w:tc>
          <w:tcPr>
            <w:tcW w:w="9450" w:type="dxa"/>
            <w:gridSpan w:val="12"/>
            <w:tcBorders>
              <w:top w:val="single" w:sz="4" w:space="0" w:color="000000"/>
            </w:tcBorders>
            <w:tcMar>
              <w:top w:w="0" w:type="dxa"/>
              <w:left w:w="108" w:type="dxa"/>
              <w:bottom w:w="0" w:type="dxa"/>
              <w:right w:w="108" w:type="dxa"/>
            </w:tcMar>
          </w:tcPr>
          <w:p w14:paraId="79DAB723"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a. The reference category is: No.</w:t>
            </w:r>
          </w:p>
        </w:tc>
      </w:tr>
      <w:tr w:rsidR="00203701" w14:paraId="5EED36C7" w14:textId="77777777">
        <w:tc>
          <w:tcPr>
            <w:tcW w:w="9450" w:type="dxa"/>
            <w:gridSpan w:val="12"/>
            <w:tcMar>
              <w:top w:w="0" w:type="dxa"/>
              <w:left w:w="108" w:type="dxa"/>
              <w:bottom w:w="0" w:type="dxa"/>
              <w:right w:w="108" w:type="dxa"/>
            </w:tcMar>
          </w:tcPr>
          <w:p w14:paraId="51D12109"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b. This parameter is set to zero because it is redundant.</w:t>
            </w:r>
          </w:p>
        </w:tc>
      </w:tr>
    </w:tbl>
    <w:p w14:paraId="4D5B4855"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Regression analysis confirmed a strong association between flooding and declining yields, consistent with findings that extreme climate events reduce agricultural productivity through waterlogging, soil degradation, and crop damage (IPCC, 2022; FAO, 2021). However, the presence of extreme coefficients suggests possible model instability, a known issue in environmental regression analyses (Gujarati &amp; Porter, 2009).</w:t>
      </w:r>
    </w:p>
    <w:p w14:paraId="41F2CF21" w14:textId="77777777" w:rsidR="00203701" w:rsidRDefault="003D14C2">
      <w:pPr>
        <w:spacing w:before="280" w:after="280" w:line="360" w:lineRule="auto"/>
        <w:jc w:val="both"/>
        <w:rPr>
          <w:rFonts w:ascii="Garamond" w:eastAsia="Garamond" w:hAnsi="Garamond" w:cs="Garamond"/>
          <w:b/>
          <w:bCs/>
          <w:sz w:val="24"/>
          <w:szCs w:val="24"/>
        </w:rPr>
      </w:pPr>
      <w:r>
        <w:rPr>
          <w:rFonts w:ascii="Garamond" w:eastAsia="Garamond" w:hAnsi="Garamond" w:cs="Garamond"/>
          <w:b/>
          <w:bCs/>
          <w:sz w:val="24"/>
          <w:szCs w:val="24"/>
        </w:rPr>
        <w:t>4.5. Flooding and Food Security Outcomes</w:t>
      </w:r>
    </w:p>
    <w:p w14:paraId="1B00EE32" w14:textId="77777777" w:rsidR="00203701" w:rsidRDefault="003D14C2">
      <w:pPr>
        <w:pBdr>
          <w:top w:val="nil"/>
          <w:left w:val="nil"/>
          <w:bottom w:val="nil"/>
          <w:right w:val="nil"/>
          <w:between w:val="nil"/>
        </w:pBdr>
        <w:tabs>
          <w:tab w:val="left" w:pos="1632"/>
        </w:tabs>
        <w:spacing w:after="0" w:line="360" w:lineRule="auto"/>
        <w:jc w:val="both"/>
        <w:rPr>
          <w:rFonts w:ascii="Garamond" w:eastAsia="Garamond" w:hAnsi="Garamond" w:cs="Garamond"/>
          <w:b/>
          <w:bCs/>
          <w:color w:val="000000"/>
          <w:sz w:val="24"/>
          <w:szCs w:val="24"/>
        </w:rPr>
      </w:pPr>
      <w:bookmarkStart w:id="3" w:name="_hem8v1sl7pcg" w:colFirst="0" w:colLast="0"/>
      <w:bookmarkEnd w:id="3"/>
      <w:r>
        <w:rPr>
          <w:rFonts w:ascii="Garamond" w:eastAsia="Garamond" w:hAnsi="Garamond" w:cs="Garamond"/>
          <w:b/>
          <w:bCs/>
          <w:color w:val="000000"/>
          <w:sz w:val="24"/>
          <w:szCs w:val="24"/>
        </w:rPr>
        <w:t xml:space="preserve">Table 3.  Crop yield and frequency of flooding </w:t>
      </w:r>
    </w:p>
    <w:tbl>
      <w:tblPr>
        <w:tblStyle w:val="a1"/>
        <w:tblW w:w="9624" w:type="dxa"/>
        <w:tblInd w:w="0"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1615"/>
        <w:gridCol w:w="1295"/>
        <w:gridCol w:w="1229"/>
        <w:gridCol w:w="1136"/>
        <w:gridCol w:w="1649"/>
        <w:gridCol w:w="2700"/>
      </w:tblGrid>
      <w:tr w:rsidR="00203701" w14:paraId="57D58A0A" w14:textId="77777777">
        <w:trPr>
          <w:trHeight w:val="288"/>
        </w:trPr>
        <w:tc>
          <w:tcPr>
            <w:tcW w:w="2910" w:type="dxa"/>
            <w:gridSpan w:val="2"/>
            <w:vMerge w:val="restart"/>
            <w:tcBorders>
              <w:top w:val="single" w:sz="4" w:space="0" w:color="000000"/>
              <w:left w:val="nil"/>
              <w:bottom w:val="single" w:sz="4" w:space="0" w:color="000000"/>
              <w:right w:val="nil"/>
            </w:tcBorders>
            <w:tcMar>
              <w:top w:w="0" w:type="dxa"/>
              <w:left w:w="108" w:type="dxa"/>
              <w:bottom w:w="0" w:type="dxa"/>
              <w:right w:w="108" w:type="dxa"/>
            </w:tcMar>
          </w:tcPr>
          <w:p w14:paraId="0DBEB967" w14:textId="77777777" w:rsidR="00203701" w:rsidRDefault="00203701">
            <w:pPr>
              <w:spacing w:after="0" w:line="360" w:lineRule="auto"/>
              <w:jc w:val="both"/>
              <w:rPr>
                <w:rFonts w:ascii="Garamond" w:eastAsia="Garamond" w:hAnsi="Garamond" w:cs="Garamond"/>
                <w:b/>
                <w:bCs/>
                <w:color w:val="000000"/>
                <w:sz w:val="24"/>
                <w:szCs w:val="24"/>
              </w:rPr>
            </w:pPr>
          </w:p>
        </w:tc>
        <w:tc>
          <w:tcPr>
            <w:tcW w:w="4014" w:type="dxa"/>
            <w:gridSpan w:val="3"/>
            <w:tcBorders>
              <w:top w:val="single" w:sz="4" w:space="0" w:color="000000"/>
              <w:left w:val="nil"/>
              <w:bottom w:val="single" w:sz="4" w:space="0" w:color="000000"/>
              <w:right w:val="nil"/>
            </w:tcBorders>
            <w:tcMar>
              <w:top w:w="0" w:type="dxa"/>
              <w:left w:w="108" w:type="dxa"/>
              <w:bottom w:w="0" w:type="dxa"/>
              <w:right w:w="108" w:type="dxa"/>
            </w:tcMar>
          </w:tcPr>
          <w:p w14:paraId="68DB5199" w14:textId="77777777" w:rsidR="00203701" w:rsidRDefault="003D14C2">
            <w:pPr>
              <w:spacing w:after="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Frequency of flooding </w:t>
            </w:r>
          </w:p>
        </w:tc>
        <w:tc>
          <w:tcPr>
            <w:tcW w:w="2700" w:type="dxa"/>
            <w:vMerge w:val="restart"/>
            <w:tcBorders>
              <w:top w:val="single" w:sz="4" w:space="0" w:color="000000"/>
              <w:left w:val="nil"/>
              <w:bottom w:val="single" w:sz="4" w:space="0" w:color="000000"/>
              <w:right w:val="nil"/>
            </w:tcBorders>
            <w:tcMar>
              <w:top w:w="0" w:type="dxa"/>
              <w:left w:w="108" w:type="dxa"/>
              <w:bottom w:w="0" w:type="dxa"/>
              <w:right w:w="108" w:type="dxa"/>
            </w:tcMar>
          </w:tcPr>
          <w:p w14:paraId="40D648BA" w14:textId="77777777" w:rsidR="00203701" w:rsidRDefault="003D14C2">
            <w:pPr>
              <w:spacing w:after="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 Total</w:t>
            </w:r>
          </w:p>
          <w:p w14:paraId="77B0E1DB" w14:textId="77777777" w:rsidR="00203701" w:rsidRDefault="00203701">
            <w:pPr>
              <w:spacing w:after="0" w:line="360" w:lineRule="auto"/>
              <w:jc w:val="both"/>
              <w:rPr>
                <w:rFonts w:ascii="Garamond" w:eastAsia="Garamond" w:hAnsi="Garamond" w:cs="Garamond"/>
                <w:b/>
                <w:bCs/>
                <w:color w:val="000000"/>
                <w:sz w:val="24"/>
                <w:szCs w:val="24"/>
              </w:rPr>
            </w:pPr>
          </w:p>
        </w:tc>
      </w:tr>
      <w:tr w:rsidR="00203701" w14:paraId="08E01F90" w14:textId="77777777">
        <w:trPr>
          <w:trHeight w:val="288"/>
        </w:trPr>
        <w:tc>
          <w:tcPr>
            <w:tcW w:w="2910" w:type="dxa"/>
            <w:gridSpan w:val="2"/>
            <w:vMerge/>
            <w:tcBorders>
              <w:top w:val="single" w:sz="4" w:space="0" w:color="000000"/>
              <w:left w:val="nil"/>
              <w:bottom w:val="single" w:sz="4" w:space="0" w:color="000000"/>
              <w:right w:val="nil"/>
            </w:tcBorders>
            <w:tcMar>
              <w:top w:w="0" w:type="dxa"/>
              <w:left w:w="108" w:type="dxa"/>
              <w:bottom w:w="0" w:type="dxa"/>
              <w:right w:w="108" w:type="dxa"/>
            </w:tcMar>
          </w:tcPr>
          <w:p w14:paraId="361D88A9"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b/>
                <w:bCs/>
                <w:color w:val="000000"/>
                <w:sz w:val="24"/>
                <w:szCs w:val="24"/>
              </w:rPr>
            </w:pPr>
          </w:p>
        </w:tc>
        <w:tc>
          <w:tcPr>
            <w:tcW w:w="1229" w:type="dxa"/>
            <w:tcBorders>
              <w:top w:val="single" w:sz="4" w:space="0" w:color="000000"/>
              <w:left w:val="nil"/>
              <w:bottom w:val="single" w:sz="4" w:space="0" w:color="000000"/>
              <w:right w:val="nil"/>
            </w:tcBorders>
            <w:tcMar>
              <w:top w:w="0" w:type="dxa"/>
              <w:left w:w="108" w:type="dxa"/>
              <w:bottom w:w="0" w:type="dxa"/>
              <w:right w:w="108" w:type="dxa"/>
            </w:tcMar>
          </w:tcPr>
          <w:p w14:paraId="26108BDF"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Mild</w:t>
            </w:r>
          </w:p>
        </w:tc>
        <w:tc>
          <w:tcPr>
            <w:tcW w:w="1136" w:type="dxa"/>
            <w:tcBorders>
              <w:top w:val="single" w:sz="4" w:space="0" w:color="000000"/>
              <w:left w:val="nil"/>
              <w:bottom w:val="single" w:sz="4" w:space="0" w:color="000000"/>
              <w:right w:val="nil"/>
            </w:tcBorders>
            <w:tcMar>
              <w:top w:w="0" w:type="dxa"/>
              <w:left w:w="108" w:type="dxa"/>
              <w:bottom w:w="0" w:type="dxa"/>
              <w:right w:w="108" w:type="dxa"/>
            </w:tcMar>
          </w:tcPr>
          <w:p w14:paraId="63D2A0A2"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Moderate</w:t>
            </w:r>
          </w:p>
        </w:tc>
        <w:tc>
          <w:tcPr>
            <w:tcW w:w="1649" w:type="dxa"/>
            <w:tcBorders>
              <w:top w:val="single" w:sz="4" w:space="0" w:color="000000"/>
              <w:left w:val="nil"/>
              <w:bottom w:val="single" w:sz="4" w:space="0" w:color="000000"/>
              <w:right w:val="nil"/>
            </w:tcBorders>
            <w:tcMar>
              <w:top w:w="0" w:type="dxa"/>
              <w:left w:w="108" w:type="dxa"/>
              <w:bottom w:w="0" w:type="dxa"/>
              <w:right w:w="108" w:type="dxa"/>
            </w:tcMar>
          </w:tcPr>
          <w:p w14:paraId="226950A7"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Severe</w:t>
            </w:r>
          </w:p>
        </w:tc>
        <w:tc>
          <w:tcPr>
            <w:tcW w:w="2700" w:type="dxa"/>
            <w:vMerge/>
            <w:tcBorders>
              <w:top w:val="single" w:sz="4" w:space="0" w:color="000000"/>
              <w:left w:val="nil"/>
              <w:bottom w:val="single" w:sz="4" w:space="0" w:color="000000"/>
              <w:right w:val="nil"/>
            </w:tcBorders>
            <w:tcMar>
              <w:top w:w="0" w:type="dxa"/>
              <w:left w:w="108" w:type="dxa"/>
              <w:bottom w:w="0" w:type="dxa"/>
              <w:right w:w="108" w:type="dxa"/>
            </w:tcMar>
          </w:tcPr>
          <w:p w14:paraId="3D47DC6D"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r>
      <w:tr w:rsidR="00203701" w14:paraId="79DF2882" w14:textId="77777777">
        <w:trPr>
          <w:trHeight w:val="288"/>
        </w:trPr>
        <w:tc>
          <w:tcPr>
            <w:tcW w:w="1615" w:type="dxa"/>
            <w:vMerge w:val="restart"/>
            <w:tcBorders>
              <w:top w:val="single" w:sz="4" w:space="0" w:color="000000"/>
              <w:left w:val="nil"/>
              <w:bottom w:val="nil"/>
              <w:right w:val="nil"/>
            </w:tcBorders>
            <w:tcMar>
              <w:top w:w="0" w:type="dxa"/>
              <w:left w:w="108" w:type="dxa"/>
              <w:bottom w:w="0" w:type="dxa"/>
              <w:right w:w="108" w:type="dxa"/>
            </w:tcMar>
          </w:tcPr>
          <w:p w14:paraId="19278240"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Decreasing</w:t>
            </w:r>
          </w:p>
          <w:p w14:paraId="1BBC87CD"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 </w:t>
            </w:r>
          </w:p>
          <w:p w14:paraId="2AB27FF1"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 </w:t>
            </w:r>
          </w:p>
        </w:tc>
        <w:tc>
          <w:tcPr>
            <w:tcW w:w="1295" w:type="dxa"/>
            <w:tcBorders>
              <w:top w:val="single" w:sz="4" w:space="0" w:color="000000"/>
              <w:left w:val="nil"/>
              <w:bottom w:val="nil"/>
              <w:right w:val="nil"/>
            </w:tcBorders>
            <w:tcMar>
              <w:top w:w="0" w:type="dxa"/>
              <w:left w:w="108" w:type="dxa"/>
              <w:bottom w:w="0" w:type="dxa"/>
              <w:right w:w="108" w:type="dxa"/>
            </w:tcMar>
          </w:tcPr>
          <w:p w14:paraId="1CE30A6F"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Count</w:t>
            </w:r>
          </w:p>
        </w:tc>
        <w:tc>
          <w:tcPr>
            <w:tcW w:w="1229" w:type="dxa"/>
            <w:tcBorders>
              <w:top w:val="single" w:sz="4" w:space="0" w:color="000000"/>
              <w:left w:val="nil"/>
              <w:bottom w:val="nil"/>
              <w:right w:val="nil"/>
            </w:tcBorders>
            <w:tcMar>
              <w:top w:w="0" w:type="dxa"/>
              <w:left w:w="108" w:type="dxa"/>
              <w:bottom w:w="0" w:type="dxa"/>
              <w:right w:w="108" w:type="dxa"/>
            </w:tcMar>
          </w:tcPr>
          <w:p w14:paraId="4D13FB8C"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22</w:t>
            </w:r>
          </w:p>
        </w:tc>
        <w:tc>
          <w:tcPr>
            <w:tcW w:w="1136" w:type="dxa"/>
            <w:tcBorders>
              <w:top w:val="single" w:sz="4" w:space="0" w:color="000000"/>
              <w:left w:val="nil"/>
              <w:bottom w:val="nil"/>
              <w:right w:val="nil"/>
            </w:tcBorders>
            <w:tcMar>
              <w:top w:w="0" w:type="dxa"/>
              <w:left w:w="108" w:type="dxa"/>
              <w:bottom w:w="0" w:type="dxa"/>
              <w:right w:w="108" w:type="dxa"/>
            </w:tcMar>
          </w:tcPr>
          <w:p w14:paraId="12A5FEAE"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73</w:t>
            </w:r>
          </w:p>
        </w:tc>
        <w:tc>
          <w:tcPr>
            <w:tcW w:w="1649" w:type="dxa"/>
            <w:tcBorders>
              <w:top w:val="single" w:sz="4" w:space="0" w:color="000000"/>
              <w:left w:val="nil"/>
              <w:bottom w:val="nil"/>
              <w:right w:val="nil"/>
            </w:tcBorders>
            <w:tcMar>
              <w:top w:w="0" w:type="dxa"/>
              <w:left w:w="108" w:type="dxa"/>
              <w:bottom w:w="0" w:type="dxa"/>
              <w:right w:w="108" w:type="dxa"/>
            </w:tcMar>
          </w:tcPr>
          <w:p w14:paraId="0528245E"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168</w:t>
            </w:r>
          </w:p>
        </w:tc>
        <w:tc>
          <w:tcPr>
            <w:tcW w:w="2700" w:type="dxa"/>
            <w:tcBorders>
              <w:top w:val="single" w:sz="4" w:space="0" w:color="000000"/>
              <w:left w:val="nil"/>
              <w:bottom w:val="nil"/>
              <w:right w:val="nil"/>
            </w:tcBorders>
            <w:tcMar>
              <w:top w:w="0" w:type="dxa"/>
              <w:left w:w="108" w:type="dxa"/>
              <w:bottom w:w="0" w:type="dxa"/>
              <w:right w:w="108" w:type="dxa"/>
            </w:tcMar>
          </w:tcPr>
          <w:p w14:paraId="7007E4BD"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263</w:t>
            </w:r>
          </w:p>
        </w:tc>
      </w:tr>
      <w:tr w:rsidR="00203701" w14:paraId="7AD3F6F6" w14:textId="77777777">
        <w:trPr>
          <w:trHeight w:val="288"/>
        </w:trPr>
        <w:tc>
          <w:tcPr>
            <w:tcW w:w="1615" w:type="dxa"/>
            <w:vMerge/>
            <w:tcBorders>
              <w:top w:val="single" w:sz="4" w:space="0" w:color="000000"/>
              <w:left w:val="nil"/>
              <w:bottom w:val="nil"/>
              <w:right w:val="nil"/>
            </w:tcBorders>
            <w:tcMar>
              <w:top w:w="0" w:type="dxa"/>
              <w:left w:w="108" w:type="dxa"/>
              <w:bottom w:w="0" w:type="dxa"/>
              <w:right w:w="108" w:type="dxa"/>
            </w:tcMar>
          </w:tcPr>
          <w:p w14:paraId="0121FB31"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1295" w:type="dxa"/>
            <w:tcBorders>
              <w:top w:val="nil"/>
              <w:left w:val="nil"/>
              <w:bottom w:val="nil"/>
              <w:right w:val="nil"/>
            </w:tcBorders>
            <w:tcMar>
              <w:top w:w="0" w:type="dxa"/>
              <w:left w:w="108" w:type="dxa"/>
              <w:bottom w:w="0" w:type="dxa"/>
              <w:right w:w="108" w:type="dxa"/>
            </w:tcMar>
          </w:tcPr>
          <w:p w14:paraId="0FAE32F0"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 % of Row</w:t>
            </w:r>
          </w:p>
        </w:tc>
        <w:tc>
          <w:tcPr>
            <w:tcW w:w="1229" w:type="dxa"/>
            <w:tcBorders>
              <w:top w:val="nil"/>
              <w:left w:val="nil"/>
              <w:bottom w:val="nil"/>
              <w:right w:val="nil"/>
            </w:tcBorders>
            <w:tcMar>
              <w:top w:w="0" w:type="dxa"/>
              <w:left w:w="108" w:type="dxa"/>
              <w:bottom w:w="0" w:type="dxa"/>
              <w:right w:w="108" w:type="dxa"/>
            </w:tcMar>
          </w:tcPr>
          <w:p w14:paraId="28E4D424"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8.37</w:t>
            </w:r>
          </w:p>
        </w:tc>
        <w:tc>
          <w:tcPr>
            <w:tcW w:w="1136" w:type="dxa"/>
            <w:tcBorders>
              <w:top w:val="nil"/>
              <w:left w:val="nil"/>
              <w:bottom w:val="nil"/>
              <w:right w:val="nil"/>
            </w:tcBorders>
            <w:tcMar>
              <w:top w:w="0" w:type="dxa"/>
              <w:left w:w="108" w:type="dxa"/>
              <w:bottom w:w="0" w:type="dxa"/>
              <w:right w:w="108" w:type="dxa"/>
            </w:tcMar>
          </w:tcPr>
          <w:p w14:paraId="6DAB3BD5"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27.76</w:t>
            </w:r>
          </w:p>
        </w:tc>
        <w:tc>
          <w:tcPr>
            <w:tcW w:w="1649" w:type="dxa"/>
            <w:tcBorders>
              <w:top w:val="nil"/>
              <w:left w:val="nil"/>
              <w:bottom w:val="nil"/>
              <w:right w:val="nil"/>
            </w:tcBorders>
            <w:tcMar>
              <w:top w:w="0" w:type="dxa"/>
              <w:left w:w="108" w:type="dxa"/>
              <w:bottom w:w="0" w:type="dxa"/>
              <w:right w:w="108" w:type="dxa"/>
            </w:tcMar>
          </w:tcPr>
          <w:p w14:paraId="5D235F43"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63.88</w:t>
            </w:r>
          </w:p>
        </w:tc>
        <w:tc>
          <w:tcPr>
            <w:tcW w:w="2700" w:type="dxa"/>
            <w:tcBorders>
              <w:top w:val="nil"/>
              <w:left w:val="nil"/>
              <w:bottom w:val="nil"/>
              <w:right w:val="nil"/>
            </w:tcBorders>
            <w:tcMar>
              <w:top w:w="0" w:type="dxa"/>
              <w:left w:w="108" w:type="dxa"/>
              <w:bottom w:w="0" w:type="dxa"/>
              <w:right w:w="108" w:type="dxa"/>
            </w:tcMar>
          </w:tcPr>
          <w:p w14:paraId="310A7FC2"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100</w:t>
            </w:r>
          </w:p>
        </w:tc>
      </w:tr>
      <w:tr w:rsidR="00203701" w14:paraId="7D0F28F2" w14:textId="77777777">
        <w:trPr>
          <w:trHeight w:val="288"/>
        </w:trPr>
        <w:tc>
          <w:tcPr>
            <w:tcW w:w="1615" w:type="dxa"/>
            <w:vMerge/>
            <w:tcBorders>
              <w:top w:val="single" w:sz="4" w:space="0" w:color="000000"/>
              <w:left w:val="nil"/>
              <w:bottom w:val="nil"/>
              <w:right w:val="nil"/>
            </w:tcBorders>
            <w:tcMar>
              <w:top w:w="0" w:type="dxa"/>
              <w:left w:w="108" w:type="dxa"/>
              <w:bottom w:w="0" w:type="dxa"/>
              <w:right w:w="108" w:type="dxa"/>
            </w:tcMar>
          </w:tcPr>
          <w:p w14:paraId="30B63221"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1295" w:type="dxa"/>
            <w:tcBorders>
              <w:top w:val="nil"/>
              <w:left w:val="nil"/>
              <w:bottom w:val="nil"/>
              <w:right w:val="nil"/>
            </w:tcBorders>
            <w:tcMar>
              <w:top w:w="0" w:type="dxa"/>
              <w:left w:w="108" w:type="dxa"/>
              <w:bottom w:w="0" w:type="dxa"/>
              <w:right w:w="108" w:type="dxa"/>
            </w:tcMar>
          </w:tcPr>
          <w:p w14:paraId="58ADF214"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of Total</w:t>
            </w:r>
          </w:p>
        </w:tc>
        <w:tc>
          <w:tcPr>
            <w:tcW w:w="1229" w:type="dxa"/>
            <w:tcBorders>
              <w:top w:val="nil"/>
              <w:left w:val="nil"/>
              <w:bottom w:val="nil"/>
              <w:right w:val="nil"/>
            </w:tcBorders>
            <w:tcMar>
              <w:top w:w="0" w:type="dxa"/>
              <w:left w:w="108" w:type="dxa"/>
              <w:bottom w:w="0" w:type="dxa"/>
              <w:right w:w="108" w:type="dxa"/>
            </w:tcMar>
          </w:tcPr>
          <w:p w14:paraId="242CDE28"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8.06</w:t>
            </w:r>
          </w:p>
        </w:tc>
        <w:tc>
          <w:tcPr>
            <w:tcW w:w="1136" w:type="dxa"/>
            <w:tcBorders>
              <w:top w:val="nil"/>
              <w:left w:val="nil"/>
              <w:bottom w:val="nil"/>
              <w:right w:val="nil"/>
            </w:tcBorders>
            <w:tcMar>
              <w:top w:w="0" w:type="dxa"/>
              <w:left w:w="108" w:type="dxa"/>
              <w:bottom w:w="0" w:type="dxa"/>
              <w:right w:w="108" w:type="dxa"/>
            </w:tcMar>
          </w:tcPr>
          <w:p w14:paraId="685365CB"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26.74</w:t>
            </w:r>
          </w:p>
        </w:tc>
        <w:tc>
          <w:tcPr>
            <w:tcW w:w="1649" w:type="dxa"/>
            <w:tcBorders>
              <w:top w:val="nil"/>
              <w:left w:val="nil"/>
              <w:bottom w:val="nil"/>
              <w:right w:val="nil"/>
            </w:tcBorders>
            <w:tcMar>
              <w:top w:w="0" w:type="dxa"/>
              <w:left w:w="108" w:type="dxa"/>
              <w:bottom w:w="0" w:type="dxa"/>
              <w:right w:w="108" w:type="dxa"/>
            </w:tcMar>
          </w:tcPr>
          <w:p w14:paraId="6274FE9A"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61.54</w:t>
            </w:r>
          </w:p>
        </w:tc>
        <w:tc>
          <w:tcPr>
            <w:tcW w:w="2700" w:type="dxa"/>
            <w:tcBorders>
              <w:top w:val="nil"/>
              <w:left w:val="nil"/>
              <w:bottom w:val="nil"/>
              <w:right w:val="nil"/>
            </w:tcBorders>
            <w:tcMar>
              <w:top w:w="0" w:type="dxa"/>
              <w:left w:w="108" w:type="dxa"/>
              <w:bottom w:w="0" w:type="dxa"/>
              <w:right w:w="108" w:type="dxa"/>
            </w:tcMar>
          </w:tcPr>
          <w:p w14:paraId="3D583C54"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96.34</w:t>
            </w:r>
          </w:p>
        </w:tc>
      </w:tr>
      <w:tr w:rsidR="00203701" w14:paraId="6D3DA2E6" w14:textId="77777777">
        <w:trPr>
          <w:trHeight w:val="288"/>
        </w:trPr>
        <w:tc>
          <w:tcPr>
            <w:tcW w:w="1615" w:type="dxa"/>
            <w:vMerge w:val="restart"/>
            <w:tcBorders>
              <w:top w:val="nil"/>
              <w:left w:val="nil"/>
              <w:bottom w:val="single" w:sz="4" w:space="0" w:color="000000"/>
              <w:right w:val="nil"/>
            </w:tcBorders>
            <w:tcMar>
              <w:top w:w="0" w:type="dxa"/>
              <w:left w:w="108" w:type="dxa"/>
              <w:bottom w:w="0" w:type="dxa"/>
              <w:right w:w="108" w:type="dxa"/>
            </w:tcMar>
          </w:tcPr>
          <w:p w14:paraId="49A2C23A"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Increasing </w:t>
            </w:r>
          </w:p>
          <w:p w14:paraId="0401FDB8"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 </w:t>
            </w:r>
          </w:p>
          <w:p w14:paraId="5B6F3CBB"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 </w:t>
            </w:r>
          </w:p>
        </w:tc>
        <w:tc>
          <w:tcPr>
            <w:tcW w:w="1295" w:type="dxa"/>
            <w:tcBorders>
              <w:top w:val="nil"/>
              <w:left w:val="nil"/>
              <w:bottom w:val="single" w:sz="4" w:space="0" w:color="000000"/>
              <w:right w:val="nil"/>
            </w:tcBorders>
            <w:tcMar>
              <w:top w:w="0" w:type="dxa"/>
              <w:left w:w="108" w:type="dxa"/>
              <w:bottom w:w="0" w:type="dxa"/>
              <w:right w:w="108" w:type="dxa"/>
            </w:tcMar>
          </w:tcPr>
          <w:p w14:paraId="5579B750"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Count</w:t>
            </w:r>
          </w:p>
        </w:tc>
        <w:tc>
          <w:tcPr>
            <w:tcW w:w="1229" w:type="dxa"/>
            <w:tcBorders>
              <w:top w:val="nil"/>
              <w:left w:val="nil"/>
              <w:bottom w:val="single" w:sz="4" w:space="0" w:color="000000"/>
              <w:right w:val="nil"/>
            </w:tcBorders>
            <w:tcMar>
              <w:top w:w="0" w:type="dxa"/>
              <w:left w:w="108" w:type="dxa"/>
              <w:bottom w:w="0" w:type="dxa"/>
              <w:right w:w="108" w:type="dxa"/>
            </w:tcMar>
          </w:tcPr>
          <w:p w14:paraId="397A48B0"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0</w:t>
            </w:r>
          </w:p>
        </w:tc>
        <w:tc>
          <w:tcPr>
            <w:tcW w:w="1136" w:type="dxa"/>
            <w:tcBorders>
              <w:top w:val="nil"/>
              <w:left w:val="nil"/>
              <w:bottom w:val="single" w:sz="4" w:space="0" w:color="000000"/>
              <w:right w:val="nil"/>
            </w:tcBorders>
            <w:tcMar>
              <w:top w:w="0" w:type="dxa"/>
              <w:left w:w="108" w:type="dxa"/>
              <w:bottom w:w="0" w:type="dxa"/>
              <w:right w:w="108" w:type="dxa"/>
            </w:tcMar>
          </w:tcPr>
          <w:p w14:paraId="23434C80"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10</w:t>
            </w:r>
          </w:p>
        </w:tc>
        <w:tc>
          <w:tcPr>
            <w:tcW w:w="1649" w:type="dxa"/>
            <w:tcBorders>
              <w:top w:val="nil"/>
              <w:left w:val="nil"/>
              <w:bottom w:val="single" w:sz="4" w:space="0" w:color="000000"/>
              <w:right w:val="nil"/>
            </w:tcBorders>
            <w:tcMar>
              <w:top w:w="0" w:type="dxa"/>
              <w:left w:w="108" w:type="dxa"/>
              <w:bottom w:w="0" w:type="dxa"/>
              <w:right w:w="108" w:type="dxa"/>
            </w:tcMar>
          </w:tcPr>
          <w:p w14:paraId="67DA85B1"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0</w:t>
            </w:r>
          </w:p>
        </w:tc>
        <w:tc>
          <w:tcPr>
            <w:tcW w:w="2700" w:type="dxa"/>
            <w:tcBorders>
              <w:top w:val="nil"/>
              <w:left w:val="nil"/>
              <w:bottom w:val="single" w:sz="4" w:space="0" w:color="000000"/>
              <w:right w:val="nil"/>
            </w:tcBorders>
            <w:tcMar>
              <w:top w:w="0" w:type="dxa"/>
              <w:left w:w="108" w:type="dxa"/>
              <w:bottom w:w="0" w:type="dxa"/>
              <w:right w:w="108" w:type="dxa"/>
            </w:tcMar>
          </w:tcPr>
          <w:p w14:paraId="4547C42C"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10</w:t>
            </w:r>
          </w:p>
        </w:tc>
      </w:tr>
      <w:tr w:rsidR="00203701" w14:paraId="6A5186EF" w14:textId="77777777">
        <w:trPr>
          <w:trHeight w:val="288"/>
        </w:trPr>
        <w:tc>
          <w:tcPr>
            <w:tcW w:w="1615" w:type="dxa"/>
            <w:vMerge/>
            <w:tcBorders>
              <w:top w:val="nil"/>
              <w:left w:val="nil"/>
              <w:bottom w:val="single" w:sz="4" w:space="0" w:color="000000"/>
              <w:right w:val="nil"/>
            </w:tcBorders>
            <w:tcMar>
              <w:top w:w="0" w:type="dxa"/>
              <w:left w:w="108" w:type="dxa"/>
              <w:bottom w:w="0" w:type="dxa"/>
              <w:right w:w="108" w:type="dxa"/>
            </w:tcMar>
          </w:tcPr>
          <w:p w14:paraId="709F465E"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1295" w:type="dxa"/>
            <w:tcBorders>
              <w:top w:val="single" w:sz="4" w:space="0" w:color="000000"/>
              <w:left w:val="nil"/>
              <w:bottom w:val="single" w:sz="4" w:space="0" w:color="000000"/>
              <w:right w:val="nil"/>
            </w:tcBorders>
            <w:tcMar>
              <w:top w:w="0" w:type="dxa"/>
              <w:left w:w="108" w:type="dxa"/>
              <w:bottom w:w="0" w:type="dxa"/>
              <w:right w:w="108" w:type="dxa"/>
            </w:tcMar>
          </w:tcPr>
          <w:p w14:paraId="295B64E2"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of Row</w:t>
            </w:r>
          </w:p>
        </w:tc>
        <w:tc>
          <w:tcPr>
            <w:tcW w:w="1229" w:type="dxa"/>
            <w:tcBorders>
              <w:top w:val="single" w:sz="4" w:space="0" w:color="000000"/>
              <w:left w:val="nil"/>
              <w:bottom w:val="single" w:sz="4" w:space="0" w:color="000000"/>
              <w:right w:val="nil"/>
            </w:tcBorders>
            <w:tcMar>
              <w:top w:w="0" w:type="dxa"/>
              <w:left w:w="108" w:type="dxa"/>
              <w:bottom w:w="0" w:type="dxa"/>
              <w:right w:w="108" w:type="dxa"/>
            </w:tcMar>
          </w:tcPr>
          <w:p w14:paraId="3239F8C3"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0</w:t>
            </w:r>
          </w:p>
        </w:tc>
        <w:tc>
          <w:tcPr>
            <w:tcW w:w="1136" w:type="dxa"/>
            <w:tcBorders>
              <w:top w:val="single" w:sz="4" w:space="0" w:color="000000"/>
              <w:left w:val="nil"/>
              <w:bottom w:val="single" w:sz="4" w:space="0" w:color="000000"/>
              <w:right w:val="nil"/>
            </w:tcBorders>
            <w:tcMar>
              <w:top w:w="0" w:type="dxa"/>
              <w:left w:w="108" w:type="dxa"/>
              <w:bottom w:w="0" w:type="dxa"/>
              <w:right w:w="108" w:type="dxa"/>
            </w:tcMar>
          </w:tcPr>
          <w:p w14:paraId="75090F54"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100</w:t>
            </w:r>
          </w:p>
        </w:tc>
        <w:tc>
          <w:tcPr>
            <w:tcW w:w="1649" w:type="dxa"/>
            <w:tcBorders>
              <w:top w:val="single" w:sz="4" w:space="0" w:color="000000"/>
              <w:left w:val="nil"/>
              <w:bottom w:val="single" w:sz="4" w:space="0" w:color="000000"/>
              <w:right w:val="nil"/>
            </w:tcBorders>
            <w:tcMar>
              <w:top w:w="0" w:type="dxa"/>
              <w:left w:w="108" w:type="dxa"/>
              <w:bottom w:w="0" w:type="dxa"/>
              <w:right w:w="108" w:type="dxa"/>
            </w:tcMar>
          </w:tcPr>
          <w:p w14:paraId="779DF615"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0</w:t>
            </w:r>
          </w:p>
        </w:tc>
        <w:tc>
          <w:tcPr>
            <w:tcW w:w="2700" w:type="dxa"/>
            <w:tcBorders>
              <w:top w:val="single" w:sz="4" w:space="0" w:color="000000"/>
              <w:left w:val="nil"/>
              <w:bottom w:val="single" w:sz="4" w:space="0" w:color="000000"/>
              <w:right w:val="nil"/>
            </w:tcBorders>
            <w:tcMar>
              <w:top w:w="0" w:type="dxa"/>
              <w:left w:w="108" w:type="dxa"/>
              <w:bottom w:w="0" w:type="dxa"/>
              <w:right w:w="108" w:type="dxa"/>
            </w:tcMar>
          </w:tcPr>
          <w:p w14:paraId="01F68B7A"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100</w:t>
            </w:r>
          </w:p>
        </w:tc>
      </w:tr>
      <w:tr w:rsidR="00203701" w14:paraId="1C11DDF6" w14:textId="77777777">
        <w:trPr>
          <w:trHeight w:val="288"/>
        </w:trPr>
        <w:tc>
          <w:tcPr>
            <w:tcW w:w="1615" w:type="dxa"/>
            <w:vMerge/>
            <w:tcBorders>
              <w:top w:val="nil"/>
              <w:left w:val="nil"/>
              <w:bottom w:val="single" w:sz="4" w:space="0" w:color="000000"/>
              <w:right w:val="nil"/>
            </w:tcBorders>
            <w:tcMar>
              <w:top w:w="0" w:type="dxa"/>
              <w:left w:w="108" w:type="dxa"/>
              <w:bottom w:w="0" w:type="dxa"/>
              <w:right w:w="108" w:type="dxa"/>
            </w:tcMar>
          </w:tcPr>
          <w:p w14:paraId="54B260D5"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1295" w:type="dxa"/>
            <w:tcBorders>
              <w:top w:val="single" w:sz="4" w:space="0" w:color="000000"/>
              <w:left w:val="nil"/>
              <w:bottom w:val="single" w:sz="4" w:space="0" w:color="000000"/>
              <w:right w:val="nil"/>
            </w:tcBorders>
            <w:tcMar>
              <w:top w:w="0" w:type="dxa"/>
              <w:left w:w="108" w:type="dxa"/>
              <w:bottom w:w="0" w:type="dxa"/>
              <w:right w:w="108" w:type="dxa"/>
            </w:tcMar>
          </w:tcPr>
          <w:p w14:paraId="5A39AC56"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of Total</w:t>
            </w:r>
          </w:p>
        </w:tc>
        <w:tc>
          <w:tcPr>
            <w:tcW w:w="1229" w:type="dxa"/>
            <w:tcBorders>
              <w:top w:val="single" w:sz="4" w:space="0" w:color="000000"/>
              <w:left w:val="nil"/>
              <w:bottom w:val="single" w:sz="4" w:space="0" w:color="000000"/>
              <w:right w:val="nil"/>
            </w:tcBorders>
            <w:tcMar>
              <w:top w:w="0" w:type="dxa"/>
              <w:left w:w="108" w:type="dxa"/>
              <w:bottom w:w="0" w:type="dxa"/>
              <w:right w:w="108" w:type="dxa"/>
            </w:tcMar>
          </w:tcPr>
          <w:p w14:paraId="71953ABA"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0</w:t>
            </w:r>
          </w:p>
        </w:tc>
        <w:tc>
          <w:tcPr>
            <w:tcW w:w="1136" w:type="dxa"/>
            <w:tcBorders>
              <w:top w:val="single" w:sz="4" w:space="0" w:color="000000"/>
              <w:left w:val="nil"/>
              <w:bottom w:val="single" w:sz="4" w:space="0" w:color="000000"/>
              <w:right w:val="nil"/>
            </w:tcBorders>
            <w:tcMar>
              <w:top w:w="0" w:type="dxa"/>
              <w:left w:w="108" w:type="dxa"/>
              <w:bottom w:w="0" w:type="dxa"/>
              <w:right w:w="108" w:type="dxa"/>
            </w:tcMar>
          </w:tcPr>
          <w:p w14:paraId="04FAE976"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3.66</w:t>
            </w:r>
          </w:p>
        </w:tc>
        <w:tc>
          <w:tcPr>
            <w:tcW w:w="1649" w:type="dxa"/>
            <w:tcBorders>
              <w:top w:val="single" w:sz="4" w:space="0" w:color="000000"/>
              <w:left w:val="nil"/>
              <w:bottom w:val="single" w:sz="4" w:space="0" w:color="000000"/>
              <w:right w:val="nil"/>
            </w:tcBorders>
            <w:tcMar>
              <w:top w:w="0" w:type="dxa"/>
              <w:left w:w="108" w:type="dxa"/>
              <w:bottom w:w="0" w:type="dxa"/>
              <w:right w:w="108" w:type="dxa"/>
            </w:tcMar>
          </w:tcPr>
          <w:p w14:paraId="28DAF8F5"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0</w:t>
            </w:r>
          </w:p>
        </w:tc>
        <w:tc>
          <w:tcPr>
            <w:tcW w:w="2700" w:type="dxa"/>
            <w:tcBorders>
              <w:top w:val="single" w:sz="4" w:space="0" w:color="000000"/>
              <w:left w:val="nil"/>
              <w:bottom w:val="single" w:sz="4" w:space="0" w:color="000000"/>
              <w:right w:val="nil"/>
            </w:tcBorders>
            <w:tcMar>
              <w:top w:w="0" w:type="dxa"/>
              <w:left w:w="108" w:type="dxa"/>
              <w:bottom w:w="0" w:type="dxa"/>
              <w:right w:w="108" w:type="dxa"/>
            </w:tcMar>
          </w:tcPr>
          <w:p w14:paraId="738DA578"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3.66</w:t>
            </w:r>
          </w:p>
        </w:tc>
      </w:tr>
    </w:tbl>
    <w:p w14:paraId="747CF976"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 xml:space="preserve">Flood intensity is strongly associated with declining crop yields, with severe flooding causing the greatest losses (IPCC, 2022). Floods damage soil structure and reduce agricultural productivity (FAO, 2021b). Although moderate flooding may temporarily improve soil moisture, severe events lead to long-term degradation (World Food </w:t>
      </w:r>
      <w:proofErr w:type="spellStart"/>
      <w:r>
        <w:rPr>
          <w:rFonts w:ascii="Garamond" w:eastAsia="Garamond" w:hAnsi="Garamond" w:cs="Garamond"/>
          <w:sz w:val="24"/>
          <w:szCs w:val="24"/>
        </w:rPr>
        <w:t>Programme</w:t>
      </w:r>
      <w:proofErr w:type="spellEnd"/>
      <w:r>
        <w:rPr>
          <w:rFonts w:ascii="Garamond" w:eastAsia="Garamond" w:hAnsi="Garamond" w:cs="Garamond"/>
          <w:sz w:val="24"/>
          <w:szCs w:val="24"/>
        </w:rPr>
        <w:t>, 2020). These patterns reflect broader global findings on climate impacts on agriculture (FAO, 2021a). Overall, flooding negatively affects food security outcomes.</w:t>
      </w:r>
    </w:p>
    <w:p w14:paraId="797B0E90"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From the results, majority of respondents (96.34%) reported a decrease in crop yields, with the severity of flooding directly influencing the extent of this decline. Among those experiencing yield decreases, 63.88% attributed it to severe flooding, 27.76% to moderate flooding, and only 8.37% to mild flooding. This indicates a strong correlation between the intensity of flooding and its detrimental effects on crop productivity. Severe flooding, which likely causes extensive damage to crops, soil </w:t>
      </w:r>
      <w:r>
        <w:rPr>
          <w:rFonts w:ascii="Garamond" w:eastAsia="Garamond" w:hAnsi="Garamond" w:cs="Garamond"/>
          <w:color w:val="000000"/>
          <w:sz w:val="24"/>
          <w:szCs w:val="24"/>
        </w:rPr>
        <w:lastRenderedPageBreak/>
        <w:t>erosion, and waterlogging, has the most pronounced impact on yields. Moderate and mild flooding also contribute to reduced productivity, albeit to a lesser extent.</w:t>
      </w:r>
    </w:p>
    <w:p w14:paraId="00EA9D55" w14:textId="77777777" w:rsidR="00203701" w:rsidRDefault="00203701">
      <w:pPr>
        <w:spacing w:after="0" w:line="360" w:lineRule="auto"/>
        <w:jc w:val="both"/>
        <w:rPr>
          <w:rFonts w:ascii="Garamond" w:eastAsia="Garamond" w:hAnsi="Garamond" w:cs="Garamond"/>
          <w:color w:val="000000"/>
          <w:sz w:val="24"/>
          <w:szCs w:val="24"/>
        </w:rPr>
      </w:pPr>
    </w:p>
    <w:p w14:paraId="43A27276" w14:textId="77777777" w:rsidR="00203701" w:rsidRDefault="003D14C2">
      <w:pPr>
        <w:spacing w:after="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A</w:t>
      </w:r>
      <w:r>
        <w:rPr>
          <w:rFonts w:ascii="Garamond" w:eastAsia="Garamond" w:hAnsi="Garamond" w:cs="Garamond"/>
          <w:color w:val="000000"/>
          <w:sz w:val="24"/>
          <w:szCs w:val="24"/>
        </w:rPr>
        <w:t xml:space="preserve"> small subset of respondents (3.66%) reported increased crop yields, which were exclusively linked to moderate flooding. This suggests that moderate flooding, under certain conditions, might have a positive impact on crop growth, such as by replenishing soil moisture or depositing nutrient-rich sediments. However, no instances of increasing yields were reported under mild or severe flooding, emphasizing that while moderate flooding may occasionally be beneficial, excessive or insufficient flooding is detrimental to productivity.</w:t>
      </w:r>
    </w:p>
    <w:p w14:paraId="4A0DF5A1"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Flooding significantly disrupted all dimensions of food security. During flood periods, households experienced severe food shortages (mean = 1.05), reduced access to resources (mean = 1.61), and increased reliance on coping strategies such as skipping meals (mean = 2.78). Although conditions improved after flooding, food security indicators remained below optimal levels, indicating prolonged recovery challenges.</w:t>
      </w:r>
    </w:p>
    <w:p w14:paraId="149501D9"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 xml:space="preserve">These findings are consistent with regional evidence showing that climate shocks exacerbate food insecurity by disrupting production, income, and market access (World Food </w:t>
      </w:r>
      <w:proofErr w:type="spellStart"/>
      <w:r>
        <w:rPr>
          <w:rFonts w:ascii="Garamond" w:eastAsia="Garamond" w:hAnsi="Garamond" w:cs="Garamond"/>
          <w:sz w:val="24"/>
          <w:szCs w:val="24"/>
        </w:rPr>
        <w:t>Programme</w:t>
      </w:r>
      <w:proofErr w:type="spellEnd"/>
      <w:r>
        <w:rPr>
          <w:rFonts w:ascii="Garamond" w:eastAsia="Garamond" w:hAnsi="Garamond" w:cs="Garamond"/>
          <w:sz w:val="24"/>
          <w:szCs w:val="24"/>
        </w:rPr>
        <w:t>, 2020). The persistence of food insecurity even under normal conditions highlights underlying structural poverty and limited resilience.</w:t>
      </w:r>
    </w:p>
    <w:p w14:paraId="3374ABF0" w14:textId="083A53E1" w:rsidR="00203701" w:rsidRDefault="000E7752">
      <w:pPr>
        <w:spacing w:before="280" w:after="280" w:line="360" w:lineRule="auto"/>
        <w:jc w:val="both"/>
        <w:rPr>
          <w:rFonts w:ascii="Garamond" w:eastAsia="Garamond" w:hAnsi="Garamond" w:cs="Garamond"/>
          <w:b/>
          <w:bCs/>
          <w:sz w:val="24"/>
          <w:szCs w:val="24"/>
        </w:rPr>
      </w:pPr>
      <w:r>
        <w:rPr>
          <w:rFonts w:ascii="Garamond" w:eastAsia="Garamond" w:hAnsi="Garamond" w:cs="Garamond"/>
          <w:b/>
          <w:bCs/>
          <w:sz w:val="24"/>
          <w:szCs w:val="24"/>
        </w:rPr>
        <w:t>4</w:t>
      </w:r>
      <w:r w:rsidR="003D14C2">
        <w:rPr>
          <w:rFonts w:ascii="Garamond" w:eastAsia="Garamond" w:hAnsi="Garamond" w:cs="Garamond"/>
          <w:b/>
          <w:bCs/>
          <w:sz w:val="24"/>
          <w:szCs w:val="24"/>
        </w:rPr>
        <w:t>.6. Flood Mitigation and Hypothesis Testing</w:t>
      </w:r>
    </w:p>
    <w:p w14:paraId="569B05E1" w14:textId="7A28AC1C"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Government interventions were primarily focused on early warning systems (42.5%), followed by drainage construction (34.4%) and relief services (23.1%). While these measures were more prevalent in flood-affected areas, their overall reach was limited. Hypothesis testing revealed a statistically significant relationship between flooding and food security. Households exposed to lower flooding were significantly less likely to report sufficient food production compared to those experiencing severe flooding (OR = 0.326, p = 0.006). This led to the rejection of the null hypothesis and confirmed that flooding is a key driver of food insecurity in the study area.</w:t>
      </w:r>
    </w:p>
    <w:p w14:paraId="15B30EA2" w14:textId="77777777" w:rsidR="00203701" w:rsidRDefault="003D14C2">
      <w:pPr>
        <w:spacing w:before="280" w:after="280" w:line="360" w:lineRule="auto"/>
        <w:jc w:val="both"/>
        <w:rPr>
          <w:rFonts w:ascii="Garamond" w:eastAsia="Garamond" w:hAnsi="Garamond" w:cs="Garamond"/>
          <w:b/>
          <w:bCs/>
          <w:sz w:val="24"/>
          <w:szCs w:val="24"/>
        </w:rPr>
      </w:pPr>
      <w:r>
        <w:rPr>
          <w:rFonts w:ascii="Garamond" w:eastAsia="Garamond" w:hAnsi="Garamond" w:cs="Garamond"/>
          <w:b/>
          <w:bCs/>
          <w:sz w:val="24"/>
          <w:szCs w:val="24"/>
        </w:rPr>
        <w:t>5.0. Summary and Conclusions</w:t>
      </w:r>
    </w:p>
    <w:p w14:paraId="114520E4"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lastRenderedPageBreak/>
        <w:t xml:space="preserve">The study established that flooding in Baringo South Sub-County is frequent and increasing over time (IPCC, 2022). It significantly affects agricultural productivity and household livelihoods (FAO, 2021b). Vulnerability varies across demographic groups due to differences in adaptive capacity (UNEP, 2021). Flooding was identified as a major determinant of food insecurity in the study area (World Food </w:t>
      </w:r>
      <w:proofErr w:type="spellStart"/>
      <w:r>
        <w:rPr>
          <w:rFonts w:ascii="Garamond" w:eastAsia="Garamond" w:hAnsi="Garamond" w:cs="Garamond"/>
          <w:sz w:val="24"/>
          <w:szCs w:val="24"/>
        </w:rPr>
        <w:t>Programme</w:t>
      </w:r>
      <w:proofErr w:type="spellEnd"/>
      <w:r>
        <w:rPr>
          <w:rFonts w:ascii="Garamond" w:eastAsia="Garamond" w:hAnsi="Garamond" w:cs="Garamond"/>
          <w:sz w:val="24"/>
          <w:szCs w:val="24"/>
        </w:rPr>
        <w:t>, 2020). Overall, there is a strong and significant relationship between flooding and food security.</w:t>
      </w:r>
    </w:p>
    <w:p w14:paraId="240B7B9C" w14:textId="2C506C8A" w:rsidR="00203701" w:rsidRDefault="000E7752">
      <w:pPr>
        <w:spacing w:before="280" w:after="280" w:line="360" w:lineRule="auto"/>
        <w:jc w:val="both"/>
        <w:rPr>
          <w:rFonts w:ascii="Garamond" w:eastAsia="Garamond" w:hAnsi="Garamond" w:cs="Garamond"/>
          <w:b/>
          <w:bCs/>
          <w:sz w:val="24"/>
          <w:szCs w:val="24"/>
        </w:rPr>
      </w:pPr>
      <w:r>
        <w:rPr>
          <w:rFonts w:ascii="Garamond" w:eastAsia="Garamond" w:hAnsi="Garamond" w:cs="Garamond"/>
          <w:b/>
          <w:bCs/>
          <w:sz w:val="24"/>
          <w:szCs w:val="24"/>
        </w:rPr>
        <w:t>6</w:t>
      </w:r>
      <w:r w:rsidR="003D14C2">
        <w:rPr>
          <w:rFonts w:ascii="Garamond" w:eastAsia="Garamond" w:hAnsi="Garamond" w:cs="Garamond"/>
          <w:b/>
          <w:bCs/>
          <w:sz w:val="24"/>
          <w:szCs w:val="24"/>
        </w:rPr>
        <w:t>.</w:t>
      </w:r>
      <w:r>
        <w:rPr>
          <w:rFonts w:ascii="Garamond" w:eastAsia="Garamond" w:hAnsi="Garamond" w:cs="Garamond"/>
          <w:b/>
          <w:bCs/>
          <w:sz w:val="24"/>
          <w:szCs w:val="24"/>
        </w:rPr>
        <w:t>0</w:t>
      </w:r>
      <w:r w:rsidR="003D14C2">
        <w:rPr>
          <w:rFonts w:ascii="Garamond" w:eastAsia="Garamond" w:hAnsi="Garamond" w:cs="Garamond"/>
          <w:b/>
          <w:bCs/>
          <w:sz w:val="24"/>
          <w:szCs w:val="24"/>
        </w:rPr>
        <w:t>. Recommendations</w:t>
      </w:r>
    </w:p>
    <w:p w14:paraId="2460AFAB" w14:textId="6BE19B7A" w:rsidR="000E7752" w:rsidRPr="000E7752" w:rsidRDefault="000E7752">
      <w:pPr>
        <w:spacing w:before="280" w:after="280" w:line="360" w:lineRule="auto"/>
        <w:jc w:val="both"/>
        <w:rPr>
          <w:rFonts w:ascii="Garamond" w:eastAsia="Garamond" w:hAnsi="Garamond" w:cs="Garamond"/>
          <w:bCs/>
          <w:sz w:val="24"/>
          <w:szCs w:val="24"/>
        </w:rPr>
      </w:pPr>
      <w:r w:rsidRPr="000E7752">
        <w:rPr>
          <w:rFonts w:ascii="Garamond" w:eastAsia="Garamond" w:hAnsi="Garamond" w:cs="Garamond"/>
          <w:bCs/>
          <w:sz w:val="24"/>
          <w:szCs w:val="24"/>
        </w:rPr>
        <w:t>Based on the study, the following recommendations are suggested:</w:t>
      </w:r>
    </w:p>
    <w:p w14:paraId="6791CCA9" w14:textId="77777777" w:rsidR="00203701" w:rsidRDefault="003D14C2">
      <w:pPr>
        <w:numPr>
          <w:ilvl w:val="0"/>
          <w:numId w:val="1"/>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Strengthen</w:t>
      </w:r>
      <w:r>
        <w:rPr>
          <w:rFonts w:ascii="Garamond" w:eastAsia="Garamond" w:hAnsi="Garamond" w:cs="Garamond"/>
          <w:b/>
          <w:bCs/>
          <w:color w:val="000000"/>
          <w:sz w:val="24"/>
          <w:szCs w:val="24"/>
        </w:rPr>
        <w:t xml:space="preserve"> flood management and early warning systems:</w:t>
      </w:r>
      <w:r>
        <w:rPr>
          <w:rFonts w:ascii="Garamond" w:eastAsia="Garamond" w:hAnsi="Garamond" w:cs="Garamond"/>
          <w:color w:val="000000"/>
          <w:sz w:val="24"/>
          <w:szCs w:val="24"/>
        </w:rPr>
        <w:t xml:space="preserve"> Implement community-based early warning systems, improve drainage infrastructure, and enforce land-use regulations to prevent settlement in high-risk floodplains. </w:t>
      </w:r>
    </w:p>
    <w:p w14:paraId="5F656A0D" w14:textId="77777777" w:rsidR="00203701" w:rsidRDefault="003D14C2">
      <w:pPr>
        <w:numPr>
          <w:ilvl w:val="0"/>
          <w:numId w:val="1"/>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b/>
          <w:bCs/>
          <w:color w:val="000000"/>
          <w:sz w:val="24"/>
          <w:szCs w:val="24"/>
        </w:rPr>
        <w:t>Promote climate-smart agriculture (CSA):</w:t>
      </w:r>
      <w:r>
        <w:rPr>
          <w:rFonts w:ascii="Garamond" w:eastAsia="Garamond" w:hAnsi="Garamond" w:cs="Garamond"/>
          <w:color w:val="000000"/>
          <w:sz w:val="24"/>
          <w:szCs w:val="24"/>
        </w:rPr>
        <w:t xml:space="preserve"> Encourage adoption of drought- and flood-resistant crop varieties, improved irrigation me</w:t>
      </w:r>
      <w:bookmarkStart w:id="4" w:name="_GoBack"/>
      <w:bookmarkEnd w:id="4"/>
      <w:r>
        <w:rPr>
          <w:rFonts w:ascii="Garamond" w:eastAsia="Garamond" w:hAnsi="Garamond" w:cs="Garamond"/>
          <w:color w:val="000000"/>
          <w:sz w:val="24"/>
          <w:szCs w:val="24"/>
        </w:rPr>
        <w:t xml:space="preserve">thods, and sustainable soil management practices to enhance resilience and productivity. </w:t>
      </w:r>
    </w:p>
    <w:p w14:paraId="50A25BD3" w14:textId="77777777" w:rsidR="00203701" w:rsidRDefault="003D14C2">
      <w:pPr>
        <w:numPr>
          <w:ilvl w:val="0"/>
          <w:numId w:val="1"/>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b/>
          <w:bCs/>
          <w:color w:val="000000"/>
          <w:sz w:val="24"/>
          <w:szCs w:val="24"/>
        </w:rPr>
        <w:t>Enhance livelihood diversification:</w:t>
      </w:r>
      <w:r>
        <w:rPr>
          <w:rFonts w:ascii="Garamond" w:eastAsia="Garamond" w:hAnsi="Garamond" w:cs="Garamond"/>
          <w:color w:val="000000"/>
          <w:sz w:val="24"/>
          <w:szCs w:val="24"/>
        </w:rPr>
        <w:t xml:space="preserve"> Support households to diversify income sources beyond agriculture and livestock, such as small-scale enterprises and value addition, to reduce vulnerability to climate shocks. </w:t>
      </w:r>
    </w:p>
    <w:p w14:paraId="7FA98517" w14:textId="77777777" w:rsidR="00203701" w:rsidRDefault="003D14C2">
      <w:pPr>
        <w:numPr>
          <w:ilvl w:val="0"/>
          <w:numId w:val="1"/>
        </w:numPr>
        <w:pBdr>
          <w:top w:val="nil"/>
          <w:left w:val="nil"/>
          <w:bottom w:val="nil"/>
          <w:right w:val="nil"/>
          <w:between w:val="nil"/>
        </w:pBdr>
        <w:spacing w:after="280" w:line="360" w:lineRule="auto"/>
        <w:jc w:val="both"/>
        <w:rPr>
          <w:rFonts w:ascii="Garamond" w:eastAsia="Garamond" w:hAnsi="Garamond" w:cs="Garamond"/>
          <w:color w:val="000000"/>
          <w:sz w:val="24"/>
          <w:szCs w:val="24"/>
        </w:rPr>
      </w:pPr>
      <w:r>
        <w:rPr>
          <w:rFonts w:ascii="Garamond" w:eastAsia="Garamond" w:hAnsi="Garamond" w:cs="Garamond"/>
          <w:b/>
          <w:bCs/>
          <w:color w:val="000000"/>
          <w:sz w:val="24"/>
          <w:szCs w:val="24"/>
        </w:rPr>
        <w:t>Improve policy support and community capacity building:</w:t>
      </w:r>
      <w:r>
        <w:rPr>
          <w:rFonts w:ascii="Garamond" w:eastAsia="Garamond" w:hAnsi="Garamond" w:cs="Garamond"/>
          <w:color w:val="000000"/>
          <w:sz w:val="24"/>
          <w:szCs w:val="24"/>
        </w:rPr>
        <w:t xml:space="preserve"> Strengthen institutional frameworks, increase funding for adaptation programs, and provide training on disaster preparedness, resource management, and food security strategies.</w:t>
      </w:r>
    </w:p>
    <w:p w14:paraId="21DDC120" w14:textId="77777777" w:rsidR="000E7752" w:rsidRPr="000E7752" w:rsidRDefault="000E7752" w:rsidP="000E7752">
      <w:pPr>
        <w:rPr>
          <w:rFonts w:eastAsiaTheme="minorHAnsi"/>
          <w:b/>
        </w:rPr>
      </w:pPr>
      <w:bookmarkStart w:id="5" w:name="_Hlk220937150"/>
      <w:r w:rsidRPr="000E7752">
        <w:rPr>
          <w:rFonts w:eastAsiaTheme="minorHAnsi"/>
          <w:b/>
        </w:rPr>
        <w:t xml:space="preserve">Consent </w:t>
      </w:r>
    </w:p>
    <w:p w14:paraId="4F547AC7" w14:textId="32237508" w:rsidR="000E7752" w:rsidRPr="000E7752" w:rsidRDefault="000E7752" w:rsidP="000E7752">
      <w:pPr>
        <w:rPr>
          <w:rFonts w:eastAsiaTheme="minorHAnsi"/>
        </w:rPr>
      </w:pPr>
      <w:r w:rsidRPr="000E7752">
        <w:rPr>
          <w:rFonts w:eastAsiaTheme="minorHAnsi"/>
        </w:rPr>
        <w:t>As per international standards or university standards</w:t>
      </w:r>
      <w:r w:rsidRPr="000E7752">
        <w:rPr>
          <w:rFonts w:eastAsiaTheme="minorHAnsi"/>
          <w:highlight w:val="yellow"/>
        </w:rPr>
        <w:t>, respondents’ written</w:t>
      </w:r>
      <w:r w:rsidRPr="000E7752">
        <w:rPr>
          <w:rFonts w:eastAsiaTheme="minorHAnsi"/>
        </w:rPr>
        <w:t xml:space="preserve"> consent has been collected and preserved by the author(s).</w:t>
      </w:r>
      <w:bookmarkEnd w:id="5"/>
    </w:p>
    <w:p w14:paraId="7B525D99" w14:textId="77777777" w:rsidR="000E7752" w:rsidRDefault="000E7752" w:rsidP="000E7752">
      <w:pPr>
        <w:rPr>
          <w:b/>
        </w:rPr>
      </w:pPr>
    </w:p>
    <w:p w14:paraId="22C13C74" w14:textId="76F6F643" w:rsidR="000E7752" w:rsidRPr="000E7752" w:rsidRDefault="000E7752" w:rsidP="000E7752">
      <w:pPr>
        <w:rPr>
          <w:b/>
        </w:rPr>
      </w:pPr>
      <w:r w:rsidRPr="000E7752">
        <w:rPr>
          <w:b/>
        </w:rPr>
        <w:t>Disclaimer (Artificial intelligence)</w:t>
      </w:r>
    </w:p>
    <w:p w14:paraId="2713EF74" w14:textId="77777777" w:rsidR="000E7752" w:rsidRDefault="000E7752" w:rsidP="000E7752">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66F063E0" w14:textId="77777777" w:rsidR="000E7752" w:rsidRDefault="000E7752">
      <w:pPr>
        <w:spacing w:before="280" w:after="280" w:line="360" w:lineRule="auto"/>
        <w:jc w:val="both"/>
        <w:rPr>
          <w:rFonts w:ascii="Garamond" w:eastAsia="Garamond" w:hAnsi="Garamond" w:cs="Garamond"/>
          <w:b/>
          <w:bCs/>
          <w:sz w:val="24"/>
          <w:szCs w:val="24"/>
        </w:rPr>
      </w:pPr>
    </w:p>
    <w:p w14:paraId="085AE1A3" w14:textId="77777777" w:rsidR="000E7752" w:rsidRDefault="000E7752">
      <w:pPr>
        <w:spacing w:before="280" w:after="280" w:line="360" w:lineRule="auto"/>
        <w:jc w:val="both"/>
        <w:rPr>
          <w:rFonts w:ascii="Garamond" w:eastAsia="Garamond" w:hAnsi="Garamond" w:cs="Garamond"/>
          <w:b/>
          <w:bCs/>
          <w:sz w:val="24"/>
          <w:szCs w:val="24"/>
        </w:rPr>
      </w:pPr>
    </w:p>
    <w:p w14:paraId="02BE8B40" w14:textId="77777777" w:rsidR="000E7752" w:rsidRDefault="000E7752">
      <w:pPr>
        <w:spacing w:before="280" w:after="280" w:line="360" w:lineRule="auto"/>
        <w:jc w:val="both"/>
        <w:rPr>
          <w:rFonts w:ascii="Garamond" w:eastAsia="Garamond" w:hAnsi="Garamond" w:cs="Garamond"/>
          <w:b/>
          <w:bCs/>
          <w:sz w:val="24"/>
          <w:szCs w:val="24"/>
        </w:rPr>
      </w:pPr>
    </w:p>
    <w:p w14:paraId="4A217A20" w14:textId="77777777" w:rsidR="000E7752" w:rsidRDefault="000E7752">
      <w:pPr>
        <w:spacing w:before="280" w:after="280" w:line="360" w:lineRule="auto"/>
        <w:jc w:val="both"/>
        <w:rPr>
          <w:rFonts w:ascii="Garamond" w:eastAsia="Garamond" w:hAnsi="Garamond" w:cs="Garamond"/>
          <w:b/>
          <w:bCs/>
          <w:sz w:val="24"/>
          <w:szCs w:val="24"/>
        </w:rPr>
      </w:pPr>
    </w:p>
    <w:p w14:paraId="345E1F50" w14:textId="62F0C77A" w:rsidR="00203701" w:rsidRDefault="003D14C2">
      <w:pPr>
        <w:spacing w:before="280" w:after="280" w:line="360" w:lineRule="auto"/>
        <w:jc w:val="both"/>
        <w:rPr>
          <w:rFonts w:ascii="Garamond" w:eastAsia="Garamond" w:hAnsi="Garamond" w:cs="Garamond"/>
          <w:b/>
          <w:bCs/>
          <w:sz w:val="24"/>
          <w:szCs w:val="24"/>
        </w:rPr>
      </w:pPr>
      <w:r>
        <w:rPr>
          <w:rFonts w:ascii="Garamond" w:eastAsia="Garamond" w:hAnsi="Garamond" w:cs="Garamond"/>
          <w:b/>
          <w:bCs/>
          <w:sz w:val="24"/>
          <w:szCs w:val="24"/>
        </w:rPr>
        <w:t xml:space="preserve">References </w:t>
      </w:r>
    </w:p>
    <w:p w14:paraId="19E41063"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Anabaraonye</w:t>
      </w:r>
      <w:proofErr w:type="spellEnd"/>
      <w:r>
        <w:rPr>
          <w:rFonts w:ascii="Times New Roman" w:eastAsia="Times New Roman" w:hAnsi="Times New Roman" w:cs="Times New Roman"/>
          <w:color w:val="000000"/>
          <w:sz w:val="24"/>
          <w:szCs w:val="24"/>
        </w:rPr>
        <w:t xml:space="preserve">, B. (2020). Climate change and food security in Nigeria. </w:t>
      </w:r>
      <w:r>
        <w:rPr>
          <w:rFonts w:ascii="Times New Roman" w:eastAsia="Times New Roman" w:hAnsi="Times New Roman" w:cs="Times New Roman"/>
          <w:i/>
          <w:iCs/>
          <w:color w:val="000000"/>
          <w:sz w:val="24"/>
          <w:szCs w:val="24"/>
        </w:rPr>
        <w:t>International Journal of Environmental Studies, 77</w:t>
      </w:r>
      <w:r>
        <w:rPr>
          <w:rFonts w:ascii="Times New Roman" w:eastAsia="Times New Roman" w:hAnsi="Times New Roman" w:cs="Times New Roman"/>
          <w:color w:val="000000"/>
          <w:sz w:val="24"/>
          <w:szCs w:val="24"/>
        </w:rPr>
        <w:t>(4), 1–12.</w:t>
      </w:r>
    </w:p>
    <w:p w14:paraId="5D557503"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Amerasinghe</w:t>
      </w:r>
      <w:proofErr w:type="spellEnd"/>
      <w:r>
        <w:rPr>
          <w:rFonts w:ascii="Times New Roman" w:eastAsia="Times New Roman" w:hAnsi="Times New Roman" w:cs="Times New Roman"/>
          <w:color w:val="000000"/>
          <w:sz w:val="24"/>
          <w:szCs w:val="24"/>
        </w:rPr>
        <w:t xml:space="preserve">, P., et al. (2020). Flood risk management and climate variability. </w:t>
      </w:r>
      <w:r>
        <w:rPr>
          <w:rFonts w:ascii="Times New Roman" w:eastAsia="Times New Roman" w:hAnsi="Times New Roman" w:cs="Times New Roman"/>
          <w:i/>
          <w:iCs/>
          <w:color w:val="000000"/>
          <w:sz w:val="24"/>
          <w:szCs w:val="24"/>
        </w:rPr>
        <w:t>International Water Management Institute (IWMI) Working Paper</w:t>
      </w:r>
      <w:r>
        <w:rPr>
          <w:rFonts w:ascii="Times New Roman" w:eastAsia="Times New Roman" w:hAnsi="Times New Roman" w:cs="Times New Roman"/>
          <w:color w:val="000000"/>
          <w:sz w:val="24"/>
          <w:szCs w:val="24"/>
        </w:rPr>
        <w:t>.</w:t>
      </w:r>
    </w:p>
    <w:p w14:paraId="3276E622"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Food and Agriculture Organization of the United Nations. (2020</w:t>
      </w: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The</w:t>
      </w:r>
      <w:proofErr w:type="gramEnd"/>
      <w:r>
        <w:rPr>
          <w:rFonts w:ascii="Times New Roman" w:eastAsia="Times New Roman" w:hAnsi="Times New Roman" w:cs="Times New Roman"/>
          <w:i/>
          <w:iCs/>
          <w:color w:val="000000"/>
          <w:sz w:val="24"/>
          <w:szCs w:val="24"/>
        </w:rPr>
        <w:t xml:space="preserve"> state of food security and nutrition in the world 2020</w:t>
      </w:r>
      <w:r>
        <w:rPr>
          <w:rFonts w:ascii="Times New Roman" w:eastAsia="Times New Roman" w:hAnsi="Times New Roman" w:cs="Times New Roman"/>
          <w:color w:val="000000"/>
          <w:sz w:val="24"/>
          <w:szCs w:val="24"/>
        </w:rPr>
        <w:t xml:space="preserve">. FAO. </w:t>
      </w:r>
      <w:hyperlink r:id="rId8">
        <w:r w:rsidR="00203701">
          <w:rPr>
            <w:rFonts w:ascii="Times New Roman" w:eastAsia="Times New Roman" w:hAnsi="Times New Roman" w:cs="Times New Roman"/>
            <w:color w:val="0563C1"/>
            <w:sz w:val="24"/>
            <w:szCs w:val="24"/>
            <w:u w:val="single"/>
          </w:rPr>
          <w:t>https://www.fao.org</w:t>
        </w:r>
      </w:hyperlink>
    </w:p>
    <w:p w14:paraId="16676B5D"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Food and Agriculture Organization of the United Nations. (2021a</w:t>
      </w: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The</w:t>
      </w:r>
      <w:proofErr w:type="gramEnd"/>
      <w:r>
        <w:rPr>
          <w:rFonts w:ascii="Times New Roman" w:eastAsia="Times New Roman" w:hAnsi="Times New Roman" w:cs="Times New Roman"/>
          <w:i/>
          <w:iCs/>
          <w:color w:val="000000"/>
          <w:sz w:val="24"/>
          <w:szCs w:val="24"/>
        </w:rPr>
        <w:t xml:space="preserve"> state of food and agriculture 2021</w:t>
      </w:r>
      <w:r>
        <w:rPr>
          <w:rFonts w:ascii="Times New Roman" w:eastAsia="Times New Roman" w:hAnsi="Times New Roman" w:cs="Times New Roman"/>
          <w:color w:val="000000"/>
          <w:sz w:val="24"/>
          <w:szCs w:val="24"/>
        </w:rPr>
        <w:t>. FAO.</w:t>
      </w:r>
    </w:p>
    <w:p w14:paraId="188E8D6E"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Food and Agriculture Organization of the United Nations. (2021b</w:t>
      </w: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The</w:t>
      </w:r>
      <w:proofErr w:type="gramEnd"/>
      <w:r>
        <w:rPr>
          <w:rFonts w:ascii="Times New Roman" w:eastAsia="Times New Roman" w:hAnsi="Times New Roman" w:cs="Times New Roman"/>
          <w:i/>
          <w:iCs/>
          <w:color w:val="000000"/>
          <w:sz w:val="24"/>
          <w:szCs w:val="24"/>
        </w:rPr>
        <w:t xml:space="preserve"> impact of disasters on agriculture and food security</w:t>
      </w:r>
      <w:r>
        <w:rPr>
          <w:rFonts w:ascii="Times New Roman" w:eastAsia="Times New Roman" w:hAnsi="Times New Roman" w:cs="Times New Roman"/>
          <w:color w:val="000000"/>
          <w:sz w:val="24"/>
          <w:szCs w:val="24"/>
        </w:rPr>
        <w:t>. FAO.</w:t>
      </w:r>
    </w:p>
    <w:p w14:paraId="2FD462BE"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Food and Agriculture Organization of the United Nations. (2023</w:t>
      </w: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The</w:t>
      </w:r>
      <w:proofErr w:type="gramEnd"/>
      <w:r>
        <w:rPr>
          <w:rFonts w:ascii="Times New Roman" w:eastAsia="Times New Roman" w:hAnsi="Times New Roman" w:cs="Times New Roman"/>
          <w:i/>
          <w:iCs/>
          <w:color w:val="000000"/>
          <w:sz w:val="24"/>
          <w:szCs w:val="24"/>
        </w:rPr>
        <w:t xml:space="preserve"> state of food security and nutrition in the world 2023</w:t>
      </w:r>
      <w:r>
        <w:rPr>
          <w:rFonts w:ascii="Times New Roman" w:eastAsia="Times New Roman" w:hAnsi="Times New Roman" w:cs="Times New Roman"/>
          <w:color w:val="000000"/>
          <w:sz w:val="24"/>
          <w:szCs w:val="24"/>
        </w:rPr>
        <w:t>. FAO.</w:t>
      </w:r>
    </w:p>
    <w:p w14:paraId="01DCEC31"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FAOSTAT. (2020). </w:t>
      </w:r>
      <w:r>
        <w:rPr>
          <w:rFonts w:ascii="Times New Roman" w:eastAsia="Times New Roman" w:hAnsi="Times New Roman" w:cs="Times New Roman"/>
          <w:i/>
          <w:iCs/>
          <w:color w:val="000000"/>
          <w:sz w:val="24"/>
          <w:szCs w:val="24"/>
        </w:rPr>
        <w:t>FAOSTAT statistical database</w:t>
      </w:r>
      <w:r>
        <w:rPr>
          <w:rFonts w:ascii="Times New Roman" w:eastAsia="Times New Roman" w:hAnsi="Times New Roman" w:cs="Times New Roman"/>
          <w:color w:val="000000"/>
          <w:sz w:val="24"/>
          <w:szCs w:val="24"/>
        </w:rPr>
        <w:t xml:space="preserve">. Food and Agriculture Organization of the United Nations. </w:t>
      </w:r>
      <w:hyperlink r:id="rId9">
        <w:r w:rsidR="00203701">
          <w:rPr>
            <w:rFonts w:ascii="Times New Roman" w:eastAsia="Times New Roman" w:hAnsi="Times New Roman" w:cs="Times New Roman"/>
            <w:color w:val="0563C1"/>
            <w:sz w:val="24"/>
            <w:szCs w:val="24"/>
            <w:u w:val="single"/>
          </w:rPr>
          <w:t>https://www.fao.org/faostat</w:t>
        </w:r>
      </w:hyperlink>
    </w:p>
    <w:p w14:paraId="135DCD20"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Gujarati, D. N., &amp; Porter, D. C. (2009). </w:t>
      </w:r>
      <w:r>
        <w:rPr>
          <w:rFonts w:ascii="Times New Roman" w:eastAsia="Times New Roman" w:hAnsi="Times New Roman" w:cs="Times New Roman"/>
          <w:i/>
          <w:iCs/>
          <w:color w:val="000000"/>
          <w:sz w:val="24"/>
          <w:szCs w:val="24"/>
        </w:rPr>
        <w:t>Basic econometrics</w:t>
      </w:r>
      <w:r>
        <w:rPr>
          <w:rFonts w:ascii="Times New Roman" w:eastAsia="Times New Roman" w:hAnsi="Times New Roman" w:cs="Times New Roman"/>
          <w:color w:val="000000"/>
          <w:sz w:val="24"/>
          <w:szCs w:val="24"/>
        </w:rPr>
        <w:t xml:space="preserve"> (5th Ed.). McGraw-Hill.</w:t>
      </w:r>
    </w:p>
    <w:p w14:paraId="1092F662"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Herrnegger</w:t>
      </w:r>
      <w:proofErr w:type="spellEnd"/>
      <w:r>
        <w:rPr>
          <w:rFonts w:ascii="Times New Roman" w:eastAsia="Times New Roman" w:hAnsi="Times New Roman" w:cs="Times New Roman"/>
          <w:color w:val="000000"/>
          <w:sz w:val="24"/>
          <w:szCs w:val="24"/>
        </w:rPr>
        <w:t xml:space="preserve">, M., et al. (2021). Hydrological changes in the Baringo Basin. </w:t>
      </w:r>
      <w:r>
        <w:rPr>
          <w:rFonts w:ascii="Times New Roman" w:eastAsia="Times New Roman" w:hAnsi="Times New Roman" w:cs="Times New Roman"/>
          <w:i/>
          <w:iCs/>
          <w:color w:val="000000"/>
          <w:sz w:val="24"/>
          <w:szCs w:val="24"/>
        </w:rPr>
        <w:t>Hydrology and Earth System Sciences, 25</w:t>
      </w:r>
      <w:r>
        <w:rPr>
          <w:rFonts w:ascii="Times New Roman" w:eastAsia="Times New Roman" w:hAnsi="Times New Roman" w:cs="Times New Roman"/>
          <w:color w:val="000000"/>
          <w:sz w:val="24"/>
          <w:szCs w:val="24"/>
        </w:rPr>
        <w:t>(3), 1–15.</w:t>
      </w:r>
    </w:p>
    <w:p w14:paraId="7102C918"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Intergovernmental Panel on Climate Change. (2020). </w:t>
      </w:r>
      <w:r>
        <w:rPr>
          <w:rFonts w:ascii="Times New Roman" w:eastAsia="Times New Roman" w:hAnsi="Times New Roman" w:cs="Times New Roman"/>
          <w:i/>
          <w:iCs/>
          <w:color w:val="000000"/>
          <w:sz w:val="24"/>
          <w:szCs w:val="24"/>
        </w:rPr>
        <w:t>Climate change and land: An IPCC special report on climate change, desertification, land degradation, sustainable land management, and food security</w:t>
      </w:r>
      <w:r>
        <w:rPr>
          <w:rFonts w:ascii="Times New Roman" w:eastAsia="Times New Roman" w:hAnsi="Times New Roman" w:cs="Times New Roman"/>
          <w:color w:val="000000"/>
          <w:sz w:val="24"/>
          <w:szCs w:val="24"/>
        </w:rPr>
        <w:t>. IPCC.</w:t>
      </w:r>
    </w:p>
    <w:p w14:paraId="12E9801A"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Intergovernmental Panel on Climate Change. (2022). </w:t>
      </w:r>
      <w:r>
        <w:rPr>
          <w:rFonts w:ascii="Times New Roman" w:eastAsia="Times New Roman" w:hAnsi="Times New Roman" w:cs="Times New Roman"/>
          <w:i/>
          <w:iCs/>
          <w:color w:val="000000"/>
          <w:sz w:val="24"/>
          <w:szCs w:val="24"/>
        </w:rPr>
        <w:t>Climate change 2022: Impacts, adaptation and vulnerability</w:t>
      </w:r>
      <w:r>
        <w:rPr>
          <w:rFonts w:ascii="Times New Roman" w:eastAsia="Times New Roman" w:hAnsi="Times New Roman" w:cs="Times New Roman"/>
          <w:color w:val="000000"/>
          <w:sz w:val="24"/>
          <w:szCs w:val="24"/>
        </w:rPr>
        <w:t>. Cambridge University Press.</w:t>
      </w:r>
    </w:p>
    <w:p w14:paraId="22E42BF4"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Kenya National Bureau of Statistics. (2019). </w:t>
      </w:r>
      <w:r>
        <w:rPr>
          <w:rFonts w:ascii="Times New Roman" w:eastAsia="Times New Roman" w:hAnsi="Times New Roman" w:cs="Times New Roman"/>
          <w:i/>
          <w:iCs/>
          <w:color w:val="000000"/>
          <w:sz w:val="24"/>
          <w:szCs w:val="24"/>
        </w:rPr>
        <w:t>Kenya population and housing census: Volume on food security</w:t>
      </w:r>
      <w:r>
        <w:rPr>
          <w:rFonts w:ascii="Times New Roman" w:eastAsia="Times New Roman" w:hAnsi="Times New Roman" w:cs="Times New Roman"/>
          <w:color w:val="000000"/>
          <w:sz w:val="24"/>
          <w:szCs w:val="24"/>
        </w:rPr>
        <w:t>. KNBS.</w:t>
      </w:r>
    </w:p>
    <w:p w14:paraId="2677068F"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Kenya Red Cross Society. (2019). </w:t>
      </w:r>
      <w:r>
        <w:rPr>
          <w:rFonts w:ascii="Times New Roman" w:eastAsia="Times New Roman" w:hAnsi="Times New Roman" w:cs="Times New Roman"/>
          <w:i/>
          <w:iCs/>
          <w:color w:val="000000"/>
          <w:sz w:val="24"/>
          <w:szCs w:val="24"/>
        </w:rPr>
        <w:t>Floods situation report</w:t>
      </w:r>
      <w:r>
        <w:rPr>
          <w:rFonts w:ascii="Times New Roman" w:eastAsia="Times New Roman" w:hAnsi="Times New Roman" w:cs="Times New Roman"/>
          <w:color w:val="000000"/>
          <w:sz w:val="24"/>
          <w:szCs w:val="24"/>
        </w:rPr>
        <w:t>. KRCS.</w:t>
      </w:r>
    </w:p>
    <w:p w14:paraId="3F436A66"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Kimtai</w:t>
      </w:r>
      <w:proofErr w:type="spellEnd"/>
      <w:r>
        <w:rPr>
          <w:rFonts w:ascii="Times New Roman" w:eastAsia="Times New Roman" w:hAnsi="Times New Roman" w:cs="Times New Roman"/>
          <w:color w:val="000000"/>
          <w:sz w:val="24"/>
          <w:szCs w:val="24"/>
        </w:rPr>
        <w:t xml:space="preserve">, A., et al. (2024). Hydro-climatic dynamics of Rift Valley lakes in Kenya. </w:t>
      </w:r>
      <w:r>
        <w:rPr>
          <w:rFonts w:ascii="Times New Roman" w:eastAsia="Times New Roman" w:hAnsi="Times New Roman" w:cs="Times New Roman"/>
          <w:i/>
          <w:iCs/>
          <w:color w:val="000000"/>
          <w:sz w:val="24"/>
          <w:szCs w:val="24"/>
        </w:rPr>
        <w:t>Journal of Hydrology: Regional Studies, 52</w:t>
      </w:r>
      <w:r>
        <w:rPr>
          <w:rFonts w:ascii="Times New Roman" w:eastAsia="Times New Roman" w:hAnsi="Times New Roman" w:cs="Times New Roman"/>
          <w:color w:val="000000"/>
          <w:sz w:val="24"/>
          <w:szCs w:val="24"/>
        </w:rPr>
        <w:t>, 101630.</w:t>
      </w:r>
    </w:p>
    <w:p w14:paraId="1855ABB7"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Muia</w:t>
      </w:r>
      <w:proofErr w:type="spellEnd"/>
      <w:r>
        <w:rPr>
          <w:rFonts w:ascii="Times New Roman" w:eastAsia="Times New Roman" w:hAnsi="Times New Roman" w:cs="Times New Roman"/>
          <w:color w:val="000000"/>
          <w:sz w:val="24"/>
          <w:szCs w:val="24"/>
        </w:rPr>
        <w:t xml:space="preserve">, A. (2021). Flood impacts on agriculture in Kenya. </w:t>
      </w:r>
      <w:r>
        <w:rPr>
          <w:rFonts w:ascii="Times New Roman" w:eastAsia="Times New Roman" w:hAnsi="Times New Roman" w:cs="Times New Roman"/>
          <w:i/>
          <w:iCs/>
          <w:color w:val="000000"/>
          <w:sz w:val="24"/>
          <w:szCs w:val="24"/>
        </w:rPr>
        <w:t>African Journal of Agricultural Research, 16</w:t>
      </w:r>
      <w:r>
        <w:rPr>
          <w:rFonts w:ascii="Times New Roman" w:eastAsia="Times New Roman" w:hAnsi="Times New Roman" w:cs="Times New Roman"/>
          <w:color w:val="000000"/>
          <w:sz w:val="24"/>
          <w:szCs w:val="24"/>
        </w:rPr>
        <w:t>(4), 450–462.</w:t>
      </w:r>
    </w:p>
    <w:p w14:paraId="29A94B19"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Muia</w:t>
      </w:r>
      <w:proofErr w:type="spellEnd"/>
      <w:r>
        <w:rPr>
          <w:rFonts w:ascii="Times New Roman" w:eastAsia="Times New Roman" w:hAnsi="Times New Roman" w:cs="Times New Roman"/>
          <w:color w:val="000000"/>
          <w:sz w:val="24"/>
          <w:szCs w:val="24"/>
        </w:rPr>
        <w:t xml:space="preserve">, A., et al. (2020). Flood events and socioeconomic impacts in Kenya. </w:t>
      </w:r>
      <w:r>
        <w:rPr>
          <w:rFonts w:ascii="Times New Roman" w:eastAsia="Times New Roman" w:hAnsi="Times New Roman" w:cs="Times New Roman"/>
          <w:i/>
          <w:iCs/>
          <w:color w:val="000000"/>
          <w:sz w:val="24"/>
          <w:szCs w:val="24"/>
        </w:rPr>
        <w:t>Journal of Environmental Management, 270</w:t>
      </w:r>
      <w:r>
        <w:rPr>
          <w:rFonts w:ascii="Times New Roman" w:eastAsia="Times New Roman" w:hAnsi="Times New Roman" w:cs="Times New Roman"/>
          <w:color w:val="000000"/>
          <w:sz w:val="24"/>
          <w:szCs w:val="24"/>
        </w:rPr>
        <w:t>, 110–118.</w:t>
      </w:r>
    </w:p>
    <w:p w14:paraId="5EB2B9B9"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Notre Dame Global Adaptation Initiative. (2023). </w:t>
      </w:r>
      <w:r>
        <w:rPr>
          <w:rFonts w:ascii="Times New Roman" w:eastAsia="Times New Roman" w:hAnsi="Times New Roman" w:cs="Times New Roman"/>
          <w:i/>
          <w:iCs/>
          <w:color w:val="000000"/>
          <w:sz w:val="24"/>
          <w:szCs w:val="24"/>
        </w:rPr>
        <w:t>ND-GAIN country index</w:t>
      </w:r>
      <w:r>
        <w:rPr>
          <w:rFonts w:ascii="Times New Roman" w:eastAsia="Times New Roman" w:hAnsi="Times New Roman" w:cs="Times New Roman"/>
          <w:color w:val="000000"/>
          <w:sz w:val="24"/>
          <w:szCs w:val="24"/>
        </w:rPr>
        <w:t xml:space="preserve">. </w:t>
      </w:r>
      <w:hyperlink r:id="rId10">
        <w:r w:rsidR="00203701">
          <w:rPr>
            <w:rFonts w:ascii="Times New Roman" w:eastAsia="Times New Roman" w:hAnsi="Times New Roman" w:cs="Times New Roman"/>
            <w:color w:val="0563C1"/>
            <w:sz w:val="24"/>
            <w:szCs w:val="24"/>
            <w:u w:val="single"/>
          </w:rPr>
          <w:t>https://gain.nd.edu</w:t>
        </w:r>
      </w:hyperlink>
    </w:p>
    <w:p w14:paraId="098BDE87"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Opere</w:t>
      </w:r>
      <w:proofErr w:type="spellEnd"/>
      <w:r>
        <w:rPr>
          <w:rFonts w:ascii="Times New Roman" w:eastAsia="Times New Roman" w:hAnsi="Times New Roman" w:cs="Times New Roman"/>
          <w:color w:val="000000"/>
          <w:sz w:val="24"/>
          <w:szCs w:val="24"/>
        </w:rPr>
        <w:t xml:space="preserve">, A. (2019). Lake Baringo flooding and environmental impacts. </w:t>
      </w:r>
      <w:r>
        <w:rPr>
          <w:rFonts w:ascii="Times New Roman" w:eastAsia="Times New Roman" w:hAnsi="Times New Roman" w:cs="Times New Roman"/>
          <w:i/>
          <w:iCs/>
          <w:color w:val="000000"/>
          <w:sz w:val="24"/>
          <w:szCs w:val="24"/>
        </w:rPr>
        <w:t>Journal of African Earth Sciences, 150</w:t>
      </w:r>
      <w:r>
        <w:rPr>
          <w:rFonts w:ascii="Times New Roman" w:eastAsia="Times New Roman" w:hAnsi="Times New Roman" w:cs="Times New Roman"/>
          <w:color w:val="000000"/>
          <w:sz w:val="24"/>
          <w:szCs w:val="24"/>
        </w:rPr>
        <w:t>, 1–10.</w:t>
      </w:r>
    </w:p>
    <w:p w14:paraId="55E49F3C"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Perez, C., et al. (2019). Food insecurity trends in Sub-Saharan Africa. </w:t>
      </w:r>
      <w:r>
        <w:rPr>
          <w:rFonts w:ascii="Times New Roman" w:eastAsia="Times New Roman" w:hAnsi="Times New Roman" w:cs="Times New Roman"/>
          <w:i/>
          <w:iCs/>
          <w:color w:val="000000"/>
          <w:sz w:val="24"/>
          <w:szCs w:val="24"/>
        </w:rPr>
        <w:t>Global Food Security, 23</w:t>
      </w:r>
      <w:r>
        <w:rPr>
          <w:rFonts w:ascii="Times New Roman" w:eastAsia="Times New Roman" w:hAnsi="Times New Roman" w:cs="Times New Roman"/>
          <w:color w:val="000000"/>
          <w:sz w:val="24"/>
          <w:szCs w:val="24"/>
        </w:rPr>
        <w:t>, 1–9.</w:t>
      </w:r>
    </w:p>
    <w:p w14:paraId="3EBD917F"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Relief Web. (2023). </w:t>
      </w:r>
      <w:r>
        <w:rPr>
          <w:rFonts w:ascii="Times New Roman" w:eastAsia="Times New Roman" w:hAnsi="Times New Roman" w:cs="Times New Roman"/>
          <w:i/>
          <w:iCs/>
          <w:color w:val="000000"/>
          <w:sz w:val="24"/>
          <w:szCs w:val="24"/>
        </w:rPr>
        <w:t>Food security overview and reports</w:t>
      </w:r>
      <w:r>
        <w:rPr>
          <w:rFonts w:ascii="Times New Roman" w:eastAsia="Times New Roman" w:hAnsi="Times New Roman" w:cs="Times New Roman"/>
          <w:color w:val="000000"/>
          <w:sz w:val="24"/>
          <w:szCs w:val="24"/>
        </w:rPr>
        <w:t xml:space="preserve">. </w:t>
      </w:r>
      <w:hyperlink r:id="rId11">
        <w:r w:rsidR="00203701">
          <w:rPr>
            <w:rFonts w:ascii="Times New Roman" w:eastAsia="Times New Roman" w:hAnsi="Times New Roman" w:cs="Times New Roman"/>
            <w:color w:val="0563C1"/>
            <w:sz w:val="24"/>
            <w:szCs w:val="24"/>
            <w:u w:val="single"/>
          </w:rPr>
          <w:t>https://reliefweb.int</w:t>
        </w:r>
      </w:hyperlink>
    </w:p>
    <w:p w14:paraId="098380AB"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Sataloff</w:t>
      </w:r>
      <w:proofErr w:type="spellEnd"/>
      <w:r>
        <w:rPr>
          <w:rFonts w:ascii="Times New Roman" w:eastAsia="Times New Roman" w:hAnsi="Times New Roman" w:cs="Times New Roman"/>
          <w:color w:val="000000"/>
          <w:sz w:val="24"/>
          <w:szCs w:val="24"/>
        </w:rPr>
        <w:t xml:space="preserve">, R. T., &amp; </w:t>
      </w:r>
      <w:proofErr w:type="spellStart"/>
      <w:r>
        <w:rPr>
          <w:rFonts w:ascii="Times New Roman" w:eastAsia="Times New Roman" w:hAnsi="Times New Roman" w:cs="Times New Roman"/>
          <w:color w:val="000000"/>
          <w:sz w:val="24"/>
          <w:szCs w:val="24"/>
        </w:rPr>
        <w:t>Vontela</w:t>
      </w:r>
      <w:proofErr w:type="spellEnd"/>
      <w:r>
        <w:rPr>
          <w:rFonts w:ascii="Times New Roman" w:eastAsia="Times New Roman" w:hAnsi="Times New Roman" w:cs="Times New Roman"/>
          <w:color w:val="000000"/>
          <w:sz w:val="24"/>
          <w:szCs w:val="24"/>
        </w:rPr>
        <w:t xml:space="preserve">, S. (2021). </w:t>
      </w:r>
      <w:r>
        <w:rPr>
          <w:rFonts w:ascii="Times New Roman" w:eastAsia="Times New Roman" w:hAnsi="Times New Roman" w:cs="Times New Roman"/>
          <w:i/>
          <w:iCs/>
          <w:color w:val="000000"/>
          <w:sz w:val="24"/>
          <w:szCs w:val="24"/>
        </w:rPr>
        <w:t>Research methods in social sciences</w:t>
      </w:r>
      <w:r>
        <w:rPr>
          <w:rFonts w:ascii="Times New Roman" w:eastAsia="Times New Roman" w:hAnsi="Times New Roman" w:cs="Times New Roman"/>
          <w:color w:val="000000"/>
          <w:sz w:val="24"/>
          <w:szCs w:val="24"/>
        </w:rPr>
        <w:t>. Springer.</w:t>
      </w:r>
    </w:p>
    <w:p w14:paraId="14EBD732"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United Nations Environment </w:t>
      </w:r>
      <w:proofErr w:type="spellStart"/>
      <w:r>
        <w:rPr>
          <w:rFonts w:ascii="Times New Roman" w:eastAsia="Times New Roman" w:hAnsi="Times New Roman" w:cs="Times New Roman"/>
          <w:color w:val="000000"/>
          <w:sz w:val="24"/>
          <w:szCs w:val="24"/>
        </w:rPr>
        <w:t>Programme</w:t>
      </w:r>
      <w:proofErr w:type="spellEnd"/>
      <w:r>
        <w:rPr>
          <w:rFonts w:ascii="Times New Roman" w:eastAsia="Times New Roman" w:hAnsi="Times New Roman" w:cs="Times New Roman"/>
          <w:color w:val="000000"/>
          <w:sz w:val="24"/>
          <w:szCs w:val="24"/>
        </w:rPr>
        <w:t xml:space="preserve">. (2021). </w:t>
      </w:r>
      <w:r>
        <w:rPr>
          <w:rFonts w:ascii="Times New Roman" w:eastAsia="Times New Roman" w:hAnsi="Times New Roman" w:cs="Times New Roman"/>
          <w:i/>
          <w:iCs/>
          <w:color w:val="000000"/>
          <w:sz w:val="24"/>
          <w:szCs w:val="24"/>
        </w:rPr>
        <w:t>Adaptation gap report 2021</w:t>
      </w:r>
      <w:r>
        <w:rPr>
          <w:rFonts w:ascii="Times New Roman" w:eastAsia="Times New Roman" w:hAnsi="Times New Roman" w:cs="Times New Roman"/>
          <w:color w:val="000000"/>
          <w:sz w:val="24"/>
          <w:szCs w:val="24"/>
        </w:rPr>
        <w:t xml:space="preserve">. UNEP. </w:t>
      </w:r>
      <w:hyperlink r:id="rId12">
        <w:r w:rsidR="00203701">
          <w:rPr>
            <w:rFonts w:ascii="Times New Roman" w:eastAsia="Times New Roman" w:hAnsi="Times New Roman" w:cs="Times New Roman"/>
            <w:color w:val="0563C1"/>
            <w:sz w:val="24"/>
            <w:szCs w:val="24"/>
            <w:u w:val="single"/>
          </w:rPr>
          <w:t>https://www.unep.org</w:t>
        </w:r>
      </w:hyperlink>
    </w:p>
    <w:p w14:paraId="36AB600C"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World Food </w:t>
      </w:r>
      <w:proofErr w:type="spellStart"/>
      <w:r>
        <w:rPr>
          <w:rFonts w:ascii="Times New Roman" w:eastAsia="Times New Roman" w:hAnsi="Times New Roman" w:cs="Times New Roman"/>
          <w:color w:val="000000"/>
          <w:sz w:val="24"/>
          <w:szCs w:val="24"/>
        </w:rPr>
        <w:t>Programme</w:t>
      </w:r>
      <w:proofErr w:type="spellEnd"/>
      <w:r>
        <w:rPr>
          <w:rFonts w:ascii="Times New Roman" w:eastAsia="Times New Roman" w:hAnsi="Times New Roman" w:cs="Times New Roman"/>
          <w:color w:val="000000"/>
          <w:sz w:val="24"/>
          <w:szCs w:val="24"/>
        </w:rPr>
        <w:t xml:space="preserve">. (2020). </w:t>
      </w:r>
      <w:r>
        <w:rPr>
          <w:rFonts w:ascii="Times New Roman" w:eastAsia="Times New Roman" w:hAnsi="Times New Roman" w:cs="Times New Roman"/>
          <w:i/>
          <w:iCs/>
          <w:color w:val="000000"/>
          <w:sz w:val="24"/>
          <w:szCs w:val="24"/>
        </w:rPr>
        <w:t>Food security and climate change report</w:t>
      </w:r>
      <w:r>
        <w:rPr>
          <w:rFonts w:ascii="Times New Roman" w:eastAsia="Times New Roman" w:hAnsi="Times New Roman" w:cs="Times New Roman"/>
          <w:color w:val="000000"/>
          <w:sz w:val="24"/>
          <w:szCs w:val="24"/>
        </w:rPr>
        <w:t>. WFP.</w:t>
      </w:r>
    </w:p>
    <w:p w14:paraId="67907FC1"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World Food </w:t>
      </w:r>
      <w:proofErr w:type="spellStart"/>
      <w:r>
        <w:rPr>
          <w:rFonts w:ascii="Times New Roman" w:eastAsia="Times New Roman" w:hAnsi="Times New Roman" w:cs="Times New Roman"/>
          <w:color w:val="000000"/>
          <w:sz w:val="24"/>
          <w:szCs w:val="24"/>
        </w:rPr>
        <w:t>Programme</w:t>
      </w:r>
      <w:proofErr w:type="spellEnd"/>
      <w:r>
        <w:rPr>
          <w:rFonts w:ascii="Times New Roman" w:eastAsia="Times New Roman" w:hAnsi="Times New Roman" w:cs="Times New Roman"/>
          <w:color w:val="000000"/>
          <w:sz w:val="24"/>
          <w:szCs w:val="24"/>
        </w:rPr>
        <w:t xml:space="preserve"> &amp; UNICEF. (2018). </w:t>
      </w:r>
      <w:r>
        <w:rPr>
          <w:rFonts w:ascii="Times New Roman" w:eastAsia="Times New Roman" w:hAnsi="Times New Roman" w:cs="Times New Roman"/>
          <w:i/>
          <w:iCs/>
          <w:color w:val="000000"/>
          <w:sz w:val="24"/>
          <w:szCs w:val="24"/>
        </w:rPr>
        <w:t>Global hunger statistics report</w:t>
      </w:r>
      <w:r>
        <w:rPr>
          <w:rFonts w:ascii="Times New Roman" w:eastAsia="Times New Roman" w:hAnsi="Times New Roman" w:cs="Times New Roman"/>
          <w:color w:val="000000"/>
          <w:sz w:val="24"/>
          <w:szCs w:val="24"/>
        </w:rPr>
        <w:t>. WFP.</w:t>
      </w:r>
    </w:p>
    <w:p w14:paraId="2D81EF53"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World Health Organization. (2024). </w:t>
      </w:r>
      <w:r>
        <w:rPr>
          <w:rFonts w:ascii="Times New Roman" w:eastAsia="Times New Roman" w:hAnsi="Times New Roman" w:cs="Times New Roman"/>
          <w:i/>
          <w:iCs/>
          <w:color w:val="000000"/>
          <w:sz w:val="24"/>
          <w:szCs w:val="24"/>
        </w:rPr>
        <w:t>Flooding and health risks</w:t>
      </w:r>
      <w:r>
        <w:rPr>
          <w:rFonts w:ascii="Times New Roman" w:eastAsia="Times New Roman" w:hAnsi="Times New Roman" w:cs="Times New Roman"/>
          <w:color w:val="000000"/>
          <w:sz w:val="24"/>
          <w:szCs w:val="24"/>
        </w:rPr>
        <w:t>. WHO.</w:t>
      </w:r>
    </w:p>
    <w:p w14:paraId="6CC6FF51"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World Health Organization &amp; World Food </w:t>
      </w:r>
      <w:proofErr w:type="spellStart"/>
      <w:r>
        <w:rPr>
          <w:rFonts w:ascii="Times New Roman" w:eastAsia="Times New Roman" w:hAnsi="Times New Roman" w:cs="Times New Roman"/>
          <w:color w:val="000000"/>
          <w:sz w:val="24"/>
          <w:szCs w:val="24"/>
        </w:rPr>
        <w:t>Programme</w:t>
      </w:r>
      <w:proofErr w:type="spellEnd"/>
      <w:r>
        <w:rPr>
          <w:rFonts w:ascii="Times New Roman" w:eastAsia="Times New Roman" w:hAnsi="Times New Roman" w:cs="Times New Roman"/>
          <w:color w:val="000000"/>
          <w:sz w:val="24"/>
          <w:szCs w:val="24"/>
        </w:rPr>
        <w:t xml:space="preserve">. (2020). </w:t>
      </w:r>
      <w:r>
        <w:rPr>
          <w:rFonts w:ascii="Times New Roman" w:eastAsia="Times New Roman" w:hAnsi="Times New Roman" w:cs="Times New Roman"/>
          <w:i/>
          <w:iCs/>
          <w:color w:val="000000"/>
          <w:sz w:val="24"/>
          <w:szCs w:val="24"/>
        </w:rPr>
        <w:t>Global food security and nutrition report</w:t>
      </w:r>
      <w:r>
        <w:rPr>
          <w:rFonts w:ascii="Times New Roman" w:eastAsia="Times New Roman" w:hAnsi="Times New Roman" w:cs="Times New Roman"/>
          <w:color w:val="000000"/>
          <w:sz w:val="24"/>
          <w:szCs w:val="24"/>
        </w:rPr>
        <w:t>. WHO &amp; WFP.</w:t>
      </w:r>
    </w:p>
    <w:p w14:paraId="293DC129" w14:textId="77777777" w:rsidR="00203701" w:rsidRDefault="00203701">
      <w:pPr>
        <w:spacing w:line="360" w:lineRule="auto"/>
        <w:ind w:left="720" w:hanging="720"/>
        <w:jc w:val="both"/>
        <w:rPr>
          <w:rFonts w:ascii="Garamond" w:eastAsia="Garamond" w:hAnsi="Garamond" w:cs="Garamond"/>
          <w:sz w:val="24"/>
          <w:szCs w:val="24"/>
        </w:rPr>
      </w:pPr>
    </w:p>
    <w:sectPr w:rsidR="00203701">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02137" w14:textId="77777777" w:rsidR="00B61643" w:rsidRDefault="00B61643" w:rsidP="00B606BF">
      <w:pPr>
        <w:spacing w:after="0" w:line="240" w:lineRule="auto"/>
      </w:pPr>
      <w:r>
        <w:separator/>
      </w:r>
    </w:p>
  </w:endnote>
  <w:endnote w:type="continuationSeparator" w:id="0">
    <w:p w14:paraId="27C8F5DB" w14:textId="77777777" w:rsidR="00B61643" w:rsidRDefault="00B61643" w:rsidP="00B60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6DAF7714-CA71-4417-8E32-EE20C910C6CA}"/>
    <w:embedBold r:id="rId2" w:fontKey="{2A59FE5E-7CB1-4E17-8D2F-4AA417725E5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B683179A-4BAA-49FB-B2E9-3FAEC7A5DA81}"/>
  </w:font>
  <w:font w:name="Tahoma">
    <w:panose1 w:val="020B0604030504040204"/>
    <w:charset w:val="00"/>
    <w:family w:val="swiss"/>
    <w:pitch w:val="variable"/>
    <w:sig w:usb0="E1002EFF" w:usb1="C000605B" w:usb2="00000029" w:usb3="00000000" w:csb0="000101FF" w:csb1="00000000"/>
    <w:embedRegular r:id="rId4" w:fontKey="{1C6E6D73-5E2D-4CD3-94FB-864F8A1CE3F6}"/>
  </w:font>
  <w:font w:name="Garamond">
    <w:panose1 w:val="02020404030301010803"/>
    <w:charset w:val="00"/>
    <w:family w:val="roman"/>
    <w:pitch w:val="variable"/>
    <w:sig w:usb0="00000287" w:usb1="00000000" w:usb2="00000000" w:usb3="00000000" w:csb0="0000009F" w:csb1="00000000"/>
    <w:embedRegular r:id="rId5" w:fontKey="{FE663E1B-E811-4501-919B-F31BA379197B}"/>
    <w:embedBold r:id="rId6" w:fontKey="{C7546F29-2064-422F-8AD9-97722203EC6C}"/>
    <w:embedItalic r:id="rId7" w:fontKey="{B507907D-6897-4479-B2EF-0BFBFA1F6320}"/>
  </w:font>
  <w:font w:name="Cambria">
    <w:panose1 w:val="02040503050406030204"/>
    <w:charset w:val="00"/>
    <w:family w:val="roman"/>
    <w:pitch w:val="variable"/>
    <w:sig w:usb0="E00006FF" w:usb1="420024FF" w:usb2="02000000" w:usb3="00000000" w:csb0="0000019F" w:csb1="00000000"/>
    <w:embedRegular r:id="rId8" w:fontKey="{E5B73C77-47E6-491F-B71B-083BAF95F945}"/>
    <w:embedBold r:id="rId9" w:fontKey="{F11D27C6-52CB-467F-8CFE-C5747C0214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7CED0" w14:textId="77777777" w:rsidR="00B606BF" w:rsidRDefault="00B606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77A1B" w14:textId="77777777" w:rsidR="00B606BF" w:rsidRDefault="00B606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22575" w14:textId="77777777" w:rsidR="00B606BF" w:rsidRDefault="00B606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F51395" w14:textId="77777777" w:rsidR="00B61643" w:rsidRDefault="00B61643" w:rsidP="00B606BF">
      <w:pPr>
        <w:spacing w:after="0" w:line="240" w:lineRule="auto"/>
      </w:pPr>
      <w:r>
        <w:separator/>
      </w:r>
    </w:p>
  </w:footnote>
  <w:footnote w:type="continuationSeparator" w:id="0">
    <w:p w14:paraId="13CF579F" w14:textId="77777777" w:rsidR="00B61643" w:rsidRDefault="00B61643" w:rsidP="00B606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8646B" w14:textId="1794B1B1" w:rsidR="00B606BF" w:rsidRDefault="00B61643">
    <w:pPr>
      <w:pStyle w:val="Header"/>
    </w:pPr>
    <w:r>
      <w:rPr>
        <w:noProof/>
      </w:rPr>
      <w:pict w14:anchorId="2DD320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65756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6018B" w14:textId="3B7CE06F" w:rsidR="00B606BF" w:rsidRDefault="00B61643">
    <w:pPr>
      <w:pStyle w:val="Header"/>
    </w:pPr>
    <w:r>
      <w:rPr>
        <w:noProof/>
      </w:rPr>
      <w:pict w14:anchorId="4978D4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65756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53F16" w14:textId="2EA417AB" w:rsidR="00B606BF" w:rsidRDefault="00B61643">
    <w:pPr>
      <w:pStyle w:val="Header"/>
    </w:pPr>
    <w:r>
      <w:rPr>
        <w:noProof/>
      </w:rPr>
      <w:pict w14:anchorId="75CC03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65756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984BA7"/>
    <w:multiLevelType w:val="multilevel"/>
    <w:tmpl w:val="14F8B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701"/>
    <w:rsid w:val="00065152"/>
    <w:rsid w:val="000E7752"/>
    <w:rsid w:val="00203701"/>
    <w:rsid w:val="00294566"/>
    <w:rsid w:val="002B4813"/>
    <w:rsid w:val="002E4407"/>
    <w:rsid w:val="003C21CE"/>
    <w:rsid w:val="003C4388"/>
    <w:rsid w:val="003D14C2"/>
    <w:rsid w:val="00410929"/>
    <w:rsid w:val="005252E8"/>
    <w:rsid w:val="00554131"/>
    <w:rsid w:val="00796D56"/>
    <w:rsid w:val="0085150E"/>
    <w:rsid w:val="009028BC"/>
    <w:rsid w:val="0099756F"/>
    <w:rsid w:val="00B606BF"/>
    <w:rsid w:val="00B61643"/>
    <w:rsid w:val="00B70425"/>
    <w:rsid w:val="00BD46BA"/>
    <w:rsid w:val="00C13443"/>
    <w:rsid w:val="00D40C89"/>
    <w:rsid w:val="00D93A02"/>
    <w:rsid w:val="00E67FA4"/>
    <w:rsid w:val="00F308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C4F881"/>
  <w15:docId w15:val="{82172060-0137-4389-AC2C-2BAB42F5F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40" w:after="0"/>
      <w:outlineLvl w:val="2"/>
    </w:pPr>
    <w:rPr>
      <w:color w:val="1E4D78"/>
      <w:sz w:val="24"/>
      <w:szCs w:val="24"/>
    </w:rPr>
  </w:style>
  <w:style w:type="paragraph" w:styleId="Heading4">
    <w:name w:val="heading 4"/>
    <w:basedOn w:val="Normal"/>
    <w:next w:val="Normal"/>
    <w:uiPriority w:val="9"/>
    <w:semiHidden/>
    <w:unhideWhenUsed/>
    <w:qFormat/>
    <w:pPr>
      <w:spacing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B606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06BF"/>
  </w:style>
  <w:style w:type="paragraph" w:styleId="Footer">
    <w:name w:val="footer"/>
    <w:basedOn w:val="Normal"/>
    <w:link w:val="FooterChar"/>
    <w:uiPriority w:val="99"/>
    <w:unhideWhenUsed/>
    <w:rsid w:val="00B606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06BF"/>
  </w:style>
  <w:style w:type="paragraph" w:styleId="BalloonText">
    <w:name w:val="Balloon Text"/>
    <w:basedOn w:val="Normal"/>
    <w:link w:val="BalloonTextChar"/>
    <w:uiPriority w:val="99"/>
    <w:semiHidden/>
    <w:unhideWhenUsed/>
    <w:rsid w:val="00E67F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FA4"/>
    <w:rPr>
      <w:rFonts w:ascii="Tahoma" w:hAnsi="Tahoma" w:cs="Tahoma"/>
      <w:sz w:val="16"/>
      <w:szCs w:val="16"/>
    </w:rPr>
  </w:style>
  <w:style w:type="character" w:styleId="CommentReference">
    <w:name w:val="annotation reference"/>
    <w:basedOn w:val="DefaultParagraphFont"/>
    <w:uiPriority w:val="99"/>
    <w:semiHidden/>
    <w:unhideWhenUsed/>
    <w:rsid w:val="00E67FA4"/>
    <w:rPr>
      <w:sz w:val="16"/>
      <w:szCs w:val="16"/>
    </w:rPr>
  </w:style>
  <w:style w:type="paragraph" w:styleId="CommentText">
    <w:name w:val="annotation text"/>
    <w:basedOn w:val="Normal"/>
    <w:link w:val="CommentTextChar"/>
    <w:uiPriority w:val="99"/>
    <w:semiHidden/>
    <w:unhideWhenUsed/>
    <w:rsid w:val="00E67FA4"/>
    <w:pPr>
      <w:spacing w:line="240" w:lineRule="auto"/>
    </w:pPr>
    <w:rPr>
      <w:sz w:val="20"/>
      <w:szCs w:val="20"/>
    </w:rPr>
  </w:style>
  <w:style w:type="character" w:customStyle="1" w:styleId="CommentTextChar">
    <w:name w:val="Comment Text Char"/>
    <w:basedOn w:val="DefaultParagraphFont"/>
    <w:link w:val="CommentText"/>
    <w:uiPriority w:val="99"/>
    <w:semiHidden/>
    <w:rsid w:val="00E67FA4"/>
    <w:rPr>
      <w:sz w:val="20"/>
      <w:szCs w:val="20"/>
    </w:rPr>
  </w:style>
  <w:style w:type="paragraph" w:styleId="CommentSubject">
    <w:name w:val="annotation subject"/>
    <w:basedOn w:val="CommentText"/>
    <w:next w:val="CommentText"/>
    <w:link w:val="CommentSubjectChar"/>
    <w:uiPriority w:val="99"/>
    <w:semiHidden/>
    <w:unhideWhenUsed/>
    <w:rsid w:val="00E67FA4"/>
    <w:rPr>
      <w:b/>
      <w:bCs/>
    </w:rPr>
  </w:style>
  <w:style w:type="character" w:customStyle="1" w:styleId="CommentSubjectChar">
    <w:name w:val="Comment Subject Char"/>
    <w:basedOn w:val="CommentTextChar"/>
    <w:link w:val="CommentSubject"/>
    <w:uiPriority w:val="99"/>
    <w:semiHidden/>
    <w:rsid w:val="00E67FA4"/>
    <w:rPr>
      <w:b/>
      <w:bCs/>
      <w:sz w:val="20"/>
      <w:szCs w:val="20"/>
    </w:rPr>
  </w:style>
  <w:style w:type="character" w:styleId="Strong">
    <w:name w:val="Strong"/>
    <w:basedOn w:val="DefaultParagraphFont"/>
    <w:uiPriority w:val="22"/>
    <w:qFormat/>
    <w:rsid w:val="003C4388"/>
    <w:rPr>
      <w:b/>
      <w:bCs/>
    </w:rPr>
  </w:style>
  <w:style w:type="paragraph" w:styleId="NormalWeb">
    <w:name w:val="Normal (Web)"/>
    <w:basedOn w:val="Normal"/>
    <w:uiPriority w:val="99"/>
    <w:semiHidden/>
    <w:unhideWhenUsed/>
    <w:rsid w:val="002E4407"/>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whitespace-normal">
    <w:name w:val="whitespace-normal"/>
    <w:basedOn w:val="DefaultParagraphFont"/>
    <w:rsid w:val="002E4407"/>
  </w:style>
  <w:style w:type="paragraph" w:styleId="ListParagraph">
    <w:name w:val="List Paragraph"/>
    <w:basedOn w:val="Normal"/>
    <w:uiPriority w:val="34"/>
    <w:qFormat/>
    <w:rsid w:val="000E77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083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o.org"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unep.org"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liefweb.in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gain.nd.ed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o.org/faostat"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17</Pages>
  <Words>4963</Words>
  <Characters>28290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Ndolo Henry</dc:creator>
  <cp:lastModifiedBy>Editor-1183</cp:lastModifiedBy>
  <cp:revision>7</cp:revision>
  <dcterms:created xsi:type="dcterms:W3CDTF">2026-04-07T10:09:00Z</dcterms:created>
  <dcterms:modified xsi:type="dcterms:W3CDTF">2026-04-09T10:46:00Z</dcterms:modified>
</cp:coreProperties>
</file>