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B8729" w14:textId="4A7312E7" w:rsidR="00870714" w:rsidRDefault="003E62A6" w:rsidP="00870714">
      <w:pPr>
        <w:pStyle w:val="Author"/>
        <w:spacing w:line="240" w:lineRule="auto"/>
        <w:jc w:val="center"/>
        <w:rPr>
          <w:rFonts w:ascii="Times New Roman" w:hAnsi="Times New Roman"/>
          <w:bCs/>
          <w:sz w:val="30"/>
          <w:szCs w:val="30"/>
        </w:rPr>
      </w:pPr>
      <w:bookmarkStart w:id="0" w:name="_Hlk209295976"/>
      <w:bookmarkStart w:id="1" w:name="_Hlk209296034"/>
      <w:r w:rsidRPr="00E2563F">
        <w:rPr>
          <w:rFonts w:ascii="Times New Roman" w:hAnsi="Times New Roman"/>
          <w:bCs/>
          <w:sz w:val="30"/>
          <w:szCs w:val="30"/>
        </w:rPr>
        <w:t>Integrated Geo-environmental Assessment of Heavy Metal Contamination</w:t>
      </w:r>
      <w:bookmarkEnd w:id="0"/>
      <w:r w:rsidRPr="00E2563F">
        <w:rPr>
          <w:rFonts w:ascii="Times New Roman" w:hAnsi="Times New Roman"/>
          <w:bCs/>
          <w:sz w:val="30"/>
          <w:szCs w:val="30"/>
        </w:rPr>
        <w:t xml:space="preserve"> in a Municipal Landfill System: </w:t>
      </w:r>
      <w:r w:rsidR="009E709E">
        <w:rPr>
          <w:rFonts w:ascii="Times New Roman" w:hAnsi="Times New Roman"/>
          <w:bCs/>
          <w:sz w:val="30"/>
          <w:szCs w:val="30"/>
        </w:rPr>
        <w:t xml:space="preserve">A </w:t>
      </w:r>
      <w:r w:rsidRPr="00E2563F">
        <w:rPr>
          <w:rFonts w:ascii="Times New Roman" w:hAnsi="Times New Roman"/>
          <w:bCs/>
          <w:sz w:val="30"/>
          <w:szCs w:val="30"/>
        </w:rPr>
        <w:t xml:space="preserve">Case Study from </w:t>
      </w:r>
      <w:proofErr w:type="spellStart"/>
      <w:r w:rsidRPr="00E2563F">
        <w:rPr>
          <w:rFonts w:ascii="Times New Roman" w:hAnsi="Times New Roman"/>
          <w:bCs/>
          <w:sz w:val="30"/>
          <w:szCs w:val="30"/>
        </w:rPr>
        <w:t>Aluu</w:t>
      </w:r>
      <w:proofErr w:type="spellEnd"/>
      <w:r w:rsidRPr="00E2563F">
        <w:rPr>
          <w:rFonts w:ascii="Times New Roman" w:hAnsi="Times New Roman"/>
          <w:bCs/>
          <w:sz w:val="30"/>
          <w:szCs w:val="30"/>
        </w:rPr>
        <w:t xml:space="preserve">, </w:t>
      </w:r>
      <w:proofErr w:type="spellStart"/>
      <w:r w:rsidRPr="00E2563F">
        <w:rPr>
          <w:rFonts w:ascii="Times New Roman" w:hAnsi="Times New Roman"/>
          <w:bCs/>
          <w:sz w:val="30"/>
          <w:szCs w:val="30"/>
        </w:rPr>
        <w:t>Obio-Akpor</w:t>
      </w:r>
      <w:proofErr w:type="spellEnd"/>
      <w:r w:rsidRPr="00E2563F">
        <w:rPr>
          <w:rFonts w:ascii="Times New Roman" w:hAnsi="Times New Roman"/>
          <w:bCs/>
          <w:sz w:val="30"/>
          <w:szCs w:val="30"/>
        </w:rPr>
        <w:t xml:space="preserve"> Local Government Area</w:t>
      </w:r>
      <w:bookmarkEnd w:id="1"/>
    </w:p>
    <w:p w14:paraId="2F46F5D9" w14:textId="77777777" w:rsidR="00DA1049" w:rsidRPr="006D7B0F" w:rsidRDefault="00DA1049" w:rsidP="00870714">
      <w:pPr>
        <w:pStyle w:val="Author"/>
        <w:spacing w:line="240" w:lineRule="auto"/>
        <w:jc w:val="center"/>
        <w:rPr>
          <w:rFonts w:ascii="Times New Roman" w:hAnsi="Times New Roman"/>
          <w:bCs/>
          <w:iCs/>
          <w:kern w:val="28"/>
          <w:sz w:val="32"/>
          <w:szCs w:val="32"/>
        </w:rPr>
      </w:pPr>
    </w:p>
    <w:p w14:paraId="558C5006" w14:textId="77777777" w:rsidR="00DA1049" w:rsidRDefault="00DA1049" w:rsidP="003E62A6">
      <w:pPr>
        <w:ind w:left="720"/>
        <w:jc w:val="right"/>
        <w:rPr>
          <w:rFonts w:ascii="Times New Roman" w:hAnsi="Times New Roman"/>
        </w:rPr>
      </w:pPr>
    </w:p>
    <w:p w14:paraId="65CF2779" w14:textId="77777777" w:rsidR="00DA1049" w:rsidRDefault="00DA1049" w:rsidP="003E62A6">
      <w:pPr>
        <w:ind w:left="720"/>
        <w:jc w:val="right"/>
        <w:rPr>
          <w:rFonts w:ascii="Times New Roman" w:hAnsi="Times New Roman"/>
        </w:rPr>
      </w:pPr>
    </w:p>
    <w:p w14:paraId="20280C84" w14:textId="77777777" w:rsidR="00870714" w:rsidRDefault="00870714" w:rsidP="00870714">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4865992" wp14:editId="19B2A7DA">
                <wp:extent cx="5303520" cy="635"/>
                <wp:effectExtent l="17145" t="13970" r="13335" b="14605"/>
                <wp:docPr id="152093247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BFF9774" id="_x0000_t32" coordsize="21600,21600" o:spt="32" o:oned="t" path="m,l21600,21600e" filled="f">
                <v:path arrowok="t" fillok="f" o:connecttype="none"/>
                <o:lock v:ext="edit" shapetype="t"/>
              </v:shapetype>
              <v:shape id="Straight Arrow Connector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392CDA89" w14:textId="4F5F901A" w:rsidR="00870714" w:rsidRPr="00870714" w:rsidRDefault="00870714" w:rsidP="00870714">
      <w:pPr>
        <w:pStyle w:val="Copyright"/>
        <w:spacing w:after="0" w:line="240" w:lineRule="auto"/>
        <w:jc w:val="both"/>
        <w:rPr>
          <w:rFonts w:ascii="Arial" w:hAnsi="Arial" w:cs="Arial"/>
          <w:b/>
          <w:bCs/>
          <w:sz w:val="22"/>
          <w:szCs w:val="22"/>
        </w:rPr>
      </w:pPr>
      <w:r w:rsidRPr="00870714">
        <w:rPr>
          <w:rFonts w:ascii="Arial" w:hAnsi="Arial" w:cs="Arial"/>
          <w:b/>
          <w:bCs/>
          <w:sz w:val="22"/>
          <w:szCs w:val="22"/>
        </w:rPr>
        <w:t xml:space="preserve">ABSTRACT </w:t>
      </w:r>
    </w:p>
    <w:p w14:paraId="08C8848D" w14:textId="77777777" w:rsidR="00870714" w:rsidRPr="00FB3A86" w:rsidRDefault="00870714" w:rsidP="0087071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870714" w:rsidRPr="001E44FE" w14:paraId="77F620C3" w14:textId="77777777" w:rsidTr="00BF1BD7">
        <w:tc>
          <w:tcPr>
            <w:tcW w:w="9576" w:type="dxa"/>
            <w:shd w:val="clear" w:color="auto" w:fill="F2F2F2"/>
          </w:tcPr>
          <w:p w14:paraId="3C059AE2" w14:textId="5F77832A" w:rsidR="009E709E" w:rsidRPr="009E709E" w:rsidRDefault="009E709E" w:rsidP="001B251D">
            <w:pPr>
              <w:spacing w:after="160" w:line="278" w:lineRule="auto"/>
              <w:jc w:val="both"/>
              <w:rPr>
                <w:rFonts w:ascii="Arial" w:eastAsiaTheme="majorEastAsia" w:hAnsi="Arial" w:cs="Arial"/>
                <w:bCs/>
                <w:lang w:val="en"/>
              </w:rPr>
            </w:pPr>
            <w:r>
              <w:rPr>
                <w:rFonts w:ascii="Arial" w:eastAsiaTheme="majorEastAsia" w:hAnsi="Arial" w:cs="Arial"/>
                <w:b/>
                <w:bCs/>
                <w:lang w:val="en"/>
              </w:rPr>
              <w:t xml:space="preserve">Background: </w:t>
            </w:r>
            <w:r w:rsidRPr="009E709E">
              <w:rPr>
                <w:rFonts w:ascii="Arial" w:eastAsiaTheme="majorEastAsia" w:hAnsi="Arial" w:cs="Arial"/>
                <w:bCs/>
                <w:lang w:val="en"/>
              </w:rPr>
              <w:t>Unregulated dumpsites driven by poor waste management infrastructure facilitate the release and leaching of persistent, toxic heavy metals into soils and groundwater, posing significant long-term environmental and public health risks, particularly in regions such as Nigeria’s Niger Delta.</w:t>
            </w:r>
          </w:p>
          <w:p w14:paraId="4634B33D" w14:textId="2608D5FA" w:rsidR="001B251D" w:rsidRPr="00A95A92" w:rsidRDefault="001B251D" w:rsidP="001B251D">
            <w:pPr>
              <w:spacing w:after="160" w:line="278" w:lineRule="auto"/>
              <w:jc w:val="both"/>
              <w:rPr>
                <w:rFonts w:ascii="Arial" w:hAnsi="Arial" w:cs="Arial"/>
                <w:lang w:val="en"/>
              </w:rPr>
            </w:pPr>
            <w:r w:rsidRPr="00A95A92">
              <w:rPr>
                <w:rFonts w:ascii="Arial" w:eastAsiaTheme="majorEastAsia" w:hAnsi="Arial" w:cs="Arial"/>
                <w:b/>
                <w:bCs/>
                <w:lang w:val="en"/>
              </w:rPr>
              <w:t>Aim:</w:t>
            </w:r>
            <w:r w:rsidRPr="00A95A92">
              <w:rPr>
                <w:rFonts w:ascii="Arial" w:hAnsi="Arial" w:cs="Arial"/>
                <w:lang w:val="en"/>
              </w:rPr>
              <w:t xml:space="preserve"> This study evaluates the extent, spatial distribution, and environmental risk of heavy metal contamination in soils at the </w:t>
            </w:r>
            <w:proofErr w:type="spellStart"/>
            <w:r w:rsidRPr="00A95A92">
              <w:rPr>
                <w:rFonts w:ascii="Arial" w:hAnsi="Arial" w:cs="Arial"/>
                <w:lang w:val="en"/>
              </w:rPr>
              <w:t>Aluu</w:t>
            </w:r>
            <w:proofErr w:type="spellEnd"/>
            <w:r w:rsidRPr="00A95A92">
              <w:rPr>
                <w:rFonts w:ascii="Arial" w:hAnsi="Arial" w:cs="Arial"/>
                <w:lang w:val="en"/>
              </w:rPr>
              <w:t xml:space="preserve"> municipal landfill, </w:t>
            </w:r>
            <w:proofErr w:type="spellStart"/>
            <w:r w:rsidRPr="00A95A92">
              <w:rPr>
                <w:rFonts w:ascii="Arial" w:hAnsi="Arial" w:cs="Arial"/>
                <w:lang w:val="en"/>
              </w:rPr>
              <w:t>Obio-Akpor</w:t>
            </w:r>
            <w:proofErr w:type="spellEnd"/>
            <w:r w:rsidRPr="00A95A92">
              <w:rPr>
                <w:rFonts w:ascii="Arial" w:hAnsi="Arial" w:cs="Arial"/>
                <w:lang w:val="en"/>
              </w:rPr>
              <w:t xml:space="preserve"> Local Government Area, Rivers State, Nigeria a rapidly urbanizing Niger Delta community characterised by high groundwater vulnerability and inadequate solid waste management infrastructure.</w:t>
            </w:r>
          </w:p>
          <w:p w14:paraId="6ECCFDCE" w14:textId="77777777" w:rsidR="001B251D" w:rsidRPr="00A95A92" w:rsidRDefault="001B251D" w:rsidP="001B251D">
            <w:pPr>
              <w:spacing w:after="160" w:line="278" w:lineRule="auto"/>
              <w:jc w:val="both"/>
              <w:rPr>
                <w:rFonts w:ascii="Arial" w:hAnsi="Arial" w:cs="Arial"/>
                <w:lang w:val="en"/>
              </w:rPr>
            </w:pPr>
            <w:r w:rsidRPr="00A95A92">
              <w:rPr>
                <w:rFonts w:ascii="Arial" w:eastAsiaTheme="majorEastAsia" w:hAnsi="Arial" w:cs="Arial"/>
                <w:b/>
                <w:bCs/>
                <w:lang w:val="en"/>
              </w:rPr>
              <w:t>Study Design:</w:t>
            </w:r>
            <w:r w:rsidRPr="00A95A92">
              <w:rPr>
                <w:rFonts w:ascii="Arial" w:hAnsi="Arial" w:cs="Arial"/>
                <w:lang w:val="en"/>
              </w:rPr>
              <w:t> A field-based, cross-sectional analytical study integrating geochemical assessment, spatial analysis, and human health risk evaluation.</w:t>
            </w:r>
          </w:p>
          <w:p w14:paraId="4931AF16" w14:textId="77777777" w:rsidR="001B251D" w:rsidRPr="00A95A92" w:rsidRDefault="001B251D" w:rsidP="001B251D">
            <w:pPr>
              <w:spacing w:after="160" w:line="278" w:lineRule="auto"/>
              <w:jc w:val="both"/>
              <w:rPr>
                <w:rFonts w:ascii="Arial" w:hAnsi="Arial" w:cs="Arial"/>
                <w:lang w:val="en"/>
              </w:rPr>
            </w:pPr>
            <w:r w:rsidRPr="00A95A92">
              <w:rPr>
                <w:rFonts w:ascii="Arial" w:eastAsiaTheme="majorEastAsia" w:hAnsi="Arial" w:cs="Arial"/>
                <w:b/>
                <w:bCs/>
                <w:lang w:val="en"/>
              </w:rPr>
              <w:t>Place and Duration of Study:</w:t>
            </w:r>
            <w:r w:rsidRPr="00A95A92">
              <w:rPr>
                <w:rFonts w:ascii="Arial" w:hAnsi="Arial" w:cs="Arial"/>
                <w:lang w:val="en"/>
              </w:rPr>
              <w:t> </w:t>
            </w:r>
            <w:proofErr w:type="spellStart"/>
            <w:r w:rsidRPr="00A95A92">
              <w:rPr>
                <w:rFonts w:ascii="Arial" w:hAnsi="Arial" w:cs="Arial"/>
                <w:lang w:val="en"/>
              </w:rPr>
              <w:t>Aluu</w:t>
            </w:r>
            <w:proofErr w:type="spellEnd"/>
            <w:r w:rsidRPr="00A95A92">
              <w:rPr>
                <w:rFonts w:ascii="Arial" w:hAnsi="Arial" w:cs="Arial"/>
                <w:lang w:val="en"/>
              </w:rPr>
              <w:t xml:space="preserve"> municipal landfill, </w:t>
            </w:r>
            <w:proofErr w:type="spellStart"/>
            <w:r w:rsidRPr="00A95A92">
              <w:rPr>
                <w:rFonts w:ascii="Arial" w:hAnsi="Arial" w:cs="Arial"/>
                <w:lang w:val="en"/>
              </w:rPr>
              <w:t>Obio-Akpor</w:t>
            </w:r>
            <w:proofErr w:type="spellEnd"/>
            <w:r w:rsidRPr="00A95A92">
              <w:rPr>
                <w:rFonts w:ascii="Arial" w:hAnsi="Arial" w:cs="Arial"/>
                <w:lang w:val="en"/>
              </w:rPr>
              <w:t>, Rivers State, Nigeria; sampling and laboratory analysis were conducted over a six-month study period.</w:t>
            </w:r>
          </w:p>
          <w:p w14:paraId="1216C486" w14:textId="77777777" w:rsidR="001B251D" w:rsidRPr="00A95A92" w:rsidRDefault="001B251D" w:rsidP="001B251D">
            <w:pPr>
              <w:spacing w:after="160" w:line="278" w:lineRule="auto"/>
              <w:jc w:val="both"/>
              <w:rPr>
                <w:rFonts w:ascii="Arial" w:hAnsi="Arial" w:cs="Arial"/>
                <w:lang w:val="en"/>
              </w:rPr>
            </w:pPr>
            <w:r w:rsidRPr="00A95A92">
              <w:rPr>
                <w:rFonts w:ascii="Arial" w:eastAsiaTheme="majorEastAsia" w:hAnsi="Arial" w:cs="Arial"/>
                <w:b/>
                <w:bCs/>
                <w:lang w:val="en"/>
              </w:rPr>
              <w:t>Methodology:</w:t>
            </w:r>
            <w:r w:rsidRPr="00A95A92">
              <w:rPr>
                <w:rFonts w:ascii="Arial" w:hAnsi="Arial" w:cs="Arial"/>
                <w:lang w:val="en"/>
              </w:rPr>
              <w:t> Sixteen soil samples were collected from eight locations representing four contamination zones  landfill core (A), near-field (B), far-field (C), and control/background (F)  at depths of 1.0 m and 1.5 m. Samples were analyzed for arsenic (As), nickel (Ni), chromium (Cr), cadmium (Cd), and lead (Pb) using atomic absorption spectrophotometry (AAS) following aqua regia digestion (ISO 11466:1995). Contamination levels were quantified using the Contamination Factor (CF), Geo-accumulation Index (</w:t>
            </w:r>
            <w:proofErr w:type="spellStart"/>
            <w:r w:rsidRPr="00A95A92">
              <w:rPr>
                <w:rFonts w:ascii="Arial" w:hAnsi="Arial" w:cs="Arial"/>
                <w:lang w:val="en"/>
              </w:rPr>
              <w:t>Igeo</w:t>
            </w:r>
            <w:proofErr w:type="spellEnd"/>
            <w:r w:rsidRPr="00A95A92">
              <w:rPr>
                <w:rFonts w:ascii="Arial" w:hAnsi="Arial" w:cs="Arial"/>
                <w:lang w:val="en"/>
              </w:rPr>
              <w:t>), and Pollution Load Index (PLI), calculated relative to locally derived geochemical background concentrations from control sites. Spatial distribution patterns were mapped using Surfer 20.0, and human health risks were assessed using the USEPA hazard index (HI) approach for ingestion, dermal, and inhalation exposure pathways.</w:t>
            </w:r>
          </w:p>
          <w:p w14:paraId="0E7E00E1" w14:textId="77777777" w:rsidR="001B251D" w:rsidRPr="00A95A92" w:rsidRDefault="001B251D" w:rsidP="001B251D">
            <w:pPr>
              <w:spacing w:after="160" w:line="278" w:lineRule="auto"/>
              <w:jc w:val="both"/>
              <w:rPr>
                <w:rFonts w:ascii="Arial" w:hAnsi="Arial" w:cs="Arial"/>
                <w:lang w:val="en"/>
              </w:rPr>
            </w:pPr>
            <w:r w:rsidRPr="00A95A92">
              <w:rPr>
                <w:rFonts w:ascii="Arial" w:eastAsiaTheme="majorEastAsia" w:hAnsi="Arial" w:cs="Arial"/>
                <w:b/>
                <w:bCs/>
                <w:lang w:val="en"/>
              </w:rPr>
              <w:t>Results:</w:t>
            </w:r>
            <w:r w:rsidRPr="00A95A92">
              <w:rPr>
                <w:rFonts w:ascii="Arial" w:hAnsi="Arial" w:cs="Arial"/>
                <w:lang w:val="en"/>
              </w:rPr>
              <w:t xml:space="preserve"> All measured heavy metal concentrations remained below WHO and DPR/NESREA regulatory thresholds for example, maximum arsenic (0.112 ppm) and lead (1.040 ppm) were well within permissible limits indicating no immediate regulatory exceedance. However, when assessed against the very low local geochemical background concentrations (As: 0.004 ppm; Ni: 0.020 ppm; Cr: 0.012 ppm; Cd: 0.039 ppm; Pb: 0.042 ppm), pollution indices revealed significant anthropogenic enrichment. CF values indicated very high contamination for arsenic (CF = 5.25) and considerable contamination for nickel (CF = 3.90) and lead (CF = 4.43). </w:t>
            </w:r>
            <w:proofErr w:type="spellStart"/>
            <w:r w:rsidRPr="00A95A92">
              <w:rPr>
                <w:rFonts w:ascii="Arial" w:hAnsi="Arial" w:cs="Arial"/>
                <w:lang w:val="en"/>
              </w:rPr>
              <w:t>Igeo</w:t>
            </w:r>
            <w:proofErr w:type="spellEnd"/>
            <w:r w:rsidRPr="00A95A92">
              <w:rPr>
                <w:rFonts w:ascii="Arial" w:hAnsi="Arial" w:cs="Arial"/>
                <w:lang w:val="en"/>
              </w:rPr>
              <w:t xml:space="preserve"> values classified soils as moderately polluted for arsenic (</w:t>
            </w:r>
            <w:proofErr w:type="spellStart"/>
            <w:r w:rsidRPr="00A95A92">
              <w:rPr>
                <w:rFonts w:ascii="Arial" w:hAnsi="Arial" w:cs="Arial"/>
                <w:lang w:val="en"/>
              </w:rPr>
              <w:t>Igeo</w:t>
            </w:r>
            <w:proofErr w:type="spellEnd"/>
            <w:r w:rsidRPr="00A95A92">
              <w:rPr>
                <w:rFonts w:ascii="Arial" w:hAnsi="Arial" w:cs="Arial"/>
                <w:lang w:val="en"/>
              </w:rPr>
              <w:t xml:space="preserve"> = 1.81), lead (</w:t>
            </w:r>
            <w:proofErr w:type="spellStart"/>
            <w:r w:rsidRPr="00A95A92">
              <w:rPr>
                <w:rFonts w:ascii="Arial" w:hAnsi="Arial" w:cs="Arial"/>
                <w:lang w:val="en"/>
              </w:rPr>
              <w:t>Igeo</w:t>
            </w:r>
            <w:proofErr w:type="spellEnd"/>
            <w:r w:rsidRPr="00A95A92">
              <w:rPr>
                <w:rFonts w:ascii="Arial" w:hAnsi="Arial" w:cs="Arial"/>
                <w:lang w:val="en"/>
              </w:rPr>
              <w:t xml:space="preserve"> = 1.56), and nickel (</w:t>
            </w:r>
            <w:proofErr w:type="spellStart"/>
            <w:r w:rsidRPr="00A95A92">
              <w:rPr>
                <w:rFonts w:ascii="Arial" w:hAnsi="Arial" w:cs="Arial"/>
                <w:lang w:val="en"/>
              </w:rPr>
              <w:t>Igeo</w:t>
            </w:r>
            <w:proofErr w:type="spellEnd"/>
            <w:r w:rsidRPr="00A95A92">
              <w:rPr>
                <w:rFonts w:ascii="Arial" w:hAnsi="Arial" w:cs="Arial"/>
                <w:lang w:val="en"/>
              </w:rPr>
              <w:t xml:space="preserve"> = 1.38). The overall PLI of 3.17 indicated considerable multi-metal pollution across the study area. It is important to note that these elevated index values reflect the degree of anthropogenic departure from natural background conditions not proximity to health-based regulatory limits and therefore serve as sensitive early-warning indicators of progressive contamination. Spatial analysis revealed a pronounced arsenic hotspot within the landfill core and a distinct lead anomaly in the far-field zone (C2: Pb = 1.039 ppm), suggesting multiple contamination sources and complex transport pathways. The high permeability of the Benin Formation was identified as a key hydrogeological factor enhancing contaminant mobility. Despite the evidence of anthropogenic enrichment, cumulative human </w:t>
            </w:r>
            <w:r w:rsidRPr="00A95A92">
              <w:rPr>
                <w:rFonts w:ascii="Arial" w:hAnsi="Arial" w:cs="Arial"/>
                <w:lang w:val="en"/>
              </w:rPr>
              <w:lastRenderedPageBreak/>
              <w:t>health risk indices remained low (HI &lt; 0.1 for all receptors), indicating no significant non-carcinogenic health risk under current exposure conditions.</w:t>
            </w:r>
          </w:p>
          <w:p w14:paraId="56438946" w14:textId="12F4740F" w:rsidR="00870714" w:rsidRPr="00BA1B01" w:rsidRDefault="001B251D" w:rsidP="001B251D">
            <w:pPr>
              <w:pStyle w:val="Body"/>
              <w:spacing w:after="0"/>
              <w:rPr>
                <w:rFonts w:ascii="Arial" w:eastAsia="Calibri" w:hAnsi="Arial" w:cs="Arial"/>
                <w:szCs w:val="22"/>
              </w:rPr>
            </w:pPr>
            <w:r w:rsidRPr="00A95A92">
              <w:rPr>
                <w:rFonts w:ascii="Arial" w:eastAsiaTheme="majorEastAsia" w:hAnsi="Arial" w:cs="Arial"/>
                <w:b/>
                <w:bCs/>
                <w:lang w:val="en"/>
              </w:rPr>
              <w:t>Conclusion:</w:t>
            </w:r>
            <w:r w:rsidRPr="00A95A92">
              <w:rPr>
                <w:rFonts w:ascii="Arial" w:hAnsi="Arial" w:cs="Arial"/>
                <w:lang w:val="en"/>
              </w:rPr>
              <w:t xml:space="preserve"> Although current heavy metal concentrations are within regulatory limits and associated health risks are low, the significant anthropogenic enrichment above natural background levels  as evidenced by elevated CF, </w:t>
            </w:r>
            <w:proofErr w:type="spellStart"/>
            <w:r w:rsidRPr="00A95A92">
              <w:rPr>
                <w:rFonts w:ascii="Arial" w:hAnsi="Arial" w:cs="Arial"/>
                <w:lang w:val="en"/>
              </w:rPr>
              <w:t>Igeo</w:t>
            </w:r>
            <w:proofErr w:type="spellEnd"/>
            <w:r w:rsidRPr="00A95A92">
              <w:rPr>
                <w:rFonts w:ascii="Arial" w:hAnsi="Arial" w:cs="Arial"/>
                <w:lang w:val="en"/>
              </w:rPr>
              <w:t xml:space="preserve">, and PLI values and the spatial variability of contamination patterns highlight the urgent need for continuous environmental monitoring, source control, and improved waste management strategies at the </w:t>
            </w:r>
            <w:proofErr w:type="spellStart"/>
            <w:r w:rsidRPr="00A95A92">
              <w:rPr>
                <w:rFonts w:ascii="Arial" w:hAnsi="Arial" w:cs="Arial"/>
                <w:lang w:val="en"/>
              </w:rPr>
              <w:t>Aluu</w:t>
            </w:r>
            <w:proofErr w:type="spellEnd"/>
            <w:r w:rsidRPr="00A95A92">
              <w:rPr>
                <w:rFonts w:ascii="Arial" w:hAnsi="Arial" w:cs="Arial"/>
                <w:lang w:val="en"/>
              </w:rPr>
              <w:t xml:space="preserve"> landfill to prevent future environmental degradation in this vulnerable Niger Delta setting.</w:t>
            </w:r>
          </w:p>
        </w:tc>
      </w:tr>
    </w:tbl>
    <w:p w14:paraId="3853CCFB" w14:textId="77777777" w:rsidR="00870714" w:rsidRDefault="00870714" w:rsidP="00870714">
      <w:pPr>
        <w:pStyle w:val="Body"/>
        <w:spacing w:after="0"/>
        <w:rPr>
          <w:rFonts w:ascii="Arial" w:hAnsi="Arial" w:cs="Arial"/>
          <w:i/>
        </w:rPr>
      </w:pPr>
    </w:p>
    <w:p w14:paraId="0807F41F" w14:textId="0FB4E5DE" w:rsidR="001B251D" w:rsidRPr="00A95A92" w:rsidRDefault="001B251D" w:rsidP="001B251D">
      <w:pPr>
        <w:spacing w:after="160" w:line="278" w:lineRule="auto"/>
        <w:jc w:val="center"/>
        <w:rPr>
          <w:rFonts w:ascii="Arial" w:hAnsi="Arial" w:cs="Arial"/>
          <w:b/>
          <w:bCs/>
          <w:i/>
          <w:iCs/>
          <w:lang w:val="en"/>
        </w:rPr>
      </w:pPr>
      <w:r w:rsidRPr="00A95A92">
        <w:rPr>
          <w:rFonts w:ascii="Arial" w:eastAsiaTheme="majorEastAsia" w:hAnsi="Arial" w:cs="Arial"/>
          <w:b/>
          <w:bCs/>
          <w:i/>
          <w:iCs/>
          <w:lang w:val="en"/>
        </w:rPr>
        <w:t>Keywords:</w:t>
      </w:r>
      <w:r w:rsidRPr="00A95A92">
        <w:rPr>
          <w:rFonts w:ascii="Arial" w:hAnsi="Arial" w:cs="Arial"/>
          <w:b/>
          <w:bCs/>
          <w:i/>
          <w:iCs/>
          <w:lang w:val="en"/>
        </w:rPr>
        <w:t> </w:t>
      </w:r>
      <w:r w:rsidRPr="009E709E">
        <w:rPr>
          <w:rFonts w:ascii="Arial" w:hAnsi="Arial" w:cs="Arial"/>
          <w:bCs/>
          <w:i/>
          <w:iCs/>
          <w:lang w:val="en"/>
        </w:rPr>
        <w:t>Heavy metal contamination; Municipal landfill; Pollution indices; Geo-accumulation index; Contamination factor; Ecological risk assessment; Health risk assessment</w:t>
      </w:r>
    </w:p>
    <w:p w14:paraId="230073F5" w14:textId="77777777" w:rsidR="00870714" w:rsidRDefault="00870714" w:rsidP="00870714">
      <w:pPr>
        <w:pStyle w:val="Body"/>
        <w:spacing w:after="0"/>
        <w:rPr>
          <w:rFonts w:ascii="Arial" w:hAnsi="Arial" w:cs="Arial"/>
          <w:i/>
          <w:sz w:val="18"/>
        </w:rPr>
      </w:pPr>
    </w:p>
    <w:p w14:paraId="636D32AD" w14:textId="77777777" w:rsidR="00870714" w:rsidRPr="00A24E7E" w:rsidRDefault="00870714" w:rsidP="00870714">
      <w:pPr>
        <w:pStyle w:val="Body"/>
        <w:spacing w:after="0"/>
        <w:rPr>
          <w:rFonts w:ascii="Arial" w:hAnsi="Arial" w:cs="Arial"/>
          <w:i/>
        </w:rPr>
      </w:pPr>
    </w:p>
    <w:p w14:paraId="6F3E0B49" w14:textId="70974B27" w:rsidR="00870714" w:rsidRDefault="00870714" w:rsidP="00CA463D">
      <w:pPr>
        <w:pStyle w:val="AbstHead"/>
        <w:numPr>
          <w:ilvl w:val="0"/>
          <w:numId w:val="16"/>
        </w:numPr>
        <w:spacing w:after="0"/>
        <w:jc w:val="both"/>
        <w:rPr>
          <w:rFonts w:ascii="Arial" w:hAnsi="Arial" w:cs="Arial"/>
        </w:rPr>
      </w:pPr>
      <w:r w:rsidRPr="00FB3A86">
        <w:rPr>
          <w:rFonts w:ascii="Arial" w:hAnsi="Arial" w:cs="Arial"/>
        </w:rPr>
        <w:t>INTRODUCTION</w:t>
      </w:r>
      <w:r>
        <w:rPr>
          <w:rFonts w:ascii="Arial" w:hAnsi="Arial" w:cs="Arial"/>
        </w:rPr>
        <w:t xml:space="preserve"> </w:t>
      </w:r>
    </w:p>
    <w:p w14:paraId="7EDC9D9B" w14:textId="77777777" w:rsidR="00CA463D" w:rsidRDefault="00CA463D" w:rsidP="00CA463D">
      <w:pPr>
        <w:pStyle w:val="AbstHead"/>
        <w:spacing w:after="0"/>
        <w:ind w:left="360"/>
        <w:jc w:val="both"/>
        <w:rPr>
          <w:rFonts w:ascii="Arial" w:hAnsi="Arial" w:cs="Arial"/>
        </w:rPr>
      </w:pPr>
    </w:p>
    <w:p w14:paraId="174F2523" w14:textId="77777777" w:rsidR="00CA463D" w:rsidRPr="00CE4F33" w:rsidRDefault="00CA463D" w:rsidP="00CA463D">
      <w:pPr>
        <w:spacing w:after="160" w:line="278" w:lineRule="auto"/>
        <w:jc w:val="both"/>
        <w:rPr>
          <w:rFonts w:ascii="Arial" w:hAnsi="Arial" w:cs="Arial"/>
          <w:sz w:val="22"/>
          <w:szCs w:val="22"/>
          <w:lang w:val="en"/>
        </w:rPr>
      </w:pPr>
      <w:r w:rsidRPr="00CE4F33">
        <w:rPr>
          <w:rFonts w:ascii="Arial" w:hAnsi="Arial" w:cs="Arial"/>
          <w:sz w:val="22"/>
          <w:szCs w:val="22"/>
          <w:lang w:val="en"/>
        </w:rPr>
        <w:t>The proliferation of unregulated dumpsites, a result of inadequate urban infrastructure, has created significant point sources of environmental contamination (</w:t>
      </w:r>
      <w:proofErr w:type="spellStart"/>
      <w:r w:rsidRPr="00CE4F33">
        <w:rPr>
          <w:rFonts w:ascii="Arial" w:hAnsi="Arial" w:cs="Arial"/>
          <w:sz w:val="22"/>
          <w:szCs w:val="22"/>
          <w:lang w:val="en"/>
        </w:rPr>
        <w:t>Mmereki</w:t>
      </w:r>
      <w:proofErr w:type="spellEnd"/>
      <w:r w:rsidRPr="00CE4F33">
        <w:rPr>
          <w:rFonts w:ascii="Arial" w:hAnsi="Arial" w:cs="Arial"/>
          <w:sz w:val="22"/>
          <w:szCs w:val="22"/>
          <w:lang w:val="en"/>
        </w:rPr>
        <w:t xml:space="preserve"> et al., 2016; </w:t>
      </w:r>
      <w:proofErr w:type="spellStart"/>
      <w:r w:rsidRPr="00CE4F33">
        <w:rPr>
          <w:rFonts w:ascii="Arial" w:hAnsi="Arial" w:cs="Arial"/>
          <w:sz w:val="22"/>
          <w:szCs w:val="22"/>
          <w:lang w:val="en"/>
        </w:rPr>
        <w:t>Ideriah</w:t>
      </w:r>
      <w:proofErr w:type="spellEnd"/>
      <w:r w:rsidRPr="00CE4F33">
        <w:rPr>
          <w:rFonts w:ascii="Arial" w:hAnsi="Arial" w:cs="Arial"/>
          <w:sz w:val="22"/>
          <w:szCs w:val="22"/>
          <w:lang w:val="en"/>
        </w:rPr>
        <w:t xml:space="preserve"> et al., 2005). This problem is compounded by poor waste segregation and limited recycling infrastructure, which facilitate the accumulation of heavy metals in the environment (</w:t>
      </w:r>
      <w:proofErr w:type="spellStart"/>
      <w:r w:rsidRPr="00CE4F33">
        <w:rPr>
          <w:rFonts w:ascii="Arial" w:hAnsi="Arial" w:cs="Arial"/>
          <w:sz w:val="22"/>
          <w:szCs w:val="22"/>
          <w:lang w:val="en"/>
        </w:rPr>
        <w:t>Iwegbue</w:t>
      </w:r>
      <w:proofErr w:type="spellEnd"/>
      <w:r w:rsidRPr="00CE4F33">
        <w:rPr>
          <w:rFonts w:ascii="Arial" w:hAnsi="Arial" w:cs="Arial"/>
          <w:sz w:val="22"/>
          <w:szCs w:val="22"/>
          <w:lang w:val="en"/>
        </w:rPr>
        <w:t xml:space="preserve"> et al., 2020). Heavy metals pose a serious threat due to their persistence, bioaccumulation potential, and toxicity at low concentrations (</w:t>
      </w:r>
      <w:proofErr w:type="spellStart"/>
      <w:r w:rsidRPr="00CE4F33">
        <w:rPr>
          <w:rFonts w:ascii="Arial" w:hAnsi="Arial" w:cs="Arial"/>
          <w:sz w:val="22"/>
          <w:szCs w:val="22"/>
          <w:lang w:val="en"/>
        </w:rPr>
        <w:t>Ademoroti</w:t>
      </w:r>
      <w:proofErr w:type="spellEnd"/>
      <w:r w:rsidRPr="00CE4F33">
        <w:rPr>
          <w:rFonts w:ascii="Arial" w:hAnsi="Arial" w:cs="Arial"/>
          <w:sz w:val="22"/>
          <w:szCs w:val="22"/>
          <w:lang w:val="en"/>
        </w:rPr>
        <w:t>, 1996). Unlike organic pollutants, these elements, including arsenic (As), cadmium (Cd), and lead (Pb), do not biodegrade and can remain in the environment for centuries (Yabe et al., 2010). Unlined landfills and open dumps are primary sources of this contamination, as the absence of engineered liners and leachate collection systems allows contaminants to migrate freely into surrounding soil and groundwater environments (</w:t>
      </w:r>
      <w:proofErr w:type="spellStart"/>
      <w:r w:rsidRPr="00CE4F33">
        <w:rPr>
          <w:rFonts w:ascii="Arial" w:hAnsi="Arial" w:cs="Arial"/>
          <w:sz w:val="22"/>
          <w:szCs w:val="22"/>
          <w:lang w:val="en"/>
        </w:rPr>
        <w:t>Ideriah</w:t>
      </w:r>
      <w:proofErr w:type="spellEnd"/>
      <w:r w:rsidRPr="00CE4F33">
        <w:rPr>
          <w:rFonts w:ascii="Arial" w:hAnsi="Arial" w:cs="Arial"/>
          <w:sz w:val="22"/>
          <w:szCs w:val="22"/>
          <w:lang w:val="en"/>
        </w:rPr>
        <w:t xml:space="preserve"> et al., 2005; </w:t>
      </w:r>
      <w:proofErr w:type="spellStart"/>
      <w:r w:rsidRPr="00CE4F33">
        <w:rPr>
          <w:rFonts w:ascii="Arial" w:hAnsi="Arial" w:cs="Arial"/>
          <w:sz w:val="22"/>
          <w:szCs w:val="22"/>
          <w:lang w:val="en"/>
        </w:rPr>
        <w:t>Olade</w:t>
      </w:r>
      <w:proofErr w:type="spellEnd"/>
      <w:r w:rsidRPr="00CE4F33">
        <w:rPr>
          <w:rFonts w:ascii="Arial" w:hAnsi="Arial" w:cs="Arial"/>
          <w:sz w:val="22"/>
          <w:szCs w:val="22"/>
          <w:lang w:val="en"/>
        </w:rPr>
        <w:t xml:space="preserve">, 1987). Leachate, a liquid formed by precipitation seeping through waste, mobilizes these heavy metals, allowing them to migrate into surrounding soils and groundwater (Longe &amp; Balogun, 2010; </w:t>
      </w:r>
      <w:proofErr w:type="spellStart"/>
      <w:r w:rsidRPr="00CE4F33">
        <w:rPr>
          <w:rFonts w:ascii="Arial" w:hAnsi="Arial" w:cs="Arial"/>
          <w:sz w:val="22"/>
          <w:szCs w:val="22"/>
          <w:lang w:val="en"/>
        </w:rPr>
        <w:t>Olade</w:t>
      </w:r>
      <w:proofErr w:type="spellEnd"/>
      <w:r w:rsidRPr="00CE4F33">
        <w:rPr>
          <w:rFonts w:ascii="Arial" w:hAnsi="Arial" w:cs="Arial"/>
          <w:sz w:val="22"/>
          <w:szCs w:val="22"/>
          <w:lang w:val="en"/>
        </w:rPr>
        <w:t>, 1987).</w:t>
      </w:r>
    </w:p>
    <w:p w14:paraId="52506C69" w14:textId="77777777" w:rsidR="00CA463D" w:rsidRPr="00CE4F33" w:rsidRDefault="00CA463D" w:rsidP="00CA463D">
      <w:pPr>
        <w:spacing w:after="160" w:line="278" w:lineRule="auto"/>
        <w:jc w:val="both"/>
        <w:rPr>
          <w:rFonts w:ascii="Arial" w:hAnsi="Arial" w:cs="Arial"/>
          <w:sz w:val="22"/>
          <w:szCs w:val="22"/>
          <w:lang w:val="en"/>
        </w:rPr>
      </w:pPr>
      <w:r w:rsidRPr="00CE4F33">
        <w:rPr>
          <w:rFonts w:ascii="Arial" w:hAnsi="Arial" w:cs="Arial"/>
          <w:sz w:val="22"/>
          <w:szCs w:val="22"/>
          <w:lang w:val="en"/>
        </w:rPr>
        <w:t>Studies in Nigeria have documented elevated heavy metal concentrations in soils around municipal dumpsites, with some reporting values approaching or exceeding established safety thresholds (</w:t>
      </w:r>
      <w:proofErr w:type="spellStart"/>
      <w:r w:rsidRPr="00CE4F33">
        <w:rPr>
          <w:rFonts w:ascii="Arial" w:hAnsi="Arial" w:cs="Arial"/>
          <w:sz w:val="22"/>
          <w:szCs w:val="22"/>
          <w:lang w:val="en"/>
        </w:rPr>
        <w:t>Ideriah</w:t>
      </w:r>
      <w:proofErr w:type="spellEnd"/>
      <w:r w:rsidRPr="00CE4F33">
        <w:rPr>
          <w:rFonts w:ascii="Arial" w:hAnsi="Arial" w:cs="Arial"/>
          <w:sz w:val="22"/>
          <w:szCs w:val="22"/>
          <w:lang w:val="en"/>
        </w:rPr>
        <w:t xml:space="preserve"> et al., 2005; Ogundele et al., 2017). Despite growing awareness of these risks, many </w:t>
      </w:r>
      <w:proofErr w:type="spellStart"/>
      <w:r w:rsidRPr="00CE4F33">
        <w:rPr>
          <w:rFonts w:ascii="Arial" w:hAnsi="Arial" w:cs="Arial"/>
          <w:sz w:val="22"/>
          <w:szCs w:val="22"/>
          <w:lang w:val="en"/>
        </w:rPr>
        <w:t>unengineered</w:t>
      </w:r>
      <w:proofErr w:type="spellEnd"/>
      <w:r w:rsidRPr="00CE4F33">
        <w:rPr>
          <w:rFonts w:ascii="Arial" w:hAnsi="Arial" w:cs="Arial"/>
          <w:sz w:val="22"/>
          <w:szCs w:val="22"/>
          <w:lang w:val="en"/>
        </w:rPr>
        <w:t xml:space="preserve"> dumpsites in the Niger Delta region continue to operate without systematic environmental monitoring or containment infrastructure, exposing densely populated communities to potential long-term contamination (</w:t>
      </w:r>
      <w:proofErr w:type="spellStart"/>
      <w:r w:rsidRPr="00CE4F33">
        <w:rPr>
          <w:rFonts w:ascii="Arial" w:hAnsi="Arial" w:cs="Arial"/>
          <w:sz w:val="22"/>
          <w:szCs w:val="22"/>
          <w:lang w:val="en"/>
        </w:rPr>
        <w:t>Nwankwoala</w:t>
      </w:r>
      <w:proofErr w:type="spellEnd"/>
      <w:r w:rsidRPr="00CE4F33">
        <w:rPr>
          <w:rFonts w:ascii="Arial" w:hAnsi="Arial" w:cs="Arial"/>
          <w:sz w:val="22"/>
          <w:szCs w:val="22"/>
          <w:lang w:val="en"/>
        </w:rPr>
        <w:t xml:space="preserve"> &amp; </w:t>
      </w:r>
      <w:proofErr w:type="spellStart"/>
      <w:r w:rsidRPr="00CE4F33">
        <w:rPr>
          <w:rFonts w:ascii="Arial" w:hAnsi="Arial" w:cs="Arial"/>
          <w:sz w:val="22"/>
          <w:szCs w:val="22"/>
          <w:lang w:val="en"/>
        </w:rPr>
        <w:t>Amangabara</w:t>
      </w:r>
      <w:proofErr w:type="spellEnd"/>
      <w:r w:rsidRPr="00CE4F33">
        <w:rPr>
          <w:rFonts w:ascii="Arial" w:hAnsi="Arial" w:cs="Arial"/>
          <w:sz w:val="22"/>
          <w:szCs w:val="22"/>
          <w:lang w:val="en"/>
        </w:rPr>
        <w:t xml:space="preserve">, 2015). This highlights the urgent need for comprehensive geo-environmental assessments to inform remediation strategies and develop sustainable waste management policies. The current study focuses on the </w:t>
      </w:r>
      <w:proofErr w:type="spellStart"/>
      <w:r w:rsidRPr="00CE4F33">
        <w:rPr>
          <w:rFonts w:ascii="Arial" w:hAnsi="Arial" w:cs="Arial"/>
          <w:sz w:val="22"/>
          <w:szCs w:val="22"/>
          <w:lang w:val="en"/>
        </w:rPr>
        <w:t>Aluu</w:t>
      </w:r>
      <w:proofErr w:type="spellEnd"/>
      <w:r w:rsidRPr="00CE4F33">
        <w:rPr>
          <w:rFonts w:ascii="Arial" w:hAnsi="Arial" w:cs="Arial"/>
          <w:sz w:val="22"/>
          <w:szCs w:val="22"/>
          <w:lang w:val="en"/>
        </w:rPr>
        <w:t xml:space="preserve"> municipal landfill in Obio-Akpor to evaluate heavy metal contamination, spatial distribution patterns, and associated human health risks.</w:t>
      </w:r>
    </w:p>
    <w:p w14:paraId="725BC791" w14:textId="77777777" w:rsidR="00CA463D" w:rsidRPr="00CE4F33" w:rsidRDefault="00CA463D" w:rsidP="00CA463D">
      <w:pPr>
        <w:spacing w:after="160" w:line="278" w:lineRule="auto"/>
        <w:jc w:val="both"/>
        <w:rPr>
          <w:rFonts w:ascii="Arial" w:hAnsi="Arial" w:cs="Arial"/>
          <w:b/>
          <w:bCs/>
          <w:sz w:val="22"/>
          <w:szCs w:val="22"/>
          <w:lang w:val="en"/>
        </w:rPr>
      </w:pPr>
      <w:r w:rsidRPr="00CE4F33">
        <w:rPr>
          <w:rFonts w:ascii="Arial" w:hAnsi="Arial" w:cs="Arial"/>
          <w:b/>
          <w:bCs/>
          <w:sz w:val="22"/>
          <w:szCs w:val="22"/>
          <w:lang w:val="en"/>
        </w:rPr>
        <w:t>1.2 Objectives</w:t>
      </w:r>
    </w:p>
    <w:p w14:paraId="4603F432" w14:textId="77777777" w:rsidR="00CA463D" w:rsidRPr="00CE4F33" w:rsidRDefault="00CA463D" w:rsidP="00CA463D">
      <w:pPr>
        <w:spacing w:after="160" w:line="278" w:lineRule="auto"/>
        <w:jc w:val="both"/>
        <w:rPr>
          <w:rFonts w:ascii="Arial" w:hAnsi="Arial" w:cs="Arial"/>
          <w:sz w:val="22"/>
          <w:szCs w:val="22"/>
          <w:lang w:val="en"/>
        </w:rPr>
      </w:pPr>
      <w:r w:rsidRPr="00CE4F33">
        <w:rPr>
          <w:rFonts w:ascii="Arial" w:hAnsi="Arial" w:cs="Arial"/>
          <w:sz w:val="22"/>
          <w:szCs w:val="22"/>
          <w:lang w:val="en"/>
        </w:rPr>
        <w:t xml:space="preserve">The primary aim of this study was to evaluate the extent of heavy metal contamination in soils at the </w:t>
      </w:r>
      <w:proofErr w:type="spellStart"/>
      <w:r w:rsidRPr="00CE4F33">
        <w:rPr>
          <w:rFonts w:ascii="Arial" w:hAnsi="Arial" w:cs="Arial"/>
          <w:sz w:val="22"/>
          <w:szCs w:val="22"/>
          <w:lang w:val="en"/>
        </w:rPr>
        <w:t>Aluu</w:t>
      </w:r>
      <w:proofErr w:type="spellEnd"/>
      <w:r w:rsidRPr="00CE4F33">
        <w:rPr>
          <w:rFonts w:ascii="Arial" w:hAnsi="Arial" w:cs="Arial"/>
          <w:sz w:val="22"/>
          <w:szCs w:val="22"/>
          <w:lang w:val="en"/>
        </w:rPr>
        <w:t xml:space="preserve"> landfill facility. Specific objectives included:</w:t>
      </w:r>
    </w:p>
    <w:p w14:paraId="20BBF902" w14:textId="77777777" w:rsidR="00CA463D"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t xml:space="preserve">To determine the concentration and spatial distribution of heavy metals in soils within and around the </w:t>
      </w:r>
      <w:proofErr w:type="spellStart"/>
      <w:r w:rsidRPr="00CA463D">
        <w:rPr>
          <w:rFonts w:ascii="Arial" w:hAnsi="Arial" w:cs="Arial"/>
          <w:sz w:val="22"/>
          <w:szCs w:val="22"/>
          <w:lang w:val="en"/>
        </w:rPr>
        <w:t>Aluu</w:t>
      </w:r>
      <w:proofErr w:type="spellEnd"/>
      <w:r w:rsidRPr="00CA463D">
        <w:rPr>
          <w:rFonts w:ascii="Arial" w:hAnsi="Arial" w:cs="Arial"/>
          <w:sz w:val="22"/>
          <w:szCs w:val="22"/>
          <w:lang w:val="en"/>
        </w:rPr>
        <w:t xml:space="preserve"> landfill facility.</w:t>
      </w:r>
    </w:p>
    <w:p w14:paraId="664C8935" w14:textId="77777777" w:rsidR="00CA463D"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lastRenderedPageBreak/>
        <w:t>To assess the extent of heavy metal contamination using pollution indices (contamination factor, geo-accumulation index, and pollution load index).</w:t>
      </w:r>
    </w:p>
    <w:p w14:paraId="21389B09" w14:textId="77777777" w:rsidR="00CA463D"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t>To evaluate the potential sources and pathways of heavy metal contamination in the landfill environment.</w:t>
      </w:r>
    </w:p>
    <w:p w14:paraId="13A06783" w14:textId="77777777" w:rsidR="00CA463D"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t>To investigate the hydrogeological and geological controls on heavy metal migration and distribution patterns in the study area.</w:t>
      </w:r>
    </w:p>
    <w:p w14:paraId="0DD6587A" w14:textId="77777777" w:rsidR="00CA463D"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t>To assess the potential human health risks associated with heavy metal contamination in the vicinity of the landfill.</w:t>
      </w:r>
    </w:p>
    <w:p w14:paraId="63FED286" w14:textId="69EEEBBB" w:rsidR="00870714"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t xml:space="preserve">To provide recommendations for environmental monitoring, remediation strategies, and improved waste management practices at the </w:t>
      </w:r>
      <w:proofErr w:type="spellStart"/>
      <w:r w:rsidRPr="00CA463D">
        <w:rPr>
          <w:rFonts w:ascii="Arial" w:hAnsi="Arial" w:cs="Arial"/>
          <w:sz w:val="22"/>
          <w:szCs w:val="22"/>
          <w:lang w:val="en"/>
        </w:rPr>
        <w:t>Aluu</w:t>
      </w:r>
      <w:proofErr w:type="spellEnd"/>
      <w:r w:rsidRPr="00CA463D">
        <w:rPr>
          <w:rFonts w:ascii="Arial" w:hAnsi="Arial" w:cs="Arial"/>
          <w:sz w:val="22"/>
          <w:szCs w:val="22"/>
          <w:lang w:val="en"/>
        </w:rPr>
        <w:t xml:space="preserve"> landfill site.</w:t>
      </w:r>
    </w:p>
    <w:p w14:paraId="41DF58D0" w14:textId="5A8F3050" w:rsidR="00870714" w:rsidRPr="00336110" w:rsidRDefault="00870714" w:rsidP="00870714">
      <w:pPr>
        <w:pStyle w:val="AbstHead"/>
        <w:spacing w:after="0"/>
        <w:jc w:val="both"/>
        <w:rPr>
          <w:rFonts w:ascii="Arial" w:hAnsi="Arial" w:cs="Arial"/>
          <w:b w:val="0"/>
          <w:szCs w:val="22"/>
        </w:rPr>
      </w:pPr>
      <w:r w:rsidRPr="00336110">
        <w:rPr>
          <w:rFonts w:ascii="Arial" w:hAnsi="Arial" w:cs="Arial"/>
          <w:b w:val="0"/>
          <w:szCs w:val="22"/>
        </w:rPr>
        <w:t>1.</w:t>
      </w:r>
      <w:r w:rsidR="00CA463D">
        <w:rPr>
          <w:rFonts w:ascii="Arial" w:hAnsi="Arial" w:cs="Arial"/>
          <w:b w:val="0"/>
          <w:szCs w:val="22"/>
        </w:rPr>
        <w:t>3</w:t>
      </w:r>
      <w:r w:rsidRPr="00336110">
        <w:rPr>
          <w:rFonts w:ascii="Arial" w:hAnsi="Arial" w:cs="Arial"/>
          <w:b w:val="0"/>
          <w:szCs w:val="22"/>
        </w:rPr>
        <w:tab/>
      </w:r>
      <w:r w:rsidRPr="00336110">
        <w:rPr>
          <w:rFonts w:ascii="Arial" w:hAnsi="Arial" w:cs="Arial"/>
          <w:bCs/>
          <w:szCs w:val="22"/>
        </w:rPr>
        <w:t>Study Location</w:t>
      </w:r>
    </w:p>
    <w:p w14:paraId="305F0040" w14:textId="77777777" w:rsidR="00870714" w:rsidRPr="00336110" w:rsidRDefault="00870714" w:rsidP="00870714">
      <w:pPr>
        <w:pStyle w:val="AbstHead"/>
        <w:spacing w:after="0"/>
        <w:jc w:val="both"/>
        <w:rPr>
          <w:rFonts w:ascii="Arial" w:hAnsi="Arial" w:cs="Arial"/>
          <w:b w:val="0"/>
          <w:szCs w:val="22"/>
        </w:rPr>
      </w:pPr>
      <w:r w:rsidRPr="00336110">
        <w:rPr>
          <w:rFonts w:ascii="Arial" w:hAnsi="Arial" w:cs="Arial"/>
          <w:b w:val="0"/>
          <w:szCs w:val="22"/>
        </w:rPr>
        <w:t xml:space="preserve"> </w:t>
      </w:r>
    </w:p>
    <w:p w14:paraId="75C2F297" w14:textId="77777777" w:rsidR="006B7B33" w:rsidRPr="001D61D9" w:rsidRDefault="006B7B33" w:rsidP="006B7B33">
      <w:pPr>
        <w:spacing w:after="160" w:line="278" w:lineRule="auto"/>
        <w:jc w:val="both"/>
        <w:rPr>
          <w:rFonts w:ascii="Arial" w:hAnsi="Arial" w:cs="Arial"/>
          <w:sz w:val="22"/>
          <w:szCs w:val="22"/>
          <w:lang w:val="en"/>
        </w:rPr>
      </w:pPr>
      <w:r w:rsidRPr="001D61D9">
        <w:rPr>
          <w:rFonts w:ascii="Arial" w:hAnsi="Arial" w:cs="Arial"/>
          <w:sz w:val="22"/>
          <w:szCs w:val="22"/>
          <w:lang w:val="en"/>
        </w:rPr>
        <w:t xml:space="preserve">The study was conducted at the </w:t>
      </w:r>
      <w:proofErr w:type="spellStart"/>
      <w:r w:rsidRPr="001D61D9">
        <w:rPr>
          <w:rFonts w:ascii="Arial" w:hAnsi="Arial" w:cs="Arial"/>
          <w:sz w:val="22"/>
          <w:szCs w:val="22"/>
          <w:lang w:val="en"/>
        </w:rPr>
        <w:t>Aluu</w:t>
      </w:r>
      <w:proofErr w:type="spellEnd"/>
      <w:r w:rsidRPr="001D61D9">
        <w:rPr>
          <w:rFonts w:ascii="Arial" w:hAnsi="Arial" w:cs="Arial"/>
          <w:sz w:val="22"/>
          <w:szCs w:val="22"/>
          <w:lang w:val="en"/>
        </w:rPr>
        <w:t xml:space="preserve"> dumpsite in </w:t>
      </w:r>
      <w:proofErr w:type="spellStart"/>
      <w:r w:rsidRPr="001D61D9">
        <w:rPr>
          <w:rFonts w:ascii="Arial" w:hAnsi="Arial" w:cs="Arial"/>
          <w:sz w:val="22"/>
          <w:szCs w:val="22"/>
          <w:lang w:val="en"/>
        </w:rPr>
        <w:t>Obio-Akpor</w:t>
      </w:r>
      <w:proofErr w:type="spellEnd"/>
      <w:r w:rsidRPr="001D61D9">
        <w:rPr>
          <w:rFonts w:ascii="Arial" w:hAnsi="Arial" w:cs="Arial"/>
          <w:sz w:val="22"/>
          <w:szCs w:val="22"/>
          <w:lang w:val="en"/>
        </w:rPr>
        <w:t xml:space="preserve"> Local Government Area, Rivers State, Nigeria. This </w:t>
      </w:r>
      <w:proofErr w:type="spellStart"/>
      <w:r w:rsidRPr="001D61D9">
        <w:rPr>
          <w:rFonts w:ascii="Arial" w:hAnsi="Arial" w:cs="Arial"/>
          <w:sz w:val="22"/>
          <w:szCs w:val="22"/>
          <w:lang w:val="en"/>
        </w:rPr>
        <w:t>unengineered</w:t>
      </w:r>
      <w:proofErr w:type="spellEnd"/>
      <w:r w:rsidRPr="001D61D9">
        <w:rPr>
          <w:rFonts w:ascii="Arial" w:hAnsi="Arial" w:cs="Arial"/>
          <w:sz w:val="22"/>
          <w:szCs w:val="22"/>
          <w:lang w:val="en"/>
        </w:rPr>
        <w:t xml:space="preserve"> landfill is situated at Latitude 04°55′14.8″ N and Longitude 06°55′07.7″ E, with an elevation of approximately 15.2 m above sea level.</w:t>
      </w:r>
    </w:p>
    <w:p w14:paraId="52E193C0" w14:textId="77777777" w:rsidR="006B7B33" w:rsidRPr="001D61D9" w:rsidRDefault="006B7B33" w:rsidP="006B7B33">
      <w:pPr>
        <w:spacing w:after="160" w:line="278" w:lineRule="auto"/>
        <w:jc w:val="both"/>
        <w:rPr>
          <w:rFonts w:ascii="Arial" w:hAnsi="Arial" w:cs="Arial"/>
          <w:b/>
          <w:bCs/>
          <w:sz w:val="22"/>
          <w:szCs w:val="22"/>
          <w:lang w:val="en"/>
        </w:rPr>
      </w:pPr>
      <w:r w:rsidRPr="001D61D9">
        <w:rPr>
          <w:rFonts w:ascii="Arial" w:hAnsi="Arial" w:cs="Arial"/>
          <w:b/>
          <w:bCs/>
          <w:sz w:val="22"/>
          <w:szCs w:val="22"/>
          <w:lang w:val="en"/>
        </w:rPr>
        <w:t>1.3.1 Hydrogeology</w:t>
      </w:r>
    </w:p>
    <w:p w14:paraId="32EE0132" w14:textId="77777777" w:rsidR="006B7B33" w:rsidRPr="001D61D9" w:rsidRDefault="006B7B33" w:rsidP="006B7B33">
      <w:pPr>
        <w:spacing w:after="160" w:line="278" w:lineRule="auto"/>
        <w:jc w:val="both"/>
        <w:rPr>
          <w:rFonts w:ascii="Arial" w:hAnsi="Arial" w:cs="Arial"/>
          <w:sz w:val="22"/>
          <w:szCs w:val="22"/>
          <w:lang w:val="en"/>
        </w:rPr>
      </w:pPr>
      <w:r w:rsidRPr="001D61D9">
        <w:rPr>
          <w:rFonts w:ascii="Arial" w:hAnsi="Arial" w:cs="Arial"/>
          <w:sz w:val="22"/>
          <w:szCs w:val="22"/>
          <w:lang w:val="en"/>
        </w:rPr>
        <w:t xml:space="preserve">The </w:t>
      </w:r>
      <w:proofErr w:type="spellStart"/>
      <w:r w:rsidRPr="001D61D9">
        <w:rPr>
          <w:rFonts w:ascii="Arial" w:hAnsi="Arial" w:cs="Arial"/>
          <w:sz w:val="22"/>
          <w:szCs w:val="22"/>
          <w:lang w:val="en"/>
        </w:rPr>
        <w:t>Aluu</w:t>
      </w:r>
      <w:proofErr w:type="spellEnd"/>
      <w:r w:rsidRPr="001D61D9">
        <w:rPr>
          <w:rFonts w:ascii="Arial" w:hAnsi="Arial" w:cs="Arial"/>
          <w:sz w:val="22"/>
          <w:szCs w:val="22"/>
          <w:lang w:val="en"/>
        </w:rPr>
        <w:t xml:space="preserve"> area is underlain by the Benin Formation, which hosts a multi-layered aquifer system characterised by high permeability sands and gravels with a low protective capacity, making groundwater particularly vulnerable to surface-derived contamination (</w:t>
      </w:r>
      <w:proofErr w:type="spellStart"/>
      <w:r w:rsidRPr="001D61D9">
        <w:rPr>
          <w:rFonts w:ascii="Arial" w:hAnsi="Arial" w:cs="Arial"/>
          <w:sz w:val="22"/>
          <w:szCs w:val="22"/>
          <w:lang w:val="en"/>
        </w:rPr>
        <w:t>Akujieze</w:t>
      </w:r>
      <w:proofErr w:type="spellEnd"/>
      <w:r w:rsidRPr="001D61D9">
        <w:rPr>
          <w:rFonts w:ascii="Arial" w:hAnsi="Arial" w:cs="Arial"/>
          <w:sz w:val="22"/>
          <w:szCs w:val="22"/>
          <w:lang w:val="en"/>
        </w:rPr>
        <w:t xml:space="preserve"> et al., 2003; </w:t>
      </w:r>
      <w:proofErr w:type="spellStart"/>
      <w:r w:rsidRPr="001D61D9">
        <w:rPr>
          <w:rFonts w:ascii="Arial" w:hAnsi="Arial" w:cs="Arial"/>
          <w:sz w:val="22"/>
          <w:szCs w:val="22"/>
          <w:lang w:val="en"/>
        </w:rPr>
        <w:t>Nwankwoala</w:t>
      </w:r>
      <w:proofErr w:type="spellEnd"/>
      <w:r w:rsidRPr="001D61D9">
        <w:rPr>
          <w:rFonts w:ascii="Arial" w:hAnsi="Arial" w:cs="Arial"/>
          <w:sz w:val="22"/>
          <w:szCs w:val="22"/>
          <w:lang w:val="en"/>
        </w:rPr>
        <w:t xml:space="preserve"> &amp; </w:t>
      </w:r>
      <w:proofErr w:type="spellStart"/>
      <w:r w:rsidRPr="001D61D9">
        <w:rPr>
          <w:rFonts w:ascii="Arial" w:hAnsi="Arial" w:cs="Arial"/>
          <w:sz w:val="22"/>
          <w:szCs w:val="22"/>
          <w:lang w:val="en"/>
        </w:rPr>
        <w:t>Amangabara</w:t>
      </w:r>
      <w:proofErr w:type="spellEnd"/>
      <w:r w:rsidRPr="001D61D9">
        <w:rPr>
          <w:rFonts w:ascii="Arial" w:hAnsi="Arial" w:cs="Arial"/>
          <w:sz w:val="22"/>
          <w:szCs w:val="22"/>
          <w:lang w:val="en"/>
        </w:rPr>
        <w:t xml:space="preserve">, 2015). Geophysical investigations at similar </w:t>
      </w:r>
      <w:proofErr w:type="spellStart"/>
      <w:r w:rsidRPr="001D61D9">
        <w:rPr>
          <w:rFonts w:ascii="Arial" w:hAnsi="Arial" w:cs="Arial"/>
          <w:sz w:val="22"/>
          <w:szCs w:val="22"/>
          <w:lang w:val="en"/>
        </w:rPr>
        <w:t>unengineered</w:t>
      </w:r>
      <w:proofErr w:type="spellEnd"/>
      <w:r w:rsidRPr="001D61D9">
        <w:rPr>
          <w:rFonts w:ascii="Arial" w:hAnsi="Arial" w:cs="Arial"/>
          <w:sz w:val="22"/>
          <w:szCs w:val="22"/>
          <w:lang w:val="en"/>
        </w:rPr>
        <w:t xml:space="preserve"> dumpsites in the Niger Delta have indicated potential leachate plumes extending well beyond dumpsite boundaries, a pattern attributed to the unconfined, highly permeable nature of the shallow aquifer system (George et al., 2021; Oladapo et al., 2021).</w:t>
      </w:r>
    </w:p>
    <w:p w14:paraId="6FB0A9D6" w14:textId="77777777" w:rsidR="006B7B33" w:rsidRPr="001D61D9" w:rsidRDefault="006B7B33" w:rsidP="006B7B33">
      <w:pPr>
        <w:spacing w:after="160" w:line="278" w:lineRule="auto"/>
        <w:jc w:val="both"/>
        <w:rPr>
          <w:rFonts w:ascii="Arial" w:hAnsi="Arial" w:cs="Arial"/>
          <w:b/>
          <w:bCs/>
          <w:sz w:val="22"/>
          <w:szCs w:val="22"/>
          <w:lang w:val="en"/>
        </w:rPr>
      </w:pPr>
      <w:r w:rsidRPr="001D61D9">
        <w:rPr>
          <w:rFonts w:ascii="Arial" w:hAnsi="Arial" w:cs="Arial"/>
          <w:b/>
          <w:bCs/>
          <w:sz w:val="22"/>
          <w:szCs w:val="22"/>
          <w:lang w:val="en"/>
        </w:rPr>
        <w:t>1.3.2 Climate</w:t>
      </w:r>
    </w:p>
    <w:p w14:paraId="67706C4D" w14:textId="77777777" w:rsidR="006B7B33" w:rsidRPr="001D61D9" w:rsidRDefault="006B7B33" w:rsidP="006B7B33">
      <w:pPr>
        <w:spacing w:after="160" w:line="278" w:lineRule="auto"/>
        <w:jc w:val="both"/>
        <w:rPr>
          <w:rFonts w:ascii="Arial" w:hAnsi="Arial" w:cs="Arial"/>
          <w:sz w:val="22"/>
          <w:szCs w:val="22"/>
          <w:lang w:val="en"/>
        </w:rPr>
      </w:pPr>
      <w:r w:rsidRPr="001D61D9">
        <w:rPr>
          <w:rFonts w:ascii="Arial" w:hAnsi="Arial" w:cs="Arial"/>
          <w:sz w:val="22"/>
          <w:szCs w:val="22"/>
          <w:lang w:val="en"/>
        </w:rPr>
        <w:t>The region experiences a tropical monsoon climate with distinct wet (April–October) and dry (November–March) seasons (</w:t>
      </w:r>
      <w:proofErr w:type="spellStart"/>
      <w:r w:rsidRPr="001D61D9">
        <w:rPr>
          <w:rFonts w:ascii="Arial" w:hAnsi="Arial" w:cs="Arial"/>
          <w:sz w:val="22"/>
          <w:szCs w:val="22"/>
          <w:lang w:val="en"/>
        </w:rPr>
        <w:t>Uko</w:t>
      </w:r>
      <w:proofErr w:type="spellEnd"/>
      <w:r w:rsidRPr="001D61D9">
        <w:rPr>
          <w:rFonts w:ascii="Arial" w:hAnsi="Arial" w:cs="Arial"/>
          <w:sz w:val="22"/>
          <w:szCs w:val="22"/>
          <w:lang w:val="en"/>
        </w:rPr>
        <w:t xml:space="preserve"> &amp; </w:t>
      </w:r>
      <w:proofErr w:type="spellStart"/>
      <w:r w:rsidRPr="001D61D9">
        <w:rPr>
          <w:rFonts w:ascii="Arial" w:hAnsi="Arial" w:cs="Arial"/>
          <w:sz w:val="22"/>
          <w:szCs w:val="22"/>
          <w:lang w:val="en"/>
        </w:rPr>
        <w:t>Tamunobereton</w:t>
      </w:r>
      <w:proofErr w:type="spellEnd"/>
      <w:r w:rsidRPr="001D61D9">
        <w:rPr>
          <w:rFonts w:ascii="Arial" w:hAnsi="Arial" w:cs="Arial"/>
          <w:sz w:val="22"/>
          <w:szCs w:val="22"/>
          <w:lang w:val="en"/>
        </w:rPr>
        <w:t>-Ari, 2013). High average annual rainfall of 2,400–2,700 mm, typical of the Niger Delta coastal zone, significantly enhances leachate production and promotes contaminant transport through the subsurface (</w:t>
      </w:r>
      <w:proofErr w:type="spellStart"/>
      <w:r w:rsidRPr="001D61D9">
        <w:rPr>
          <w:rFonts w:ascii="Arial" w:hAnsi="Arial" w:cs="Arial"/>
          <w:sz w:val="22"/>
          <w:szCs w:val="22"/>
          <w:lang w:val="en"/>
        </w:rPr>
        <w:t>Nwankwoala</w:t>
      </w:r>
      <w:proofErr w:type="spellEnd"/>
      <w:r w:rsidRPr="001D61D9">
        <w:rPr>
          <w:rFonts w:ascii="Arial" w:hAnsi="Arial" w:cs="Arial"/>
          <w:sz w:val="22"/>
          <w:szCs w:val="22"/>
          <w:lang w:val="en"/>
        </w:rPr>
        <w:t xml:space="preserve"> &amp; </w:t>
      </w:r>
      <w:proofErr w:type="spellStart"/>
      <w:r w:rsidRPr="001D61D9">
        <w:rPr>
          <w:rFonts w:ascii="Arial" w:hAnsi="Arial" w:cs="Arial"/>
          <w:sz w:val="22"/>
          <w:szCs w:val="22"/>
          <w:lang w:val="en"/>
        </w:rPr>
        <w:t>Amangabara</w:t>
      </w:r>
      <w:proofErr w:type="spellEnd"/>
      <w:r w:rsidRPr="001D61D9">
        <w:rPr>
          <w:rFonts w:ascii="Arial" w:hAnsi="Arial" w:cs="Arial"/>
          <w:sz w:val="22"/>
          <w:szCs w:val="22"/>
          <w:lang w:val="en"/>
        </w:rPr>
        <w:t xml:space="preserve">, 2015; </w:t>
      </w:r>
      <w:proofErr w:type="spellStart"/>
      <w:r w:rsidRPr="001D61D9">
        <w:rPr>
          <w:rFonts w:ascii="Arial" w:hAnsi="Arial" w:cs="Arial"/>
          <w:sz w:val="22"/>
          <w:szCs w:val="22"/>
          <w:lang w:val="en"/>
        </w:rPr>
        <w:t>Eludoyin</w:t>
      </w:r>
      <w:proofErr w:type="spellEnd"/>
      <w:r w:rsidRPr="001D61D9">
        <w:rPr>
          <w:rFonts w:ascii="Arial" w:hAnsi="Arial" w:cs="Arial"/>
          <w:sz w:val="22"/>
          <w:szCs w:val="22"/>
          <w:lang w:val="en"/>
        </w:rPr>
        <w:t xml:space="preserve"> et al., 2011).</w:t>
      </w:r>
    </w:p>
    <w:p w14:paraId="5EF7C606" w14:textId="77777777" w:rsidR="006B7B33" w:rsidRPr="001D61D9" w:rsidRDefault="006B7B33" w:rsidP="006B7B33">
      <w:pPr>
        <w:spacing w:after="160" w:line="278" w:lineRule="auto"/>
        <w:jc w:val="both"/>
        <w:rPr>
          <w:rFonts w:ascii="Arial" w:hAnsi="Arial" w:cs="Arial"/>
          <w:b/>
          <w:bCs/>
          <w:sz w:val="22"/>
          <w:szCs w:val="22"/>
          <w:lang w:val="en"/>
        </w:rPr>
      </w:pPr>
      <w:r w:rsidRPr="001D61D9">
        <w:rPr>
          <w:rFonts w:ascii="Arial" w:hAnsi="Arial" w:cs="Arial"/>
          <w:b/>
          <w:bCs/>
          <w:sz w:val="22"/>
          <w:szCs w:val="22"/>
          <w:lang w:val="en"/>
        </w:rPr>
        <w:t>1.3.3 Land Use and Population</w:t>
      </w:r>
    </w:p>
    <w:p w14:paraId="67C798C2" w14:textId="6274BE47" w:rsidR="00870714" w:rsidRPr="00031826" w:rsidRDefault="006B7B33" w:rsidP="006B7B33">
      <w:pPr>
        <w:jc w:val="both"/>
        <w:rPr>
          <w:rFonts w:ascii="Arial" w:hAnsi="Arial" w:cs="Arial"/>
          <w:sz w:val="22"/>
          <w:szCs w:val="22"/>
        </w:rPr>
      </w:pPr>
      <w:r w:rsidRPr="001D61D9">
        <w:rPr>
          <w:rFonts w:ascii="Arial" w:hAnsi="Arial" w:cs="Arial"/>
          <w:sz w:val="22"/>
          <w:szCs w:val="22"/>
          <w:lang w:val="en"/>
        </w:rPr>
        <w:t>The area is primarily residential, with major institutions including the University of Port Harcourt located in close proximity, making the environmental implications of this landfill particularly significant (</w:t>
      </w:r>
      <w:proofErr w:type="spellStart"/>
      <w:r w:rsidRPr="001D61D9">
        <w:rPr>
          <w:rFonts w:ascii="Arial" w:hAnsi="Arial" w:cs="Arial"/>
          <w:sz w:val="22"/>
          <w:szCs w:val="22"/>
          <w:lang w:val="en"/>
        </w:rPr>
        <w:t>Ideriah</w:t>
      </w:r>
      <w:proofErr w:type="spellEnd"/>
      <w:r w:rsidRPr="001D61D9">
        <w:rPr>
          <w:rFonts w:ascii="Arial" w:hAnsi="Arial" w:cs="Arial"/>
          <w:sz w:val="22"/>
          <w:szCs w:val="22"/>
          <w:lang w:val="en"/>
        </w:rPr>
        <w:t xml:space="preserve"> et al., 2005; </w:t>
      </w:r>
      <w:proofErr w:type="spellStart"/>
      <w:r w:rsidRPr="001D61D9">
        <w:rPr>
          <w:rFonts w:ascii="Arial" w:hAnsi="Arial" w:cs="Arial"/>
          <w:sz w:val="22"/>
          <w:szCs w:val="22"/>
          <w:lang w:val="en"/>
        </w:rPr>
        <w:t>Nwankwoala</w:t>
      </w:r>
      <w:proofErr w:type="spellEnd"/>
      <w:r w:rsidRPr="001D61D9">
        <w:rPr>
          <w:rFonts w:ascii="Arial" w:hAnsi="Arial" w:cs="Arial"/>
          <w:sz w:val="22"/>
          <w:szCs w:val="22"/>
          <w:lang w:val="en"/>
        </w:rPr>
        <w:t xml:space="preserve"> &amp; </w:t>
      </w:r>
      <w:proofErr w:type="spellStart"/>
      <w:r w:rsidRPr="001D61D9">
        <w:rPr>
          <w:rFonts w:ascii="Arial" w:hAnsi="Arial" w:cs="Arial"/>
          <w:sz w:val="22"/>
          <w:szCs w:val="22"/>
          <w:lang w:val="en"/>
        </w:rPr>
        <w:t>Amangabara</w:t>
      </w:r>
      <w:proofErr w:type="spellEnd"/>
      <w:r w:rsidRPr="001D61D9">
        <w:rPr>
          <w:rFonts w:ascii="Arial" w:hAnsi="Arial" w:cs="Arial"/>
          <w:sz w:val="22"/>
          <w:szCs w:val="22"/>
          <w:lang w:val="en"/>
        </w:rPr>
        <w:t xml:space="preserve">, 2015). With a population density of approximately 2,500 people per km², the facility receives an estimated 150–200 </w:t>
      </w:r>
      <w:proofErr w:type="spellStart"/>
      <w:r w:rsidRPr="001D61D9">
        <w:rPr>
          <w:rFonts w:ascii="Arial" w:hAnsi="Arial" w:cs="Arial"/>
          <w:sz w:val="22"/>
          <w:szCs w:val="22"/>
          <w:lang w:val="en"/>
        </w:rPr>
        <w:t>tonnes</w:t>
      </w:r>
      <w:proofErr w:type="spellEnd"/>
      <w:r w:rsidRPr="001D61D9">
        <w:rPr>
          <w:rFonts w:ascii="Arial" w:hAnsi="Arial" w:cs="Arial"/>
          <w:sz w:val="22"/>
          <w:szCs w:val="22"/>
          <w:lang w:val="en"/>
        </w:rPr>
        <w:t xml:space="preserve"> of mixed solid waste daily. The absence of waste segregation and engineered containment systems, combined with high annual rainfall and the vulnerable shallow aquifer geology of the Benin Formation, substantially increases the risk of both surface and subsurface leachate migration into residential and institutional areas (Longe &amp; Balogun, 2010; </w:t>
      </w:r>
      <w:proofErr w:type="spellStart"/>
      <w:r w:rsidRPr="001D61D9">
        <w:rPr>
          <w:rFonts w:ascii="Arial" w:hAnsi="Arial" w:cs="Arial"/>
          <w:sz w:val="22"/>
          <w:szCs w:val="22"/>
          <w:lang w:val="en"/>
        </w:rPr>
        <w:t>Akujieze</w:t>
      </w:r>
      <w:proofErr w:type="spellEnd"/>
      <w:r w:rsidRPr="001D61D9">
        <w:rPr>
          <w:rFonts w:ascii="Arial" w:hAnsi="Arial" w:cs="Arial"/>
          <w:sz w:val="22"/>
          <w:szCs w:val="22"/>
          <w:lang w:val="en"/>
        </w:rPr>
        <w:t xml:space="preserve"> et al., 2003). A map of the study location is shown in Figure 1.</w:t>
      </w:r>
    </w:p>
    <w:p w14:paraId="417B7114" w14:textId="25DEB126" w:rsidR="00DE6E94" w:rsidRDefault="00870714" w:rsidP="00870714">
      <w:r>
        <w:rPr>
          <w:noProof/>
          <w14:ligatures w14:val="standardContextual"/>
        </w:rPr>
        <w:lastRenderedPageBreak/>
        <w:drawing>
          <wp:inline distT="0" distB="0" distL="0" distR="0" wp14:anchorId="6B3EB2E1" wp14:editId="5FEE8A4B">
            <wp:extent cx="5943600" cy="3536950"/>
            <wp:effectExtent l="0" t="0" r="0" b="6350"/>
            <wp:docPr id="799539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39125" name="Picture 799539125"/>
                    <pic:cNvPicPr/>
                  </pic:nvPicPr>
                  <pic:blipFill>
                    <a:blip r:embed="rId7">
                      <a:extLst>
                        <a:ext uri="{28A0092B-C50C-407E-A947-70E740481C1C}">
                          <a14:useLocalDpi xmlns:a14="http://schemas.microsoft.com/office/drawing/2010/main" val="0"/>
                        </a:ext>
                      </a:extLst>
                    </a:blip>
                    <a:stretch>
                      <a:fillRect/>
                    </a:stretch>
                  </pic:blipFill>
                  <pic:spPr>
                    <a:xfrm>
                      <a:off x="0" y="0"/>
                      <a:ext cx="5943600" cy="3536950"/>
                    </a:xfrm>
                    <a:prstGeom prst="rect">
                      <a:avLst/>
                    </a:prstGeom>
                  </pic:spPr>
                </pic:pic>
              </a:graphicData>
            </a:graphic>
          </wp:inline>
        </w:drawing>
      </w:r>
    </w:p>
    <w:p w14:paraId="2A63BCD4" w14:textId="0CA3CD14" w:rsidR="00866F85" w:rsidRDefault="00866F85" w:rsidP="006B7B33">
      <w:pPr>
        <w:rPr>
          <w:rFonts w:ascii="Times New Roman" w:hAnsi="Times New Roman"/>
          <w:b/>
          <w:bCs/>
          <w:sz w:val="22"/>
          <w:szCs w:val="22"/>
        </w:rPr>
      </w:pPr>
      <w:r>
        <w:tab/>
      </w:r>
      <w:r>
        <w:tab/>
      </w:r>
      <w:r>
        <w:tab/>
      </w:r>
      <w:r>
        <w:tab/>
      </w:r>
      <w:r w:rsidRPr="009273BF">
        <w:rPr>
          <w:rFonts w:ascii="Times New Roman" w:hAnsi="Times New Roman"/>
          <w:b/>
          <w:bCs/>
          <w:sz w:val="22"/>
          <w:szCs w:val="22"/>
        </w:rPr>
        <w:t>Figure 1: Map</w:t>
      </w:r>
      <w:r w:rsidR="009E709E">
        <w:rPr>
          <w:rFonts w:ascii="Times New Roman" w:hAnsi="Times New Roman"/>
          <w:b/>
          <w:bCs/>
          <w:sz w:val="22"/>
          <w:szCs w:val="22"/>
        </w:rPr>
        <w:t xml:space="preserve"> of </w:t>
      </w:r>
      <w:proofErr w:type="spellStart"/>
      <w:r w:rsidR="009E709E" w:rsidRPr="009E709E">
        <w:rPr>
          <w:rFonts w:ascii="Times New Roman" w:hAnsi="Times New Roman"/>
          <w:b/>
          <w:bCs/>
          <w:sz w:val="22"/>
          <w:szCs w:val="22"/>
        </w:rPr>
        <w:t>Obio-Akpor</w:t>
      </w:r>
      <w:proofErr w:type="spellEnd"/>
      <w:r w:rsidR="009E709E" w:rsidRPr="009E709E">
        <w:rPr>
          <w:rFonts w:ascii="Times New Roman" w:hAnsi="Times New Roman"/>
          <w:b/>
          <w:bCs/>
          <w:sz w:val="22"/>
          <w:szCs w:val="22"/>
        </w:rPr>
        <w:t xml:space="preserve"> Local Government Area</w:t>
      </w:r>
    </w:p>
    <w:p w14:paraId="02FF21EE" w14:textId="77777777" w:rsidR="009E709E" w:rsidRPr="006B7B33" w:rsidRDefault="009E709E" w:rsidP="006B7B33"/>
    <w:p w14:paraId="60F09453" w14:textId="0324B9C7" w:rsidR="00870714" w:rsidRDefault="00870714" w:rsidP="009E709E">
      <w:pPr>
        <w:pStyle w:val="AbstHead"/>
        <w:numPr>
          <w:ilvl w:val="0"/>
          <w:numId w:val="16"/>
        </w:numPr>
        <w:spacing w:after="0"/>
        <w:jc w:val="both"/>
        <w:rPr>
          <w:rFonts w:ascii="Arial" w:hAnsi="Arial" w:cs="Arial"/>
        </w:rPr>
      </w:pPr>
      <w:r w:rsidRPr="00870714">
        <w:rPr>
          <w:rFonts w:ascii="Arial" w:hAnsi="Arial" w:cs="Arial"/>
          <w:bCs/>
          <w:szCs w:val="22"/>
        </w:rPr>
        <w:t>material and meth</w:t>
      </w:r>
      <w:r w:rsidRPr="00870714">
        <w:rPr>
          <w:rFonts w:ascii="Arial" w:hAnsi="Arial" w:cs="Arial"/>
          <w:bCs/>
        </w:rPr>
        <w:t>ods</w:t>
      </w:r>
      <w:r>
        <w:rPr>
          <w:rFonts w:ascii="Arial" w:hAnsi="Arial" w:cs="Arial"/>
        </w:rPr>
        <w:t xml:space="preserve"> </w:t>
      </w:r>
    </w:p>
    <w:p w14:paraId="3DC978B6" w14:textId="77777777" w:rsidR="00766923" w:rsidRDefault="00766923" w:rsidP="00766923">
      <w:pPr>
        <w:pStyle w:val="AbstHead"/>
        <w:spacing w:after="0"/>
        <w:ind w:left="720"/>
        <w:jc w:val="both"/>
        <w:rPr>
          <w:rFonts w:ascii="Arial" w:hAnsi="Arial" w:cs="Arial"/>
        </w:rPr>
      </w:pPr>
    </w:p>
    <w:p w14:paraId="65A50F49"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2.1 Sampling Design</w:t>
      </w:r>
    </w:p>
    <w:p w14:paraId="084862E7"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A cross-sectional field survey approach was adopted for this study, with all environmental data collected during a single sampling campaign. This design was considered appropriate given the exploratory nature of the investigation, which sought to establish baseline contamination levels, characteri</w:t>
      </w:r>
      <w:r>
        <w:rPr>
          <w:rFonts w:ascii="Arial" w:hAnsi="Arial" w:cs="Arial"/>
          <w:sz w:val="22"/>
          <w:szCs w:val="22"/>
        </w:rPr>
        <w:t>z</w:t>
      </w:r>
      <w:r w:rsidRPr="00A34741">
        <w:rPr>
          <w:rFonts w:ascii="Arial" w:hAnsi="Arial" w:cs="Arial"/>
          <w:sz w:val="22"/>
          <w:szCs w:val="22"/>
        </w:rPr>
        <w:t xml:space="preserve">e spatial distribution patterns, and evaluate associated health risks across defined zones at the </w:t>
      </w:r>
      <w:proofErr w:type="spellStart"/>
      <w:r w:rsidRPr="00A34741">
        <w:rPr>
          <w:rFonts w:ascii="Arial" w:hAnsi="Arial" w:cs="Arial"/>
          <w:sz w:val="22"/>
          <w:szCs w:val="22"/>
        </w:rPr>
        <w:t>Aluu</w:t>
      </w:r>
      <w:proofErr w:type="spellEnd"/>
      <w:r w:rsidRPr="00A34741">
        <w:rPr>
          <w:rFonts w:ascii="Arial" w:hAnsi="Arial" w:cs="Arial"/>
          <w:sz w:val="22"/>
          <w:szCs w:val="22"/>
        </w:rPr>
        <w:t xml:space="preserve"> landfill site.</w:t>
      </w:r>
    </w:p>
    <w:p w14:paraId="5C06FA4E"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2.1.1 Sampling Locations and Protocol</w:t>
      </w:r>
    </w:p>
    <w:p w14:paraId="12BD59A1"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Eight sampling locations were established to capture a systematic contamination gradient extending from the active landfill interior to uncontaminated background areas. At each location, duplicate samples (designated A and B) were collected, yielding 16 soil samples in total. The eight locations were grouped into four functional zones as follows:</w:t>
      </w:r>
    </w:p>
    <w:p w14:paraId="0524406C" w14:textId="77777777" w:rsidR="00766923" w:rsidRPr="00A34741" w:rsidRDefault="00766923" w:rsidP="00766923">
      <w:pPr>
        <w:numPr>
          <w:ilvl w:val="0"/>
          <w:numId w:val="17"/>
        </w:numPr>
        <w:spacing w:after="160" w:line="278" w:lineRule="auto"/>
        <w:jc w:val="both"/>
        <w:rPr>
          <w:rFonts w:ascii="Arial" w:hAnsi="Arial" w:cs="Arial"/>
          <w:sz w:val="22"/>
          <w:szCs w:val="22"/>
        </w:rPr>
      </w:pPr>
      <w:r w:rsidRPr="00A34741">
        <w:rPr>
          <w:rFonts w:ascii="Arial" w:eastAsiaTheme="majorEastAsia" w:hAnsi="Arial" w:cs="Arial"/>
          <w:b/>
          <w:bCs/>
          <w:sz w:val="22"/>
          <w:szCs w:val="22"/>
        </w:rPr>
        <w:t>Location A (A1, A2):</w:t>
      </w:r>
      <w:r w:rsidRPr="00A34741">
        <w:rPr>
          <w:rFonts w:ascii="Arial" w:hAnsi="Arial" w:cs="Arial"/>
          <w:sz w:val="22"/>
          <w:szCs w:val="22"/>
        </w:rPr>
        <w:t> Within the active landfill boundary</w:t>
      </w:r>
    </w:p>
    <w:p w14:paraId="5AC814EC" w14:textId="77777777" w:rsidR="00766923" w:rsidRPr="00A34741" w:rsidRDefault="00766923" w:rsidP="00766923">
      <w:pPr>
        <w:numPr>
          <w:ilvl w:val="0"/>
          <w:numId w:val="17"/>
        </w:numPr>
        <w:spacing w:after="160" w:line="278" w:lineRule="auto"/>
        <w:jc w:val="both"/>
        <w:rPr>
          <w:rFonts w:ascii="Arial" w:hAnsi="Arial" w:cs="Arial"/>
          <w:sz w:val="22"/>
          <w:szCs w:val="22"/>
        </w:rPr>
      </w:pPr>
      <w:r w:rsidRPr="00A34741">
        <w:rPr>
          <w:rFonts w:ascii="Arial" w:eastAsiaTheme="majorEastAsia" w:hAnsi="Arial" w:cs="Arial"/>
          <w:b/>
          <w:bCs/>
          <w:sz w:val="22"/>
          <w:szCs w:val="22"/>
        </w:rPr>
        <w:t>Location B (B1, B2):</w:t>
      </w:r>
      <w:r w:rsidRPr="00A34741">
        <w:rPr>
          <w:rFonts w:ascii="Arial" w:hAnsi="Arial" w:cs="Arial"/>
          <w:sz w:val="22"/>
          <w:szCs w:val="22"/>
        </w:rPr>
        <w:t> Near-field zone (0–200 m from landfill boundary)</w:t>
      </w:r>
    </w:p>
    <w:p w14:paraId="48D78996" w14:textId="77777777" w:rsidR="00766923" w:rsidRPr="00A34741" w:rsidRDefault="00766923" w:rsidP="00766923">
      <w:pPr>
        <w:numPr>
          <w:ilvl w:val="0"/>
          <w:numId w:val="17"/>
        </w:numPr>
        <w:spacing w:after="160" w:line="278" w:lineRule="auto"/>
        <w:jc w:val="both"/>
        <w:rPr>
          <w:rFonts w:ascii="Arial" w:hAnsi="Arial" w:cs="Arial"/>
          <w:sz w:val="22"/>
          <w:szCs w:val="22"/>
        </w:rPr>
      </w:pPr>
      <w:r w:rsidRPr="00A34741">
        <w:rPr>
          <w:rFonts w:ascii="Arial" w:eastAsiaTheme="majorEastAsia" w:hAnsi="Arial" w:cs="Arial"/>
          <w:b/>
          <w:bCs/>
          <w:sz w:val="22"/>
          <w:szCs w:val="22"/>
        </w:rPr>
        <w:t>Location C (C1, C2):</w:t>
      </w:r>
      <w:r w:rsidRPr="00A34741">
        <w:rPr>
          <w:rFonts w:ascii="Arial" w:hAnsi="Arial" w:cs="Arial"/>
          <w:sz w:val="22"/>
          <w:szCs w:val="22"/>
        </w:rPr>
        <w:t> Far-field zone (200–500 m from landfill boundary)</w:t>
      </w:r>
    </w:p>
    <w:p w14:paraId="0FC60FE5" w14:textId="77777777" w:rsidR="00766923" w:rsidRPr="00A34741" w:rsidRDefault="00766923" w:rsidP="00766923">
      <w:pPr>
        <w:numPr>
          <w:ilvl w:val="0"/>
          <w:numId w:val="17"/>
        </w:numPr>
        <w:spacing w:after="160" w:line="278" w:lineRule="auto"/>
        <w:jc w:val="both"/>
        <w:rPr>
          <w:rFonts w:ascii="Arial" w:hAnsi="Arial" w:cs="Arial"/>
          <w:sz w:val="22"/>
          <w:szCs w:val="22"/>
        </w:rPr>
      </w:pPr>
      <w:r w:rsidRPr="00A34741">
        <w:rPr>
          <w:rFonts w:ascii="Arial" w:eastAsiaTheme="majorEastAsia" w:hAnsi="Arial" w:cs="Arial"/>
          <w:b/>
          <w:bCs/>
          <w:sz w:val="22"/>
          <w:szCs w:val="22"/>
        </w:rPr>
        <w:t>Location F (F1, F2):</w:t>
      </w:r>
      <w:r w:rsidRPr="00A34741">
        <w:rPr>
          <w:rFonts w:ascii="Arial" w:hAnsi="Arial" w:cs="Arial"/>
          <w:sz w:val="22"/>
          <w:szCs w:val="22"/>
        </w:rPr>
        <w:t> Control/background zone (&gt;30 m from landfill, on the opposite side of the access road, in an area with no visible evidence of waste-related activity)</w:t>
      </w:r>
    </w:p>
    <w:p w14:paraId="3C5C73D9"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lastRenderedPageBreak/>
        <w:t>This spatial framework was designed to capture both the contamination gradient emanating from the landfill core and representative background geochemical conditions. It is acknowledged that 16 samples represent a limited dataset for robust geostatistical interpolation; spatial analysis in this study therefore relied on deterministic inverse distance weighting (IDW) rather than kriging, and results should be interpreted as indicative of general contamination patterns rather than definitive spatial models.</w:t>
      </w:r>
    </w:p>
    <w:p w14:paraId="41D51364"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2.2 Equipment and Materials</w:t>
      </w:r>
    </w:p>
    <w:p w14:paraId="2655A8B7"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2.2.1 Field Equipment</w:t>
      </w:r>
    </w:p>
    <w:p w14:paraId="3F362F99"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Soil samples were collected using the following equipment: a hand auger and plastic spades for excavation; labelled high-density polyethylene (HDPE) bags for sample storage and transport; a Magellan Explorist 210 GPS receiver for precise coordinate recording at each sampling point; and a field notebook for on-site observations and QA/QC records.</w:t>
      </w:r>
    </w:p>
    <w:p w14:paraId="1CCCE67D"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2.2.2 Laboratory Equipment</w:t>
      </w:r>
    </w:p>
    <w:p w14:paraId="7BB2FE15"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Heavy metal analysis was performed using a PerkinElmer Analyst 200 Atomic Absorption Spectrophotometer (AAS) equipped with appropriate element-specific hollow cathode lamps. Instrument calibration followed a multi-point procedure using certified reference standards traceable to international standards.</w:t>
      </w:r>
    </w:p>
    <w:p w14:paraId="1CCA6012"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2.2.3 Data Processing Software</w:t>
      </w:r>
    </w:p>
    <w:p w14:paraId="1AD45082"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Spatial distribution mapping and contour analysis were performed using Golden Software Surfer 20.0. Descriptive and inferential statistical analyses were conducted in Microsoft Excel 2019 and SPSS Version 13.0 respectively.</w:t>
      </w:r>
    </w:p>
    <w:p w14:paraId="5E214705"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2.3 Sample Collection and Quality Assurance/Quality Control</w:t>
      </w:r>
    </w:p>
    <w:p w14:paraId="3DAE62B5" w14:textId="5F45BEBF"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 xml:space="preserve">Soil samples were collected from each of the eight locations at two depths — 1.0 m and 1.5 m below ground surface — to capture potential subsurface variation in metal distribution. Sampling at depth also </w:t>
      </w:r>
      <w:r w:rsidR="003C6EBB" w:rsidRPr="00A34741">
        <w:rPr>
          <w:rFonts w:ascii="Arial" w:hAnsi="Arial" w:cs="Arial"/>
          <w:sz w:val="22"/>
          <w:szCs w:val="22"/>
        </w:rPr>
        <w:t>minimized</w:t>
      </w:r>
      <w:r w:rsidRPr="00A34741">
        <w:rPr>
          <w:rFonts w:ascii="Arial" w:hAnsi="Arial" w:cs="Arial"/>
          <w:sz w:val="22"/>
          <w:szCs w:val="22"/>
        </w:rPr>
        <w:t xml:space="preserve"> the influence of surface disturbance and recent waste deposition events on geochemical readings. Duplicate samples at each location (A and B) provided an internal measure of analytical reproducibility.</w:t>
      </w:r>
    </w:p>
    <w:p w14:paraId="660D9610" w14:textId="11CF6A81"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Field blanks were noted, and all sampling equipment was thoroughly cleaned between locations to prevent cross-contamination. Samples were placed in pre-labelled HDPE bags, sealed immediately after collection, and stored in a cool box for transportation to the laboratory. Non-detect (ND) values recorded for certain metals at specific locations were treated as zero for contamination factor calculations, which represents a conservative approach consistent with standard practice in environmental geochemical studies (</w:t>
      </w:r>
      <w:proofErr w:type="spellStart"/>
      <w:r w:rsidR="009007DA">
        <w:rPr>
          <w:rFonts w:ascii="Arial" w:hAnsi="Arial" w:cs="Arial"/>
          <w:sz w:val="22"/>
          <w:szCs w:val="22"/>
        </w:rPr>
        <w:t>Hkanson</w:t>
      </w:r>
      <w:proofErr w:type="spellEnd"/>
      <w:r w:rsidRPr="00A34741">
        <w:rPr>
          <w:rFonts w:ascii="Arial" w:hAnsi="Arial" w:cs="Arial"/>
          <w:sz w:val="22"/>
          <w:szCs w:val="22"/>
        </w:rPr>
        <w:t>, 1980; Müller, 1969).</w:t>
      </w:r>
    </w:p>
    <w:p w14:paraId="3242DBA0"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2.3.1 Sample Preparation</w:t>
      </w:r>
    </w:p>
    <w:p w14:paraId="49F04D9C"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 xml:space="preserve">Upon receipt in the laboratory, samples were air-dried at room temperature to constant weight, disaggregated gently using a pestle and mortar, and sieved through a 2 mm stainless steel mesh </w:t>
      </w:r>
      <w:r w:rsidRPr="00A34741">
        <w:rPr>
          <w:rFonts w:ascii="Arial" w:hAnsi="Arial" w:cs="Arial"/>
          <w:sz w:val="22"/>
          <w:szCs w:val="22"/>
        </w:rPr>
        <w:lastRenderedPageBreak/>
        <w:t>to remove coarse debris and isolate the fine fraction for analysis, consistent with standard protocols for heavy metal analysis in soils (ISO 11466:1995).</w:t>
      </w:r>
    </w:p>
    <w:p w14:paraId="22DE3443"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2.3.2 Acid Digestion Procedure</w:t>
      </w:r>
    </w:p>
    <w:p w14:paraId="4187B8F8"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Heavy metals were extracted by aqua regia digestion, a widely adopted method for total metal recovery from soil matrices. A 0.5 g sub-sample of prepared soil was accurately weighed into a 100 mL borosilicate glass beaker. A freshly prepared mixture of concentrated HNO</w:t>
      </w:r>
      <w:r w:rsidRPr="00A34741">
        <w:rPr>
          <w:rFonts w:ascii="Cambria Math" w:hAnsi="Cambria Math" w:cs="Cambria Math"/>
          <w:sz w:val="22"/>
          <w:szCs w:val="22"/>
        </w:rPr>
        <w:t>₃</w:t>
      </w:r>
      <w:r w:rsidRPr="00A34741">
        <w:rPr>
          <w:rFonts w:ascii="Arial" w:hAnsi="Arial" w:cs="Arial"/>
          <w:sz w:val="22"/>
          <w:szCs w:val="22"/>
        </w:rPr>
        <w:t xml:space="preserve"> (9 mL) and concentrated HCl (3 mL) in a 3:1 volumetric ratio was carefully added to each beaker and allowed to react at room temperature for 30 minutes, permitting the initial reaction to subside before the application of heat.</w:t>
      </w:r>
    </w:p>
    <w:p w14:paraId="0ECFD8A4"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 xml:space="preserve">Each beaker was covered with a watch glass and heated on a regulated hot plate at 85 ± 5°C for two hours, until the digest volume had reduced to approximately 5 </w:t>
      </w:r>
      <w:proofErr w:type="spellStart"/>
      <w:r w:rsidRPr="00A34741">
        <w:rPr>
          <w:rFonts w:ascii="Arial" w:hAnsi="Arial" w:cs="Arial"/>
          <w:sz w:val="22"/>
          <w:szCs w:val="22"/>
        </w:rPr>
        <w:t>mL.</w:t>
      </w:r>
      <w:proofErr w:type="spellEnd"/>
      <w:r w:rsidRPr="00A34741">
        <w:rPr>
          <w:rFonts w:ascii="Arial" w:hAnsi="Arial" w:cs="Arial"/>
          <w:sz w:val="22"/>
          <w:szCs w:val="22"/>
        </w:rPr>
        <w:t xml:space="preserve"> This extended heating ensured complete dissolution of organic matter and breakdown of metal complexes. After cooling to room temperature, each digest was quantitatively transferred to a 50 mL volumetric flask and made up to volume with </w:t>
      </w:r>
      <w:proofErr w:type="spellStart"/>
      <w:r w:rsidRPr="00A34741">
        <w:rPr>
          <w:rFonts w:ascii="Arial" w:hAnsi="Arial" w:cs="Arial"/>
          <w:sz w:val="22"/>
          <w:szCs w:val="22"/>
        </w:rPr>
        <w:t>deionised</w:t>
      </w:r>
      <w:proofErr w:type="spellEnd"/>
      <w:r w:rsidRPr="00A34741">
        <w:rPr>
          <w:rFonts w:ascii="Arial" w:hAnsi="Arial" w:cs="Arial"/>
          <w:sz w:val="22"/>
          <w:szCs w:val="22"/>
        </w:rPr>
        <w:t xml:space="preserve"> water. The resulting solution was filtered through Whatman No. 42 filter paper to remove undissolved residue, and the clarified filtrate was transferred to acid-washed polyethylene bottles. All samples were </w:t>
      </w:r>
      <w:proofErr w:type="spellStart"/>
      <w:r w:rsidRPr="00A34741">
        <w:rPr>
          <w:rFonts w:ascii="Arial" w:hAnsi="Arial" w:cs="Arial"/>
          <w:sz w:val="22"/>
          <w:szCs w:val="22"/>
        </w:rPr>
        <w:t>analysed</w:t>
      </w:r>
      <w:proofErr w:type="spellEnd"/>
      <w:r w:rsidRPr="00A34741">
        <w:rPr>
          <w:rFonts w:ascii="Arial" w:hAnsi="Arial" w:cs="Arial"/>
          <w:sz w:val="22"/>
          <w:szCs w:val="22"/>
        </w:rPr>
        <w:t xml:space="preserve"> within 48 hours of preparation to </w:t>
      </w:r>
      <w:proofErr w:type="spellStart"/>
      <w:r w:rsidRPr="00A34741">
        <w:rPr>
          <w:rFonts w:ascii="Arial" w:hAnsi="Arial" w:cs="Arial"/>
          <w:sz w:val="22"/>
          <w:szCs w:val="22"/>
        </w:rPr>
        <w:t>minimise</w:t>
      </w:r>
      <w:proofErr w:type="spellEnd"/>
      <w:r w:rsidRPr="00A34741">
        <w:rPr>
          <w:rFonts w:ascii="Arial" w:hAnsi="Arial" w:cs="Arial"/>
          <w:sz w:val="22"/>
          <w:szCs w:val="22"/>
        </w:rPr>
        <w:t xml:space="preserve"> the risk of metal precipitation or wall-adsorption losses. The digestion procedure is consistent with internationally </w:t>
      </w:r>
      <w:proofErr w:type="spellStart"/>
      <w:r w:rsidRPr="00A34741">
        <w:rPr>
          <w:rFonts w:ascii="Arial" w:hAnsi="Arial" w:cs="Arial"/>
          <w:sz w:val="22"/>
          <w:szCs w:val="22"/>
        </w:rPr>
        <w:t>recognised</w:t>
      </w:r>
      <w:proofErr w:type="spellEnd"/>
      <w:r w:rsidRPr="00A34741">
        <w:rPr>
          <w:rFonts w:ascii="Arial" w:hAnsi="Arial" w:cs="Arial"/>
          <w:sz w:val="22"/>
          <w:szCs w:val="22"/>
        </w:rPr>
        <w:t xml:space="preserve"> guidelines for environmental sample preparation (WHO, 2011; USEPA Method 3050B). The five target analytes were arsenic (As), nickel (Ni), chromium (Cr), cadmium (Cd), and lead (Pb).</w:t>
      </w:r>
    </w:p>
    <w:p w14:paraId="56B6B72F" w14:textId="77777777" w:rsidR="00766923" w:rsidRPr="00A34741" w:rsidRDefault="00766923" w:rsidP="00766923">
      <w:pPr>
        <w:spacing w:after="160" w:line="278" w:lineRule="auto"/>
        <w:jc w:val="both"/>
        <w:rPr>
          <w:rFonts w:ascii="Arial" w:hAnsi="Arial" w:cs="Arial"/>
          <w:sz w:val="22"/>
          <w:szCs w:val="22"/>
        </w:rPr>
      </w:pPr>
    </w:p>
    <w:p w14:paraId="3A9E7B56"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2.4 Hydrogeological and Geological Assessment</w:t>
      </w:r>
    </w:p>
    <w:p w14:paraId="6CEE7658"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A desktop-based hydrogeological assessment was conducted to contextualize the geochemical findings within the broader framework of groundwater vulnerability and contaminant migration potential. This involved a systematic review of published geological maps, hydrogeological reports, and peer-reviewed literature pertaining to the Benin Formation aquifer system of the Niger Delta region. It should be noted that no site-specific geophysical surveys were conducted as part of this study; hydrogeological interpretations are therefore based on regional characterizations and should be regarded accordingly.</w:t>
      </w:r>
    </w:p>
    <w:p w14:paraId="133F0196"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2.5 Data Analysis</w:t>
      </w:r>
    </w:p>
    <w:p w14:paraId="732C9575"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Descriptive statistics (mean, range, standard deviation) were computed for all metal concentrations by sampling zone using Microsoft Excel and SPSS v13.0. Pearson correlation analysis was employed to explore inter-metal associations and infer potential common contamination sources. Spatial distribution maps were generated using inverse distance weighting (IDW) interpolation in Surfer 20.0, given the limited sample size (n = 16), which does not meet the minimum threshold typically recommended for kriging-based geostatistical analysis.</w:t>
      </w:r>
    </w:p>
    <w:p w14:paraId="106E8BAA"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2.6 Contamination Assessment Indices</w:t>
      </w:r>
    </w:p>
    <w:p w14:paraId="7BF0AA6F"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lastRenderedPageBreak/>
        <w:t>Three complementary pollution indices were calculated to quantify the degree of heavy metal enrichment relative to local background levels established from the control zone (F1 and F2):</w:t>
      </w:r>
    </w:p>
    <w:p w14:paraId="5AC74E92" w14:textId="77777777" w:rsidR="00766923" w:rsidRPr="00A34741" w:rsidRDefault="00766923" w:rsidP="00766923">
      <w:pPr>
        <w:spacing w:after="160" w:line="278" w:lineRule="auto"/>
        <w:jc w:val="both"/>
        <w:rPr>
          <w:rFonts w:ascii="Arial" w:hAnsi="Arial" w:cs="Arial"/>
          <w:sz w:val="22"/>
          <w:szCs w:val="22"/>
        </w:rPr>
      </w:pPr>
      <w:r w:rsidRPr="00A34741">
        <w:rPr>
          <w:rFonts w:ascii="Arial" w:eastAsiaTheme="majorEastAsia" w:hAnsi="Arial" w:cs="Arial"/>
          <w:b/>
          <w:bCs/>
          <w:sz w:val="22"/>
          <w:szCs w:val="22"/>
        </w:rPr>
        <w:t>1. Contamination Factor (CF)</w:t>
      </w:r>
    </w:p>
    <w:p w14:paraId="2B1E26C2"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The contamination factor was calculated as:</w:t>
      </w:r>
    </w:p>
    <w:p w14:paraId="2815B29C" w14:textId="6A98B6CF" w:rsidR="00766923" w:rsidRPr="00A34741" w:rsidRDefault="00766923" w:rsidP="00766923">
      <w:pPr>
        <w:spacing w:after="160" w:line="278" w:lineRule="auto"/>
        <w:jc w:val="both"/>
        <w:rPr>
          <w:rFonts w:ascii="Arial" w:hAnsi="Arial" w:cs="Arial"/>
          <w:sz w:val="22"/>
          <w:szCs w:val="22"/>
        </w:rPr>
      </w:pPr>
      <m:oMathPara>
        <m:oMath>
          <m:r>
            <w:rPr>
              <w:rFonts w:ascii="Cambria Math" w:hAnsi="Cambria Math" w:cs="Arial"/>
              <w:sz w:val="22"/>
              <w:szCs w:val="22"/>
            </w:rPr>
            <m:t>CF=</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sample</m:t>
                  </m:r>
                </m:sub>
              </m:sSub>
            </m:num>
            <m:den>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background</m:t>
                  </m:r>
                </m:sub>
              </m:sSub>
            </m:den>
          </m:f>
          <m:r>
            <m:rPr>
              <m:sty m:val="p"/>
            </m:rPr>
            <w:rPr>
              <w:rFonts w:ascii="Arial" w:hAnsi="Arial" w:cs="Arial"/>
              <w:sz w:val="22"/>
              <w:szCs w:val="22"/>
            </w:rPr>
            <w:br/>
          </m:r>
        </m:oMath>
      </m:oMathPara>
      <w:r w:rsidRPr="00A34741">
        <w:rPr>
          <w:rFonts w:ascii="Arial" w:hAnsi="Arial" w:cs="Arial"/>
          <w:sz w:val="22"/>
          <w:szCs w:val="22"/>
        </w:rPr>
        <w:t>Where </w:t>
      </w:r>
      <w:r w:rsidRPr="00A34741">
        <w:rPr>
          <w:rFonts w:ascii="Arial" w:hAnsi="Arial" w:cs="Arial"/>
          <w:i/>
          <w:iCs/>
          <w:sz w:val="22"/>
          <w:szCs w:val="22"/>
        </w:rPr>
        <w:t>C</w:t>
      </w:r>
      <w:r w:rsidRPr="00A34741">
        <w:rPr>
          <w:rFonts w:ascii="Arial" w:hAnsi="Arial" w:cs="Arial"/>
          <w:sz w:val="22"/>
          <w:szCs w:val="22"/>
        </w:rPr>
        <w:t>_sample is the measured mean metal concentration at a given zone and </w:t>
      </w:r>
      <w:r w:rsidRPr="00A34741">
        <w:rPr>
          <w:rFonts w:ascii="Arial" w:hAnsi="Arial" w:cs="Arial"/>
          <w:i/>
          <w:iCs/>
          <w:sz w:val="22"/>
          <w:szCs w:val="22"/>
        </w:rPr>
        <w:t>C</w:t>
      </w:r>
      <w:r w:rsidRPr="00A34741">
        <w:rPr>
          <w:rFonts w:ascii="Arial" w:hAnsi="Arial" w:cs="Arial"/>
          <w:sz w:val="22"/>
          <w:szCs w:val="22"/>
        </w:rPr>
        <w:t>_background is the mean background concentration derived from the control sites (F1 and F2). CF values are interpreted as follows: CF &lt; 1 = low contamination; 1 ≤ CF &lt; 3 = moderate; 3 ≤ CF &lt; 6 = considerable; CF ≥ 6 = very high (</w:t>
      </w:r>
      <w:proofErr w:type="spellStart"/>
      <w:r w:rsidR="009007DA">
        <w:rPr>
          <w:rFonts w:ascii="Arial" w:hAnsi="Arial" w:cs="Arial"/>
          <w:sz w:val="22"/>
          <w:szCs w:val="22"/>
        </w:rPr>
        <w:t>Hkanson</w:t>
      </w:r>
      <w:proofErr w:type="spellEnd"/>
      <w:r w:rsidRPr="00A34741">
        <w:rPr>
          <w:rFonts w:ascii="Arial" w:hAnsi="Arial" w:cs="Arial"/>
          <w:sz w:val="22"/>
          <w:szCs w:val="22"/>
        </w:rPr>
        <w:t>, 1980).</w:t>
      </w:r>
    </w:p>
    <w:p w14:paraId="6371D333" w14:textId="77777777" w:rsidR="00766923" w:rsidRPr="00A34741" w:rsidRDefault="00766923" w:rsidP="00766923">
      <w:pPr>
        <w:spacing w:after="160" w:line="278" w:lineRule="auto"/>
        <w:jc w:val="both"/>
        <w:rPr>
          <w:rFonts w:ascii="Arial" w:hAnsi="Arial" w:cs="Arial"/>
          <w:sz w:val="22"/>
          <w:szCs w:val="22"/>
        </w:rPr>
      </w:pPr>
      <w:r w:rsidRPr="00A34741">
        <w:rPr>
          <w:rFonts w:ascii="Arial" w:eastAsiaTheme="majorEastAsia" w:hAnsi="Arial" w:cs="Arial"/>
          <w:b/>
          <w:bCs/>
          <w:sz w:val="22"/>
          <w:szCs w:val="22"/>
        </w:rPr>
        <w:t>2. Geo-accumulation Index (I</w:t>
      </w:r>
      <w:r w:rsidRPr="00A34741">
        <w:rPr>
          <w:rFonts w:ascii="Arial" w:hAnsi="Arial" w:cs="Arial"/>
          <w:sz w:val="22"/>
          <w:szCs w:val="22"/>
        </w:rPr>
        <w:t>_geo*</w:t>
      </w:r>
      <w:proofErr w:type="gramStart"/>
      <w:r w:rsidRPr="00A34741">
        <w:rPr>
          <w:rFonts w:ascii="Arial" w:hAnsi="Arial" w:cs="Arial"/>
          <w:sz w:val="22"/>
          <w:szCs w:val="22"/>
        </w:rPr>
        <w:t>*)*</w:t>
      </w:r>
      <w:proofErr w:type="gramEnd"/>
      <w:r w:rsidRPr="00A34741">
        <w:rPr>
          <w:rFonts w:ascii="Arial" w:hAnsi="Arial" w:cs="Arial"/>
          <w:sz w:val="22"/>
          <w:szCs w:val="22"/>
        </w:rPr>
        <w:t>*</w:t>
      </w:r>
    </w:p>
    <w:p w14:paraId="20C04523"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The geo-accumulation index was computed following Müller (1969):</w:t>
      </w:r>
    </w:p>
    <w:p w14:paraId="4409AB52" w14:textId="58D75EFA" w:rsidR="00766923" w:rsidRPr="00A34741" w:rsidRDefault="009801D4" w:rsidP="00766923">
      <w:pPr>
        <w:spacing w:after="160" w:line="278" w:lineRule="auto"/>
        <w:jc w:val="both"/>
        <w:rPr>
          <w:rFonts w:ascii="Arial" w:hAnsi="Arial"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I</m:t>
              </m:r>
            </m:e>
            <m:sub>
              <m:r>
                <w:rPr>
                  <w:rFonts w:ascii="Cambria Math" w:hAnsi="Cambria Math" w:cs="Arial"/>
                  <w:sz w:val="22"/>
                  <w:szCs w:val="22"/>
                </w:rPr>
                <m:t>geo</m:t>
              </m:r>
            </m:sub>
          </m:sSub>
          <m:r>
            <w:rPr>
              <w:rFonts w:ascii="Cambria Math" w:hAnsi="Cambria Math" w:cs="Arial"/>
              <w:sz w:val="22"/>
              <w:szCs w:val="22"/>
            </w:rPr>
            <m:t>=</m:t>
          </m:r>
          <m:sSub>
            <m:sSubPr>
              <m:ctrlPr>
                <w:rPr>
                  <w:rFonts w:ascii="Cambria Math" w:hAnsi="Cambria Math" w:cs="Arial"/>
                  <w:sz w:val="22"/>
                  <w:szCs w:val="22"/>
                </w:rPr>
              </m:ctrlPr>
            </m:sSubPr>
            <m:e>
              <m:r>
                <m:rPr>
                  <m:sty m:val="p"/>
                </m:rPr>
                <w:rPr>
                  <w:rFonts w:ascii="Cambria Math" w:hAnsi="Cambria Math" w:cs="Arial"/>
                  <w:sz w:val="22"/>
                  <w:szCs w:val="22"/>
                </w:rPr>
                <m:t>log</m:t>
              </m:r>
              <m:r>
                <w:rPr>
                  <w:rFonts w:ascii="Cambria Math" w:hAnsi="Cambria Math" w:cs="Arial"/>
                  <w:sz w:val="22"/>
                  <w:szCs w:val="22"/>
                </w:rPr>
                <m:t>⁡</m:t>
              </m:r>
            </m:e>
            <m:sub>
              <m:r>
                <w:rPr>
                  <w:rFonts w:ascii="Cambria Math" w:hAnsi="Cambria Math" w:cs="Arial"/>
                  <w:sz w:val="22"/>
                  <w:szCs w:val="22"/>
                </w:rPr>
                <m:t>2</m:t>
              </m:r>
            </m:sub>
          </m:sSub>
          <m:d>
            <m:dPr>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n</m:t>
                      </m:r>
                    </m:sub>
                  </m:sSub>
                </m:num>
                <m:den>
                  <m:r>
                    <w:rPr>
                      <w:rFonts w:ascii="Cambria Math" w:hAnsi="Cambria Math" w:cs="Arial"/>
                      <w:sz w:val="22"/>
                      <w:szCs w:val="22"/>
                    </w:rPr>
                    <m:t>1.5×</m:t>
                  </m:r>
                  <m:sSub>
                    <m:sSubPr>
                      <m:ctrlPr>
                        <w:rPr>
                          <w:rFonts w:ascii="Cambria Math" w:hAnsi="Cambria Math" w:cs="Arial"/>
                          <w:sz w:val="22"/>
                          <w:szCs w:val="22"/>
                        </w:rPr>
                      </m:ctrlPr>
                    </m:sSubPr>
                    <m:e>
                      <m:r>
                        <w:rPr>
                          <w:rFonts w:ascii="Cambria Math" w:hAnsi="Cambria Math" w:cs="Arial"/>
                          <w:sz w:val="22"/>
                          <w:szCs w:val="22"/>
                        </w:rPr>
                        <m:t>B</m:t>
                      </m:r>
                    </m:e>
                    <m:sub>
                      <m:r>
                        <w:rPr>
                          <w:rFonts w:ascii="Cambria Math" w:hAnsi="Cambria Math" w:cs="Arial"/>
                          <w:sz w:val="22"/>
                          <w:szCs w:val="22"/>
                        </w:rPr>
                        <m:t>n</m:t>
                      </m:r>
                    </m:sub>
                  </m:sSub>
                </m:den>
              </m:f>
            </m:e>
          </m:d>
          <m:r>
            <m:rPr>
              <m:sty m:val="p"/>
            </m:rPr>
            <w:rPr>
              <w:rFonts w:ascii="Arial" w:hAnsi="Arial" w:cs="Arial"/>
              <w:sz w:val="22"/>
              <w:szCs w:val="22"/>
            </w:rPr>
            <w:br/>
          </m:r>
        </m:oMath>
      </m:oMathPara>
      <w:r w:rsidR="00766923" w:rsidRPr="00A34741">
        <w:rPr>
          <w:rFonts w:ascii="Arial" w:hAnsi="Arial" w:cs="Arial"/>
          <w:sz w:val="22"/>
          <w:szCs w:val="22"/>
        </w:rPr>
        <w:t>Where </w:t>
      </w:r>
      <w:proofErr w:type="spellStart"/>
      <w:r w:rsidR="00766923" w:rsidRPr="00A34741">
        <w:rPr>
          <w:rFonts w:ascii="Arial" w:hAnsi="Arial" w:cs="Arial"/>
          <w:i/>
          <w:iCs/>
          <w:sz w:val="22"/>
          <w:szCs w:val="22"/>
        </w:rPr>
        <w:t>C</w:t>
      </w:r>
      <w:r w:rsidR="00766923" w:rsidRPr="00A34741">
        <w:rPr>
          <w:rFonts w:ascii="Arial" w:hAnsi="Arial" w:cs="Arial"/>
          <w:sz w:val="22"/>
          <w:szCs w:val="22"/>
        </w:rPr>
        <w:t>_n</w:t>
      </w:r>
      <w:proofErr w:type="spellEnd"/>
      <w:r w:rsidR="00766923" w:rsidRPr="00A34741">
        <w:rPr>
          <w:rFonts w:ascii="Arial" w:hAnsi="Arial" w:cs="Arial"/>
          <w:sz w:val="22"/>
          <w:szCs w:val="22"/>
        </w:rPr>
        <w:t xml:space="preserve"> is the measured metal concentration, </w:t>
      </w:r>
      <w:proofErr w:type="spellStart"/>
      <w:r w:rsidR="00766923" w:rsidRPr="00A34741">
        <w:rPr>
          <w:rFonts w:ascii="Arial" w:hAnsi="Arial" w:cs="Arial"/>
          <w:i/>
          <w:iCs/>
          <w:sz w:val="22"/>
          <w:szCs w:val="22"/>
        </w:rPr>
        <w:t>B</w:t>
      </w:r>
      <w:r w:rsidR="00766923" w:rsidRPr="00A34741">
        <w:rPr>
          <w:rFonts w:ascii="Arial" w:hAnsi="Arial" w:cs="Arial"/>
          <w:sz w:val="22"/>
          <w:szCs w:val="22"/>
        </w:rPr>
        <w:t>_n</w:t>
      </w:r>
      <w:proofErr w:type="spellEnd"/>
      <w:r w:rsidR="00766923" w:rsidRPr="00A34741">
        <w:rPr>
          <w:rFonts w:ascii="Arial" w:hAnsi="Arial" w:cs="Arial"/>
          <w:sz w:val="22"/>
          <w:szCs w:val="22"/>
        </w:rPr>
        <w:t xml:space="preserve"> is the geochemical background concentration, and 1.5 is a correction factor that accounts for natural lithogenic variability in background values. I_geo classes range from Class 0 (I_geo ≤ 0, unpolluted) to Class 6 (I_geo &gt; 5, extremely polluted).</w:t>
      </w:r>
    </w:p>
    <w:p w14:paraId="41FE3C69" w14:textId="77777777" w:rsidR="00766923" w:rsidRPr="00A34741" w:rsidRDefault="00766923" w:rsidP="00766923">
      <w:pPr>
        <w:spacing w:after="160" w:line="278" w:lineRule="auto"/>
        <w:jc w:val="both"/>
        <w:rPr>
          <w:rFonts w:ascii="Arial" w:hAnsi="Arial" w:cs="Arial"/>
          <w:sz w:val="22"/>
          <w:szCs w:val="22"/>
        </w:rPr>
      </w:pPr>
      <w:r w:rsidRPr="00A34741">
        <w:rPr>
          <w:rFonts w:ascii="Arial" w:eastAsiaTheme="majorEastAsia" w:hAnsi="Arial" w:cs="Arial"/>
          <w:b/>
          <w:bCs/>
          <w:sz w:val="22"/>
          <w:szCs w:val="22"/>
        </w:rPr>
        <w:t>3. Pollution Load Index (PLI)</w:t>
      </w:r>
    </w:p>
    <w:p w14:paraId="516056E5"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The pollution load index, which provides an integrated measure of overall contamination across all metals assessed, was calculated as:</w:t>
      </w:r>
    </w:p>
    <w:p w14:paraId="77F2655B" w14:textId="77777777" w:rsidR="00766923" w:rsidRPr="00A34741" w:rsidRDefault="00766923" w:rsidP="00766923">
      <w:pPr>
        <w:spacing w:after="160" w:line="278" w:lineRule="auto"/>
        <w:jc w:val="both"/>
        <w:rPr>
          <w:rFonts w:ascii="Arial" w:hAnsi="Arial" w:cs="Arial"/>
          <w:sz w:val="22"/>
          <w:szCs w:val="22"/>
        </w:rPr>
      </w:pPr>
      <m:oMathPara>
        <m:oMath>
          <m:r>
            <w:rPr>
              <w:rFonts w:ascii="Cambria Math" w:hAnsi="Cambria Math" w:cs="Arial"/>
              <w:sz w:val="22"/>
              <w:szCs w:val="22"/>
            </w:rPr>
            <m:t>PLI=</m:t>
          </m:r>
          <m:rad>
            <m:radPr>
              <m:ctrlPr>
                <w:rPr>
                  <w:rFonts w:ascii="Cambria Math" w:hAnsi="Cambria Math" w:cs="Arial"/>
                  <w:sz w:val="22"/>
                  <w:szCs w:val="22"/>
                </w:rPr>
              </m:ctrlPr>
            </m:radPr>
            <m:deg>
              <m:r>
                <w:rPr>
                  <w:rFonts w:ascii="Cambria Math" w:hAnsi="Cambria Math" w:cs="Arial"/>
                  <w:sz w:val="22"/>
                  <w:szCs w:val="22"/>
                </w:rPr>
                <m:t>n</m:t>
              </m:r>
            </m:deg>
            <m:e>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1</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2</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3</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n</m:t>
                  </m:r>
                </m:sub>
              </m:sSub>
            </m:e>
          </m:rad>
          <m:r>
            <m:rPr>
              <m:sty m:val="p"/>
            </m:rPr>
            <w:rPr>
              <w:rFonts w:ascii="Arial" w:hAnsi="Arial" w:cs="Arial"/>
              <w:sz w:val="22"/>
              <w:szCs w:val="22"/>
            </w:rPr>
            <w:br/>
          </m:r>
        </m:oMath>
      </m:oMathPara>
    </w:p>
    <w:p w14:paraId="29274FEB"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Where </w:t>
      </w:r>
      <w:r w:rsidRPr="00A34741">
        <w:rPr>
          <w:rFonts w:ascii="Arial" w:hAnsi="Arial" w:cs="Arial"/>
          <w:i/>
          <w:iCs/>
          <w:sz w:val="22"/>
          <w:szCs w:val="22"/>
        </w:rPr>
        <w:t>n</w:t>
      </w:r>
      <w:r w:rsidRPr="00A34741">
        <w:rPr>
          <w:rFonts w:ascii="Arial" w:hAnsi="Arial" w:cs="Arial"/>
          <w:sz w:val="22"/>
          <w:szCs w:val="22"/>
        </w:rPr>
        <w:t> is the number of metals assessed (n = 5 in this study). PLI &gt; 1 indicates deterioration from baseline conditions; PLI ≤ 1 indicates no pollution above background.</w:t>
      </w:r>
    </w:p>
    <w:p w14:paraId="6431A796" w14:textId="77777777" w:rsidR="00766923" w:rsidRDefault="00766923" w:rsidP="00766923">
      <w:pPr>
        <w:jc w:val="both"/>
        <w:rPr>
          <w:rFonts w:ascii="Arial" w:hAnsi="Arial" w:cs="Arial"/>
          <w:b/>
          <w:bCs/>
          <w:sz w:val="22"/>
          <w:szCs w:val="22"/>
        </w:rPr>
      </w:pPr>
    </w:p>
    <w:p w14:paraId="5FF70EB1"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2.7 Human Health Risk Assessment</w:t>
      </w:r>
    </w:p>
    <w:p w14:paraId="23FB770A"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Non-carcinogenic health risks were evaluated using the Hazard Index (HI) approach recommended by the United States Environmental Protection Agency (USEPA, 1989) and widely applied in Nigerian environmental studies. The Average Daily Dose (ADD) via soil ingestion was calculated as:</w:t>
      </w:r>
    </w:p>
    <w:p w14:paraId="01129334" w14:textId="77777777" w:rsidR="00766923" w:rsidRPr="00A34741" w:rsidRDefault="00766923" w:rsidP="00766923">
      <w:pPr>
        <w:spacing w:after="160" w:line="278" w:lineRule="auto"/>
        <w:jc w:val="both"/>
        <w:rPr>
          <w:rFonts w:ascii="Arial" w:hAnsi="Arial" w:cs="Arial"/>
          <w:sz w:val="22"/>
          <w:szCs w:val="22"/>
        </w:rPr>
      </w:pPr>
      <m:oMathPara>
        <m:oMath>
          <m:r>
            <w:rPr>
              <w:rFonts w:ascii="Cambria Math" w:hAnsi="Cambria Math" w:cs="Arial"/>
              <w:sz w:val="22"/>
              <w:szCs w:val="22"/>
            </w:rPr>
            <m:t>ADD=</m:t>
          </m:r>
          <m:f>
            <m:fPr>
              <m:ctrlPr>
                <w:rPr>
                  <w:rFonts w:ascii="Cambria Math" w:hAnsi="Cambria Math" w:cs="Arial"/>
                  <w:sz w:val="22"/>
                  <w:szCs w:val="22"/>
                </w:rPr>
              </m:ctrlPr>
            </m:fPr>
            <m:num>
              <m:r>
                <w:rPr>
                  <w:rFonts w:ascii="Cambria Math" w:hAnsi="Cambria Math" w:cs="Arial"/>
                  <w:sz w:val="22"/>
                  <w:szCs w:val="22"/>
                </w:rPr>
                <m:t>C×IR×EF×ED×CF</m:t>
              </m:r>
            </m:num>
            <m:den>
              <m:r>
                <w:rPr>
                  <w:rFonts w:ascii="Cambria Math" w:hAnsi="Cambria Math" w:cs="Arial"/>
                  <w:sz w:val="22"/>
                  <w:szCs w:val="22"/>
                </w:rPr>
                <m:t>BW×AT</m:t>
              </m:r>
            </m:den>
          </m:f>
          <m:r>
            <m:rPr>
              <m:sty m:val="p"/>
            </m:rPr>
            <w:rPr>
              <w:rFonts w:ascii="Arial" w:hAnsi="Arial" w:cs="Arial"/>
              <w:sz w:val="22"/>
              <w:szCs w:val="22"/>
            </w:rPr>
            <w:br/>
          </m:r>
        </m:oMath>
      </m:oMathPara>
    </w:p>
    <w:p w14:paraId="40A5D9D4"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Where:</w:t>
      </w:r>
    </w:p>
    <w:p w14:paraId="35A26CBD"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C</w:t>
      </w:r>
      <w:r w:rsidRPr="00A34741">
        <w:rPr>
          <w:rFonts w:ascii="Arial" w:hAnsi="Arial" w:cs="Arial"/>
          <w:sz w:val="22"/>
          <w:szCs w:val="22"/>
        </w:rPr>
        <w:t> = measured metal concentration in soil (mg/kg)</w:t>
      </w:r>
    </w:p>
    <w:p w14:paraId="333261FB"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lastRenderedPageBreak/>
        <w:t>IR</w:t>
      </w:r>
      <w:r w:rsidRPr="00A34741">
        <w:rPr>
          <w:rFonts w:ascii="Arial" w:hAnsi="Arial" w:cs="Arial"/>
          <w:sz w:val="22"/>
          <w:szCs w:val="22"/>
        </w:rPr>
        <w:t> = ingestion rate (mg soil/day)</w:t>
      </w:r>
    </w:p>
    <w:p w14:paraId="2EE5B36D"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EF</w:t>
      </w:r>
      <w:r w:rsidRPr="00A34741">
        <w:rPr>
          <w:rFonts w:ascii="Arial" w:hAnsi="Arial" w:cs="Arial"/>
          <w:sz w:val="22"/>
          <w:szCs w:val="22"/>
        </w:rPr>
        <w:t> = exposure frequency (days/year)</w:t>
      </w:r>
    </w:p>
    <w:p w14:paraId="3D211CE3"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ED</w:t>
      </w:r>
      <w:r w:rsidRPr="00A34741">
        <w:rPr>
          <w:rFonts w:ascii="Arial" w:hAnsi="Arial" w:cs="Arial"/>
          <w:sz w:val="22"/>
          <w:szCs w:val="22"/>
        </w:rPr>
        <w:t> = exposure duration (years)</w:t>
      </w:r>
    </w:p>
    <w:p w14:paraId="3A5E0476"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CF</w:t>
      </w:r>
      <w:r w:rsidRPr="00A34741">
        <w:rPr>
          <w:rFonts w:ascii="Arial" w:hAnsi="Arial" w:cs="Arial"/>
          <w:sz w:val="22"/>
          <w:szCs w:val="22"/>
        </w:rPr>
        <w:t> = unit conversion factor</w:t>
      </w:r>
    </w:p>
    <w:p w14:paraId="43DDEE18"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BW</w:t>
      </w:r>
      <w:r w:rsidRPr="00A34741">
        <w:rPr>
          <w:rFonts w:ascii="Arial" w:hAnsi="Arial" w:cs="Arial"/>
          <w:sz w:val="22"/>
          <w:szCs w:val="22"/>
        </w:rPr>
        <w:t> = body weight (kg)</w:t>
      </w:r>
    </w:p>
    <w:p w14:paraId="3403F6A5"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AT</w:t>
      </w:r>
      <w:r w:rsidRPr="00A34741">
        <w:rPr>
          <w:rFonts w:ascii="Arial" w:hAnsi="Arial" w:cs="Arial"/>
          <w:sz w:val="22"/>
          <w:szCs w:val="22"/>
        </w:rPr>
        <w:t> = averaging time (days)</w:t>
      </w:r>
    </w:p>
    <w:p w14:paraId="1719EF50"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The Hazard Quotient (HQ) for each individual metal was derived as:</w:t>
      </w:r>
    </w:p>
    <w:p w14:paraId="35D86484" w14:textId="596392FB" w:rsidR="00766923" w:rsidRPr="00A34741" w:rsidRDefault="00766923" w:rsidP="00766923">
      <w:pPr>
        <w:spacing w:after="160" w:line="278" w:lineRule="auto"/>
        <w:jc w:val="both"/>
        <w:rPr>
          <w:rFonts w:ascii="Arial" w:hAnsi="Arial" w:cs="Arial"/>
          <w:sz w:val="22"/>
          <w:szCs w:val="22"/>
        </w:rPr>
      </w:pPr>
      <m:oMathPara>
        <m:oMath>
          <m:r>
            <w:rPr>
              <w:rFonts w:ascii="Cambria Math" w:hAnsi="Cambria Math" w:cs="Arial"/>
              <w:sz w:val="22"/>
              <w:szCs w:val="22"/>
            </w:rPr>
            <m:t>HQ=</m:t>
          </m:r>
          <m:f>
            <m:fPr>
              <m:ctrlPr>
                <w:rPr>
                  <w:rFonts w:ascii="Cambria Math" w:hAnsi="Cambria Math" w:cs="Arial"/>
                  <w:sz w:val="22"/>
                  <w:szCs w:val="22"/>
                </w:rPr>
              </m:ctrlPr>
            </m:fPr>
            <m:num>
              <m:r>
                <w:rPr>
                  <w:rFonts w:ascii="Cambria Math" w:hAnsi="Cambria Math" w:cs="Arial"/>
                  <w:sz w:val="22"/>
                  <w:szCs w:val="22"/>
                </w:rPr>
                <m:t>ADD</m:t>
              </m:r>
            </m:num>
            <m:den>
              <m:r>
                <w:rPr>
                  <w:rFonts w:ascii="Cambria Math" w:hAnsi="Cambria Math" w:cs="Arial"/>
                  <w:sz w:val="22"/>
                  <w:szCs w:val="22"/>
                </w:rPr>
                <m:t>RfD</m:t>
              </m:r>
            </m:den>
          </m:f>
          <m:r>
            <m:rPr>
              <m:sty m:val="p"/>
            </m:rPr>
            <w:rPr>
              <w:rFonts w:ascii="Arial" w:hAnsi="Arial" w:cs="Arial"/>
              <w:sz w:val="22"/>
              <w:szCs w:val="22"/>
            </w:rPr>
            <w:br/>
          </m:r>
        </m:oMath>
      </m:oMathPara>
      <w:r w:rsidRPr="00A34741">
        <w:rPr>
          <w:rFonts w:ascii="Arial" w:hAnsi="Arial" w:cs="Arial"/>
          <w:sz w:val="22"/>
          <w:szCs w:val="22"/>
        </w:rPr>
        <w:t>Where </w:t>
      </w:r>
      <w:proofErr w:type="spellStart"/>
      <w:r w:rsidRPr="00A34741">
        <w:rPr>
          <w:rFonts w:ascii="Arial" w:hAnsi="Arial" w:cs="Arial"/>
          <w:i/>
          <w:iCs/>
          <w:sz w:val="22"/>
          <w:szCs w:val="22"/>
        </w:rPr>
        <w:t>RfD</w:t>
      </w:r>
      <w:proofErr w:type="spellEnd"/>
      <w:r w:rsidRPr="00A34741">
        <w:rPr>
          <w:rFonts w:ascii="Arial" w:hAnsi="Arial" w:cs="Arial"/>
          <w:sz w:val="22"/>
          <w:szCs w:val="22"/>
        </w:rPr>
        <w:t> is the oral reference dose for the respective metal (mg/kg/day), obtained from USEPA IRIS database values. The cumulative Hazard Index (HI) representing total non-carcinogenic risk from simultaneous exposure to all five metals was then calculated as:</w:t>
      </w:r>
    </w:p>
    <w:p w14:paraId="4994DDD1" w14:textId="77777777" w:rsidR="00766923" w:rsidRPr="00A34741" w:rsidRDefault="00766923" w:rsidP="00766923">
      <w:pPr>
        <w:spacing w:after="160" w:line="278" w:lineRule="auto"/>
        <w:jc w:val="both"/>
        <w:rPr>
          <w:rFonts w:ascii="Arial" w:hAnsi="Arial" w:cs="Arial"/>
          <w:sz w:val="22"/>
          <w:szCs w:val="22"/>
        </w:rPr>
      </w:pPr>
      <m:oMathPara>
        <m:oMath>
          <m:r>
            <w:rPr>
              <w:rFonts w:ascii="Cambria Math" w:hAnsi="Cambria Math" w:cs="Arial"/>
              <w:sz w:val="22"/>
              <w:szCs w:val="22"/>
            </w:rPr>
            <m:t>HI=∑HQ</m:t>
          </m:r>
          <m:r>
            <m:rPr>
              <m:sty m:val="p"/>
            </m:rPr>
            <w:rPr>
              <w:rFonts w:ascii="Arial" w:hAnsi="Arial" w:cs="Arial"/>
              <w:sz w:val="22"/>
              <w:szCs w:val="22"/>
            </w:rPr>
            <w:br/>
          </m:r>
        </m:oMath>
      </m:oMathPara>
    </w:p>
    <w:p w14:paraId="6F0E67CD"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Results were interpreted against the following threshold criteria:</w:t>
      </w:r>
    </w:p>
    <w:p w14:paraId="16B10B40" w14:textId="77777777" w:rsidR="00766923" w:rsidRPr="00A34741" w:rsidRDefault="00766923" w:rsidP="00766923">
      <w:pPr>
        <w:numPr>
          <w:ilvl w:val="0"/>
          <w:numId w:val="19"/>
        </w:numPr>
        <w:spacing w:after="160" w:line="278" w:lineRule="auto"/>
        <w:jc w:val="both"/>
        <w:rPr>
          <w:rFonts w:ascii="Arial" w:hAnsi="Arial" w:cs="Arial"/>
          <w:sz w:val="22"/>
          <w:szCs w:val="22"/>
        </w:rPr>
      </w:pPr>
      <w:r w:rsidRPr="00A34741">
        <w:rPr>
          <w:rFonts w:ascii="Arial" w:eastAsiaTheme="majorEastAsia" w:hAnsi="Arial" w:cs="Arial"/>
          <w:b/>
          <w:bCs/>
          <w:sz w:val="22"/>
          <w:szCs w:val="22"/>
        </w:rPr>
        <w:t>HI ≤ 1:</w:t>
      </w:r>
      <w:r w:rsidRPr="00A34741">
        <w:rPr>
          <w:rFonts w:ascii="Arial" w:hAnsi="Arial" w:cs="Arial"/>
          <w:sz w:val="22"/>
          <w:szCs w:val="22"/>
        </w:rPr>
        <w:t> No significant non-carcinogenic health risk anticipated</w:t>
      </w:r>
    </w:p>
    <w:p w14:paraId="21095FC2" w14:textId="77777777" w:rsidR="00766923" w:rsidRPr="00A34741" w:rsidRDefault="00766923" w:rsidP="00766923">
      <w:pPr>
        <w:numPr>
          <w:ilvl w:val="0"/>
          <w:numId w:val="19"/>
        </w:numPr>
        <w:spacing w:after="160" w:line="278" w:lineRule="auto"/>
        <w:jc w:val="both"/>
        <w:rPr>
          <w:rFonts w:ascii="Arial" w:hAnsi="Arial" w:cs="Arial"/>
          <w:sz w:val="22"/>
          <w:szCs w:val="22"/>
        </w:rPr>
      </w:pPr>
      <w:r w:rsidRPr="00A34741">
        <w:rPr>
          <w:rFonts w:ascii="Arial" w:eastAsiaTheme="majorEastAsia" w:hAnsi="Arial" w:cs="Arial"/>
          <w:b/>
          <w:bCs/>
          <w:sz w:val="22"/>
          <w:szCs w:val="22"/>
        </w:rPr>
        <w:t>HI &gt; 1:</w:t>
      </w:r>
      <w:r w:rsidRPr="00A34741">
        <w:rPr>
          <w:rFonts w:ascii="Arial" w:hAnsi="Arial" w:cs="Arial"/>
          <w:sz w:val="22"/>
          <w:szCs w:val="22"/>
        </w:rPr>
        <w:t> Potential for adverse non-carcinogenic health effects</w:t>
      </w:r>
    </w:p>
    <w:p w14:paraId="2F523D36" w14:textId="7FAB5037" w:rsidR="002A2A8F" w:rsidRDefault="00766923" w:rsidP="00766923">
      <w:pPr>
        <w:rPr>
          <w:rFonts w:ascii="Arial" w:hAnsi="Arial" w:cs="Arial"/>
          <w:sz w:val="22"/>
          <w:szCs w:val="22"/>
        </w:rPr>
      </w:pPr>
      <w:r w:rsidRPr="00A34741">
        <w:rPr>
          <w:rFonts w:ascii="Arial" w:eastAsiaTheme="majorEastAsia" w:hAnsi="Arial" w:cs="Arial"/>
          <w:b/>
          <w:bCs/>
          <w:sz w:val="22"/>
          <w:szCs w:val="22"/>
        </w:rPr>
        <w:t>HI &gt; 10:</w:t>
      </w:r>
      <w:r w:rsidRPr="00A34741">
        <w:rPr>
          <w:rFonts w:ascii="Arial" w:hAnsi="Arial" w:cs="Arial"/>
          <w:sz w:val="22"/>
          <w:szCs w:val="22"/>
        </w:rPr>
        <w:t> High concern level warranting immediate investigation and intervention</w:t>
      </w:r>
    </w:p>
    <w:p w14:paraId="6EA742EE" w14:textId="77777777" w:rsidR="002A2A8F" w:rsidRPr="00087982" w:rsidRDefault="002A2A8F" w:rsidP="002A2A8F">
      <w:pPr>
        <w:pStyle w:val="Head1"/>
        <w:spacing w:after="0"/>
        <w:jc w:val="both"/>
        <w:rPr>
          <w:rFonts w:ascii="Arial" w:hAnsi="Arial" w:cs="Arial"/>
          <w:szCs w:val="22"/>
        </w:rPr>
      </w:pPr>
      <w:r w:rsidRPr="00087982">
        <w:rPr>
          <w:rFonts w:ascii="Arial" w:hAnsi="Arial" w:cs="Arial"/>
          <w:szCs w:val="22"/>
        </w:rPr>
        <w:t>3. results and discussion</w:t>
      </w:r>
    </w:p>
    <w:p w14:paraId="6C1B4EB4" w14:textId="77777777" w:rsidR="002A2A8F" w:rsidRPr="00087982" w:rsidRDefault="002A2A8F" w:rsidP="00870714">
      <w:pPr>
        <w:rPr>
          <w:rFonts w:ascii="Arial" w:hAnsi="Arial" w:cs="Arial"/>
          <w:sz w:val="22"/>
          <w:szCs w:val="22"/>
        </w:rPr>
      </w:pPr>
    </w:p>
    <w:p w14:paraId="0DA9BA82" w14:textId="1377B482" w:rsidR="008C02EC" w:rsidRDefault="008C02EC" w:rsidP="008C02EC">
      <w:pPr>
        <w:jc w:val="both"/>
        <w:rPr>
          <w:rFonts w:ascii="Arial" w:hAnsi="Arial" w:cs="Arial"/>
          <w:b/>
          <w:bCs/>
          <w:sz w:val="22"/>
          <w:szCs w:val="22"/>
        </w:rPr>
      </w:pPr>
      <w:r w:rsidRPr="008C02EC">
        <w:rPr>
          <w:rFonts w:ascii="Arial" w:hAnsi="Arial" w:cs="Arial"/>
          <w:b/>
          <w:bCs/>
          <w:sz w:val="22"/>
          <w:szCs w:val="22"/>
        </w:rPr>
        <w:t>3.1 Heavy Metal Concentrations and Spatial Distribution</w:t>
      </w:r>
    </w:p>
    <w:p w14:paraId="212151B2" w14:textId="77777777" w:rsidR="008C02EC" w:rsidRPr="008C02EC" w:rsidRDefault="008C02EC" w:rsidP="008C02EC">
      <w:pPr>
        <w:jc w:val="both"/>
        <w:rPr>
          <w:rFonts w:ascii="Arial" w:hAnsi="Arial" w:cs="Arial"/>
          <w:b/>
          <w:bCs/>
          <w:sz w:val="22"/>
          <w:szCs w:val="22"/>
        </w:rPr>
      </w:pPr>
    </w:p>
    <w:p w14:paraId="34CDB844" w14:textId="4C2DD4F8" w:rsidR="007D4F30" w:rsidRPr="00176490" w:rsidRDefault="007D4F30" w:rsidP="007D4F30">
      <w:pPr>
        <w:spacing w:after="160" w:line="278" w:lineRule="auto"/>
        <w:jc w:val="both"/>
        <w:rPr>
          <w:rFonts w:ascii="Arial" w:hAnsi="Arial" w:cs="Arial"/>
          <w:sz w:val="22"/>
          <w:szCs w:val="22"/>
        </w:rPr>
      </w:pPr>
      <w:r w:rsidRPr="00176490">
        <w:rPr>
          <w:rFonts w:ascii="Arial" w:hAnsi="Arial" w:cs="Arial"/>
          <w:sz w:val="22"/>
          <w:szCs w:val="22"/>
        </w:rPr>
        <w:t xml:space="preserve">The analytical results from atomic absorption spectrophotometry revealed varying but generally low absolute concentrations of the five target metals across all sampling zones at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landfill, with all values remaining below applicable WHO and </w:t>
      </w:r>
      <w:r w:rsidR="00C04F80" w:rsidRPr="00C04F80">
        <w:rPr>
          <w:rFonts w:ascii="Arial" w:hAnsi="Arial" w:cs="Arial"/>
          <w:sz w:val="22"/>
          <w:szCs w:val="22"/>
        </w:rPr>
        <w:t>NESREA</w:t>
      </w:r>
      <w:r w:rsidRPr="00176490">
        <w:rPr>
          <w:rFonts w:ascii="Arial" w:hAnsi="Arial" w:cs="Arial"/>
          <w:sz w:val="22"/>
          <w:szCs w:val="22"/>
        </w:rPr>
        <w:t xml:space="preserve"> regulatory thresholds (Table 3). However, it is well establishe</w:t>
      </w:r>
      <w:bookmarkStart w:id="2" w:name="_GoBack"/>
      <w:bookmarkEnd w:id="2"/>
      <w:r w:rsidRPr="00176490">
        <w:rPr>
          <w:rFonts w:ascii="Arial" w:hAnsi="Arial" w:cs="Arial"/>
          <w:sz w:val="22"/>
          <w:szCs w:val="22"/>
        </w:rPr>
        <w:t>d in environmental geochemistry that regulatory compliance and geochemical significance are not equivalent measures concentrations may remain sub-regulatory while still exhibiting meaningful anthropogenic enrichment relative to local background levels (Müller, 1969; Håkanson, 1980). It is precisely this relative enrichment, rather than absolute concentration alone, that the pollution indices employed in this study are designed to quantify. This interpretive framework has been applied consistently in landfill soil assessments across the Niger Delta, where sub-threshold concentrations have nonetheless yielded significant pollution index values (</w:t>
      </w:r>
      <w:proofErr w:type="spellStart"/>
      <w:r w:rsidRPr="00176490">
        <w:rPr>
          <w:rFonts w:ascii="Arial" w:hAnsi="Arial" w:cs="Arial"/>
          <w:sz w:val="22"/>
          <w:szCs w:val="22"/>
        </w:rPr>
        <w:t>Ideriah</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2005; Longe &amp; Balogun, 2010).</w:t>
      </w:r>
    </w:p>
    <w:p w14:paraId="5322D222" w14:textId="77777777" w:rsidR="007D4F30" w:rsidRPr="00176490" w:rsidRDefault="007D4F30" w:rsidP="007D4F30">
      <w:pPr>
        <w:spacing w:after="160" w:line="278" w:lineRule="auto"/>
        <w:jc w:val="both"/>
        <w:rPr>
          <w:rFonts w:ascii="Arial" w:hAnsi="Arial" w:cs="Arial"/>
          <w:sz w:val="22"/>
          <w:szCs w:val="22"/>
        </w:rPr>
      </w:pPr>
      <w:r w:rsidRPr="00176490">
        <w:rPr>
          <w:rFonts w:ascii="Arial" w:hAnsi="Arial" w:cs="Arial"/>
          <w:sz w:val="22"/>
          <w:szCs w:val="22"/>
        </w:rPr>
        <w:t xml:space="preserve">The mean arsenic concentration within the landfill zone (A-zone mean = 0.055 ppm) was markedly elevated relative to control values (0.004 ppm), producing an enrichment ratio of approximately 13.75. Although this absolute value is low by international standards, arsenic enrichment of this nature at West African coastal landfill sites has commonly been associated with the </w:t>
      </w:r>
      <w:r w:rsidRPr="00176490">
        <w:rPr>
          <w:rFonts w:ascii="Arial" w:hAnsi="Arial" w:cs="Arial"/>
          <w:sz w:val="22"/>
          <w:szCs w:val="22"/>
        </w:rPr>
        <w:lastRenderedPageBreak/>
        <w:t xml:space="preserve">decomposition of electronic waste components and pesticide-treated organic materials within the waste mass (Yabe </w:t>
      </w:r>
      <w:r w:rsidRPr="00176490">
        <w:rPr>
          <w:rFonts w:ascii="Arial" w:hAnsi="Arial" w:cs="Arial"/>
          <w:i/>
          <w:iCs/>
          <w:sz w:val="22"/>
          <w:szCs w:val="22"/>
        </w:rPr>
        <w:t>et al</w:t>
      </w:r>
      <w:r w:rsidRPr="00176490">
        <w:rPr>
          <w:rFonts w:ascii="Arial" w:hAnsi="Arial" w:cs="Arial"/>
          <w:sz w:val="22"/>
          <w:szCs w:val="22"/>
        </w:rPr>
        <w:t xml:space="preserve">., 2010). </w:t>
      </w:r>
      <w:proofErr w:type="spellStart"/>
      <w:r w:rsidRPr="00176490">
        <w:rPr>
          <w:rFonts w:ascii="Arial" w:hAnsi="Arial" w:cs="Arial"/>
          <w:sz w:val="22"/>
          <w:szCs w:val="22"/>
        </w:rPr>
        <w:t>Iwegbue</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(2020) documented comparable arsenic enrichment patterns in Niger Delta soils affected by mixed waste inputs, reporting mean values in the range of 0.02–0.07 ppm, which is broadly consistent with the concentrations recorded in the A-zone of this study.</w:t>
      </w:r>
    </w:p>
    <w:p w14:paraId="79E43C7D" w14:textId="77777777" w:rsidR="007D4F30" w:rsidRPr="00176490" w:rsidRDefault="007D4F30" w:rsidP="007D4F30">
      <w:pPr>
        <w:spacing w:after="160" w:line="278" w:lineRule="auto"/>
        <w:jc w:val="both"/>
        <w:rPr>
          <w:rFonts w:ascii="Arial" w:hAnsi="Arial" w:cs="Arial"/>
          <w:sz w:val="22"/>
          <w:szCs w:val="22"/>
        </w:rPr>
      </w:pPr>
      <w:r w:rsidRPr="00176490">
        <w:rPr>
          <w:rFonts w:ascii="Arial" w:hAnsi="Arial" w:cs="Arial"/>
          <w:sz w:val="22"/>
          <w:szCs w:val="22"/>
        </w:rPr>
        <w:t>The most spatially significant finding was the pronounced lead anomaly at the far-field C2 location (mean = 1.040 ppm). While this value remains far below the WHO soil guideline of 50 ppm, it is approximately 25 times the local background concentration (0.042 ppm) and exceeds the within-landfill mean by nearly nine-fold. Far-field lead anomalies at unlined Nigerian dumpsites have previously been attributed to a combination of surface runoff transport, informal secondary waste dumping, and vehicular emissions along adjacent roadways (</w:t>
      </w:r>
      <w:proofErr w:type="spellStart"/>
      <w:r w:rsidRPr="00176490">
        <w:rPr>
          <w:rFonts w:ascii="Arial" w:hAnsi="Arial" w:cs="Arial"/>
          <w:sz w:val="22"/>
          <w:szCs w:val="22"/>
        </w:rPr>
        <w:t>Ideriah</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2005; Ogundele et al., 2017). The spatial isolation of the C2 anomaly, which occurs without a progressive concentration gradient extending from the landfill core, is more consistent with a </w:t>
      </w:r>
      <w:proofErr w:type="spellStart"/>
      <w:r w:rsidRPr="00176490">
        <w:rPr>
          <w:rFonts w:ascii="Arial" w:hAnsi="Arial" w:cs="Arial"/>
          <w:sz w:val="22"/>
          <w:szCs w:val="22"/>
        </w:rPr>
        <w:t>localised</w:t>
      </w:r>
      <w:proofErr w:type="spellEnd"/>
      <w:r w:rsidRPr="00176490">
        <w:rPr>
          <w:rFonts w:ascii="Arial" w:hAnsi="Arial" w:cs="Arial"/>
          <w:sz w:val="22"/>
          <w:szCs w:val="22"/>
        </w:rPr>
        <w:t xml:space="preserve"> secondary input at or near that location than with leachate-driven advective transport from the main waste body. This interpretation remains tentative, however, and requires confirmation through targeted source investigation in future work.</w:t>
      </w:r>
    </w:p>
    <w:p w14:paraId="43F174F5" w14:textId="77777777" w:rsidR="007D4F30" w:rsidRPr="00176490" w:rsidRDefault="007D4F30" w:rsidP="007D4F30">
      <w:pPr>
        <w:spacing w:after="160" w:line="278" w:lineRule="auto"/>
        <w:jc w:val="both"/>
        <w:rPr>
          <w:rFonts w:ascii="Arial" w:hAnsi="Arial" w:cs="Arial"/>
          <w:sz w:val="22"/>
          <w:szCs w:val="22"/>
        </w:rPr>
      </w:pPr>
      <w:r w:rsidRPr="00176490">
        <w:rPr>
          <w:rFonts w:ascii="Arial" w:hAnsi="Arial" w:cs="Arial"/>
          <w:sz w:val="22"/>
          <w:szCs w:val="22"/>
        </w:rPr>
        <w:t>Nickel displayed a spatially counter-intuitive pattern, with peak concentrations recorded in the near-field and far-field zones (B1 mean = 0.233 ppm; C1 mean = 0.188 ppm) rather than within the landfill interior (A-zone mean = 0.045 ppm). This distribution likely reflects the preferential mobilization of nickel under mildly acidic conditions, given that nickel solubility and mobility increase substantially in soils with pH values below 6.5 (</w:t>
      </w:r>
      <w:proofErr w:type="spellStart"/>
      <w:r w:rsidRPr="00176490">
        <w:rPr>
          <w:rFonts w:ascii="Arial" w:hAnsi="Arial" w:cs="Arial"/>
          <w:sz w:val="22"/>
          <w:szCs w:val="22"/>
        </w:rPr>
        <w:t>Kabata-Pendias</w:t>
      </w:r>
      <w:proofErr w:type="spellEnd"/>
      <w:r w:rsidRPr="00176490">
        <w:rPr>
          <w:rFonts w:ascii="Arial" w:hAnsi="Arial" w:cs="Arial"/>
          <w:sz w:val="22"/>
          <w:szCs w:val="22"/>
        </w:rPr>
        <w:t xml:space="preserve">, 2011). Leachate percolation through near-field soils tends to reduce local soil pH, creating conditions that </w:t>
      </w:r>
      <w:proofErr w:type="spellStart"/>
      <w:r w:rsidRPr="00176490">
        <w:rPr>
          <w:rFonts w:ascii="Arial" w:hAnsi="Arial" w:cs="Arial"/>
          <w:sz w:val="22"/>
          <w:szCs w:val="22"/>
        </w:rPr>
        <w:t>favour</w:t>
      </w:r>
      <w:proofErr w:type="spellEnd"/>
      <w:r w:rsidRPr="00176490">
        <w:rPr>
          <w:rFonts w:ascii="Arial" w:hAnsi="Arial" w:cs="Arial"/>
          <w:sz w:val="22"/>
          <w:szCs w:val="22"/>
        </w:rPr>
        <w:t xml:space="preserve"> nickel release and lateral migration. A qualitatively similar near-field nickel enrichment pattern has been reported at comparable southeastern Nigerian landfill sites, where near-field soils exhibited nickel concentrations several times higher than those at the disposal core, attributed to pH-driven mobilization through sandy substrates (</w:t>
      </w:r>
      <w:proofErr w:type="spellStart"/>
      <w:r w:rsidRPr="00176490">
        <w:rPr>
          <w:rFonts w:ascii="Arial" w:hAnsi="Arial" w:cs="Arial"/>
          <w:sz w:val="22"/>
          <w:szCs w:val="22"/>
        </w:rPr>
        <w:t>Iwegbue</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2020).</w:t>
      </w:r>
    </w:p>
    <w:p w14:paraId="6F00AEE7" w14:textId="2120A410" w:rsidR="002F43F9" w:rsidRPr="002F43F9" w:rsidRDefault="007D4F30" w:rsidP="007D4F30">
      <w:pPr>
        <w:jc w:val="both"/>
        <w:rPr>
          <w:rFonts w:ascii="Arial" w:hAnsi="Arial" w:cs="Arial"/>
          <w:sz w:val="22"/>
          <w:szCs w:val="22"/>
        </w:rPr>
      </w:pPr>
      <w:r w:rsidRPr="00176490">
        <w:rPr>
          <w:rFonts w:ascii="Arial" w:hAnsi="Arial" w:cs="Arial"/>
          <w:sz w:val="22"/>
          <w:szCs w:val="22"/>
        </w:rPr>
        <w:t>The subsections that follow detail metal concentration patterns at each sampling zone within this broader interpretive framework.</w:t>
      </w:r>
    </w:p>
    <w:p w14:paraId="35164C53" w14:textId="77777777" w:rsidR="008C02EC" w:rsidRPr="008C02EC" w:rsidRDefault="008C02EC" w:rsidP="008C02EC">
      <w:pPr>
        <w:jc w:val="both"/>
        <w:rPr>
          <w:rFonts w:ascii="Arial" w:hAnsi="Arial" w:cs="Arial"/>
          <w:sz w:val="22"/>
          <w:szCs w:val="22"/>
        </w:rPr>
      </w:pPr>
    </w:p>
    <w:p w14:paraId="0A27D7BD" w14:textId="0DB648DC" w:rsidR="008C02EC" w:rsidRDefault="008C02EC" w:rsidP="008C02EC">
      <w:pPr>
        <w:jc w:val="both"/>
        <w:rPr>
          <w:rFonts w:ascii="Arial" w:hAnsi="Arial" w:cs="Arial"/>
          <w:b/>
          <w:bCs/>
          <w:sz w:val="22"/>
          <w:szCs w:val="22"/>
        </w:rPr>
      </w:pPr>
      <w:r w:rsidRPr="008C02EC">
        <w:rPr>
          <w:rFonts w:ascii="Arial" w:hAnsi="Arial" w:cs="Arial"/>
          <w:b/>
          <w:bCs/>
          <w:sz w:val="22"/>
          <w:szCs w:val="22"/>
        </w:rPr>
        <w:t>3.1.1 Location-Specific Contamination Patterns</w:t>
      </w:r>
    </w:p>
    <w:p w14:paraId="5D3F1C9C" w14:textId="77777777" w:rsidR="008C02EC" w:rsidRPr="008C02EC" w:rsidRDefault="008C02EC" w:rsidP="008C02EC">
      <w:pPr>
        <w:jc w:val="both"/>
        <w:rPr>
          <w:rFonts w:ascii="Arial" w:hAnsi="Arial" w:cs="Arial"/>
          <w:b/>
          <w:bCs/>
          <w:sz w:val="22"/>
          <w:szCs w:val="22"/>
        </w:rPr>
      </w:pPr>
    </w:p>
    <w:p w14:paraId="593C88C6"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1. Within Landfill Boundary (Locations A1, A2)</w:t>
      </w:r>
    </w:p>
    <w:p w14:paraId="02580394" w14:textId="77777777" w:rsidR="009F5EFC" w:rsidRPr="00176490" w:rsidRDefault="009F5EFC" w:rsidP="009F5EFC">
      <w:pPr>
        <w:spacing w:after="160" w:line="278" w:lineRule="auto"/>
        <w:jc w:val="both"/>
        <w:rPr>
          <w:rFonts w:ascii="Arial" w:hAnsi="Arial" w:cs="Arial"/>
          <w:sz w:val="22"/>
          <w:szCs w:val="22"/>
        </w:rPr>
      </w:pPr>
      <w:r w:rsidRPr="00176490">
        <w:rPr>
          <w:rFonts w:ascii="Arial" w:hAnsi="Arial" w:cs="Arial"/>
          <w:sz w:val="22"/>
          <w:szCs w:val="22"/>
        </w:rPr>
        <w:t xml:space="preserve">Location A1 displayed the most diverse contamination profile within the active landfill boundary, with elevated concentrations recorded across multiple metals: arsenic (0.103 ppm), cadmium (0.174 ppm), lead (0.175 ppm), nickel (0.054 ppm), and chromium (0.038 ppm). The co-elevation of arsenic and cadmium at this location is consistent with contributions from mixed electronic and battery waste, which are common components of Nigerian municipal solid waste streams. Location A2 exhibited a contrasting pattern, with the highest chromium concentration recorded across all sites (0.085 ppm) but comparatively lower levels of other metals, suggesting a more </w:t>
      </w:r>
      <w:proofErr w:type="spellStart"/>
      <w:r w:rsidRPr="00176490">
        <w:rPr>
          <w:rFonts w:ascii="Arial" w:hAnsi="Arial" w:cs="Arial"/>
          <w:sz w:val="22"/>
          <w:szCs w:val="22"/>
        </w:rPr>
        <w:t>localised</w:t>
      </w:r>
      <w:proofErr w:type="spellEnd"/>
      <w:r w:rsidRPr="00176490">
        <w:rPr>
          <w:rFonts w:ascii="Arial" w:hAnsi="Arial" w:cs="Arial"/>
          <w:sz w:val="22"/>
          <w:szCs w:val="22"/>
        </w:rPr>
        <w:t xml:space="preserve"> chromium source such as construction material waste or treated leather scrap. Table 1 presents the complete analytical dataset and Table 2 provides a statistical summary by sampling zone.</w:t>
      </w:r>
    </w:p>
    <w:p w14:paraId="760B9B7D" w14:textId="7238F8CE" w:rsidR="008C02EC" w:rsidRPr="002E78D6" w:rsidRDefault="008C02EC" w:rsidP="008C02EC">
      <w:pPr>
        <w:jc w:val="both"/>
        <w:rPr>
          <w:rFonts w:ascii="Arial" w:hAnsi="Arial" w:cs="Arial"/>
          <w:sz w:val="22"/>
          <w:szCs w:val="22"/>
        </w:rPr>
      </w:pPr>
      <w:r w:rsidRPr="002E78D6">
        <w:rPr>
          <w:rFonts w:ascii="Arial" w:hAnsi="Arial" w:cs="Arial"/>
          <w:b/>
          <w:bCs/>
          <w:sz w:val="22"/>
          <w:szCs w:val="22"/>
        </w:rPr>
        <w:lastRenderedPageBreak/>
        <w:t>Table 1: Heavy Metal Concentrations in Soil Samples (ppm)</w:t>
      </w:r>
    </w:p>
    <w:tbl>
      <w:tblPr>
        <w:tblW w:w="10510" w:type="dxa"/>
        <w:tblCellSpacing w:w="15" w:type="dxa"/>
        <w:tblCellMar>
          <w:top w:w="15" w:type="dxa"/>
          <w:left w:w="15" w:type="dxa"/>
          <w:bottom w:w="15" w:type="dxa"/>
          <w:right w:w="15" w:type="dxa"/>
        </w:tblCellMar>
        <w:tblLook w:val="04A0" w:firstRow="1" w:lastRow="0" w:firstColumn="1" w:lastColumn="0" w:noHBand="0" w:noVBand="1"/>
      </w:tblPr>
      <w:tblGrid>
        <w:gridCol w:w="1149"/>
        <w:gridCol w:w="1443"/>
        <w:gridCol w:w="1427"/>
        <w:gridCol w:w="1209"/>
        <w:gridCol w:w="1146"/>
        <w:gridCol w:w="1177"/>
        <w:gridCol w:w="1240"/>
        <w:gridCol w:w="1224"/>
        <w:gridCol w:w="80"/>
        <w:gridCol w:w="80"/>
        <w:gridCol w:w="80"/>
        <w:gridCol w:w="80"/>
        <w:gridCol w:w="80"/>
        <w:gridCol w:w="95"/>
      </w:tblGrid>
      <w:tr w:rsidR="008C02EC" w:rsidRPr="008C02EC" w14:paraId="1C3A6DC8" w14:textId="77777777" w:rsidTr="00BF1BD7">
        <w:trPr>
          <w:trHeight w:val="671"/>
          <w:tblHeader/>
          <w:tblCellSpacing w:w="15" w:type="dxa"/>
        </w:trPr>
        <w:tc>
          <w:tcPr>
            <w:tcW w:w="1103" w:type="dxa"/>
            <w:tcBorders>
              <w:top w:val="single" w:sz="4" w:space="0" w:color="auto"/>
            </w:tcBorders>
          </w:tcPr>
          <w:p w14:paraId="3658EED1" w14:textId="77777777" w:rsidR="008C02EC" w:rsidRPr="008C02EC" w:rsidRDefault="008C02EC" w:rsidP="00BF1BD7">
            <w:pPr>
              <w:jc w:val="center"/>
              <w:rPr>
                <w:rFonts w:ascii="Arial" w:hAnsi="Arial" w:cs="Arial"/>
              </w:rPr>
            </w:pPr>
            <w:r w:rsidRPr="008C02EC">
              <w:rPr>
                <w:rFonts w:ascii="Arial" w:hAnsi="Arial" w:cs="Arial"/>
              </w:rPr>
              <w:t>Sample</w:t>
            </w:r>
          </w:p>
          <w:p w14:paraId="0CCE8AB1" w14:textId="77777777" w:rsidR="008C02EC" w:rsidRPr="008C02EC" w:rsidRDefault="008C02EC" w:rsidP="00BF1BD7">
            <w:pPr>
              <w:jc w:val="center"/>
              <w:rPr>
                <w:rFonts w:ascii="Arial" w:hAnsi="Arial" w:cs="Arial"/>
                <w:b/>
                <w:bCs/>
              </w:rPr>
            </w:pPr>
            <w:r w:rsidRPr="008C02EC">
              <w:rPr>
                <w:rFonts w:ascii="Arial" w:hAnsi="Arial" w:cs="Arial"/>
              </w:rPr>
              <w:t>ID</w:t>
            </w:r>
          </w:p>
        </w:tc>
        <w:tc>
          <w:tcPr>
            <w:tcW w:w="1412" w:type="dxa"/>
            <w:tcBorders>
              <w:top w:val="single" w:sz="4" w:space="0" w:color="auto"/>
            </w:tcBorders>
          </w:tcPr>
          <w:p w14:paraId="6AAB55B4" w14:textId="77777777" w:rsidR="008C02EC" w:rsidRPr="008C02EC" w:rsidRDefault="008C02EC" w:rsidP="00BF1BD7">
            <w:pPr>
              <w:jc w:val="center"/>
              <w:rPr>
                <w:rFonts w:ascii="Arial" w:hAnsi="Arial" w:cs="Arial"/>
              </w:rPr>
            </w:pPr>
          </w:p>
          <w:p w14:paraId="4A03DD71" w14:textId="77777777" w:rsidR="008C02EC" w:rsidRPr="008C02EC" w:rsidRDefault="008C02EC" w:rsidP="00BF1BD7">
            <w:pPr>
              <w:jc w:val="center"/>
              <w:rPr>
                <w:rFonts w:ascii="Arial" w:hAnsi="Arial" w:cs="Arial"/>
                <w:b/>
                <w:bCs/>
              </w:rPr>
            </w:pPr>
            <w:r w:rsidRPr="008C02EC">
              <w:rPr>
                <w:rFonts w:ascii="Arial" w:hAnsi="Arial" w:cs="Arial"/>
              </w:rPr>
              <w:t>Long</w:t>
            </w:r>
          </w:p>
        </w:tc>
        <w:tc>
          <w:tcPr>
            <w:tcW w:w="1397" w:type="dxa"/>
            <w:tcBorders>
              <w:top w:val="single" w:sz="4" w:space="0" w:color="auto"/>
            </w:tcBorders>
          </w:tcPr>
          <w:p w14:paraId="115305FB" w14:textId="77777777" w:rsidR="008C02EC" w:rsidRPr="008C02EC" w:rsidRDefault="008C02EC" w:rsidP="00BF1BD7">
            <w:pPr>
              <w:jc w:val="center"/>
              <w:rPr>
                <w:rFonts w:ascii="Arial" w:hAnsi="Arial" w:cs="Arial"/>
              </w:rPr>
            </w:pPr>
          </w:p>
          <w:p w14:paraId="39191E10" w14:textId="77777777" w:rsidR="008C02EC" w:rsidRPr="008C02EC" w:rsidRDefault="008C02EC" w:rsidP="00BF1BD7">
            <w:pPr>
              <w:jc w:val="center"/>
              <w:rPr>
                <w:rFonts w:ascii="Arial" w:hAnsi="Arial" w:cs="Arial"/>
                <w:b/>
                <w:bCs/>
              </w:rPr>
            </w:pPr>
            <w:r w:rsidRPr="008C02EC">
              <w:rPr>
                <w:rFonts w:ascii="Arial" w:hAnsi="Arial" w:cs="Arial"/>
              </w:rPr>
              <w:t>Latitude</w:t>
            </w:r>
          </w:p>
        </w:tc>
        <w:tc>
          <w:tcPr>
            <w:tcW w:w="0" w:type="auto"/>
            <w:tcBorders>
              <w:top w:val="single" w:sz="4" w:space="0" w:color="auto"/>
            </w:tcBorders>
          </w:tcPr>
          <w:p w14:paraId="13A32847" w14:textId="77777777" w:rsidR="008C02EC" w:rsidRPr="008C02EC" w:rsidRDefault="008C02EC" w:rsidP="00BF1BD7">
            <w:pPr>
              <w:jc w:val="center"/>
              <w:rPr>
                <w:rFonts w:ascii="Arial" w:hAnsi="Arial" w:cs="Arial"/>
              </w:rPr>
            </w:pPr>
          </w:p>
          <w:p w14:paraId="754CE4CF" w14:textId="77777777" w:rsidR="008C02EC" w:rsidRPr="008C02EC" w:rsidRDefault="008C02EC" w:rsidP="00BF1BD7">
            <w:pPr>
              <w:jc w:val="center"/>
              <w:rPr>
                <w:rFonts w:ascii="Arial" w:hAnsi="Arial" w:cs="Arial"/>
                <w:b/>
                <w:bCs/>
              </w:rPr>
            </w:pPr>
            <w:r w:rsidRPr="008C02EC">
              <w:rPr>
                <w:rFonts w:ascii="Arial" w:hAnsi="Arial" w:cs="Arial"/>
              </w:rPr>
              <w:t>As (ppm)</w:t>
            </w:r>
          </w:p>
        </w:tc>
        <w:tc>
          <w:tcPr>
            <w:tcW w:w="0" w:type="auto"/>
            <w:tcBorders>
              <w:top w:val="single" w:sz="4" w:space="0" w:color="auto"/>
            </w:tcBorders>
          </w:tcPr>
          <w:p w14:paraId="21F2E22C" w14:textId="77777777" w:rsidR="008C02EC" w:rsidRPr="008C02EC" w:rsidRDefault="008C02EC" w:rsidP="00BF1BD7">
            <w:pPr>
              <w:jc w:val="center"/>
              <w:rPr>
                <w:rFonts w:ascii="Arial" w:hAnsi="Arial" w:cs="Arial"/>
              </w:rPr>
            </w:pPr>
          </w:p>
          <w:p w14:paraId="7DDB66F5" w14:textId="77777777" w:rsidR="008C02EC" w:rsidRPr="008C02EC" w:rsidRDefault="008C02EC" w:rsidP="00BF1BD7">
            <w:pPr>
              <w:jc w:val="center"/>
              <w:rPr>
                <w:rFonts w:ascii="Arial" w:hAnsi="Arial" w:cs="Arial"/>
                <w:b/>
                <w:bCs/>
              </w:rPr>
            </w:pPr>
            <w:r w:rsidRPr="008C02EC">
              <w:rPr>
                <w:rFonts w:ascii="Arial" w:hAnsi="Arial" w:cs="Arial"/>
              </w:rPr>
              <w:t>Ni (ppm)</w:t>
            </w:r>
          </w:p>
        </w:tc>
        <w:tc>
          <w:tcPr>
            <w:tcW w:w="0" w:type="auto"/>
            <w:tcBorders>
              <w:top w:val="single" w:sz="4" w:space="0" w:color="auto"/>
            </w:tcBorders>
          </w:tcPr>
          <w:p w14:paraId="6509AEF3" w14:textId="77777777" w:rsidR="008C02EC" w:rsidRPr="008C02EC" w:rsidRDefault="008C02EC" w:rsidP="00BF1BD7">
            <w:pPr>
              <w:jc w:val="center"/>
              <w:rPr>
                <w:rFonts w:ascii="Arial" w:hAnsi="Arial" w:cs="Arial"/>
              </w:rPr>
            </w:pPr>
          </w:p>
          <w:p w14:paraId="3F899A7C" w14:textId="77777777" w:rsidR="008C02EC" w:rsidRPr="008C02EC" w:rsidRDefault="008C02EC" w:rsidP="00BF1BD7">
            <w:pPr>
              <w:jc w:val="center"/>
              <w:rPr>
                <w:rFonts w:ascii="Arial" w:hAnsi="Arial" w:cs="Arial"/>
                <w:b/>
                <w:bCs/>
              </w:rPr>
            </w:pPr>
            <w:r w:rsidRPr="008C02EC">
              <w:rPr>
                <w:rFonts w:ascii="Arial" w:hAnsi="Arial" w:cs="Arial"/>
              </w:rPr>
              <w:t>Cr (ppm)</w:t>
            </w:r>
          </w:p>
        </w:tc>
        <w:tc>
          <w:tcPr>
            <w:tcW w:w="0" w:type="auto"/>
            <w:tcBorders>
              <w:top w:val="single" w:sz="4" w:space="0" w:color="auto"/>
            </w:tcBorders>
          </w:tcPr>
          <w:p w14:paraId="1CF86AB4" w14:textId="77777777" w:rsidR="008C02EC" w:rsidRPr="008C02EC" w:rsidRDefault="008C02EC" w:rsidP="00BF1BD7">
            <w:pPr>
              <w:jc w:val="center"/>
              <w:rPr>
                <w:rFonts w:ascii="Arial" w:hAnsi="Arial" w:cs="Arial"/>
              </w:rPr>
            </w:pPr>
          </w:p>
          <w:p w14:paraId="01224533" w14:textId="77777777" w:rsidR="008C02EC" w:rsidRPr="008C02EC" w:rsidRDefault="008C02EC" w:rsidP="00BF1BD7">
            <w:pPr>
              <w:jc w:val="center"/>
              <w:rPr>
                <w:rFonts w:ascii="Arial" w:hAnsi="Arial" w:cs="Arial"/>
                <w:b/>
                <w:bCs/>
              </w:rPr>
            </w:pPr>
            <w:r w:rsidRPr="008C02EC">
              <w:rPr>
                <w:rFonts w:ascii="Arial" w:hAnsi="Arial" w:cs="Arial"/>
              </w:rPr>
              <w:t>Cd (ppm)</w:t>
            </w:r>
          </w:p>
        </w:tc>
        <w:tc>
          <w:tcPr>
            <w:tcW w:w="0" w:type="auto"/>
            <w:tcBorders>
              <w:top w:val="single" w:sz="4" w:space="0" w:color="auto"/>
            </w:tcBorders>
          </w:tcPr>
          <w:p w14:paraId="1AC565C9" w14:textId="77777777" w:rsidR="008C02EC" w:rsidRPr="008C02EC" w:rsidRDefault="008C02EC" w:rsidP="00BF1BD7">
            <w:pPr>
              <w:jc w:val="center"/>
              <w:rPr>
                <w:rFonts w:ascii="Arial" w:hAnsi="Arial" w:cs="Arial"/>
              </w:rPr>
            </w:pPr>
          </w:p>
          <w:p w14:paraId="21DE8299" w14:textId="77777777" w:rsidR="008C02EC" w:rsidRPr="008C02EC" w:rsidRDefault="008C02EC" w:rsidP="00BF1BD7">
            <w:pPr>
              <w:jc w:val="center"/>
              <w:rPr>
                <w:rFonts w:ascii="Arial" w:hAnsi="Arial" w:cs="Arial"/>
                <w:b/>
                <w:bCs/>
              </w:rPr>
            </w:pPr>
            <w:r w:rsidRPr="008C02EC">
              <w:rPr>
                <w:rFonts w:ascii="Arial" w:hAnsi="Arial" w:cs="Arial"/>
              </w:rPr>
              <w:t>Pb (ppm)</w:t>
            </w:r>
          </w:p>
        </w:tc>
        <w:tc>
          <w:tcPr>
            <w:tcW w:w="0" w:type="auto"/>
            <w:tcBorders>
              <w:top w:val="single" w:sz="4" w:space="0" w:color="auto"/>
              <w:bottom w:val="single" w:sz="4" w:space="0" w:color="auto"/>
            </w:tcBorders>
            <w:vAlign w:val="center"/>
          </w:tcPr>
          <w:p w14:paraId="7044FDDC" w14:textId="77777777" w:rsidR="008C02EC" w:rsidRPr="008C02EC" w:rsidRDefault="008C02EC" w:rsidP="00BF1BD7">
            <w:pPr>
              <w:jc w:val="both"/>
              <w:rPr>
                <w:rFonts w:ascii="Arial" w:hAnsi="Arial" w:cs="Arial"/>
                <w:b/>
                <w:bCs/>
              </w:rPr>
            </w:pPr>
          </w:p>
          <w:p w14:paraId="21CBD40D"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2392C0FB"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500210E2"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7A4E94AD"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33AAA43D"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346B8783" w14:textId="77777777" w:rsidR="008C02EC" w:rsidRPr="008C02EC" w:rsidRDefault="008C02EC" w:rsidP="00BF1BD7">
            <w:pPr>
              <w:jc w:val="both"/>
              <w:rPr>
                <w:rFonts w:ascii="Arial" w:hAnsi="Arial" w:cs="Arial"/>
                <w:b/>
                <w:bCs/>
              </w:rPr>
            </w:pPr>
          </w:p>
        </w:tc>
      </w:tr>
      <w:tr w:rsidR="008C02EC" w:rsidRPr="008C02EC" w14:paraId="742D46AC" w14:textId="77777777" w:rsidTr="00BF1BD7">
        <w:trPr>
          <w:trHeight w:val="541"/>
          <w:tblCellSpacing w:w="15" w:type="dxa"/>
        </w:trPr>
        <w:tc>
          <w:tcPr>
            <w:tcW w:w="1103" w:type="dxa"/>
            <w:tcBorders>
              <w:top w:val="single" w:sz="4" w:space="0" w:color="auto"/>
            </w:tcBorders>
          </w:tcPr>
          <w:p w14:paraId="0892462F" w14:textId="77777777" w:rsidR="008C02EC" w:rsidRPr="008C02EC" w:rsidRDefault="008C02EC" w:rsidP="00BF1BD7">
            <w:pPr>
              <w:jc w:val="center"/>
              <w:rPr>
                <w:rFonts w:ascii="Arial" w:hAnsi="Arial" w:cs="Arial"/>
              </w:rPr>
            </w:pPr>
            <w:r w:rsidRPr="008C02EC">
              <w:rPr>
                <w:rFonts w:ascii="Arial" w:hAnsi="Arial" w:cs="Arial"/>
              </w:rPr>
              <w:t>A1A</w:t>
            </w:r>
          </w:p>
        </w:tc>
        <w:tc>
          <w:tcPr>
            <w:tcW w:w="1412" w:type="dxa"/>
            <w:tcBorders>
              <w:top w:val="single" w:sz="4" w:space="0" w:color="auto"/>
            </w:tcBorders>
          </w:tcPr>
          <w:p w14:paraId="6E9B3936" w14:textId="77777777" w:rsidR="008C02EC" w:rsidRPr="008C02EC" w:rsidRDefault="008C02EC" w:rsidP="00BF1BD7">
            <w:pPr>
              <w:jc w:val="center"/>
              <w:rPr>
                <w:rFonts w:ascii="Arial" w:hAnsi="Arial" w:cs="Arial"/>
              </w:rPr>
            </w:pPr>
            <w:r w:rsidRPr="008C02EC">
              <w:rPr>
                <w:rFonts w:ascii="Arial" w:hAnsi="Arial" w:cs="Arial"/>
              </w:rPr>
              <w:t>6.918528</w:t>
            </w:r>
          </w:p>
        </w:tc>
        <w:tc>
          <w:tcPr>
            <w:tcW w:w="1397" w:type="dxa"/>
            <w:tcBorders>
              <w:top w:val="single" w:sz="4" w:space="0" w:color="auto"/>
            </w:tcBorders>
          </w:tcPr>
          <w:p w14:paraId="53EEB90A" w14:textId="77777777" w:rsidR="008C02EC" w:rsidRPr="008C02EC" w:rsidRDefault="008C02EC" w:rsidP="00BF1BD7">
            <w:pPr>
              <w:jc w:val="center"/>
              <w:rPr>
                <w:rFonts w:ascii="Arial" w:hAnsi="Arial" w:cs="Arial"/>
              </w:rPr>
            </w:pPr>
            <w:r w:rsidRPr="008C02EC">
              <w:rPr>
                <w:rFonts w:ascii="Arial" w:hAnsi="Arial" w:cs="Arial"/>
              </w:rPr>
              <w:t>4.920444</w:t>
            </w:r>
          </w:p>
        </w:tc>
        <w:tc>
          <w:tcPr>
            <w:tcW w:w="0" w:type="auto"/>
            <w:tcBorders>
              <w:top w:val="single" w:sz="4" w:space="0" w:color="auto"/>
            </w:tcBorders>
          </w:tcPr>
          <w:p w14:paraId="083D882E" w14:textId="77777777" w:rsidR="008C02EC" w:rsidRPr="008C02EC" w:rsidRDefault="008C02EC" w:rsidP="00BF1BD7">
            <w:pPr>
              <w:jc w:val="center"/>
              <w:rPr>
                <w:rFonts w:ascii="Arial" w:hAnsi="Arial" w:cs="Arial"/>
              </w:rPr>
            </w:pPr>
            <w:r w:rsidRPr="008C02EC">
              <w:rPr>
                <w:rFonts w:ascii="Arial" w:hAnsi="Arial" w:cs="Arial"/>
              </w:rPr>
              <w:t>0.112</w:t>
            </w:r>
          </w:p>
        </w:tc>
        <w:tc>
          <w:tcPr>
            <w:tcW w:w="0" w:type="auto"/>
            <w:tcBorders>
              <w:top w:val="single" w:sz="4" w:space="0" w:color="auto"/>
            </w:tcBorders>
          </w:tcPr>
          <w:p w14:paraId="3B9E147E" w14:textId="77777777" w:rsidR="008C02EC" w:rsidRPr="008C02EC" w:rsidRDefault="008C02EC" w:rsidP="00BF1BD7">
            <w:pPr>
              <w:jc w:val="center"/>
              <w:rPr>
                <w:rFonts w:ascii="Arial" w:hAnsi="Arial" w:cs="Arial"/>
              </w:rPr>
            </w:pPr>
            <w:r w:rsidRPr="008C02EC">
              <w:rPr>
                <w:rFonts w:ascii="Arial" w:hAnsi="Arial" w:cs="Arial"/>
              </w:rPr>
              <w:t>0.05</w:t>
            </w:r>
          </w:p>
        </w:tc>
        <w:tc>
          <w:tcPr>
            <w:tcW w:w="0" w:type="auto"/>
            <w:tcBorders>
              <w:top w:val="single" w:sz="4" w:space="0" w:color="auto"/>
            </w:tcBorders>
          </w:tcPr>
          <w:p w14:paraId="3A850010" w14:textId="77777777" w:rsidR="008C02EC" w:rsidRPr="008C02EC" w:rsidRDefault="008C02EC" w:rsidP="00BF1BD7">
            <w:pPr>
              <w:jc w:val="center"/>
              <w:rPr>
                <w:rFonts w:ascii="Arial" w:hAnsi="Arial" w:cs="Arial"/>
              </w:rPr>
            </w:pPr>
            <w:r w:rsidRPr="008C02EC">
              <w:rPr>
                <w:rFonts w:ascii="Arial" w:hAnsi="Arial" w:cs="Arial"/>
              </w:rPr>
              <w:t>0.029</w:t>
            </w:r>
          </w:p>
        </w:tc>
        <w:tc>
          <w:tcPr>
            <w:tcW w:w="0" w:type="auto"/>
            <w:tcBorders>
              <w:top w:val="single" w:sz="4" w:space="0" w:color="auto"/>
            </w:tcBorders>
          </w:tcPr>
          <w:p w14:paraId="1B603AEF" w14:textId="77777777" w:rsidR="008C02EC" w:rsidRPr="008C02EC" w:rsidRDefault="008C02EC" w:rsidP="00BF1BD7">
            <w:pPr>
              <w:jc w:val="center"/>
              <w:rPr>
                <w:rFonts w:ascii="Arial" w:hAnsi="Arial" w:cs="Arial"/>
              </w:rPr>
            </w:pPr>
            <w:r w:rsidRPr="008C02EC">
              <w:rPr>
                <w:rFonts w:ascii="Arial" w:hAnsi="Arial" w:cs="Arial"/>
              </w:rPr>
              <w:t>0.156</w:t>
            </w:r>
          </w:p>
        </w:tc>
        <w:tc>
          <w:tcPr>
            <w:tcW w:w="0" w:type="auto"/>
            <w:tcBorders>
              <w:top w:val="single" w:sz="4" w:space="0" w:color="auto"/>
            </w:tcBorders>
          </w:tcPr>
          <w:p w14:paraId="55C1A37D" w14:textId="77777777" w:rsidR="008C02EC" w:rsidRPr="008C02EC" w:rsidRDefault="008C02EC" w:rsidP="00BF1BD7">
            <w:pPr>
              <w:jc w:val="center"/>
              <w:rPr>
                <w:rFonts w:ascii="Arial" w:hAnsi="Arial" w:cs="Arial"/>
              </w:rPr>
            </w:pPr>
            <w:r w:rsidRPr="008C02EC">
              <w:rPr>
                <w:rFonts w:ascii="Arial" w:hAnsi="Arial" w:cs="Arial"/>
              </w:rPr>
              <w:t>0.163</w:t>
            </w:r>
          </w:p>
        </w:tc>
        <w:tc>
          <w:tcPr>
            <w:tcW w:w="0" w:type="auto"/>
            <w:vAlign w:val="center"/>
          </w:tcPr>
          <w:p w14:paraId="00A9C2E3" w14:textId="77777777" w:rsidR="008C02EC" w:rsidRPr="008C02EC" w:rsidRDefault="008C02EC" w:rsidP="00BF1BD7">
            <w:pPr>
              <w:jc w:val="both"/>
              <w:rPr>
                <w:rFonts w:ascii="Arial" w:hAnsi="Arial" w:cs="Arial"/>
              </w:rPr>
            </w:pPr>
          </w:p>
        </w:tc>
        <w:tc>
          <w:tcPr>
            <w:tcW w:w="0" w:type="auto"/>
            <w:vAlign w:val="center"/>
          </w:tcPr>
          <w:p w14:paraId="0BA63517" w14:textId="77777777" w:rsidR="008C02EC" w:rsidRPr="008C02EC" w:rsidRDefault="008C02EC" w:rsidP="00BF1BD7">
            <w:pPr>
              <w:jc w:val="both"/>
              <w:rPr>
                <w:rFonts w:ascii="Arial" w:hAnsi="Arial" w:cs="Arial"/>
              </w:rPr>
            </w:pPr>
          </w:p>
        </w:tc>
        <w:tc>
          <w:tcPr>
            <w:tcW w:w="0" w:type="auto"/>
            <w:vAlign w:val="center"/>
          </w:tcPr>
          <w:p w14:paraId="024F76CC" w14:textId="77777777" w:rsidR="008C02EC" w:rsidRPr="008C02EC" w:rsidRDefault="008C02EC" w:rsidP="00BF1BD7">
            <w:pPr>
              <w:jc w:val="both"/>
              <w:rPr>
                <w:rFonts w:ascii="Arial" w:hAnsi="Arial" w:cs="Arial"/>
              </w:rPr>
            </w:pPr>
          </w:p>
        </w:tc>
        <w:tc>
          <w:tcPr>
            <w:tcW w:w="0" w:type="auto"/>
            <w:vAlign w:val="center"/>
          </w:tcPr>
          <w:p w14:paraId="3D8D1B02" w14:textId="77777777" w:rsidR="008C02EC" w:rsidRPr="008C02EC" w:rsidRDefault="008C02EC" w:rsidP="00BF1BD7">
            <w:pPr>
              <w:jc w:val="both"/>
              <w:rPr>
                <w:rFonts w:ascii="Arial" w:hAnsi="Arial" w:cs="Arial"/>
              </w:rPr>
            </w:pPr>
          </w:p>
        </w:tc>
        <w:tc>
          <w:tcPr>
            <w:tcW w:w="0" w:type="auto"/>
            <w:vAlign w:val="center"/>
          </w:tcPr>
          <w:p w14:paraId="6951E1F9" w14:textId="77777777" w:rsidR="008C02EC" w:rsidRPr="008C02EC" w:rsidRDefault="008C02EC" w:rsidP="00BF1BD7">
            <w:pPr>
              <w:jc w:val="both"/>
              <w:rPr>
                <w:rFonts w:ascii="Arial" w:hAnsi="Arial" w:cs="Arial"/>
              </w:rPr>
            </w:pPr>
          </w:p>
        </w:tc>
        <w:tc>
          <w:tcPr>
            <w:tcW w:w="0" w:type="auto"/>
            <w:vAlign w:val="center"/>
          </w:tcPr>
          <w:p w14:paraId="0556F623" w14:textId="77777777" w:rsidR="008C02EC" w:rsidRPr="008C02EC" w:rsidRDefault="008C02EC" w:rsidP="00BF1BD7">
            <w:pPr>
              <w:jc w:val="both"/>
              <w:rPr>
                <w:rFonts w:ascii="Arial" w:hAnsi="Arial" w:cs="Arial"/>
              </w:rPr>
            </w:pPr>
          </w:p>
        </w:tc>
      </w:tr>
      <w:tr w:rsidR="008C02EC" w:rsidRPr="008C02EC" w14:paraId="005432F1" w14:textId="77777777" w:rsidTr="00BF1BD7">
        <w:trPr>
          <w:trHeight w:val="527"/>
          <w:tblCellSpacing w:w="15" w:type="dxa"/>
        </w:trPr>
        <w:tc>
          <w:tcPr>
            <w:tcW w:w="1103" w:type="dxa"/>
          </w:tcPr>
          <w:p w14:paraId="07FD29E7" w14:textId="77777777" w:rsidR="008C02EC" w:rsidRPr="008C02EC" w:rsidRDefault="008C02EC" w:rsidP="00BF1BD7">
            <w:pPr>
              <w:jc w:val="center"/>
              <w:rPr>
                <w:rFonts w:ascii="Arial" w:hAnsi="Arial" w:cs="Arial"/>
              </w:rPr>
            </w:pPr>
            <w:r w:rsidRPr="008C02EC">
              <w:rPr>
                <w:rFonts w:ascii="Arial" w:hAnsi="Arial" w:cs="Arial"/>
              </w:rPr>
              <w:t>A1B</w:t>
            </w:r>
          </w:p>
        </w:tc>
        <w:tc>
          <w:tcPr>
            <w:tcW w:w="1412" w:type="dxa"/>
          </w:tcPr>
          <w:p w14:paraId="163D284F" w14:textId="77777777" w:rsidR="008C02EC" w:rsidRPr="008C02EC" w:rsidRDefault="008C02EC" w:rsidP="00BF1BD7">
            <w:pPr>
              <w:jc w:val="center"/>
              <w:rPr>
                <w:rFonts w:ascii="Arial" w:hAnsi="Arial" w:cs="Arial"/>
              </w:rPr>
            </w:pPr>
            <w:r w:rsidRPr="008C02EC">
              <w:rPr>
                <w:rFonts w:ascii="Arial" w:hAnsi="Arial" w:cs="Arial"/>
              </w:rPr>
              <w:t>6.918528</w:t>
            </w:r>
          </w:p>
        </w:tc>
        <w:tc>
          <w:tcPr>
            <w:tcW w:w="1397" w:type="dxa"/>
          </w:tcPr>
          <w:p w14:paraId="43402AAD" w14:textId="77777777" w:rsidR="008C02EC" w:rsidRPr="008C02EC" w:rsidRDefault="008C02EC" w:rsidP="00BF1BD7">
            <w:pPr>
              <w:jc w:val="center"/>
              <w:rPr>
                <w:rFonts w:ascii="Arial" w:hAnsi="Arial" w:cs="Arial"/>
              </w:rPr>
            </w:pPr>
            <w:r w:rsidRPr="008C02EC">
              <w:rPr>
                <w:rFonts w:ascii="Arial" w:hAnsi="Arial" w:cs="Arial"/>
              </w:rPr>
              <w:t>4.920444</w:t>
            </w:r>
          </w:p>
        </w:tc>
        <w:tc>
          <w:tcPr>
            <w:tcW w:w="0" w:type="auto"/>
          </w:tcPr>
          <w:p w14:paraId="0FB20FBC" w14:textId="77777777" w:rsidR="008C02EC" w:rsidRPr="008C02EC" w:rsidRDefault="008C02EC" w:rsidP="00BF1BD7">
            <w:pPr>
              <w:jc w:val="center"/>
              <w:rPr>
                <w:rFonts w:ascii="Arial" w:hAnsi="Arial" w:cs="Arial"/>
              </w:rPr>
            </w:pPr>
            <w:r w:rsidRPr="008C02EC">
              <w:rPr>
                <w:rFonts w:ascii="Arial" w:hAnsi="Arial" w:cs="Arial"/>
              </w:rPr>
              <w:t>0.093</w:t>
            </w:r>
          </w:p>
        </w:tc>
        <w:tc>
          <w:tcPr>
            <w:tcW w:w="0" w:type="auto"/>
          </w:tcPr>
          <w:p w14:paraId="3D124D74" w14:textId="77777777" w:rsidR="008C02EC" w:rsidRPr="008C02EC" w:rsidRDefault="008C02EC" w:rsidP="00BF1BD7">
            <w:pPr>
              <w:jc w:val="center"/>
              <w:rPr>
                <w:rFonts w:ascii="Arial" w:hAnsi="Arial" w:cs="Arial"/>
              </w:rPr>
            </w:pPr>
            <w:r w:rsidRPr="008C02EC">
              <w:rPr>
                <w:rFonts w:ascii="Arial" w:hAnsi="Arial" w:cs="Arial"/>
              </w:rPr>
              <w:t>0.057</w:t>
            </w:r>
          </w:p>
        </w:tc>
        <w:tc>
          <w:tcPr>
            <w:tcW w:w="0" w:type="auto"/>
          </w:tcPr>
          <w:p w14:paraId="023230CA" w14:textId="77777777" w:rsidR="008C02EC" w:rsidRPr="008C02EC" w:rsidRDefault="008C02EC" w:rsidP="00BF1BD7">
            <w:pPr>
              <w:jc w:val="center"/>
              <w:rPr>
                <w:rFonts w:ascii="Arial" w:hAnsi="Arial" w:cs="Arial"/>
              </w:rPr>
            </w:pPr>
            <w:r w:rsidRPr="008C02EC">
              <w:rPr>
                <w:rFonts w:ascii="Arial" w:hAnsi="Arial" w:cs="Arial"/>
              </w:rPr>
              <w:t>0.046</w:t>
            </w:r>
          </w:p>
        </w:tc>
        <w:tc>
          <w:tcPr>
            <w:tcW w:w="0" w:type="auto"/>
          </w:tcPr>
          <w:p w14:paraId="5A865A19" w14:textId="77777777" w:rsidR="008C02EC" w:rsidRPr="008C02EC" w:rsidRDefault="008C02EC" w:rsidP="00BF1BD7">
            <w:pPr>
              <w:jc w:val="center"/>
              <w:rPr>
                <w:rFonts w:ascii="Arial" w:hAnsi="Arial" w:cs="Arial"/>
              </w:rPr>
            </w:pPr>
            <w:r w:rsidRPr="008C02EC">
              <w:rPr>
                <w:rFonts w:ascii="Arial" w:hAnsi="Arial" w:cs="Arial"/>
              </w:rPr>
              <w:t>0.192</w:t>
            </w:r>
          </w:p>
        </w:tc>
        <w:tc>
          <w:tcPr>
            <w:tcW w:w="0" w:type="auto"/>
          </w:tcPr>
          <w:p w14:paraId="6F3B4B12" w14:textId="77777777" w:rsidR="008C02EC" w:rsidRPr="008C02EC" w:rsidRDefault="008C02EC" w:rsidP="00BF1BD7">
            <w:pPr>
              <w:jc w:val="center"/>
              <w:rPr>
                <w:rFonts w:ascii="Arial" w:hAnsi="Arial" w:cs="Arial"/>
              </w:rPr>
            </w:pPr>
            <w:r w:rsidRPr="008C02EC">
              <w:rPr>
                <w:rFonts w:ascii="Arial" w:hAnsi="Arial" w:cs="Arial"/>
              </w:rPr>
              <w:t>0.187</w:t>
            </w:r>
          </w:p>
        </w:tc>
        <w:tc>
          <w:tcPr>
            <w:tcW w:w="0" w:type="auto"/>
            <w:vAlign w:val="center"/>
          </w:tcPr>
          <w:p w14:paraId="50BBE826" w14:textId="77777777" w:rsidR="008C02EC" w:rsidRPr="008C02EC" w:rsidRDefault="008C02EC" w:rsidP="00BF1BD7">
            <w:pPr>
              <w:jc w:val="both"/>
              <w:rPr>
                <w:rFonts w:ascii="Arial" w:hAnsi="Arial" w:cs="Arial"/>
              </w:rPr>
            </w:pPr>
          </w:p>
        </w:tc>
        <w:tc>
          <w:tcPr>
            <w:tcW w:w="0" w:type="auto"/>
            <w:vAlign w:val="center"/>
          </w:tcPr>
          <w:p w14:paraId="53C5E853" w14:textId="77777777" w:rsidR="008C02EC" w:rsidRPr="008C02EC" w:rsidRDefault="008C02EC" w:rsidP="00BF1BD7">
            <w:pPr>
              <w:jc w:val="both"/>
              <w:rPr>
                <w:rFonts w:ascii="Arial" w:hAnsi="Arial" w:cs="Arial"/>
              </w:rPr>
            </w:pPr>
          </w:p>
        </w:tc>
        <w:tc>
          <w:tcPr>
            <w:tcW w:w="0" w:type="auto"/>
            <w:vAlign w:val="center"/>
          </w:tcPr>
          <w:p w14:paraId="6A6E8EEB" w14:textId="77777777" w:rsidR="008C02EC" w:rsidRPr="008C02EC" w:rsidRDefault="008C02EC" w:rsidP="00BF1BD7">
            <w:pPr>
              <w:jc w:val="both"/>
              <w:rPr>
                <w:rFonts w:ascii="Arial" w:hAnsi="Arial" w:cs="Arial"/>
              </w:rPr>
            </w:pPr>
          </w:p>
        </w:tc>
        <w:tc>
          <w:tcPr>
            <w:tcW w:w="0" w:type="auto"/>
            <w:vAlign w:val="center"/>
          </w:tcPr>
          <w:p w14:paraId="2E6DB440" w14:textId="77777777" w:rsidR="008C02EC" w:rsidRPr="008C02EC" w:rsidRDefault="008C02EC" w:rsidP="00BF1BD7">
            <w:pPr>
              <w:jc w:val="both"/>
              <w:rPr>
                <w:rFonts w:ascii="Arial" w:hAnsi="Arial" w:cs="Arial"/>
              </w:rPr>
            </w:pPr>
          </w:p>
        </w:tc>
        <w:tc>
          <w:tcPr>
            <w:tcW w:w="0" w:type="auto"/>
            <w:vAlign w:val="center"/>
          </w:tcPr>
          <w:p w14:paraId="41A8BDC9" w14:textId="77777777" w:rsidR="008C02EC" w:rsidRPr="008C02EC" w:rsidRDefault="008C02EC" w:rsidP="00BF1BD7">
            <w:pPr>
              <w:jc w:val="both"/>
              <w:rPr>
                <w:rFonts w:ascii="Arial" w:hAnsi="Arial" w:cs="Arial"/>
              </w:rPr>
            </w:pPr>
          </w:p>
        </w:tc>
        <w:tc>
          <w:tcPr>
            <w:tcW w:w="0" w:type="auto"/>
            <w:vAlign w:val="center"/>
          </w:tcPr>
          <w:p w14:paraId="0185AD40" w14:textId="77777777" w:rsidR="008C02EC" w:rsidRPr="008C02EC" w:rsidRDefault="008C02EC" w:rsidP="00BF1BD7">
            <w:pPr>
              <w:jc w:val="both"/>
              <w:rPr>
                <w:rFonts w:ascii="Arial" w:hAnsi="Arial" w:cs="Arial"/>
              </w:rPr>
            </w:pPr>
          </w:p>
        </w:tc>
      </w:tr>
      <w:tr w:rsidR="008C02EC" w:rsidRPr="008C02EC" w14:paraId="1CE6EC09" w14:textId="77777777" w:rsidTr="00BF1BD7">
        <w:trPr>
          <w:trHeight w:val="541"/>
          <w:tblCellSpacing w:w="15" w:type="dxa"/>
        </w:trPr>
        <w:tc>
          <w:tcPr>
            <w:tcW w:w="1103" w:type="dxa"/>
          </w:tcPr>
          <w:p w14:paraId="3932EDFE" w14:textId="77777777" w:rsidR="008C02EC" w:rsidRPr="008C02EC" w:rsidRDefault="008C02EC" w:rsidP="00BF1BD7">
            <w:pPr>
              <w:jc w:val="center"/>
              <w:rPr>
                <w:rFonts w:ascii="Arial" w:hAnsi="Arial" w:cs="Arial"/>
              </w:rPr>
            </w:pPr>
            <w:r w:rsidRPr="008C02EC">
              <w:rPr>
                <w:rFonts w:ascii="Arial" w:hAnsi="Arial" w:cs="Arial"/>
              </w:rPr>
              <w:t>A2A</w:t>
            </w:r>
          </w:p>
        </w:tc>
        <w:tc>
          <w:tcPr>
            <w:tcW w:w="1412" w:type="dxa"/>
          </w:tcPr>
          <w:p w14:paraId="71E0EF37" w14:textId="77777777" w:rsidR="008C02EC" w:rsidRPr="008C02EC" w:rsidRDefault="008C02EC" w:rsidP="00BF1BD7">
            <w:pPr>
              <w:jc w:val="center"/>
              <w:rPr>
                <w:rFonts w:ascii="Arial" w:hAnsi="Arial" w:cs="Arial"/>
              </w:rPr>
            </w:pPr>
            <w:r w:rsidRPr="008C02EC">
              <w:rPr>
                <w:rFonts w:ascii="Arial" w:hAnsi="Arial" w:cs="Arial"/>
              </w:rPr>
              <w:t>6.918556</w:t>
            </w:r>
          </w:p>
        </w:tc>
        <w:tc>
          <w:tcPr>
            <w:tcW w:w="1397" w:type="dxa"/>
          </w:tcPr>
          <w:p w14:paraId="5D45FF6C" w14:textId="77777777" w:rsidR="008C02EC" w:rsidRPr="008C02EC" w:rsidRDefault="008C02EC" w:rsidP="00BF1BD7">
            <w:pPr>
              <w:jc w:val="center"/>
              <w:rPr>
                <w:rFonts w:ascii="Arial" w:hAnsi="Arial" w:cs="Arial"/>
              </w:rPr>
            </w:pPr>
            <w:r w:rsidRPr="008C02EC">
              <w:rPr>
                <w:rFonts w:ascii="Arial" w:hAnsi="Arial" w:cs="Arial"/>
              </w:rPr>
              <w:t>4.920472</w:t>
            </w:r>
          </w:p>
        </w:tc>
        <w:tc>
          <w:tcPr>
            <w:tcW w:w="0" w:type="auto"/>
          </w:tcPr>
          <w:p w14:paraId="6164C88B" w14:textId="77777777" w:rsidR="008C02EC" w:rsidRPr="008C02EC" w:rsidRDefault="008C02EC" w:rsidP="00BF1BD7">
            <w:pPr>
              <w:jc w:val="center"/>
              <w:rPr>
                <w:rFonts w:ascii="Arial" w:hAnsi="Arial" w:cs="Arial"/>
              </w:rPr>
            </w:pPr>
            <w:r w:rsidRPr="008C02EC">
              <w:rPr>
                <w:rFonts w:ascii="Arial" w:hAnsi="Arial" w:cs="Arial"/>
              </w:rPr>
              <w:t>0.008</w:t>
            </w:r>
          </w:p>
        </w:tc>
        <w:tc>
          <w:tcPr>
            <w:tcW w:w="0" w:type="auto"/>
          </w:tcPr>
          <w:p w14:paraId="726E756D" w14:textId="77777777" w:rsidR="008C02EC" w:rsidRPr="008C02EC" w:rsidRDefault="008C02EC" w:rsidP="00BF1BD7">
            <w:pPr>
              <w:jc w:val="center"/>
              <w:rPr>
                <w:rFonts w:ascii="Arial" w:hAnsi="Arial" w:cs="Arial"/>
              </w:rPr>
            </w:pPr>
            <w:r w:rsidRPr="008C02EC">
              <w:rPr>
                <w:rFonts w:ascii="Arial" w:hAnsi="Arial" w:cs="Arial"/>
              </w:rPr>
              <w:t>0.03</w:t>
            </w:r>
          </w:p>
        </w:tc>
        <w:tc>
          <w:tcPr>
            <w:tcW w:w="0" w:type="auto"/>
          </w:tcPr>
          <w:p w14:paraId="129BDD3F" w14:textId="77777777" w:rsidR="008C02EC" w:rsidRPr="008C02EC" w:rsidRDefault="008C02EC" w:rsidP="00BF1BD7">
            <w:pPr>
              <w:jc w:val="center"/>
              <w:rPr>
                <w:rFonts w:ascii="Arial" w:hAnsi="Arial" w:cs="Arial"/>
              </w:rPr>
            </w:pPr>
            <w:r w:rsidRPr="008C02EC">
              <w:rPr>
                <w:rFonts w:ascii="Arial" w:hAnsi="Arial" w:cs="Arial"/>
              </w:rPr>
              <w:t>0.084</w:t>
            </w:r>
          </w:p>
        </w:tc>
        <w:tc>
          <w:tcPr>
            <w:tcW w:w="0" w:type="auto"/>
          </w:tcPr>
          <w:p w14:paraId="00837D1A" w14:textId="77777777" w:rsidR="008C02EC" w:rsidRPr="008C02EC" w:rsidRDefault="008C02EC" w:rsidP="00BF1BD7">
            <w:pPr>
              <w:jc w:val="center"/>
              <w:rPr>
                <w:rFonts w:ascii="Arial" w:hAnsi="Arial" w:cs="Arial"/>
              </w:rPr>
            </w:pPr>
            <w:r w:rsidRPr="008C02EC">
              <w:rPr>
                <w:rFonts w:ascii="Arial" w:hAnsi="Arial" w:cs="Arial"/>
              </w:rPr>
              <w:t>0.057</w:t>
            </w:r>
          </w:p>
        </w:tc>
        <w:tc>
          <w:tcPr>
            <w:tcW w:w="0" w:type="auto"/>
          </w:tcPr>
          <w:p w14:paraId="4F62FF4C" w14:textId="77777777" w:rsidR="008C02EC" w:rsidRPr="008C02EC" w:rsidRDefault="008C02EC" w:rsidP="00BF1BD7">
            <w:pPr>
              <w:jc w:val="center"/>
              <w:rPr>
                <w:rFonts w:ascii="Arial" w:hAnsi="Arial" w:cs="Arial"/>
              </w:rPr>
            </w:pPr>
            <w:r w:rsidRPr="008C02EC">
              <w:rPr>
                <w:rFonts w:ascii="Arial" w:hAnsi="Arial" w:cs="Arial"/>
              </w:rPr>
              <w:t>0.049</w:t>
            </w:r>
          </w:p>
        </w:tc>
        <w:tc>
          <w:tcPr>
            <w:tcW w:w="0" w:type="auto"/>
            <w:vAlign w:val="center"/>
          </w:tcPr>
          <w:p w14:paraId="23E8F0F0" w14:textId="77777777" w:rsidR="008C02EC" w:rsidRPr="008C02EC" w:rsidRDefault="008C02EC" w:rsidP="00BF1BD7">
            <w:pPr>
              <w:jc w:val="both"/>
              <w:rPr>
                <w:rFonts w:ascii="Arial" w:hAnsi="Arial" w:cs="Arial"/>
              </w:rPr>
            </w:pPr>
          </w:p>
        </w:tc>
        <w:tc>
          <w:tcPr>
            <w:tcW w:w="0" w:type="auto"/>
            <w:vAlign w:val="center"/>
          </w:tcPr>
          <w:p w14:paraId="3A6FDC76" w14:textId="77777777" w:rsidR="008C02EC" w:rsidRPr="008C02EC" w:rsidRDefault="008C02EC" w:rsidP="00BF1BD7">
            <w:pPr>
              <w:jc w:val="both"/>
              <w:rPr>
                <w:rFonts w:ascii="Arial" w:hAnsi="Arial" w:cs="Arial"/>
              </w:rPr>
            </w:pPr>
          </w:p>
        </w:tc>
        <w:tc>
          <w:tcPr>
            <w:tcW w:w="0" w:type="auto"/>
            <w:vAlign w:val="center"/>
          </w:tcPr>
          <w:p w14:paraId="70697A53" w14:textId="77777777" w:rsidR="008C02EC" w:rsidRPr="008C02EC" w:rsidRDefault="008C02EC" w:rsidP="00BF1BD7">
            <w:pPr>
              <w:jc w:val="both"/>
              <w:rPr>
                <w:rFonts w:ascii="Arial" w:hAnsi="Arial" w:cs="Arial"/>
              </w:rPr>
            </w:pPr>
          </w:p>
        </w:tc>
        <w:tc>
          <w:tcPr>
            <w:tcW w:w="0" w:type="auto"/>
            <w:vAlign w:val="center"/>
          </w:tcPr>
          <w:p w14:paraId="1986ABBB" w14:textId="77777777" w:rsidR="008C02EC" w:rsidRPr="008C02EC" w:rsidRDefault="008C02EC" w:rsidP="00BF1BD7">
            <w:pPr>
              <w:jc w:val="both"/>
              <w:rPr>
                <w:rFonts w:ascii="Arial" w:hAnsi="Arial" w:cs="Arial"/>
              </w:rPr>
            </w:pPr>
          </w:p>
        </w:tc>
        <w:tc>
          <w:tcPr>
            <w:tcW w:w="0" w:type="auto"/>
            <w:vAlign w:val="center"/>
          </w:tcPr>
          <w:p w14:paraId="5E76D5DC" w14:textId="77777777" w:rsidR="008C02EC" w:rsidRPr="008C02EC" w:rsidRDefault="008C02EC" w:rsidP="00BF1BD7">
            <w:pPr>
              <w:jc w:val="both"/>
              <w:rPr>
                <w:rFonts w:ascii="Arial" w:hAnsi="Arial" w:cs="Arial"/>
              </w:rPr>
            </w:pPr>
          </w:p>
        </w:tc>
        <w:tc>
          <w:tcPr>
            <w:tcW w:w="0" w:type="auto"/>
            <w:vAlign w:val="center"/>
          </w:tcPr>
          <w:p w14:paraId="0FF74A37" w14:textId="77777777" w:rsidR="008C02EC" w:rsidRPr="008C02EC" w:rsidRDefault="008C02EC" w:rsidP="00BF1BD7">
            <w:pPr>
              <w:jc w:val="both"/>
              <w:rPr>
                <w:rFonts w:ascii="Arial" w:hAnsi="Arial" w:cs="Arial"/>
              </w:rPr>
            </w:pPr>
          </w:p>
        </w:tc>
      </w:tr>
      <w:tr w:rsidR="008C02EC" w:rsidRPr="008C02EC" w14:paraId="0E9178E5" w14:textId="77777777" w:rsidTr="00BF1BD7">
        <w:trPr>
          <w:trHeight w:val="541"/>
          <w:tblCellSpacing w:w="15" w:type="dxa"/>
        </w:trPr>
        <w:tc>
          <w:tcPr>
            <w:tcW w:w="1103" w:type="dxa"/>
          </w:tcPr>
          <w:p w14:paraId="61F9D6C1" w14:textId="77777777" w:rsidR="008C02EC" w:rsidRPr="008C02EC" w:rsidRDefault="008C02EC" w:rsidP="00BF1BD7">
            <w:pPr>
              <w:jc w:val="center"/>
              <w:rPr>
                <w:rFonts w:ascii="Arial" w:hAnsi="Arial" w:cs="Arial"/>
              </w:rPr>
            </w:pPr>
            <w:r w:rsidRPr="008C02EC">
              <w:rPr>
                <w:rFonts w:ascii="Arial" w:hAnsi="Arial" w:cs="Arial"/>
              </w:rPr>
              <w:t>A2B</w:t>
            </w:r>
          </w:p>
        </w:tc>
        <w:tc>
          <w:tcPr>
            <w:tcW w:w="1412" w:type="dxa"/>
          </w:tcPr>
          <w:p w14:paraId="48B0A0E0" w14:textId="77777777" w:rsidR="008C02EC" w:rsidRPr="008C02EC" w:rsidRDefault="008C02EC" w:rsidP="00BF1BD7">
            <w:pPr>
              <w:jc w:val="center"/>
              <w:rPr>
                <w:rFonts w:ascii="Arial" w:hAnsi="Arial" w:cs="Arial"/>
              </w:rPr>
            </w:pPr>
            <w:r w:rsidRPr="008C02EC">
              <w:rPr>
                <w:rFonts w:ascii="Arial" w:hAnsi="Arial" w:cs="Arial"/>
              </w:rPr>
              <w:t>6.918556</w:t>
            </w:r>
          </w:p>
        </w:tc>
        <w:tc>
          <w:tcPr>
            <w:tcW w:w="1397" w:type="dxa"/>
          </w:tcPr>
          <w:p w14:paraId="3B188765" w14:textId="77777777" w:rsidR="008C02EC" w:rsidRPr="008C02EC" w:rsidRDefault="008C02EC" w:rsidP="00BF1BD7">
            <w:pPr>
              <w:jc w:val="center"/>
              <w:rPr>
                <w:rFonts w:ascii="Arial" w:hAnsi="Arial" w:cs="Arial"/>
              </w:rPr>
            </w:pPr>
            <w:r w:rsidRPr="008C02EC">
              <w:rPr>
                <w:rFonts w:ascii="Arial" w:hAnsi="Arial" w:cs="Arial"/>
              </w:rPr>
              <w:t>4.920472</w:t>
            </w:r>
          </w:p>
        </w:tc>
        <w:tc>
          <w:tcPr>
            <w:tcW w:w="0" w:type="auto"/>
          </w:tcPr>
          <w:p w14:paraId="370EF540" w14:textId="77777777" w:rsidR="008C02EC" w:rsidRPr="008C02EC" w:rsidRDefault="008C02EC" w:rsidP="00BF1BD7">
            <w:pPr>
              <w:jc w:val="center"/>
              <w:rPr>
                <w:rFonts w:ascii="Arial" w:hAnsi="Arial" w:cs="Arial"/>
              </w:rPr>
            </w:pPr>
            <w:r w:rsidRPr="008C02EC">
              <w:rPr>
                <w:rFonts w:ascii="Arial" w:hAnsi="Arial" w:cs="Arial"/>
              </w:rPr>
              <w:t>0.005</w:t>
            </w:r>
          </w:p>
        </w:tc>
        <w:tc>
          <w:tcPr>
            <w:tcW w:w="0" w:type="auto"/>
          </w:tcPr>
          <w:p w14:paraId="53E35DA2" w14:textId="77777777" w:rsidR="008C02EC" w:rsidRPr="008C02EC" w:rsidRDefault="008C02EC" w:rsidP="00BF1BD7">
            <w:pPr>
              <w:jc w:val="center"/>
              <w:rPr>
                <w:rFonts w:ascii="Arial" w:hAnsi="Arial" w:cs="Arial"/>
              </w:rPr>
            </w:pPr>
            <w:r w:rsidRPr="008C02EC">
              <w:rPr>
                <w:rFonts w:ascii="Arial" w:hAnsi="Arial" w:cs="Arial"/>
              </w:rPr>
              <w:t>0.041</w:t>
            </w:r>
          </w:p>
        </w:tc>
        <w:tc>
          <w:tcPr>
            <w:tcW w:w="0" w:type="auto"/>
          </w:tcPr>
          <w:p w14:paraId="548BF155" w14:textId="77777777" w:rsidR="008C02EC" w:rsidRPr="008C02EC" w:rsidRDefault="008C02EC" w:rsidP="00BF1BD7">
            <w:pPr>
              <w:jc w:val="center"/>
              <w:rPr>
                <w:rFonts w:ascii="Arial" w:hAnsi="Arial" w:cs="Arial"/>
              </w:rPr>
            </w:pPr>
            <w:r w:rsidRPr="008C02EC">
              <w:rPr>
                <w:rFonts w:ascii="Arial" w:hAnsi="Arial" w:cs="Arial"/>
              </w:rPr>
              <w:t>0.087</w:t>
            </w:r>
          </w:p>
        </w:tc>
        <w:tc>
          <w:tcPr>
            <w:tcW w:w="0" w:type="auto"/>
          </w:tcPr>
          <w:p w14:paraId="17B62FC9" w14:textId="77777777" w:rsidR="008C02EC" w:rsidRPr="008C02EC" w:rsidRDefault="008C02EC" w:rsidP="00BF1BD7">
            <w:pPr>
              <w:jc w:val="center"/>
              <w:rPr>
                <w:rFonts w:ascii="Arial" w:hAnsi="Arial" w:cs="Arial"/>
              </w:rPr>
            </w:pPr>
            <w:r w:rsidRPr="008C02EC">
              <w:rPr>
                <w:rFonts w:ascii="Arial" w:hAnsi="Arial" w:cs="Arial"/>
              </w:rPr>
              <w:t>0.069</w:t>
            </w:r>
          </w:p>
        </w:tc>
        <w:tc>
          <w:tcPr>
            <w:tcW w:w="0" w:type="auto"/>
          </w:tcPr>
          <w:p w14:paraId="4353E6B2" w14:textId="77777777" w:rsidR="008C02EC" w:rsidRPr="008C02EC" w:rsidRDefault="008C02EC" w:rsidP="00BF1BD7">
            <w:pPr>
              <w:jc w:val="center"/>
              <w:rPr>
                <w:rFonts w:ascii="Arial" w:hAnsi="Arial" w:cs="Arial"/>
              </w:rPr>
            </w:pPr>
            <w:r w:rsidRPr="008C02EC">
              <w:rPr>
                <w:rFonts w:ascii="Arial" w:hAnsi="Arial" w:cs="Arial"/>
              </w:rPr>
              <w:t>0.056</w:t>
            </w:r>
          </w:p>
        </w:tc>
        <w:tc>
          <w:tcPr>
            <w:tcW w:w="0" w:type="auto"/>
            <w:vAlign w:val="center"/>
          </w:tcPr>
          <w:p w14:paraId="04C608BE" w14:textId="77777777" w:rsidR="008C02EC" w:rsidRPr="008C02EC" w:rsidRDefault="008C02EC" w:rsidP="00BF1BD7">
            <w:pPr>
              <w:jc w:val="both"/>
              <w:rPr>
                <w:rFonts w:ascii="Arial" w:hAnsi="Arial" w:cs="Arial"/>
              </w:rPr>
            </w:pPr>
          </w:p>
        </w:tc>
        <w:tc>
          <w:tcPr>
            <w:tcW w:w="0" w:type="auto"/>
            <w:vAlign w:val="center"/>
          </w:tcPr>
          <w:p w14:paraId="3C4A1ED7" w14:textId="77777777" w:rsidR="008C02EC" w:rsidRPr="008C02EC" w:rsidRDefault="008C02EC" w:rsidP="00BF1BD7">
            <w:pPr>
              <w:jc w:val="both"/>
              <w:rPr>
                <w:rFonts w:ascii="Arial" w:hAnsi="Arial" w:cs="Arial"/>
              </w:rPr>
            </w:pPr>
          </w:p>
        </w:tc>
        <w:tc>
          <w:tcPr>
            <w:tcW w:w="0" w:type="auto"/>
            <w:vAlign w:val="center"/>
          </w:tcPr>
          <w:p w14:paraId="028DF254" w14:textId="77777777" w:rsidR="008C02EC" w:rsidRPr="008C02EC" w:rsidRDefault="008C02EC" w:rsidP="00BF1BD7">
            <w:pPr>
              <w:jc w:val="both"/>
              <w:rPr>
                <w:rFonts w:ascii="Arial" w:hAnsi="Arial" w:cs="Arial"/>
              </w:rPr>
            </w:pPr>
          </w:p>
        </w:tc>
        <w:tc>
          <w:tcPr>
            <w:tcW w:w="0" w:type="auto"/>
            <w:vAlign w:val="center"/>
          </w:tcPr>
          <w:p w14:paraId="1A963A4A" w14:textId="77777777" w:rsidR="008C02EC" w:rsidRPr="008C02EC" w:rsidRDefault="008C02EC" w:rsidP="00BF1BD7">
            <w:pPr>
              <w:jc w:val="both"/>
              <w:rPr>
                <w:rFonts w:ascii="Arial" w:hAnsi="Arial" w:cs="Arial"/>
              </w:rPr>
            </w:pPr>
          </w:p>
        </w:tc>
        <w:tc>
          <w:tcPr>
            <w:tcW w:w="0" w:type="auto"/>
            <w:vAlign w:val="center"/>
          </w:tcPr>
          <w:p w14:paraId="1046DE16" w14:textId="77777777" w:rsidR="008C02EC" w:rsidRPr="008C02EC" w:rsidRDefault="008C02EC" w:rsidP="00BF1BD7">
            <w:pPr>
              <w:jc w:val="both"/>
              <w:rPr>
                <w:rFonts w:ascii="Arial" w:hAnsi="Arial" w:cs="Arial"/>
              </w:rPr>
            </w:pPr>
          </w:p>
        </w:tc>
        <w:tc>
          <w:tcPr>
            <w:tcW w:w="0" w:type="auto"/>
            <w:vAlign w:val="center"/>
          </w:tcPr>
          <w:p w14:paraId="09C2BB20" w14:textId="77777777" w:rsidR="008C02EC" w:rsidRPr="008C02EC" w:rsidRDefault="008C02EC" w:rsidP="00BF1BD7">
            <w:pPr>
              <w:jc w:val="both"/>
              <w:rPr>
                <w:rFonts w:ascii="Arial" w:hAnsi="Arial" w:cs="Arial"/>
              </w:rPr>
            </w:pPr>
          </w:p>
        </w:tc>
      </w:tr>
      <w:tr w:rsidR="008C02EC" w:rsidRPr="008C02EC" w14:paraId="67A7424D" w14:textId="77777777" w:rsidTr="00BF1BD7">
        <w:trPr>
          <w:trHeight w:val="527"/>
          <w:tblCellSpacing w:w="15" w:type="dxa"/>
        </w:trPr>
        <w:tc>
          <w:tcPr>
            <w:tcW w:w="1103" w:type="dxa"/>
          </w:tcPr>
          <w:p w14:paraId="7DD79A7E" w14:textId="77777777" w:rsidR="008C02EC" w:rsidRPr="008C02EC" w:rsidRDefault="008C02EC" w:rsidP="00BF1BD7">
            <w:pPr>
              <w:jc w:val="center"/>
              <w:rPr>
                <w:rFonts w:ascii="Arial" w:hAnsi="Arial" w:cs="Arial"/>
              </w:rPr>
            </w:pPr>
            <w:r w:rsidRPr="008C02EC">
              <w:rPr>
                <w:rFonts w:ascii="Arial" w:hAnsi="Arial" w:cs="Arial"/>
              </w:rPr>
              <w:t>B1A</w:t>
            </w:r>
          </w:p>
        </w:tc>
        <w:tc>
          <w:tcPr>
            <w:tcW w:w="1412" w:type="dxa"/>
          </w:tcPr>
          <w:p w14:paraId="534EC18B" w14:textId="77777777" w:rsidR="008C02EC" w:rsidRPr="008C02EC" w:rsidRDefault="008C02EC" w:rsidP="00BF1BD7">
            <w:pPr>
              <w:jc w:val="center"/>
              <w:rPr>
                <w:rFonts w:ascii="Arial" w:hAnsi="Arial" w:cs="Arial"/>
              </w:rPr>
            </w:pPr>
            <w:r w:rsidRPr="008C02EC">
              <w:rPr>
                <w:rFonts w:ascii="Arial" w:hAnsi="Arial" w:cs="Arial"/>
              </w:rPr>
              <w:t>6.9186</w:t>
            </w:r>
          </w:p>
        </w:tc>
        <w:tc>
          <w:tcPr>
            <w:tcW w:w="1397" w:type="dxa"/>
          </w:tcPr>
          <w:p w14:paraId="0F63CF62" w14:textId="77777777" w:rsidR="008C02EC" w:rsidRPr="008C02EC" w:rsidRDefault="008C02EC" w:rsidP="00BF1BD7">
            <w:pPr>
              <w:jc w:val="center"/>
              <w:rPr>
                <w:rFonts w:ascii="Arial" w:hAnsi="Arial" w:cs="Arial"/>
              </w:rPr>
            </w:pPr>
            <w:r w:rsidRPr="008C02EC">
              <w:rPr>
                <w:rFonts w:ascii="Arial" w:hAnsi="Arial" w:cs="Arial"/>
              </w:rPr>
              <w:t>4.9205</w:t>
            </w:r>
          </w:p>
        </w:tc>
        <w:tc>
          <w:tcPr>
            <w:tcW w:w="0" w:type="auto"/>
          </w:tcPr>
          <w:p w14:paraId="0317ACEF"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3E52077E" w14:textId="77777777" w:rsidR="008C02EC" w:rsidRPr="008C02EC" w:rsidRDefault="008C02EC" w:rsidP="00BF1BD7">
            <w:pPr>
              <w:jc w:val="center"/>
              <w:rPr>
                <w:rFonts w:ascii="Arial" w:hAnsi="Arial" w:cs="Arial"/>
              </w:rPr>
            </w:pPr>
            <w:r w:rsidRPr="008C02EC">
              <w:rPr>
                <w:rFonts w:ascii="Arial" w:hAnsi="Arial" w:cs="Arial"/>
              </w:rPr>
              <w:t>0.213</w:t>
            </w:r>
          </w:p>
        </w:tc>
        <w:tc>
          <w:tcPr>
            <w:tcW w:w="0" w:type="auto"/>
          </w:tcPr>
          <w:p w14:paraId="6BF64F3B" w14:textId="77777777" w:rsidR="008C02EC" w:rsidRPr="008C02EC" w:rsidRDefault="008C02EC" w:rsidP="00BF1BD7">
            <w:pPr>
              <w:jc w:val="center"/>
              <w:rPr>
                <w:rFonts w:ascii="Arial" w:hAnsi="Arial" w:cs="Arial"/>
              </w:rPr>
            </w:pPr>
            <w:r w:rsidRPr="008C02EC">
              <w:rPr>
                <w:rFonts w:ascii="Arial" w:hAnsi="Arial" w:cs="Arial"/>
              </w:rPr>
              <w:t>0.011</w:t>
            </w:r>
          </w:p>
        </w:tc>
        <w:tc>
          <w:tcPr>
            <w:tcW w:w="0" w:type="auto"/>
          </w:tcPr>
          <w:p w14:paraId="634A6ED6" w14:textId="77777777" w:rsidR="008C02EC" w:rsidRPr="008C02EC" w:rsidRDefault="008C02EC" w:rsidP="00BF1BD7">
            <w:pPr>
              <w:jc w:val="center"/>
              <w:rPr>
                <w:rFonts w:ascii="Arial" w:hAnsi="Arial" w:cs="Arial"/>
              </w:rPr>
            </w:pPr>
            <w:r w:rsidRPr="008C02EC">
              <w:rPr>
                <w:rFonts w:ascii="Arial" w:hAnsi="Arial" w:cs="Arial"/>
              </w:rPr>
              <w:t>0.071</w:t>
            </w:r>
          </w:p>
        </w:tc>
        <w:tc>
          <w:tcPr>
            <w:tcW w:w="0" w:type="auto"/>
          </w:tcPr>
          <w:p w14:paraId="398AF0DE" w14:textId="77777777" w:rsidR="008C02EC" w:rsidRPr="008C02EC" w:rsidRDefault="008C02EC" w:rsidP="00BF1BD7">
            <w:pPr>
              <w:jc w:val="center"/>
              <w:rPr>
                <w:rFonts w:ascii="Arial" w:hAnsi="Arial" w:cs="Arial"/>
              </w:rPr>
            </w:pPr>
            <w:r w:rsidRPr="008C02EC">
              <w:rPr>
                <w:rFonts w:ascii="Arial" w:hAnsi="Arial" w:cs="Arial"/>
              </w:rPr>
              <w:t>0.028</w:t>
            </w:r>
          </w:p>
        </w:tc>
        <w:tc>
          <w:tcPr>
            <w:tcW w:w="0" w:type="auto"/>
            <w:vAlign w:val="center"/>
          </w:tcPr>
          <w:p w14:paraId="2247486C" w14:textId="77777777" w:rsidR="008C02EC" w:rsidRPr="008C02EC" w:rsidRDefault="008C02EC" w:rsidP="00BF1BD7">
            <w:pPr>
              <w:jc w:val="both"/>
              <w:rPr>
                <w:rFonts w:ascii="Arial" w:hAnsi="Arial" w:cs="Arial"/>
              </w:rPr>
            </w:pPr>
          </w:p>
        </w:tc>
        <w:tc>
          <w:tcPr>
            <w:tcW w:w="0" w:type="auto"/>
            <w:vAlign w:val="center"/>
          </w:tcPr>
          <w:p w14:paraId="23B20D8F" w14:textId="77777777" w:rsidR="008C02EC" w:rsidRPr="008C02EC" w:rsidRDefault="008C02EC" w:rsidP="00BF1BD7">
            <w:pPr>
              <w:jc w:val="both"/>
              <w:rPr>
                <w:rFonts w:ascii="Arial" w:hAnsi="Arial" w:cs="Arial"/>
              </w:rPr>
            </w:pPr>
          </w:p>
        </w:tc>
        <w:tc>
          <w:tcPr>
            <w:tcW w:w="0" w:type="auto"/>
            <w:vAlign w:val="center"/>
          </w:tcPr>
          <w:p w14:paraId="00BEF4E1" w14:textId="77777777" w:rsidR="008C02EC" w:rsidRPr="008C02EC" w:rsidRDefault="008C02EC" w:rsidP="00BF1BD7">
            <w:pPr>
              <w:jc w:val="both"/>
              <w:rPr>
                <w:rFonts w:ascii="Arial" w:hAnsi="Arial" w:cs="Arial"/>
              </w:rPr>
            </w:pPr>
          </w:p>
        </w:tc>
        <w:tc>
          <w:tcPr>
            <w:tcW w:w="0" w:type="auto"/>
            <w:vAlign w:val="center"/>
          </w:tcPr>
          <w:p w14:paraId="38C50B9E" w14:textId="77777777" w:rsidR="008C02EC" w:rsidRPr="008C02EC" w:rsidRDefault="008C02EC" w:rsidP="00BF1BD7">
            <w:pPr>
              <w:jc w:val="both"/>
              <w:rPr>
                <w:rFonts w:ascii="Arial" w:hAnsi="Arial" w:cs="Arial"/>
              </w:rPr>
            </w:pPr>
          </w:p>
        </w:tc>
        <w:tc>
          <w:tcPr>
            <w:tcW w:w="0" w:type="auto"/>
            <w:vAlign w:val="center"/>
          </w:tcPr>
          <w:p w14:paraId="7A5B88DC" w14:textId="77777777" w:rsidR="008C02EC" w:rsidRPr="008C02EC" w:rsidRDefault="008C02EC" w:rsidP="00BF1BD7">
            <w:pPr>
              <w:jc w:val="both"/>
              <w:rPr>
                <w:rFonts w:ascii="Arial" w:hAnsi="Arial" w:cs="Arial"/>
              </w:rPr>
            </w:pPr>
          </w:p>
        </w:tc>
        <w:tc>
          <w:tcPr>
            <w:tcW w:w="0" w:type="auto"/>
            <w:vAlign w:val="center"/>
          </w:tcPr>
          <w:p w14:paraId="249E4AC6" w14:textId="77777777" w:rsidR="008C02EC" w:rsidRPr="008C02EC" w:rsidRDefault="008C02EC" w:rsidP="00BF1BD7">
            <w:pPr>
              <w:jc w:val="both"/>
              <w:rPr>
                <w:rFonts w:ascii="Arial" w:hAnsi="Arial" w:cs="Arial"/>
              </w:rPr>
            </w:pPr>
          </w:p>
        </w:tc>
      </w:tr>
      <w:tr w:rsidR="008C02EC" w:rsidRPr="008C02EC" w14:paraId="1DBF4691" w14:textId="77777777" w:rsidTr="00BF1BD7">
        <w:trPr>
          <w:trHeight w:val="541"/>
          <w:tblCellSpacing w:w="15" w:type="dxa"/>
        </w:trPr>
        <w:tc>
          <w:tcPr>
            <w:tcW w:w="1103" w:type="dxa"/>
          </w:tcPr>
          <w:p w14:paraId="16A782E7" w14:textId="77777777" w:rsidR="008C02EC" w:rsidRPr="008C02EC" w:rsidRDefault="008C02EC" w:rsidP="00BF1BD7">
            <w:pPr>
              <w:jc w:val="center"/>
              <w:rPr>
                <w:rFonts w:ascii="Arial" w:hAnsi="Arial" w:cs="Arial"/>
              </w:rPr>
            </w:pPr>
            <w:r w:rsidRPr="008C02EC">
              <w:rPr>
                <w:rFonts w:ascii="Arial" w:hAnsi="Arial" w:cs="Arial"/>
              </w:rPr>
              <w:t>B1B</w:t>
            </w:r>
          </w:p>
        </w:tc>
        <w:tc>
          <w:tcPr>
            <w:tcW w:w="1412" w:type="dxa"/>
          </w:tcPr>
          <w:p w14:paraId="3355A638" w14:textId="77777777" w:rsidR="008C02EC" w:rsidRPr="008C02EC" w:rsidRDefault="008C02EC" w:rsidP="00BF1BD7">
            <w:pPr>
              <w:jc w:val="center"/>
              <w:rPr>
                <w:rFonts w:ascii="Arial" w:hAnsi="Arial" w:cs="Arial"/>
              </w:rPr>
            </w:pPr>
            <w:r w:rsidRPr="008C02EC">
              <w:rPr>
                <w:rFonts w:ascii="Arial" w:hAnsi="Arial" w:cs="Arial"/>
              </w:rPr>
              <w:t>6.9186</w:t>
            </w:r>
          </w:p>
        </w:tc>
        <w:tc>
          <w:tcPr>
            <w:tcW w:w="1397" w:type="dxa"/>
          </w:tcPr>
          <w:p w14:paraId="77D68510" w14:textId="77777777" w:rsidR="008C02EC" w:rsidRPr="008C02EC" w:rsidRDefault="008C02EC" w:rsidP="00BF1BD7">
            <w:pPr>
              <w:jc w:val="center"/>
              <w:rPr>
                <w:rFonts w:ascii="Arial" w:hAnsi="Arial" w:cs="Arial"/>
              </w:rPr>
            </w:pPr>
            <w:r w:rsidRPr="008C02EC">
              <w:rPr>
                <w:rFonts w:ascii="Arial" w:hAnsi="Arial" w:cs="Arial"/>
              </w:rPr>
              <w:t>4.9205</w:t>
            </w:r>
          </w:p>
        </w:tc>
        <w:tc>
          <w:tcPr>
            <w:tcW w:w="0" w:type="auto"/>
          </w:tcPr>
          <w:p w14:paraId="7BBBA507" w14:textId="77777777" w:rsidR="008C02EC" w:rsidRPr="008C02EC" w:rsidRDefault="008C02EC" w:rsidP="00BF1BD7">
            <w:pPr>
              <w:jc w:val="center"/>
              <w:rPr>
                <w:rFonts w:ascii="Arial" w:hAnsi="Arial" w:cs="Arial"/>
              </w:rPr>
            </w:pPr>
            <w:r w:rsidRPr="008C02EC">
              <w:rPr>
                <w:rFonts w:ascii="Arial" w:hAnsi="Arial" w:cs="Arial"/>
              </w:rPr>
              <w:t>0.001</w:t>
            </w:r>
          </w:p>
        </w:tc>
        <w:tc>
          <w:tcPr>
            <w:tcW w:w="0" w:type="auto"/>
          </w:tcPr>
          <w:p w14:paraId="68B7053C" w14:textId="77777777" w:rsidR="008C02EC" w:rsidRPr="008C02EC" w:rsidRDefault="008C02EC" w:rsidP="00BF1BD7">
            <w:pPr>
              <w:jc w:val="center"/>
              <w:rPr>
                <w:rFonts w:ascii="Arial" w:hAnsi="Arial" w:cs="Arial"/>
              </w:rPr>
            </w:pPr>
            <w:r w:rsidRPr="008C02EC">
              <w:rPr>
                <w:rFonts w:ascii="Arial" w:hAnsi="Arial" w:cs="Arial"/>
              </w:rPr>
              <w:t>0.254</w:t>
            </w:r>
          </w:p>
        </w:tc>
        <w:tc>
          <w:tcPr>
            <w:tcW w:w="0" w:type="auto"/>
          </w:tcPr>
          <w:p w14:paraId="5050CD33" w14:textId="77777777" w:rsidR="008C02EC" w:rsidRPr="008C02EC" w:rsidRDefault="008C02EC" w:rsidP="00BF1BD7">
            <w:pPr>
              <w:jc w:val="center"/>
              <w:rPr>
                <w:rFonts w:ascii="Arial" w:hAnsi="Arial" w:cs="Arial"/>
              </w:rPr>
            </w:pPr>
            <w:r w:rsidRPr="008C02EC">
              <w:rPr>
                <w:rFonts w:ascii="Arial" w:hAnsi="Arial" w:cs="Arial"/>
              </w:rPr>
              <w:t>0.008</w:t>
            </w:r>
          </w:p>
        </w:tc>
        <w:tc>
          <w:tcPr>
            <w:tcW w:w="0" w:type="auto"/>
          </w:tcPr>
          <w:p w14:paraId="46DD07C7" w14:textId="77777777" w:rsidR="008C02EC" w:rsidRPr="008C02EC" w:rsidRDefault="008C02EC" w:rsidP="00BF1BD7">
            <w:pPr>
              <w:jc w:val="center"/>
              <w:rPr>
                <w:rFonts w:ascii="Arial" w:hAnsi="Arial" w:cs="Arial"/>
              </w:rPr>
            </w:pPr>
            <w:r w:rsidRPr="008C02EC">
              <w:rPr>
                <w:rFonts w:ascii="Arial" w:hAnsi="Arial" w:cs="Arial"/>
              </w:rPr>
              <w:t>0.063</w:t>
            </w:r>
          </w:p>
        </w:tc>
        <w:tc>
          <w:tcPr>
            <w:tcW w:w="0" w:type="auto"/>
          </w:tcPr>
          <w:p w14:paraId="28802680" w14:textId="77777777" w:rsidR="008C02EC" w:rsidRPr="008C02EC" w:rsidRDefault="008C02EC" w:rsidP="00BF1BD7">
            <w:pPr>
              <w:jc w:val="center"/>
              <w:rPr>
                <w:rFonts w:ascii="Arial" w:hAnsi="Arial" w:cs="Arial"/>
              </w:rPr>
            </w:pPr>
            <w:r w:rsidRPr="008C02EC">
              <w:rPr>
                <w:rFonts w:ascii="Arial" w:hAnsi="Arial" w:cs="Arial"/>
              </w:rPr>
              <w:t>0.019</w:t>
            </w:r>
          </w:p>
        </w:tc>
        <w:tc>
          <w:tcPr>
            <w:tcW w:w="0" w:type="auto"/>
            <w:vAlign w:val="center"/>
          </w:tcPr>
          <w:p w14:paraId="5751C1BC" w14:textId="77777777" w:rsidR="008C02EC" w:rsidRPr="008C02EC" w:rsidRDefault="008C02EC" w:rsidP="00BF1BD7">
            <w:pPr>
              <w:jc w:val="both"/>
              <w:rPr>
                <w:rFonts w:ascii="Arial" w:hAnsi="Arial" w:cs="Arial"/>
              </w:rPr>
            </w:pPr>
          </w:p>
        </w:tc>
        <w:tc>
          <w:tcPr>
            <w:tcW w:w="0" w:type="auto"/>
            <w:vAlign w:val="center"/>
          </w:tcPr>
          <w:p w14:paraId="76821CD7" w14:textId="77777777" w:rsidR="008C02EC" w:rsidRPr="008C02EC" w:rsidRDefault="008C02EC" w:rsidP="00BF1BD7">
            <w:pPr>
              <w:jc w:val="both"/>
              <w:rPr>
                <w:rFonts w:ascii="Arial" w:hAnsi="Arial" w:cs="Arial"/>
              </w:rPr>
            </w:pPr>
          </w:p>
        </w:tc>
        <w:tc>
          <w:tcPr>
            <w:tcW w:w="0" w:type="auto"/>
            <w:vAlign w:val="center"/>
          </w:tcPr>
          <w:p w14:paraId="7899523F" w14:textId="77777777" w:rsidR="008C02EC" w:rsidRPr="008C02EC" w:rsidRDefault="008C02EC" w:rsidP="00BF1BD7">
            <w:pPr>
              <w:jc w:val="both"/>
              <w:rPr>
                <w:rFonts w:ascii="Arial" w:hAnsi="Arial" w:cs="Arial"/>
              </w:rPr>
            </w:pPr>
          </w:p>
        </w:tc>
        <w:tc>
          <w:tcPr>
            <w:tcW w:w="0" w:type="auto"/>
            <w:vAlign w:val="center"/>
          </w:tcPr>
          <w:p w14:paraId="2CF53BB1" w14:textId="77777777" w:rsidR="008C02EC" w:rsidRPr="008C02EC" w:rsidRDefault="008C02EC" w:rsidP="00BF1BD7">
            <w:pPr>
              <w:jc w:val="both"/>
              <w:rPr>
                <w:rFonts w:ascii="Arial" w:hAnsi="Arial" w:cs="Arial"/>
              </w:rPr>
            </w:pPr>
          </w:p>
        </w:tc>
        <w:tc>
          <w:tcPr>
            <w:tcW w:w="0" w:type="auto"/>
            <w:vAlign w:val="center"/>
          </w:tcPr>
          <w:p w14:paraId="56FFB211" w14:textId="77777777" w:rsidR="008C02EC" w:rsidRPr="008C02EC" w:rsidRDefault="008C02EC" w:rsidP="00BF1BD7">
            <w:pPr>
              <w:jc w:val="both"/>
              <w:rPr>
                <w:rFonts w:ascii="Arial" w:hAnsi="Arial" w:cs="Arial"/>
              </w:rPr>
            </w:pPr>
          </w:p>
        </w:tc>
        <w:tc>
          <w:tcPr>
            <w:tcW w:w="0" w:type="auto"/>
            <w:vAlign w:val="center"/>
          </w:tcPr>
          <w:p w14:paraId="2A5F1BEE" w14:textId="77777777" w:rsidR="008C02EC" w:rsidRPr="008C02EC" w:rsidRDefault="008C02EC" w:rsidP="00BF1BD7">
            <w:pPr>
              <w:jc w:val="both"/>
              <w:rPr>
                <w:rFonts w:ascii="Arial" w:hAnsi="Arial" w:cs="Arial"/>
              </w:rPr>
            </w:pPr>
          </w:p>
        </w:tc>
      </w:tr>
      <w:tr w:rsidR="008C02EC" w:rsidRPr="008C02EC" w14:paraId="169A0794" w14:textId="77777777" w:rsidTr="00BF1BD7">
        <w:trPr>
          <w:trHeight w:val="527"/>
          <w:tblCellSpacing w:w="15" w:type="dxa"/>
        </w:trPr>
        <w:tc>
          <w:tcPr>
            <w:tcW w:w="1103" w:type="dxa"/>
          </w:tcPr>
          <w:p w14:paraId="4E02D8A1" w14:textId="77777777" w:rsidR="008C02EC" w:rsidRPr="008C02EC" w:rsidRDefault="008C02EC" w:rsidP="00BF1BD7">
            <w:pPr>
              <w:jc w:val="center"/>
              <w:rPr>
                <w:rFonts w:ascii="Arial" w:hAnsi="Arial" w:cs="Arial"/>
              </w:rPr>
            </w:pPr>
            <w:r w:rsidRPr="008C02EC">
              <w:rPr>
                <w:rFonts w:ascii="Arial" w:hAnsi="Arial" w:cs="Arial"/>
              </w:rPr>
              <w:t>B2A</w:t>
            </w:r>
          </w:p>
        </w:tc>
        <w:tc>
          <w:tcPr>
            <w:tcW w:w="1412" w:type="dxa"/>
          </w:tcPr>
          <w:p w14:paraId="5E3D7BEB" w14:textId="77777777" w:rsidR="008C02EC" w:rsidRPr="008C02EC" w:rsidRDefault="008C02EC" w:rsidP="00BF1BD7">
            <w:pPr>
              <w:jc w:val="center"/>
              <w:rPr>
                <w:rFonts w:ascii="Arial" w:hAnsi="Arial" w:cs="Arial"/>
              </w:rPr>
            </w:pPr>
            <w:r w:rsidRPr="008C02EC">
              <w:rPr>
                <w:rFonts w:ascii="Arial" w:hAnsi="Arial" w:cs="Arial"/>
              </w:rPr>
              <w:t>6.918628</w:t>
            </w:r>
          </w:p>
        </w:tc>
        <w:tc>
          <w:tcPr>
            <w:tcW w:w="1397" w:type="dxa"/>
          </w:tcPr>
          <w:p w14:paraId="77C7C1A1" w14:textId="77777777" w:rsidR="008C02EC" w:rsidRPr="008C02EC" w:rsidRDefault="008C02EC" w:rsidP="00BF1BD7">
            <w:pPr>
              <w:jc w:val="center"/>
              <w:rPr>
                <w:rFonts w:ascii="Arial" w:hAnsi="Arial" w:cs="Arial"/>
              </w:rPr>
            </w:pPr>
            <w:r w:rsidRPr="008C02EC">
              <w:rPr>
                <w:rFonts w:ascii="Arial" w:hAnsi="Arial" w:cs="Arial"/>
              </w:rPr>
              <w:t>4.920528</w:t>
            </w:r>
          </w:p>
        </w:tc>
        <w:tc>
          <w:tcPr>
            <w:tcW w:w="0" w:type="auto"/>
          </w:tcPr>
          <w:p w14:paraId="455C46D5" w14:textId="77777777" w:rsidR="008C02EC" w:rsidRPr="008C02EC" w:rsidRDefault="008C02EC" w:rsidP="00BF1BD7">
            <w:pPr>
              <w:jc w:val="center"/>
              <w:rPr>
                <w:rFonts w:ascii="Arial" w:hAnsi="Arial" w:cs="Arial"/>
              </w:rPr>
            </w:pPr>
            <w:r w:rsidRPr="008C02EC">
              <w:rPr>
                <w:rFonts w:ascii="Arial" w:hAnsi="Arial" w:cs="Arial"/>
              </w:rPr>
              <w:t>0.004</w:t>
            </w:r>
          </w:p>
        </w:tc>
        <w:tc>
          <w:tcPr>
            <w:tcW w:w="0" w:type="auto"/>
          </w:tcPr>
          <w:p w14:paraId="00163146"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6E6D0060" w14:textId="77777777" w:rsidR="008C02EC" w:rsidRPr="008C02EC" w:rsidRDefault="008C02EC" w:rsidP="00BF1BD7">
            <w:pPr>
              <w:jc w:val="center"/>
              <w:rPr>
                <w:rFonts w:ascii="Arial" w:hAnsi="Arial" w:cs="Arial"/>
              </w:rPr>
            </w:pPr>
            <w:r w:rsidRPr="008C02EC">
              <w:rPr>
                <w:rFonts w:ascii="Arial" w:hAnsi="Arial" w:cs="Arial"/>
              </w:rPr>
              <w:t>0.006</w:t>
            </w:r>
          </w:p>
        </w:tc>
        <w:tc>
          <w:tcPr>
            <w:tcW w:w="0" w:type="auto"/>
          </w:tcPr>
          <w:p w14:paraId="66B45AAF" w14:textId="77777777" w:rsidR="008C02EC" w:rsidRPr="008C02EC" w:rsidRDefault="008C02EC" w:rsidP="00BF1BD7">
            <w:pPr>
              <w:jc w:val="center"/>
              <w:rPr>
                <w:rFonts w:ascii="Arial" w:hAnsi="Arial" w:cs="Arial"/>
              </w:rPr>
            </w:pPr>
            <w:r w:rsidRPr="008C02EC">
              <w:rPr>
                <w:rFonts w:ascii="Arial" w:hAnsi="Arial" w:cs="Arial"/>
              </w:rPr>
              <w:t>0.062</w:t>
            </w:r>
          </w:p>
        </w:tc>
        <w:tc>
          <w:tcPr>
            <w:tcW w:w="0" w:type="auto"/>
          </w:tcPr>
          <w:p w14:paraId="3007E423" w14:textId="77777777" w:rsidR="008C02EC" w:rsidRPr="008C02EC" w:rsidRDefault="008C02EC" w:rsidP="00BF1BD7">
            <w:pPr>
              <w:jc w:val="center"/>
              <w:rPr>
                <w:rFonts w:ascii="Arial" w:hAnsi="Arial" w:cs="Arial"/>
              </w:rPr>
            </w:pPr>
            <w:r w:rsidRPr="008C02EC">
              <w:rPr>
                <w:rFonts w:ascii="Arial" w:hAnsi="Arial" w:cs="Arial"/>
              </w:rPr>
              <w:t>0.037</w:t>
            </w:r>
          </w:p>
        </w:tc>
        <w:tc>
          <w:tcPr>
            <w:tcW w:w="0" w:type="auto"/>
            <w:vAlign w:val="center"/>
          </w:tcPr>
          <w:p w14:paraId="39C7D028" w14:textId="77777777" w:rsidR="008C02EC" w:rsidRPr="008C02EC" w:rsidRDefault="008C02EC" w:rsidP="00BF1BD7">
            <w:pPr>
              <w:jc w:val="both"/>
              <w:rPr>
                <w:rFonts w:ascii="Arial" w:hAnsi="Arial" w:cs="Arial"/>
              </w:rPr>
            </w:pPr>
          </w:p>
        </w:tc>
        <w:tc>
          <w:tcPr>
            <w:tcW w:w="0" w:type="auto"/>
            <w:vAlign w:val="center"/>
          </w:tcPr>
          <w:p w14:paraId="41896646" w14:textId="77777777" w:rsidR="008C02EC" w:rsidRPr="008C02EC" w:rsidRDefault="008C02EC" w:rsidP="00BF1BD7">
            <w:pPr>
              <w:jc w:val="both"/>
              <w:rPr>
                <w:rFonts w:ascii="Arial" w:hAnsi="Arial" w:cs="Arial"/>
              </w:rPr>
            </w:pPr>
          </w:p>
        </w:tc>
        <w:tc>
          <w:tcPr>
            <w:tcW w:w="0" w:type="auto"/>
            <w:vAlign w:val="center"/>
          </w:tcPr>
          <w:p w14:paraId="4F2559CE" w14:textId="77777777" w:rsidR="008C02EC" w:rsidRPr="008C02EC" w:rsidRDefault="008C02EC" w:rsidP="00BF1BD7">
            <w:pPr>
              <w:jc w:val="both"/>
              <w:rPr>
                <w:rFonts w:ascii="Arial" w:hAnsi="Arial" w:cs="Arial"/>
              </w:rPr>
            </w:pPr>
          </w:p>
        </w:tc>
        <w:tc>
          <w:tcPr>
            <w:tcW w:w="0" w:type="auto"/>
            <w:vAlign w:val="center"/>
          </w:tcPr>
          <w:p w14:paraId="66F30D86" w14:textId="77777777" w:rsidR="008C02EC" w:rsidRPr="008C02EC" w:rsidRDefault="008C02EC" w:rsidP="00BF1BD7">
            <w:pPr>
              <w:jc w:val="both"/>
              <w:rPr>
                <w:rFonts w:ascii="Arial" w:hAnsi="Arial" w:cs="Arial"/>
              </w:rPr>
            </w:pPr>
          </w:p>
        </w:tc>
        <w:tc>
          <w:tcPr>
            <w:tcW w:w="0" w:type="auto"/>
            <w:vAlign w:val="center"/>
          </w:tcPr>
          <w:p w14:paraId="155AB7C8" w14:textId="77777777" w:rsidR="008C02EC" w:rsidRPr="008C02EC" w:rsidRDefault="008C02EC" w:rsidP="00BF1BD7">
            <w:pPr>
              <w:jc w:val="both"/>
              <w:rPr>
                <w:rFonts w:ascii="Arial" w:hAnsi="Arial" w:cs="Arial"/>
              </w:rPr>
            </w:pPr>
          </w:p>
        </w:tc>
        <w:tc>
          <w:tcPr>
            <w:tcW w:w="0" w:type="auto"/>
            <w:vAlign w:val="center"/>
          </w:tcPr>
          <w:p w14:paraId="54492EEC" w14:textId="77777777" w:rsidR="008C02EC" w:rsidRPr="008C02EC" w:rsidRDefault="008C02EC" w:rsidP="00BF1BD7">
            <w:pPr>
              <w:jc w:val="both"/>
              <w:rPr>
                <w:rFonts w:ascii="Arial" w:hAnsi="Arial" w:cs="Arial"/>
              </w:rPr>
            </w:pPr>
          </w:p>
        </w:tc>
      </w:tr>
      <w:tr w:rsidR="008C02EC" w:rsidRPr="008C02EC" w14:paraId="24A93780" w14:textId="77777777" w:rsidTr="00BF1BD7">
        <w:trPr>
          <w:trHeight w:val="541"/>
          <w:tblCellSpacing w:w="15" w:type="dxa"/>
        </w:trPr>
        <w:tc>
          <w:tcPr>
            <w:tcW w:w="1103" w:type="dxa"/>
          </w:tcPr>
          <w:p w14:paraId="2E216533" w14:textId="77777777" w:rsidR="008C02EC" w:rsidRPr="008C02EC" w:rsidRDefault="008C02EC" w:rsidP="00BF1BD7">
            <w:pPr>
              <w:jc w:val="center"/>
              <w:rPr>
                <w:rFonts w:ascii="Arial" w:hAnsi="Arial" w:cs="Arial"/>
              </w:rPr>
            </w:pPr>
            <w:r w:rsidRPr="008C02EC">
              <w:rPr>
                <w:rFonts w:ascii="Arial" w:hAnsi="Arial" w:cs="Arial"/>
              </w:rPr>
              <w:t>B2B</w:t>
            </w:r>
          </w:p>
        </w:tc>
        <w:tc>
          <w:tcPr>
            <w:tcW w:w="1412" w:type="dxa"/>
          </w:tcPr>
          <w:p w14:paraId="5234245A" w14:textId="77777777" w:rsidR="008C02EC" w:rsidRPr="008C02EC" w:rsidRDefault="008C02EC" w:rsidP="00BF1BD7">
            <w:pPr>
              <w:jc w:val="center"/>
              <w:rPr>
                <w:rFonts w:ascii="Arial" w:hAnsi="Arial" w:cs="Arial"/>
              </w:rPr>
            </w:pPr>
            <w:r w:rsidRPr="008C02EC">
              <w:rPr>
                <w:rFonts w:ascii="Arial" w:hAnsi="Arial" w:cs="Arial"/>
              </w:rPr>
              <w:t>6.918628</w:t>
            </w:r>
          </w:p>
        </w:tc>
        <w:tc>
          <w:tcPr>
            <w:tcW w:w="1397" w:type="dxa"/>
          </w:tcPr>
          <w:p w14:paraId="35636DD5" w14:textId="77777777" w:rsidR="008C02EC" w:rsidRPr="008C02EC" w:rsidRDefault="008C02EC" w:rsidP="00BF1BD7">
            <w:pPr>
              <w:jc w:val="center"/>
              <w:rPr>
                <w:rFonts w:ascii="Arial" w:hAnsi="Arial" w:cs="Arial"/>
              </w:rPr>
            </w:pPr>
            <w:r w:rsidRPr="008C02EC">
              <w:rPr>
                <w:rFonts w:ascii="Arial" w:hAnsi="Arial" w:cs="Arial"/>
              </w:rPr>
              <w:t>4.920528</w:t>
            </w:r>
          </w:p>
        </w:tc>
        <w:tc>
          <w:tcPr>
            <w:tcW w:w="0" w:type="auto"/>
          </w:tcPr>
          <w:p w14:paraId="427955C0" w14:textId="77777777" w:rsidR="008C02EC" w:rsidRPr="008C02EC" w:rsidRDefault="008C02EC" w:rsidP="00BF1BD7">
            <w:pPr>
              <w:jc w:val="center"/>
              <w:rPr>
                <w:rFonts w:ascii="Arial" w:hAnsi="Arial" w:cs="Arial"/>
              </w:rPr>
            </w:pPr>
            <w:r w:rsidRPr="008C02EC">
              <w:rPr>
                <w:rFonts w:ascii="Arial" w:hAnsi="Arial" w:cs="Arial"/>
              </w:rPr>
              <w:t>0.006</w:t>
            </w:r>
          </w:p>
        </w:tc>
        <w:tc>
          <w:tcPr>
            <w:tcW w:w="0" w:type="auto"/>
          </w:tcPr>
          <w:p w14:paraId="43DB8AA1" w14:textId="77777777" w:rsidR="008C02EC" w:rsidRPr="008C02EC" w:rsidRDefault="008C02EC" w:rsidP="00BF1BD7">
            <w:pPr>
              <w:jc w:val="center"/>
              <w:rPr>
                <w:rFonts w:ascii="Arial" w:hAnsi="Arial" w:cs="Arial"/>
              </w:rPr>
            </w:pPr>
            <w:r w:rsidRPr="008C02EC">
              <w:rPr>
                <w:rFonts w:ascii="Arial" w:hAnsi="Arial" w:cs="Arial"/>
              </w:rPr>
              <w:t>0.001</w:t>
            </w:r>
          </w:p>
        </w:tc>
        <w:tc>
          <w:tcPr>
            <w:tcW w:w="0" w:type="auto"/>
          </w:tcPr>
          <w:p w14:paraId="58622132" w14:textId="77777777" w:rsidR="008C02EC" w:rsidRPr="008C02EC" w:rsidRDefault="008C02EC" w:rsidP="00BF1BD7">
            <w:pPr>
              <w:jc w:val="center"/>
              <w:rPr>
                <w:rFonts w:ascii="Arial" w:hAnsi="Arial" w:cs="Arial"/>
              </w:rPr>
            </w:pPr>
            <w:r w:rsidRPr="008C02EC">
              <w:rPr>
                <w:rFonts w:ascii="Arial" w:hAnsi="Arial" w:cs="Arial"/>
              </w:rPr>
              <w:t>0.009</w:t>
            </w:r>
          </w:p>
        </w:tc>
        <w:tc>
          <w:tcPr>
            <w:tcW w:w="0" w:type="auto"/>
          </w:tcPr>
          <w:p w14:paraId="47A06BC8" w14:textId="77777777" w:rsidR="008C02EC" w:rsidRPr="008C02EC" w:rsidRDefault="008C02EC" w:rsidP="00BF1BD7">
            <w:pPr>
              <w:jc w:val="center"/>
              <w:rPr>
                <w:rFonts w:ascii="Arial" w:hAnsi="Arial" w:cs="Arial"/>
              </w:rPr>
            </w:pPr>
            <w:r w:rsidRPr="008C02EC">
              <w:rPr>
                <w:rFonts w:ascii="Arial" w:hAnsi="Arial" w:cs="Arial"/>
              </w:rPr>
              <w:t>0.077</w:t>
            </w:r>
          </w:p>
        </w:tc>
        <w:tc>
          <w:tcPr>
            <w:tcW w:w="0" w:type="auto"/>
          </w:tcPr>
          <w:p w14:paraId="7053B1B8" w14:textId="77777777" w:rsidR="008C02EC" w:rsidRPr="008C02EC" w:rsidRDefault="008C02EC" w:rsidP="00BF1BD7">
            <w:pPr>
              <w:jc w:val="center"/>
              <w:rPr>
                <w:rFonts w:ascii="Arial" w:hAnsi="Arial" w:cs="Arial"/>
              </w:rPr>
            </w:pPr>
            <w:r w:rsidRPr="008C02EC">
              <w:rPr>
                <w:rFonts w:ascii="Arial" w:hAnsi="Arial" w:cs="Arial"/>
              </w:rPr>
              <w:t>0.031</w:t>
            </w:r>
          </w:p>
        </w:tc>
        <w:tc>
          <w:tcPr>
            <w:tcW w:w="0" w:type="auto"/>
            <w:vAlign w:val="center"/>
          </w:tcPr>
          <w:p w14:paraId="55D5C66B" w14:textId="77777777" w:rsidR="008C02EC" w:rsidRPr="008C02EC" w:rsidRDefault="008C02EC" w:rsidP="00BF1BD7">
            <w:pPr>
              <w:jc w:val="both"/>
              <w:rPr>
                <w:rFonts w:ascii="Arial" w:hAnsi="Arial" w:cs="Arial"/>
              </w:rPr>
            </w:pPr>
          </w:p>
        </w:tc>
        <w:tc>
          <w:tcPr>
            <w:tcW w:w="0" w:type="auto"/>
            <w:vAlign w:val="center"/>
          </w:tcPr>
          <w:p w14:paraId="0529EA57" w14:textId="77777777" w:rsidR="008C02EC" w:rsidRPr="008C02EC" w:rsidRDefault="008C02EC" w:rsidP="00BF1BD7">
            <w:pPr>
              <w:jc w:val="both"/>
              <w:rPr>
                <w:rFonts w:ascii="Arial" w:hAnsi="Arial" w:cs="Arial"/>
              </w:rPr>
            </w:pPr>
          </w:p>
        </w:tc>
        <w:tc>
          <w:tcPr>
            <w:tcW w:w="0" w:type="auto"/>
            <w:vAlign w:val="center"/>
          </w:tcPr>
          <w:p w14:paraId="340FBB90" w14:textId="77777777" w:rsidR="008C02EC" w:rsidRPr="008C02EC" w:rsidRDefault="008C02EC" w:rsidP="00BF1BD7">
            <w:pPr>
              <w:jc w:val="both"/>
              <w:rPr>
                <w:rFonts w:ascii="Arial" w:hAnsi="Arial" w:cs="Arial"/>
              </w:rPr>
            </w:pPr>
          </w:p>
        </w:tc>
        <w:tc>
          <w:tcPr>
            <w:tcW w:w="0" w:type="auto"/>
            <w:vAlign w:val="center"/>
          </w:tcPr>
          <w:p w14:paraId="5A9B4061" w14:textId="77777777" w:rsidR="008C02EC" w:rsidRPr="008C02EC" w:rsidRDefault="008C02EC" w:rsidP="00BF1BD7">
            <w:pPr>
              <w:jc w:val="both"/>
              <w:rPr>
                <w:rFonts w:ascii="Arial" w:hAnsi="Arial" w:cs="Arial"/>
              </w:rPr>
            </w:pPr>
          </w:p>
        </w:tc>
        <w:tc>
          <w:tcPr>
            <w:tcW w:w="0" w:type="auto"/>
            <w:vAlign w:val="center"/>
          </w:tcPr>
          <w:p w14:paraId="1101A481" w14:textId="77777777" w:rsidR="008C02EC" w:rsidRPr="008C02EC" w:rsidRDefault="008C02EC" w:rsidP="00BF1BD7">
            <w:pPr>
              <w:jc w:val="both"/>
              <w:rPr>
                <w:rFonts w:ascii="Arial" w:hAnsi="Arial" w:cs="Arial"/>
              </w:rPr>
            </w:pPr>
          </w:p>
        </w:tc>
        <w:tc>
          <w:tcPr>
            <w:tcW w:w="0" w:type="auto"/>
            <w:vAlign w:val="center"/>
          </w:tcPr>
          <w:p w14:paraId="0710A57C" w14:textId="77777777" w:rsidR="008C02EC" w:rsidRPr="008C02EC" w:rsidRDefault="008C02EC" w:rsidP="00BF1BD7">
            <w:pPr>
              <w:jc w:val="both"/>
              <w:rPr>
                <w:rFonts w:ascii="Arial" w:hAnsi="Arial" w:cs="Arial"/>
              </w:rPr>
            </w:pPr>
          </w:p>
        </w:tc>
      </w:tr>
      <w:tr w:rsidR="008C02EC" w:rsidRPr="008C02EC" w14:paraId="539A4418" w14:textId="77777777" w:rsidTr="00BF1BD7">
        <w:trPr>
          <w:trHeight w:val="527"/>
          <w:tblCellSpacing w:w="15" w:type="dxa"/>
        </w:trPr>
        <w:tc>
          <w:tcPr>
            <w:tcW w:w="1103" w:type="dxa"/>
          </w:tcPr>
          <w:p w14:paraId="0AC2FED9" w14:textId="77777777" w:rsidR="008C02EC" w:rsidRPr="008C02EC" w:rsidRDefault="008C02EC" w:rsidP="00BF1BD7">
            <w:pPr>
              <w:jc w:val="center"/>
              <w:rPr>
                <w:rFonts w:ascii="Arial" w:hAnsi="Arial" w:cs="Arial"/>
              </w:rPr>
            </w:pPr>
            <w:r w:rsidRPr="008C02EC">
              <w:rPr>
                <w:rFonts w:ascii="Arial" w:hAnsi="Arial" w:cs="Arial"/>
              </w:rPr>
              <w:t>C1A</w:t>
            </w:r>
          </w:p>
        </w:tc>
        <w:tc>
          <w:tcPr>
            <w:tcW w:w="1412" w:type="dxa"/>
          </w:tcPr>
          <w:p w14:paraId="75B77A09" w14:textId="77777777" w:rsidR="008C02EC" w:rsidRPr="008C02EC" w:rsidRDefault="008C02EC" w:rsidP="00BF1BD7">
            <w:pPr>
              <w:jc w:val="center"/>
              <w:rPr>
                <w:rFonts w:ascii="Arial" w:hAnsi="Arial" w:cs="Arial"/>
              </w:rPr>
            </w:pPr>
            <w:r w:rsidRPr="008C02EC">
              <w:rPr>
                <w:rFonts w:ascii="Arial" w:hAnsi="Arial" w:cs="Arial"/>
              </w:rPr>
              <w:t>6.918656</w:t>
            </w:r>
          </w:p>
        </w:tc>
        <w:tc>
          <w:tcPr>
            <w:tcW w:w="1397" w:type="dxa"/>
          </w:tcPr>
          <w:p w14:paraId="1AD195BF" w14:textId="77777777" w:rsidR="008C02EC" w:rsidRPr="008C02EC" w:rsidRDefault="008C02EC" w:rsidP="00BF1BD7">
            <w:pPr>
              <w:jc w:val="center"/>
              <w:rPr>
                <w:rFonts w:ascii="Arial" w:hAnsi="Arial" w:cs="Arial"/>
              </w:rPr>
            </w:pPr>
            <w:r w:rsidRPr="008C02EC">
              <w:rPr>
                <w:rFonts w:ascii="Arial" w:hAnsi="Arial" w:cs="Arial"/>
              </w:rPr>
              <w:t>4.920556</w:t>
            </w:r>
          </w:p>
        </w:tc>
        <w:tc>
          <w:tcPr>
            <w:tcW w:w="0" w:type="auto"/>
          </w:tcPr>
          <w:p w14:paraId="756A7835" w14:textId="77777777" w:rsidR="008C02EC" w:rsidRPr="008C02EC" w:rsidRDefault="008C02EC" w:rsidP="00BF1BD7">
            <w:pPr>
              <w:jc w:val="center"/>
              <w:rPr>
                <w:rFonts w:ascii="Arial" w:hAnsi="Arial" w:cs="Arial"/>
              </w:rPr>
            </w:pPr>
            <w:r w:rsidRPr="008C02EC">
              <w:rPr>
                <w:rFonts w:ascii="Arial" w:hAnsi="Arial" w:cs="Arial"/>
              </w:rPr>
              <w:t>0.054</w:t>
            </w:r>
          </w:p>
        </w:tc>
        <w:tc>
          <w:tcPr>
            <w:tcW w:w="0" w:type="auto"/>
          </w:tcPr>
          <w:p w14:paraId="10926F76" w14:textId="77777777" w:rsidR="008C02EC" w:rsidRPr="008C02EC" w:rsidRDefault="008C02EC" w:rsidP="00BF1BD7">
            <w:pPr>
              <w:jc w:val="center"/>
              <w:rPr>
                <w:rFonts w:ascii="Arial" w:hAnsi="Arial" w:cs="Arial"/>
              </w:rPr>
            </w:pPr>
            <w:r w:rsidRPr="008C02EC">
              <w:rPr>
                <w:rFonts w:ascii="Arial" w:hAnsi="Arial" w:cs="Arial"/>
              </w:rPr>
              <w:t>0.181</w:t>
            </w:r>
          </w:p>
        </w:tc>
        <w:tc>
          <w:tcPr>
            <w:tcW w:w="0" w:type="auto"/>
          </w:tcPr>
          <w:p w14:paraId="5CCAAC0D" w14:textId="77777777" w:rsidR="008C02EC" w:rsidRPr="008C02EC" w:rsidRDefault="008C02EC" w:rsidP="00BF1BD7">
            <w:pPr>
              <w:jc w:val="center"/>
              <w:rPr>
                <w:rFonts w:ascii="Arial" w:hAnsi="Arial" w:cs="Arial"/>
              </w:rPr>
            </w:pPr>
            <w:r w:rsidRPr="008C02EC">
              <w:rPr>
                <w:rFonts w:ascii="Arial" w:hAnsi="Arial" w:cs="Arial"/>
              </w:rPr>
              <w:t>0.003</w:t>
            </w:r>
          </w:p>
        </w:tc>
        <w:tc>
          <w:tcPr>
            <w:tcW w:w="0" w:type="auto"/>
          </w:tcPr>
          <w:p w14:paraId="663752AD" w14:textId="77777777" w:rsidR="008C02EC" w:rsidRPr="008C02EC" w:rsidRDefault="008C02EC" w:rsidP="00BF1BD7">
            <w:pPr>
              <w:jc w:val="center"/>
              <w:rPr>
                <w:rFonts w:ascii="Arial" w:hAnsi="Arial" w:cs="Arial"/>
              </w:rPr>
            </w:pPr>
            <w:r w:rsidRPr="008C02EC">
              <w:rPr>
                <w:rFonts w:ascii="Arial" w:hAnsi="Arial" w:cs="Arial"/>
              </w:rPr>
              <w:t>0.052</w:t>
            </w:r>
          </w:p>
        </w:tc>
        <w:tc>
          <w:tcPr>
            <w:tcW w:w="0" w:type="auto"/>
          </w:tcPr>
          <w:p w14:paraId="736B9C86" w14:textId="77777777" w:rsidR="008C02EC" w:rsidRPr="008C02EC" w:rsidRDefault="008C02EC" w:rsidP="00BF1BD7">
            <w:pPr>
              <w:jc w:val="center"/>
              <w:rPr>
                <w:rFonts w:ascii="Arial" w:hAnsi="Arial" w:cs="Arial"/>
              </w:rPr>
            </w:pPr>
            <w:r w:rsidRPr="008C02EC">
              <w:rPr>
                <w:rFonts w:ascii="Arial" w:hAnsi="Arial" w:cs="Arial"/>
              </w:rPr>
              <w:t>0.086</w:t>
            </w:r>
          </w:p>
        </w:tc>
        <w:tc>
          <w:tcPr>
            <w:tcW w:w="0" w:type="auto"/>
            <w:vAlign w:val="center"/>
          </w:tcPr>
          <w:p w14:paraId="0260AD2E" w14:textId="77777777" w:rsidR="008C02EC" w:rsidRPr="008C02EC" w:rsidRDefault="008C02EC" w:rsidP="00BF1BD7">
            <w:pPr>
              <w:jc w:val="both"/>
              <w:rPr>
                <w:rFonts w:ascii="Arial" w:hAnsi="Arial" w:cs="Arial"/>
              </w:rPr>
            </w:pPr>
          </w:p>
        </w:tc>
        <w:tc>
          <w:tcPr>
            <w:tcW w:w="0" w:type="auto"/>
            <w:vAlign w:val="center"/>
          </w:tcPr>
          <w:p w14:paraId="51E071C9" w14:textId="77777777" w:rsidR="008C02EC" w:rsidRPr="008C02EC" w:rsidRDefault="008C02EC" w:rsidP="00BF1BD7">
            <w:pPr>
              <w:jc w:val="both"/>
              <w:rPr>
                <w:rFonts w:ascii="Arial" w:hAnsi="Arial" w:cs="Arial"/>
              </w:rPr>
            </w:pPr>
          </w:p>
        </w:tc>
        <w:tc>
          <w:tcPr>
            <w:tcW w:w="0" w:type="auto"/>
            <w:vAlign w:val="center"/>
          </w:tcPr>
          <w:p w14:paraId="2A7A0F14" w14:textId="77777777" w:rsidR="008C02EC" w:rsidRPr="008C02EC" w:rsidRDefault="008C02EC" w:rsidP="00BF1BD7">
            <w:pPr>
              <w:jc w:val="both"/>
              <w:rPr>
                <w:rFonts w:ascii="Arial" w:hAnsi="Arial" w:cs="Arial"/>
              </w:rPr>
            </w:pPr>
          </w:p>
        </w:tc>
        <w:tc>
          <w:tcPr>
            <w:tcW w:w="0" w:type="auto"/>
            <w:vAlign w:val="center"/>
          </w:tcPr>
          <w:p w14:paraId="27A141B1" w14:textId="77777777" w:rsidR="008C02EC" w:rsidRPr="008C02EC" w:rsidRDefault="008C02EC" w:rsidP="00BF1BD7">
            <w:pPr>
              <w:jc w:val="both"/>
              <w:rPr>
                <w:rFonts w:ascii="Arial" w:hAnsi="Arial" w:cs="Arial"/>
              </w:rPr>
            </w:pPr>
          </w:p>
        </w:tc>
        <w:tc>
          <w:tcPr>
            <w:tcW w:w="0" w:type="auto"/>
            <w:vAlign w:val="center"/>
          </w:tcPr>
          <w:p w14:paraId="7061EB74" w14:textId="77777777" w:rsidR="008C02EC" w:rsidRPr="008C02EC" w:rsidRDefault="008C02EC" w:rsidP="00BF1BD7">
            <w:pPr>
              <w:jc w:val="both"/>
              <w:rPr>
                <w:rFonts w:ascii="Arial" w:hAnsi="Arial" w:cs="Arial"/>
              </w:rPr>
            </w:pPr>
          </w:p>
        </w:tc>
        <w:tc>
          <w:tcPr>
            <w:tcW w:w="0" w:type="auto"/>
            <w:vAlign w:val="center"/>
          </w:tcPr>
          <w:p w14:paraId="7792BE45" w14:textId="77777777" w:rsidR="008C02EC" w:rsidRPr="008C02EC" w:rsidRDefault="008C02EC" w:rsidP="00BF1BD7">
            <w:pPr>
              <w:jc w:val="both"/>
              <w:rPr>
                <w:rFonts w:ascii="Arial" w:hAnsi="Arial" w:cs="Arial"/>
              </w:rPr>
            </w:pPr>
          </w:p>
        </w:tc>
      </w:tr>
      <w:tr w:rsidR="008C02EC" w:rsidRPr="008C02EC" w14:paraId="5D0FD622" w14:textId="77777777" w:rsidTr="00BF1BD7">
        <w:trPr>
          <w:trHeight w:val="541"/>
          <w:tblCellSpacing w:w="15" w:type="dxa"/>
        </w:trPr>
        <w:tc>
          <w:tcPr>
            <w:tcW w:w="1103" w:type="dxa"/>
          </w:tcPr>
          <w:p w14:paraId="60331D44" w14:textId="77777777" w:rsidR="008C02EC" w:rsidRPr="008C02EC" w:rsidRDefault="008C02EC" w:rsidP="00BF1BD7">
            <w:pPr>
              <w:jc w:val="center"/>
              <w:rPr>
                <w:rFonts w:ascii="Arial" w:hAnsi="Arial" w:cs="Arial"/>
              </w:rPr>
            </w:pPr>
            <w:r w:rsidRPr="008C02EC">
              <w:rPr>
                <w:rFonts w:ascii="Arial" w:hAnsi="Arial" w:cs="Arial"/>
              </w:rPr>
              <w:t>C1B</w:t>
            </w:r>
          </w:p>
        </w:tc>
        <w:tc>
          <w:tcPr>
            <w:tcW w:w="1412" w:type="dxa"/>
          </w:tcPr>
          <w:p w14:paraId="23F69DA9" w14:textId="77777777" w:rsidR="008C02EC" w:rsidRPr="008C02EC" w:rsidRDefault="008C02EC" w:rsidP="00BF1BD7">
            <w:pPr>
              <w:jc w:val="center"/>
              <w:rPr>
                <w:rFonts w:ascii="Arial" w:hAnsi="Arial" w:cs="Arial"/>
              </w:rPr>
            </w:pPr>
            <w:r w:rsidRPr="008C02EC">
              <w:rPr>
                <w:rFonts w:ascii="Arial" w:hAnsi="Arial" w:cs="Arial"/>
              </w:rPr>
              <w:t>6.918656</w:t>
            </w:r>
          </w:p>
        </w:tc>
        <w:tc>
          <w:tcPr>
            <w:tcW w:w="1397" w:type="dxa"/>
          </w:tcPr>
          <w:p w14:paraId="470B1BB5" w14:textId="77777777" w:rsidR="008C02EC" w:rsidRPr="008C02EC" w:rsidRDefault="008C02EC" w:rsidP="00BF1BD7">
            <w:pPr>
              <w:jc w:val="center"/>
              <w:rPr>
                <w:rFonts w:ascii="Arial" w:hAnsi="Arial" w:cs="Arial"/>
              </w:rPr>
            </w:pPr>
            <w:r w:rsidRPr="008C02EC">
              <w:rPr>
                <w:rFonts w:ascii="Arial" w:hAnsi="Arial" w:cs="Arial"/>
              </w:rPr>
              <w:t>4.920556</w:t>
            </w:r>
          </w:p>
        </w:tc>
        <w:tc>
          <w:tcPr>
            <w:tcW w:w="0" w:type="auto"/>
          </w:tcPr>
          <w:p w14:paraId="1032DB41" w14:textId="77777777" w:rsidR="008C02EC" w:rsidRPr="008C02EC" w:rsidRDefault="008C02EC" w:rsidP="00BF1BD7">
            <w:pPr>
              <w:jc w:val="center"/>
              <w:rPr>
                <w:rFonts w:ascii="Arial" w:hAnsi="Arial" w:cs="Arial"/>
              </w:rPr>
            </w:pPr>
            <w:r w:rsidRPr="008C02EC">
              <w:rPr>
                <w:rFonts w:ascii="Arial" w:hAnsi="Arial" w:cs="Arial"/>
              </w:rPr>
              <w:t>0.04</w:t>
            </w:r>
          </w:p>
        </w:tc>
        <w:tc>
          <w:tcPr>
            <w:tcW w:w="0" w:type="auto"/>
          </w:tcPr>
          <w:p w14:paraId="0A1200B1" w14:textId="77777777" w:rsidR="008C02EC" w:rsidRPr="008C02EC" w:rsidRDefault="008C02EC" w:rsidP="00BF1BD7">
            <w:pPr>
              <w:jc w:val="center"/>
              <w:rPr>
                <w:rFonts w:ascii="Arial" w:hAnsi="Arial" w:cs="Arial"/>
              </w:rPr>
            </w:pPr>
            <w:r w:rsidRPr="008C02EC">
              <w:rPr>
                <w:rFonts w:ascii="Arial" w:hAnsi="Arial" w:cs="Arial"/>
              </w:rPr>
              <w:t>0.196</w:t>
            </w:r>
          </w:p>
        </w:tc>
        <w:tc>
          <w:tcPr>
            <w:tcW w:w="0" w:type="auto"/>
          </w:tcPr>
          <w:p w14:paraId="6FB142FD" w14:textId="77777777" w:rsidR="008C02EC" w:rsidRPr="008C02EC" w:rsidRDefault="008C02EC" w:rsidP="00BF1BD7">
            <w:pPr>
              <w:jc w:val="center"/>
              <w:rPr>
                <w:rFonts w:ascii="Arial" w:hAnsi="Arial" w:cs="Arial"/>
              </w:rPr>
            </w:pPr>
            <w:r w:rsidRPr="008C02EC">
              <w:rPr>
                <w:rFonts w:ascii="Arial" w:hAnsi="Arial" w:cs="Arial"/>
              </w:rPr>
              <w:t>0.001</w:t>
            </w:r>
          </w:p>
        </w:tc>
        <w:tc>
          <w:tcPr>
            <w:tcW w:w="0" w:type="auto"/>
          </w:tcPr>
          <w:p w14:paraId="7E63E90E" w14:textId="77777777" w:rsidR="008C02EC" w:rsidRPr="008C02EC" w:rsidRDefault="008C02EC" w:rsidP="00BF1BD7">
            <w:pPr>
              <w:jc w:val="center"/>
              <w:rPr>
                <w:rFonts w:ascii="Arial" w:hAnsi="Arial" w:cs="Arial"/>
              </w:rPr>
            </w:pPr>
            <w:r w:rsidRPr="008C02EC">
              <w:rPr>
                <w:rFonts w:ascii="Arial" w:hAnsi="Arial" w:cs="Arial"/>
              </w:rPr>
              <w:t>0.045</w:t>
            </w:r>
          </w:p>
        </w:tc>
        <w:tc>
          <w:tcPr>
            <w:tcW w:w="0" w:type="auto"/>
          </w:tcPr>
          <w:p w14:paraId="59F0B5BF" w14:textId="77777777" w:rsidR="008C02EC" w:rsidRPr="008C02EC" w:rsidRDefault="008C02EC" w:rsidP="00BF1BD7">
            <w:pPr>
              <w:jc w:val="center"/>
              <w:rPr>
                <w:rFonts w:ascii="Arial" w:hAnsi="Arial" w:cs="Arial"/>
              </w:rPr>
            </w:pPr>
            <w:r w:rsidRPr="008C02EC">
              <w:rPr>
                <w:rFonts w:ascii="Arial" w:hAnsi="Arial" w:cs="Arial"/>
              </w:rPr>
              <w:t>0.07</w:t>
            </w:r>
          </w:p>
        </w:tc>
        <w:tc>
          <w:tcPr>
            <w:tcW w:w="0" w:type="auto"/>
            <w:vAlign w:val="center"/>
          </w:tcPr>
          <w:p w14:paraId="02793D60" w14:textId="77777777" w:rsidR="008C02EC" w:rsidRPr="008C02EC" w:rsidRDefault="008C02EC" w:rsidP="00BF1BD7">
            <w:pPr>
              <w:jc w:val="both"/>
              <w:rPr>
                <w:rFonts w:ascii="Arial" w:hAnsi="Arial" w:cs="Arial"/>
              </w:rPr>
            </w:pPr>
          </w:p>
        </w:tc>
        <w:tc>
          <w:tcPr>
            <w:tcW w:w="0" w:type="auto"/>
            <w:vAlign w:val="center"/>
          </w:tcPr>
          <w:p w14:paraId="00344F51" w14:textId="77777777" w:rsidR="008C02EC" w:rsidRPr="008C02EC" w:rsidRDefault="008C02EC" w:rsidP="00BF1BD7">
            <w:pPr>
              <w:jc w:val="both"/>
              <w:rPr>
                <w:rFonts w:ascii="Arial" w:hAnsi="Arial" w:cs="Arial"/>
              </w:rPr>
            </w:pPr>
          </w:p>
        </w:tc>
        <w:tc>
          <w:tcPr>
            <w:tcW w:w="0" w:type="auto"/>
            <w:vAlign w:val="center"/>
          </w:tcPr>
          <w:p w14:paraId="71D375D2" w14:textId="77777777" w:rsidR="008C02EC" w:rsidRPr="008C02EC" w:rsidRDefault="008C02EC" w:rsidP="00BF1BD7">
            <w:pPr>
              <w:jc w:val="both"/>
              <w:rPr>
                <w:rFonts w:ascii="Arial" w:hAnsi="Arial" w:cs="Arial"/>
              </w:rPr>
            </w:pPr>
          </w:p>
        </w:tc>
        <w:tc>
          <w:tcPr>
            <w:tcW w:w="0" w:type="auto"/>
            <w:vAlign w:val="center"/>
          </w:tcPr>
          <w:p w14:paraId="585BEE3F" w14:textId="77777777" w:rsidR="008C02EC" w:rsidRPr="008C02EC" w:rsidRDefault="008C02EC" w:rsidP="00BF1BD7">
            <w:pPr>
              <w:jc w:val="both"/>
              <w:rPr>
                <w:rFonts w:ascii="Arial" w:hAnsi="Arial" w:cs="Arial"/>
              </w:rPr>
            </w:pPr>
          </w:p>
        </w:tc>
        <w:tc>
          <w:tcPr>
            <w:tcW w:w="0" w:type="auto"/>
            <w:vAlign w:val="center"/>
          </w:tcPr>
          <w:p w14:paraId="59CFC55F" w14:textId="77777777" w:rsidR="008C02EC" w:rsidRPr="008C02EC" w:rsidRDefault="008C02EC" w:rsidP="00BF1BD7">
            <w:pPr>
              <w:jc w:val="both"/>
              <w:rPr>
                <w:rFonts w:ascii="Arial" w:hAnsi="Arial" w:cs="Arial"/>
              </w:rPr>
            </w:pPr>
          </w:p>
        </w:tc>
        <w:tc>
          <w:tcPr>
            <w:tcW w:w="0" w:type="auto"/>
            <w:vAlign w:val="center"/>
          </w:tcPr>
          <w:p w14:paraId="12D3A93A" w14:textId="77777777" w:rsidR="008C02EC" w:rsidRPr="008C02EC" w:rsidRDefault="008C02EC" w:rsidP="00BF1BD7">
            <w:pPr>
              <w:jc w:val="both"/>
              <w:rPr>
                <w:rFonts w:ascii="Arial" w:hAnsi="Arial" w:cs="Arial"/>
              </w:rPr>
            </w:pPr>
          </w:p>
        </w:tc>
      </w:tr>
      <w:tr w:rsidR="008C02EC" w:rsidRPr="008C02EC" w14:paraId="3A4622C1" w14:textId="77777777" w:rsidTr="00BF1BD7">
        <w:trPr>
          <w:trHeight w:val="527"/>
          <w:tblCellSpacing w:w="15" w:type="dxa"/>
        </w:trPr>
        <w:tc>
          <w:tcPr>
            <w:tcW w:w="1103" w:type="dxa"/>
          </w:tcPr>
          <w:p w14:paraId="4396BBCE" w14:textId="77777777" w:rsidR="008C02EC" w:rsidRPr="008C02EC" w:rsidRDefault="008C02EC" w:rsidP="00BF1BD7">
            <w:pPr>
              <w:jc w:val="center"/>
              <w:rPr>
                <w:rFonts w:ascii="Arial" w:hAnsi="Arial" w:cs="Arial"/>
              </w:rPr>
            </w:pPr>
            <w:r w:rsidRPr="008C02EC">
              <w:rPr>
                <w:rFonts w:ascii="Arial" w:hAnsi="Arial" w:cs="Arial"/>
              </w:rPr>
              <w:t>C2A</w:t>
            </w:r>
          </w:p>
        </w:tc>
        <w:tc>
          <w:tcPr>
            <w:tcW w:w="1412" w:type="dxa"/>
          </w:tcPr>
          <w:p w14:paraId="08AFA56E" w14:textId="77777777" w:rsidR="008C02EC" w:rsidRPr="008C02EC" w:rsidRDefault="008C02EC" w:rsidP="00BF1BD7">
            <w:pPr>
              <w:jc w:val="center"/>
              <w:rPr>
                <w:rFonts w:ascii="Arial" w:hAnsi="Arial" w:cs="Arial"/>
              </w:rPr>
            </w:pPr>
            <w:r w:rsidRPr="008C02EC">
              <w:rPr>
                <w:rFonts w:ascii="Arial" w:hAnsi="Arial" w:cs="Arial"/>
              </w:rPr>
              <w:t>6.918684</w:t>
            </w:r>
          </w:p>
        </w:tc>
        <w:tc>
          <w:tcPr>
            <w:tcW w:w="1397" w:type="dxa"/>
          </w:tcPr>
          <w:p w14:paraId="556A2D66" w14:textId="77777777" w:rsidR="008C02EC" w:rsidRPr="008C02EC" w:rsidRDefault="008C02EC" w:rsidP="00BF1BD7">
            <w:pPr>
              <w:jc w:val="center"/>
              <w:rPr>
                <w:rFonts w:ascii="Arial" w:hAnsi="Arial" w:cs="Arial"/>
              </w:rPr>
            </w:pPr>
            <w:r w:rsidRPr="008C02EC">
              <w:rPr>
                <w:rFonts w:ascii="Arial" w:hAnsi="Arial" w:cs="Arial"/>
              </w:rPr>
              <w:t>4.920584</w:t>
            </w:r>
          </w:p>
        </w:tc>
        <w:tc>
          <w:tcPr>
            <w:tcW w:w="0" w:type="auto"/>
          </w:tcPr>
          <w:p w14:paraId="655C83FC"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294043E6" w14:textId="77777777" w:rsidR="008C02EC" w:rsidRPr="008C02EC" w:rsidRDefault="008C02EC" w:rsidP="00BF1BD7">
            <w:pPr>
              <w:jc w:val="center"/>
              <w:rPr>
                <w:rFonts w:ascii="Arial" w:hAnsi="Arial" w:cs="Arial"/>
              </w:rPr>
            </w:pPr>
            <w:r w:rsidRPr="008C02EC">
              <w:rPr>
                <w:rFonts w:ascii="Arial" w:hAnsi="Arial" w:cs="Arial"/>
              </w:rPr>
              <w:t>0.071</w:t>
            </w:r>
          </w:p>
        </w:tc>
        <w:tc>
          <w:tcPr>
            <w:tcW w:w="0" w:type="auto"/>
          </w:tcPr>
          <w:p w14:paraId="217990DE" w14:textId="77777777" w:rsidR="008C02EC" w:rsidRPr="008C02EC" w:rsidRDefault="008C02EC" w:rsidP="00BF1BD7">
            <w:pPr>
              <w:jc w:val="center"/>
              <w:rPr>
                <w:rFonts w:ascii="Arial" w:hAnsi="Arial" w:cs="Arial"/>
              </w:rPr>
            </w:pPr>
            <w:r w:rsidRPr="008C02EC">
              <w:rPr>
                <w:rFonts w:ascii="Arial" w:hAnsi="Arial" w:cs="Arial"/>
              </w:rPr>
              <w:t>0.033</w:t>
            </w:r>
          </w:p>
        </w:tc>
        <w:tc>
          <w:tcPr>
            <w:tcW w:w="0" w:type="auto"/>
          </w:tcPr>
          <w:p w14:paraId="4FB764F9" w14:textId="77777777" w:rsidR="008C02EC" w:rsidRPr="008C02EC" w:rsidRDefault="008C02EC" w:rsidP="00BF1BD7">
            <w:pPr>
              <w:jc w:val="center"/>
              <w:rPr>
                <w:rFonts w:ascii="Arial" w:hAnsi="Arial" w:cs="Arial"/>
              </w:rPr>
            </w:pPr>
            <w:r w:rsidRPr="008C02EC">
              <w:rPr>
                <w:rFonts w:ascii="Arial" w:hAnsi="Arial" w:cs="Arial"/>
              </w:rPr>
              <w:t>0.088</w:t>
            </w:r>
          </w:p>
        </w:tc>
        <w:tc>
          <w:tcPr>
            <w:tcW w:w="0" w:type="auto"/>
          </w:tcPr>
          <w:p w14:paraId="49A97382" w14:textId="77777777" w:rsidR="008C02EC" w:rsidRPr="008C02EC" w:rsidRDefault="008C02EC" w:rsidP="00BF1BD7">
            <w:pPr>
              <w:jc w:val="center"/>
              <w:rPr>
                <w:rFonts w:ascii="Arial" w:hAnsi="Arial" w:cs="Arial"/>
              </w:rPr>
            </w:pPr>
            <w:r w:rsidRPr="008C02EC">
              <w:rPr>
                <w:rFonts w:ascii="Arial" w:hAnsi="Arial" w:cs="Arial"/>
              </w:rPr>
              <w:t>1.056</w:t>
            </w:r>
          </w:p>
        </w:tc>
        <w:tc>
          <w:tcPr>
            <w:tcW w:w="0" w:type="auto"/>
            <w:vAlign w:val="center"/>
          </w:tcPr>
          <w:p w14:paraId="04C10DE8" w14:textId="77777777" w:rsidR="008C02EC" w:rsidRPr="008C02EC" w:rsidRDefault="008C02EC" w:rsidP="00BF1BD7">
            <w:pPr>
              <w:jc w:val="both"/>
              <w:rPr>
                <w:rFonts w:ascii="Arial" w:hAnsi="Arial" w:cs="Arial"/>
              </w:rPr>
            </w:pPr>
          </w:p>
        </w:tc>
        <w:tc>
          <w:tcPr>
            <w:tcW w:w="0" w:type="auto"/>
            <w:vAlign w:val="center"/>
          </w:tcPr>
          <w:p w14:paraId="7D3F4249" w14:textId="77777777" w:rsidR="008C02EC" w:rsidRPr="008C02EC" w:rsidRDefault="008C02EC" w:rsidP="00BF1BD7">
            <w:pPr>
              <w:jc w:val="both"/>
              <w:rPr>
                <w:rFonts w:ascii="Arial" w:hAnsi="Arial" w:cs="Arial"/>
              </w:rPr>
            </w:pPr>
          </w:p>
        </w:tc>
        <w:tc>
          <w:tcPr>
            <w:tcW w:w="0" w:type="auto"/>
            <w:vAlign w:val="center"/>
          </w:tcPr>
          <w:p w14:paraId="7EDEF5E2" w14:textId="77777777" w:rsidR="008C02EC" w:rsidRPr="008C02EC" w:rsidRDefault="008C02EC" w:rsidP="00BF1BD7">
            <w:pPr>
              <w:jc w:val="both"/>
              <w:rPr>
                <w:rFonts w:ascii="Arial" w:hAnsi="Arial" w:cs="Arial"/>
              </w:rPr>
            </w:pPr>
          </w:p>
        </w:tc>
        <w:tc>
          <w:tcPr>
            <w:tcW w:w="0" w:type="auto"/>
            <w:vAlign w:val="center"/>
          </w:tcPr>
          <w:p w14:paraId="4A8BD99C" w14:textId="77777777" w:rsidR="008C02EC" w:rsidRPr="008C02EC" w:rsidRDefault="008C02EC" w:rsidP="00BF1BD7">
            <w:pPr>
              <w:jc w:val="both"/>
              <w:rPr>
                <w:rFonts w:ascii="Arial" w:hAnsi="Arial" w:cs="Arial"/>
              </w:rPr>
            </w:pPr>
          </w:p>
        </w:tc>
        <w:tc>
          <w:tcPr>
            <w:tcW w:w="0" w:type="auto"/>
            <w:vAlign w:val="center"/>
          </w:tcPr>
          <w:p w14:paraId="72280EE9" w14:textId="77777777" w:rsidR="008C02EC" w:rsidRPr="008C02EC" w:rsidRDefault="008C02EC" w:rsidP="00BF1BD7">
            <w:pPr>
              <w:jc w:val="both"/>
              <w:rPr>
                <w:rFonts w:ascii="Arial" w:hAnsi="Arial" w:cs="Arial"/>
              </w:rPr>
            </w:pPr>
          </w:p>
        </w:tc>
        <w:tc>
          <w:tcPr>
            <w:tcW w:w="0" w:type="auto"/>
            <w:vAlign w:val="center"/>
          </w:tcPr>
          <w:p w14:paraId="05D0E74D" w14:textId="77777777" w:rsidR="008C02EC" w:rsidRPr="008C02EC" w:rsidRDefault="008C02EC" w:rsidP="00BF1BD7">
            <w:pPr>
              <w:jc w:val="both"/>
              <w:rPr>
                <w:rFonts w:ascii="Arial" w:hAnsi="Arial" w:cs="Arial"/>
              </w:rPr>
            </w:pPr>
          </w:p>
        </w:tc>
      </w:tr>
      <w:tr w:rsidR="008C02EC" w:rsidRPr="008C02EC" w14:paraId="6DA88C68" w14:textId="77777777" w:rsidTr="00BF1BD7">
        <w:trPr>
          <w:trHeight w:val="541"/>
          <w:tblCellSpacing w:w="15" w:type="dxa"/>
        </w:trPr>
        <w:tc>
          <w:tcPr>
            <w:tcW w:w="1103" w:type="dxa"/>
          </w:tcPr>
          <w:p w14:paraId="2FB01F47" w14:textId="77777777" w:rsidR="008C02EC" w:rsidRPr="008C02EC" w:rsidRDefault="008C02EC" w:rsidP="00BF1BD7">
            <w:pPr>
              <w:jc w:val="center"/>
              <w:rPr>
                <w:rFonts w:ascii="Arial" w:hAnsi="Arial" w:cs="Arial"/>
              </w:rPr>
            </w:pPr>
            <w:r w:rsidRPr="008C02EC">
              <w:rPr>
                <w:rFonts w:ascii="Arial" w:hAnsi="Arial" w:cs="Arial"/>
              </w:rPr>
              <w:t>C2B</w:t>
            </w:r>
          </w:p>
        </w:tc>
        <w:tc>
          <w:tcPr>
            <w:tcW w:w="1412" w:type="dxa"/>
          </w:tcPr>
          <w:p w14:paraId="12ACC67B" w14:textId="77777777" w:rsidR="008C02EC" w:rsidRPr="008C02EC" w:rsidRDefault="008C02EC" w:rsidP="00BF1BD7">
            <w:pPr>
              <w:jc w:val="center"/>
              <w:rPr>
                <w:rFonts w:ascii="Arial" w:hAnsi="Arial" w:cs="Arial"/>
              </w:rPr>
            </w:pPr>
            <w:r w:rsidRPr="008C02EC">
              <w:rPr>
                <w:rFonts w:ascii="Arial" w:hAnsi="Arial" w:cs="Arial"/>
              </w:rPr>
              <w:t>6.918684</w:t>
            </w:r>
          </w:p>
        </w:tc>
        <w:tc>
          <w:tcPr>
            <w:tcW w:w="1397" w:type="dxa"/>
          </w:tcPr>
          <w:p w14:paraId="09470E71" w14:textId="77777777" w:rsidR="008C02EC" w:rsidRPr="008C02EC" w:rsidRDefault="008C02EC" w:rsidP="00BF1BD7">
            <w:pPr>
              <w:jc w:val="center"/>
              <w:rPr>
                <w:rFonts w:ascii="Arial" w:hAnsi="Arial" w:cs="Arial"/>
              </w:rPr>
            </w:pPr>
            <w:r w:rsidRPr="008C02EC">
              <w:rPr>
                <w:rFonts w:ascii="Arial" w:hAnsi="Arial" w:cs="Arial"/>
              </w:rPr>
              <w:t>4.920584</w:t>
            </w:r>
          </w:p>
        </w:tc>
        <w:tc>
          <w:tcPr>
            <w:tcW w:w="0" w:type="auto"/>
          </w:tcPr>
          <w:p w14:paraId="0601A98B"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08D1FE95" w14:textId="77777777" w:rsidR="008C02EC" w:rsidRPr="008C02EC" w:rsidRDefault="008C02EC" w:rsidP="00BF1BD7">
            <w:pPr>
              <w:jc w:val="center"/>
              <w:rPr>
                <w:rFonts w:ascii="Arial" w:hAnsi="Arial" w:cs="Arial"/>
              </w:rPr>
            </w:pPr>
            <w:r w:rsidRPr="008C02EC">
              <w:rPr>
                <w:rFonts w:ascii="Arial" w:hAnsi="Arial" w:cs="Arial"/>
              </w:rPr>
              <w:t>0.079</w:t>
            </w:r>
          </w:p>
        </w:tc>
        <w:tc>
          <w:tcPr>
            <w:tcW w:w="0" w:type="auto"/>
          </w:tcPr>
          <w:p w14:paraId="7B205FBC" w14:textId="77777777" w:rsidR="008C02EC" w:rsidRPr="008C02EC" w:rsidRDefault="008C02EC" w:rsidP="00BF1BD7">
            <w:pPr>
              <w:jc w:val="center"/>
              <w:rPr>
                <w:rFonts w:ascii="Arial" w:hAnsi="Arial" w:cs="Arial"/>
              </w:rPr>
            </w:pPr>
            <w:r w:rsidRPr="008C02EC">
              <w:rPr>
                <w:rFonts w:ascii="Arial" w:hAnsi="Arial" w:cs="Arial"/>
              </w:rPr>
              <w:t>0.042</w:t>
            </w:r>
          </w:p>
        </w:tc>
        <w:tc>
          <w:tcPr>
            <w:tcW w:w="0" w:type="auto"/>
          </w:tcPr>
          <w:p w14:paraId="2405A5B0" w14:textId="77777777" w:rsidR="008C02EC" w:rsidRPr="008C02EC" w:rsidRDefault="008C02EC" w:rsidP="00BF1BD7">
            <w:pPr>
              <w:jc w:val="center"/>
              <w:rPr>
                <w:rFonts w:ascii="Arial" w:hAnsi="Arial" w:cs="Arial"/>
              </w:rPr>
            </w:pPr>
            <w:r w:rsidRPr="008C02EC">
              <w:rPr>
                <w:rFonts w:ascii="Arial" w:hAnsi="Arial" w:cs="Arial"/>
              </w:rPr>
              <w:t>0.106</w:t>
            </w:r>
          </w:p>
        </w:tc>
        <w:tc>
          <w:tcPr>
            <w:tcW w:w="0" w:type="auto"/>
          </w:tcPr>
          <w:p w14:paraId="07B2041E" w14:textId="77777777" w:rsidR="008C02EC" w:rsidRPr="008C02EC" w:rsidRDefault="008C02EC" w:rsidP="00BF1BD7">
            <w:pPr>
              <w:jc w:val="center"/>
              <w:rPr>
                <w:rFonts w:ascii="Arial" w:hAnsi="Arial" w:cs="Arial"/>
              </w:rPr>
            </w:pPr>
            <w:r w:rsidRPr="008C02EC">
              <w:rPr>
                <w:rFonts w:ascii="Arial" w:hAnsi="Arial" w:cs="Arial"/>
              </w:rPr>
              <w:t>1.023</w:t>
            </w:r>
          </w:p>
        </w:tc>
        <w:tc>
          <w:tcPr>
            <w:tcW w:w="0" w:type="auto"/>
            <w:vAlign w:val="center"/>
          </w:tcPr>
          <w:p w14:paraId="5354A8B2" w14:textId="77777777" w:rsidR="008C02EC" w:rsidRPr="008C02EC" w:rsidRDefault="008C02EC" w:rsidP="00BF1BD7">
            <w:pPr>
              <w:jc w:val="both"/>
              <w:rPr>
                <w:rFonts w:ascii="Arial" w:hAnsi="Arial" w:cs="Arial"/>
              </w:rPr>
            </w:pPr>
          </w:p>
        </w:tc>
        <w:tc>
          <w:tcPr>
            <w:tcW w:w="0" w:type="auto"/>
            <w:vAlign w:val="center"/>
          </w:tcPr>
          <w:p w14:paraId="71D89E89" w14:textId="77777777" w:rsidR="008C02EC" w:rsidRPr="008C02EC" w:rsidRDefault="008C02EC" w:rsidP="00BF1BD7">
            <w:pPr>
              <w:jc w:val="both"/>
              <w:rPr>
                <w:rFonts w:ascii="Arial" w:hAnsi="Arial" w:cs="Arial"/>
              </w:rPr>
            </w:pPr>
          </w:p>
        </w:tc>
        <w:tc>
          <w:tcPr>
            <w:tcW w:w="0" w:type="auto"/>
            <w:vAlign w:val="center"/>
          </w:tcPr>
          <w:p w14:paraId="1E46E0DD" w14:textId="77777777" w:rsidR="008C02EC" w:rsidRPr="008C02EC" w:rsidRDefault="008C02EC" w:rsidP="00BF1BD7">
            <w:pPr>
              <w:jc w:val="both"/>
              <w:rPr>
                <w:rFonts w:ascii="Arial" w:hAnsi="Arial" w:cs="Arial"/>
              </w:rPr>
            </w:pPr>
          </w:p>
        </w:tc>
        <w:tc>
          <w:tcPr>
            <w:tcW w:w="0" w:type="auto"/>
            <w:vAlign w:val="center"/>
          </w:tcPr>
          <w:p w14:paraId="202D31C3" w14:textId="77777777" w:rsidR="008C02EC" w:rsidRPr="008C02EC" w:rsidRDefault="008C02EC" w:rsidP="00BF1BD7">
            <w:pPr>
              <w:jc w:val="both"/>
              <w:rPr>
                <w:rFonts w:ascii="Arial" w:hAnsi="Arial" w:cs="Arial"/>
              </w:rPr>
            </w:pPr>
          </w:p>
        </w:tc>
        <w:tc>
          <w:tcPr>
            <w:tcW w:w="0" w:type="auto"/>
            <w:vAlign w:val="center"/>
          </w:tcPr>
          <w:p w14:paraId="00DAD784" w14:textId="77777777" w:rsidR="008C02EC" w:rsidRPr="008C02EC" w:rsidRDefault="008C02EC" w:rsidP="00BF1BD7">
            <w:pPr>
              <w:jc w:val="both"/>
              <w:rPr>
                <w:rFonts w:ascii="Arial" w:hAnsi="Arial" w:cs="Arial"/>
              </w:rPr>
            </w:pPr>
          </w:p>
        </w:tc>
        <w:tc>
          <w:tcPr>
            <w:tcW w:w="0" w:type="auto"/>
            <w:vAlign w:val="center"/>
          </w:tcPr>
          <w:p w14:paraId="668A95FA" w14:textId="77777777" w:rsidR="008C02EC" w:rsidRPr="008C02EC" w:rsidRDefault="008C02EC" w:rsidP="00BF1BD7">
            <w:pPr>
              <w:jc w:val="both"/>
              <w:rPr>
                <w:rFonts w:ascii="Arial" w:hAnsi="Arial" w:cs="Arial"/>
              </w:rPr>
            </w:pPr>
          </w:p>
        </w:tc>
      </w:tr>
      <w:tr w:rsidR="008C02EC" w:rsidRPr="008C02EC" w14:paraId="55B7877D" w14:textId="77777777" w:rsidTr="00BF1BD7">
        <w:trPr>
          <w:trHeight w:val="527"/>
          <w:tblCellSpacing w:w="15" w:type="dxa"/>
        </w:trPr>
        <w:tc>
          <w:tcPr>
            <w:tcW w:w="1103" w:type="dxa"/>
          </w:tcPr>
          <w:p w14:paraId="761F6F5C" w14:textId="77777777" w:rsidR="008C02EC" w:rsidRPr="008C02EC" w:rsidRDefault="008C02EC" w:rsidP="00BF1BD7">
            <w:pPr>
              <w:jc w:val="center"/>
              <w:rPr>
                <w:rFonts w:ascii="Arial" w:hAnsi="Arial" w:cs="Arial"/>
              </w:rPr>
            </w:pPr>
            <w:r w:rsidRPr="008C02EC">
              <w:rPr>
                <w:rFonts w:ascii="Arial" w:hAnsi="Arial" w:cs="Arial"/>
              </w:rPr>
              <w:t>F1A</w:t>
            </w:r>
          </w:p>
        </w:tc>
        <w:tc>
          <w:tcPr>
            <w:tcW w:w="1412" w:type="dxa"/>
          </w:tcPr>
          <w:p w14:paraId="2F0006BF" w14:textId="77777777" w:rsidR="008C02EC" w:rsidRPr="008C02EC" w:rsidRDefault="008C02EC" w:rsidP="00BF1BD7">
            <w:pPr>
              <w:jc w:val="center"/>
              <w:rPr>
                <w:rFonts w:ascii="Arial" w:hAnsi="Arial" w:cs="Arial"/>
              </w:rPr>
            </w:pPr>
            <w:r w:rsidRPr="008C02EC">
              <w:rPr>
                <w:rFonts w:ascii="Arial" w:hAnsi="Arial" w:cs="Arial"/>
              </w:rPr>
              <w:t>6.9184</w:t>
            </w:r>
          </w:p>
        </w:tc>
        <w:tc>
          <w:tcPr>
            <w:tcW w:w="1397" w:type="dxa"/>
          </w:tcPr>
          <w:p w14:paraId="2F0F9DA3" w14:textId="77777777" w:rsidR="008C02EC" w:rsidRPr="008C02EC" w:rsidRDefault="008C02EC" w:rsidP="00BF1BD7">
            <w:pPr>
              <w:jc w:val="center"/>
              <w:rPr>
                <w:rFonts w:ascii="Arial" w:hAnsi="Arial" w:cs="Arial"/>
              </w:rPr>
            </w:pPr>
            <w:r w:rsidRPr="008C02EC">
              <w:rPr>
                <w:rFonts w:ascii="Arial" w:hAnsi="Arial" w:cs="Arial"/>
              </w:rPr>
              <w:t>4.9203</w:t>
            </w:r>
          </w:p>
        </w:tc>
        <w:tc>
          <w:tcPr>
            <w:tcW w:w="0" w:type="auto"/>
          </w:tcPr>
          <w:p w14:paraId="051F3E4D"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1AA5B969" w14:textId="77777777" w:rsidR="008C02EC" w:rsidRPr="008C02EC" w:rsidRDefault="008C02EC" w:rsidP="00BF1BD7">
            <w:pPr>
              <w:jc w:val="center"/>
              <w:rPr>
                <w:rFonts w:ascii="Arial" w:hAnsi="Arial" w:cs="Arial"/>
              </w:rPr>
            </w:pPr>
            <w:r w:rsidRPr="008C02EC">
              <w:rPr>
                <w:rFonts w:ascii="Arial" w:hAnsi="Arial" w:cs="Arial"/>
              </w:rPr>
              <w:t>0.022</w:t>
            </w:r>
          </w:p>
        </w:tc>
        <w:tc>
          <w:tcPr>
            <w:tcW w:w="0" w:type="auto"/>
          </w:tcPr>
          <w:p w14:paraId="62C6B5C7" w14:textId="77777777" w:rsidR="008C02EC" w:rsidRPr="008C02EC" w:rsidRDefault="008C02EC" w:rsidP="00BF1BD7">
            <w:pPr>
              <w:jc w:val="center"/>
              <w:rPr>
                <w:rFonts w:ascii="Arial" w:hAnsi="Arial" w:cs="Arial"/>
              </w:rPr>
            </w:pPr>
            <w:r w:rsidRPr="008C02EC">
              <w:rPr>
                <w:rFonts w:ascii="Arial" w:hAnsi="Arial" w:cs="Arial"/>
              </w:rPr>
              <w:t>0.017</w:t>
            </w:r>
          </w:p>
        </w:tc>
        <w:tc>
          <w:tcPr>
            <w:tcW w:w="0" w:type="auto"/>
          </w:tcPr>
          <w:p w14:paraId="7C387BD1" w14:textId="77777777" w:rsidR="008C02EC" w:rsidRPr="008C02EC" w:rsidRDefault="008C02EC" w:rsidP="00BF1BD7">
            <w:pPr>
              <w:jc w:val="center"/>
              <w:rPr>
                <w:rFonts w:ascii="Arial" w:hAnsi="Arial" w:cs="Arial"/>
              </w:rPr>
            </w:pPr>
            <w:r w:rsidRPr="008C02EC">
              <w:rPr>
                <w:rFonts w:ascii="Arial" w:hAnsi="Arial" w:cs="Arial"/>
              </w:rPr>
              <w:t>0.062</w:t>
            </w:r>
          </w:p>
        </w:tc>
        <w:tc>
          <w:tcPr>
            <w:tcW w:w="0" w:type="auto"/>
          </w:tcPr>
          <w:p w14:paraId="1DF2E9AE" w14:textId="77777777" w:rsidR="008C02EC" w:rsidRPr="008C02EC" w:rsidRDefault="008C02EC" w:rsidP="00BF1BD7">
            <w:pPr>
              <w:jc w:val="center"/>
              <w:rPr>
                <w:rFonts w:ascii="Arial" w:hAnsi="Arial" w:cs="Arial"/>
              </w:rPr>
            </w:pPr>
            <w:r w:rsidRPr="008C02EC">
              <w:rPr>
                <w:rFonts w:ascii="Arial" w:hAnsi="Arial" w:cs="Arial"/>
              </w:rPr>
              <w:t>0.049</w:t>
            </w:r>
          </w:p>
        </w:tc>
        <w:tc>
          <w:tcPr>
            <w:tcW w:w="0" w:type="auto"/>
            <w:vAlign w:val="center"/>
          </w:tcPr>
          <w:p w14:paraId="0AFB694B" w14:textId="77777777" w:rsidR="008C02EC" w:rsidRPr="008C02EC" w:rsidRDefault="008C02EC" w:rsidP="00BF1BD7">
            <w:pPr>
              <w:jc w:val="both"/>
              <w:rPr>
                <w:rFonts w:ascii="Arial" w:hAnsi="Arial" w:cs="Arial"/>
              </w:rPr>
            </w:pPr>
          </w:p>
        </w:tc>
        <w:tc>
          <w:tcPr>
            <w:tcW w:w="0" w:type="auto"/>
            <w:vAlign w:val="center"/>
          </w:tcPr>
          <w:p w14:paraId="6A0314BF" w14:textId="77777777" w:rsidR="008C02EC" w:rsidRPr="008C02EC" w:rsidRDefault="008C02EC" w:rsidP="00BF1BD7">
            <w:pPr>
              <w:jc w:val="both"/>
              <w:rPr>
                <w:rFonts w:ascii="Arial" w:hAnsi="Arial" w:cs="Arial"/>
              </w:rPr>
            </w:pPr>
          </w:p>
        </w:tc>
        <w:tc>
          <w:tcPr>
            <w:tcW w:w="0" w:type="auto"/>
            <w:vAlign w:val="center"/>
          </w:tcPr>
          <w:p w14:paraId="133FCD90" w14:textId="77777777" w:rsidR="008C02EC" w:rsidRPr="008C02EC" w:rsidRDefault="008C02EC" w:rsidP="00BF1BD7">
            <w:pPr>
              <w:jc w:val="both"/>
              <w:rPr>
                <w:rFonts w:ascii="Arial" w:hAnsi="Arial" w:cs="Arial"/>
              </w:rPr>
            </w:pPr>
          </w:p>
        </w:tc>
        <w:tc>
          <w:tcPr>
            <w:tcW w:w="0" w:type="auto"/>
            <w:vAlign w:val="center"/>
          </w:tcPr>
          <w:p w14:paraId="11BDCF8D" w14:textId="77777777" w:rsidR="008C02EC" w:rsidRPr="008C02EC" w:rsidRDefault="008C02EC" w:rsidP="00BF1BD7">
            <w:pPr>
              <w:jc w:val="both"/>
              <w:rPr>
                <w:rFonts w:ascii="Arial" w:hAnsi="Arial" w:cs="Arial"/>
              </w:rPr>
            </w:pPr>
          </w:p>
        </w:tc>
        <w:tc>
          <w:tcPr>
            <w:tcW w:w="0" w:type="auto"/>
            <w:vAlign w:val="center"/>
          </w:tcPr>
          <w:p w14:paraId="39D01D94" w14:textId="77777777" w:rsidR="008C02EC" w:rsidRPr="008C02EC" w:rsidRDefault="008C02EC" w:rsidP="00BF1BD7">
            <w:pPr>
              <w:jc w:val="both"/>
              <w:rPr>
                <w:rFonts w:ascii="Arial" w:hAnsi="Arial" w:cs="Arial"/>
              </w:rPr>
            </w:pPr>
          </w:p>
        </w:tc>
        <w:tc>
          <w:tcPr>
            <w:tcW w:w="0" w:type="auto"/>
            <w:vAlign w:val="center"/>
          </w:tcPr>
          <w:p w14:paraId="000B89F1" w14:textId="77777777" w:rsidR="008C02EC" w:rsidRPr="008C02EC" w:rsidRDefault="008C02EC" w:rsidP="00BF1BD7">
            <w:pPr>
              <w:jc w:val="both"/>
              <w:rPr>
                <w:rFonts w:ascii="Arial" w:hAnsi="Arial" w:cs="Arial"/>
              </w:rPr>
            </w:pPr>
          </w:p>
        </w:tc>
      </w:tr>
      <w:tr w:rsidR="008C02EC" w:rsidRPr="008C02EC" w14:paraId="42D9011A" w14:textId="77777777" w:rsidTr="00BF1BD7">
        <w:trPr>
          <w:trHeight w:val="541"/>
          <w:tblCellSpacing w:w="15" w:type="dxa"/>
        </w:trPr>
        <w:tc>
          <w:tcPr>
            <w:tcW w:w="1103" w:type="dxa"/>
          </w:tcPr>
          <w:p w14:paraId="7CD5B54D" w14:textId="77777777" w:rsidR="008C02EC" w:rsidRPr="008C02EC" w:rsidRDefault="008C02EC" w:rsidP="00BF1BD7">
            <w:pPr>
              <w:jc w:val="center"/>
              <w:rPr>
                <w:rFonts w:ascii="Arial" w:hAnsi="Arial" w:cs="Arial"/>
              </w:rPr>
            </w:pPr>
            <w:r w:rsidRPr="008C02EC">
              <w:rPr>
                <w:rFonts w:ascii="Arial" w:hAnsi="Arial" w:cs="Arial"/>
              </w:rPr>
              <w:t>F1B</w:t>
            </w:r>
          </w:p>
        </w:tc>
        <w:tc>
          <w:tcPr>
            <w:tcW w:w="1412" w:type="dxa"/>
          </w:tcPr>
          <w:p w14:paraId="2D995238" w14:textId="77777777" w:rsidR="008C02EC" w:rsidRPr="008C02EC" w:rsidRDefault="008C02EC" w:rsidP="00BF1BD7">
            <w:pPr>
              <w:jc w:val="center"/>
              <w:rPr>
                <w:rFonts w:ascii="Arial" w:hAnsi="Arial" w:cs="Arial"/>
              </w:rPr>
            </w:pPr>
            <w:r w:rsidRPr="008C02EC">
              <w:rPr>
                <w:rFonts w:ascii="Arial" w:hAnsi="Arial" w:cs="Arial"/>
              </w:rPr>
              <w:t>6.9184</w:t>
            </w:r>
          </w:p>
        </w:tc>
        <w:tc>
          <w:tcPr>
            <w:tcW w:w="1397" w:type="dxa"/>
          </w:tcPr>
          <w:p w14:paraId="6DF402EF" w14:textId="77777777" w:rsidR="008C02EC" w:rsidRPr="008C02EC" w:rsidRDefault="008C02EC" w:rsidP="00BF1BD7">
            <w:pPr>
              <w:jc w:val="center"/>
              <w:rPr>
                <w:rFonts w:ascii="Arial" w:hAnsi="Arial" w:cs="Arial"/>
              </w:rPr>
            </w:pPr>
            <w:r w:rsidRPr="008C02EC">
              <w:rPr>
                <w:rFonts w:ascii="Arial" w:hAnsi="Arial" w:cs="Arial"/>
              </w:rPr>
              <w:t>4.9203</w:t>
            </w:r>
          </w:p>
        </w:tc>
        <w:tc>
          <w:tcPr>
            <w:tcW w:w="0" w:type="auto"/>
          </w:tcPr>
          <w:p w14:paraId="45218DCD"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3349B86E" w14:textId="77777777" w:rsidR="008C02EC" w:rsidRPr="008C02EC" w:rsidRDefault="008C02EC" w:rsidP="00BF1BD7">
            <w:pPr>
              <w:jc w:val="center"/>
              <w:rPr>
                <w:rFonts w:ascii="Arial" w:hAnsi="Arial" w:cs="Arial"/>
              </w:rPr>
            </w:pPr>
            <w:r w:rsidRPr="008C02EC">
              <w:rPr>
                <w:rFonts w:ascii="Arial" w:hAnsi="Arial" w:cs="Arial"/>
              </w:rPr>
              <w:t>0.028</w:t>
            </w:r>
          </w:p>
        </w:tc>
        <w:tc>
          <w:tcPr>
            <w:tcW w:w="0" w:type="auto"/>
          </w:tcPr>
          <w:p w14:paraId="2E352E53" w14:textId="77777777" w:rsidR="008C02EC" w:rsidRPr="008C02EC" w:rsidRDefault="008C02EC" w:rsidP="00BF1BD7">
            <w:pPr>
              <w:jc w:val="center"/>
              <w:rPr>
                <w:rFonts w:ascii="Arial" w:hAnsi="Arial" w:cs="Arial"/>
              </w:rPr>
            </w:pPr>
            <w:r w:rsidRPr="008C02EC">
              <w:rPr>
                <w:rFonts w:ascii="Arial" w:hAnsi="Arial" w:cs="Arial"/>
              </w:rPr>
              <w:t>0.019</w:t>
            </w:r>
          </w:p>
        </w:tc>
        <w:tc>
          <w:tcPr>
            <w:tcW w:w="0" w:type="auto"/>
          </w:tcPr>
          <w:p w14:paraId="493F023D" w14:textId="77777777" w:rsidR="008C02EC" w:rsidRPr="008C02EC" w:rsidRDefault="008C02EC" w:rsidP="00BF1BD7">
            <w:pPr>
              <w:jc w:val="center"/>
              <w:rPr>
                <w:rFonts w:ascii="Arial" w:hAnsi="Arial" w:cs="Arial"/>
              </w:rPr>
            </w:pPr>
            <w:r w:rsidRPr="008C02EC">
              <w:rPr>
                <w:rFonts w:ascii="Arial" w:hAnsi="Arial" w:cs="Arial"/>
              </w:rPr>
              <w:t>0.05</w:t>
            </w:r>
          </w:p>
        </w:tc>
        <w:tc>
          <w:tcPr>
            <w:tcW w:w="0" w:type="auto"/>
          </w:tcPr>
          <w:p w14:paraId="1145C112" w14:textId="77777777" w:rsidR="008C02EC" w:rsidRPr="008C02EC" w:rsidRDefault="008C02EC" w:rsidP="00BF1BD7">
            <w:pPr>
              <w:jc w:val="center"/>
              <w:rPr>
                <w:rFonts w:ascii="Arial" w:hAnsi="Arial" w:cs="Arial"/>
              </w:rPr>
            </w:pPr>
            <w:r w:rsidRPr="008C02EC">
              <w:rPr>
                <w:rFonts w:ascii="Arial" w:hAnsi="Arial" w:cs="Arial"/>
              </w:rPr>
              <w:t>0.04</w:t>
            </w:r>
          </w:p>
        </w:tc>
        <w:tc>
          <w:tcPr>
            <w:tcW w:w="0" w:type="auto"/>
            <w:vAlign w:val="center"/>
          </w:tcPr>
          <w:p w14:paraId="3C0C7A06" w14:textId="77777777" w:rsidR="008C02EC" w:rsidRPr="008C02EC" w:rsidRDefault="008C02EC" w:rsidP="00BF1BD7">
            <w:pPr>
              <w:jc w:val="both"/>
              <w:rPr>
                <w:rFonts w:ascii="Arial" w:hAnsi="Arial" w:cs="Arial"/>
              </w:rPr>
            </w:pPr>
          </w:p>
        </w:tc>
        <w:tc>
          <w:tcPr>
            <w:tcW w:w="0" w:type="auto"/>
            <w:vAlign w:val="center"/>
          </w:tcPr>
          <w:p w14:paraId="45B211A5" w14:textId="77777777" w:rsidR="008C02EC" w:rsidRPr="008C02EC" w:rsidRDefault="008C02EC" w:rsidP="00BF1BD7">
            <w:pPr>
              <w:jc w:val="both"/>
              <w:rPr>
                <w:rFonts w:ascii="Arial" w:hAnsi="Arial" w:cs="Arial"/>
              </w:rPr>
            </w:pPr>
          </w:p>
        </w:tc>
        <w:tc>
          <w:tcPr>
            <w:tcW w:w="0" w:type="auto"/>
            <w:vAlign w:val="center"/>
          </w:tcPr>
          <w:p w14:paraId="5B5BBC22" w14:textId="77777777" w:rsidR="008C02EC" w:rsidRPr="008C02EC" w:rsidRDefault="008C02EC" w:rsidP="00BF1BD7">
            <w:pPr>
              <w:jc w:val="both"/>
              <w:rPr>
                <w:rFonts w:ascii="Arial" w:hAnsi="Arial" w:cs="Arial"/>
              </w:rPr>
            </w:pPr>
          </w:p>
        </w:tc>
        <w:tc>
          <w:tcPr>
            <w:tcW w:w="0" w:type="auto"/>
            <w:vAlign w:val="center"/>
          </w:tcPr>
          <w:p w14:paraId="694D5258" w14:textId="77777777" w:rsidR="008C02EC" w:rsidRPr="008C02EC" w:rsidRDefault="008C02EC" w:rsidP="00BF1BD7">
            <w:pPr>
              <w:jc w:val="both"/>
              <w:rPr>
                <w:rFonts w:ascii="Arial" w:hAnsi="Arial" w:cs="Arial"/>
              </w:rPr>
            </w:pPr>
          </w:p>
        </w:tc>
        <w:tc>
          <w:tcPr>
            <w:tcW w:w="0" w:type="auto"/>
            <w:vAlign w:val="center"/>
          </w:tcPr>
          <w:p w14:paraId="565CECAF" w14:textId="77777777" w:rsidR="008C02EC" w:rsidRPr="008C02EC" w:rsidRDefault="008C02EC" w:rsidP="00BF1BD7">
            <w:pPr>
              <w:jc w:val="both"/>
              <w:rPr>
                <w:rFonts w:ascii="Arial" w:hAnsi="Arial" w:cs="Arial"/>
              </w:rPr>
            </w:pPr>
          </w:p>
        </w:tc>
        <w:tc>
          <w:tcPr>
            <w:tcW w:w="0" w:type="auto"/>
            <w:vAlign w:val="center"/>
          </w:tcPr>
          <w:p w14:paraId="45F0D2EF" w14:textId="77777777" w:rsidR="008C02EC" w:rsidRPr="008C02EC" w:rsidRDefault="008C02EC" w:rsidP="00BF1BD7">
            <w:pPr>
              <w:jc w:val="both"/>
              <w:rPr>
                <w:rFonts w:ascii="Arial" w:hAnsi="Arial" w:cs="Arial"/>
              </w:rPr>
            </w:pPr>
          </w:p>
        </w:tc>
      </w:tr>
      <w:tr w:rsidR="008C02EC" w:rsidRPr="008C02EC" w14:paraId="0F2D248D" w14:textId="77777777" w:rsidTr="00BF1BD7">
        <w:trPr>
          <w:trHeight w:val="527"/>
          <w:tblCellSpacing w:w="15" w:type="dxa"/>
        </w:trPr>
        <w:tc>
          <w:tcPr>
            <w:tcW w:w="1103" w:type="dxa"/>
          </w:tcPr>
          <w:p w14:paraId="1A0C19F7" w14:textId="77777777" w:rsidR="008C02EC" w:rsidRPr="008C02EC" w:rsidRDefault="008C02EC" w:rsidP="00BF1BD7">
            <w:pPr>
              <w:jc w:val="center"/>
              <w:rPr>
                <w:rFonts w:ascii="Arial" w:hAnsi="Arial" w:cs="Arial"/>
              </w:rPr>
            </w:pPr>
            <w:r w:rsidRPr="008C02EC">
              <w:rPr>
                <w:rFonts w:ascii="Arial" w:hAnsi="Arial" w:cs="Arial"/>
              </w:rPr>
              <w:t>F2A</w:t>
            </w:r>
          </w:p>
        </w:tc>
        <w:tc>
          <w:tcPr>
            <w:tcW w:w="1412" w:type="dxa"/>
          </w:tcPr>
          <w:p w14:paraId="5D4CD233" w14:textId="77777777" w:rsidR="008C02EC" w:rsidRPr="008C02EC" w:rsidRDefault="008C02EC" w:rsidP="00BF1BD7">
            <w:pPr>
              <w:jc w:val="center"/>
              <w:rPr>
                <w:rFonts w:ascii="Arial" w:hAnsi="Arial" w:cs="Arial"/>
              </w:rPr>
            </w:pPr>
            <w:r w:rsidRPr="008C02EC">
              <w:rPr>
                <w:rFonts w:ascii="Arial" w:hAnsi="Arial" w:cs="Arial"/>
              </w:rPr>
              <w:t>6.918372</w:t>
            </w:r>
          </w:p>
        </w:tc>
        <w:tc>
          <w:tcPr>
            <w:tcW w:w="1397" w:type="dxa"/>
          </w:tcPr>
          <w:p w14:paraId="6728D494" w14:textId="77777777" w:rsidR="008C02EC" w:rsidRPr="008C02EC" w:rsidRDefault="008C02EC" w:rsidP="00BF1BD7">
            <w:pPr>
              <w:jc w:val="center"/>
              <w:rPr>
                <w:rFonts w:ascii="Arial" w:hAnsi="Arial" w:cs="Arial"/>
              </w:rPr>
            </w:pPr>
            <w:r w:rsidRPr="008C02EC">
              <w:rPr>
                <w:rFonts w:ascii="Arial" w:hAnsi="Arial" w:cs="Arial"/>
              </w:rPr>
              <w:t>4.920272</w:t>
            </w:r>
          </w:p>
        </w:tc>
        <w:tc>
          <w:tcPr>
            <w:tcW w:w="0" w:type="auto"/>
          </w:tcPr>
          <w:p w14:paraId="24701ABE" w14:textId="77777777" w:rsidR="008C02EC" w:rsidRPr="008C02EC" w:rsidRDefault="008C02EC" w:rsidP="00BF1BD7">
            <w:pPr>
              <w:jc w:val="center"/>
              <w:rPr>
                <w:rFonts w:ascii="Arial" w:hAnsi="Arial" w:cs="Arial"/>
              </w:rPr>
            </w:pPr>
            <w:r w:rsidRPr="008C02EC">
              <w:rPr>
                <w:rFonts w:ascii="Arial" w:hAnsi="Arial" w:cs="Arial"/>
              </w:rPr>
              <w:t>0.006</w:t>
            </w:r>
          </w:p>
        </w:tc>
        <w:tc>
          <w:tcPr>
            <w:tcW w:w="0" w:type="auto"/>
          </w:tcPr>
          <w:p w14:paraId="7BBEB0DA" w14:textId="77777777" w:rsidR="008C02EC" w:rsidRPr="008C02EC" w:rsidRDefault="008C02EC" w:rsidP="00BF1BD7">
            <w:pPr>
              <w:jc w:val="center"/>
              <w:rPr>
                <w:rFonts w:ascii="Arial" w:hAnsi="Arial" w:cs="Arial"/>
              </w:rPr>
            </w:pPr>
            <w:r w:rsidRPr="008C02EC">
              <w:rPr>
                <w:rFonts w:ascii="Arial" w:hAnsi="Arial" w:cs="Arial"/>
              </w:rPr>
              <w:t>0.017</w:t>
            </w:r>
          </w:p>
        </w:tc>
        <w:tc>
          <w:tcPr>
            <w:tcW w:w="0" w:type="auto"/>
          </w:tcPr>
          <w:p w14:paraId="5D93A67C" w14:textId="77777777" w:rsidR="008C02EC" w:rsidRPr="008C02EC" w:rsidRDefault="008C02EC" w:rsidP="00BF1BD7">
            <w:pPr>
              <w:jc w:val="center"/>
              <w:rPr>
                <w:rFonts w:ascii="Arial" w:hAnsi="Arial" w:cs="Arial"/>
              </w:rPr>
            </w:pPr>
            <w:r w:rsidRPr="008C02EC">
              <w:rPr>
                <w:rFonts w:ascii="Arial" w:hAnsi="Arial" w:cs="Arial"/>
              </w:rPr>
              <w:t>0.002</w:t>
            </w:r>
          </w:p>
        </w:tc>
        <w:tc>
          <w:tcPr>
            <w:tcW w:w="0" w:type="auto"/>
          </w:tcPr>
          <w:p w14:paraId="0466D6AA" w14:textId="77777777" w:rsidR="008C02EC" w:rsidRPr="008C02EC" w:rsidRDefault="008C02EC" w:rsidP="00BF1BD7">
            <w:pPr>
              <w:jc w:val="center"/>
              <w:rPr>
                <w:rFonts w:ascii="Arial" w:hAnsi="Arial" w:cs="Arial"/>
              </w:rPr>
            </w:pPr>
            <w:r w:rsidRPr="008C02EC">
              <w:rPr>
                <w:rFonts w:ascii="Arial" w:hAnsi="Arial" w:cs="Arial"/>
              </w:rPr>
              <w:t>0.016</w:t>
            </w:r>
          </w:p>
        </w:tc>
        <w:tc>
          <w:tcPr>
            <w:tcW w:w="0" w:type="auto"/>
          </w:tcPr>
          <w:p w14:paraId="7845F5A5" w14:textId="77777777" w:rsidR="008C02EC" w:rsidRPr="008C02EC" w:rsidRDefault="008C02EC" w:rsidP="00BF1BD7">
            <w:pPr>
              <w:jc w:val="center"/>
              <w:rPr>
                <w:rFonts w:ascii="Arial" w:hAnsi="Arial" w:cs="Arial"/>
              </w:rPr>
            </w:pPr>
            <w:r w:rsidRPr="008C02EC">
              <w:rPr>
                <w:rFonts w:ascii="Arial" w:hAnsi="Arial" w:cs="Arial"/>
              </w:rPr>
              <w:t>0.043</w:t>
            </w:r>
          </w:p>
        </w:tc>
        <w:tc>
          <w:tcPr>
            <w:tcW w:w="0" w:type="auto"/>
            <w:vAlign w:val="center"/>
          </w:tcPr>
          <w:p w14:paraId="2EEDBC7E" w14:textId="77777777" w:rsidR="008C02EC" w:rsidRPr="008C02EC" w:rsidRDefault="008C02EC" w:rsidP="00BF1BD7">
            <w:pPr>
              <w:jc w:val="both"/>
              <w:rPr>
                <w:rFonts w:ascii="Arial" w:hAnsi="Arial" w:cs="Arial"/>
              </w:rPr>
            </w:pPr>
          </w:p>
        </w:tc>
        <w:tc>
          <w:tcPr>
            <w:tcW w:w="0" w:type="auto"/>
            <w:vAlign w:val="center"/>
          </w:tcPr>
          <w:p w14:paraId="716509DC" w14:textId="77777777" w:rsidR="008C02EC" w:rsidRPr="008C02EC" w:rsidRDefault="008C02EC" w:rsidP="00BF1BD7">
            <w:pPr>
              <w:jc w:val="both"/>
              <w:rPr>
                <w:rFonts w:ascii="Arial" w:hAnsi="Arial" w:cs="Arial"/>
              </w:rPr>
            </w:pPr>
          </w:p>
        </w:tc>
        <w:tc>
          <w:tcPr>
            <w:tcW w:w="0" w:type="auto"/>
            <w:vAlign w:val="center"/>
          </w:tcPr>
          <w:p w14:paraId="4C381FD4" w14:textId="77777777" w:rsidR="008C02EC" w:rsidRPr="008C02EC" w:rsidRDefault="008C02EC" w:rsidP="00BF1BD7">
            <w:pPr>
              <w:jc w:val="both"/>
              <w:rPr>
                <w:rFonts w:ascii="Arial" w:hAnsi="Arial" w:cs="Arial"/>
              </w:rPr>
            </w:pPr>
          </w:p>
        </w:tc>
        <w:tc>
          <w:tcPr>
            <w:tcW w:w="0" w:type="auto"/>
            <w:vAlign w:val="center"/>
          </w:tcPr>
          <w:p w14:paraId="2029D8DE" w14:textId="77777777" w:rsidR="008C02EC" w:rsidRPr="008C02EC" w:rsidRDefault="008C02EC" w:rsidP="00BF1BD7">
            <w:pPr>
              <w:jc w:val="both"/>
              <w:rPr>
                <w:rFonts w:ascii="Arial" w:hAnsi="Arial" w:cs="Arial"/>
              </w:rPr>
            </w:pPr>
          </w:p>
        </w:tc>
        <w:tc>
          <w:tcPr>
            <w:tcW w:w="0" w:type="auto"/>
            <w:vAlign w:val="center"/>
          </w:tcPr>
          <w:p w14:paraId="00716FC1" w14:textId="77777777" w:rsidR="008C02EC" w:rsidRPr="008C02EC" w:rsidRDefault="008C02EC" w:rsidP="00BF1BD7">
            <w:pPr>
              <w:jc w:val="both"/>
              <w:rPr>
                <w:rFonts w:ascii="Arial" w:hAnsi="Arial" w:cs="Arial"/>
              </w:rPr>
            </w:pPr>
          </w:p>
        </w:tc>
        <w:tc>
          <w:tcPr>
            <w:tcW w:w="0" w:type="auto"/>
            <w:vAlign w:val="center"/>
          </w:tcPr>
          <w:p w14:paraId="1AD8EDF2" w14:textId="77777777" w:rsidR="008C02EC" w:rsidRPr="008C02EC" w:rsidRDefault="008C02EC" w:rsidP="00BF1BD7">
            <w:pPr>
              <w:jc w:val="both"/>
              <w:rPr>
                <w:rFonts w:ascii="Arial" w:hAnsi="Arial" w:cs="Arial"/>
              </w:rPr>
            </w:pPr>
          </w:p>
        </w:tc>
      </w:tr>
      <w:tr w:rsidR="008C02EC" w:rsidRPr="008C02EC" w14:paraId="4D17069B" w14:textId="77777777" w:rsidTr="00BF1BD7">
        <w:trPr>
          <w:trHeight w:val="541"/>
          <w:tblCellSpacing w:w="15" w:type="dxa"/>
        </w:trPr>
        <w:tc>
          <w:tcPr>
            <w:tcW w:w="1103" w:type="dxa"/>
            <w:tcBorders>
              <w:bottom w:val="single" w:sz="4" w:space="0" w:color="auto"/>
            </w:tcBorders>
          </w:tcPr>
          <w:p w14:paraId="51DFE6B6" w14:textId="77777777" w:rsidR="008C02EC" w:rsidRPr="008C02EC" w:rsidRDefault="008C02EC" w:rsidP="00BF1BD7">
            <w:pPr>
              <w:jc w:val="center"/>
              <w:rPr>
                <w:rFonts w:ascii="Arial" w:hAnsi="Arial" w:cs="Arial"/>
              </w:rPr>
            </w:pPr>
            <w:r w:rsidRPr="008C02EC">
              <w:rPr>
                <w:rFonts w:ascii="Arial" w:hAnsi="Arial" w:cs="Arial"/>
              </w:rPr>
              <w:t>F2B</w:t>
            </w:r>
          </w:p>
        </w:tc>
        <w:tc>
          <w:tcPr>
            <w:tcW w:w="1412" w:type="dxa"/>
            <w:tcBorders>
              <w:bottom w:val="single" w:sz="4" w:space="0" w:color="auto"/>
            </w:tcBorders>
          </w:tcPr>
          <w:p w14:paraId="15A2C021" w14:textId="77777777" w:rsidR="008C02EC" w:rsidRPr="008C02EC" w:rsidRDefault="008C02EC" w:rsidP="00BF1BD7">
            <w:pPr>
              <w:jc w:val="center"/>
              <w:rPr>
                <w:rFonts w:ascii="Arial" w:hAnsi="Arial" w:cs="Arial"/>
              </w:rPr>
            </w:pPr>
            <w:r w:rsidRPr="008C02EC">
              <w:rPr>
                <w:rFonts w:ascii="Arial" w:hAnsi="Arial" w:cs="Arial"/>
              </w:rPr>
              <w:t>6.918372</w:t>
            </w:r>
          </w:p>
        </w:tc>
        <w:tc>
          <w:tcPr>
            <w:tcW w:w="1397" w:type="dxa"/>
            <w:tcBorders>
              <w:bottom w:val="single" w:sz="4" w:space="0" w:color="auto"/>
            </w:tcBorders>
          </w:tcPr>
          <w:p w14:paraId="1FB17247" w14:textId="77777777" w:rsidR="008C02EC" w:rsidRPr="008C02EC" w:rsidRDefault="008C02EC" w:rsidP="00BF1BD7">
            <w:pPr>
              <w:jc w:val="center"/>
              <w:rPr>
                <w:rFonts w:ascii="Arial" w:hAnsi="Arial" w:cs="Arial"/>
              </w:rPr>
            </w:pPr>
            <w:r w:rsidRPr="008C02EC">
              <w:rPr>
                <w:rFonts w:ascii="Arial" w:hAnsi="Arial" w:cs="Arial"/>
              </w:rPr>
              <w:t>4.920272</w:t>
            </w:r>
          </w:p>
        </w:tc>
        <w:tc>
          <w:tcPr>
            <w:tcW w:w="0" w:type="auto"/>
            <w:tcBorders>
              <w:bottom w:val="single" w:sz="4" w:space="0" w:color="auto"/>
            </w:tcBorders>
          </w:tcPr>
          <w:p w14:paraId="7579E1C9" w14:textId="77777777" w:rsidR="008C02EC" w:rsidRPr="008C02EC" w:rsidRDefault="008C02EC" w:rsidP="00BF1BD7">
            <w:pPr>
              <w:jc w:val="center"/>
              <w:rPr>
                <w:rFonts w:ascii="Arial" w:hAnsi="Arial" w:cs="Arial"/>
              </w:rPr>
            </w:pPr>
            <w:r w:rsidRPr="008C02EC">
              <w:rPr>
                <w:rFonts w:ascii="Arial" w:hAnsi="Arial" w:cs="Arial"/>
              </w:rPr>
              <w:t>0.01</w:t>
            </w:r>
          </w:p>
        </w:tc>
        <w:tc>
          <w:tcPr>
            <w:tcW w:w="0" w:type="auto"/>
            <w:tcBorders>
              <w:bottom w:val="single" w:sz="4" w:space="0" w:color="auto"/>
            </w:tcBorders>
          </w:tcPr>
          <w:p w14:paraId="5FD7CD9C" w14:textId="77777777" w:rsidR="008C02EC" w:rsidRPr="008C02EC" w:rsidRDefault="008C02EC" w:rsidP="00BF1BD7">
            <w:pPr>
              <w:jc w:val="center"/>
              <w:rPr>
                <w:rFonts w:ascii="Arial" w:hAnsi="Arial" w:cs="Arial"/>
              </w:rPr>
            </w:pPr>
            <w:r w:rsidRPr="008C02EC">
              <w:rPr>
                <w:rFonts w:ascii="Arial" w:hAnsi="Arial" w:cs="Arial"/>
              </w:rPr>
              <w:t>0.014</w:t>
            </w:r>
          </w:p>
        </w:tc>
        <w:tc>
          <w:tcPr>
            <w:tcW w:w="0" w:type="auto"/>
            <w:tcBorders>
              <w:bottom w:val="single" w:sz="4" w:space="0" w:color="auto"/>
            </w:tcBorders>
          </w:tcPr>
          <w:p w14:paraId="74F7C198" w14:textId="77777777" w:rsidR="008C02EC" w:rsidRPr="008C02EC" w:rsidRDefault="008C02EC" w:rsidP="00BF1BD7">
            <w:pPr>
              <w:jc w:val="center"/>
              <w:rPr>
                <w:rFonts w:ascii="Arial" w:hAnsi="Arial" w:cs="Arial"/>
              </w:rPr>
            </w:pPr>
            <w:r w:rsidRPr="008C02EC">
              <w:rPr>
                <w:rFonts w:ascii="Arial" w:hAnsi="Arial" w:cs="Arial"/>
              </w:rPr>
              <w:t>0.008</w:t>
            </w:r>
          </w:p>
        </w:tc>
        <w:tc>
          <w:tcPr>
            <w:tcW w:w="0" w:type="auto"/>
            <w:tcBorders>
              <w:bottom w:val="single" w:sz="4" w:space="0" w:color="auto"/>
            </w:tcBorders>
          </w:tcPr>
          <w:p w14:paraId="5FCAE1F2" w14:textId="77777777" w:rsidR="008C02EC" w:rsidRPr="008C02EC" w:rsidRDefault="008C02EC" w:rsidP="00BF1BD7">
            <w:pPr>
              <w:jc w:val="center"/>
              <w:rPr>
                <w:rFonts w:ascii="Arial" w:hAnsi="Arial" w:cs="Arial"/>
              </w:rPr>
            </w:pPr>
            <w:r w:rsidRPr="008C02EC">
              <w:rPr>
                <w:rFonts w:ascii="Arial" w:hAnsi="Arial" w:cs="Arial"/>
              </w:rPr>
              <w:t>0.028</w:t>
            </w:r>
          </w:p>
        </w:tc>
        <w:tc>
          <w:tcPr>
            <w:tcW w:w="0" w:type="auto"/>
            <w:tcBorders>
              <w:bottom w:val="single" w:sz="4" w:space="0" w:color="auto"/>
            </w:tcBorders>
          </w:tcPr>
          <w:p w14:paraId="054AF954" w14:textId="77777777" w:rsidR="008C02EC" w:rsidRPr="008C02EC" w:rsidRDefault="008C02EC" w:rsidP="00BF1BD7">
            <w:pPr>
              <w:jc w:val="center"/>
              <w:rPr>
                <w:rFonts w:ascii="Arial" w:hAnsi="Arial" w:cs="Arial"/>
              </w:rPr>
            </w:pPr>
            <w:r w:rsidRPr="008C02EC">
              <w:rPr>
                <w:rFonts w:ascii="Arial" w:hAnsi="Arial" w:cs="Arial"/>
              </w:rPr>
              <w:t>0.035</w:t>
            </w:r>
          </w:p>
        </w:tc>
        <w:tc>
          <w:tcPr>
            <w:tcW w:w="0" w:type="auto"/>
            <w:vAlign w:val="center"/>
          </w:tcPr>
          <w:p w14:paraId="284BBB06" w14:textId="77777777" w:rsidR="008C02EC" w:rsidRPr="008C02EC" w:rsidRDefault="008C02EC" w:rsidP="00BF1BD7">
            <w:pPr>
              <w:jc w:val="both"/>
              <w:rPr>
                <w:rFonts w:ascii="Arial" w:hAnsi="Arial" w:cs="Arial"/>
              </w:rPr>
            </w:pPr>
          </w:p>
        </w:tc>
        <w:tc>
          <w:tcPr>
            <w:tcW w:w="0" w:type="auto"/>
            <w:vAlign w:val="center"/>
          </w:tcPr>
          <w:p w14:paraId="7C528ECC" w14:textId="77777777" w:rsidR="008C02EC" w:rsidRPr="008C02EC" w:rsidRDefault="008C02EC" w:rsidP="00BF1BD7">
            <w:pPr>
              <w:jc w:val="both"/>
              <w:rPr>
                <w:rFonts w:ascii="Arial" w:hAnsi="Arial" w:cs="Arial"/>
              </w:rPr>
            </w:pPr>
          </w:p>
        </w:tc>
        <w:tc>
          <w:tcPr>
            <w:tcW w:w="0" w:type="auto"/>
            <w:vAlign w:val="center"/>
          </w:tcPr>
          <w:p w14:paraId="063D1C1A" w14:textId="77777777" w:rsidR="008C02EC" w:rsidRPr="008C02EC" w:rsidRDefault="008C02EC" w:rsidP="00BF1BD7">
            <w:pPr>
              <w:jc w:val="both"/>
              <w:rPr>
                <w:rFonts w:ascii="Arial" w:hAnsi="Arial" w:cs="Arial"/>
              </w:rPr>
            </w:pPr>
          </w:p>
        </w:tc>
        <w:tc>
          <w:tcPr>
            <w:tcW w:w="0" w:type="auto"/>
            <w:vAlign w:val="center"/>
          </w:tcPr>
          <w:p w14:paraId="716BCBD0" w14:textId="77777777" w:rsidR="008C02EC" w:rsidRPr="008C02EC" w:rsidRDefault="008C02EC" w:rsidP="00BF1BD7">
            <w:pPr>
              <w:jc w:val="both"/>
              <w:rPr>
                <w:rFonts w:ascii="Arial" w:hAnsi="Arial" w:cs="Arial"/>
              </w:rPr>
            </w:pPr>
          </w:p>
        </w:tc>
        <w:tc>
          <w:tcPr>
            <w:tcW w:w="0" w:type="auto"/>
            <w:vAlign w:val="center"/>
          </w:tcPr>
          <w:p w14:paraId="4F76D782" w14:textId="77777777" w:rsidR="008C02EC" w:rsidRPr="008C02EC" w:rsidRDefault="008C02EC" w:rsidP="00BF1BD7">
            <w:pPr>
              <w:jc w:val="both"/>
              <w:rPr>
                <w:rFonts w:ascii="Arial" w:hAnsi="Arial" w:cs="Arial"/>
              </w:rPr>
            </w:pPr>
          </w:p>
        </w:tc>
        <w:tc>
          <w:tcPr>
            <w:tcW w:w="0" w:type="auto"/>
            <w:vAlign w:val="center"/>
          </w:tcPr>
          <w:p w14:paraId="1D367444" w14:textId="77777777" w:rsidR="008C02EC" w:rsidRPr="008C02EC" w:rsidRDefault="008C02EC" w:rsidP="00BF1BD7">
            <w:pPr>
              <w:jc w:val="both"/>
              <w:rPr>
                <w:rFonts w:ascii="Arial" w:hAnsi="Arial" w:cs="Arial"/>
              </w:rPr>
            </w:pPr>
          </w:p>
        </w:tc>
      </w:tr>
    </w:tbl>
    <w:p w14:paraId="38EF6B62" w14:textId="77777777" w:rsidR="002F43F9" w:rsidRDefault="002F43F9" w:rsidP="008C02EC">
      <w:pPr>
        <w:rPr>
          <w:rFonts w:ascii="Arial" w:hAnsi="Arial" w:cs="Arial"/>
          <w:b/>
          <w:bCs/>
          <w:sz w:val="22"/>
          <w:szCs w:val="22"/>
        </w:rPr>
      </w:pPr>
    </w:p>
    <w:p w14:paraId="527F3F49" w14:textId="61E568B9" w:rsidR="008C02EC" w:rsidRDefault="008C02EC" w:rsidP="008C02EC">
      <w:pPr>
        <w:rPr>
          <w:rFonts w:ascii="Arial" w:hAnsi="Arial" w:cs="Arial"/>
          <w:b/>
          <w:bCs/>
          <w:sz w:val="22"/>
          <w:szCs w:val="22"/>
        </w:rPr>
      </w:pPr>
      <w:r w:rsidRPr="008C02EC">
        <w:rPr>
          <w:rFonts w:ascii="Arial" w:hAnsi="Arial" w:cs="Arial"/>
          <w:b/>
          <w:bCs/>
          <w:sz w:val="22"/>
          <w:szCs w:val="22"/>
        </w:rPr>
        <w:t>Table 2: Statistical Summary by Sampling Zone</w:t>
      </w:r>
    </w:p>
    <w:p w14:paraId="09759E43" w14:textId="77777777" w:rsidR="008C02EC" w:rsidRPr="008C02EC" w:rsidRDefault="008C02EC" w:rsidP="008C02EC">
      <w:pPr>
        <w:rPr>
          <w:rFonts w:ascii="Arial" w:hAnsi="Arial" w:cs="Arial"/>
          <w:sz w:val="22"/>
          <w:szCs w:val="22"/>
        </w:rPr>
      </w:pPr>
    </w:p>
    <w:tbl>
      <w:tblPr>
        <w:tblW w:w="10638" w:type="dxa"/>
        <w:tblCellSpacing w:w="15" w:type="dxa"/>
        <w:tblInd w:w="-480" w:type="dxa"/>
        <w:tblCellMar>
          <w:top w:w="15" w:type="dxa"/>
          <w:left w:w="15" w:type="dxa"/>
          <w:bottom w:w="15" w:type="dxa"/>
          <w:right w:w="15" w:type="dxa"/>
        </w:tblCellMar>
        <w:tblLook w:val="04A0" w:firstRow="1" w:lastRow="0" w:firstColumn="1" w:lastColumn="0" w:noHBand="0" w:noVBand="1"/>
      </w:tblPr>
      <w:tblGrid>
        <w:gridCol w:w="2100"/>
        <w:gridCol w:w="1350"/>
        <w:gridCol w:w="1605"/>
        <w:gridCol w:w="1392"/>
        <w:gridCol w:w="1392"/>
        <w:gridCol w:w="1392"/>
        <w:gridCol w:w="1407"/>
      </w:tblGrid>
      <w:tr w:rsidR="008C02EC" w:rsidRPr="002E78D6" w14:paraId="755DE888" w14:textId="77777777" w:rsidTr="00BF1BD7">
        <w:trPr>
          <w:trHeight w:val="509"/>
          <w:tblHeader/>
          <w:tblCellSpacing w:w="15" w:type="dxa"/>
        </w:trPr>
        <w:tc>
          <w:tcPr>
            <w:tcW w:w="2055" w:type="dxa"/>
            <w:tcBorders>
              <w:top w:val="single" w:sz="4" w:space="0" w:color="auto"/>
              <w:bottom w:val="single" w:sz="4" w:space="0" w:color="auto"/>
            </w:tcBorders>
            <w:vAlign w:val="center"/>
            <w:hideMark/>
          </w:tcPr>
          <w:p w14:paraId="76ABC03D"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Zone</w:t>
            </w:r>
          </w:p>
        </w:tc>
        <w:tc>
          <w:tcPr>
            <w:tcW w:w="1320" w:type="dxa"/>
            <w:tcBorders>
              <w:top w:val="single" w:sz="4" w:space="0" w:color="auto"/>
              <w:bottom w:val="single" w:sz="4" w:space="0" w:color="auto"/>
            </w:tcBorders>
            <w:vAlign w:val="center"/>
            <w:hideMark/>
          </w:tcPr>
          <w:p w14:paraId="35FAD381"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Parameter</w:t>
            </w:r>
          </w:p>
        </w:tc>
        <w:tc>
          <w:tcPr>
            <w:tcW w:w="1575" w:type="dxa"/>
            <w:tcBorders>
              <w:top w:val="single" w:sz="4" w:space="0" w:color="auto"/>
              <w:bottom w:val="single" w:sz="4" w:space="0" w:color="auto"/>
            </w:tcBorders>
            <w:vAlign w:val="center"/>
            <w:hideMark/>
          </w:tcPr>
          <w:p w14:paraId="7290D2B4"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As</w:t>
            </w:r>
          </w:p>
        </w:tc>
        <w:tc>
          <w:tcPr>
            <w:tcW w:w="0" w:type="auto"/>
            <w:tcBorders>
              <w:top w:val="single" w:sz="4" w:space="0" w:color="auto"/>
              <w:bottom w:val="single" w:sz="4" w:space="0" w:color="auto"/>
            </w:tcBorders>
            <w:vAlign w:val="center"/>
            <w:hideMark/>
          </w:tcPr>
          <w:p w14:paraId="38F0313C"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Ni</w:t>
            </w:r>
          </w:p>
        </w:tc>
        <w:tc>
          <w:tcPr>
            <w:tcW w:w="0" w:type="auto"/>
            <w:tcBorders>
              <w:top w:val="single" w:sz="4" w:space="0" w:color="auto"/>
              <w:bottom w:val="single" w:sz="4" w:space="0" w:color="auto"/>
            </w:tcBorders>
            <w:vAlign w:val="center"/>
            <w:hideMark/>
          </w:tcPr>
          <w:p w14:paraId="719DAFB9"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Cr</w:t>
            </w:r>
          </w:p>
        </w:tc>
        <w:tc>
          <w:tcPr>
            <w:tcW w:w="0" w:type="auto"/>
            <w:tcBorders>
              <w:top w:val="single" w:sz="4" w:space="0" w:color="auto"/>
              <w:bottom w:val="single" w:sz="4" w:space="0" w:color="auto"/>
            </w:tcBorders>
            <w:vAlign w:val="center"/>
            <w:hideMark/>
          </w:tcPr>
          <w:p w14:paraId="496B3FBF"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Cd</w:t>
            </w:r>
          </w:p>
        </w:tc>
        <w:tc>
          <w:tcPr>
            <w:tcW w:w="0" w:type="auto"/>
            <w:tcBorders>
              <w:top w:val="single" w:sz="4" w:space="0" w:color="auto"/>
              <w:bottom w:val="single" w:sz="4" w:space="0" w:color="auto"/>
            </w:tcBorders>
            <w:vAlign w:val="center"/>
            <w:hideMark/>
          </w:tcPr>
          <w:p w14:paraId="32795FD3"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Pb</w:t>
            </w:r>
          </w:p>
        </w:tc>
      </w:tr>
      <w:tr w:rsidR="008C02EC" w:rsidRPr="002E78D6" w14:paraId="25BDF3FE" w14:textId="77777777" w:rsidTr="00BF1BD7">
        <w:trPr>
          <w:trHeight w:val="525"/>
          <w:tblCellSpacing w:w="15" w:type="dxa"/>
        </w:trPr>
        <w:tc>
          <w:tcPr>
            <w:tcW w:w="2055" w:type="dxa"/>
            <w:vAlign w:val="center"/>
            <w:hideMark/>
          </w:tcPr>
          <w:p w14:paraId="2EAEA32B" w14:textId="77777777" w:rsidR="008C02EC" w:rsidRPr="002E78D6" w:rsidRDefault="008C02EC" w:rsidP="00BF1BD7">
            <w:pPr>
              <w:rPr>
                <w:rFonts w:ascii="Arial" w:hAnsi="Arial" w:cs="Arial"/>
                <w:sz w:val="22"/>
                <w:szCs w:val="22"/>
              </w:rPr>
            </w:pPr>
            <w:r w:rsidRPr="002E78D6">
              <w:rPr>
                <w:rFonts w:ascii="Arial" w:hAnsi="Arial" w:cs="Arial"/>
                <w:b/>
                <w:bCs/>
                <w:sz w:val="22"/>
                <w:szCs w:val="22"/>
              </w:rPr>
              <w:t>Within Landfill (A)</w:t>
            </w:r>
          </w:p>
        </w:tc>
        <w:tc>
          <w:tcPr>
            <w:tcW w:w="1320" w:type="dxa"/>
            <w:vAlign w:val="center"/>
            <w:hideMark/>
          </w:tcPr>
          <w:p w14:paraId="7CB6628A"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7BEF31A1" w14:textId="77777777" w:rsidR="008C02EC" w:rsidRPr="002E78D6" w:rsidRDefault="008C02EC" w:rsidP="00BF1BD7">
            <w:pPr>
              <w:rPr>
                <w:rFonts w:ascii="Arial" w:hAnsi="Arial" w:cs="Arial"/>
                <w:sz w:val="22"/>
                <w:szCs w:val="22"/>
              </w:rPr>
            </w:pPr>
            <w:r w:rsidRPr="002E78D6">
              <w:rPr>
                <w:rFonts w:ascii="Arial" w:hAnsi="Arial" w:cs="Arial"/>
                <w:sz w:val="22"/>
                <w:szCs w:val="22"/>
              </w:rPr>
              <w:t>0.055</w:t>
            </w:r>
          </w:p>
        </w:tc>
        <w:tc>
          <w:tcPr>
            <w:tcW w:w="0" w:type="auto"/>
            <w:vAlign w:val="center"/>
            <w:hideMark/>
          </w:tcPr>
          <w:p w14:paraId="224FE41A" w14:textId="77777777" w:rsidR="008C02EC" w:rsidRPr="002E78D6" w:rsidRDefault="008C02EC" w:rsidP="00BF1BD7">
            <w:pPr>
              <w:rPr>
                <w:rFonts w:ascii="Arial" w:hAnsi="Arial" w:cs="Arial"/>
                <w:sz w:val="22"/>
                <w:szCs w:val="22"/>
              </w:rPr>
            </w:pPr>
            <w:r w:rsidRPr="002E78D6">
              <w:rPr>
                <w:rFonts w:ascii="Arial" w:hAnsi="Arial" w:cs="Arial"/>
                <w:sz w:val="22"/>
                <w:szCs w:val="22"/>
              </w:rPr>
              <w:t>0.045</w:t>
            </w:r>
          </w:p>
        </w:tc>
        <w:tc>
          <w:tcPr>
            <w:tcW w:w="0" w:type="auto"/>
            <w:vAlign w:val="center"/>
            <w:hideMark/>
          </w:tcPr>
          <w:p w14:paraId="6DEE8199" w14:textId="77777777" w:rsidR="008C02EC" w:rsidRPr="002E78D6" w:rsidRDefault="008C02EC" w:rsidP="00BF1BD7">
            <w:pPr>
              <w:rPr>
                <w:rFonts w:ascii="Arial" w:hAnsi="Arial" w:cs="Arial"/>
                <w:sz w:val="22"/>
                <w:szCs w:val="22"/>
              </w:rPr>
            </w:pPr>
            <w:r w:rsidRPr="002E78D6">
              <w:rPr>
                <w:rFonts w:ascii="Arial" w:hAnsi="Arial" w:cs="Arial"/>
                <w:sz w:val="22"/>
                <w:szCs w:val="22"/>
              </w:rPr>
              <w:t>0.061</w:t>
            </w:r>
          </w:p>
        </w:tc>
        <w:tc>
          <w:tcPr>
            <w:tcW w:w="0" w:type="auto"/>
            <w:vAlign w:val="center"/>
            <w:hideMark/>
          </w:tcPr>
          <w:p w14:paraId="71EEC7B6" w14:textId="77777777" w:rsidR="008C02EC" w:rsidRPr="002E78D6" w:rsidRDefault="008C02EC" w:rsidP="00BF1BD7">
            <w:pPr>
              <w:rPr>
                <w:rFonts w:ascii="Arial" w:hAnsi="Arial" w:cs="Arial"/>
                <w:sz w:val="22"/>
                <w:szCs w:val="22"/>
              </w:rPr>
            </w:pPr>
            <w:r w:rsidRPr="002E78D6">
              <w:rPr>
                <w:rFonts w:ascii="Arial" w:hAnsi="Arial" w:cs="Arial"/>
                <w:sz w:val="22"/>
                <w:szCs w:val="22"/>
              </w:rPr>
              <w:t>0.118</w:t>
            </w:r>
          </w:p>
        </w:tc>
        <w:tc>
          <w:tcPr>
            <w:tcW w:w="0" w:type="auto"/>
            <w:vAlign w:val="center"/>
            <w:hideMark/>
          </w:tcPr>
          <w:p w14:paraId="70707824" w14:textId="77777777" w:rsidR="008C02EC" w:rsidRPr="002E78D6" w:rsidRDefault="008C02EC" w:rsidP="00BF1BD7">
            <w:pPr>
              <w:rPr>
                <w:rFonts w:ascii="Arial" w:hAnsi="Arial" w:cs="Arial"/>
                <w:sz w:val="22"/>
                <w:szCs w:val="22"/>
              </w:rPr>
            </w:pPr>
            <w:r w:rsidRPr="002E78D6">
              <w:rPr>
                <w:rFonts w:ascii="Arial" w:hAnsi="Arial" w:cs="Arial"/>
                <w:sz w:val="22"/>
                <w:szCs w:val="22"/>
              </w:rPr>
              <w:t>0.114</w:t>
            </w:r>
          </w:p>
        </w:tc>
      </w:tr>
      <w:tr w:rsidR="008C02EC" w:rsidRPr="002E78D6" w14:paraId="3282C32F" w14:textId="77777777" w:rsidTr="00BF1BD7">
        <w:trPr>
          <w:trHeight w:val="509"/>
          <w:tblCellSpacing w:w="15" w:type="dxa"/>
        </w:trPr>
        <w:tc>
          <w:tcPr>
            <w:tcW w:w="2055" w:type="dxa"/>
            <w:vAlign w:val="center"/>
            <w:hideMark/>
          </w:tcPr>
          <w:p w14:paraId="034614F2" w14:textId="77777777" w:rsidR="008C02EC" w:rsidRPr="002E78D6" w:rsidRDefault="008C02EC" w:rsidP="00BF1BD7">
            <w:pPr>
              <w:rPr>
                <w:rFonts w:ascii="Arial" w:hAnsi="Arial" w:cs="Arial"/>
                <w:sz w:val="22"/>
                <w:szCs w:val="22"/>
              </w:rPr>
            </w:pPr>
          </w:p>
        </w:tc>
        <w:tc>
          <w:tcPr>
            <w:tcW w:w="1320" w:type="dxa"/>
            <w:vAlign w:val="center"/>
            <w:hideMark/>
          </w:tcPr>
          <w:p w14:paraId="329E27D6"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786AFEC1" w14:textId="77777777" w:rsidR="008C02EC" w:rsidRPr="002E78D6" w:rsidRDefault="008C02EC" w:rsidP="00BF1BD7">
            <w:pPr>
              <w:rPr>
                <w:rFonts w:ascii="Arial" w:hAnsi="Arial" w:cs="Arial"/>
                <w:sz w:val="22"/>
                <w:szCs w:val="22"/>
              </w:rPr>
            </w:pPr>
            <w:r w:rsidRPr="002E78D6">
              <w:rPr>
                <w:rFonts w:ascii="Arial" w:hAnsi="Arial" w:cs="Arial"/>
                <w:sz w:val="22"/>
                <w:szCs w:val="22"/>
              </w:rPr>
              <w:t>0.005-0.112</w:t>
            </w:r>
          </w:p>
        </w:tc>
        <w:tc>
          <w:tcPr>
            <w:tcW w:w="0" w:type="auto"/>
            <w:vAlign w:val="center"/>
            <w:hideMark/>
          </w:tcPr>
          <w:p w14:paraId="3BBC23EE" w14:textId="77777777" w:rsidR="008C02EC" w:rsidRPr="002E78D6" w:rsidRDefault="008C02EC" w:rsidP="00BF1BD7">
            <w:pPr>
              <w:rPr>
                <w:rFonts w:ascii="Arial" w:hAnsi="Arial" w:cs="Arial"/>
                <w:sz w:val="22"/>
                <w:szCs w:val="22"/>
              </w:rPr>
            </w:pPr>
            <w:r w:rsidRPr="002E78D6">
              <w:rPr>
                <w:rFonts w:ascii="Arial" w:hAnsi="Arial" w:cs="Arial"/>
                <w:sz w:val="22"/>
                <w:szCs w:val="22"/>
              </w:rPr>
              <w:t>0.030-0.057</w:t>
            </w:r>
          </w:p>
        </w:tc>
        <w:tc>
          <w:tcPr>
            <w:tcW w:w="0" w:type="auto"/>
            <w:vAlign w:val="center"/>
            <w:hideMark/>
          </w:tcPr>
          <w:p w14:paraId="3BBB3801" w14:textId="77777777" w:rsidR="008C02EC" w:rsidRPr="002E78D6" w:rsidRDefault="008C02EC" w:rsidP="00BF1BD7">
            <w:pPr>
              <w:rPr>
                <w:rFonts w:ascii="Arial" w:hAnsi="Arial" w:cs="Arial"/>
                <w:sz w:val="22"/>
                <w:szCs w:val="22"/>
              </w:rPr>
            </w:pPr>
            <w:r w:rsidRPr="002E78D6">
              <w:rPr>
                <w:rFonts w:ascii="Arial" w:hAnsi="Arial" w:cs="Arial"/>
                <w:sz w:val="22"/>
                <w:szCs w:val="22"/>
              </w:rPr>
              <w:t>0.029-0.087</w:t>
            </w:r>
          </w:p>
        </w:tc>
        <w:tc>
          <w:tcPr>
            <w:tcW w:w="0" w:type="auto"/>
            <w:vAlign w:val="center"/>
            <w:hideMark/>
          </w:tcPr>
          <w:p w14:paraId="18605056" w14:textId="77777777" w:rsidR="008C02EC" w:rsidRPr="002E78D6" w:rsidRDefault="008C02EC" w:rsidP="00BF1BD7">
            <w:pPr>
              <w:rPr>
                <w:rFonts w:ascii="Arial" w:hAnsi="Arial" w:cs="Arial"/>
                <w:sz w:val="22"/>
                <w:szCs w:val="22"/>
              </w:rPr>
            </w:pPr>
            <w:r w:rsidRPr="002E78D6">
              <w:rPr>
                <w:rFonts w:ascii="Arial" w:hAnsi="Arial" w:cs="Arial"/>
                <w:sz w:val="22"/>
                <w:szCs w:val="22"/>
              </w:rPr>
              <w:t>0.057-0.192</w:t>
            </w:r>
          </w:p>
        </w:tc>
        <w:tc>
          <w:tcPr>
            <w:tcW w:w="0" w:type="auto"/>
            <w:vAlign w:val="center"/>
            <w:hideMark/>
          </w:tcPr>
          <w:p w14:paraId="41F6C224" w14:textId="77777777" w:rsidR="008C02EC" w:rsidRPr="002E78D6" w:rsidRDefault="008C02EC" w:rsidP="00BF1BD7">
            <w:pPr>
              <w:rPr>
                <w:rFonts w:ascii="Arial" w:hAnsi="Arial" w:cs="Arial"/>
                <w:sz w:val="22"/>
                <w:szCs w:val="22"/>
              </w:rPr>
            </w:pPr>
            <w:r w:rsidRPr="002E78D6">
              <w:rPr>
                <w:rFonts w:ascii="Arial" w:hAnsi="Arial" w:cs="Arial"/>
                <w:sz w:val="22"/>
                <w:szCs w:val="22"/>
              </w:rPr>
              <w:t>0.049-0.187</w:t>
            </w:r>
          </w:p>
        </w:tc>
      </w:tr>
      <w:tr w:rsidR="008C02EC" w:rsidRPr="002E78D6" w14:paraId="46B15285" w14:textId="77777777" w:rsidTr="00BF1BD7">
        <w:trPr>
          <w:trHeight w:val="509"/>
          <w:tblCellSpacing w:w="15" w:type="dxa"/>
        </w:trPr>
        <w:tc>
          <w:tcPr>
            <w:tcW w:w="2055" w:type="dxa"/>
            <w:vAlign w:val="center"/>
            <w:hideMark/>
          </w:tcPr>
          <w:p w14:paraId="5D86AF53" w14:textId="77777777" w:rsidR="008C02EC" w:rsidRPr="002E78D6" w:rsidRDefault="008C02EC" w:rsidP="00BF1BD7">
            <w:pPr>
              <w:rPr>
                <w:rFonts w:ascii="Arial" w:hAnsi="Arial" w:cs="Arial"/>
                <w:sz w:val="22"/>
                <w:szCs w:val="22"/>
              </w:rPr>
            </w:pPr>
          </w:p>
        </w:tc>
        <w:tc>
          <w:tcPr>
            <w:tcW w:w="1320" w:type="dxa"/>
            <w:vAlign w:val="center"/>
            <w:hideMark/>
          </w:tcPr>
          <w:p w14:paraId="1300E769"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24BA5BF9" w14:textId="77777777" w:rsidR="008C02EC" w:rsidRPr="002E78D6" w:rsidRDefault="008C02EC" w:rsidP="00BF1BD7">
            <w:pPr>
              <w:rPr>
                <w:rFonts w:ascii="Arial" w:hAnsi="Arial" w:cs="Arial"/>
                <w:sz w:val="22"/>
                <w:szCs w:val="22"/>
              </w:rPr>
            </w:pPr>
            <w:r w:rsidRPr="002E78D6">
              <w:rPr>
                <w:rFonts w:ascii="Arial" w:hAnsi="Arial" w:cs="Arial"/>
                <w:sz w:val="22"/>
                <w:szCs w:val="22"/>
              </w:rPr>
              <w:t> 0.056</w:t>
            </w:r>
          </w:p>
        </w:tc>
        <w:tc>
          <w:tcPr>
            <w:tcW w:w="0" w:type="auto"/>
            <w:vAlign w:val="center"/>
            <w:hideMark/>
          </w:tcPr>
          <w:p w14:paraId="1C67151C" w14:textId="77777777" w:rsidR="008C02EC" w:rsidRPr="002E78D6" w:rsidRDefault="008C02EC" w:rsidP="00BF1BD7">
            <w:pPr>
              <w:rPr>
                <w:rFonts w:ascii="Arial" w:hAnsi="Arial" w:cs="Arial"/>
                <w:sz w:val="22"/>
                <w:szCs w:val="22"/>
              </w:rPr>
            </w:pPr>
            <w:r w:rsidRPr="002E78D6">
              <w:rPr>
                <w:rFonts w:ascii="Arial" w:hAnsi="Arial" w:cs="Arial"/>
                <w:sz w:val="22"/>
                <w:szCs w:val="22"/>
              </w:rPr>
              <w:t>0.012</w:t>
            </w:r>
          </w:p>
        </w:tc>
        <w:tc>
          <w:tcPr>
            <w:tcW w:w="0" w:type="auto"/>
            <w:vAlign w:val="center"/>
            <w:hideMark/>
          </w:tcPr>
          <w:p w14:paraId="39A188BF" w14:textId="77777777" w:rsidR="008C02EC" w:rsidRPr="002E78D6" w:rsidRDefault="008C02EC" w:rsidP="00BF1BD7">
            <w:pPr>
              <w:rPr>
                <w:rFonts w:ascii="Arial" w:hAnsi="Arial" w:cs="Arial"/>
                <w:sz w:val="22"/>
                <w:szCs w:val="22"/>
              </w:rPr>
            </w:pPr>
            <w:r w:rsidRPr="002E78D6">
              <w:rPr>
                <w:rFonts w:ascii="Arial" w:hAnsi="Arial" w:cs="Arial"/>
                <w:sz w:val="22"/>
                <w:szCs w:val="22"/>
              </w:rPr>
              <w:t>0.029</w:t>
            </w:r>
          </w:p>
        </w:tc>
        <w:tc>
          <w:tcPr>
            <w:tcW w:w="0" w:type="auto"/>
            <w:vAlign w:val="center"/>
            <w:hideMark/>
          </w:tcPr>
          <w:p w14:paraId="0507DC5C" w14:textId="77777777" w:rsidR="008C02EC" w:rsidRPr="002E78D6" w:rsidRDefault="008C02EC" w:rsidP="00BF1BD7">
            <w:pPr>
              <w:rPr>
                <w:rFonts w:ascii="Arial" w:hAnsi="Arial" w:cs="Arial"/>
                <w:sz w:val="22"/>
                <w:szCs w:val="22"/>
              </w:rPr>
            </w:pPr>
            <w:r w:rsidRPr="002E78D6">
              <w:rPr>
                <w:rFonts w:ascii="Arial" w:hAnsi="Arial" w:cs="Arial"/>
                <w:sz w:val="22"/>
                <w:szCs w:val="22"/>
              </w:rPr>
              <w:t>0.066</w:t>
            </w:r>
          </w:p>
        </w:tc>
        <w:tc>
          <w:tcPr>
            <w:tcW w:w="0" w:type="auto"/>
            <w:vAlign w:val="center"/>
            <w:hideMark/>
          </w:tcPr>
          <w:p w14:paraId="199D6827" w14:textId="77777777" w:rsidR="008C02EC" w:rsidRPr="002E78D6" w:rsidRDefault="008C02EC" w:rsidP="00BF1BD7">
            <w:pPr>
              <w:rPr>
                <w:rFonts w:ascii="Arial" w:hAnsi="Arial" w:cs="Arial"/>
                <w:sz w:val="22"/>
                <w:szCs w:val="22"/>
              </w:rPr>
            </w:pPr>
            <w:r w:rsidRPr="002E78D6">
              <w:rPr>
                <w:rFonts w:ascii="Arial" w:hAnsi="Arial" w:cs="Arial"/>
                <w:sz w:val="22"/>
                <w:szCs w:val="22"/>
              </w:rPr>
              <w:t>0.071</w:t>
            </w:r>
          </w:p>
        </w:tc>
      </w:tr>
      <w:tr w:rsidR="008C02EC" w:rsidRPr="002E78D6" w14:paraId="2AAFF799" w14:textId="77777777" w:rsidTr="00BF1BD7">
        <w:trPr>
          <w:trHeight w:val="509"/>
          <w:tblCellSpacing w:w="15" w:type="dxa"/>
        </w:trPr>
        <w:tc>
          <w:tcPr>
            <w:tcW w:w="2055" w:type="dxa"/>
            <w:vAlign w:val="center"/>
            <w:hideMark/>
          </w:tcPr>
          <w:p w14:paraId="1BB7948E" w14:textId="77777777" w:rsidR="008C02EC" w:rsidRPr="002E78D6" w:rsidRDefault="008C02EC" w:rsidP="00BF1BD7">
            <w:pPr>
              <w:rPr>
                <w:rFonts w:ascii="Arial" w:hAnsi="Arial" w:cs="Arial"/>
                <w:sz w:val="22"/>
                <w:szCs w:val="22"/>
              </w:rPr>
            </w:pPr>
            <w:r w:rsidRPr="002E78D6">
              <w:rPr>
                <w:rFonts w:ascii="Arial" w:hAnsi="Arial" w:cs="Arial"/>
                <w:b/>
                <w:bCs/>
                <w:sz w:val="22"/>
                <w:szCs w:val="22"/>
              </w:rPr>
              <w:t>Near-field (B)</w:t>
            </w:r>
          </w:p>
        </w:tc>
        <w:tc>
          <w:tcPr>
            <w:tcW w:w="1320" w:type="dxa"/>
            <w:vAlign w:val="center"/>
            <w:hideMark/>
          </w:tcPr>
          <w:p w14:paraId="6CCAD610"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3C8312C8" w14:textId="77777777" w:rsidR="008C02EC" w:rsidRPr="002E78D6" w:rsidRDefault="008C02EC" w:rsidP="00BF1BD7">
            <w:pPr>
              <w:rPr>
                <w:rFonts w:ascii="Arial" w:hAnsi="Arial" w:cs="Arial"/>
                <w:sz w:val="22"/>
                <w:szCs w:val="22"/>
              </w:rPr>
            </w:pPr>
            <w:r w:rsidRPr="002E78D6">
              <w:rPr>
                <w:rFonts w:ascii="Arial" w:hAnsi="Arial" w:cs="Arial"/>
                <w:sz w:val="22"/>
                <w:szCs w:val="22"/>
              </w:rPr>
              <w:t>0.003</w:t>
            </w:r>
          </w:p>
        </w:tc>
        <w:tc>
          <w:tcPr>
            <w:tcW w:w="0" w:type="auto"/>
            <w:vAlign w:val="center"/>
            <w:hideMark/>
          </w:tcPr>
          <w:p w14:paraId="0B745CF3" w14:textId="77777777" w:rsidR="008C02EC" w:rsidRPr="002E78D6" w:rsidRDefault="008C02EC" w:rsidP="00BF1BD7">
            <w:pPr>
              <w:rPr>
                <w:rFonts w:ascii="Arial" w:hAnsi="Arial" w:cs="Arial"/>
                <w:sz w:val="22"/>
                <w:szCs w:val="22"/>
              </w:rPr>
            </w:pPr>
            <w:r w:rsidRPr="002E78D6">
              <w:rPr>
                <w:rFonts w:ascii="Arial" w:hAnsi="Arial" w:cs="Arial"/>
                <w:sz w:val="22"/>
                <w:szCs w:val="22"/>
              </w:rPr>
              <w:t>0.117</w:t>
            </w:r>
          </w:p>
        </w:tc>
        <w:tc>
          <w:tcPr>
            <w:tcW w:w="0" w:type="auto"/>
            <w:vAlign w:val="center"/>
            <w:hideMark/>
          </w:tcPr>
          <w:p w14:paraId="0A1E8509" w14:textId="77777777" w:rsidR="008C02EC" w:rsidRPr="002E78D6" w:rsidRDefault="008C02EC" w:rsidP="00BF1BD7">
            <w:pPr>
              <w:rPr>
                <w:rFonts w:ascii="Arial" w:hAnsi="Arial" w:cs="Arial"/>
                <w:sz w:val="22"/>
                <w:szCs w:val="22"/>
              </w:rPr>
            </w:pPr>
            <w:r w:rsidRPr="002E78D6">
              <w:rPr>
                <w:rFonts w:ascii="Arial" w:hAnsi="Arial" w:cs="Arial"/>
                <w:sz w:val="22"/>
                <w:szCs w:val="22"/>
              </w:rPr>
              <w:t>0.009</w:t>
            </w:r>
          </w:p>
        </w:tc>
        <w:tc>
          <w:tcPr>
            <w:tcW w:w="0" w:type="auto"/>
            <w:vAlign w:val="center"/>
            <w:hideMark/>
          </w:tcPr>
          <w:p w14:paraId="4FE26AEF" w14:textId="77777777" w:rsidR="008C02EC" w:rsidRPr="002E78D6" w:rsidRDefault="008C02EC" w:rsidP="00BF1BD7">
            <w:pPr>
              <w:rPr>
                <w:rFonts w:ascii="Arial" w:hAnsi="Arial" w:cs="Arial"/>
                <w:sz w:val="22"/>
                <w:szCs w:val="22"/>
              </w:rPr>
            </w:pPr>
            <w:r w:rsidRPr="002E78D6">
              <w:rPr>
                <w:rFonts w:ascii="Arial" w:hAnsi="Arial" w:cs="Arial"/>
                <w:sz w:val="22"/>
                <w:szCs w:val="22"/>
              </w:rPr>
              <w:t>0.068</w:t>
            </w:r>
          </w:p>
        </w:tc>
        <w:tc>
          <w:tcPr>
            <w:tcW w:w="0" w:type="auto"/>
            <w:vAlign w:val="center"/>
            <w:hideMark/>
          </w:tcPr>
          <w:p w14:paraId="3C2D234C" w14:textId="77777777" w:rsidR="008C02EC" w:rsidRPr="002E78D6" w:rsidRDefault="008C02EC" w:rsidP="00BF1BD7">
            <w:pPr>
              <w:rPr>
                <w:rFonts w:ascii="Arial" w:hAnsi="Arial" w:cs="Arial"/>
                <w:sz w:val="22"/>
                <w:szCs w:val="22"/>
              </w:rPr>
            </w:pPr>
            <w:r w:rsidRPr="002E78D6">
              <w:rPr>
                <w:rFonts w:ascii="Arial" w:hAnsi="Arial" w:cs="Arial"/>
                <w:sz w:val="22"/>
                <w:szCs w:val="22"/>
              </w:rPr>
              <w:t>0.029</w:t>
            </w:r>
          </w:p>
        </w:tc>
      </w:tr>
      <w:tr w:rsidR="008C02EC" w:rsidRPr="002E78D6" w14:paraId="0EFBBEEE" w14:textId="77777777" w:rsidTr="00BF1BD7">
        <w:trPr>
          <w:trHeight w:val="525"/>
          <w:tblCellSpacing w:w="15" w:type="dxa"/>
        </w:trPr>
        <w:tc>
          <w:tcPr>
            <w:tcW w:w="2055" w:type="dxa"/>
            <w:vAlign w:val="center"/>
            <w:hideMark/>
          </w:tcPr>
          <w:p w14:paraId="3BBA6C05" w14:textId="77777777" w:rsidR="008C02EC" w:rsidRPr="002E78D6" w:rsidRDefault="008C02EC" w:rsidP="00BF1BD7">
            <w:pPr>
              <w:rPr>
                <w:rFonts w:ascii="Arial" w:hAnsi="Arial" w:cs="Arial"/>
                <w:sz w:val="22"/>
                <w:szCs w:val="22"/>
              </w:rPr>
            </w:pPr>
          </w:p>
        </w:tc>
        <w:tc>
          <w:tcPr>
            <w:tcW w:w="1320" w:type="dxa"/>
            <w:vAlign w:val="center"/>
            <w:hideMark/>
          </w:tcPr>
          <w:p w14:paraId="79CEC192"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0BE5025E" w14:textId="77777777" w:rsidR="008C02EC" w:rsidRPr="002E78D6" w:rsidRDefault="008C02EC" w:rsidP="00BF1BD7">
            <w:pPr>
              <w:rPr>
                <w:rFonts w:ascii="Arial" w:hAnsi="Arial" w:cs="Arial"/>
                <w:sz w:val="22"/>
                <w:szCs w:val="22"/>
              </w:rPr>
            </w:pPr>
            <w:r w:rsidRPr="002E78D6">
              <w:rPr>
                <w:rFonts w:ascii="Arial" w:hAnsi="Arial" w:cs="Arial"/>
                <w:sz w:val="22"/>
                <w:szCs w:val="22"/>
              </w:rPr>
              <w:t>ND-0.006</w:t>
            </w:r>
          </w:p>
        </w:tc>
        <w:tc>
          <w:tcPr>
            <w:tcW w:w="0" w:type="auto"/>
            <w:vAlign w:val="center"/>
            <w:hideMark/>
          </w:tcPr>
          <w:p w14:paraId="6B987B3B" w14:textId="77777777" w:rsidR="008C02EC" w:rsidRPr="002E78D6" w:rsidRDefault="008C02EC" w:rsidP="00BF1BD7">
            <w:pPr>
              <w:rPr>
                <w:rFonts w:ascii="Arial" w:hAnsi="Arial" w:cs="Arial"/>
                <w:sz w:val="22"/>
                <w:szCs w:val="22"/>
              </w:rPr>
            </w:pPr>
            <w:r w:rsidRPr="002E78D6">
              <w:rPr>
                <w:rFonts w:ascii="Arial" w:hAnsi="Arial" w:cs="Arial"/>
                <w:sz w:val="22"/>
                <w:szCs w:val="22"/>
              </w:rPr>
              <w:t>ND-0.254</w:t>
            </w:r>
          </w:p>
        </w:tc>
        <w:tc>
          <w:tcPr>
            <w:tcW w:w="0" w:type="auto"/>
            <w:vAlign w:val="center"/>
            <w:hideMark/>
          </w:tcPr>
          <w:p w14:paraId="53BC7148" w14:textId="77777777" w:rsidR="008C02EC" w:rsidRPr="002E78D6" w:rsidRDefault="008C02EC" w:rsidP="00BF1BD7">
            <w:pPr>
              <w:rPr>
                <w:rFonts w:ascii="Arial" w:hAnsi="Arial" w:cs="Arial"/>
                <w:sz w:val="22"/>
                <w:szCs w:val="22"/>
              </w:rPr>
            </w:pPr>
            <w:r w:rsidRPr="002E78D6">
              <w:rPr>
                <w:rFonts w:ascii="Arial" w:hAnsi="Arial" w:cs="Arial"/>
                <w:sz w:val="22"/>
                <w:szCs w:val="22"/>
              </w:rPr>
              <w:t>0.006-0.011</w:t>
            </w:r>
          </w:p>
        </w:tc>
        <w:tc>
          <w:tcPr>
            <w:tcW w:w="0" w:type="auto"/>
            <w:vAlign w:val="center"/>
            <w:hideMark/>
          </w:tcPr>
          <w:p w14:paraId="7F52B1E4" w14:textId="77777777" w:rsidR="008C02EC" w:rsidRPr="002E78D6" w:rsidRDefault="008C02EC" w:rsidP="00BF1BD7">
            <w:pPr>
              <w:rPr>
                <w:rFonts w:ascii="Arial" w:hAnsi="Arial" w:cs="Arial"/>
                <w:sz w:val="22"/>
                <w:szCs w:val="22"/>
              </w:rPr>
            </w:pPr>
            <w:r w:rsidRPr="002E78D6">
              <w:rPr>
                <w:rFonts w:ascii="Arial" w:hAnsi="Arial" w:cs="Arial"/>
                <w:sz w:val="22"/>
                <w:szCs w:val="22"/>
              </w:rPr>
              <w:t>0.062-0.077</w:t>
            </w:r>
          </w:p>
        </w:tc>
        <w:tc>
          <w:tcPr>
            <w:tcW w:w="0" w:type="auto"/>
            <w:vAlign w:val="center"/>
            <w:hideMark/>
          </w:tcPr>
          <w:p w14:paraId="227F76C2" w14:textId="77777777" w:rsidR="008C02EC" w:rsidRPr="002E78D6" w:rsidRDefault="008C02EC" w:rsidP="00BF1BD7">
            <w:pPr>
              <w:rPr>
                <w:rFonts w:ascii="Arial" w:hAnsi="Arial" w:cs="Arial"/>
                <w:sz w:val="22"/>
                <w:szCs w:val="22"/>
              </w:rPr>
            </w:pPr>
            <w:r w:rsidRPr="002E78D6">
              <w:rPr>
                <w:rFonts w:ascii="Arial" w:hAnsi="Arial" w:cs="Arial"/>
                <w:sz w:val="22"/>
                <w:szCs w:val="22"/>
              </w:rPr>
              <w:t>0.019-0.037</w:t>
            </w:r>
          </w:p>
        </w:tc>
      </w:tr>
      <w:tr w:rsidR="008C02EC" w:rsidRPr="002E78D6" w14:paraId="43802B01" w14:textId="77777777" w:rsidTr="00BF1BD7">
        <w:trPr>
          <w:trHeight w:val="509"/>
          <w:tblCellSpacing w:w="15" w:type="dxa"/>
        </w:trPr>
        <w:tc>
          <w:tcPr>
            <w:tcW w:w="2055" w:type="dxa"/>
            <w:vAlign w:val="center"/>
            <w:hideMark/>
          </w:tcPr>
          <w:p w14:paraId="6AD86AC1" w14:textId="77777777" w:rsidR="008C02EC" w:rsidRPr="002E78D6" w:rsidRDefault="008C02EC" w:rsidP="00BF1BD7">
            <w:pPr>
              <w:rPr>
                <w:rFonts w:ascii="Arial" w:hAnsi="Arial" w:cs="Arial"/>
                <w:sz w:val="22"/>
                <w:szCs w:val="22"/>
              </w:rPr>
            </w:pPr>
          </w:p>
        </w:tc>
        <w:tc>
          <w:tcPr>
            <w:tcW w:w="1320" w:type="dxa"/>
            <w:vAlign w:val="center"/>
            <w:hideMark/>
          </w:tcPr>
          <w:p w14:paraId="0B845418"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6E9AD86F" w14:textId="77777777" w:rsidR="008C02EC" w:rsidRPr="002E78D6" w:rsidRDefault="008C02EC" w:rsidP="00BF1BD7">
            <w:pPr>
              <w:rPr>
                <w:rFonts w:ascii="Arial" w:hAnsi="Arial" w:cs="Arial"/>
                <w:sz w:val="22"/>
                <w:szCs w:val="22"/>
              </w:rPr>
            </w:pPr>
            <w:r w:rsidRPr="002E78D6">
              <w:rPr>
                <w:rFonts w:ascii="Arial" w:hAnsi="Arial" w:cs="Arial"/>
                <w:sz w:val="22"/>
                <w:szCs w:val="22"/>
              </w:rPr>
              <w:t>0.003</w:t>
            </w:r>
          </w:p>
        </w:tc>
        <w:tc>
          <w:tcPr>
            <w:tcW w:w="0" w:type="auto"/>
            <w:vAlign w:val="center"/>
            <w:hideMark/>
          </w:tcPr>
          <w:p w14:paraId="456E119C" w14:textId="77777777" w:rsidR="008C02EC" w:rsidRPr="002E78D6" w:rsidRDefault="008C02EC" w:rsidP="00BF1BD7">
            <w:pPr>
              <w:rPr>
                <w:rFonts w:ascii="Arial" w:hAnsi="Arial" w:cs="Arial"/>
                <w:sz w:val="22"/>
                <w:szCs w:val="22"/>
              </w:rPr>
            </w:pPr>
            <w:r w:rsidRPr="002E78D6">
              <w:rPr>
                <w:rFonts w:ascii="Arial" w:hAnsi="Arial" w:cs="Arial"/>
                <w:sz w:val="22"/>
                <w:szCs w:val="22"/>
              </w:rPr>
              <w:t>0.136</w:t>
            </w:r>
          </w:p>
        </w:tc>
        <w:tc>
          <w:tcPr>
            <w:tcW w:w="0" w:type="auto"/>
            <w:vAlign w:val="center"/>
            <w:hideMark/>
          </w:tcPr>
          <w:p w14:paraId="2AA66E1B" w14:textId="77777777" w:rsidR="008C02EC" w:rsidRPr="002E78D6" w:rsidRDefault="008C02EC" w:rsidP="00BF1BD7">
            <w:pPr>
              <w:rPr>
                <w:rFonts w:ascii="Arial" w:hAnsi="Arial" w:cs="Arial"/>
                <w:sz w:val="22"/>
                <w:szCs w:val="22"/>
              </w:rPr>
            </w:pPr>
            <w:r w:rsidRPr="002E78D6">
              <w:rPr>
                <w:rFonts w:ascii="Arial" w:hAnsi="Arial" w:cs="Arial"/>
                <w:sz w:val="22"/>
                <w:szCs w:val="22"/>
              </w:rPr>
              <w:t>0.002</w:t>
            </w:r>
          </w:p>
        </w:tc>
        <w:tc>
          <w:tcPr>
            <w:tcW w:w="0" w:type="auto"/>
            <w:vAlign w:val="center"/>
            <w:hideMark/>
          </w:tcPr>
          <w:p w14:paraId="4DDAD2E1" w14:textId="77777777" w:rsidR="008C02EC" w:rsidRPr="002E78D6" w:rsidRDefault="008C02EC" w:rsidP="00BF1BD7">
            <w:pPr>
              <w:rPr>
                <w:rFonts w:ascii="Arial" w:hAnsi="Arial" w:cs="Arial"/>
                <w:sz w:val="22"/>
                <w:szCs w:val="22"/>
              </w:rPr>
            </w:pPr>
            <w:r w:rsidRPr="002E78D6">
              <w:rPr>
                <w:rFonts w:ascii="Arial" w:hAnsi="Arial" w:cs="Arial"/>
                <w:sz w:val="22"/>
                <w:szCs w:val="22"/>
              </w:rPr>
              <w:t>0.007</w:t>
            </w:r>
          </w:p>
        </w:tc>
        <w:tc>
          <w:tcPr>
            <w:tcW w:w="0" w:type="auto"/>
            <w:vAlign w:val="center"/>
            <w:hideMark/>
          </w:tcPr>
          <w:p w14:paraId="5ED8F01B" w14:textId="77777777" w:rsidR="008C02EC" w:rsidRPr="002E78D6" w:rsidRDefault="008C02EC" w:rsidP="00BF1BD7">
            <w:pPr>
              <w:rPr>
                <w:rFonts w:ascii="Arial" w:hAnsi="Arial" w:cs="Arial"/>
                <w:sz w:val="22"/>
                <w:szCs w:val="22"/>
              </w:rPr>
            </w:pPr>
            <w:r w:rsidRPr="002E78D6">
              <w:rPr>
                <w:rFonts w:ascii="Arial" w:hAnsi="Arial" w:cs="Arial"/>
                <w:sz w:val="22"/>
                <w:szCs w:val="22"/>
              </w:rPr>
              <w:t>0.007</w:t>
            </w:r>
          </w:p>
        </w:tc>
      </w:tr>
      <w:tr w:rsidR="008C02EC" w:rsidRPr="002E78D6" w14:paraId="33FE4634" w14:textId="77777777" w:rsidTr="00BF1BD7">
        <w:trPr>
          <w:trHeight w:val="509"/>
          <w:tblCellSpacing w:w="15" w:type="dxa"/>
        </w:trPr>
        <w:tc>
          <w:tcPr>
            <w:tcW w:w="2055" w:type="dxa"/>
            <w:vAlign w:val="center"/>
            <w:hideMark/>
          </w:tcPr>
          <w:p w14:paraId="26FE8E1F" w14:textId="77777777" w:rsidR="008C02EC" w:rsidRPr="002E78D6" w:rsidRDefault="008C02EC" w:rsidP="00BF1BD7">
            <w:pPr>
              <w:rPr>
                <w:rFonts w:ascii="Arial" w:hAnsi="Arial" w:cs="Arial"/>
                <w:sz w:val="22"/>
                <w:szCs w:val="22"/>
              </w:rPr>
            </w:pPr>
            <w:r w:rsidRPr="002E78D6">
              <w:rPr>
                <w:rFonts w:ascii="Arial" w:hAnsi="Arial" w:cs="Arial"/>
                <w:b/>
                <w:bCs/>
                <w:sz w:val="22"/>
                <w:szCs w:val="22"/>
              </w:rPr>
              <w:t>Far-field (C)</w:t>
            </w:r>
          </w:p>
        </w:tc>
        <w:tc>
          <w:tcPr>
            <w:tcW w:w="1320" w:type="dxa"/>
            <w:vAlign w:val="center"/>
            <w:hideMark/>
          </w:tcPr>
          <w:p w14:paraId="0E9EFD0D"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045EA1A2" w14:textId="77777777" w:rsidR="008C02EC" w:rsidRPr="002E78D6" w:rsidRDefault="008C02EC" w:rsidP="00BF1BD7">
            <w:pPr>
              <w:rPr>
                <w:rFonts w:ascii="Arial" w:hAnsi="Arial" w:cs="Arial"/>
                <w:sz w:val="22"/>
                <w:szCs w:val="22"/>
              </w:rPr>
            </w:pPr>
            <w:r w:rsidRPr="002E78D6">
              <w:rPr>
                <w:rFonts w:ascii="Arial" w:hAnsi="Arial" w:cs="Arial"/>
                <w:sz w:val="22"/>
                <w:szCs w:val="22"/>
              </w:rPr>
              <w:t>0.024</w:t>
            </w:r>
          </w:p>
        </w:tc>
        <w:tc>
          <w:tcPr>
            <w:tcW w:w="0" w:type="auto"/>
            <w:vAlign w:val="center"/>
            <w:hideMark/>
          </w:tcPr>
          <w:p w14:paraId="3D6B8963" w14:textId="77777777" w:rsidR="008C02EC" w:rsidRPr="002E78D6" w:rsidRDefault="008C02EC" w:rsidP="00BF1BD7">
            <w:pPr>
              <w:rPr>
                <w:rFonts w:ascii="Arial" w:hAnsi="Arial" w:cs="Arial"/>
                <w:sz w:val="22"/>
                <w:szCs w:val="22"/>
              </w:rPr>
            </w:pPr>
            <w:r w:rsidRPr="002E78D6">
              <w:rPr>
                <w:rFonts w:ascii="Arial" w:hAnsi="Arial" w:cs="Arial"/>
                <w:sz w:val="22"/>
                <w:szCs w:val="22"/>
              </w:rPr>
              <w:t>0.132</w:t>
            </w:r>
          </w:p>
        </w:tc>
        <w:tc>
          <w:tcPr>
            <w:tcW w:w="0" w:type="auto"/>
            <w:vAlign w:val="center"/>
            <w:hideMark/>
          </w:tcPr>
          <w:p w14:paraId="61826405" w14:textId="77777777" w:rsidR="008C02EC" w:rsidRPr="002E78D6" w:rsidRDefault="008C02EC" w:rsidP="00BF1BD7">
            <w:pPr>
              <w:rPr>
                <w:rFonts w:ascii="Arial" w:hAnsi="Arial" w:cs="Arial"/>
                <w:sz w:val="22"/>
                <w:szCs w:val="22"/>
              </w:rPr>
            </w:pPr>
            <w:r w:rsidRPr="002E78D6">
              <w:rPr>
                <w:rFonts w:ascii="Arial" w:hAnsi="Arial" w:cs="Arial"/>
                <w:sz w:val="22"/>
                <w:szCs w:val="22"/>
              </w:rPr>
              <w:t>0.020</w:t>
            </w:r>
          </w:p>
        </w:tc>
        <w:tc>
          <w:tcPr>
            <w:tcW w:w="0" w:type="auto"/>
            <w:vAlign w:val="center"/>
            <w:hideMark/>
          </w:tcPr>
          <w:p w14:paraId="6243F17A" w14:textId="77777777" w:rsidR="008C02EC" w:rsidRPr="002E78D6" w:rsidRDefault="008C02EC" w:rsidP="00BF1BD7">
            <w:pPr>
              <w:rPr>
                <w:rFonts w:ascii="Arial" w:hAnsi="Arial" w:cs="Arial"/>
                <w:sz w:val="22"/>
                <w:szCs w:val="22"/>
              </w:rPr>
            </w:pPr>
            <w:r w:rsidRPr="002E78D6">
              <w:rPr>
                <w:rFonts w:ascii="Arial" w:hAnsi="Arial" w:cs="Arial"/>
                <w:sz w:val="22"/>
                <w:szCs w:val="22"/>
              </w:rPr>
              <w:t>0.073</w:t>
            </w:r>
          </w:p>
        </w:tc>
        <w:tc>
          <w:tcPr>
            <w:tcW w:w="0" w:type="auto"/>
            <w:vAlign w:val="center"/>
            <w:hideMark/>
          </w:tcPr>
          <w:p w14:paraId="6393B11B" w14:textId="77777777" w:rsidR="008C02EC" w:rsidRPr="002E78D6" w:rsidRDefault="008C02EC" w:rsidP="00BF1BD7">
            <w:pPr>
              <w:rPr>
                <w:rFonts w:ascii="Arial" w:hAnsi="Arial" w:cs="Arial"/>
                <w:sz w:val="22"/>
                <w:szCs w:val="22"/>
              </w:rPr>
            </w:pPr>
            <w:r w:rsidRPr="002E78D6">
              <w:rPr>
                <w:rFonts w:ascii="Arial" w:hAnsi="Arial" w:cs="Arial"/>
                <w:sz w:val="22"/>
                <w:szCs w:val="22"/>
              </w:rPr>
              <w:t>0.559</w:t>
            </w:r>
          </w:p>
        </w:tc>
      </w:tr>
      <w:tr w:rsidR="008C02EC" w:rsidRPr="002E78D6" w14:paraId="2810F80F" w14:textId="77777777" w:rsidTr="00BF1BD7">
        <w:trPr>
          <w:trHeight w:val="525"/>
          <w:tblCellSpacing w:w="15" w:type="dxa"/>
        </w:trPr>
        <w:tc>
          <w:tcPr>
            <w:tcW w:w="2055" w:type="dxa"/>
            <w:vAlign w:val="center"/>
            <w:hideMark/>
          </w:tcPr>
          <w:p w14:paraId="3CD81A39" w14:textId="77777777" w:rsidR="008C02EC" w:rsidRPr="002E78D6" w:rsidRDefault="008C02EC" w:rsidP="00BF1BD7">
            <w:pPr>
              <w:rPr>
                <w:rFonts w:ascii="Arial" w:hAnsi="Arial" w:cs="Arial"/>
                <w:sz w:val="22"/>
                <w:szCs w:val="22"/>
              </w:rPr>
            </w:pPr>
          </w:p>
        </w:tc>
        <w:tc>
          <w:tcPr>
            <w:tcW w:w="1320" w:type="dxa"/>
            <w:vAlign w:val="center"/>
            <w:hideMark/>
          </w:tcPr>
          <w:p w14:paraId="4972D4AC"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5555ADC3" w14:textId="77777777" w:rsidR="008C02EC" w:rsidRPr="002E78D6" w:rsidRDefault="008C02EC" w:rsidP="00BF1BD7">
            <w:pPr>
              <w:rPr>
                <w:rFonts w:ascii="Arial" w:hAnsi="Arial" w:cs="Arial"/>
                <w:sz w:val="22"/>
                <w:szCs w:val="22"/>
              </w:rPr>
            </w:pPr>
            <w:r w:rsidRPr="002E78D6">
              <w:rPr>
                <w:rFonts w:ascii="Arial" w:hAnsi="Arial" w:cs="Arial"/>
                <w:sz w:val="22"/>
                <w:szCs w:val="22"/>
              </w:rPr>
              <w:t>ND-0.054</w:t>
            </w:r>
          </w:p>
        </w:tc>
        <w:tc>
          <w:tcPr>
            <w:tcW w:w="0" w:type="auto"/>
            <w:vAlign w:val="center"/>
            <w:hideMark/>
          </w:tcPr>
          <w:p w14:paraId="52F80587" w14:textId="77777777" w:rsidR="008C02EC" w:rsidRPr="002E78D6" w:rsidRDefault="008C02EC" w:rsidP="00BF1BD7">
            <w:pPr>
              <w:rPr>
                <w:rFonts w:ascii="Arial" w:hAnsi="Arial" w:cs="Arial"/>
                <w:sz w:val="22"/>
                <w:szCs w:val="22"/>
              </w:rPr>
            </w:pPr>
            <w:r w:rsidRPr="002E78D6">
              <w:rPr>
                <w:rFonts w:ascii="Arial" w:hAnsi="Arial" w:cs="Arial"/>
                <w:sz w:val="22"/>
                <w:szCs w:val="22"/>
              </w:rPr>
              <w:t>0.071-0.196</w:t>
            </w:r>
          </w:p>
        </w:tc>
        <w:tc>
          <w:tcPr>
            <w:tcW w:w="0" w:type="auto"/>
            <w:vAlign w:val="center"/>
            <w:hideMark/>
          </w:tcPr>
          <w:p w14:paraId="0FF8F745" w14:textId="77777777" w:rsidR="008C02EC" w:rsidRPr="002E78D6" w:rsidRDefault="008C02EC" w:rsidP="00BF1BD7">
            <w:pPr>
              <w:rPr>
                <w:rFonts w:ascii="Arial" w:hAnsi="Arial" w:cs="Arial"/>
                <w:sz w:val="22"/>
                <w:szCs w:val="22"/>
              </w:rPr>
            </w:pPr>
            <w:r w:rsidRPr="002E78D6">
              <w:rPr>
                <w:rFonts w:ascii="Arial" w:hAnsi="Arial" w:cs="Arial"/>
                <w:sz w:val="22"/>
                <w:szCs w:val="22"/>
              </w:rPr>
              <w:t>0.001-0.042</w:t>
            </w:r>
          </w:p>
        </w:tc>
        <w:tc>
          <w:tcPr>
            <w:tcW w:w="0" w:type="auto"/>
            <w:vAlign w:val="center"/>
            <w:hideMark/>
          </w:tcPr>
          <w:p w14:paraId="5D32C2C5" w14:textId="77777777" w:rsidR="008C02EC" w:rsidRPr="002E78D6" w:rsidRDefault="008C02EC" w:rsidP="00BF1BD7">
            <w:pPr>
              <w:rPr>
                <w:rFonts w:ascii="Arial" w:hAnsi="Arial" w:cs="Arial"/>
                <w:sz w:val="22"/>
                <w:szCs w:val="22"/>
              </w:rPr>
            </w:pPr>
            <w:r w:rsidRPr="002E78D6">
              <w:rPr>
                <w:rFonts w:ascii="Arial" w:hAnsi="Arial" w:cs="Arial"/>
                <w:sz w:val="22"/>
                <w:szCs w:val="22"/>
              </w:rPr>
              <w:t>0.045-0.106</w:t>
            </w:r>
          </w:p>
        </w:tc>
        <w:tc>
          <w:tcPr>
            <w:tcW w:w="0" w:type="auto"/>
            <w:vAlign w:val="center"/>
            <w:hideMark/>
          </w:tcPr>
          <w:p w14:paraId="7F66DBF3" w14:textId="77777777" w:rsidR="008C02EC" w:rsidRPr="002E78D6" w:rsidRDefault="008C02EC" w:rsidP="00BF1BD7">
            <w:pPr>
              <w:rPr>
                <w:rFonts w:ascii="Arial" w:hAnsi="Arial" w:cs="Arial"/>
                <w:sz w:val="22"/>
                <w:szCs w:val="22"/>
              </w:rPr>
            </w:pPr>
            <w:r w:rsidRPr="002E78D6">
              <w:rPr>
                <w:rFonts w:ascii="Arial" w:hAnsi="Arial" w:cs="Arial"/>
                <w:sz w:val="22"/>
                <w:szCs w:val="22"/>
              </w:rPr>
              <w:t>0.070-1.056</w:t>
            </w:r>
          </w:p>
        </w:tc>
      </w:tr>
      <w:tr w:rsidR="008C02EC" w:rsidRPr="002E78D6" w14:paraId="4515649F" w14:textId="77777777" w:rsidTr="00BF1BD7">
        <w:trPr>
          <w:trHeight w:val="509"/>
          <w:tblCellSpacing w:w="15" w:type="dxa"/>
        </w:trPr>
        <w:tc>
          <w:tcPr>
            <w:tcW w:w="2055" w:type="dxa"/>
            <w:vAlign w:val="center"/>
            <w:hideMark/>
          </w:tcPr>
          <w:p w14:paraId="2E0917D0" w14:textId="77777777" w:rsidR="008C02EC" w:rsidRPr="002E78D6" w:rsidRDefault="008C02EC" w:rsidP="00BF1BD7">
            <w:pPr>
              <w:rPr>
                <w:rFonts w:ascii="Arial" w:hAnsi="Arial" w:cs="Arial"/>
                <w:sz w:val="22"/>
                <w:szCs w:val="22"/>
              </w:rPr>
            </w:pPr>
          </w:p>
        </w:tc>
        <w:tc>
          <w:tcPr>
            <w:tcW w:w="1320" w:type="dxa"/>
            <w:vAlign w:val="center"/>
            <w:hideMark/>
          </w:tcPr>
          <w:p w14:paraId="2DE36187"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07213F27" w14:textId="77777777" w:rsidR="008C02EC" w:rsidRPr="002E78D6" w:rsidRDefault="008C02EC" w:rsidP="00BF1BD7">
            <w:pPr>
              <w:rPr>
                <w:rFonts w:ascii="Arial" w:hAnsi="Arial" w:cs="Arial"/>
                <w:sz w:val="22"/>
                <w:szCs w:val="22"/>
              </w:rPr>
            </w:pPr>
            <w:r w:rsidRPr="002E78D6">
              <w:rPr>
                <w:rFonts w:ascii="Arial" w:hAnsi="Arial" w:cs="Arial"/>
                <w:sz w:val="22"/>
                <w:szCs w:val="22"/>
              </w:rPr>
              <w:t>0.028</w:t>
            </w:r>
          </w:p>
        </w:tc>
        <w:tc>
          <w:tcPr>
            <w:tcW w:w="0" w:type="auto"/>
            <w:vAlign w:val="center"/>
            <w:hideMark/>
          </w:tcPr>
          <w:p w14:paraId="21807D1B" w14:textId="77777777" w:rsidR="008C02EC" w:rsidRPr="002E78D6" w:rsidRDefault="008C02EC" w:rsidP="00BF1BD7">
            <w:pPr>
              <w:rPr>
                <w:rFonts w:ascii="Arial" w:hAnsi="Arial" w:cs="Arial"/>
                <w:sz w:val="22"/>
                <w:szCs w:val="22"/>
              </w:rPr>
            </w:pPr>
            <w:r w:rsidRPr="002E78D6">
              <w:rPr>
                <w:rFonts w:ascii="Arial" w:hAnsi="Arial" w:cs="Arial"/>
                <w:sz w:val="22"/>
                <w:szCs w:val="22"/>
              </w:rPr>
              <w:t>0.066</w:t>
            </w:r>
          </w:p>
        </w:tc>
        <w:tc>
          <w:tcPr>
            <w:tcW w:w="0" w:type="auto"/>
            <w:vAlign w:val="center"/>
            <w:hideMark/>
          </w:tcPr>
          <w:p w14:paraId="594C48A7" w14:textId="77777777" w:rsidR="008C02EC" w:rsidRPr="002E78D6" w:rsidRDefault="008C02EC" w:rsidP="00BF1BD7">
            <w:pPr>
              <w:rPr>
                <w:rFonts w:ascii="Arial" w:hAnsi="Arial" w:cs="Arial"/>
                <w:sz w:val="22"/>
                <w:szCs w:val="22"/>
              </w:rPr>
            </w:pPr>
            <w:r w:rsidRPr="002E78D6">
              <w:rPr>
                <w:rFonts w:ascii="Arial" w:hAnsi="Arial" w:cs="Arial"/>
                <w:sz w:val="22"/>
                <w:szCs w:val="22"/>
              </w:rPr>
              <w:t>0.021</w:t>
            </w:r>
          </w:p>
        </w:tc>
        <w:tc>
          <w:tcPr>
            <w:tcW w:w="0" w:type="auto"/>
            <w:vAlign w:val="center"/>
            <w:hideMark/>
          </w:tcPr>
          <w:p w14:paraId="5E8C1252" w14:textId="77777777" w:rsidR="008C02EC" w:rsidRPr="002E78D6" w:rsidRDefault="008C02EC" w:rsidP="00BF1BD7">
            <w:pPr>
              <w:rPr>
                <w:rFonts w:ascii="Arial" w:hAnsi="Arial" w:cs="Arial"/>
                <w:sz w:val="22"/>
                <w:szCs w:val="22"/>
              </w:rPr>
            </w:pPr>
            <w:r w:rsidRPr="002E78D6">
              <w:rPr>
                <w:rFonts w:ascii="Arial" w:hAnsi="Arial" w:cs="Arial"/>
                <w:sz w:val="22"/>
                <w:szCs w:val="22"/>
              </w:rPr>
              <w:t>0.029</w:t>
            </w:r>
          </w:p>
        </w:tc>
        <w:tc>
          <w:tcPr>
            <w:tcW w:w="0" w:type="auto"/>
            <w:vAlign w:val="center"/>
            <w:hideMark/>
          </w:tcPr>
          <w:p w14:paraId="3EA7C3F5" w14:textId="77777777" w:rsidR="008C02EC" w:rsidRPr="002E78D6" w:rsidRDefault="008C02EC" w:rsidP="00BF1BD7">
            <w:pPr>
              <w:rPr>
                <w:rFonts w:ascii="Arial" w:hAnsi="Arial" w:cs="Arial"/>
                <w:sz w:val="22"/>
                <w:szCs w:val="22"/>
              </w:rPr>
            </w:pPr>
            <w:r w:rsidRPr="002E78D6">
              <w:rPr>
                <w:rFonts w:ascii="Arial" w:hAnsi="Arial" w:cs="Arial"/>
                <w:sz w:val="22"/>
                <w:szCs w:val="22"/>
              </w:rPr>
              <w:t>0.555</w:t>
            </w:r>
          </w:p>
        </w:tc>
      </w:tr>
      <w:tr w:rsidR="008C02EC" w:rsidRPr="002E78D6" w14:paraId="1A9CB9F7" w14:textId="77777777" w:rsidTr="00BF1BD7">
        <w:trPr>
          <w:trHeight w:val="509"/>
          <w:tblCellSpacing w:w="15" w:type="dxa"/>
        </w:trPr>
        <w:tc>
          <w:tcPr>
            <w:tcW w:w="2055" w:type="dxa"/>
            <w:vAlign w:val="center"/>
            <w:hideMark/>
          </w:tcPr>
          <w:p w14:paraId="60C200B3" w14:textId="77777777" w:rsidR="008C02EC" w:rsidRPr="002E78D6" w:rsidRDefault="008C02EC" w:rsidP="00BF1BD7">
            <w:pPr>
              <w:rPr>
                <w:rFonts w:ascii="Arial" w:hAnsi="Arial" w:cs="Arial"/>
                <w:sz w:val="22"/>
                <w:szCs w:val="22"/>
              </w:rPr>
            </w:pPr>
            <w:r w:rsidRPr="002E78D6">
              <w:rPr>
                <w:rFonts w:ascii="Arial" w:hAnsi="Arial" w:cs="Arial"/>
                <w:b/>
                <w:bCs/>
                <w:sz w:val="22"/>
                <w:szCs w:val="22"/>
              </w:rPr>
              <w:t>Control (F)</w:t>
            </w:r>
          </w:p>
        </w:tc>
        <w:tc>
          <w:tcPr>
            <w:tcW w:w="1320" w:type="dxa"/>
            <w:vAlign w:val="center"/>
            <w:hideMark/>
          </w:tcPr>
          <w:p w14:paraId="0DA1C42C"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11EF8A1A" w14:textId="77777777" w:rsidR="008C02EC" w:rsidRPr="002E78D6" w:rsidRDefault="008C02EC" w:rsidP="00BF1BD7">
            <w:pPr>
              <w:rPr>
                <w:rFonts w:ascii="Arial" w:hAnsi="Arial" w:cs="Arial"/>
                <w:sz w:val="22"/>
                <w:szCs w:val="22"/>
              </w:rPr>
            </w:pPr>
            <w:r w:rsidRPr="002E78D6">
              <w:rPr>
                <w:rFonts w:ascii="Arial" w:hAnsi="Arial" w:cs="Arial"/>
                <w:sz w:val="22"/>
                <w:szCs w:val="22"/>
              </w:rPr>
              <w:t>0.004</w:t>
            </w:r>
          </w:p>
        </w:tc>
        <w:tc>
          <w:tcPr>
            <w:tcW w:w="0" w:type="auto"/>
            <w:vAlign w:val="center"/>
            <w:hideMark/>
          </w:tcPr>
          <w:p w14:paraId="2D91D12D" w14:textId="77777777" w:rsidR="008C02EC" w:rsidRPr="002E78D6" w:rsidRDefault="008C02EC" w:rsidP="00BF1BD7">
            <w:pPr>
              <w:rPr>
                <w:rFonts w:ascii="Arial" w:hAnsi="Arial" w:cs="Arial"/>
                <w:sz w:val="22"/>
                <w:szCs w:val="22"/>
              </w:rPr>
            </w:pPr>
            <w:r w:rsidRPr="002E78D6">
              <w:rPr>
                <w:rFonts w:ascii="Arial" w:hAnsi="Arial" w:cs="Arial"/>
                <w:sz w:val="22"/>
                <w:szCs w:val="22"/>
              </w:rPr>
              <w:t>0.020</w:t>
            </w:r>
          </w:p>
        </w:tc>
        <w:tc>
          <w:tcPr>
            <w:tcW w:w="0" w:type="auto"/>
            <w:vAlign w:val="center"/>
            <w:hideMark/>
          </w:tcPr>
          <w:p w14:paraId="4E127AFF" w14:textId="77777777" w:rsidR="008C02EC" w:rsidRPr="002E78D6" w:rsidRDefault="008C02EC" w:rsidP="00BF1BD7">
            <w:pPr>
              <w:rPr>
                <w:rFonts w:ascii="Arial" w:hAnsi="Arial" w:cs="Arial"/>
                <w:sz w:val="22"/>
                <w:szCs w:val="22"/>
              </w:rPr>
            </w:pPr>
            <w:r w:rsidRPr="002E78D6">
              <w:rPr>
                <w:rFonts w:ascii="Arial" w:hAnsi="Arial" w:cs="Arial"/>
                <w:sz w:val="22"/>
                <w:szCs w:val="22"/>
              </w:rPr>
              <w:t>0.012</w:t>
            </w:r>
          </w:p>
        </w:tc>
        <w:tc>
          <w:tcPr>
            <w:tcW w:w="0" w:type="auto"/>
            <w:vAlign w:val="center"/>
            <w:hideMark/>
          </w:tcPr>
          <w:p w14:paraId="360565B3" w14:textId="77777777" w:rsidR="008C02EC" w:rsidRPr="002E78D6" w:rsidRDefault="008C02EC" w:rsidP="00BF1BD7">
            <w:pPr>
              <w:rPr>
                <w:rFonts w:ascii="Arial" w:hAnsi="Arial" w:cs="Arial"/>
                <w:sz w:val="22"/>
                <w:szCs w:val="22"/>
              </w:rPr>
            </w:pPr>
            <w:r w:rsidRPr="002E78D6">
              <w:rPr>
                <w:rFonts w:ascii="Arial" w:hAnsi="Arial" w:cs="Arial"/>
                <w:sz w:val="22"/>
                <w:szCs w:val="22"/>
              </w:rPr>
              <w:t>0.039</w:t>
            </w:r>
          </w:p>
        </w:tc>
        <w:tc>
          <w:tcPr>
            <w:tcW w:w="0" w:type="auto"/>
            <w:vAlign w:val="center"/>
            <w:hideMark/>
          </w:tcPr>
          <w:p w14:paraId="081B4E6F" w14:textId="77777777" w:rsidR="008C02EC" w:rsidRPr="002E78D6" w:rsidRDefault="008C02EC" w:rsidP="00BF1BD7">
            <w:pPr>
              <w:rPr>
                <w:rFonts w:ascii="Arial" w:hAnsi="Arial" w:cs="Arial"/>
                <w:sz w:val="22"/>
                <w:szCs w:val="22"/>
              </w:rPr>
            </w:pPr>
            <w:r w:rsidRPr="002E78D6">
              <w:rPr>
                <w:rFonts w:ascii="Arial" w:hAnsi="Arial" w:cs="Arial"/>
                <w:sz w:val="22"/>
                <w:szCs w:val="22"/>
              </w:rPr>
              <w:t>0.042</w:t>
            </w:r>
          </w:p>
        </w:tc>
      </w:tr>
      <w:tr w:rsidR="008C02EC" w:rsidRPr="002E78D6" w14:paraId="6C0347A8" w14:textId="77777777" w:rsidTr="00BF1BD7">
        <w:trPr>
          <w:trHeight w:val="509"/>
          <w:tblCellSpacing w:w="15" w:type="dxa"/>
        </w:trPr>
        <w:tc>
          <w:tcPr>
            <w:tcW w:w="2055" w:type="dxa"/>
            <w:vAlign w:val="center"/>
            <w:hideMark/>
          </w:tcPr>
          <w:p w14:paraId="0996F0B5" w14:textId="77777777" w:rsidR="008C02EC" w:rsidRPr="002E78D6" w:rsidRDefault="008C02EC" w:rsidP="00BF1BD7">
            <w:pPr>
              <w:rPr>
                <w:rFonts w:ascii="Arial" w:hAnsi="Arial" w:cs="Arial"/>
                <w:sz w:val="22"/>
                <w:szCs w:val="22"/>
              </w:rPr>
            </w:pPr>
          </w:p>
        </w:tc>
        <w:tc>
          <w:tcPr>
            <w:tcW w:w="1320" w:type="dxa"/>
            <w:vAlign w:val="center"/>
            <w:hideMark/>
          </w:tcPr>
          <w:p w14:paraId="7E9CF72A"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66C2F4ED" w14:textId="77777777" w:rsidR="008C02EC" w:rsidRPr="002E78D6" w:rsidRDefault="008C02EC" w:rsidP="00BF1BD7">
            <w:pPr>
              <w:rPr>
                <w:rFonts w:ascii="Arial" w:hAnsi="Arial" w:cs="Arial"/>
                <w:sz w:val="22"/>
                <w:szCs w:val="22"/>
              </w:rPr>
            </w:pPr>
            <w:r w:rsidRPr="002E78D6">
              <w:rPr>
                <w:rFonts w:ascii="Arial" w:hAnsi="Arial" w:cs="Arial"/>
                <w:sz w:val="22"/>
                <w:szCs w:val="22"/>
              </w:rPr>
              <w:t>ND-0.010</w:t>
            </w:r>
          </w:p>
        </w:tc>
        <w:tc>
          <w:tcPr>
            <w:tcW w:w="0" w:type="auto"/>
            <w:vAlign w:val="center"/>
            <w:hideMark/>
          </w:tcPr>
          <w:p w14:paraId="603B0CE0" w14:textId="77777777" w:rsidR="008C02EC" w:rsidRPr="002E78D6" w:rsidRDefault="008C02EC" w:rsidP="00BF1BD7">
            <w:pPr>
              <w:rPr>
                <w:rFonts w:ascii="Arial" w:hAnsi="Arial" w:cs="Arial"/>
                <w:sz w:val="22"/>
                <w:szCs w:val="22"/>
              </w:rPr>
            </w:pPr>
            <w:r w:rsidRPr="002E78D6">
              <w:rPr>
                <w:rFonts w:ascii="Arial" w:hAnsi="Arial" w:cs="Arial"/>
                <w:sz w:val="22"/>
                <w:szCs w:val="22"/>
              </w:rPr>
              <w:t>0.014-0.028</w:t>
            </w:r>
          </w:p>
        </w:tc>
        <w:tc>
          <w:tcPr>
            <w:tcW w:w="0" w:type="auto"/>
            <w:vAlign w:val="center"/>
            <w:hideMark/>
          </w:tcPr>
          <w:p w14:paraId="5469D2FA" w14:textId="77777777" w:rsidR="008C02EC" w:rsidRPr="002E78D6" w:rsidRDefault="008C02EC" w:rsidP="00BF1BD7">
            <w:pPr>
              <w:rPr>
                <w:rFonts w:ascii="Arial" w:hAnsi="Arial" w:cs="Arial"/>
                <w:sz w:val="22"/>
                <w:szCs w:val="22"/>
              </w:rPr>
            </w:pPr>
            <w:r w:rsidRPr="002E78D6">
              <w:rPr>
                <w:rFonts w:ascii="Arial" w:hAnsi="Arial" w:cs="Arial"/>
                <w:sz w:val="22"/>
                <w:szCs w:val="22"/>
              </w:rPr>
              <w:t>0.002-0.019</w:t>
            </w:r>
          </w:p>
        </w:tc>
        <w:tc>
          <w:tcPr>
            <w:tcW w:w="0" w:type="auto"/>
            <w:vAlign w:val="center"/>
            <w:hideMark/>
          </w:tcPr>
          <w:p w14:paraId="7ACFA658" w14:textId="77777777" w:rsidR="008C02EC" w:rsidRPr="002E78D6" w:rsidRDefault="008C02EC" w:rsidP="00BF1BD7">
            <w:pPr>
              <w:rPr>
                <w:rFonts w:ascii="Arial" w:hAnsi="Arial" w:cs="Arial"/>
                <w:sz w:val="22"/>
                <w:szCs w:val="22"/>
              </w:rPr>
            </w:pPr>
            <w:r w:rsidRPr="002E78D6">
              <w:rPr>
                <w:rFonts w:ascii="Arial" w:hAnsi="Arial" w:cs="Arial"/>
                <w:sz w:val="22"/>
                <w:szCs w:val="22"/>
              </w:rPr>
              <w:t>0.016-0.062</w:t>
            </w:r>
          </w:p>
        </w:tc>
        <w:tc>
          <w:tcPr>
            <w:tcW w:w="0" w:type="auto"/>
            <w:vAlign w:val="center"/>
            <w:hideMark/>
          </w:tcPr>
          <w:p w14:paraId="0B2D82E5" w14:textId="77777777" w:rsidR="008C02EC" w:rsidRPr="002E78D6" w:rsidRDefault="008C02EC" w:rsidP="00BF1BD7">
            <w:pPr>
              <w:rPr>
                <w:rFonts w:ascii="Arial" w:hAnsi="Arial" w:cs="Arial"/>
                <w:sz w:val="22"/>
                <w:szCs w:val="22"/>
              </w:rPr>
            </w:pPr>
            <w:r w:rsidRPr="002E78D6">
              <w:rPr>
                <w:rFonts w:ascii="Arial" w:hAnsi="Arial" w:cs="Arial"/>
                <w:sz w:val="22"/>
                <w:szCs w:val="22"/>
              </w:rPr>
              <w:t>0.035-0.049</w:t>
            </w:r>
          </w:p>
        </w:tc>
      </w:tr>
      <w:tr w:rsidR="008C02EC" w:rsidRPr="002E78D6" w14:paraId="791DAE2A" w14:textId="77777777" w:rsidTr="00BF1BD7">
        <w:trPr>
          <w:trHeight w:val="525"/>
          <w:tblCellSpacing w:w="15" w:type="dxa"/>
        </w:trPr>
        <w:tc>
          <w:tcPr>
            <w:tcW w:w="2055" w:type="dxa"/>
            <w:tcBorders>
              <w:bottom w:val="single" w:sz="4" w:space="0" w:color="auto"/>
            </w:tcBorders>
            <w:vAlign w:val="center"/>
            <w:hideMark/>
          </w:tcPr>
          <w:p w14:paraId="54E0E846" w14:textId="77777777" w:rsidR="008C02EC" w:rsidRPr="002E78D6" w:rsidRDefault="008C02EC" w:rsidP="00BF1BD7">
            <w:pPr>
              <w:rPr>
                <w:rFonts w:ascii="Arial" w:hAnsi="Arial" w:cs="Arial"/>
                <w:sz w:val="22"/>
                <w:szCs w:val="22"/>
              </w:rPr>
            </w:pPr>
          </w:p>
        </w:tc>
        <w:tc>
          <w:tcPr>
            <w:tcW w:w="1320" w:type="dxa"/>
            <w:tcBorders>
              <w:bottom w:val="single" w:sz="4" w:space="0" w:color="auto"/>
            </w:tcBorders>
            <w:vAlign w:val="center"/>
            <w:hideMark/>
          </w:tcPr>
          <w:p w14:paraId="533BA32A"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tcBorders>
              <w:bottom w:val="single" w:sz="4" w:space="0" w:color="auto"/>
            </w:tcBorders>
            <w:vAlign w:val="center"/>
            <w:hideMark/>
          </w:tcPr>
          <w:p w14:paraId="31EF6504" w14:textId="77777777" w:rsidR="008C02EC" w:rsidRPr="002E78D6" w:rsidRDefault="008C02EC" w:rsidP="00BF1BD7">
            <w:pPr>
              <w:rPr>
                <w:rFonts w:ascii="Arial" w:hAnsi="Arial" w:cs="Arial"/>
                <w:sz w:val="22"/>
                <w:szCs w:val="22"/>
              </w:rPr>
            </w:pPr>
            <w:r w:rsidRPr="002E78D6">
              <w:rPr>
                <w:rFonts w:ascii="Arial" w:hAnsi="Arial" w:cs="Arial"/>
                <w:sz w:val="22"/>
                <w:szCs w:val="22"/>
              </w:rPr>
              <w:t>0.005</w:t>
            </w:r>
          </w:p>
        </w:tc>
        <w:tc>
          <w:tcPr>
            <w:tcW w:w="0" w:type="auto"/>
            <w:tcBorders>
              <w:bottom w:val="single" w:sz="4" w:space="0" w:color="auto"/>
            </w:tcBorders>
            <w:vAlign w:val="center"/>
            <w:hideMark/>
          </w:tcPr>
          <w:p w14:paraId="48030D5D" w14:textId="77777777" w:rsidR="008C02EC" w:rsidRPr="002E78D6" w:rsidRDefault="008C02EC" w:rsidP="00BF1BD7">
            <w:pPr>
              <w:rPr>
                <w:rFonts w:ascii="Arial" w:hAnsi="Arial" w:cs="Arial"/>
                <w:sz w:val="22"/>
                <w:szCs w:val="22"/>
              </w:rPr>
            </w:pPr>
            <w:r w:rsidRPr="002E78D6">
              <w:rPr>
                <w:rFonts w:ascii="Arial" w:hAnsi="Arial" w:cs="Arial"/>
                <w:sz w:val="22"/>
                <w:szCs w:val="22"/>
              </w:rPr>
              <w:t>0.006</w:t>
            </w:r>
          </w:p>
        </w:tc>
        <w:tc>
          <w:tcPr>
            <w:tcW w:w="0" w:type="auto"/>
            <w:tcBorders>
              <w:bottom w:val="single" w:sz="4" w:space="0" w:color="auto"/>
            </w:tcBorders>
            <w:vAlign w:val="center"/>
            <w:hideMark/>
          </w:tcPr>
          <w:p w14:paraId="38248A7E" w14:textId="77777777" w:rsidR="008C02EC" w:rsidRPr="002E78D6" w:rsidRDefault="008C02EC" w:rsidP="00BF1BD7">
            <w:pPr>
              <w:rPr>
                <w:rFonts w:ascii="Arial" w:hAnsi="Arial" w:cs="Arial"/>
                <w:sz w:val="22"/>
                <w:szCs w:val="22"/>
              </w:rPr>
            </w:pPr>
            <w:r w:rsidRPr="002E78D6">
              <w:rPr>
                <w:rFonts w:ascii="Arial" w:hAnsi="Arial" w:cs="Arial"/>
                <w:sz w:val="22"/>
                <w:szCs w:val="22"/>
              </w:rPr>
              <w:t>0.008</w:t>
            </w:r>
          </w:p>
        </w:tc>
        <w:tc>
          <w:tcPr>
            <w:tcW w:w="0" w:type="auto"/>
            <w:tcBorders>
              <w:bottom w:val="single" w:sz="4" w:space="0" w:color="auto"/>
            </w:tcBorders>
            <w:vAlign w:val="center"/>
            <w:hideMark/>
          </w:tcPr>
          <w:p w14:paraId="6CE1D837" w14:textId="77777777" w:rsidR="008C02EC" w:rsidRPr="002E78D6" w:rsidRDefault="008C02EC" w:rsidP="00BF1BD7">
            <w:pPr>
              <w:rPr>
                <w:rFonts w:ascii="Arial" w:hAnsi="Arial" w:cs="Arial"/>
                <w:sz w:val="22"/>
                <w:szCs w:val="22"/>
              </w:rPr>
            </w:pPr>
            <w:r w:rsidRPr="002E78D6">
              <w:rPr>
                <w:rFonts w:ascii="Arial" w:hAnsi="Arial" w:cs="Arial"/>
                <w:sz w:val="22"/>
                <w:szCs w:val="22"/>
              </w:rPr>
              <w:t>0.021</w:t>
            </w:r>
          </w:p>
        </w:tc>
        <w:tc>
          <w:tcPr>
            <w:tcW w:w="0" w:type="auto"/>
            <w:tcBorders>
              <w:bottom w:val="single" w:sz="4" w:space="0" w:color="auto"/>
            </w:tcBorders>
            <w:vAlign w:val="center"/>
            <w:hideMark/>
          </w:tcPr>
          <w:p w14:paraId="2F30AB05" w14:textId="77777777" w:rsidR="008C02EC" w:rsidRPr="002E78D6" w:rsidRDefault="008C02EC" w:rsidP="00BF1BD7">
            <w:pPr>
              <w:rPr>
                <w:rFonts w:ascii="Arial" w:hAnsi="Arial" w:cs="Arial"/>
                <w:sz w:val="22"/>
                <w:szCs w:val="22"/>
              </w:rPr>
            </w:pPr>
            <w:r w:rsidRPr="002E78D6">
              <w:rPr>
                <w:rFonts w:ascii="Arial" w:hAnsi="Arial" w:cs="Arial"/>
                <w:sz w:val="22"/>
                <w:szCs w:val="22"/>
              </w:rPr>
              <w:t>0.006</w:t>
            </w:r>
          </w:p>
        </w:tc>
      </w:tr>
    </w:tbl>
    <w:p w14:paraId="2E36B22B" w14:textId="77777777" w:rsidR="00866F85" w:rsidRPr="002E78D6" w:rsidRDefault="00866F85" w:rsidP="00866F85">
      <w:pPr>
        <w:pStyle w:val="ListParagraph"/>
        <w:spacing w:after="160" w:line="278" w:lineRule="auto"/>
        <w:ind w:left="360"/>
        <w:jc w:val="both"/>
        <w:rPr>
          <w:rFonts w:ascii="Arial" w:hAnsi="Arial" w:cs="Arial"/>
          <w:b/>
          <w:bCs/>
          <w:sz w:val="22"/>
          <w:szCs w:val="22"/>
        </w:rPr>
      </w:pPr>
    </w:p>
    <w:p w14:paraId="46EABF41"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2. Near-field Zone (Locations B1, B2)</w:t>
      </w:r>
    </w:p>
    <w:p w14:paraId="36B7EDA4" w14:textId="77777777" w:rsidR="009F5EFC" w:rsidRPr="00176490" w:rsidRDefault="009F5EFC" w:rsidP="009F5EFC">
      <w:pPr>
        <w:spacing w:after="160" w:line="278" w:lineRule="auto"/>
        <w:jc w:val="both"/>
        <w:rPr>
          <w:rFonts w:ascii="Arial" w:hAnsi="Arial" w:cs="Arial"/>
          <w:sz w:val="22"/>
          <w:szCs w:val="22"/>
        </w:rPr>
      </w:pPr>
      <w:r w:rsidRPr="00176490">
        <w:rPr>
          <w:rFonts w:ascii="Arial" w:hAnsi="Arial" w:cs="Arial"/>
          <w:sz w:val="22"/>
          <w:szCs w:val="22"/>
        </w:rPr>
        <w:t xml:space="preserve">Location B1 recorded the highest nickel concentration across the entire study area (0.233 ppm), representing approximately 12 times the control </w:t>
      </w:r>
      <w:proofErr w:type="gramStart"/>
      <w:r w:rsidRPr="00176490">
        <w:rPr>
          <w:rFonts w:ascii="Arial" w:hAnsi="Arial" w:cs="Arial"/>
          <w:sz w:val="22"/>
          <w:szCs w:val="22"/>
        </w:rPr>
        <w:t>mean</w:t>
      </w:r>
      <w:proofErr w:type="gramEnd"/>
      <w:r>
        <w:rPr>
          <w:rFonts w:ascii="Arial" w:hAnsi="Arial" w:cs="Arial"/>
          <w:sz w:val="22"/>
          <w:szCs w:val="22"/>
        </w:rPr>
        <w:t xml:space="preserve"> </w:t>
      </w:r>
      <w:r w:rsidRPr="00176490">
        <w:rPr>
          <w:rFonts w:ascii="Arial" w:hAnsi="Arial" w:cs="Arial"/>
          <w:sz w:val="22"/>
          <w:szCs w:val="22"/>
        </w:rPr>
        <w:t>(0.020 ppm). This near-field nickel peak, rather than a landfill-core peak, reinforces the pH-driven mobilization mechanism discussed above. Location B2 showed generally subdued concentrations across all metals, with only cadmium and lead exhibiting minor elevations above control levels, suggesting that leachate migration in the near-field zone is spatially heterogeneous rather than uniform.</w:t>
      </w:r>
    </w:p>
    <w:p w14:paraId="49247BED"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3. Far-field Zone (Locations C1, C2)</w:t>
      </w:r>
    </w:p>
    <w:p w14:paraId="17B31AA7" w14:textId="77777777" w:rsidR="009F5EFC" w:rsidRPr="00176490" w:rsidRDefault="009F5EFC" w:rsidP="009F5EFC">
      <w:pPr>
        <w:spacing w:after="160" w:line="278" w:lineRule="auto"/>
        <w:jc w:val="both"/>
        <w:rPr>
          <w:rFonts w:ascii="Arial" w:hAnsi="Arial" w:cs="Arial"/>
          <w:sz w:val="22"/>
          <w:szCs w:val="22"/>
        </w:rPr>
      </w:pPr>
      <w:r w:rsidRPr="00176490">
        <w:rPr>
          <w:rFonts w:ascii="Arial" w:hAnsi="Arial" w:cs="Arial"/>
          <w:sz w:val="22"/>
          <w:szCs w:val="22"/>
        </w:rPr>
        <w:t>Location C1 exhibited substantial nickel concentrations (mean = 0.188 ppm), extending the near-field nickel signal further outward and consistent with continued lateral migration along the drainage corridor from B1. Location C2 stood out as an anomalous station, with lead concentrations (mean = 1.040 ppm) exceeding those at the landfill boundary by approximately six-fold. As discussed above, the spatial pattern at C2 does not conform to a simple leachate diffusion model and most likely reflects a secondary contamination input at that location.</w:t>
      </w:r>
    </w:p>
    <w:p w14:paraId="4D122D31"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4. Control Sites (Locations F1, F2)</w:t>
      </w:r>
    </w:p>
    <w:p w14:paraId="4D5C974D" w14:textId="77777777" w:rsidR="009F5EFC" w:rsidRPr="00176490" w:rsidRDefault="009F5EFC" w:rsidP="009F5EFC">
      <w:pPr>
        <w:spacing w:after="160" w:line="278" w:lineRule="auto"/>
        <w:jc w:val="both"/>
        <w:rPr>
          <w:rFonts w:ascii="Arial" w:hAnsi="Arial" w:cs="Arial"/>
          <w:sz w:val="22"/>
          <w:szCs w:val="22"/>
        </w:rPr>
      </w:pPr>
      <w:r w:rsidRPr="00176490">
        <w:rPr>
          <w:rFonts w:ascii="Arial" w:hAnsi="Arial" w:cs="Arial"/>
          <w:sz w:val="22"/>
          <w:szCs w:val="22"/>
        </w:rPr>
        <w:lastRenderedPageBreak/>
        <w:t>Control locations recorded the lowest metal concentrations across all analytes, serving as reliable indicators of local geochemical background for the Benin Formation soils in this area. The low variability between F1 and F2 (standard deviations ≤ 0.021 ppm for all metals) confirms that the control sites were not subject to detectable waste-related influence and provides confidence in their suitability as background reference values.</w:t>
      </w:r>
    </w:p>
    <w:p w14:paraId="74255164" w14:textId="77777777" w:rsidR="009F5EFC" w:rsidRPr="00176490" w:rsidRDefault="009F5EFC" w:rsidP="009F5EFC">
      <w:pPr>
        <w:spacing w:after="160" w:line="278" w:lineRule="auto"/>
        <w:jc w:val="both"/>
        <w:rPr>
          <w:rFonts w:ascii="Arial" w:hAnsi="Arial" w:cs="Arial"/>
          <w:b/>
          <w:bCs/>
          <w:sz w:val="22"/>
          <w:szCs w:val="22"/>
        </w:rPr>
      </w:pPr>
      <w:r w:rsidRPr="00176490">
        <w:rPr>
          <w:rFonts w:ascii="Arial" w:hAnsi="Arial" w:cs="Arial"/>
          <w:b/>
          <w:bCs/>
          <w:sz w:val="22"/>
          <w:szCs w:val="22"/>
        </w:rPr>
        <w:t>3.1.2 Spatial Distribution Patterns</w:t>
      </w:r>
    </w:p>
    <w:p w14:paraId="56B06329" w14:textId="77777777" w:rsidR="009F5EFC" w:rsidRPr="00176490" w:rsidRDefault="009F5EFC" w:rsidP="009F5EFC">
      <w:pPr>
        <w:spacing w:after="160" w:line="278" w:lineRule="auto"/>
        <w:jc w:val="both"/>
        <w:rPr>
          <w:rFonts w:ascii="Arial" w:hAnsi="Arial" w:cs="Arial"/>
          <w:sz w:val="22"/>
          <w:szCs w:val="22"/>
        </w:rPr>
      </w:pPr>
      <w:r w:rsidRPr="00176490">
        <w:rPr>
          <w:rFonts w:ascii="Arial" w:hAnsi="Arial" w:cs="Arial"/>
          <w:sz w:val="22"/>
          <w:szCs w:val="22"/>
        </w:rPr>
        <w:t>The spatial distribution maps generated by IDW interpolation in Surfer 20.0 reveal distinct contamination patterns for each metal, reflecting the different source types and transport mechanisms operating at this site.</w:t>
      </w:r>
    </w:p>
    <w:p w14:paraId="47D90338"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Arsenic (Figure 2a):</w:t>
      </w:r>
      <w:r w:rsidRPr="00176490">
        <w:rPr>
          <w:rFonts w:ascii="Arial" w:hAnsi="Arial" w:cs="Arial"/>
          <w:sz w:val="22"/>
          <w:szCs w:val="22"/>
        </w:rPr>
        <w:t xml:space="preserve"> A primary hotspot </w:t>
      </w:r>
      <w:proofErr w:type="spellStart"/>
      <w:r w:rsidRPr="00176490">
        <w:rPr>
          <w:rFonts w:ascii="Arial" w:hAnsi="Arial" w:cs="Arial"/>
          <w:sz w:val="22"/>
          <w:szCs w:val="22"/>
        </w:rPr>
        <w:t>centred</w:t>
      </w:r>
      <w:proofErr w:type="spellEnd"/>
      <w:r w:rsidRPr="00176490">
        <w:rPr>
          <w:rFonts w:ascii="Arial" w:hAnsi="Arial" w:cs="Arial"/>
          <w:sz w:val="22"/>
          <w:szCs w:val="22"/>
        </w:rPr>
        <w:t xml:space="preserve"> on location A1 is visible, with contour gradients extending in a north-easterly direction consistent with the regional groundwater flow direction. The rapid concentration </w:t>
      </w:r>
      <w:proofErr w:type="gramStart"/>
      <w:r w:rsidRPr="00176490">
        <w:rPr>
          <w:rFonts w:ascii="Arial" w:hAnsi="Arial" w:cs="Arial"/>
          <w:sz w:val="22"/>
          <w:szCs w:val="22"/>
        </w:rPr>
        <w:t>drop</w:t>
      </w:r>
      <w:proofErr w:type="gramEnd"/>
      <w:r w:rsidRPr="00176490">
        <w:rPr>
          <w:rFonts w:ascii="Arial" w:hAnsi="Arial" w:cs="Arial"/>
          <w:sz w:val="22"/>
          <w:szCs w:val="22"/>
        </w:rPr>
        <w:t xml:space="preserve"> between A1 and B1 suggests limited advective transport of arsenic under current conditions.</w:t>
      </w:r>
    </w:p>
    <w:p w14:paraId="6B5D67B0"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Nickel (Figure 2b):</w:t>
      </w:r>
      <w:r w:rsidRPr="00176490">
        <w:rPr>
          <w:rFonts w:ascii="Arial" w:hAnsi="Arial" w:cs="Arial"/>
          <w:sz w:val="22"/>
          <w:szCs w:val="22"/>
        </w:rPr>
        <w:t xml:space="preserve"> Unlike arsenic, nickel shows its highest concentrations in the near-field and far-field zones (B1, C1), with a distinct contamination plume extending southward from the landfill boundary. This spatial pattern strongly supports pH-mediated </w:t>
      </w:r>
      <w:proofErr w:type="spellStart"/>
      <w:r w:rsidRPr="00176490">
        <w:rPr>
          <w:rFonts w:ascii="Arial" w:hAnsi="Arial" w:cs="Arial"/>
          <w:sz w:val="22"/>
          <w:szCs w:val="22"/>
        </w:rPr>
        <w:t>mobilisation</w:t>
      </w:r>
      <w:proofErr w:type="spellEnd"/>
      <w:r w:rsidRPr="00176490">
        <w:rPr>
          <w:rFonts w:ascii="Arial" w:hAnsi="Arial" w:cs="Arial"/>
          <w:sz w:val="22"/>
          <w:szCs w:val="22"/>
        </w:rPr>
        <w:t xml:space="preserve"> and lateral migration as the dominant transport mechanism for this metal.</w:t>
      </w:r>
    </w:p>
    <w:p w14:paraId="795FBDCD"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Chromium (Figure 2c):</w:t>
      </w:r>
      <w:r w:rsidRPr="00176490">
        <w:rPr>
          <w:rFonts w:ascii="Arial" w:hAnsi="Arial" w:cs="Arial"/>
          <w:sz w:val="22"/>
          <w:szCs w:val="22"/>
        </w:rPr>
        <w:t> Chromium distribution is concentrated in the A2 area, with moderate levels declining sharply toward the near-field zone. This confined distribution suggests a relatively immobile source with limited transport beyond the active disposal area.</w:t>
      </w:r>
    </w:p>
    <w:p w14:paraId="69014CD8"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Cadmium (Figure 2d):</w:t>
      </w:r>
      <w:r w:rsidRPr="00176490">
        <w:rPr>
          <w:rFonts w:ascii="Arial" w:hAnsi="Arial" w:cs="Arial"/>
          <w:sz w:val="22"/>
          <w:szCs w:val="22"/>
        </w:rPr>
        <w:t> A relatively uniform distribution is observed across the inner zones, with the highest levels at A1. The absence of a strong spatial gradient suggests cadmium mobility may be partially limited by adsorption onto organic matter within the active landfill mass.</w:t>
      </w:r>
    </w:p>
    <w:p w14:paraId="57C4A5E4" w14:textId="71EDDF8B" w:rsidR="00866F85"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Lead (Figure 2e):</w:t>
      </w:r>
      <w:r w:rsidRPr="00176490">
        <w:rPr>
          <w:rFonts w:ascii="Arial" w:hAnsi="Arial" w:cs="Arial"/>
          <w:sz w:val="22"/>
          <w:szCs w:val="22"/>
        </w:rPr>
        <w:t> Lead exhibits the most pronounced spatial heterogeneity of all five metals, dominated by the extreme hotspot at C2. The absence of a progressive gradient from the landfill core to C2 is the most spatially diagnostic feature of the entire dataset and strongly implicates a secondary input at that location</w:t>
      </w:r>
    </w:p>
    <w:p w14:paraId="7DFD2D65" w14:textId="77777777" w:rsidR="009F5EFC" w:rsidRDefault="009F5EFC" w:rsidP="009F5EFC">
      <w:pPr>
        <w:spacing w:after="160" w:line="278" w:lineRule="auto"/>
        <w:jc w:val="both"/>
        <w:rPr>
          <w:rFonts w:ascii="Arial" w:hAnsi="Arial" w:cs="Arial"/>
          <w:sz w:val="22"/>
          <w:szCs w:val="22"/>
        </w:rPr>
      </w:pPr>
    </w:p>
    <w:p w14:paraId="2DCDA07B" w14:textId="77777777" w:rsidR="00866F85" w:rsidRDefault="00866F85" w:rsidP="00866F85">
      <w:pPr>
        <w:spacing w:after="160" w:line="278" w:lineRule="auto"/>
        <w:jc w:val="both"/>
        <w:rPr>
          <w:rFonts w:ascii="Arial" w:hAnsi="Arial" w:cs="Arial"/>
          <w:sz w:val="22"/>
          <w:szCs w:val="22"/>
        </w:rPr>
      </w:pPr>
    </w:p>
    <w:p w14:paraId="1475FFE2" w14:textId="77777777" w:rsidR="00866F85" w:rsidRDefault="00866F85" w:rsidP="00866F85">
      <w:pPr>
        <w:jc w:val="both"/>
        <w:rPr>
          <w:rFonts w:ascii="Times New Roman" w:hAnsi="Times New Roman"/>
          <w:b/>
          <w:bCs/>
          <w:noProof/>
          <w:sz w:val="28"/>
          <w:szCs w:val="28"/>
        </w:rPr>
      </w:pPr>
    </w:p>
    <w:p w14:paraId="0DE6309C" w14:textId="77777777" w:rsidR="00866F85" w:rsidRDefault="00866F85" w:rsidP="00866F85">
      <w:pPr>
        <w:jc w:val="both"/>
      </w:pPr>
      <w:r>
        <w:rPr>
          <w:rFonts w:ascii="Times New Roman" w:hAnsi="Times New Roman"/>
          <w:b/>
          <w:bCs/>
          <w:noProof/>
          <w:sz w:val="28"/>
          <w:szCs w:val="28"/>
        </w:rPr>
        <mc:AlternateContent>
          <mc:Choice Requires="wps">
            <w:drawing>
              <wp:anchor distT="0" distB="0" distL="114300" distR="114300" simplePos="0" relativeHeight="251660288" behindDoc="0" locked="0" layoutInCell="1" allowOverlap="1" wp14:anchorId="2E976F22" wp14:editId="028F390E">
                <wp:simplePos x="0" y="0"/>
                <wp:positionH relativeFrom="column">
                  <wp:posOffset>1774825</wp:posOffset>
                </wp:positionH>
                <wp:positionV relativeFrom="paragraph">
                  <wp:posOffset>-692562</wp:posOffset>
                </wp:positionV>
                <wp:extent cx="2178685" cy="1739265"/>
                <wp:effectExtent l="0" t="0" r="0" b="0"/>
                <wp:wrapNone/>
                <wp:docPr id="695571866"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37482946" w14:textId="77777777" w:rsidR="00866F85" w:rsidRDefault="00866F85" w:rsidP="00866F85">
                            <w:r>
                              <w:rPr>
                                <w:noProof/>
                              </w:rPr>
                              <w:drawing>
                                <wp:inline distT="0" distB="0" distL="0" distR="0" wp14:anchorId="6664361F" wp14:editId="2D7D3F58">
                                  <wp:extent cx="1989455" cy="1623662"/>
                                  <wp:effectExtent l="0" t="0" r="0" b="0"/>
                                  <wp:docPr id="1656369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69176" name="Picture 1656369176"/>
                                          <pic:cNvPicPr/>
                                        </pic:nvPicPr>
                                        <pic:blipFill>
                                          <a:blip r:embed="rId8">
                                            <a:extLst>
                                              <a:ext uri="{28A0092B-C50C-407E-A947-70E740481C1C}">
                                                <a14:useLocalDpi xmlns:a14="http://schemas.microsoft.com/office/drawing/2010/main" val="0"/>
                                              </a:ext>
                                            </a:extLst>
                                          </a:blip>
                                          <a:stretch>
                                            <a:fillRect/>
                                          </a:stretch>
                                        </pic:blipFill>
                                        <pic:spPr>
                                          <a:xfrm>
                                            <a:off x="0" y="0"/>
                                            <a:ext cx="1992860" cy="16264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976F22" id="_x0000_t202" coordsize="21600,21600" o:spt="202" path="m,l,21600r21600,l21600,xe">
                <v:stroke joinstyle="miter"/>
                <v:path gradientshapeok="t" o:connecttype="rect"/>
              </v:shapetype>
              <v:shape id="Text Box 16" o:spid="_x0000_s1026" type="#_x0000_t202" style="position:absolute;left:0;text-align:left;margin-left:139.75pt;margin-top:-54.55pt;width:171.55pt;height:136.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" fillcolor="white [3201]" stroked="f" strokeweight=".5pt">
                <v:textbox>
                  <w:txbxContent>
                    <w:p w14:paraId="37482946" w14:textId="77777777" w:rsidR="00866F85" w:rsidRDefault="00866F85" w:rsidP="00866F85">
                      <w:r>
                        <w:rPr>
                          <w:noProof/>
                        </w:rPr>
                        <w:drawing>
                          <wp:inline distT="0" distB="0" distL="0" distR="0" wp14:anchorId="6664361F" wp14:editId="2D7D3F58">
                            <wp:extent cx="1989455" cy="1623662"/>
                            <wp:effectExtent l="0" t="0" r="0" b="0"/>
                            <wp:docPr id="1656369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69176" name="Picture 1656369176"/>
                                    <pic:cNvPicPr/>
                                  </pic:nvPicPr>
                                  <pic:blipFill>
                                    <a:blip r:embed="rId8">
                                      <a:extLst>
                                        <a:ext uri="{28A0092B-C50C-407E-A947-70E740481C1C}">
                                          <a14:useLocalDpi xmlns:a14="http://schemas.microsoft.com/office/drawing/2010/main" val="0"/>
                                        </a:ext>
                                      </a:extLst>
                                    </a:blip>
                                    <a:stretch>
                                      <a:fillRect/>
                                    </a:stretch>
                                  </pic:blipFill>
                                  <pic:spPr>
                                    <a:xfrm>
                                      <a:off x="0" y="0"/>
                                      <a:ext cx="1992860" cy="1626441"/>
                                    </a:xfrm>
                                    <a:prstGeom prst="rect">
                                      <a:avLst/>
                                    </a:prstGeom>
                                  </pic:spPr>
                                </pic:pic>
                              </a:graphicData>
                            </a:graphic>
                          </wp:inline>
                        </w:drawing>
                      </w:r>
                    </w:p>
                  </w:txbxContent>
                </v:textbox>
              </v:shape>
            </w:pict>
          </mc:Fallback>
        </mc:AlternateContent>
      </w:r>
      <w:r>
        <w:rPr>
          <w:rFonts w:ascii="Times New Roman" w:hAnsi="Times New Roman"/>
          <w:b/>
          <w:bCs/>
          <w:noProof/>
          <w:sz w:val="28"/>
          <w:szCs w:val="28"/>
        </w:rPr>
        <mc:AlternateContent>
          <mc:Choice Requires="wps">
            <w:drawing>
              <wp:anchor distT="0" distB="0" distL="114300" distR="114300" simplePos="0" relativeHeight="251661312" behindDoc="0" locked="0" layoutInCell="1" allowOverlap="1" wp14:anchorId="4B8C8F6C" wp14:editId="6A670B0F">
                <wp:simplePos x="0" y="0"/>
                <wp:positionH relativeFrom="column">
                  <wp:posOffset>4405745</wp:posOffset>
                </wp:positionH>
                <wp:positionV relativeFrom="paragraph">
                  <wp:posOffset>-688769</wp:posOffset>
                </wp:positionV>
                <wp:extent cx="2179122" cy="1739735"/>
                <wp:effectExtent l="0" t="0" r="0" b="0"/>
                <wp:wrapNone/>
                <wp:docPr id="1020480979" name="Text Box 16"/>
                <wp:cNvGraphicFramePr/>
                <a:graphic xmlns:a="http://schemas.openxmlformats.org/drawingml/2006/main">
                  <a:graphicData uri="http://schemas.microsoft.com/office/word/2010/wordprocessingShape">
                    <wps:wsp>
                      <wps:cNvSpPr txBox="1"/>
                      <wps:spPr>
                        <a:xfrm>
                          <a:off x="0" y="0"/>
                          <a:ext cx="2179122" cy="1739735"/>
                        </a:xfrm>
                        <a:prstGeom prst="rect">
                          <a:avLst/>
                        </a:prstGeom>
                        <a:solidFill>
                          <a:schemeClr val="lt1"/>
                        </a:solidFill>
                        <a:ln w="6350">
                          <a:noFill/>
                        </a:ln>
                      </wps:spPr>
                      <wps:txbx>
                        <w:txbxContent>
                          <w:p w14:paraId="38F3E504" w14:textId="77777777" w:rsidR="00866F85" w:rsidRDefault="00866F85" w:rsidP="00866F85">
                            <w:r>
                              <w:rPr>
                                <w:noProof/>
                              </w:rPr>
                              <w:drawing>
                                <wp:inline distT="0" distB="0" distL="0" distR="0" wp14:anchorId="7FA5A051" wp14:editId="100449C7">
                                  <wp:extent cx="1989455" cy="1616710"/>
                                  <wp:effectExtent l="0" t="0" r="0" b="2540"/>
                                  <wp:docPr id="266419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19320" name="Picture 266419320"/>
                                          <pic:cNvPicPr/>
                                        </pic:nvPicPr>
                                        <pic:blipFill>
                                          <a:blip r:embed="rId9">
                                            <a:extLst>
                                              <a:ext uri="{28A0092B-C50C-407E-A947-70E740481C1C}">
                                                <a14:useLocalDpi xmlns:a14="http://schemas.microsoft.com/office/drawing/2010/main" val="0"/>
                                              </a:ext>
                                            </a:extLst>
                                          </a:blip>
                                          <a:stretch>
                                            <a:fillRect/>
                                          </a:stretch>
                                        </pic:blipFill>
                                        <pic:spPr>
                                          <a:xfrm>
                                            <a:off x="0" y="0"/>
                                            <a:ext cx="1989455" cy="1616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8C8F6C" id="_x0000_s1027" type="#_x0000_t202" style="position:absolute;left:0;text-align:left;margin-left:346.9pt;margin-top:-54.25pt;width:171.6pt;height:13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" fillcolor="white [3201]" stroked="f" strokeweight=".5pt">
                <v:textbox>
                  <w:txbxContent>
                    <w:p w14:paraId="38F3E504" w14:textId="77777777" w:rsidR="00866F85" w:rsidRDefault="00866F85" w:rsidP="00866F85">
                      <w:r>
                        <w:rPr>
                          <w:noProof/>
                        </w:rPr>
                        <w:drawing>
                          <wp:inline distT="0" distB="0" distL="0" distR="0" wp14:anchorId="7FA5A051" wp14:editId="100449C7">
                            <wp:extent cx="1989455" cy="1616710"/>
                            <wp:effectExtent l="0" t="0" r="0" b="2540"/>
                            <wp:docPr id="266419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19320" name="Picture 266419320"/>
                                    <pic:cNvPicPr/>
                                  </pic:nvPicPr>
                                  <pic:blipFill>
                                    <a:blip r:embed="rId9">
                                      <a:extLst>
                                        <a:ext uri="{28A0092B-C50C-407E-A947-70E740481C1C}">
                                          <a14:useLocalDpi xmlns:a14="http://schemas.microsoft.com/office/drawing/2010/main" val="0"/>
                                        </a:ext>
                                      </a:extLst>
                                    </a:blip>
                                    <a:stretch>
                                      <a:fillRect/>
                                    </a:stretch>
                                  </pic:blipFill>
                                  <pic:spPr>
                                    <a:xfrm>
                                      <a:off x="0" y="0"/>
                                      <a:ext cx="1989455" cy="1616710"/>
                                    </a:xfrm>
                                    <a:prstGeom prst="rect">
                                      <a:avLst/>
                                    </a:prstGeom>
                                  </pic:spPr>
                                </pic:pic>
                              </a:graphicData>
                            </a:graphic>
                          </wp:inline>
                        </w:drawing>
                      </w:r>
                    </w:p>
                  </w:txbxContent>
                </v:textbox>
              </v:shape>
            </w:pict>
          </mc:Fallback>
        </mc:AlternateContent>
      </w:r>
      <w:r>
        <w:rPr>
          <w:rFonts w:ascii="Times New Roman" w:hAnsi="Times New Roman"/>
          <w:b/>
          <w:bCs/>
          <w:noProof/>
          <w:sz w:val="28"/>
          <w:szCs w:val="28"/>
        </w:rPr>
        <mc:AlternateContent>
          <mc:Choice Requires="wps">
            <w:drawing>
              <wp:anchor distT="0" distB="0" distL="114300" distR="114300" simplePos="0" relativeHeight="251659264" behindDoc="0" locked="0" layoutInCell="1" allowOverlap="1" wp14:anchorId="0E2033B7" wp14:editId="046CB13A">
                <wp:simplePos x="0" y="0"/>
                <wp:positionH relativeFrom="column">
                  <wp:posOffset>-700644</wp:posOffset>
                </wp:positionH>
                <wp:positionV relativeFrom="paragraph">
                  <wp:posOffset>-706582</wp:posOffset>
                </wp:positionV>
                <wp:extent cx="2179122" cy="1739735"/>
                <wp:effectExtent l="0" t="0" r="0" b="0"/>
                <wp:wrapNone/>
                <wp:docPr id="798162280" name="Text Box 16"/>
                <wp:cNvGraphicFramePr/>
                <a:graphic xmlns:a="http://schemas.openxmlformats.org/drawingml/2006/main">
                  <a:graphicData uri="http://schemas.microsoft.com/office/word/2010/wordprocessingShape">
                    <wps:wsp>
                      <wps:cNvSpPr txBox="1"/>
                      <wps:spPr>
                        <a:xfrm>
                          <a:off x="0" y="0"/>
                          <a:ext cx="2179122" cy="1739735"/>
                        </a:xfrm>
                        <a:prstGeom prst="rect">
                          <a:avLst/>
                        </a:prstGeom>
                        <a:solidFill>
                          <a:schemeClr val="lt1"/>
                        </a:solidFill>
                        <a:ln w="6350">
                          <a:noFill/>
                        </a:ln>
                      </wps:spPr>
                      <wps:txbx>
                        <w:txbxContent>
                          <w:p w14:paraId="0F8EFEA2" w14:textId="77777777" w:rsidR="00866F85" w:rsidRDefault="00866F85" w:rsidP="00866F85">
                            <w:r>
                              <w:rPr>
                                <w:noProof/>
                              </w:rPr>
                              <w:drawing>
                                <wp:inline distT="0" distB="0" distL="0" distR="0" wp14:anchorId="7BCB4E30" wp14:editId="41837043">
                                  <wp:extent cx="1892300" cy="1641475"/>
                                  <wp:effectExtent l="0" t="0" r="0" b="0"/>
                                  <wp:docPr id="689443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43274" name="Picture 689443274"/>
                                          <pic:cNvPicPr/>
                                        </pic:nvPicPr>
                                        <pic:blipFill>
                                          <a:blip r:embed="rId10">
                                            <a:extLst>
                                              <a:ext uri="{28A0092B-C50C-407E-A947-70E740481C1C}">
                                                <a14:useLocalDpi xmlns:a14="http://schemas.microsoft.com/office/drawing/2010/main" val="0"/>
                                              </a:ext>
                                            </a:extLst>
                                          </a:blip>
                                          <a:stretch>
                                            <a:fillRect/>
                                          </a:stretch>
                                        </pic:blipFill>
                                        <pic:spPr>
                                          <a:xfrm>
                                            <a:off x="0" y="0"/>
                                            <a:ext cx="1892300" cy="164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033B7" id="_x0000_s1028" type="#_x0000_t202" style="position:absolute;left:0;text-align:left;margin-left:-55.15pt;margin-top:-55.65pt;width:171.6pt;height:1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" fillcolor="white [3201]" stroked="f" strokeweight=".5pt">
                <v:textbox>
                  <w:txbxContent>
                    <w:p w14:paraId="0F8EFEA2" w14:textId="77777777" w:rsidR="00866F85" w:rsidRDefault="00866F85" w:rsidP="00866F85">
                      <w:r>
                        <w:rPr>
                          <w:noProof/>
                        </w:rPr>
                        <w:drawing>
                          <wp:inline distT="0" distB="0" distL="0" distR="0" wp14:anchorId="7BCB4E30" wp14:editId="41837043">
                            <wp:extent cx="1892300" cy="1641475"/>
                            <wp:effectExtent l="0" t="0" r="0" b="0"/>
                            <wp:docPr id="689443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43274" name="Picture 689443274"/>
                                    <pic:cNvPicPr/>
                                  </pic:nvPicPr>
                                  <pic:blipFill>
                                    <a:blip r:embed="rId10">
                                      <a:extLst>
                                        <a:ext uri="{28A0092B-C50C-407E-A947-70E740481C1C}">
                                          <a14:useLocalDpi xmlns:a14="http://schemas.microsoft.com/office/drawing/2010/main" val="0"/>
                                        </a:ext>
                                      </a:extLst>
                                    </a:blip>
                                    <a:stretch>
                                      <a:fillRect/>
                                    </a:stretch>
                                  </pic:blipFill>
                                  <pic:spPr>
                                    <a:xfrm>
                                      <a:off x="0" y="0"/>
                                      <a:ext cx="1892300" cy="1641475"/>
                                    </a:xfrm>
                                    <a:prstGeom prst="rect">
                                      <a:avLst/>
                                    </a:prstGeom>
                                  </pic:spPr>
                                </pic:pic>
                              </a:graphicData>
                            </a:graphic>
                          </wp:inline>
                        </w:drawing>
                      </w:r>
                    </w:p>
                  </w:txbxContent>
                </v:textbox>
              </v:shape>
            </w:pict>
          </mc:Fallback>
        </mc:AlternateContent>
      </w:r>
      <w:r>
        <w:tab/>
      </w:r>
      <w:r>
        <w:tab/>
      </w:r>
      <w:r>
        <w:tab/>
      </w:r>
      <w:r>
        <w:tab/>
      </w:r>
      <w:r>
        <w:tab/>
      </w:r>
      <w:r>
        <w:tab/>
      </w:r>
      <w:r>
        <w:tab/>
      </w:r>
      <w:r>
        <w:tab/>
      </w:r>
      <w:r>
        <w:tab/>
      </w:r>
      <w:r>
        <w:tab/>
        <w:t xml:space="preserve">    </w:t>
      </w:r>
      <w:r>
        <w:tab/>
        <w:t xml:space="preserve"> </w:t>
      </w:r>
      <w:r>
        <w:tab/>
      </w:r>
      <w:r>
        <w:tab/>
      </w:r>
      <w:r>
        <w:tab/>
      </w:r>
      <w:r>
        <w:tab/>
      </w:r>
    </w:p>
    <w:p w14:paraId="52E38A4A" w14:textId="77777777" w:rsidR="00866F85" w:rsidRDefault="00866F85" w:rsidP="00866F85">
      <w:pPr>
        <w:jc w:val="both"/>
      </w:pPr>
      <w:r>
        <w:tab/>
      </w:r>
      <w:r>
        <w:tab/>
      </w:r>
      <w:r>
        <w:tab/>
      </w:r>
      <w:r>
        <w:tab/>
      </w:r>
      <w:r>
        <w:tab/>
      </w:r>
      <w:r>
        <w:tab/>
      </w:r>
      <w:r>
        <w:tab/>
      </w:r>
      <w:r>
        <w:tab/>
      </w:r>
    </w:p>
    <w:p w14:paraId="7E3D2CDE" w14:textId="77777777" w:rsidR="00866F85" w:rsidRDefault="00866F85" w:rsidP="00866F85">
      <w:pPr>
        <w:jc w:val="both"/>
      </w:pPr>
      <w:r>
        <w:rPr>
          <w:noProof/>
        </w:rPr>
        <mc:AlternateContent>
          <mc:Choice Requires="wps">
            <w:drawing>
              <wp:anchor distT="0" distB="0" distL="114300" distR="114300" simplePos="0" relativeHeight="251666432" behindDoc="0" locked="0" layoutInCell="1" allowOverlap="1" wp14:anchorId="58D7A4F5" wp14:editId="63E02F42">
                <wp:simplePos x="0" y="0"/>
                <wp:positionH relativeFrom="column">
                  <wp:posOffset>4411683</wp:posOffset>
                </wp:positionH>
                <wp:positionV relativeFrom="paragraph">
                  <wp:posOffset>195399</wp:posOffset>
                </wp:positionV>
                <wp:extent cx="2149071" cy="249381"/>
                <wp:effectExtent l="0" t="0" r="3810" b="0"/>
                <wp:wrapNone/>
                <wp:docPr id="1348757456" name="Text Box 23"/>
                <wp:cNvGraphicFramePr/>
                <a:graphic xmlns:a="http://schemas.openxmlformats.org/drawingml/2006/main">
                  <a:graphicData uri="http://schemas.microsoft.com/office/word/2010/wordprocessingShape">
                    <wps:wsp>
                      <wps:cNvSpPr txBox="1"/>
                      <wps:spPr>
                        <a:xfrm>
                          <a:off x="0" y="0"/>
                          <a:ext cx="2149071" cy="249381"/>
                        </a:xfrm>
                        <a:prstGeom prst="rect">
                          <a:avLst/>
                        </a:prstGeom>
                        <a:solidFill>
                          <a:schemeClr val="lt1"/>
                        </a:solidFill>
                        <a:ln w="6350">
                          <a:noFill/>
                        </a:ln>
                      </wps:spPr>
                      <wps:txbx>
                        <w:txbxContent>
                          <w:p w14:paraId="6A7698AC" w14:textId="1D2E155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2c</w:t>
                            </w:r>
                            <w:r>
                              <w:rPr>
                                <w:rFonts w:ascii="Times New Roman" w:hAnsi="Times New Roman"/>
                                <w:sz w:val="18"/>
                                <w:szCs w:val="18"/>
                                <w:lang w:val="en-GB"/>
                              </w:rPr>
                              <w:t>: Spatial Distribution of Chromium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A4F5" id="Text Box 23" o:spid="_x0000_s1029" type="#_x0000_t202" style="position:absolute;left:0;text-align:left;margin-left:347.4pt;margin-top:15.4pt;width:169.2pt;height:1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" fillcolor="white [3201]" stroked="f" strokeweight=".5pt">
                <v:textbox>
                  <w:txbxContent>
                    <w:p w14:paraId="6A7698AC" w14:textId="1D2E155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2c</w:t>
                      </w:r>
                      <w:r>
                        <w:rPr>
                          <w:rFonts w:ascii="Times New Roman" w:hAnsi="Times New Roman"/>
                          <w:sz w:val="18"/>
                          <w:szCs w:val="18"/>
                          <w:lang w:val="en-GB"/>
                        </w:rPr>
                        <w:t>: Spatial Distribution of Chromium</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A81D22A" wp14:editId="51687145">
                <wp:simplePos x="0" y="0"/>
                <wp:positionH relativeFrom="margin">
                  <wp:align>center</wp:align>
                </wp:positionH>
                <wp:positionV relativeFrom="paragraph">
                  <wp:posOffset>195473</wp:posOffset>
                </wp:positionV>
                <wp:extent cx="2024743" cy="249381"/>
                <wp:effectExtent l="0" t="0" r="0" b="0"/>
                <wp:wrapNone/>
                <wp:docPr id="2126735658" name="Text Box 23"/>
                <wp:cNvGraphicFramePr/>
                <a:graphic xmlns:a="http://schemas.openxmlformats.org/drawingml/2006/main">
                  <a:graphicData uri="http://schemas.microsoft.com/office/word/2010/wordprocessingShape">
                    <wps:wsp>
                      <wps:cNvSpPr txBox="1"/>
                      <wps:spPr>
                        <a:xfrm>
                          <a:off x="0" y="0"/>
                          <a:ext cx="2024743" cy="249381"/>
                        </a:xfrm>
                        <a:prstGeom prst="rect">
                          <a:avLst/>
                        </a:prstGeom>
                        <a:solidFill>
                          <a:schemeClr val="lt1"/>
                        </a:solidFill>
                        <a:ln w="6350">
                          <a:noFill/>
                        </a:ln>
                      </wps:spPr>
                      <wps:txbx>
                        <w:txbxContent>
                          <w:p w14:paraId="62CBF29F" w14:textId="2FBD170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2b</w:t>
                            </w:r>
                            <w:r>
                              <w:rPr>
                                <w:rFonts w:ascii="Times New Roman" w:hAnsi="Times New Roman"/>
                                <w:sz w:val="18"/>
                                <w:szCs w:val="18"/>
                                <w:lang w:val="en-GB"/>
                              </w:rPr>
                              <w:t>: Spatial Distribution of Nickel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D22A" id="_x0000_s1030" type="#_x0000_t202" style="position:absolute;left:0;text-align:left;margin-left:0;margin-top:15.4pt;width:159.45pt;height:19.6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" fillcolor="white [3201]" stroked="f" strokeweight=".5pt">
                <v:textbox>
                  <w:txbxContent>
                    <w:p w14:paraId="62CBF29F" w14:textId="2FBD170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2b</w:t>
                      </w:r>
                      <w:r>
                        <w:rPr>
                          <w:rFonts w:ascii="Times New Roman" w:hAnsi="Times New Roman"/>
                          <w:sz w:val="18"/>
                          <w:szCs w:val="18"/>
                          <w:lang w:val="en-GB"/>
                        </w:rPr>
                        <w:t>: Spatial Distribution of Nickel</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2ECE4001" wp14:editId="397A3B55">
                <wp:simplePos x="0" y="0"/>
                <wp:positionH relativeFrom="column">
                  <wp:posOffset>-789709</wp:posOffset>
                </wp:positionH>
                <wp:positionV relativeFrom="paragraph">
                  <wp:posOffset>195399</wp:posOffset>
                </wp:positionV>
                <wp:extent cx="2024743" cy="249381"/>
                <wp:effectExtent l="0" t="0" r="0" b="0"/>
                <wp:wrapNone/>
                <wp:docPr id="2135680978" name="Text Box 23"/>
                <wp:cNvGraphicFramePr/>
                <a:graphic xmlns:a="http://schemas.openxmlformats.org/drawingml/2006/main">
                  <a:graphicData uri="http://schemas.microsoft.com/office/word/2010/wordprocessingShape">
                    <wps:wsp>
                      <wps:cNvSpPr txBox="1"/>
                      <wps:spPr>
                        <a:xfrm>
                          <a:off x="0" y="0"/>
                          <a:ext cx="2024743" cy="249381"/>
                        </a:xfrm>
                        <a:prstGeom prst="rect">
                          <a:avLst/>
                        </a:prstGeom>
                        <a:solidFill>
                          <a:schemeClr val="lt1"/>
                        </a:solidFill>
                        <a:ln w="6350">
                          <a:noFill/>
                        </a:ln>
                      </wps:spPr>
                      <wps:txbx>
                        <w:txbxContent>
                          <w:p w14:paraId="4527AC6E" w14:textId="33C367A0"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2a</w:t>
                            </w:r>
                            <w:r>
                              <w:rPr>
                                <w:rFonts w:ascii="Times New Roman" w:hAnsi="Times New Roman"/>
                                <w:sz w:val="18"/>
                                <w:szCs w:val="18"/>
                                <w:lang w:val="en-GB"/>
                              </w:rPr>
                              <w:t>: Spatial Distribution of Arsenic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E4001" id="_x0000_s1031" type="#_x0000_t202" style="position:absolute;left:0;text-align:left;margin-left:-62.2pt;margin-top:15.4pt;width:159.4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" fillcolor="white [3201]" stroked="f" strokeweight=".5pt">
                <v:textbox>
                  <w:txbxContent>
                    <w:p w14:paraId="4527AC6E" w14:textId="33C367A0"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2a</w:t>
                      </w:r>
                      <w:r>
                        <w:rPr>
                          <w:rFonts w:ascii="Times New Roman" w:hAnsi="Times New Roman"/>
                          <w:sz w:val="18"/>
                          <w:szCs w:val="18"/>
                          <w:lang w:val="en-GB"/>
                        </w:rPr>
                        <w:t>: Spatial Distribution of Arsenic</w:t>
                      </w:r>
                    </w:p>
                  </w:txbxContent>
                </v:textbox>
              </v:shape>
            </w:pict>
          </mc:Fallback>
        </mc:AlternateContent>
      </w:r>
    </w:p>
    <w:p w14:paraId="0BEF47BF" w14:textId="77777777" w:rsidR="00866F85" w:rsidRDefault="00866F85" w:rsidP="00866F85">
      <w:pPr>
        <w:jc w:val="both"/>
        <w:rPr>
          <w:rFonts w:ascii="Times New Roman" w:hAnsi="Times New Roman"/>
          <w:b/>
          <w:bCs/>
          <w:noProof/>
          <w:sz w:val="28"/>
          <w:szCs w:val="28"/>
        </w:rPr>
      </w:pPr>
      <w:r>
        <w:rPr>
          <w:rFonts w:ascii="Times New Roman" w:hAnsi="Times New Roman"/>
          <w:b/>
          <w:bCs/>
          <w:noProof/>
          <w:sz w:val="28"/>
          <w:szCs w:val="28"/>
        </w:rPr>
        <mc:AlternateContent>
          <mc:Choice Requires="wps">
            <w:drawing>
              <wp:anchor distT="0" distB="0" distL="114300" distR="114300" simplePos="0" relativeHeight="251663360" behindDoc="0" locked="0" layoutInCell="1" allowOverlap="1" wp14:anchorId="214304F9" wp14:editId="232276D0">
                <wp:simplePos x="0" y="0"/>
                <wp:positionH relativeFrom="margin">
                  <wp:posOffset>3484880</wp:posOffset>
                </wp:positionH>
                <wp:positionV relativeFrom="paragraph">
                  <wp:posOffset>260639</wp:posOffset>
                </wp:positionV>
                <wp:extent cx="2178685" cy="1739265"/>
                <wp:effectExtent l="0" t="0" r="0" b="0"/>
                <wp:wrapNone/>
                <wp:docPr id="952213653"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1E0EDCAB" w14:textId="77777777" w:rsidR="00866F85" w:rsidRDefault="00866F85" w:rsidP="00866F85">
                            <w:pPr>
                              <w:rPr>
                                <w:lang w:val="en-GB"/>
                              </w:rPr>
                            </w:pPr>
                            <w:r>
                              <w:rPr>
                                <w:noProof/>
                              </w:rPr>
                              <w:drawing>
                                <wp:inline distT="0" distB="0" distL="0" distR="0" wp14:anchorId="2C1DDC23" wp14:editId="1092E384">
                                  <wp:extent cx="1989455" cy="1614170"/>
                                  <wp:effectExtent l="0" t="0" r="0" b="5080"/>
                                  <wp:docPr id="5005830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3078" name="Picture 500583078"/>
                                          <pic:cNvPicPr/>
                                        </pic:nvPicPr>
                                        <pic:blipFill>
                                          <a:blip r:embed="rId11">
                                            <a:extLst>
                                              <a:ext uri="{28A0092B-C50C-407E-A947-70E740481C1C}">
                                                <a14:useLocalDpi xmlns:a14="http://schemas.microsoft.com/office/drawing/2010/main" val="0"/>
                                              </a:ext>
                                            </a:extLst>
                                          </a:blip>
                                          <a:stretch>
                                            <a:fillRect/>
                                          </a:stretch>
                                        </pic:blipFill>
                                        <pic:spPr>
                                          <a:xfrm>
                                            <a:off x="0" y="0"/>
                                            <a:ext cx="1989455" cy="1614170"/>
                                          </a:xfrm>
                                          <a:prstGeom prst="rect">
                                            <a:avLst/>
                                          </a:prstGeom>
                                        </pic:spPr>
                                      </pic:pic>
                                    </a:graphicData>
                                  </a:graphic>
                                </wp:inline>
                              </w:drawing>
                            </w:r>
                          </w:p>
                          <w:p w14:paraId="3B344465" w14:textId="77777777" w:rsidR="00866F85" w:rsidRDefault="00866F85" w:rsidP="00866F85">
                            <w:pPr>
                              <w:rPr>
                                <w:lang w:val="en-GB"/>
                              </w:rPr>
                            </w:pPr>
                          </w:p>
                          <w:p w14:paraId="5F3099FA" w14:textId="77777777" w:rsidR="00866F85" w:rsidRDefault="00866F85" w:rsidP="00866F85">
                            <w:pPr>
                              <w:rPr>
                                <w:lang w:val="en-GB"/>
                              </w:rPr>
                            </w:pPr>
                          </w:p>
                          <w:p w14:paraId="668FEA01" w14:textId="77777777" w:rsidR="00866F85" w:rsidRDefault="00866F85" w:rsidP="00866F85">
                            <w:pPr>
                              <w:rPr>
                                <w:lang w:val="en-GB"/>
                              </w:rPr>
                            </w:pPr>
                          </w:p>
                          <w:p w14:paraId="3A110E91" w14:textId="77777777" w:rsidR="00866F85" w:rsidRDefault="00866F85" w:rsidP="00866F85">
                            <w:pPr>
                              <w:rPr>
                                <w:lang w:val="en-GB"/>
                              </w:rPr>
                            </w:pPr>
                          </w:p>
                          <w:p w14:paraId="3B68A139" w14:textId="77777777" w:rsidR="00866F85" w:rsidRDefault="00866F85" w:rsidP="00866F85">
                            <w:pPr>
                              <w:rPr>
                                <w:lang w:val="en-GB"/>
                              </w:rPr>
                            </w:pPr>
                          </w:p>
                          <w:p w14:paraId="37FDEBAA" w14:textId="77777777" w:rsidR="00866F85" w:rsidRDefault="00866F85" w:rsidP="00866F85">
                            <w:pPr>
                              <w:rPr>
                                <w:lang w:val="en-GB"/>
                              </w:rPr>
                            </w:pPr>
                          </w:p>
                          <w:p w14:paraId="23469813" w14:textId="77777777" w:rsidR="00866F85" w:rsidRDefault="00866F85" w:rsidP="00866F85">
                            <w:pPr>
                              <w:rPr>
                                <w:lang w:val="en-GB"/>
                              </w:rPr>
                            </w:pPr>
                          </w:p>
                          <w:p w14:paraId="6644D709" w14:textId="77777777" w:rsidR="00866F85" w:rsidRDefault="00866F85" w:rsidP="00866F85">
                            <w:pPr>
                              <w:rPr>
                                <w:lang w:val="en-GB"/>
                              </w:rPr>
                            </w:pPr>
                          </w:p>
                          <w:p w14:paraId="79FA4EB4" w14:textId="77777777" w:rsidR="00866F85" w:rsidRDefault="00866F85" w:rsidP="00866F85">
                            <w:pPr>
                              <w:rPr>
                                <w:lang w:val="en-GB"/>
                              </w:rPr>
                            </w:pPr>
                          </w:p>
                          <w:p w14:paraId="12AA58D0" w14:textId="77777777" w:rsidR="00866F85" w:rsidRPr="003223F7" w:rsidRDefault="00866F85" w:rsidP="00866F8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304F9" id="_x0000_s1032" type="#_x0000_t202" style="position:absolute;left:0;text-align:left;margin-left:274.4pt;margin-top:20.5pt;width:171.55pt;height:136.9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" fillcolor="white [3201]" stroked="f" strokeweight=".5pt">
                <v:textbox>
                  <w:txbxContent>
                    <w:p w14:paraId="1E0EDCAB" w14:textId="77777777" w:rsidR="00866F85" w:rsidRDefault="00866F85" w:rsidP="00866F85">
                      <w:pPr>
                        <w:rPr>
                          <w:lang w:val="en-GB"/>
                        </w:rPr>
                      </w:pPr>
                      <w:r>
                        <w:rPr>
                          <w:noProof/>
                        </w:rPr>
                        <w:drawing>
                          <wp:inline distT="0" distB="0" distL="0" distR="0" wp14:anchorId="2C1DDC23" wp14:editId="1092E384">
                            <wp:extent cx="1989455" cy="1614170"/>
                            <wp:effectExtent l="0" t="0" r="0" b="5080"/>
                            <wp:docPr id="5005830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3078" name="Picture 500583078"/>
                                    <pic:cNvPicPr/>
                                  </pic:nvPicPr>
                                  <pic:blipFill>
                                    <a:blip r:embed="rId11">
                                      <a:extLst>
                                        <a:ext uri="{28A0092B-C50C-407E-A947-70E740481C1C}">
                                          <a14:useLocalDpi xmlns:a14="http://schemas.microsoft.com/office/drawing/2010/main" val="0"/>
                                        </a:ext>
                                      </a:extLst>
                                    </a:blip>
                                    <a:stretch>
                                      <a:fillRect/>
                                    </a:stretch>
                                  </pic:blipFill>
                                  <pic:spPr>
                                    <a:xfrm>
                                      <a:off x="0" y="0"/>
                                      <a:ext cx="1989455" cy="1614170"/>
                                    </a:xfrm>
                                    <a:prstGeom prst="rect">
                                      <a:avLst/>
                                    </a:prstGeom>
                                  </pic:spPr>
                                </pic:pic>
                              </a:graphicData>
                            </a:graphic>
                          </wp:inline>
                        </w:drawing>
                      </w:r>
                    </w:p>
                    <w:p w14:paraId="3B344465" w14:textId="77777777" w:rsidR="00866F85" w:rsidRDefault="00866F85" w:rsidP="00866F85">
                      <w:pPr>
                        <w:rPr>
                          <w:lang w:val="en-GB"/>
                        </w:rPr>
                      </w:pPr>
                    </w:p>
                    <w:p w14:paraId="5F3099FA" w14:textId="77777777" w:rsidR="00866F85" w:rsidRDefault="00866F85" w:rsidP="00866F85">
                      <w:pPr>
                        <w:rPr>
                          <w:lang w:val="en-GB"/>
                        </w:rPr>
                      </w:pPr>
                    </w:p>
                    <w:p w14:paraId="668FEA01" w14:textId="77777777" w:rsidR="00866F85" w:rsidRDefault="00866F85" w:rsidP="00866F85">
                      <w:pPr>
                        <w:rPr>
                          <w:lang w:val="en-GB"/>
                        </w:rPr>
                      </w:pPr>
                    </w:p>
                    <w:p w14:paraId="3A110E91" w14:textId="77777777" w:rsidR="00866F85" w:rsidRDefault="00866F85" w:rsidP="00866F85">
                      <w:pPr>
                        <w:rPr>
                          <w:lang w:val="en-GB"/>
                        </w:rPr>
                      </w:pPr>
                    </w:p>
                    <w:p w14:paraId="3B68A139" w14:textId="77777777" w:rsidR="00866F85" w:rsidRDefault="00866F85" w:rsidP="00866F85">
                      <w:pPr>
                        <w:rPr>
                          <w:lang w:val="en-GB"/>
                        </w:rPr>
                      </w:pPr>
                    </w:p>
                    <w:p w14:paraId="37FDEBAA" w14:textId="77777777" w:rsidR="00866F85" w:rsidRDefault="00866F85" w:rsidP="00866F85">
                      <w:pPr>
                        <w:rPr>
                          <w:lang w:val="en-GB"/>
                        </w:rPr>
                      </w:pPr>
                    </w:p>
                    <w:p w14:paraId="23469813" w14:textId="77777777" w:rsidR="00866F85" w:rsidRDefault="00866F85" w:rsidP="00866F85">
                      <w:pPr>
                        <w:rPr>
                          <w:lang w:val="en-GB"/>
                        </w:rPr>
                      </w:pPr>
                    </w:p>
                    <w:p w14:paraId="6644D709" w14:textId="77777777" w:rsidR="00866F85" w:rsidRDefault="00866F85" w:rsidP="00866F85">
                      <w:pPr>
                        <w:rPr>
                          <w:lang w:val="en-GB"/>
                        </w:rPr>
                      </w:pPr>
                    </w:p>
                    <w:p w14:paraId="79FA4EB4" w14:textId="77777777" w:rsidR="00866F85" w:rsidRDefault="00866F85" w:rsidP="00866F85">
                      <w:pPr>
                        <w:rPr>
                          <w:lang w:val="en-GB"/>
                        </w:rPr>
                      </w:pPr>
                    </w:p>
                    <w:p w14:paraId="12AA58D0" w14:textId="77777777" w:rsidR="00866F85" w:rsidRPr="003223F7" w:rsidRDefault="00866F85" w:rsidP="00866F85">
                      <w:pPr>
                        <w:rPr>
                          <w:lang w:val="en-GB"/>
                        </w:rPr>
                      </w:pPr>
                    </w:p>
                  </w:txbxContent>
                </v:textbox>
                <w10:wrap anchorx="margin"/>
              </v:shape>
            </w:pict>
          </mc:Fallback>
        </mc:AlternateContent>
      </w:r>
      <w:r>
        <w:rPr>
          <w:rFonts w:ascii="Times New Roman" w:hAnsi="Times New Roman"/>
          <w:b/>
          <w:bCs/>
          <w:noProof/>
          <w:sz w:val="28"/>
          <w:szCs w:val="28"/>
        </w:rPr>
        <mc:AlternateContent>
          <mc:Choice Requires="wps">
            <w:drawing>
              <wp:anchor distT="0" distB="0" distL="114300" distR="114300" simplePos="0" relativeHeight="251662336" behindDoc="0" locked="0" layoutInCell="1" allowOverlap="1" wp14:anchorId="7C34BF6F" wp14:editId="0EA0F62B">
                <wp:simplePos x="0" y="0"/>
                <wp:positionH relativeFrom="margin">
                  <wp:align>left</wp:align>
                </wp:positionH>
                <wp:positionV relativeFrom="paragraph">
                  <wp:posOffset>243222</wp:posOffset>
                </wp:positionV>
                <wp:extent cx="2178685" cy="1739265"/>
                <wp:effectExtent l="0" t="0" r="0" b="0"/>
                <wp:wrapNone/>
                <wp:docPr id="2053223573"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6E2EE64A" w14:textId="77777777" w:rsidR="00866F85" w:rsidRDefault="00866F85" w:rsidP="00866F85">
                            <w:pPr>
                              <w:rPr>
                                <w:lang w:val="en-GB"/>
                              </w:rPr>
                            </w:pPr>
                            <w:r>
                              <w:rPr>
                                <w:noProof/>
                              </w:rPr>
                              <w:drawing>
                                <wp:inline distT="0" distB="0" distL="0" distR="0" wp14:anchorId="196131DB" wp14:editId="40C252C9">
                                  <wp:extent cx="1989455" cy="1626870"/>
                                  <wp:effectExtent l="0" t="0" r="0" b="0"/>
                                  <wp:docPr id="8660762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76285" name="Picture 866076285"/>
                                          <pic:cNvPicPr/>
                                        </pic:nvPicPr>
                                        <pic:blipFill>
                                          <a:blip r:embed="rId12">
                                            <a:extLst>
                                              <a:ext uri="{28A0092B-C50C-407E-A947-70E740481C1C}">
                                                <a14:useLocalDpi xmlns:a14="http://schemas.microsoft.com/office/drawing/2010/main" val="0"/>
                                              </a:ext>
                                            </a:extLst>
                                          </a:blip>
                                          <a:stretch>
                                            <a:fillRect/>
                                          </a:stretch>
                                        </pic:blipFill>
                                        <pic:spPr>
                                          <a:xfrm>
                                            <a:off x="0" y="0"/>
                                            <a:ext cx="1989455" cy="1626870"/>
                                          </a:xfrm>
                                          <a:prstGeom prst="rect">
                                            <a:avLst/>
                                          </a:prstGeom>
                                        </pic:spPr>
                                      </pic:pic>
                                    </a:graphicData>
                                  </a:graphic>
                                </wp:inline>
                              </w:drawing>
                            </w:r>
                          </w:p>
                          <w:p w14:paraId="18458C96" w14:textId="77777777" w:rsidR="00866F85" w:rsidRDefault="00866F85" w:rsidP="00866F85">
                            <w:pPr>
                              <w:rPr>
                                <w:lang w:val="en-GB"/>
                              </w:rPr>
                            </w:pPr>
                          </w:p>
                          <w:p w14:paraId="3F2F18F4" w14:textId="77777777" w:rsidR="00866F85" w:rsidRDefault="00866F85" w:rsidP="00866F85">
                            <w:pPr>
                              <w:rPr>
                                <w:lang w:val="en-GB"/>
                              </w:rPr>
                            </w:pPr>
                          </w:p>
                          <w:p w14:paraId="0CDD26E7" w14:textId="77777777" w:rsidR="00866F85" w:rsidRDefault="00866F85" w:rsidP="00866F85">
                            <w:pPr>
                              <w:rPr>
                                <w:lang w:val="en-GB"/>
                              </w:rPr>
                            </w:pPr>
                          </w:p>
                          <w:p w14:paraId="1B2A32BA" w14:textId="77777777" w:rsidR="00866F85" w:rsidRDefault="00866F85" w:rsidP="00866F85">
                            <w:pPr>
                              <w:rPr>
                                <w:lang w:val="en-GB"/>
                              </w:rPr>
                            </w:pPr>
                          </w:p>
                          <w:p w14:paraId="3CE8D5FF" w14:textId="77777777" w:rsidR="00866F85" w:rsidRDefault="00866F85" w:rsidP="00866F85">
                            <w:pPr>
                              <w:rPr>
                                <w:lang w:val="en-GB"/>
                              </w:rPr>
                            </w:pPr>
                          </w:p>
                          <w:p w14:paraId="4B667BF7" w14:textId="77777777" w:rsidR="00866F85" w:rsidRDefault="00866F85" w:rsidP="00866F85">
                            <w:pPr>
                              <w:rPr>
                                <w:lang w:val="en-GB"/>
                              </w:rPr>
                            </w:pPr>
                          </w:p>
                          <w:p w14:paraId="35AE94E3" w14:textId="77777777" w:rsidR="00866F85" w:rsidRDefault="00866F85" w:rsidP="00866F85">
                            <w:pPr>
                              <w:rPr>
                                <w:lang w:val="en-GB"/>
                              </w:rPr>
                            </w:pPr>
                          </w:p>
                          <w:p w14:paraId="0592A05C" w14:textId="77777777" w:rsidR="00866F85" w:rsidRDefault="00866F85" w:rsidP="00866F85">
                            <w:pPr>
                              <w:rPr>
                                <w:lang w:val="en-GB"/>
                              </w:rPr>
                            </w:pPr>
                          </w:p>
                          <w:p w14:paraId="651E9F5E" w14:textId="77777777" w:rsidR="00866F85" w:rsidRDefault="00866F85" w:rsidP="00866F85">
                            <w:pPr>
                              <w:rPr>
                                <w:lang w:val="en-GB"/>
                              </w:rPr>
                            </w:pPr>
                          </w:p>
                          <w:p w14:paraId="62D4D0F5" w14:textId="77777777" w:rsidR="00866F85" w:rsidRPr="003223F7" w:rsidRDefault="00866F85" w:rsidP="00866F8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4BF6F" id="_x0000_s1033" type="#_x0000_t202" style="position:absolute;left:0;text-align:left;margin-left:0;margin-top:19.15pt;width:171.55pt;height:136.9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" fillcolor="white [3201]" stroked="f" strokeweight=".5pt">
                <v:textbox>
                  <w:txbxContent>
                    <w:p w14:paraId="6E2EE64A" w14:textId="77777777" w:rsidR="00866F85" w:rsidRDefault="00866F85" w:rsidP="00866F85">
                      <w:pPr>
                        <w:rPr>
                          <w:lang w:val="en-GB"/>
                        </w:rPr>
                      </w:pPr>
                      <w:r>
                        <w:rPr>
                          <w:noProof/>
                        </w:rPr>
                        <w:drawing>
                          <wp:inline distT="0" distB="0" distL="0" distR="0" wp14:anchorId="196131DB" wp14:editId="40C252C9">
                            <wp:extent cx="1989455" cy="1626870"/>
                            <wp:effectExtent l="0" t="0" r="0" b="0"/>
                            <wp:docPr id="8660762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76285" name="Picture 866076285"/>
                                    <pic:cNvPicPr/>
                                  </pic:nvPicPr>
                                  <pic:blipFill>
                                    <a:blip r:embed="rId12">
                                      <a:extLst>
                                        <a:ext uri="{28A0092B-C50C-407E-A947-70E740481C1C}">
                                          <a14:useLocalDpi xmlns:a14="http://schemas.microsoft.com/office/drawing/2010/main" val="0"/>
                                        </a:ext>
                                      </a:extLst>
                                    </a:blip>
                                    <a:stretch>
                                      <a:fillRect/>
                                    </a:stretch>
                                  </pic:blipFill>
                                  <pic:spPr>
                                    <a:xfrm>
                                      <a:off x="0" y="0"/>
                                      <a:ext cx="1989455" cy="1626870"/>
                                    </a:xfrm>
                                    <a:prstGeom prst="rect">
                                      <a:avLst/>
                                    </a:prstGeom>
                                  </pic:spPr>
                                </pic:pic>
                              </a:graphicData>
                            </a:graphic>
                          </wp:inline>
                        </w:drawing>
                      </w:r>
                    </w:p>
                    <w:p w14:paraId="18458C96" w14:textId="77777777" w:rsidR="00866F85" w:rsidRDefault="00866F85" w:rsidP="00866F85">
                      <w:pPr>
                        <w:rPr>
                          <w:lang w:val="en-GB"/>
                        </w:rPr>
                      </w:pPr>
                    </w:p>
                    <w:p w14:paraId="3F2F18F4" w14:textId="77777777" w:rsidR="00866F85" w:rsidRDefault="00866F85" w:rsidP="00866F85">
                      <w:pPr>
                        <w:rPr>
                          <w:lang w:val="en-GB"/>
                        </w:rPr>
                      </w:pPr>
                    </w:p>
                    <w:p w14:paraId="0CDD26E7" w14:textId="77777777" w:rsidR="00866F85" w:rsidRDefault="00866F85" w:rsidP="00866F85">
                      <w:pPr>
                        <w:rPr>
                          <w:lang w:val="en-GB"/>
                        </w:rPr>
                      </w:pPr>
                    </w:p>
                    <w:p w14:paraId="1B2A32BA" w14:textId="77777777" w:rsidR="00866F85" w:rsidRDefault="00866F85" w:rsidP="00866F85">
                      <w:pPr>
                        <w:rPr>
                          <w:lang w:val="en-GB"/>
                        </w:rPr>
                      </w:pPr>
                    </w:p>
                    <w:p w14:paraId="3CE8D5FF" w14:textId="77777777" w:rsidR="00866F85" w:rsidRDefault="00866F85" w:rsidP="00866F85">
                      <w:pPr>
                        <w:rPr>
                          <w:lang w:val="en-GB"/>
                        </w:rPr>
                      </w:pPr>
                    </w:p>
                    <w:p w14:paraId="4B667BF7" w14:textId="77777777" w:rsidR="00866F85" w:rsidRDefault="00866F85" w:rsidP="00866F85">
                      <w:pPr>
                        <w:rPr>
                          <w:lang w:val="en-GB"/>
                        </w:rPr>
                      </w:pPr>
                    </w:p>
                    <w:p w14:paraId="35AE94E3" w14:textId="77777777" w:rsidR="00866F85" w:rsidRDefault="00866F85" w:rsidP="00866F85">
                      <w:pPr>
                        <w:rPr>
                          <w:lang w:val="en-GB"/>
                        </w:rPr>
                      </w:pPr>
                    </w:p>
                    <w:p w14:paraId="0592A05C" w14:textId="77777777" w:rsidR="00866F85" w:rsidRDefault="00866F85" w:rsidP="00866F85">
                      <w:pPr>
                        <w:rPr>
                          <w:lang w:val="en-GB"/>
                        </w:rPr>
                      </w:pPr>
                    </w:p>
                    <w:p w14:paraId="651E9F5E" w14:textId="77777777" w:rsidR="00866F85" w:rsidRDefault="00866F85" w:rsidP="00866F85">
                      <w:pPr>
                        <w:rPr>
                          <w:lang w:val="en-GB"/>
                        </w:rPr>
                      </w:pPr>
                    </w:p>
                    <w:p w14:paraId="62D4D0F5" w14:textId="77777777" w:rsidR="00866F85" w:rsidRPr="003223F7" w:rsidRDefault="00866F85" w:rsidP="00866F85">
                      <w:pPr>
                        <w:rPr>
                          <w:lang w:val="en-GB"/>
                        </w:rPr>
                      </w:pPr>
                    </w:p>
                  </w:txbxContent>
                </v:textbox>
                <w10:wrap anchorx="margin"/>
              </v:shape>
            </w:pict>
          </mc:Fallback>
        </mc:AlternateContent>
      </w:r>
    </w:p>
    <w:p w14:paraId="75A0310B" w14:textId="77777777" w:rsidR="00866F85" w:rsidRDefault="00866F85" w:rsidP="00866F85">
      <w:pPr>
        <w:jc w:val="both"/>
        <w:rPr>
          <w:rFonts w:ascii="Times New Roman" w:hAnsi="Times New Roman"/>
          <w:b/>
          <w:bCs/>
          <w:noProof/>
          <w:sz w:val="28"/>
          <w:szCs w:val="28"/>
        </w:rPr>
      </w:pP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p>
    <w:p w14:paraId="1D8657DA" w14:textId="77777777" w:rsidR="00866F85" w:rsidRDefault="00866F85" w:rsidP="00866F85">
      <w:pPr>
        <w:jc w:val="both"/>
        <w:rPr>
          <w:rFonts w:ascii="Times New Roman" w:hAnsi="Times New Roman"/>
          <w:b/>
          <w:bCs/>
          <w:noProof/>
          <w:sz w:val="28"/>
          <w:szCs w:val="28"/>
        </w:rPr>
      </w:pPr>
    </w:p>
    <w:p w14:paraId="45E50C8E" w14:textId="77777777" w:rsidR="00866F85" w:rsidRDefault="00866F85" w:rsidP="00866F85">
      <w:pPr>
        <w:jc w:val="both"/>
        <w:rPr>
          <w:rFonts w:ascii="Times New Roman" w:hAnsi="Times New Roman"/>
          <w:b/>
          <w:bCs/>
          <w:noProof/>
          <w:sz w:val="28"/>
          <w:szCs w:val="28"/>
        </w:rPr>
      </w:pPr>
    </w:p>
    <w:p w14:paraId="10072497" w14:textId="77777777" w:rsidR="009F5EFC" w:rsidRDefault="009F5EFC" w:rsidP="00866F85">
      <w:pPr>
        <w:jc w:val="both"/>
        <w:rPr>
          <w:rFonts w:ascii="Times New Roman" w:hAnsi="Times New Roman"/>
          <w:b/>
          <w:bCs/>
          <w:noProof/>
          <w:sz w:val="28"/>
          <w:szCs w:val="28"/>
        </w:rPr>
      </w:pPr>
    </w:p>
    <w:p w14:paraId="6EC11D97" w14:textId="77777777" w:rsidR="009F5EFC" w:rsidRDefault="009F5EFC" w:rsidP="00866F85">
      <w:pPr>
        <w:jc w:val="both"/>
        <w:rPr>
          <w:rFonts w:ascii="Times New Roman" w:hAnsi="Times New Roman"/>
          <w:b/>
          <w:bCs/>
          <w:noProof/>
          <w:sz w:val="28"/>
          <w:szCs w:val="28"/>
        </w:rPr>
      </w:pPr>
    </w:p>
    <w:p w14:paraId="67AB0456" w14:textId="77777777" w:rsidR="009F5EFC" w:rsidRDefault="009F5EFC" w:rsidP="00866F85">
      <w:pPr>
        <w:jc w:val="both"/>
        <w:rPr>
          <w:rFonts w:ascii="Times New Roman" w:hAnsi="Times New Roman"/>
          <w:b/>
          <w:bCs/>
          <w:noProof/>
          <w:sz w:val="28"/>
          <w:szCs w:val="28"/>
        </w:rPr>
      </w:pPr>
    </w:p>
    <w:p w14:paraId="6E632E32" w14:textId="77777777" w:rsidR="009F5EFC" w:rsidRDefault="009F5EFC" w:rsidP="00866F85">
      <w:pPr>
        <w:jc w:val="both"/>
        <w:rPr>
          <w:rFonts w:ascii="Times New Roman" w:hAnsi="Times New Roman"/>
          <w:b/>
          <w:bCs/>
          <w:noProof/>
          <w:sz w:val="28"/>
          <w:szCs w:val="28"/>
        </w:rPr>
      </w:pPr>
    </w:p>
    <w:p w14:paraId="2F27B929" w14:textId="77777777" w:rsidR="009F5EFC" w:rsidRDefault="009F5EFC" w:rsidP="00866F85">
      <w:pPr>
        <w:jc w:val="both"/>
        <w:rPr>
          <w:rFonts w:ascii="Times New Roman" w:hAnsi="Times New Roman"/>
          <w:b/>
          <w:bCs/>
          <w:noProof/>
          <w:sz w:val="28"/>
          <w:szCs w:val="28"/>
        </w:rPr>
      </w:pPr>
    </w:p>
    <w:p w14:paraId="2235543B" w14:textId="0B3A4C01" w:rsidR="009F5EFC" w:rsidRDefault="009F5EFC" w:rsidP="00866F85">
      <w:pPr>
        <w:jc w:val="both"/>
        <w:rPr>
          <w:rFonts w:ascii="Times New Roman" w:hAnsi="Times New Roman"/>
          <w:b/>
          <w:bCs/>
          <w:noProof/>
          <w:sz w:val="28"/>
          <w:szCs w:val="28"/>
        </w:rPr>
      </w:pPr>
      <w:r>
        <w:rPr>
          <w:noProof/>
        </w:rPr>
        <mc:AlternateContent>
          <mc:Choice Requires="wps">
            <w:drawing>
              <wp:anchor distT="0" distB="0" distL="114300" distR="114300" simplePos="0" relativeHeight="251668480" behindDoc="0" locked="0" layoutInCell="1" allowOverlap="1" wp14:anchorId="50109860" wp14:editId="7A7B5ED9">
                <wp:simplePos x="0" y="0"/>
                <wp:positionH relativeFrom="column">
                  <wp:posOffset>3858260</wp:posOffset>
                </wp:positionH>
                <wp:positionV relativeFrom="paragraph">
                  <wp:posOffset>102870</wp:posOffset>
                </wp:positionV>
                <wp:extent cx="2024380" cy="248920"/>
                <wp:effectExtent l="0" t="0" r="0" b="0"/>
                <wp:wrapNone/>
                <wp:docPr id="2020517695" name="Text Box 23"/>
                <wp:cNvGraphicFramePr/>
                <a:graphic xmlns:a="http://schemas.openxmlformats.org/drawingml/2006/main">
                  <a:graphicData uri="http://schemas.microsoft.com/office/word/2010/wordprocessingShape">
                    <wps:wsp>
                      <wps:cNvSpPr txBox="1"/>
                      <wps:spPr>
                        <a:xfrm>
                          <a:off x="0" y="0"/>
                          <a:ext cx="2024380" cy="248920"/>
                        </a:xfrm>
                        <a:prstGeom prst="rect">
                          <a:avLst/>
                        </a:prstGeom>
                        <a:solidFill>
                          <a:schemeClr val="lt1"/>
                        </a:solidFill>
                        <a:ln w="6350">
                          <a:noFill/>
                        </a:ln>
                      </wps:spPr>
                      <wps:txbx>
                        <w:txbxContent>
                          <w:p w14:paraId="79EEB3A5" w14:textId="2FBF880E"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2e</w:t>
                            </w:r>
                            <w:r>
                              <w:rPr>
                                <w:rFonts w:ascii="Times New Roman" w:hAnsi="Times New Roman"/>
                                <w:sz w:val="18"/>
                                <w:szCs w:val="18"/>
                                <w:lang w:val="en-GB"/>
                              </w:rPr>
                              <w:t>: Spatial Distribution of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9860" id="_x0000_s1034" type="#_x0000_t202" style="position:absolute;left:0;text-align:left;margin-left:303.8pt;margin-top:8.1pt;width:159.4pt;height:1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" fillcolor="white [3201]" stroked="f" strokeweight=".5pt">
                <v:textbox>
                  <w:txbxContent>
                    <w:p w14:paraId="79EEB3A5" w14:textId="2FBF880E"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2e</w:t>
                      </w:r>
                      <w:r>
                        <w:rPr>
                          <w:rFonts w:ascii="Times New Roman" w:hAnsi="Times New Roman"/>
                          <w:sz w:val="18"/>
                          <w:szCs w:val="18"/>
                          <w:lang w:val="en-GB"/>
                        </w:rPr>
                        <w:t>: Spatial Distribution of Lead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6596974" wp14:editId="3ACA8AC8">
                <wp:simplePos x="0" y="0"/>
                <wp:positionH relativeFrom="margin">
                  <wp:posOffset>187325</wp:posOffset>
                </wp:positionH>
                <wp:positionV relativeFrom="paragraph">
                  <wp:posOffset>160655</wp:posOffset>
                </wp:positionV>
                <wp:extent cx="2232025" cy="248920"/>
                <wp:effectExtent l="0" t="0" r="0" b="0"/>
                <wp:wrapNone/>
                <wp:docPr id="741218124" name="Text Box 23"/>
                <wp:cNvGraphicFramePr/>
                <a:graphic xmlns:a="http://schemas.openxmlformats.org/drawingml/2006/main">
                  <a:graphicData uri="http://schemas.microsoft.com/office/word/2010/wordprocessingShape">
                    <wps:wsp>
                      <wps:cNvSpPr txBox="1"/>
                      <wps:spPr>
                        <a:xfrm>
                          <a:off x="0" y="0"/>
                          <a:ext cx="2232025" cy="248920"/>
                        </a:xfrm>
                        <a:prstGeom prst="rect">
                          <a:avLst/>
                        </a:prstGeom>
                        <a:solidFill>
                          <a:schemeClr val="lt1"/>
                        </a:solidFill>
                        <a:ln w="6350">
                          <a:noFill/>
                        </a:ln>
                      </wps:spPr>
                      <wps:txbx>
                        <w:txbxContent>
                          <w:p w14:paraId="556EBDD9" w14:textId="4559867E" w:rsidR="00866F85"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2d</w:t>
                            </w:r>
                            <w:r>
                              <w:rPr>
                                <w:rFonts w:ascii="Times New Roman" w:hAnsi="Times New Roman"/>
                                <w:sz w:val="18"/>
                                <w:szCs w:val="18"/>
                                <w:lang w:val="en-GB"/>
                              </w:rPr>
                              <w:t>: Spatial Distribution of Cadmium</w:t>
                            </w:r>
                          </w:p>
                          <w:p w14:paraId="5DFFE4EE" w14:textId="77777777" w:rsidR="00866F85" w:rsidRDefault="00866F85" w:rsidP="00866F85">
                            <w:pPr>
                              <w:rPr>
                                <w:rFonts w:ascii="Times New Roman" w:hAnsi="Times New Roman"/>
                                <w:sz w:val="18"/>
                                <w:szCs w:val="18"/>
                                <w:lang w:val="en-GB"/>
                              </w:rPr>
                            </w:pPr>
                          </w:p>
                          <w:p w14:paraId="03F31AA2" w14:textId="77777777" w:rsidR="00866F85" w:rsidRDefault="00866F85" w:rsidP="00866F85">
                            <w:pPr>
                              <w:rPr>
                                <w:rFonts w:ascii="Times New Roman" w:hAnsi="Times New Roman"/>
                                <w:sz w:val="18"/>
                                <w:szCs w:val="18"/>
                                <w:lang w:val="en-GB"/>
                              </w:rPr>
                            </w:pPr>
                          </w:p>
                          <w:p w14:paraId="6D7F3227" w14:textId="77777777" w:rsidR="00866F85" w:rsidRDefault="00866F85" w:rsidP="00866F85">
                            <w:pPr>
                              <w:rPr>
                                <w:rFonts w:ascii="Times New Roman" w:hAnsi="Times New Roman"/>
                                <w:sz w:val="18"/>
                                <w:szCs w:val="18"/>
                                <w:lang w:val="en-GB"/>
                              </w:rPr>
                            </w:pPr>
                          </w:p>
                          <w:p w14:paraId="0E0B8F4C" w14:textId="77777777" w:rsidR="00866F85" w:rsidRDefault="00866F85" w:rsidP="00866F85">
                            <w:pPr>
                              <w:rPr>
                                <w:rFonts w:ascii="Times New Roman" w:hAnsi="Times New Roman"/>
                                <w:sz w:val="18"/>
                                <w:szCs w:val="18"/>
                                <w:lang w:val="en-GB"/>
                              </w:rPr>
                            </w:pPr>
                          </w:p>
                          <w:p w14:paraId="49FA1BF8" w14:textId="77777777" w:rsidR="00866F85" w:rsidRDefault="00866F85" w:rsidP="00866F85">
                            <w:pPr>
                              <w:rPr>
                                <w:rFonts w:ascii="Times New Roman" w:hAnsi="Times New Roman"/>
                                <w:sz w:val="18"/>
                                <w:szCs w:val="18"/>
                                <w:lang w:val="en-GB"/>
                              </w:rPr>
                            </w:pPr>
                          </w:p>
                          <w:p w14:paraId="4B15D5BC" w14:textId="77777777" w:rsidR="00866F85" w:rsidRDefault="00866F85" w:rsidP="00866F85">
                            <w:pPr>
                              <w:rPr>
                                <w:rFonts w:ascii="Times New Roman" w:hAnsi="Times New Roman"/>
                                <w:sz w:val="18"/>
                                <w:szCs w:val="18"/>
                                <w:lang w:val="en-GB"/>
                              </w:rPr>
                            </w:pPr>
                          </w:p>
                          <w:p w14:paraId="0DBB35F5" w14:textId="77777777" w:rsidR="00866F85" w:rsidRDefault="00866F85" w:rsidP="00866F85">
                            <w:pPr>
                              <w:rPr>
                                <w:rFonts w:ascii="Times New Roman" w:hAnsi="Times New Roman"/>
                                <w:sz w:val="18"/>
                                <w:szCs w:val="18"/>
                                <w:lang w:val="en-GB"/>
                              </w:rPr>
                            </w:pPr>
                          </w:p>
                          <w:p w14:paraId="5DA9BFCC" w14:textId="77777777" w:rsidR="00866F85" w:rsidRDefault="00866F85" w:rsidP="00866F85">
                            <w:pPr>
                              <w:rPr>
                                <w:rFonts w:ascii="Times New Roman" w:hAnsi="Times New Roman"/>
                                <w:sz w:val="18"/>
                                <w:szCs w:val="18"/>
                                <w:lang w:val="en-GB"/>
                              </w:rPr>
                            </w:pPr>
                          </w:p>
                          <w:p w14:paraId="4D9B1E7A" w14:textId="77777777" w:rsidR="00866F85" w:rsidRDefault="00866F85" w:rsidP="00866F85">
                            <w:pPr>
                              <w:rPr>
                                <w:rFonts w:ascii="Times New Roman" w:hAnsi="Times New Roman"/>
                                <w:sz w:val="18"/>
                                <w:szCs w:val="18"/>
                                <w:lang w:val="en-GB"/>
                              </w:rPr>
                            </w:pPr>
                          </w:p>
                          <w:p w14:paraId="6BB7CF0C" w14:textId="77777777" w:rsidR="00866F85" w:rsidRPr="000054A2" w:rsidRDefault="00866F85" w:rsidP="00866F85">
                            <w:pPr>
                              <w:rPr>
                                <w:rFonts w:ascii="Times New Roman" w:hAnsi="Times New Roman"/>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96974" id="_x0000_s1035" type="#_x0000_t202" style="position:absolute;left:0;text-align:left;margin-left:14.75pt;margin-top:12.65pt;width:175.75pt;height:19.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" fillcolor="white [3201]" stroked="f" strokeweight=".5pt">
                <v:textbox>
                  <w:txbxContent>
                    <w:p w14:paraId="556EBDD9" w14:textId="4559867E" w:rsidR="00866F85"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2d</w:t>
                      </w:r>
                      <w:r>
                        <w:rPr>
                          <w:rFonts w:ascii="Times New Roman" w:hAnsi="Times New Roman"/>
                          <w:sz w:val="18"/>
                          <w:szCs w:val="18"/>
                          <w:lang w:val="en-GB"/>
                        </w:rPr>
                        <w:t>: Spatial Distribution of Cadmium</w:t>
                      </w:r>
                    </w:p>
                    <w:p w14:paraId="5DFFE4EE" w14:textId="77777777" w:rsidR="00866F85" w:rsidRDefault="00866F85" w:rsidP="00866F85">
                      <w:pPr>
                        <w:rPr>
                          <w:rFonts w:ascii="Times New Roman" w:hAnsi="Times New Roman"/>
                          <w:sz w:val="18"/>
                          <w:szCs w:val="18"/>
                          <w:lang w:val="en-GB"/>
                        </w:rPr>
                      </w:pPr>
                    </w:p>
                    <w:p w14:paraId="03F31AA2" w14:textId="77777777" w:rsidR="00866F85" w:rsidRDefault="00866F85" w:rsidP="00866F85">
                      <w:pPr>
                        <w:rPr>
                          <w:rFonts w:ascii="Times New Roman" w:hAnsi="Times New Roman"/>
                          <w:sz w:val="18"/>
                          <w:szCs w:val="18"/>
                          <w:lang w:val="en-GB"/>
                        </w:rPr>
                      </w:pPr>
                    </w:p>
                    <w:p w14:paraId="6D7F3227" w14:textId="77777777" w:rsidR="00866F85" w:rsidRDefault="00866F85" w:rsidP="00866F85">
                      <w:pPr>
                        <w:rPr>
                          <w:rFonts w:ascii="Times New Roman" w:hAnsi="Times New Roman"/>
                          <w:sz w:val="18"/>
                          <w:szCs w:val="18"/>
                          <w:lang w:val="en-GB"/>
                        </w:rPr>
                      </w:pPr>
                    </w:p>
                    <w:p w14:paraId="0E0B8F4C" w14:textId="77777777" w:rsidR="00866F85" w:rsidRDefault="00866F85" w:rsidP="00866F85">
                      <w:pPr>
                        <w:rPr>
                          <w:rFonts w:ascii="Times New Roman" w:hAnsi="Times New Roman"/>
                          <w:sz w:val="18"/>
                          <w:szCs w:val="18"/>
                          <w:lang w:val="en-GB"/>
                        </w:rPr>
                      </w:pPr>
                    </w:p>
                    <w:p w14:paraId="49FA1BF8" w14:textId="77777777" w:rsidR="00866F85" w:rsidRDefault="00866F85" w:rsidP="00866F85">
                      <w:pPr>
                        <w:rPr>
                          <w:rFonts w:ascii="Times New Roman" w:hAnsi="Times New Roman"/>
                          <w:sz w:val="18"/>
                          <w:szCs w:val="18"/>
                          <w:lang w:val="en-GB"/>
                        </w:rPr>
                      </w:pPr>
                    </w:p>
                    <w:p w14:paraId="4B15D5BC" w14:textId="77777777" w:rsidR="00866F85" w:rsidRDefault="00866F85" w:rsidP="00866F85">
                      <w:pPr>
                        <w:rPr>
                          <w:rFonts w:ascii="Times New Roman" w:hAnsi="Times New Roman"/>
                          <w:sz w:val="18"/>
                          <w:szCs w:val="18"/>
                          <w:lang w:val="en-GB"/>
                        </w:rPr>
                      </w:pPr>
                    </w:p>
                    <w:p w14:paraId="0DBB35F5" w14:textId="77777777" w:rsidR="00866F85" w:rsidRDefault="00866F85" w:rsidP="00866F85">
                      <w:pPr>
                        <w:rPr>
                          <w:rFonts w:ascii="Times New Roman" w:hAnsi="Times New Roman"/>
                          <w:sz w:val="18"/>
                          <w:szCs w:val="18"/>
                          <w:lang w:val="en-GB"/>
                        </w:rPr>
                      </w:pPr>
                    </w:p>
                    <w:p w14:paraId="5DA9BFCC" w14:textId="77777777" w:rsidR="00866F85" w:rsidRDefault="00866F85" w:rsidP="00866F85">
                      <w:pPr>
                        <w:rPr>
                          <w:rFonts w:ascii="Times New Roman" w:hAnsi="Times New Roman"/>
                          <w:sz w:val="18"/>
                          <w:szCs w:val="18"/>
                          <w:lang w:val="en-GB"/>
                        </w:rPr>
                      </w:pPr>
                    </w:p>
                    <w:p w14:paraId="4D9B1E7A" w14:textId="77777777" w:rsidR="00866F85" w:rsidRDefault="00866F85" w:rsidP="00866F85">
                      <w:pPr>
                        <w:rPr>
                          <w:rFonts w:ascii="Times New Roman" w:hAnsi="Times New Roman"/>
                          <w:sz w:val="18"/>
                          <w:szCs w:val="18"/>
                          <w:lang w:val="en-GB"/>
                        </w:rPr>
                      </w:pPr>
                    </w:p>
                    <w:p w14:paraId="6BB7CF0C" w14:textId="77777777" w:rsidR="00866F85" w:rsidRPr="000054A2" w:rsidRDefault="00866F85" w:rsidP="00866F85">
                      <w:pPr>
                        <w:rPr>
                          <w:rFonts w:ascii="Times New Roman" w:hAnsi="Times New Roman"/>
                          <w:sz w:val="18"/>
                          <w:szCs w:val="18"/>
                          <w:lang w:val="en-GB"/>
                        </w:rPr>
                      </w:pPr>
                    </w:p>
                  </w:txbxContent>
                </v:textbox>
                <w10:wrap anchorx="margin"/>
              </v:shape>
            </w:pict>
          </mc:Fallback>
        </mc:AlternateContent>
      </w:r>
    </w:p>
    <w:p w14:paraId="27B101D6" w14:textId="23B20345" w:rsidR="00866F85" w:rsidRPr="009F5EFC" w:rsidRDefault="00866F85" w:rsidP="009F5EFC">
      <w:pPr>
        <w:jc w:val="both"/>
        <w:rPr>
          <w:rFonts w:ascii="Times New Roman" w:hAnsi="Times New Roman"/>
          <w:b/>
          <w:bCs/>
          <w:sz w:val="28"/>
          <w:szCs w:val="28"/>
        </w:rPr>
      </w:pP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p>
    <w:p w14:paraId="4D8A04CB" w14:textId="6E397446"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3.1.3 Comparison with Regulatory Standards</w:t>
      </w:r>
    </w:p>
    <w:p w14:paraId="6F88C65B" w14:textId="77777777" w:rsidR="00866F85" w:rsidRPr="003E17CC" w:rsidRDefault="00866F85" w:rsidP="00866F85">
      <w:pPr>
        <w:jc w:val="both"/>
        <w:rPr>
          <w:rFonts w:ascii="Arial" w:hAnsi="Arial" w:cs="Arial"/>
          <w:b/>
          <w:bCs/>
          <w:sz w:val="22"/>
          <w:szCs w:val="22"/>
        </w:rPr>
      </w:pPr>
    </w:p>
    <w:p w14:paraId="42E6B577" w14:textId="67E7B9A3" w:rsidR="00866F85" w:rsidRPr="003E17CC" w:rsidRDefault="007712FF" w:rsidP="00866F85">
      <w:pPr>
        <w:jc w:val="both"/>
        <w:rPr>
          <w:rFonts w:ascii="Arial" w:hAnsi="Arial" w:cs="Arial"/>
          <w:sz w:val="22"/>
          <w:szCs w:val="22"/>
        </w:rPr>
      </w:pPr>
      <w:r w:rsidRPr="00176490">
        <w:rPr>
          <w:rFonts w:ascii="Arial" w:hAnsi="Arial" w:cs="Arial"/>
          <w:sz w:val="22"/>
          <w:szCs w:val="22"/>
        </w:rPr>
        <w:t xml:space="preserve">All measured metal concentrations remained below both WHO soil quality guidelines and </w:t>
      </w:r>
      <w:r w:rsidRPr="00D42A6B">
        <w:rPr>
          <w:rFonts w:ascii="Arial" w:eastAsiaTheme="majorEastAsia" w:hAnsi="Arial" w:cs="Arial"/>
          <w:sz w:val="22"/>
          <w:szCs w:val="22"/>
        </w:rPr>
        <w:t>NESREA</w:t>
      </w:r>
      <w:r w:rsidRPr="00176490">
        <w:rPr>
          <w:rFonts w:ascii="Arial" w:hAnsi="Arial" w:cs="Arial"/>
          <w:sz w:val="22"/>
          <w:szCs w:val="22"/>
        </w:rPr>
        <w:t xml:space="preserve"> permissible limits (Table 3), confirming that the site is currently in regulatory compliance. However, as demonstrated by the pollution index results in Section 3.2, regulatory compliance does not preclude meaningful geochemical enrichment above local background levels.</w:t>
      </w:r>
    </w:p>
    <w:p w14:paraId="5CA03B70" w14:textId="77777777" w:rsidR="00866F85" w:rsidRPr="00866F85" w:rsidRDefault="00866F85" w:rsidP="00866F85">
      <w:pPr>
        <w:jc w:val="both"/>
        <w:rPr>
          <w:rFonts w:ascii="Times New Roman" w:hAnsi="Times New Roman"/>
          <w:sz w:val="22"/>
          <w:szCs w:val="22"/>
        </w:rPr>
      </w:pPr>
    </w:p>
    <w:p w14:paraId="27CC6847" w14:textId="3928A4A0"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Table 3: Regulatory Comparison</w:t>
      </w:r>
    </w:p>
    <w:tbl>
      <w:tblPr>
        <w:tblW w:w="9826" w:type="dxa"/>
        <w:tblCellSpacing w:w="15" w:type="dxa"/>
        <w:tblCellMar>
          <w:top w:w="15" w:type="dxa"/>
          <w:left w:w="15" w:type="dxa"/>
          <w:bottom w:w="15" w:type="dxa"/>
          <w:right w:w="15" w:type="dxa"/>
        </w:tblCellMar>
        <w:tblLook w:val="04A0" w:firstRow="1" w:lastRow="0" w:firstColumn="1" w:lastColumn="0" w:noHBand="0" w:noVBand="1"/>
      </w:tblPr>
      <w:tblGrid>
        <w:gridCol w:w="1402"/>
        <w:gridCol w:w="2427"/>
        <w:gridCol w:w="1620"/>
        <w:gridCol w:w="1894"/>
        <w:gridCol w:w="2483"/>
      </w:tblGrid>
      <w:tr w:rsidR="00866F85" w:rsidRPr="003E17CC" w14:paraId="4E76AC06" w14:textId="77777777" w:rsidTr="003E17CC">
        <w:trPr>
          <w:trHeight w:val="692"/>
          <w:tblHeader/>
          <w:tblCellSpacing w:w="15" w:type="dxa"/>
        </w:trPr>
        <w:tc>
          <w:tcPr>
            <w:tcW w:w="0" w:type="auto"/>
            <w:tcBorders>
              <w:top w:val="single" w:sz="4" w:space="0" w:color="auto"/>
              <w:bottom w:val="single" w:sz="4" w:space="0" w:color="auto"/>
            </w:tcBorders>
            <w:vAlign w:val="center"/>
            <w:hideMark/>
          </w:tcPr>
          <w:p w14:paraId="67C941A9"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Metal</w:t>
            </w:r>
          </w:p>
        </w:tc>
        <w:tc>
          <w:tcPr>
            <w:tcW w:w="2397" w:type="dxa"/>
            <w:tcBorders>
              <w:top w:val="single" w:sz="4" w:space="0" w:color="auto"/>
              <w:bottom w:val="single" w:sz="4" w:space="0" w:color="auto"/>
            </w:tcBorders>
            <w:vAlign w:val="center"/>
            <w:hideMark/>
          </w:tcPr>
          <w:p w14:paraId="2EE8D061"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 xml:space="preserve">Maximum Observed </w:t>
            </w:r>
          </w:p>
          <w:p w14:paraId="348EE6DD"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(ppm)</w:t>
            </w:r>
          </w:p>
        </w:tc>
        <w:tc>
          <w:tcPr>
            <w:tcW w:w="1590" w:type="dxa"/>
            <w:tcBorders>
              <w:top w:val="single" w:sz="4" w:space="0" w:color="auto"/>
              <w:bottom w:val="single" w:sz="4" w:space="0" w:color="auto"/>
            </w:tcBorders>
            <w:vAlign w:val="center"/>
            <w:hideMark/>
          </w:tcPr>
          <w:p w14:paraId="693B8D04"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 xml:space="preserve">WHO Limit </w:t>
            </w:r>
          </w:p>
          <w:p w14:paraId="2C9DBF66"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(ppm)</w:t>
            </w:r>
          </w:p>
        </w:tc>
        <w:tc>
          <w:tcPr>
            <w:tcW w:w="1864" w:type="dxa"/>
            <w:tcBorders>
              <w:top w:val="single" w:sz="4" w:space="0" w:color="auto"/>
              <w:bottom w:val="single" w:sz="4" w:space="0" w:color="auto"/>
            </w:tcBorders>
            <w:vAlign w:val="center"/>
            <w:hideMark/>
          </w:tcPr>
          <w:p w14:paraId="3AC489F1" w14:textId="2F43F96F" w:rsidR="00866F85" w:rsidRPr="003E17CC" w:rsidRDefault="007712FF" w:rsidP="00BF1BD7">
            <w:pPr>
              <w:jc w:val="both"/>
              <w:rPr>
                <w:rFonts w:ascii="Arial" w:hAnsi="Arial" w:cs="Arial"/>
                <w:sz w:val="22"/>
                <w:szCs w:val="22"/>
              </w:rPr>
            </w:pPr>
            <w:r w:rsidRPr="00D42A6B">
              <w:rPr>
                <w:rFonts w:ascii="Arial" w:eastAsiaTheme="majorEastAsia" w:hAnsi="Arial" w:cs="Arial"/>
                <w:sz w:val="22"/>
                <w:szCs w:val="22"/>
              </w:rPr>
              <w:t>NESREA</w:t>
            </w:r>
            <w:r w:rsidR="00866F85" w:rsidRPr="003E17CC">
              <w:rPr>
                <w:rFonts w:ascii="Arial" w:hAnsi="Arial" w:cs="Arial"/>
                <w:sz w:val="22"/>
                <w:szCs w:val="22"/>
              </w:rPr>
              <w:t xml:space="preserve"> </w:t>
            </w:r>
          </w:p>
          <w:p w14:paraId="20ECACE2"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Limit (ppm)</w:t>
            </w:r>
          </w:p>
        </w:tc>
        <w:tc>
          <w:tcPr>
            <w:tcW w:w="0" w:type="auto"/>
            <w:tcBorders>
              <w:top w:val="single" w:sz="4" w:space="0" w:color="auto"/>
              <w:bottom w:val="single" w:sz="4" w:space="0" w:color="auto"/>
            </w:tcBorders>
            <w:vAlign w:val="center"/>
            <w:hideMark/>
          </w:tcPr>
          <w:p w14:paraId="32B114C6"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Compliance Status</w:t>
            </w:r>
          </w:p>
        </w:tc>
      </w:tr>
      <w:tr w:rsidR="00866F85" w:rsidRPr="003E17CC" w14:paraId="4987CF2A" w14:textId="77777777" w:rsidTr="00BF1BD7">
        <w:trPr>
          <w:trHeight w:val="546"/>
          <w:tblCellSpacing w:w="15" w:type="dxa"/>
        </w:trPr>
        <w:tc>
          <w:tcPr>
            <w:tcW w:w="0" w:type="auto"/>
            <w:vAlign w:val="center"/>
            <w:hideMark/>
          </w:tcPr>
          <w:p w14:paraId="39B22F95"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Arsenic</w:t>
            </w:r>
          </w:p>
        </w:tc>
        <w:tc>
          <w:tcPr>
            <w:tcW w:w="2397" w:type="dxa"/>
            <w:vAlign w:val="center"/>
            <w:hideMark/>
          </w:tcPr>
          <w:p w14:paraId="03D832F6"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0.112</w:t>
            </w:r>
          </w:p>
        </w:tc>
        <w:tc>
          <w:tcPr>
            <w:tcW w:w="1590" w:type="dxa"/>
            <w:vAlign w:val="center"/>
            <w:hideMark/>
          </w:tcPr>
          <w:p w14:paraId="1827B3F4"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10</w:t>
            </w:r>
          </w:p>
        </w:tc>
        <w:tc>
          <w:tcPr>
            <w:tcW w:w="1864" w:type="dxa"/>
            <w:vAlign w:val="center"/>
            <w:hideMark/>
          </w:tcPr>
          <w:p w14:paraId="462F4E0A"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w:t>
            </w:r>
          </w:p>
        </w:tc>
        <w:tc>
          <w:tcPr>
            <w:tcW w:w="0" w:type="auto"/>
            <w:vAlign w:val="center"/>
            <w:hideMark/>
          </w:tcPr>
          <w:p w14:paraId="1FD1AA87"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7557F4CF" w14:textId="77777777" w:rsidTr="00BF1BD7">
        <w:trPr>
          <w:trHeight w:val="530"/>
          <w:tblCellSpacing w:w="15" w:type="dxa"/>
        </w:trPr>
        <w:tc>
          <w:tcPr>
            <w:tcW w:w="0" w:type="auto"/>
            <w:vAlign w:val="center"/>
            <w:hideMark/>
          </w:tcPr>
          <w:p w14:paraId="7A235B17"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Nickel</w:t>
            </w:r>
          </w:p>
        </w:tc>
        <w:tc>
          <w:tcPr>
            <w:tcW w:w="2397" w:type="dxa"/>
            <w:vAlign w:val="center"/>
            <w:hideMark/>
          </w:tcPr>
          <w:p w14:paraId="396A8395"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0.254</w:t>
            </w:r>
          </w:p>
        </w:tc>
        <w:tc>
          <w:tcPr>
            <w:tcW w:w="1590" w:type="dxa"/>
            <w:vAlign w:val="center"/>
            <w:hideMark/>
          </w:tcPr>
          <w:p w14:paraId="4646B947"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1864" w:type="dxa"/>
            <w:vAlign w:val="center"/>
            <w:hideMark/>
          </w:tcPr>
          <w:p w14:paraId="223EC3F1"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0" w:type="auto"/>
            <w:vAlign w:val="center"/>
            <w:hideMark/>
          </w:tcPr>
          <w:p w14:paraId="5CEFC4A6"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18FADED9" w14:textId="77777777" w:rsidTr="00BF1BD7">
        <w:trPr>
          <w:trHeight w:val="530"/>
          <w:tblCellSpacing w:w="15" w:type="dxa"/>
        </w:trPr>
        <w:tc>
          <w:tcPr>
            <w:tcW w:w="0" w:type="auto"/>
            <w:vAlign w:val="center"/>
            <w:hideMark/>
          </w:tcPr>
          <w:p w14:paraId="4A57A79A"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Chromium</w:t>
            </w:r>
          </w:p>
        </w:tc>
        <w:tc>
          <w:tcPr>
            <w:tcW w:w="2397" w:type="dxa"/>
            <w:vAlign w:val="center"/>
            <w:hideMark/>
          </w:tcPr>
          <w:p w14:paraId="1FC5A945"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0.087</w:t>
            </w:r>
          </w:p>
        </w:tc>
        <w:tc>
          <w:tcPr>
            <w:tcW w:w="1590" w:type="dxa"/>
            <w:vAlign w:val="center"/>
            <w:hideMark/>
          </w:tcPr>
          <w:p w14:paraId="7CFB8C3C"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1864" w:type="dxa"/>
            <w:vAlign w:val="center"/>
            <w:hideMark/>
          </w:tcPr>
          <w:p w14:paraId="593FE7A3"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0" w:type="auto"/>
            <w:vAlign w:val="center"/>
            <w:hideMark/>
          </w:tcPr>
          <w:p w14:paraId="03A62C37"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5CD68AF5" w14:textId="77777777" w:rsidTr="00BF1BD7">
        <w:trPr>
          <w:trHeight w:val="546"/>
          <w:tblCellSpacing w:w="15" w:type="dxa"/>
        </w:trPr>
        <w:tc>
          <w:tcPr>
            <w:tcW w:w="0" w:type="auto"/>
            <w:vAlign w:val="center"/>
            <w:hideMark/>
          </w:tcPr>
          <w:p w14:paraId="6B43EC64"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Cadmium</w:t>
            </w:r>
          </w:p>
        </w:tc>
        <w:tc>
          <w:tcPr>
            <w:tcW w:w="2397" w:type="dxa"/>
            <w:vAlign w:val="center"/>
            <w:hideMark/>
          </w:tcPr>
          <w:p w14:paraId="27D0B60F"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0.192</w:t>
            </w:r>
          </w:p>
        </w:tc>
        <w:tc>
          <w:tcPr>
            <w:tcW w:w="1590" w:type="dxa"/>
            <w:vAlign w:val="center"/>
            <w:hideMark/>
          </w:tcPr>
          <w:p w14:paraId="0CE52F80"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3</w:t>
            </w:r>
          </w:p>
        </w:tc>
        <w:tc>
          <w:tcPr>
            <w:tcW w:w="1864" w:type="dxa"/>
            <w:vAlign w:val="center"/>
            <w:hideMark/>
          </w:tcPr>
          <w:p w14:paraId="4F5BF101"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3</w:t>
            </w:r>
          </w:p>
        </w:tc>
        <w:tc>
          <w:tcPr>
            <w:tcW w:w="0" w:type="auto"/>
            <w:vAlign w:val="center"/>
            <w:hideMark/>
          </w:tcPr>
          <w:p w14:paraId="15399359"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5341325D" w14:textId="77777777" w:rsidTr="00BF1BD7">
        <w:trPr>
          <w:trHeight w:val="530"/>
          <w:tblCellSpacing w:w="15" w:type="dxa"/>
        </w:trPr>
        <w:tc>
          <w:tcPr>
            <w:tcW w:w="0" w:type="auto"/>
            <w:tcBorders>
              <w:bottom w:val="single" w:sz="4" w:space="0" w:color="auto"/>
            </w:tcBorders>
            <w:vAlign w:val="center"/>
            <w:hideMark/>
          </w:tcPr>
          <w:p w14:paraId="2D9DB9BD"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Lead</w:t>
            </w:r>
          </w:p>
        </w:tc>
        <w:tc>
          <w:tcPr>
            <w:tcW w:w="2397" w:type="dxa"/>
            <w:tcBorders>
              <w:bottom w:val="single" w:sz="4" w:space="0" w:color="auto"/>
            </w:tcBorders>
            <w:vAlign w:val="center"/>
            <w:hideMark/>
          </w:tcPr>
          <w:p w14:paraId="16EB4E3F"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1.040</w:t>
            </w:r>
          </w:p>
        </w:tc>
        <w:tc>
          <w:tcPr>
            <w:tcW w:w="1590" w:type="dxa"/>
            <w:tcBorders>
              <w:bottom w:val="single" w:sz="4" w:space="0" w:color="auto"/>
            </w:tcBorders>
            <w:vAlign w:val="center"/>
            <w:hideMark/>
          </w:tcPr>
          <w:p w14:paraId="5C257E68"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1864" w:type="dxa"/>
            <w:tcBorders>
              <w:bottom w:val="single" w:sz="4" w:space="0" w:color="auto"/>
            </w:tcBorders>
            <w:vAlign w:val="center"/>
            <w:hideMark/>
          </w:tcPr>
          <w:p w14:paraId="256F4C7A"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0" w:type="auto"/>
            <w:tcBorders>
              <w:bottom w:val="single" w:sz="4" w:space="0" w:color="auto"/>
            </w:tcBorders>
            <w:vAlign w:val="center"/>
            <w:hideMark/>
          </w:tcPr>
          <w:p w14:paraId="39D59EFD"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bl>
    <w:p w14:paraId="07360D8E" w14:textId="2F96CE5A" w:rsidR="00866F85" w:rsidRDefault="003E17CC"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.2 Contamination Assessment Using Pollution Indices</w:t>
      </w:r>
    </w:p>
    <w:p w14:paraId="3EEC4F5D" w14:textId="77777777" w:rsidR="003E17CC" w:rsidRPr="003E17CC" w:rsidRDefault="003E17CC" w:rsidP="00866F85">
      <w:pPr>
        <w:rPr>
          <w:rFonts w:ascii="Arial" w:hAnsi="Arial" w:cs="Arial"/>
          <w:b/>
          <w:bCs/>
          <w:sz w:val="22"/>
          <w:szCs w:val="22"/>
        </w:rPr>
      </w:pPr>
    </w:p>
    <w:p w14:paraId="3FB2A60D" w14:textId="3B2B87F7" w:rsidR="00866F85" w:rsidRDefault="003E17CC" w:rsidP="00866F85">
      <w:pPr>
        <w:rPr>
          <w:rFonts w:ascii="Arial" w:hAnsi="Arial" w:cs="Arial"/>
          <w:sz w:val="22"/>
          <w:szCs w:val="22"/>
        </w:rPr>
      </w:pPr>
      <w:r>
        <w:rPr>
          <w:rFonts w:ascii="Arial" w:hAnsi="Arial" w:cs="Arial"/>
          <w:sz w:val="22"/>
          <w:szCs w:val="22"/>
        </w:rPr>
        <w:t>3</w:t>
      </w:r>
      <w:r w:rsidR="00866F85" w:rsidRPr="003E17CC">
        <w:rPr>
          <w:rFonts w:ascii="Arial" w:hAnsi="Arial" w:cs="Arial"/>
          <w:sz w:val="22"/>
          <w:szCs w:val="22"/>
        </w:rPr>
        <w:t>.2.1 Background Reference Values</w:t>
      </w:r>
    </w:p>
    <w:p w14:paraId="308A8161" w14:textId="77777777" w:rsidR="003E17CC" w:rsidRPr="003E17CC" w:rsidRDefault="003E17CC" w:rsidP="00866F85">
      <w:pPr>
        <w:rPr>
          <w:rFonts w:ascii="Arial" w:hAnsi="Arial" w:cs="Arial"/>
          <w:sz w:val="22"/>
          <w:szCs w:val="22"/>
        </w:rPr>
      </w:pPr>
    </w:p>
    <w:p w14:paraId="7439D5FF" w14:textId="77777777" w:rsidR="00F0612E" w:rsidRPr="00176490" w:rsidRDefault="00F0612E" w:rsidP="00F0612E">
      <w:pPr>
        <w:spacing w:after="160" w:line="278" w:lineRule="auto"/>
        <w:jc w:val="both"/>
        <w:rPr>
          <w:rFonts w:ascii="Arial" w:hAnsi="Arial" w:cs="Arial"/>
          <w:sz w:val="22"/>
          <w:szCs w:val="22"/>
        </w:rPr>
      </w:pPr>
      <w:r w:rsidRPr="00176490">
        <w:rPr>
          <w:rFonts w:ascii="Arial" w:hAnsi="Arial" w:cs="Arial"/>
          <w:sz w:val="22"/>
          <w:szCs w:val="22"/>
        </w:rPr>
        <w:t>The mean concentrations recorded at the two control locations (F1 and F2) were used as local geochemical background values for all index calculations (Table 4). The low standard deviations observed across all metals at the control sites confirm the suitability and reliability of this background dataset.</w:t>
      </w:r>
    </w:p>
    <w:p w14:paraId="224F29D4" w14:textId="77777777" w:rsidR="003E17CC" w:rsidRDefault="003E17CC" w:rsidP="00866F85">
      <w:pPr>
        <w:rPr>
          <w:rFonts w:ascii="Arial" w:hAnsi="Arial" w:cs="Arial"/>
          <w:sz w:val="22"/>
          <w:szCs w:val="22"/>
        </w:rPr>
      </w:pPr>
    </w:p>
    <w:p w14:paraId="629463E1" w14:textId="2954E945" w:rsidR="00866F85" w:rsidRPr="003E17CC" w:rsidRDefault="00866F85" w:rsidP="00866F85">
      <w:pPr>
        <w:rPr>
          <w:rFonts w:ascii="Arial" w:hAnsi="Arial" w:cs="Arial"/>
          <w:sz w:val="22"/>
          <w:szCs w:val="22"/>
        </w:rPr>
      </w:pPr>
      <w:r w:rsidRPr="003E17CC">
        <w:rPr>
          <w:rFonts w:ascii="Arial" w:hAnsi="Arial" w:cs="Arial"/>
          <w:sz w:val="22"/>
          <w:szCs w:val="22"/>
        </w:rPr>
        <w:t>Table 4: Background Reference Concentrations (ppm)</w:t>
      </w:r>
    </w:p>
    <w:tbl>
      <w:tblPr>
        <w:tblW w:w="10140" w:type="dxa"/>
        <w:tblCellSpacing w:w="15" w:type="dxa"/>
        <w:tblCellMar>
          <w:top w:w="15" w:type="dxa"/>
          <w:left w:w="15" w:type="dxa"/>
          <w:bottom w:w="15" w:type="dxa"/>
          <w:right w:w="15" w:type="dxa"/>
        </w:tblCellMar>
        <w:tblLook w:val="04A0" w:firstRow="1" w:lastRow="0" w:firstColumn="1" w:lastColumn="0" w:noHBand="0" w:noVBand="1"/>
      </w:tblPr>
      <w:tblGrid>
        <w:gridCol w:w="1568"/>
        <w:gridCol w:w="1582"/>
        <w:gridCol w:w="1440"/>
        <w:gridCol w:w="2610"/>
        <w:gridCol w:w="2940"/>
      </w:tblGrid>
      <w:tr w:rsidR="00866F85" w:rsidRPr="003E17CC" w14:paraId="030FA65F" w14:textId="77777777" w:rsidTr="00BF1BD7">
        <w:trPr>
          <w:trHeight w:val="528"/>
          <w:tblHeader/>
          <w:tblCellSpacing w:w="15" w:type="dxa"/>
        </w:trPr>
        <w:tc>
          <w:tcPr>
            <w:tcW w:w="0" w:type="auto"/>
            <w:tcBorders>
              <w:top w:val="single" w:sz="4" w:space="0" w:color="auto"/>
              <w:bottom w:val="single" w:sz="4" w:space="0" w:color="auto"/>
            </w:tcBorders>
            <w:vAlign w:val="center"/>
            <w:hideMark/>
          </w:tcPr>
          <w:p w14:paraId="71C8A9F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Metal</w:t>
            </w:r>
          </w:p>
        </w:tc>
        <w:tc>
          <w:tcPr>
            <w:tcW w:w="1552" w:type="dxa"/>
            <w:tcBorders>
              <w:top w:val="single" w:sz="4" w:space="0" w:color="auto"/>
              <w:bottom w:val="single" w:sz="4" w:space="0" w:color="auto"/>
            </w:tcBorders>
            <w:vAlign w:val="center"/>
            <w:hideMark/>
          </w:tcPr>
          <w:p w14:paraId="3A2E6DC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F1 Mean</w:t>
            </w:r>
          </w:p>
        </w:tc>
        <w:tc>
          <w:tcPr>
            <w:tcW w:w="1410" w:type="dxa"/>
            <w:tcBorders>
              <w:top w:val="single" w:sz="4" w:space="0" w:color="auto"/>
              <w:bottom w:val="single" w:sz="4" w:space="0" w:color="auto"/>
            </w:tcBorders>
            <w:vAlign w:val="center"/>
            <w:hideMark/>
          </w:tcPr>
          <w:p w14:paraId="2235885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F2 Mean</w:t>
            </w:r>
          </w:p>
        </w:tc>
        <w:tc>
          <w:tcPr>
            <w:tcW w:w="2580" w:type="dxa"/>
            <w:tcBorders>
              <w:top w:val="single" w:sz="4" w:space="0" w:color="auto"/>
              <w:bottom w:val="single" w:sz="4" w:space="0" w:color="auto"/>
            </w:tcBorders>
            <w:vAlign w:val="center"/>
            <w:hideMark/>
          </w:tcPr>
          <w:p w14:paraId="7ABB40E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Combined Background</w:t>
            </w:r>
          </w:p>
        </w:tc>
        <w:tc>
          <w:tcPr>
            <w:tcW w:w="2895" w:type="dxa"/>
            <w:tcBorders>
              <w:top w:val="single" w:sz="4" w:space="0" w:color="auto"/>
              <w:bottom w:val="single" w:sz="4" w:space="0" w:color="auto"/>
            </w:tcBorders>
            <w:vAlign w:val="center"/>
            <w:hideMark/>
          </w:tcPr>
          <w:p w14:paraId="7CB6921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Standard Deviation</w:t>
            </w:r>
          </w:p>
        </w:tc>
      </w:tr>
      <w:tr w:rsidR="00866F85" w:rsidRPr="003E17CC" w14:paraId="423997B1" w14:textId="77777777" w:rsidTr="00BF1BD7">
        <w:trPr>
          <w:trHeight w:val="528"/>
          <w:tblCellSpacing w:w="15" w:type="dxa"/>
        </w:trPr>
        <w:tc>
          <w:tcPr>
            <w:tcW w:w="0" w:type="auto"/>
            <w:vAlign w:val="center"/>
            <w:hideMark/>
          </w:tcPr>
          <w:p w14:paraId="0A6E438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Arsenic</w:t>
            </w:r>
          </w:p>
        </w:tc>
        <w:tc>
          <w:tcPr>
            <w:tcW w:w="1552" w:type="dxa"/>
            <w:vAlign w:val="center"/>
            <w:hideMark/>
          </w:tcPr>
          <w:p w14:paraId="43219B0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0.000</w:t>
            </w:r>
          </w:p>
        </w:tc>
        <w:tc>
          <w:tcPr>
            <w:tcW w:w="1410" w:type="dxa"/>
            <w:vAlign w:val="center"/>
            <w:hideMark/>
          </w:tcPr>
          <w:p w14:paraId="7B44B46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0.008</w:t>
            </w:r>
          </w:p>
        </w:tc>
        <w:tc>
          <w:tcPr>
            <w:tcW w:w="2580" w:type="dxa"/>
            <w:vAlign w:val="center"/>
            <w:hideMark/>
          </w:tcPr>
          <w:p w14:paraId="15CA64D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0.004</w:t>
            </w:r>
          </w:p>
        </w:tc>
        <w:tc>
          <w:tcPr>
            <w:tcW w:w="2895" w:type="dxa"/>
            <w:vAlign w:val="center"/>
            <w:hideMark/>
          </w:tcPr>
          <w:p w14:paraId="108B11E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0.005</w:t>
            </w:r>
          </w:p>
        </w:tc>
      </w:tr>
      <w:tr w:rsidR="00866F85" w:rsidRPr="003E17CC" w14:paraId="6867BE6D" w14:textId="77777777" w:rsidTr="00BF1BD7">
        <w:trPr>
          <w:trHeight w:val="528"/>
          <w:tblCellSpacing w:w="15" w:type="dxa"/>
        </w:trPr>
        <w:tc>
          <w:tcPr>
            <w:tcW w:w="0" w:type="auto"/>
            <w:vAlign w:val="center"/>
            <w:hideMark/>
          </w:tcPr>
          <w:p w14:paraId="367D288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Nickel</w:t>
            </w:r>
          </w:p>
        </w:tc>
        <w:tc>
          <w:tcPr>
            <w:tcW w:w="1552" w:type="dxa"/>
            <w:vAlign w:val="center"/>
            <w:hideMark/>
          </w:tcPr>
          <w:p w14:paraId="7A89C5D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0.025</w:t>
            </w:r>
          </w:p>
        </w:tc>
        <w:tc>
          <w:tcPr>
            <w:tcW w:w="1410" w:type="dxa"/>
            <w:vAlign w:val="center"/>
            <w:hideMark/>
          </w:tcPr>
          <w:p w14:paraId="1276FB4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0.016</w:t>
            </w:r>
          </w:p>
        </w:tc>
        <w:tc>
          <w:tcPr>
            <w:tcW w:w="2580" w:type="dxa"/>
            <w:vAlign w:val="center"/>
            <w:hideMark/>
          </w:tcPr>
          <w:p w14:paraId="7991D11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0.020</w:t>
            </w:r>
          </w:p>
        </w:tc>
        <w:tc>
          <w:tcPr>
            <w:tcW w:w="2895" w:type="dxa"/>
            <w:vAlign w:val="center"/>
            <w:hideMark/>
          </w:tcPr>
          <w:p w14:paraId="6A0F4F7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0.006</w:t>
            </w:r>
          </w:p>
        </w:tc>
      </w:tr>
      <w:tr w:rsidR="00866F85" w:rsidRPr="003E17CC" w14:paraId="73523ADE" w14:textId="77777777" w:rsidTr="00BF1BD7">
        <w:trPr>
          <w:trHeight w:val="528"/>
          <w:tblCellSpacing w:w="15" w:type="dxa"/>
        </w:trPr>
        <w:tc>
          <w:tcPr>
            <w:tcW w:w="0" w:type="auto"/>
            <w:vAlign w:val="center"/>
            <w:hideMark/>
          </w:tcPr>
          <w:p w14:paraId="6F0138A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lastRenderedPageBreak/>
              <w:t>Chromium</w:t>
            </w:r>
          </w:p>
        </w:tc>
        <w:tc>
          <w:tcPr>
            <w:tcW w:w="1552" w:type="dxa"/>
            <w:vAlign w:val="center"/>
            <w:hideMark/>
          </w:tcPr>
          <w:p w14:paraId="1CE775C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0.018</w:t>
            </w:r>
          </w:p>
        </w:tc>
        <w:tc>
          <w:tcPr>
            <w:tcW w:w="1410" w:type="dxa"/>
            <w:vAlign w:val="center"/>
            <w:hideMark/>
          </w:tcPr>
          <w:p w14:paraId="769EFB2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0.005</w:t>
            </w:r>
          </w:p>
        </w:tc>
        <w:tc>
          <w:tcPr>
            <w:tcW w:w="2580" w:type="dxa"/>
            <w:vAlign w:val="center"/>
            <w:hideMark/>
          </w:tcPr>
          <w:p w14:paraId="4C171F6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0.012</w:t>
            </w:r>
          </w:p>
        </w:tc>
        <w:tc>
          <w:tcPr>
            <w:tcW w:w="2895" w:type="dxa"/>
            <w:vAlign w:val="center"/>
            <w:hideMark/>
          </w:tcPr>
          <w:p w14:paraId="2E1B95E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0.008</w:t>
            </w:r>
          </w:p>
        </w:tc>
      </w:tr>
      <w:tr w:rsidR="00866F85" w:rsidRPr="00E2563F" w14:paraId="19DEC8E6" w14:textId="77777777" w:rsidTr="00BF1BD7">
        <w:trPr>
          <w:trHeight w:val="528"/>
          <w:tblCellSpacing w:w="15" w:type="dxa"/>
        </w:trPr>
        <w:tc>
          <w:tcPr>
            <w:tcW w:w="0" w:type="auto"/>
            <w:vAlign w:val="center"/>
            <w:hideMark/>
          </w:tcPr>
          <w:p w14:paraId="34A95E3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Cadmium</w:t>
            </w:r>
          </w:p>
        </w:tc>
        <w:tc>
          <w:tcPr>
            <w:tcW w:w="1552" w:type="dxa"/>
            <w:vAlign w:val="center"/>
            <w:hideMark/>
          </w:tcPr>
          <w:p w14:paraId="608F6E4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0.056</w:t>
            </w:r>
          </w:p>
        </w:tc>
        <w:tc>
          <w:tcPr>
            <w:tcW w:w="1410" w:type="dxa"/>
            <w:vAlign w:val="center"/>
            <w:hideMark/>
          </w:tcPr>
          <w:p w14:paraId="7986193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0.022</w:t>
            </w:r>
          </w:p>
        </w:tc>
        <w:tc>
          <w:tcPr>
            <w:tcW w:w="2580" w:type="dxa"/>
            <w:vAlign w:val="center"/>
            <w:hideMark/>
          </w:tcPr>
          <w:p w14:paraId="28815B9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0.039</w:t>
            </w:r>
          </w:p>
        </w:tc>
        <w:tc>
          <w:tcPr>
            <w:tcW w:w="2895" w:type="dxa"/>
            <w:vAlign w:val="center"/>
            <w:hideMark/>
          </w:tcPr>
          <w:p w14:paraId="05A4AF1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0.021</w:t>
            </w:r>
          </w:p>
        </w:tc>
      </w:tr>
      <w:tr w:rsidR="00866F85" w:rsidRPr="00E2563F" w14:paraId="44E7FFEC" w14:textId="77777777" w:rsidTr="00BF1BD7">
        <w:trPr>
          <w:trHeight w:val="528"/>
          <w:tblCellSpacing w:w="15" w:type="dxa"/>
        </w:trPr>
        <w:tc>
          <w:tcPr>
            <w:tcW w:w="0" w:type="auto"/>
            <w:tcBorders>
              <w:bottom w:val="single" w:sz="4" w:space="0" w:color="auto"/>
            </w:tcBorders>
            <w:vAlign w:val="center"/>
            <w:hideMark/>
          </w:tcPr>
          <w:p w14:paraId="12CDDF7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1552" w:type="dxa"/>
            <w:tcBorders>
              <w:bottom w:val="single" w:sz="4" w:space="0" w:color="auto"/>
            </w:tcBorders>
            <w:vAlign w:val="center"/>
            <w:hideMark/>
          </w:tcPr>
          <w:p w14:paraId="7F02D61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0.044</w:t>
            </w:r>
          </w:p>
        </w:tc>
        <w:tc>
          <w:tcPr>
            <w:tcW w:w="1410" w:type="dxa"/>
            <w:tcBorders>
              <w:bottom w:val="single" w:sz="4" w:space="0" w:color="auto"/>
            </w:tcBorders>
            <w:vAlign w:val="center"/>
            <w:hideMark/>
          </w:tcPr>
          <w:p w14:paraId="2ADCD00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0.039</w:t>
            </w:r>
          </w:p>
        </w:tc>
        <w:tc>
          <w:tcPr>
            <w:tcW w:w="2580" w:type="dxa"/>
            <w:tcBorders>
              <w:bottom w:val="single" w:sz="4" w:space="0" w:color="auto"/>
            </w:tcBorders>
            <w:vAlign w:val="center"/>
            <w:hideMark/>
          </w:tcPr>
          <w:p w14:paraId="74249C7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0.042</w:t>
            </w:r>
          </w:p>
        </w:tc>
        <w:tc>
          <w:tcPr>
            <w:tcW w:w="2895" w:type="dxa"/>
            <w:tcBorders>
              <w:bottom w:val="single" w:sz="4" w:space="0" w:color="auto"/>
            </w:tcBorders>
            <w:vAlign w:val="center"/>
            <w:hideMark/>
          </w:tcPr>
          <w:p w14:paraId="3B94575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0.006</w:t>
            </w:r>
          </w:p>
        </w:tc>
      </w:tr>
    </w:tbl>
    <w:p w14:paraId="32508FA0" w14:textId="77777777" w:rsidR="003E17CC" w:rsidRDefault="003E17CC" w:rsidP="00866F85">
      <w:pPr>
        <w:rPr>
          <w:rFonts w:ascii="Times New Roman" w:hAnsi="Times New Roman"/>
          <w:b/>
          <w:bCs/>
        </w:rPr>
      </w:pPr>
    </w:p>
    <w:p w14:paraId="1351CD9D" w14:textId="19929099" w:rsidR="00866F85" w:rsidRPr="003E17CC" w:rsidRDefault="003E17CC" w:rsidP="00866F85">
      <w:pPr>
        <w:rPr>
          <w:rFonts w:ascii="Arial" w:hAnsi="Arial" w:cs="Arial"/>
          <w:b/>
          <w:bCs/>
          <w:sz w:val="22"/>
          <w:szCs w:val="22"/>
        </w:rPr>
      </w:pPr>
      <w:r w:rsidRPr="003E17CC">
        <w:rPr>
          <w:rFonts w:ascii="Arial" w:hAnsi="Arial" w:cs="Arial"/>
          <w:b/>
          <w:bCs/>
          <w:sz w:val="22"/>
          <w:szCs w:val="22"/>
        </w:rPr>
        <w:t>3</w:t>
      </w:r>
      <w:r w:rsidR="00866F85" w:rsidRPr="003E17CC">
        <w:rPr>
          <w:rFonts w:ascii="Arial" w:hAnsi="Arial" w:cs="Arial"/>
          <w:b/>
          <w:bCs/>
          <w:sz w:val="22"/>
          <w:szCs w:val="22"/>
        </w:rPr>
        <w:t>.2.2 Contamination Factor (CF) Analysis</w:t>
      </w:r>
    </w:p>
    <w:p w14:paraId="1E994D2C" w14:textId="77777777" w:rsidR="003E17CC" w:rsidRDefault="003E17CC" w:rsidP="00866F85">
      <w:pPr>
        <w:rPr>
          <w:rFonts w:ascii="Arial" w:hAnsi="Arial" w:cs="Arial"/>
          <w:sz w:val="22"/>
          <w:szCs w:val="22"/>
        </w:rPr>
      </w:pPr>
    </w:p>
    <w:p w14:paraId="3A1489D9" w14:textId="77777777" w:rsidR="00F0612E" w:rsidRPr="00176490" w:rsidRDefault="00F0612E" w:rsidP="00F0612E">
      <w:pPr>
        <w:spacing w:after="160" w:line="278" w:lineRule="auto"/>
        <w:jc w:val="both"/>
        <w:rPr>
          <w:rFonts w:ascii="Arial" w:hAnsi="Arial" w:cs="Arial"/>
          <w:sz w:val="22"/>
          <w:szCs w:val="22"/>
        </w:rPr>
      </w:pPr>
      <w:r w:rsidRPr="00176490">
        <w:rPr>
          <w:rFonts w:ascii="Arial" w:hAnsi="Arial" w:cs="Arial"/>
          <w:sz w:val="22"/>
          <w:szCs w:val="22"/>
        </w:rPr>
        <w:t>Contamination factors were calculated as:</w:t>
      </w:r>
    </w:p>
    <w:p w14:paraId="40F92D43" w14:textId="77777777" w:rsidR="00F0612E" w:rsidRPr="00176490" w:rsidRDefault="00F0612E" w:rsidP="00F0612E">
      <w:pPr>
        <w:spacing w:after="160" w:line="278" w:lineRule="auto"/>
        <w:jc w:val="both"/>
        <w:rPr>
          <w:rFonts w:ascii="Arial" w:hAnsi="Arial" w:cs="Arial"/>
          <w:sz w:val="22"/>
          <w:szCs w:val="22"/>
        </w:rPr>
      </w:pPr>
      <m:oMathPara>
        <m:oMath>
          <m:r>
            <w:rPr>
              <w:rFonts w:ascii="Cambria Math" w:hAnsi="Cambria Math" w:cs="Arial"/>
              <w:sz w:val="22"/>
              <w:szCs w:val="22"/>
            </w:rPr>
            <m:t>CF=</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mean</m:t>
                  </m:r>
                </m:sub>
              </m:sSub>
            </m:num>
            <m:den>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background</m:t>
                  </m:r>
                </m:sub>
              </m:sSub>
            </m:den>
          </m:f>
          <m:r>
            <m:rPr>
              <m:sty m:val="p"/>
            </m:rPr>
            <w:rPr>
              <w:rFonts w:ascii="Arial" w:hAnsi="Arial" w:cs="Arial"/>
              <w:sz w:val="22"/>
              <w:szCs w:val="22"/>
            </w:rPr>
            <w:br/>
          </m:r>
        </m:oMath>
      </m:oMathPara>
    </w:p>
    <w:p w14:paraId="723215CC" w14:textId="42AEE512" w:rsidR="003E17CC" w:rsidRPr="003E17CC" w:rsidRDefault="00F0612E" w:rsidP="00F0612E">
      <w:pPr>
        <w:jc w:val="both"/>
        <w:rPr>
          <w:rFonts w:ascii="Arial" w:hAnsi="Arial" w:cs="Arial"/>
          <w:b/>
          <w:bCs/>
          <w:sz w:val="22"/>
          <w:szCs w:val="22"/>
        </w:rPr>
      </w:pPr>
      <w:r w:rsidRPr="00176490">
        <w:rPr>
          <w:rFonts w:ascii="Arial" w:hAnsi="Arial" w:cs="Arial"/>
          <w:sz w:val="22"/>
          <w:szCs w:val="22"/>
        </w:rPr>
        <w:t xml:space="preserve">The CF values obtained (As = 5.25; Ni = 3.90; Pb = 4.43; Cr = 2.08; Cd = 1.92; Table 5) indicate a consistent pattern of anthropogenic metal enrichment attributable to the mixed municipal waste composition at this site. The very high CF for arsenic (5.25) is the most significant finding and is consistent with the dominance of arsenic-bearing waste fractions, particularly electronic components and pesticide-treated organic material, in West African urban waste streams (Yabe et al., 2010; </w:t>
      </w:r>
      <w:proofErr w:type="spellStart"/>
      <w:r w:rsidRPr="00176490">
        <w:rPr>
          <w:rFonts w:ascii="Arial" w:hAnsi="Arial" w:cs="Arial"/>
          <w:sz w:val="22"/>
          <w:szCs w:val="22"/>
        </w:rPr>
        <w:t>Iwegbue</w:t>
      </w:r>
      <w:proofErr w:type="spellEnd"/>
      <w:r w:rsidRPr="00176490">
        <w:rPr>
          <w:rFonts w:ascii="Arial" w:hAnsi="Arial" w:cs="Arial"/>
          <w:sz w:val="22"/>
          <w:szCs w:val="22"/>
        </w:rPr>
        <w:t xml:space="preserve"> et al., 2020). The considerable CF values for nickel (3.90) and lead (4.43) reflect the contribution of spent batteries, electrical cables, and automotive scrap, which are routinely identified as primary metal sources in Nigerian municipal solid waste </w:t>
      </w:r>
      <w:proofErr w:type="spellStart"/>
      <w:r w:rsidRPr="00176490">
        <w:rPr>
          <w:rFonts w:ascii="Arial" w:hAnsi="Arial" w:cs="Arial"/>
          <w:sz w:val="22"/>
          <w:szCs w:val="22"/>
        </w:rPr>
        <w:t>characterisation</w:t>
      </w:r>
      <w:proofErr w:type="spellEnd"/>
      <w:r w:rsidRPr="00176490">
        <w:rPr>
          <w:rFonts w:ascii="Arial" w:hAnsi="Arial" w:cs="Arial"/>
          <w:sz w:val="22"/>
          <w:szCs w:val="22"/>
        </w:rPr>
        <w:t xml:space="preserve"> studies (</w:t>
      </w:r>
      <w:proofErr w:type="spellStart"/>
      <w:r w:rsidRPr="00176490">
        <w:rPr>
          <w:rFonts w:ascii="Arial" w:hAnsi="Arial" w:cs="Arial"/>
          <w:sz w:val="22"/>
          <w:szCs w:val="22"/>
        </w:rPr>
        <w:t>Kabata-Pendias</w:t>
      </w:r>
      <w:proofErr w:type="spellEnd"/>
      <w:r w:rsidRPr="00176490">
        <w:rPr>
          <w:rFonts w:ascii="Arial" w:hAnsi="Arial" w:cs="Arial"/>
          <w:sz w:val="22"/>
          <w:szCs w:val="22"/>
        </w:rPr>
        <w:t>, 2011). The moderate CF values for chromium (2.08) and cadmium (1.92) are consistent with a predominantly residential and commercial waste stream with limited industrial input</w:t>
      </w:r>
      <w:r>
        <w:rPr>
          <w:rFonts w:ascii="Arial" w:hAnsi="Arial" w:cs="Arial"/>
          <w:sz w:val="22"/>
          <w:szCs w:val="22"/>
        </w:rPr>
        <w:t>.</w:t>
      </w:r>
    </w:p>
    <w:p w14:paraId="78EBACD5" w14:textId="77777777" w:rsidR="003E17CC" w:rsidRDefault="003E17CC" w:rsidP="00866F85">
      <w:pPr>
        <w:rPr>
          <w:rFonts w:ascii="Arial" w:hAnsi="Arial" w:cs="Arial"/>
          <w:b/>
          <w:bCs/>
          <w:sz w:val="22"/>
          <w:szCs w:val="22"/>
        </w:rPr>
      </w:pPr>
    </w:p>
    <w:p w14:paraId="1408C29F" w14:textId="77777777" w:rsidR="00F0612E" w:rsidRDefault="00F0612E" w:rsidP="00866F85">
      <w:pPr>
        <w:rPr>
          <w:rFonts w:ascii="Arial" w:hAnsi="Arial" w:cs="Arial"/>
          <w:b/>
          <w:bCs/>
          <w:sz w:val="22"/>
          <w:szCs w:val="22"/>
        </w:rPr>
      </w:pPr>
    </w:p>
    <w:p w14:paraId="5300D886" w14:textId="77777777" w:rsidR="00F0612E" w:rsidRDefault="00F0612E" w:rsidP="00866F85">
      <w:pPr>
        <w:rPr>
          <w:rFonts w:ascii="Arial" w:hAnsi="Arial" w:cs="Arial"/>
          <w:b/>
          <w:bCs/>
          <w:sz w:val="22"/>
          <w:szCs w:val="22"/>
        </w:rPr>
      </w:pPr>
    </w:p>
    <w:p w14:paraId="4AE920DF" w14:textId="77777777" w:rsidR="00F0612E" w:rsidRDefault="00F0612E" w:rsidP="00866F85">
      <w:pPr>
        <w:rPr>
          <w:rFonts w:ascii="Arial" w:hAnsi="Arial" w:cs="Arial"/>
          <w:b/>
          <w:bCs/>
          <w:sz w:val="22"/>
          <w:szCs w:val="22"/>
        </w:rPr>
      </w:pPr>
    </w:p>
    <w:p w14:paraId="24DB6699" w14:textId="77777777" w:rsidR="00F0612E" w:rsidRDefault="00F0612E" w:rsidP="00866F85">
      <w:pPr>
        <w:rPr>
          <w:rFonts w:ascii="Arial" w:hAnsi="Arial" w:cs="Arial"/>
          <w:b/>
          <w:bCs/>
          <w:sz w:val="22"/>
          <w:szCs w:val="22"/>
        </w:rPr>
      </w:pPr>
    </w:p>
    <w:p w14:paraId="5C8F2235" w14:textId="6C9ED843" w:rsidR="00866F85" w:rsidRPr="003E17CC" w:rsidRDefault="00866F85" w:rsidP="00866F85">
      <w:pPr>
        <w:rPr>
          <w:rFonts w:ascii="Arial" w:hAnsi="Arial" w:cs="Arial"/>
          <w:sz w:val="22"/>
          <w:szCs w:val="22"/>
        </w:rPr>
      </w:pPr>
      <w:r w:rsidRPr="003E17CC">
        <w:rPr>
          <w:rFonts w:ascii="Arial" w:hAnsi="Arial" w:cs="Arial"/>
          <w:b/>
          <w:bCs/>
          <w:sz w:val="22"/>
          <w:szCs w:val="22"/>
        </w:rPr>
        <w:t>Table 5: Contamination Factor Results and Classifications</w:t>
      </w:r>
    </w:p>
    <w:tbl>
      <w:tblPr>
        <w:tblW w:w="10514"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76"/>
        <w:gridCol w:w="1437"/>
        <w:gridCol w:w="1472"/>
        <w:gridCol w:w="1190"/>
        <w:gridCol w:w="2534"/>
        <w:gridCol w:w="2405"/>
      </w:tblGrid>
      <w:tr w:rsidR="00866F85" w:rsidRPr="003E17CC" w14:paraId="1626D6F3" w14:textId="77777777" w:rsidTr="00BF1BD7">
        <w:trPr>
          <w:trHeight w:val="813"/>
          <w:tblHeader/>
          <w:tblCellSpacing w:w="15" w:type="dxa"/>
        </w:trPr>
        <w:tc>
          <w:tcPr>
            <w:tcW w:w="1431" w:type="dxa"/>
            <w:tcBorders>
              <w:top w:val="single" w:sz="4" w:space="0" w:color="auto"/>
              <w:bottom w:val="single" w:sz="4" w:space="0" w:color="auto"/>
            </w:tcBorders>
            <w:vAlign w:val="center"/>
            <w:hideMark/>
          </w:tcPr>
          <w:p w14:paraId="7A202564"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Element</w:t>
            </w:r>
          </w:p>
        </w:tc>
        <w:tc>
          <w:tcPr>
            <w:tcW w:w="0" w:type="auto"/>
            <w:tcBorders>
              <w:top w:val="single" w:sz="4" w:space="0" w:color="auto"/>
              <w:bottom w:val="single" w:sz="4" w:space="0" w:color="auto"/>
            </w:tcBorders>
            <w:vAlign w:val="center"/>
            <w:hideMark/>
          </w:tcPr>
          <w:p w14:paraId="3E475AE0"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Mean Conc. (ppm)</w:t>
            </w:r>
          </w:p>
        </w:tc>
        <w:tc>
          <w:tcPr>
            <w:tcW w:w="1442" w:type="dxa"/>
            <w:tcBorders>
              <w:top w:val="single" w:sz="4" w:space="0" w:color="auto"/>
              <w:bottom w:val="single" w:sz="4" w:space="0" w:color="auto"/>
            </w:tcBorders>
            <w:vAlign w:val="center"/>
            <w:hideMark/>
          </w:tcPr>
          <w:p w14:paraId="52760C6E"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Background (ppm)</w:t>
            </w:r>
          </w:p>
        </w:tc>
        <w:tc>
          <w:tcPr>
            <w:tcW w:w="1160" w:type="dxa"/>
            <w:tcBorders>
              <w:top w:val="single" w:sz="4" w:space="0" w:color="auto"/>
              <w:bottom w:val="single" w:sz="4" w:space="0" w:color="auto"/>
            </w:tcBorders>
            <w:vAlign w:val="center"/>
            <w:hideMark/>
          </w:tcPr>
          <w:p w14:paraId="15C7B5A0"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CF Value</w:t>
            </w:r>
          </w:p>
        </w:tc>
        <w:tc>
          <w:tcPr>
            <w:tcW w:w="0" w:type="auto"/>
            <w:tcBorders>
              <w:top w:val="single" w:sz="4" w:space="0" w:color="auto"/>
              <w:bottom w:val="single" w:sz="4" w:space="0" w:color="auto"/>
            </w:tcBorders>
            <w:vAlign w:val="center"/>
            <w:hideMark/>
          </w:tcPr>
          <w:p w14:paraId="298F708D"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Classification</w:t>
            </w:r>
          </w:p>
        </w:tc>
        <w:tc>
          <w:tcPr>
            <w:tcW w:w="0" w:type="auto"/>
            <w:tcBorders>
              <w:top w:val="single" w:sz="4" w:space="0" w:color="auto"/>
              <w:bottom w:val="single" w:sz="4" w:space="0" w:color="auto"/>
            </w:tcBorders>
            <w:vAlign w:val="center"/>
            <w:hideMark/>
          </w:tcPr>
          <w:p w14:paraId="7EDD9840"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Environmental Significance</w:t>
            </w:r>
          </w:p>
        </w:tc>
      </w:tr>
      <w:tr w:rsidR="00866F85" w:rsidRPr="003E17CC" w14:paraId="35B50237" w14:textId="77777777" w:rsidTr="00BF1BD7">
        <w:trPr>
          <w:trHeight w:val="294"/>
          <w:tblCellSpacing w:w="15" w:type="dxa"/>
        </w:trPr>
        <w:tc>
          <w:tcPr>
            <w:tcW w:w="1431" w:type="dxa"/>
            <w:vAlign w:val="center"/>
            <w:hideMark/>
          </w:tcPr>
          <w:p w14:paraId="6B10D9F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Arsenic</w:t>
            </w:r>
          </w:p>
        </w:tc>
        <w:tc>
          <w:tcPr>
            <w:tcW w:w="0" w:type="auto"/>
            <w:vAlign w:val="center"/>
            <w:hideMark/>
          </w:tcPr>
          <w:p w14:paraId="00864FE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0.021</w:t>
            </w:r>
          </w:p>
        </w:tc>
        <w:tc>
          <w:tcPr>
            <w:tcW w:w="1442" w:type="dxa"/>
            <w:vAlign w:val="center"/>
            <w:hideMark/>
          </w:tcPr>
          <w:p w14:paraId="3BB3A72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0.004</w:t>
            </w:r>
          </w:p>
        </w:tc>
        <w:tc>
          <w:tcPr>
            <w:tcW w:w="1160" w:type="dxa"/>
            <w:vAlign w:val="center"/>
            <w:hideMark/>
          </w:tcPr>
          <w:p w14:paraId="7621893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5.25</w:t>
            </w:r>
          </w:p>
        </w:tc>
        <w:tc>
          <w:tcPr>
            <w:tcW w:w="0" w:type="auto"/>
            <w:vAlign w:val="center"/>
            <w:hideMark/>
          </w:tcPr>
          <w:p w14:paraId="7F9B0CA6" w14:textId="1EC6DB31" w:rsidR="00866F85" w:rsidRPr="003E17CC" w:rsidRDefault="00C04F80" w:rsidP="00BF1BD7">
            <w:pPr>
              <w:jc w:val="center"/>
              <w:rPr>
                <w:rFonts w:ascii="Arial" w:hAnsi="Arial" w:cs="Arial"/>
                <w:sz w:val="22"/>
                <w:szCs w:val="22"/>
              </w:rPr>
            </w:pPr>
            <w:r>
              <w:rPr>
                <w:rFonts w:ascii="Arial" w:hAnsi="Arial" w:cs="Arial"/>
                <w:sz w:val="22"/>
                <w:szCs w:val="22"/>
              </w:rPr>
              <w:t xml:space="preserve"> Approaching </w:t>
            </w:r>
            <w:r w:rsidR="00866F85" w:rsidRPr="003E17CC">
              <w:rPr>
                <w:rFonts w:ascii="Arial" w:hAnsi="Arial" w:cs="Arial"/>
                <w:sz w:val="22"/>
                <w:szCs w:val="22"/>
              </w:rPr>
              <w:t>Very High (CF &gt; 6)</w:t>
            </w:r>
          </w:p>
        </w:tc>
        <w:tc>
          <w:tcPr>
            <w:tcW w:w="0" w:type="auto"/>
            <w:vAlign w:val="center"/>
            <w:hideMark/>
          </w:tcPr>
          <w:p w14:paraId="7A4149B1" w14:textId="2F1D7CA1" w:rsidR="00866F85" w:rsidRPr="003E17CC" w:rsidRDefault="00E573AC" w:rsidP="00BF1BD7">
            <w:pPr>
              <w:jc w:val="center"/>
              <w:rPr>
                <w:rFonts w:ascii="Arial" w:hAnsi="Arial" w:cs="Arial"/>
                <w:sz w:val="22"/>
                <w:szCs w:val="22"/>
              </w:rPr>
            </w:pPr>
            <w:r w:rsidRPr="00176490">
              <w:rPr>
                <w:rFonts w:ascii="Arial" w:hAnsi="Arial" w:cs="Arial"/>
                <w:sz w:val="22"/>
                <w:szCs w:val="22"/>
              </w:rPr>
              <w:t>Significant enrichment</w:t>
            </w:r>
          </w:p>
        </w:tc>
      </w:tr>
      <w:tr w:rsidR="00866F85" w:rsidRPr="003E17CC" w14:paraId="36959A6B" w14:textId="77777777" w:rsidTr="00BF1BD7">
        <w:trPr>
          <w:trHeight w:val="492"/>
          <w:tblCellSpacing w:w="15" w:type="dxa"/>
        </w:trPr>
        <w:tc>
          <w:tcPr>
            <w:tcW w:w="1431" w:type="dxa"/>
            <w:vAlign w:val="center"/>
            <w:hideMark/>
          </w:tcPr>
          <w:p w14:paraId="7C22B5A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Nickel</w:t>
            </w:r>
          </w:p>
        </w:tc>
        <w:tc>
          <w:tcPr>
            <w:tcW w:w="0" w:type="auto"/>
            <w:vAlign w:val="center"/>
            <w:hideMark/>
          </w:tcPr>
          <w:p w14:paraId="5A9F679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0.078</w:t>
            </w:r>
          </w:p>
        </w:tc>
        <w:tc>
          <w:tcPr>
            <w:tcW w:w="1442" w:type="dxa"/>
            <w:vAlign w:val="center"/>
            <w:hideMark/>
          </w:tcPr>
          <w:p w14:paraId="3055CE0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0.020</w:t>
            </w:r>
          </w:p>
        </w:tc>
        <w:tc>
          <w:tcPr>
            <w:tcW w:w="1160" w:type="dxa"/>
            <w:vAlign w:val="center"/>
            <w:hideMark/>
          </w:tcPr>
          <w:p w14:paraId="66CD583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3.90</w:t>
            </w:r>
          </w:p>
        </w:tc>
        <w:tc>
          <w:tcPr>
            <w:tcW w:w="0" w:type="auto"/>
            <w:vAlign w:val="center"/>
            <w:hideMark/>
          </w:tcPr>
          <w:p w14:paraId="6EBD9A2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Considerable (3 &lt; CF &lt; 6)</w:t>
            </w:r>
          </w:p>
        </w:tc>
        <w:tc>
          <w:tcPr>
            <w:tcW w:w="0" w:type="auto"/>
            <w:vAlign w:val="center"/>
            <w:hideMark/>
          </w:tcPr>
          <w:p w14:paraId="7AD0C800" w14:textId="6D1BC760" w:rsidR="00866F85" w:rsidRPr="003E17CC" w:rsidRDefault="00E573AC" w:rsidP="00BF1BD7">
            <w:pPr>
              <w:jc w:val="center"/>
              <w:rPr>
                <w:rFonts w:ascii="Arial" w:hAnsi="Arial" w:cs="Arial"/>
                <w:sz w:val="22"/>
                <w:szCs w:val="22"/>
              </w:rPr>
            </w:pPr>
            <w:r w:rsidRPr="00176490">
              <w:rPr>
                <w:rFonts w:ascii="Arial" w:hAnsi="Arial" w:cs="Arial"/>
                <w:sz w:val="22"/>
                <w:szCs w:val="22"/>
              </w:rPr>
              <w:t>Moderate enrichment</w:t>
            </w:r>
          </w:p>
        </w:tc>
      </w:tr>
      <w:tr w:rsidR="00866F85" w:rsidRPr="003E17CC" w14:paraId="6A823611" w14:textId="77777777" w:rsidTr="00BF1BD7">
        <w:trPr>
          <w:trHeight w:val="249"/>
          <w:tblCellSpacing w:w="15" w:type="dxa"/>
        </w:trPr>
        <w:tc>
          <w:tcPr>
            <w:tcW w:w="1431" w:type="dxa"/>
            <w:vAlign w:val="center"/>
            <w:hideMark/>
          </w:tcPr>
          <w:p w14:paraId="2451BC6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Chromium</w:t>
            </w:r>
          </w:p>
        </w:tc>
        <w:tc>
          <w:tcPr>
            <w:tcW w:w="0" w:type="auto"/>
            <w:vAlign w:val="center"/>
            <w:hideMark/>
          </w:tcPr>
          <w:p w14:paraId="6EB6C5B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0.025</w:t>
            </w:r>
          </w:p>
        </w:tc>
        <w:tc>
          <w:tcPr>
            <w:tcW w:w="1442" w:type="dxa"/>
            <w:vAlign w:val="center"/>
            <w:hideMark/>
          </w:tcPr>
          <w:p w14:paraId="74CAE93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0.012</w:t>
            </w:r>
          </w:p>
        </w:tc>
        <w:tc>
          <w:tcPr>
            <w:tcW w:w="1160" w:type="dxa"/>
            <w:vAlign w:val="center"/>
            <w:hideMark/>
          </w:tcPr>
          <w:p w14:paraId="2761118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2.08</w:t>
            </w:r>
          </w:p>
        </w:tc>
        <w:tc>
          <w:tcPr>
            <w:tcW w:w="0" w:type="auto"/>
            <w:vAlign w:val="center"/>
            <w:hideMark/>
          </w:tcPr>
          <w:p w14:paraId="51EA7DA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(1 &lt; CF &lt; 3)</w:t>
            </w:r>
          </w:p>
        </w:tc>
        <w:tc>
          <w:tcPr>
            <w:tcW w:w="0" w:type="auto"/>
            <w:vAlign w:val="center"/>
            <w:hideMark/>
          </w:tcPr>
          <w:p w14:paraId="2BE42593" w14:textId="45901FE6" w:rsidR="00866F85" w:rsidRPr="003E17CC" w:rsidRDefault="00E573AC" w:rsidP="00BF1BD7">
            <w:pPr>
              <w:jc w:val="center"/>
              <w:rPr>
                <w:rFonts w:ascii="Arial" w:hAnsi="Arial" w:cs="Arial"/>
                <w:sz w:val="22"/>
                <w:szCs w:val="22"/>
              </w:rPr>
            </w:pPr>
            <w:r w:rsidRPr="00176490">
              <w:rPr>
                <w:rFonts w:ascii="Arial" w:hAnsi="Arial" w:cs="Arial"/>
                <w:sz w:val="22"/>
                <w:szCs w:val="22"/>
              </w:rPr>
              <w:t>Low–moderate enrichment</w:t>
            </w:r>
          </w:p>
        </w:tc>
      </w:tr>
      <w:tr w:rsidR="00866F85" w:rsidRPr="003E17CC" w14:paraId="1C01D339" w14:textId="77777777" w:rsidTr="00BF1BD7">
        <w:trPr>
          <w:trHeight w:val="483"/>
          <w:tblCellSpacing w:w="15" w:type="dxa"/>
        </w:trPr>
        <w:tc>
          <w:tcPr>
            <w:tcW w:w="1431" w:type="dxa"/>
            <w:vAlign w:val="center"/>
            <w:hideMark/>
          </w:tcPr>
          <w:p w14:paraId="206116D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Cadmium</w:t>
            </w:r>
          </w:p>
        </w:tc>
        <w:tc>
          <w:tcPr>
            <w:tcW w:w="0" w:type="auto"/>
            <w:vAlign w:val="center"/>
            <w:hideMark/>
          </w:tcPr>
          <w:p w14:paraId="47B55EAA"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0.075</w:t>
            </w:r>
          </w:p>
        </w:tc>
        <w:tc>
          <w:tcPr>
            <w:tcW w:w="1442" w:type="dxa"/>
            <w:vAlign w:val="center"/>
            <w:hideMark/>
          </w:tcPr>
          <w:p w14:paraId="13FD7A9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0.039</w:t>
            </w:r>
          </w:p>
        </w:tc>
        <w:tc>
          <w:tcPr>
            <w:tcW w:w="1160" w:type="dxa"/>
            <w:vAlign w:val="center"/>
            <w:hideMark/>
          </w:tcPr>
          <w:p w14:paraId="7E54129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1.92</w:t>
            </w:r>
          </w:p>
        </w:tc>
        <w:tc>
          <w:tcPr>
            <w:tcW w:w="0" w:type="auto"/>
            <w:vAlign w:val="center"/>
            <w:hideMark/>
          </w:tcPr>
          <w:p w14:paraId="7A595B9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(1 &lt; CF &lt; 3)</w:t>
            </w:r>
          </w:p>
        </w:tc>
        <w:tc>
          <w:tcPr>
            <w:tcW w:w="0" w:type="auto"/>
            <w:vAlign w:val="center"/>
            <w:hideMark/>
          </w:tcPr>
          <w:p w14:paraId="511B3660" w14:textId="6C2AEF77" w:rsidR="00866F85" w:rsidRPr="003E17CC" w:rsidRDefault="00866F85" w:rsidP="00BF1BD7">
            <w:pPr>
              <w:jc w:val="center"/>
              <w:rPr>
                <w:rFonts w:ascii="Arial" w:hAnsi="Arial" w:cs="Arial"/>
                <w:sz w:val="22"/>
                <w:szCs w:val="22"/>
              </w:rPr>
            </w:pPr>
            <w:r w:rsidRPr="003E17CC">
              <w:rPr>
                <w:rFonts w:ascii="Arial" w:hAnsi="Arial" w:cs="Arial"/>
                <w:sz w:val="22"/>
                <w:szCs w:val="22"/>
              </w:rPr>
              <w:t xml:space="preserve">Low-moderate </w:t>
            </w:r>
            <w:r w:rsidR="00E573AC" w:rsidRPr="00176490">
              <w:rPr>
                <w:rFonts w:ascii="Arial" w:hAnsi="Arial" w:cs="Arial"/>
                <w:sz w:val="22"/>
                <w:szCs w:val="22"/>
              </w:rPr>
              <w:t>enrichment</w:t>
            </w:r>
          </w:p>
        </w:tc>
      </w:tr>
      <w:tr w:rsidR="00866F85" w:rsidRPr="003E17CC" w14:paraId="10F61992" w14:textId="77777777" w:rsidTr="00BF1BD7">
        <w:trPr>
          <w:trHeight w:val="321"/>
          <w:tblCellSpacing w:w="15" w:type="dxa"/>
        </w:trPr>
        <w:tc>
          <w:tcPr>
            <w:tcW w:w="1431" w:type="dxa"/>
            <w:tcBorders>
              <w:bottom w:val="single" w:sz="4" w:space="0" w:color="auto"/>
            </w:tcBorders>
            <w:vAlign w:val="center"/>
            <w:hideMark/>
          </w:tcPr>
          <w:p w14:paraId="0D10FD1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0" w:type="auto"/>
            <w:tcBorders>
              <w:bottom w:val="single" w:sz="4" w:space="0" w:color="auto"/>
            </w:tcBorders>
            <w:vAlign w:val="center"/>
            <w:hideMark/>
          </w:tcPr>
          <w:p w14:paraId="5FCA047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0.186</w:t>
            </w:r>
          </w:p>
        </w:tc>
        <w:tc>
          <w:tcPr>
            <w:tcW w:w="1442" w:type="dxa"/>
            <w:tcBorders>
              <w:bottom w:val="single" w:sz="4" w:space="0" w:color="auto"/>
            </w:tcBorders>
            <w:vAlign w:val="center"/>
            <w:hideMark/>
          </w:tcPr>
          <w:p w14:paraId="641B24E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0.042</w:t>
            </w:r>
          </w:p>
        </w:tc>
        <w:tc>
          <w:tcPr>
            <w:tcW w:w="1160" w:type="dxa"/>
            <w:tcBorders>
              <w:bottom w:val="single" w:sz="4" w:space="0" w:color="auto"/>
            </w:tcBorders>
            <w:vAlign w:val="center"/>
            <w:hideMark/>
          </w:tcPr>
          <w:p w14:paraId="00635E3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4.43</w:t>
            </w:r>
          </w:p>
        </w:tc>
        <w:tc>
          <w:tcPr>
            <w:tcW w:w="0" w:type="auto"/>
            <w:tcBorders>
              <w:bottom w:val="single" w:sz="4" w:space="0" w:color="auto"/>
            </w:tcBorders>
            <w:vAlign w:val="center"/>
            <w:hideMark/>
          </w:tcPr>
          <w:p w14:paraId="7F21B1C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Considerable (3 &lt; CF &lt; 6)</w:t>
            </w:r>
          </w:p>
        </w:tc>
        <w:tc>
          <w:tcPr>
            <w:tcW w:w="0" w:type="auto"/>
            <w:tcBorders>
              <w:bottom w:val="single" w:sz="4" w:space="0" w:color="auto"/>
            </w:tcBorders>
            <w:vAlign w:val="center"/>
            <w:hideMark/>
          </w:tcPr>
          <w:p w14:paraId="4AAE04AC" w14:textId="61A51F9B" w:rsidR="00866F85" w:rsidRPr="003E17CC" w:rsidRDefault="00E573AC" w:rsidP="00BF1BD7">
            <w:pPr>
              <w:jc w:val="center"/>
              <w:rPr>
                <w:rFonts w:ascii="Arial" w:hAnsi="Arial" w:cs="Arial"/>
                <w:sz w:val="22"/>
                <w:szCs w:val="22"/>
              </w:rPr>
            </w:pPr>
            <w:r w:rsidRPr="00176490">
              <w:rPr>
                <w:rFonts w:ascii="Arial" w:hAnsi="Arial" w:cs="Arial"/>
                <w:sz w:val="22"/>
                <w:szCs w:val="22"/>
              </w:rPr>
              <w:t>Moderate enrichment</w:t>
            </w:r>
          </w:p>
        </w:tc>
      </w:tr>
    </w:tbl>
    <w:p w14:paraId="4C3FBCC5" w14:textId="42FD023D" w:rsidR="00866F85" w:rsidRPr="003E17CC" w:rsidRDefault="00866F85" w:rsidP="00866F85">
      <w:pPr>
        <w:jc w:val="both"/>
        <w:rPr>
          <w:rFonts w:ascii="Arial" w:hAnsi="Arial" w:cs="Arial"/>
          <w:sz w:val="22"/>
          <w:szCs w:val="22"/>
        </w:rPr>
      </w:pPr>
      <w:r w:rsidRPr="003E17CC">
        <w:rPr>
          <w:rFonts w:ascii="Arial" w:hAnsi="Arial" w:cs="Arial"/>
          <w:sz w:val="22"/>
          <w:szCs w:val="22"/>
        </w:rPr>
        <w:lastRenderedPageBreak/>
        <w:t>Key findings (Table 5): Arsenic</w:t>
      </w:r>
      <w:r w:rsidRPr="003E17CC">
        <w:rPr>
          <w:rFonts w:ascii="Arial" w:hAnsi="Arial" w:cs="Arial"/>
          <w:b/>
          <w:bCs/>
          <w:sz w:val="22"/>
          <w:szCs w:val="22"/>
        </w:rPr>
        <w:t>:</w:t>
      </w:r>
      <w:r w:rsidRPr="003E17CC">
        <w:rPr>
          <w:rFonts w:ascii="Arial" w:hAnsi="Arial" w:cs="Arial"/>
          <w:sz w:val="22"/>
          <w:szCs w:val="22"/>
        </w:rPr>
        <w:t xml:space="preserve"> CF = 5.25 (Very High); Nickel</w:t>
      </w:r>
      <w:r w:rsidRPr="003E17CC">
        <w:rPr>
          <w:rFonts w:ascii="Arial" w:hAnsi="Arial" w:cs="Arial"/>
          <w:b/>
          <w:bCs/>
          <w:sz w:val="22"/>
          <w:szCs w:val="22"/>
        </w:rPr>
        <w:t>:</w:t>
      </w:r>
      <w:r w:rsidRPr="003E17CC">
        <w:rPr>
          <w:rFonts w:ascii="Arial" w:hAnsi="Arial" w:cs="Arial"/>
          <w:sz w:val="22"/>
          <w:szCs w:val="22"/>
        </w:rPr>
        <w:t xml:space="preserve"> CF = 3.90 (Considerable); Lead: CF = 4.43 (Considerable); Chromium: CF = 2.08 (Moderate); Cadmium</w:t>
      </w:r>
      <w:r w:rsidRPr="003E17CC">
        <w:rPr>
          <w:rFonts w:ascii="Arial" w:hAnsi="Arial" w:cs="Arial"/>
          <w:b/>
          <w:bCs/>
          <w:sz w:val="22"/>
          <w:szCs w:val="22"/>
        </w:rPr>
        <w:t>:</w:t>
      </w:r>
      <w:r w:rsidRPr="003E17CC">
        <w:rPr>
          <w:rFonts w:ascii="Arial" w:hAnsi="Arial" w:cs="Arial"/>
          <w:sz w:val="22"/>
          <w:szCs w:val="22"/>
        </w:rPr>
        <w:t xml:space="preserve"> CF = 1.92 (Moderate)</w:t>
      </w:r>
    </w:p>
    <w:p w14:paraId="5703AEC1" w14:textId="77777777" w:rsidR="003E17CC" w:rsidRPr="003E17CC" w:rsidRDefault="003E17CC" w:rsidP="00866F85">
      <w:pPr>
        <w:jc w:val="both"/>
        <w:rPr>
          <w:rFonts w:ascii="Arial" w:hAnsi="Arial" w:cs="Arial"/>
          <w:b/>
          <w:bCs/>
          <w:sz w:val="22"/>
          <w:szCs w:val="22"/>
        </w:rPr>
      </w:pPr>
    </w:p>
    <w:p w14:paraId="4439BD63" w14:textId="44B215AE" w:rsidR="00866F85" w:rsidRPr="003E17CC" w:rsidRDefault="003E17CC" w:rsidP="00866F85">
      <w:pPr>
        <w:jc w:val="both"/>
        <w:rPr>
          <w:rFonts w:ascii="Arial" w:hAnsi="Arial" w:cs="Arial"/>
          <w:sz w:val="22"/>
          <w:szCs w:val="22"/>
        </w:rPr>
      </w:pPr>
      <w:r>
        <w:rPr>
          <w:rFonts w:ascii="Arial" w:hAnsi="Arial" w:cs="Arial"/>
          <w:b/>
          <w:bCs/>
          <w:sz w:val="22"/>
          <w:szCs w:val="22"/>
        </w:rPr>
        <w:t>3</w:t>
      </w:r>
      <w:r w:rsidR="00866F85" w:rsidRPr="003E17CC">
        <w:rPr>
          <w:rFonts w:ascii="Arial" w:hAnsi="Arial" w:cs="Arial"/>
          <w:b/>
          <w:bCs/>
          <w:sz w:val="22"/>
          <w:szCs w:val="22"/>
        </w:rPr>
        <w:t>.2.3 Geo-accumulation Index</w:t>
      </w:r>
    </w:p>
    <w:p w14:paraId="5532A931" w14:textId="77777777" w:rsidR="003E17CC" w:rsidRDefault="003E17CC" w:rsidP="00866F85">
      <w:pPr>
        <w:rPr>
          <w:rFonts w:ascii="Arial" w:hAnsi="Arial" w:cs="Arial"/>
          <w:sz w:val="22"/>
          <w:szCs w:val="22"/>
        </w:rPr>
      </w:pPr>
    </w:p>
    <w:p w14:paraId="49D59ECF" w14:textId="77777777" w:rsidR="00E573AC" w:rsidRPr="00176490" w:rsidRDefault="00E573AC" w:rsidP="00E573AC">
      <w:pPr>
        <w:spacing w:after="160" w:line="278" w:lineRule="auto"/>
        <w:jc w:val="both"/>
        <w:rPr>
          <w:rFonts w:ascii="Arial" w:hAnsi="Arial" w:cs="Arial"/>
          <w:sz w:val="22"/>
          <w:szCs w:val="22"/>
        </w:rPr>
      </w:pPr>
      <w:r w:rsidRPr="00176490">
        <w:rPr>
          <w:rFonts w:ascii="Arial" w:hAnsi="Arial" w:cs="Arial"/>
          <w:sz w:val="22"/>
          <w:szCs w:val="22"/>
        </w:rPr>
        <w:t>The geo-accumulation index was calculated following Müller (1969):</w:t>
      </w:r>
    </w:p>
    <w:p w14:paraId="233A4005" w14:textId="10A0EEDB" w:rsidR="00E573AC" w:rsidRPr="00176490" w:rsidRDefault="009801D4" w:rsidP="00E573AC">
      <w:pPr>
        <w:spacing w:after="160" w:line="278" w:lineRule="auto"/>
        <w:jc w:val="both"/>
        <w:rPr>
          <w:rFonts w:ascii="Arial" w:hAnsi="Arial"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I</m:t>
              </m:r>
            </m:e>
            <m:sub>
              <m:r>
                <w:rPr>
                  <w:rFonts w:ascii="Cambria Math" w:hAnsi="Cambria Math" w:cs="Arial"/>
                  <w:sz w:val="22"/>
                  <w:szCs w:val="22"/>
                </w:rPr>
                <m:t>geo</m:t>
              </m:r>
            </m:sub>
          </m:sSub>
          <m:r>
            <w:rPr>
              <w:rFonts w:ascii="Cambria Math" w:hAnsi="Cambria Math" w:cs="Arial"/>
              <w:sz w:val="22"/>
              <w:szCs w:val="22"/>
            </w:rPr>
            <m:t>=</m:t>
          </m:r>
          <m:sSub>
            <m:sSubPr>
              <m:ctrlPr>
                <w:rPr>
                  <w:rFonts w:ascii="Cambria Math" w:hAnsi="Cambria Math" w:cs="Arial"/>
                  <w:sz w:val="22"/>
                  <w:szCs w:val="22"/>
                </w:rPr>
              </m:ctrlPr>
            </m:sSubPr>
            <m:e>
              <m:r>
                <m:rPr>
                  <m:sty m:val="p"/>
                </m:rPr>
                <w:rPr>
                  <w:rFonts w:ascii="Cambria Math" w:hAnsi="Cambria Math" w:cs="Arial"/>
                  <w:sz w:val="22"/>
                  <w:szCs w:val="22"/>
                </w:rPr>
                <m:t>log</m:t>
              </m:r>
              <m:r>
                <w:rPr>
                  <w:rFonts w:ascii="Cambria Math" w:hAnsi="Cambria Math" w:cs="Arial"/>
                  <w:sz w:val="22"/>
                  <w:szCs w:val="22"/>
                </w:rPr>
                <m:t>⁡</m:t>
              </m:r>
            </m:e>
            <m:sub>
              <m:r>
                <w:rPr>
                  <w:rFonts w:ascii="Cambria Math" w:hAnsi="Cambria Math" w:cs="Arial"/>
                  <w:sz w:val="22"/>
                  <w:szCs w:val="22"/>
                </w:rPr>
                <m:t>2</m:t>
              </m:r>
            </m:sub>
          </m:sSub>
          <m:d>
            <m:dPr>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n</m:t>
                      </m:r>
                    </m:sub>
                  </m:sSub>
                </m:num>
                <m:den>
                  <m:r>
                    <w:rPr>
                      <w:rFonts w:ascii="Cambria Math" w:hAnsi="Cambria Math" w:cs="Arial"/>
                      <w:sz w:val="22"/>
                      <w:szCs w:val="22"/>
                    </w:rPr>
                    <m:t>1.5×</m:t>
                  </m:r>
                  <m:sSub>
                    <m:sSubPr>
                      <m:ctrlPr>
                        <w:rPr>
                          <w:rFonts w:ascii="Cambria Math" w:hAnsi="Cambria Math" w:cs="Arial"/>
                          <w:sz w:val="22"/>
                          <w:szCs w:val="22"/>
                        </w:rPr>
                      </m:ctrlPr>
                    </m:sSubPr>
                    <m:e>
                      <m:r>
                        <w:rPr>
                          <w:rFonts w:ascii="Cambria Math" w:hAnsi="Cambria Math" w:cs="Arial"/>
                          <w:sz w:val="22"/>
                          <w:szCs w:val="22"/>
                        </w:rPr>
                        <m:t>B</m:t>
                      </m:r>
                    </m:e>
                    <m:sub>
                      <m:r>
                        <w:rPr>
                          <w:rFonts w:ascii="Cambria Math" w:hAnsi="Cambria Math" w:cs="Arial"/>
                          <w:sz w:val="22"/>
                          <w:szCs w:val="22"/>
                        </w:rPr>
                        <m:t>n</m:t>
                      </m:r>
                    </m:sub>
                  </m:sSub>
                </m:den>
              </m:f>
            </m:e>
          </m:d>
        </m:oMath>
      </m:oMathPara>
    </w:p>
    <w:p w14:paraId="079C7553" w14:textId="62772A5C" w:rsidR="003E17CC" w:rsidRPr="003E17CC" w:rsidRDefault="00E573AC" w:rsidP="00E573AC">
      <w:pPr>
        <w:jc w:val="both"/>
        <w:rPr>
          <w:rFonts w:ascii="Arial" w:hAnsi="Arial" w:cs="Arial"/>
          <w:b/>
          <w:bCs/>
          <w:sz w:val="22"/>
          <w:szCs w:val="22"/>
        </w:rPr>
      </w:pPr>
      <w:r w:rsidRPr="00176490">
        <w:rPr>
          <w:rFonts w:ascii="Arial" w:hAnsi="Arial" w:cs="Arial"/>
          <w:sz w:val="22"/>
          <w:szCs w:val="22"/>
        </w:rPr>
        <w:t xml:space="preserve">The I_geo results (Table 6) classify arsenic, nickel, and lead as Class 2 (Moderately Polluted), while chromium and cadmium fall within Class 1 (Unpolluted to Moderately Polluted). Müller (1969) defined Class 2 as representing unambiguous anthropogenic contamination superimposed on the natural geochemical background precisely the condition documented at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site, where natural background concentrations are inherently low owing to the quartz-dominated sandy lithology of the Benin Formation. The application of the 1.5 background correction factor in the I_geo formula accounts for natural lithogenic variability; in this geological setting, the extremely low background concentrations mean that even small absolute increases translate into positive I_geo values, reinforcing the reliability of these index signals as indicators of genuine anthropogenic input rather than geochemical noise. The Pb I_geo of 1.56 recorded at this site is comparable to values of 1.5–2.3 reported by </w:t>
      </w:r>
      <w:proofErr w:type="spellStart"/>
      <w:r w:rsidRPr="00176490">
        <w:rPr>
          <w:rFonts w:ascii="Arial" w:hAnsi="Arial" w:cs="Arial"/>
          <w:sz w:val="22"/>
          <w:szCs w:val="22"/>
        </w:rPr>
        <w:t>Ideriah</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(2005) at municipal waste sites in Port Harcourt, suggesting that the contamination profile at </w:t>
      </w:r>
      <w:proofErr w:type="spellStart"/>
      <w:r w:rsidRPr="00176490">
        <w:rPr>
          <w:rFonts w:ascii="Arial" w:hAnsi="Arial" w:cs="Arial"/>
          <w:sz w:val="22"/>
          <w:szCs w:val="22"/>
        </w:rPr>
        <w:t>Aluu</w:t>
      </w:r>
      <w:proofErr w:type="spellEnd"/>
      <w:r w:rsidRPr="00176490">
        <w:rPr>
          <w:rFonts w:ascii="Arial" w:hAnsi="Arial" w:cs="Arial"/>
          <w:sz w:val="22"/>
          <w:szCs w:val="22"/>
        </w:rPr>
        <w:t xml:space="preserve"> is representative of the broader Niger Delta municipal landfill landscape.</w:t>
      </w:r>
    </w:p>
    <w:p w14:paraId="1846B0E9" w14:textId="77777777" w:rsidR="00974E88" w:rsidRDefault="00974E88" w:rsidP="00866F85">
      <w:pPr>
        <w:rPr>
          <w:rFonts w:ascii="Arial" w:hAnsi="Arial" w:cs="Arial"/>
          <w:b/>
          <w:bCs/>
          <w:sz w:val="22"/>
          <w:szCs w:val="22"/>
        </w:rPr>
      </w:pPr>
    </w:p>
    <w:p w14:paraId="47432F4A" w14:textId="2F52D874" w:rsidR="00866F85" w:rsidRPr="003E17CC" w:rsidRDefault="00866F85" w:rsidP="00866F85">
      <w:pPr>
        <w:rPr>
          <w:rFonts w:ascii="Arial" w:hAnsi="Arial" w:cs="Arial"/>
          <w:sz w:val="22"/>
          <w:szCs w:val="22"/>
        </w:rPr>
      </w:pPr>
      <w:r w:rsidRPr="003E17CC">
        <w:rPr>
          <w:rFonts w:ascii="Arial" w:hAnsi="Arial" w:cs="Arial"/>
          <w:b/>
          <w:bCs/>
          <w:sz w:val="22"/>
          <w:szCs w:val="22"/>
        </w:rPr>
        <w:t>Table 6: Geo-accumulation Index Results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9"/>
        <w:gridCol w:w="982"/>
        <w:gridCol w:w="1155"/>
        <w:gridCol w:w="3336"/>
        <w:gridCol w:w="2628"/>
      </w:tblGrid>
      <w:tr w:rsidR="00866F85" w:rsidRPr="003E17CC" w14:paraId="4D950337" w14:textId="77777777" w:rsidTr="00BF1BD7">
        <w:trPr>
          <w:tblHeader/>
          <w:tblCellSpacing w:w="15" w:type="dxa"/>
        </w:trPr>
        <w:tc>
          <w:tcPr>
            <w:tcW w:w="1215" w:type="dxa"/>
            <w:tcBorders>
              <w:top w:val="single" w:sz="4" w:space="0" w:color="auto"/>
              <w:bottom w:val="single" w:sz="4" w:space="0" w:color="auto"/>
            </w:tcBorders>
            <w:vAlign w:val="center"/>
            <w:hideMark/>
          </w:tcPr>
          <w:p w14:paraId="777A055E"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Element</w:t>
            </w:r>
          </w:p>
        </w:tc>
        <w:tc>
          <w:tcPr>
            <w:tcW w:w="952" w:type="dxa"/>
            <w:tcBorders>
              <w:top w:val="single" w:sz="4" w:space="0" w:color="auto"/>
              <w:bottom w:val="single" w:sz="4" w:space="0" w:color="auto"/>
            </w:tcBorders>
            <w:vAlign w:val="center"/>
            <w:hideMark/>
          </w:tcPr>
          <w:p w14:paraId="1F2CDF09" w14:textId="77777777" w:rsidR="00866F85" w:rsidRPr="003E17CC" w:rsidRDefault="00866F85" w:rsidP="00BF1BD7">
            <w:pPr>
              <w:jc w:val="center"/>
              <w:rPr>
                <w:rFonts w:ascii="Arial" w:hAnsi="Arial" w:cs="Arial"/>
                <w:b/>
                <w:bCs/>
                <w:sz w:val="22"/>
                <w:szCs w:val="22"/>
              </w:rPr>
            </w:pPr>
            <w:proofErr w:type="spellStart"/>
            <w:r w:rsidRPr="003E17CC">
              <w:rPr>
                <w:rFonts w:ascii="Arial" w:hAnsi="Arial" w:cs="Arial"/>
                <w:b/>
                <w:bCs/>
                <w:sz w:val="22"/>
                <w:szCs w:val="22"/>
              </w:rPr>
              <w:t>Igeo</w:t>
            </w:r>
            <w:proofErr w:type="spellEnd"/>
            <w:r w:rsidRPr="003E17CC">
              <w:rPr>
                <w:rFonts w:ascii="Arial" w:hAnsi="Arial" w:cs="Arial"/>
                <w:b/>
                <w:bCs/>
                <w:sz w:val="22"/>
                <w:szCs w:val="22"/>
              </w:rPr>
              <w:t xml:space="preserve"> Value</w:t>
            </w:r>
          </w:p>
        </w:tc>
        <w:tc>
          <w:tcPr>
            <w:tcW w:w="0" w:type="auto"/>
            <w:tcBorders>
              <w:top w:val="single" w:sz="4" w:space="0" w:color="auto"/>
              <w:bottom w:val="single" w:sz="4" w:space="0" w:color="auto"/>
            </w:tcBorders>
            <w:vAlign w:val="center"/>
            <w:hideMark/>
          </w:tcPr>
          <w:p w14:paraId="177527BA" w14:textId="77777777" w:rsidR="00866F85" w:rsidRPr="003E17CC" w:rsidRDefault="00866F85" w:rsidP="00BF1BD7">
            <w:pPr>
              <w:jc w:val="center"/>
              <w:rPr>
                <w:rFonts w:ascii="Arial" w:hAnsi="Arial" w:cs="Arial"/>
                <w:b/>
                <w:bCs/>
                <w:sz w:val="22"/>
                <w:szCs w:val="22"/>
              </w:rPr>
            </w:pPr>
            <w:proofErr w:type="spellStart"/>
            <w:r w:rsidRPr="003E17CC">
              <w:rPr>
                <w:rFonts w:ascii="Arial" w:hAnsi="Arial" w:cs="Arial"/>
                <w:b/>
                <w:bCs/>
                <w:sz w:val="22"/>
                <w:szCs w:val="22"/>
              </w:rPr>
              <w:t>Igeo</w:t>
            </w:r>
            <w:proofErr w:type="spellEnd"/>
            <w:r w:rsidRPr="003E17CC">
              <w:rPr>
                <w:rFonts w:ascii="Arial" w:hAnsi="Arial" w:cs="Arial"/>
                <w:b/>
                <w:bCs/>
                <w:sz w:val="22"/>
                <w:szCs w:val="22"/>
              </w:rPr>
              <w:t xml:space="preserve"> Class</w:t>
            </w:r>
          </w:p>
        </w:tc>
        <w:tc>
          <w:tcPr>
            <w:tcW w:w="0" w:type="auto"/>
            <w:tcBorders>
              <w:top w:val="single" w:sz="4" w:space="0" w:color="auto"/>
              <w:bottom w:val="single" w:sz="4" w:space="0" w:color="auto"/>
            </w:tcBorders>
            <w:vAlign w:val="center"/>
            <w:hideMark/>
          </w:tcPr>
          <w:p w14:paraId="0481BAAE"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Pollution Category</w:t>
            </w:r>
          </w:p>
        </w:tc>
        <w:tc>
          <w:tcPr>
            <w:tcW w:w="0" w:type="auto"/>
            <w:tcBorders>
              <w:top w:val="single" w:sz="4" w:space="0" w:color="auto"/>
              <w:bottom w:val="single" w:sz="4" w:space="0" w:color="auto"/>
            </w:tcBorders>
            <w:vAlign w:val="center"/>
            <w:hideMark/>
          </w:tcPr>
          <w:p w14:paraId="7FE349D9"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Management Implication</w:t>
            </w:r>
          </w:p>
        </w:tc>
      </w:tr>
      <w:tr w:rsidR="00866F85" w:rsidRPr="003E17CC" w14:paraId="79D50511" w14:textId="77777777" w:rsidTr="00BF1BD7">
        <w:trPr>
          <w:tblCellSpacing w:w="15" w:type="dxa"/>
        </w:trPr>
        <w:tc>
          <w:tcPr>
            <w:tcW w:w="1215" w:type="dxa"/>
            <w:vAlign w:val="center"/>
            <w:hideMark/>
          </w:tcPr>
          <w:p w14:paraId="68A938B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Arsenic</w:t>
            </w:r>
          </w:p>
        </w:tc>
        <w:tc>
          <w:tcPr>
            <w:tcW w:w="952" w:type="dxa"/>
            <w:vAlign w:val="center"/>
            <w:hideMark/>
          </w:tcPr>
          <w:p w14:paraId="3EF16EE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1.81</w:t>
            </w:r>
          </w:p>
        </w:tc>
        <w:tc>
          <w:tcPr>
            <w:tcW w:w="0" w:type="auto"/>
            <w:vAlign w:val="center"/>
            <w:hideMark/>
          </w:tcPr>
          <w:p w14:paraId="4F37F35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w:t>
            </w:r>
          </w:p>
        </w:tc>
        <w:tc>
          <w:tcPr>
            <w:tcW w:w="0" w:type="auto"/>
            <w:vAlign w:val="center"/>
            <w:hideMark/>
          </w:tcPr>
          <w:p w14:paraId="307E907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Moderately Polluted</w:t>
            </w:r>
          </w:p>
        </w:tc>
        <w:tc>
          <w:tcPr>
            <w:tcW w:w="0" w:type="auto"/>
            <w:vAlign w:val="center"/>
            <w:hideMark/>
          </w:tcPr>
          <w:p w14:paraId="027912D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Monitoring required</w:t>
            </w:r>
          </w:p>
        </w:tc>
      </w:tr>
      <w:tr w:rsidR="00866F85" w:rsidRPr="003E17CC" w14:paraId="2DEC9211" w14:textId="77777777" w:rsidTr="00BF1BD7">
        <w:trPr>
          <w:tblCellSpacing w:w="15" w:type="dxa"/>
        </w:trPr>
        <w:tc>
          <w:tcPr>
            <w:tcW w:w="1215" w:type="dxa"/>
            <w:vAlign w:val="center"/>
            <w:hideMark/>
          </w:tcPr>
          <w:p w14:paraId="7C304F2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Nickel</w:t>
            </w:r>
          </w:p>
        </w:tc>
        <w:tc>
          <w:tcPr>
            <w:tcW w:w="952" w:type="dxa"/>
            <w:vAlign w:val="center"/>
            <w:hideMark/>
          </w:tcPr>
          <w:p w14:paraId="6459137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1.38</w:t>
            </w:r>
          </w:p>
        </w:tc>
        <w:tc>
          <w:tcPr>
            <w:tcW w:w="0" w:type="auto"/>
            <w:vAlign w:val="center"/>
            <w:hideMark/>
          </w:tcPr>
          <w:p w14:paraId="484D5C2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w:t>
            </w:r>
          </w:p>
        </w:tc>
        <w:tc>
          <w:tcPr>
            <w:tcW w:w="0" w:type="auto"/>
            <w:vAlign w:val="center"/>
            <w:hideMark/>
          </w:tcPr>
          <w:p w14:paraId="5AD62C4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Moderately Polluted</w:t>
            </w:r>
          </w:p>
        </w:tc>
        <w:tc>
          <w:tcPr>
            <w:tcW w:w="0" w:type="auto"/>
            <w:vAlign w:val="center"/>
            <w:hideMark/>
          </w:tcPr>
          <w:p w14:paraId="656D51E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Monitoring required</w:t>
            </w:r>
          </w:p>
        </w:tc>
      </w:tr>
      <w:tr w:rsidR="00866F85" w:rsidRPr="003E17CC" w14:paraId="51002473" w14:textId="77777777" w:rsidTr="00BF1BD7">
        <w:trPr>
          <w:tblCellSpacing w:w="15" w:type="dxa"/>
        </w:trPr>
        <w:tc>
          <w:tcPr>
            <w:tcW w:w="1215" w:type="dxa"/>
            <w:vAlign w:val="center"/>
            <w:hideMark/>
          </w:tcPr>
          <w:p w14:paraId="67AC6D0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Chromium</w:t>
            </w:r>
          </w:p>
        </w:tc>
        <w:tc>
          <w:tcPr>
            <w:tcW w:w="952" w:type="dxa"/>
            <w:vAlign w:val="center"/>
            <w:hideMark/>
          </w:tcPr>
          <w:p w14:paraId="5CDF204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0.48</w:t>
            </w:r>
          </w:p>
        </w:tc>
        <w:tc>
          <w:tcPr>
            <w:tcW w:w="0" w:type="auto"/>
            <w:vAlign w:val="center"/>
            <w:hideMark/>
          </w:tcPr>
          <w:p w14:paraId="76E6E86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w:t>
            </w:r>
          </w:p>
        </w:tc>
        <w:tc>
          <w:tcPr>
            <w:tcW w:w="0" w:type="auto"/>
            <w:vAlign w:val="center"/>
            <w:hideMark/>
          </w:tcPr>
          <w:p w14:paraId="136E039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Unpolluted to Moderately Polluted</w:t>
            </w:r>
          </w:p>
        </w:tc>
        <w:tc>
          <w:tcPr>
            <w:tcW w:w="0" w:type="auto"/>
            <w:vAlign w:val="center"/>
            <w:hideMark/>
          </w:tcPr>
          <w:p w14:paraId="7E8BB73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Baseline monitoring</w:t>
            </w:r>
          </w:p>
        </w:tc>
      </w:tr>
      <w:tr w:rsidR="00866F85" w:rsidRPr="003E17CC" w14:paraId="77F34AF0" w14:textId="77777777" w:rsidTr="00BF1BD7">
        <w:trPr>
          <w:tblCellSpacing w:w="15" w:type="dxa"/>
        </w:trPr>
        <w:tc>
          <w:tcPr>
            <w:tcW w:w="1215" w:type="dxa"/>
            <w:vAlign w:val="center"/>
            <w:hideMark/>
          </w:tcPr>
          <w:p w14:paraId="0D83329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Cadmium</w:t>
            </w:r>
          </w:p>
        </w:tc>
        <w:tc>
          <w:tcPr>
            <w:tcW w:w="952" w:type="dxa"/>
            <w:vAlign w:val="center"/>
            <w:hideMark/>
          </w:tcPr>
          <w:p w14:paraId="7D39548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0.36</w:t>
            </w:r>
          </w:p>
        </w:tc>
        <w:tc>
          <w:tcPr>
            <w:tcW w:w="0" w:type="auto"/>
            <w:vAlign w:val="center"/>
            <w:hideMark/>
          </w:tcPr>
          <w:p w14:paraId="1B6D82D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w:t>
            </w:r>
          </w:p>
        </w:tc>
        <w:tc>
          <w:tcPr>
            <w:tcW w:w="0" w:type="auto"/>
            <w:vAlign w:val="center"/>
            <w:hideMark/>
          </w:tcPr>
          <w:p w14:paraId="5340141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Unpolluted to Moderately Polluted</w:t>
            </w:r>
          </w:p>
        </w:tc>
        <w:tc>
          <w:tcPr>
            <w:tcW w:w="0" w:type="auto"/>
            <w:vAlign w:val="center"/>
            <w:hideMark/>
          </w:tcPr>
          <w:p w14:paraId="5C4FAED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Baseline monitoring</w:t>
            </w:r>
          </w:p>
        </w:tc>
      </w:tr>
      <w:tr w:rsidR="00866F85" w:rsidRPr="003E17CC" w14:paraId="0E4363CC" w14:textId="77777777" w:rsidTr="00BF1BD7">
        <w:trPr>
          <w:tblCellSpacing w:w="15" w:type="dxa"/>
        </w:trPr>
        <w:tc>
          <w:tcPr>
            <w:tcW w:w="1215" w:type="dxa"/>
            <w:tcBorders>
              <w:bottom w:val="single" w:sz="4" w:space="0" w:color="auto"/>
            </w:tcBorders>
            <w:vAlign w:val="center"/>
            <w:hideMark/>
          </w:tcPr>
          <w:p w14:paraId="4B8EDB6A"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952" w:type="dxa"/>
            <w:tcBorders>
              <w:bottom w:val="single" w:sz="4" w:space="0" w:color="auto"/>
            </w:tcBorders>
            <w:vAlign w:val="center"/>
            <w:hideMark/>
          </w:tcPr>
          <w:p w14:paraId="42843FA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1.56</w:t>
            </w:r>
          </w:p>
        </w:tc>
        <w:tc>
          <w:tcPr>
            <w:tcW w:w="0" w:type="auto"/>
            <w:tcBorders>
              <w:bottom w:val="single" w:sz="4" w:space="0" w:color="auto"/>
            </w:tcBorders>
            <w:vAlign w:val="center"/>
            <w:hideMark/>
          </w:tcPr>
          <w:p w14:paraId="668AFB2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w:t>
            </w:r>
          </w:p>
        </w:tc>
        <w:tc>
          <w:tcPr>
            <w:tcW w:w="0" w:type="auto"/>
            <w:tcBorders>
              <w:bottom w:val="single" w:sz="4" w:space="0" w:color="auto"/>
            </w:tcBorders>
            <w:vAlign w:val="center"/>
            <w:hideMark/>
          </w:tcPr>
          <w:p w14:paraId="7CD2E3C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Moderately Polluted</w:t>
            </w:r>
          </w:p>
        </w:tc>
        <w:tc>
          <w:tcPr>
            <w:tcW w:w="0" w:type="auto"/>
            <w:tcBorders>
              <w:bottom w:val="single" w:sz="4" w:space="0" w:color="auto"/>
            </w:tcBorders>
            <w:vAlign w:val="center"/>
            <w:hideMark/>
          </w:tcPr>
          <w:p w14:paraId="417A5CB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Monitoring required</w:t>
            </w:r>
          </w:p>
        </w:tc>
      </w:tr>
    </w:tbl>
    <w:p w14:paraId="4A584CFE" w14:textId="77777777" w:rsidR="00866F85" w:rsidRDefault="00866F85" w:rsidP="00866F85">
      <w:pPr>
        <w:rPr>
          <w:rFonts w:ascii="Times New Roman" w:hAnsi="Times New Roman"/>
          <w:b/>
          <w:bCs/>
          <w:sz w:val="22"/>
          <w:szCs w:val="22"/>
        </w:rPr>
      </w:pPr>
    </w:p>
    <w:p w14:paraId="388E9BD8" w14:textId="77777777" w:rsidR="00866F85" w:rsidRPr="003E17CC" w:rsidRDefault="00866F85" w:rsidP="00866F85">
      <w:pPr>
        <w:rPr>
          <w:rFonts w:ascii="Arial" w:hAnsi="Arial" w:cs="Arial"/>
          <w:sz w:val="22"/>
          <w:szCs w:val="22"/>
        </w:rPr>
      </w:pPr>
      <w:r w:rsidRPr="003E17CC">
        <w:rPr>
          <w:rFonts w:ascii="Arial" w:hAnsi="Arial" w:cs="Arial"/>
          <w:b/>
          <w:bCs/>
          <w:sz w:val="22"/>
          <w:szCs w:val="22"/>
        </w:rPr>
        <w:t xml:space="preserve">Key Findings: </w:t>
      </w:r>
      <w:r w:rsidRPr="003E17CC">
        <w:rPr>
          <w:rFonts w:ascii="Arial" w:hAnsi="Arial" w:cs="Arial"/>
          <w:sz w:val="22"/>
          <w:szCs w:val="22"/>
        </w:rPr>
        <w:t>Arsenic: 1.81 (Moderately Polluted); Nickel: 1.38 (Moderately Polluted); Lead: 1.56 (Moderately Polluted); Chromium: 0.48 (Unpolluted to Moderately Polluted); Cadmium: 0.36 (Unpolluted to Moderately Polluted)</w:t>
      </w:r>
    </w:p>
    <w:p w14:paraId="74AFBB10" w14:textId="77777777" w:rsidR="003E17CC" w:rsidRPr="003E17CC" w:rsidRDefault="003E17CC" w:rsidP="00866F85">
      <w:pPr>
        <w:rPr>
          <w:rFonts w:ascii="Arial" w:hAnsi="Arial" w:cs="Arial"/>
          <w:b/>
          <w:bCs/>
          <w:sz w:val="22"/>
          <w:szCs w:val="22"/>
        </w:rPr>
      </w:pPr>
    </w:p>
    <w:p w14:paraId="51FD72B4" w14:textId="2C9C21E2" w:rsidR="00866F85" w:rsidRDefault="003E17CC" w:rsidP="00866F85">
      <w:pPr>
        <w:rPr>
          <w:rFonts w:ascii="Arial" w:hAnsi="Arial" w:cs="Arial"/>
          <w:sz w:val="22"/>
          <w:szCs w:val="22"/>
        </w:rPr>
      </w:pPr>
      <w:r w:rsidRPr="003E17CC">
        <w:rPr>
          <w:rFonts w:ascii="Arial" w:hAnsi="Arial" w:cs="Arial"/>
          <w:b/>
          <w:bCs/>
          <w:sz w:val="22"/>
          <w:szCs w:val="22"/>
        </w:rPr>
        <w:t>3</w:t>
      </w:r>
      <w:r w:rsidR="00866F85" w:rsidRPr="003E17CC">
        <w:rPr>
          <w:rFonts w:ascii="Arial" w:hAnsi="Arial" w:cs="Arial"/>
          <w:b/>
          <w:bCs/>
          <w:sz w:val="22"/>
          <w:szCs w:val="22"/>
        </w:rPr>
        <w:t xml:space="preserve">.2.4 </w:t>
      </w:r>
      <w:r w:rsidR="00866F85" w:rsidRPr="003E17CC">
        <w:rPr>
          <w:rFonts w:ascii="Arial" w:hAnsi="Arial" w:cs="Arial"/>
          <w:b/>
          <w:bCs/>
          <w:sz w:val="22"/>
          <w:szCs w:val="22"/>
        </w:rPr>
        <w:tab/>
        <w:t>Pollution Load Index (PLI</w:t>
      </w:r>
      <w:r w:rsidR="00866F85" w:rsidRPr="003E17CC">
        <w:rPr>
          <w:rFonts w:ascii="Arial" w:hAnsi="Arial" w:cs="Arial"/>
          <w:sz w:val="22"/>
          <w:szCs w:val="22"/>
        </w:rPr>
        <w:t>)</w:t>
      </w:r>
    </w:p>
    <w:p w14:paraId="1E36366F" w14:textId="77777777" w:rsidR="00974E88" w:rsidRDefault="00974E88" w:rsidP="00866F85">
      <w:pPr>
        <w:rPr>
          <w:rFonts w:ascii="Arial" w:hAnsi="Arial" w:cs="Arial"/>
          <w:sz w:val="22"/>
          <w:szCs w:val="22"/>
        </w:rPr>
      </w:pPr>
    </w:p>
    <w:p w14:paraId="04114778" w14:textId="77777777" w:rsidR="00C36151" w:rsidRPr="00176490" w:rsidRDefault="00C36151" w:rsidP="00C36151">
      <w:pPr>
        <w:spacing w:after="160" w:line="278" w:lineRule="auto"/>
        <w:jc w:val="both"/>
        <w:rPr>
          <w:rFonts w:ascii="Arial" w:hAnsi="Arial" w:cs="Arial"/>
          <w:sz w:val="22"/>
          <w:szCs w:val="22"/>
        </w:rPr>
      </w:pPr>
      <w:r w:rsidRPr="00176490">
        <w:rPr>
          <w:rFonts w:ascii="Arial" w:hAnsi="Arial" w:cs="Arial"/>
          <w:sz w:val="22"/>
          <w:szCs w:val="22"/>
        </w:rPr>
        <w:t>The PLI integrates the contamination factors of all five metals into a single composite index:</w:t>
      </w:r>
    </w:p>
    <w:p w14:paraId="25EF8BFB" w14:textId="77777777" w:rsidR="00C36151" w:rsidRPr="00176490" w:rsidRDefault="00C36151" w:rsidP="00C36151">
      <w:pPr>
        <w:spacing w:after="160" w:line="278" w:lineRule="auto"/>
        <w:jc w:val="both"/>
        <w:rPr>
          <w:rFonts w:ascii="Arial" w:hAnsi="Arial" w:cs="Arial"/>
          <w:sz w:val="22"/>
          <w:szCs w:val="22"/>
        </w:rPr>
      </w:pPr>
      <m:oMathPara>
        <m:oMath>
          <m:r>
            <w:rPr>
              <w:rFonts w:ascii="Cambria Math" w:hAnsi="Cambria Math" w:cs="Arial"/>
              <w:sz w:val="22"/>
              <w:szCs w:val="22"/>
            </w:rPr>
            <m:t>PLI=</m:t>
          </m:r>
          <m:rad>
            <m:radPr>
              <m:degHide m:val="1"/>
              <m:ctrlPr>
                <w:rPr>
                  <w:rFonts w:ascii="Cambria Math" w:hAnsi="Cambria Math" w:cs="Arial"/>
                  <w:sz w:val="22"/>
                  <w:szCs w:val="22"/>
                </w:rPr>
              </m:ctrlPr>
            </m:radPr>
            <m:deg/>
            <m:e>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As</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Ni</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Cr</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Cd</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Pb</m:t>
                  </m:r>
                </m:sub>
              </m:sSub>
            </m:e>
          </m:rad>
          <m:r>
            <m:rPr>
              <m:sty m:val="p"/>
            </m:rPr>
            <w:rPr>
              <w:rFonts w:ascii="Arial" w:hAnsi="Arial" w:cs="Arial"/>
              <w:sz w:val="22"/>
              <w:szCs w:val="22"/>
            </w:rPr>
            <w:br/>
          </m:r>
        </m:oMath>
      </m:oMathPara>
    </w:p>
    <w:p w14:paraId="71D9D74D" w14:textId="77777777" w:rsidR="00C36151" w:rsidRPr="00176490" w:rsidRDefault="00C36151" w:rsidP="00C36151">
      <w:pPr>
        <w:spacing w:after="160" w:line="278" w:lineRule="auto"/>
        <w:jc w:val="both"/>
        <w:rPr>
          <w:rFonts w:ascii="Arial" w:hAnsi="Arial" w:cs="Arial"/>
          <w:sz w:val="22"/>
          <w:szCs w:val="22"/>
        </w:rPr>
      </w:pPr>
      <m:oMathPara>
        <m:oMath>
          <m:r>
            <w:rPr>
              <w:rFonts w:ascii="Cambria Math" w:hAnsi="Cambria Math" w:cs="Arial"/>
              <w:sz w:val="22"/>
              <w:szCs w:val="22"/>
            </w:rPr>
            <m:t>PLI=</m:t>
          </m:r>
          <m:rad>
            <m:radPr>
              <m:degHide m:val="1"/>
              <m:ctrlPr>
                <w:rPr>
                  <w:rFonts w:ascii="Cambria Math" w:hAnsi="Cambria Math" w:cs="Arial"/>
                  <w:sz w:val="22"/>
                  <w:szCs w:val="22"/>
                </w:rPr>
              </m:ctrlPr>
            </m:radPr>
            <m:deg/>
            <m:e>
              <m:r>
                <w:rPr>
                  <w:rFonts w:ascii="Cambria Math" w:hAnsi="Cambria Math" w:cs="Arial"/>
                  <w:sz w:val="22"/>
                  <w:szCs w:val="22"/>
                </w:rPr>
                <m:t>5.25×3.90×2.08×1.92×4.43</m:t>
              </m:r>
            </m:e>
          </m:rad>
          <m:r>
            <w:rPr>
              <w:rFonts w:ascii="Cambria Math" w:hAnsi="Cambria Math" w:cs="Arial"/>
              <w:sz w:val="22"/>
              <w:szCs w:val="22"/>
            </w:rPr>
            <m:t>=3.17</m:t>
          </m:r>
          <m:r>
            <m:rPr>
              <m:sty m:val="p"/>
            </m:rPr>
            <w:rPr>
              <w:rFonts w:ascii="Arial" w:hAnsi="Arial" w:cs="Arial"/>
              <w:sz w:val="22"/>
              <w:szCs w:val="22"/>
            </w:rPr>
            <w:br/>
          </m:r>
        </m:oMath>
      </m:oMathPara>
    </w:p>
    <w:p w14:paraId="4D258AE0" w14:textId="1A731C53" w:rsidR="00C36151" w:rsidRPr="00176490" w:rsidRDefault="00C36151" w:rsidP="00C36151">
      <w:pPr>
        <w:spacing w:after="160" w:line="278" w:lineRule="auto"/>
        <w:jc w:val="both"/>
        <w:rPr>
          <w:rFonts w:ascii="Arial" w:hAnsi="Arial" w:cs="Arial"/>
          <w:sz w:val="22"/>
          <w:szCs w:val="22"/>
        </w:rPr>
      </w:pPr>
      <w:r w:rsidRPr="00176490">
        <w:rPr>
          <w:rFonts w:ascii="Arial" w:hAnsi="Arial" w:cs="Arial"/>
          <w:sz w:val="22"/>
          <w:szCs w:val="22"/>
        </w:rPr>
        <w:lastRenderedPageBreak/>
        <w:t>A PLI of 3.17 places the study area in the "Considerably Polluted" category (Table 7</w:t>
      </w:r>
      <w:r w:rsidR="009E709E">
        <w:rPr>
          <w:rFonts w:ascii="Arial" w:hAnsi="Arial" w:cs="Arial"/>
          <w:sz w:val="22"/>
          <w:szCs w:val="22"/>
        </w:rPr>
        <w:t xml:space="preserve"> &amp; 8</w:t>
      </w:r>
      <w:r w:rsidRPr="00176490">
        <w:rPr>
          <w:rFonts w:ascii="Arial" w:hAnsi="Arial" w:cs="Arial"/>
          <w:sz w:val="22"/>
          <w:szCs w:val="22"/>
        </w:rPr>
        <w:t>), representing a meaningful cumulative pollution burden across all five metals combined. This result is particularly important from a management perspective: it demonstrates that evaluating individual metals against regulatory thresholds can understate the overall environmental burden when multiple metals are simultaneously enriched. This principle</w:t>
      </w:r>
      <w:r>
        <w:rPr>
          <w:rFonts w:ascii="Arial" w:hAnsi="Arial" w:cs="Arial"/>
          <w:sz w:val="22"/>
          <w:szCs w:val="22"/>
        </w:rPr>
        <w:t xml:space="preserve"> </w:t>
      </w:r>
      <w:r w:rsidRPr="00176490">
        <w:rPr>
          <w:rFonts w:ascii="Arial" w:hAnsi="Arial" w:cs="Arial"/>
          <w:sz w:val="22"/>
          <w:szCs w:val="22"/>
        </w:rPr>
        <w:t xml:space="preserve">that composite index-based assessments provide information not available from single-compound compliance checks is well established in environmental geochemistry (Håkanson, 1980; Tomlinson </w:t>
      </w:r>
      <w:r w:rsidRPr="00176490">
        <w:rPr>
          <w:rFonts w:ascii="Arial" w:hAnsi="Arial" w:cs="Arial"/>
          <w:i/>
          <w:iCs/>
          <w:sz w:val="22"/>
          <w:szCs w:val="22"/>
        </w:rPr>
        <w:t>et</w:t>
      </w:r>
      <w:r>
        <w:rPr>
          <w:rFonts w:ascii="Arial" w:hAnsi="Arial" w:cs="Arial"/>
          <w:i/>
          <w:iCs/>
          <w:sz w:val="22"/>
          <w:szCs w:val="22"/>
        </w:rPr>
        <w:t xml:space="preserve"> </w:t>
      </w:r>
      <w:r w:rsidRPr="00176490">
        <w:rPr>
          <w:rFonts w:ascii="Arial" w:hAnsi="Arial" w:cs="Arial"/>
          <w:i/>
          <w:iCs/>
          <w:sz w:val="22"/>
          <w:szCs w:val="22"/>
        </w:rPr>
        <w:t>al</w:t>
      </w:r>
      <w:r w:rsidRPr="00176490">
        <w:rPr>
          <w:rFonts w:ascii="Arial" w:hAnsi="Arial" w:cs="Arial"/>
          <w:sz w:val="22"/>
          <w:szCs w:val="22"/>
        </w:rPr>
        <w:t xml:space="preserve">., 1980). Comparative PLI values from the regional literature indicate that PLI = 3.17 falls within the range reported for moderately urbanized, mixed-waste municipal landfills in the Niger Delta, which is consistent with the operational and compositional characteristics of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facility (</w:t>
      </w:r>
      <w:proofErr w:type="spellStart"/>
      <w:r w:rsidRPr="00176490">
        <w:rPr>
          <w:rFonts w:ascii="Arial" w:hAnsi="Arial" w:cs="Arial"/>
          <w:sz w:val="22"/>
          <w:szCs w:val="22"/>
        </w:rPr>
        <w:t>Longe</w:t>
      </w:r>
      <w:proofErr w:type="spellEnd"/>
      <w:r w:rsidRPr="00176490">
        <w:rPr>
          <w:rFonts w:ascii="Arial" w:hAnsi="Arial" w:cs="Arial"/>
          <w:sz w:val="22"/>
          <w:szCs w:val="22"/>
        </w:rPr>
        <w:t xml:space="preserve"> &amp; Balogun, 2010; </w:t>
      </w:r>
      <w:proofErr w:type="spellStart"/>
      <w:r w:rsidRPr="00176490">
        <w:rPr>
          <w:rFonts w:ascii="Arial" w:hAnsi="Arial" w:cs="Arial"/>
          <w:sz w:val="22"/>
          <w:szCs w:val="22"/>
        </w:rPr>
        <w:t>Iwegbue</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2020).</w:t>
      </w:r>
    </w:p>
    <w:p w14:paraId="3D0AF13A" w14:textId="77777777" w:rsidR="003E17CC" w:rsidRPr="003E17CC" w:rsidRDefault="003E17CC" w:rsidP="00866F85">
      <w:pPr>
        <w:rPr>
          <w:rFonts w:ascii="Arial" w:hAnsi="Arial" w:cs="Arial"/>
          <w:b/>
          <w:bCs/>
          <w:sz w:val="22"/>
          <w:szCs w:val="22"/>
        </w:rPr>
      </w:pPr>
    </w:p>
    <w:p w14:paraId="6C165CF7" w14:textId="3AA9A164"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7: Pollution Load Index Assessment </w:t>
      </w:r>
    </w:p>
    <w:tbl>
      <w:tblPr>
        <w:tblStyle w:val="TableGrid"/>
        <w:tblW w:w="9900" w:type="dxa"/>
        <w:tblInd w:w="-3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610"/>
        <w:gridCol w:w="1167"/>
        <w:gridCol w:w="2523"/>
      </w:tblGrid>
      <w:tr w:rsidR="00866F85" w:rsidRPr="003E17CC" w14:paraId="71B0D405" w14:textId="77777777" w:rsidTr="00BF1BD7">
        <w:tc>
          <w:tcPr>
            <w:tcW w:w="3600" w:type="dxa"/>
            <w:tcBorders>
              <w:top w:val="single" w:sz="4" w:space="0" w:color="auto"/>
              <w:bottom w:val="single" w:sz="4" w:space="0" w:color="auto"/>
            </w:tcBorders>
          </w:tcPr>
          <w:p w14:paraId="30F97063" w14:textId="77777777" w:rsidR="00866F85" w:rsidRPr="003E17CC" w:rsidRDefault="00866F85" w:rsidP="003E17CC">
            <w:pPr>
              <w:jc w:val="center"/>
              <w:rPr>
                <w:rFonts w:ascii="Arial" w:hAnsi="Arial" w:cs="Arial"/>
                <w:b/>
                <w:bCs/>
                <w:sz w:val="22"/>
                <w:szCs w:val="22"/>
              </w:rPr>
            </w:pPr>
            <w:r w:rsidRPr="003E17CC">
              <w:rPr>
                <w:rFonts w:ascii="Arial" w:hAnsi="Arial" w:cs="Arial"/>
                <w:b/>
                <w:bCs/>
                <w:sz w:val="22"/>
                <w:szCs w:val="22"/>
              </w:rPr>
              <w:t>Parameter</w:t>
            </w:r>
          </w:p>
        </w:tc>
        <w:tc>
          <w:tcPr>
            <w:tcW w:w="2610" w:type="dxa"/>
            <w:tcBorders>
              <w:top w:val="single" w:sz="4" w:space="0" w:color="auto"/>
              <w:bottom w:val="single" w:sz="4" w:space="0" w:color="auto"/>
            </w:tcBorders>
          </w:tcPr>
          <w:p w14:paraId="6C594BB9"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 xml:space="preserve">Element </w:t>
            </w:r>
          </w:p>
        </w:tc>
        <w:tc>
          <w:tcPr>
            <w:tcW w:w="1167" w:type="dxa"/>
            <w:tcBorders>
              <w:top w:val="single" w:sz="4" w:space="0" w:color="auto"/>
              <w:bottom w:val="single" w:sz="4" w:space="0" w:color="auto"/>
            </w:tcBorders>
          </w:tcPr>
          <w:p w14:paraId="38BAD62B"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Value</w:t>
            </w:r>
          </w:p>
        </w:tc>
        <w:tc>
          <w:tcPr>
            <w:tcW w:w="2523" w:type="dxa"/>
            <w:tcBorders>
              <w:top w:val="single" w:sz="4" w:space="0" w:color="auto"/>
              <w:bottom w:val="single" w:sz="4" w:space="0" w:color="auto"/>
            </w:tcBorders>
          </w:tcPr>
          <w:p w14:paraId="72B70111"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 xml:space="preserve">Classification </w:t>
            </w:r>
          </w:p>
        </w:tc>
      </w:tr>
      <w:tr w:rsidR="00866F85" w:rsidRPr="003E17CC" w14:paraId="7CFDE7A8" w14:textId="77777777" w:rsidTr="00BF1BD7">
        <w:tc>
          <w:tcPr>
            <w:tcW w:w="3600" w:type="dxa"/>
            <w:vMerge w:val="restart"/>
            <w:tcBorders>
              <w:top w:val="single" w:sz="4" w:space="0" w:color="auto"/>
            </w:tcBorders>
          </w:tcPr>
          <w:p w14:paraId="27C2C4EB" w14:textId="77777777" w:rsidR="00866F85" w:rsidRPr="003E17CC" w:rsidRDefault="00866F85" w:rsidP="00BF1BD7">
            <w:pPr>
              <w:rPr>
                <w:rFonts w:ascii="Arial" w:hAnsi="Arial" w:cs="Arial"/>
                <w:sz w:val="22"/>
                <w:szCs w:val="22"/>
              </w:rPr>
            </w:pPr>
          </w:p>
          <w:p w14:paraId="76094402" w14:textId="77777777" w:rsidR="00866F85" w:rsidRPr="003E17CC" w:rsidRDefault="00866F85" w:rsidP="00BF1BD7">
            <w:pPr>
              <w:rPr>
                <w:rFonts w:ascii="Arial" w:hAnsi="Arial" w:cs="Arial"/>
                <w:sz w:val="22"/>
                <w:szCs w:val="22"/>
              </w:rPr>
            </w:pPr>
            <w:r w:rsidRPr="003E17CC">
              <w:rPr>
                <w:rFonts w:ascii="Arial" w:hAnsi="Arial" w:cs="Arial"/>
                <w:sz w:val="22"/>
                <w:szCs w:val="22"/>
              </w:rPr>
              <w:t>Individual Contamination Factors</w:t>
            </w:r>
          </w:p>
        </w:tc>
        <w:tc>
          <w:tcPr>
            <w:tcW w:w="2610" w:type="dxa"/>
            <w:tcBorders>
              <w:top w:val="single" w:sz="4" w:space="0" w:color="auto"/>
            </w:tcBorders>
          </w:tcPr>
          <w:p w14:paraId="5C82FC5B" w14:textId="77777777" w:rsidR="00866F85" w:rsidRPr="003E17CC" w:rsidRDefault="00866F85" w:rsidP="00BF1BD7">
            <w:pPr>
              <w:rPr>
                <w:rFonts w:ascii="Arial" w:hAnsi="Arial" w:cs="Arial"/>
                <w:sz w:val="22"/>
                <w:szCs w:val="22"/>
              </w:rPr>
            </w:pPr>
            <w:r w:rsidRPr="003E17CC">
              <w:rPr>
                <w:rFonts w:ascii="Arial" w:hAnsi="Arial" w:cs="Arial"/>
                <w:sz w:val="22"/>
                <w:szCs w:val="22"/>
              </w:rPr>
              <w:t>Arsenic (As)</w:t>
            </w:r>
          </w:p>
        </w:tc>
        <w:tc>
          <w:tcPr>
            <w:tcW w:w="1167" w:type="dxa"/>
            <w:tcBorders>
              <w:top w:val="single" w:sz="4" w:space="0" w:color="auto"/>
            </w:tcBorders>
          </w:tcPr>
          <w:p w14:paraId="2818242C" w14:textId="77777777" w:rsidR="00866F85" w:rsidRPr="003E17CC" w:rsidRDefault="00866F85" w:rsidP="00BF1BD7">
            <w:pPr>
              <w:rPr>
                <w:rFonts w:ascii="Arial" w:hAnsi="Arial" w:cs="Arial"/>
                <w:sz w:val="22"/>
                <w:szCs w:val="22"/>
              </w:rPr>
            </w:pPr>
            <w:r w:rsidRPr="003E17CC">
              <w:rPr>
                <w:rFonts w:ascii="Arial" w:hAnsi="Arial" w:cs="Arial"/>
                <w:sz w:val="22"/>
                <w:szCs w:val="22"/>
              </w:rPr>
              <w:t>5.25</w:t>
            </w:r>
          </w:p>
        </w:tc>
        <w:tc>
          <w:tcPr>
            <w:tcW w:w="2523" w:type="dxa"/>
            <w:tcBorders>
              <w:top w:val="single" w:sz="4" w:space="0" w:color="auto"/>
            </w:tcBorders>
          </w:tcPr>
          <w:p w14:paraId="41308227"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w:t>
            </w:r>
          </w:p>
        </w:tc>
      </w:tr>
      <w:tr w:rsidR="00866F85" w:rsidRPr="003E17CC" w14:paraId="11F1C249" w14:textId="77777777" w:rsidTr="00BF1BD7">
        <w:tc>
          <w:tcPr>
            <w:tcW w:w="3600" w:type="dxa"/>
            <w:vMerge/>
          </w:tcPr>
          <w:p w14:paraId="33AD21E6" w14:textId="77777777" w:rsidR="00866F85" w:rsidRPr="003E17CC" w:rsidRDefault="00866F85" w:rsidP="00BF1BD7">
            <w:pPr>
              <w:rPr>
                <w:rFonts w:ascii="Arial" w:hAnsi="Arial" w:cs="Arial"/>
                <w:sz w:val="22"/>
                <w:szCs w:val="22"/>
              </w:rPr>
            </w:pPr>
          </w:p>
        </w:tc>
        <w:tc>
          <w:tcPr>
            <w:tcW w:w="2610" w:type="dxa"/>
          </w:tcPr>
          <w:p w14:paraId="13FA56CA" w14:textId="77777777" w:rsidR="00866F85" w:rsidRPr="003E17CC" w:rsidRDefault="00866F85" w:rsidP="00BF1BD7">
            <w:pPr>
              <w:rPr>
                <w:rFonts w:ascii="Arial" w:hAnsi="Arial" w:cs="Arial"/>
                <w:sz w:val="22"/>
                <w:szCs w:val="22"/>
              </w:rPr>
            </w:pPr>
            <w:r w:rsidRPr="003E17CC">
              <w:rPr>
                <w:rFonts w:ascii="Arial" w:hAnsi="Arial" w:cs="Arial"/>
                <w:sz w:val="22"/>
                <w:szCs w:val="22"/>
              </w:rPr>
              <w:t>Nickel (Ni)</w:t>
            </w:r>
          </w:p>
        </w:tc>
        <w:tc>
          <w:tcPr>
            <w:tcW w:w="1167" w:type="dxa"/>
          </w:tcPr>
          <w:p w14:paraId="05E03BE2" w14:textId="77777777" w:rsidR="00866F85" w:rsidRPr="003E17CC" w:rsidRDefault="00866F85" w:rsidP="00BF1BD7">
            <w:pPr>
              <w:rPr>
                <w:rFonts w:ascii="Arial" w:hAnsi="Arial" w:cs="Arial"/>
                <w:sz w:val="22"/>
                <w:szCs w:val="22"/>
              </w:rPr>
            </w:pPr>
            <w:r w:rsidRPr="003E17CC">
              <w:rPr>
                <w:rFonts w:ascii="Arial" w:hAnsi="Arial" w:cs="Arial"/>
                <w:sz w:val="22"/>
                <w:szCs w:val="22"/>
              </w:rPr>
              <w:t>3.90</w:t>
            </w:r>
          </w:p>
        </w:tc>
        <w:tc>
          <w:tcPr>
            <w:tcW w:w="2523" w:type="dxa"/>
          </w:tcPr>
          <w:p w14:paraId="0665FEEF"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w:t>
            </w:r>
          </w:p>
        </w:tc>
      </w:tr>
      <w:tr w:rsidR="00866F85" w:rsidRPr="003E17CC" w14:paraId="58CF4B99" w14:textId="77777777" w:rsidTr="00BF1BD7">
        <w:tc>
          <w:tcPr>
            <w:tcW w:w="3600" w:type="dxa"/>
            <w:vMerge/>
          </w:tcPr>
          <w:p w14:paraId="02B72B7D" w14:textId="77777777" w:rsidR="00866F85" w:rsidRPr="003E17CC" w:rsidRDefault="00866F85" w:rsidP="00BF1BD7">
            <w:pPr>
              <w:rPr>
                <w:rFonts w:ascii="Arial" w:hAnsi="Arial" w:cs="Arial"/>
                <w:sz w:val="22"/>
                <w:szCs w:val="22"/>
              </w:rPr>
            </w:pPr>
          </w:p>
        </w:tc>
        <w:tc>
          <w:tcPr>
            <w:tcW w:w="2610" w:type="dxa"/>
          </w:tcPr>
          <w:p w14:paraId="480BFA08" w14:textId="77777777" w:rsidR="00866F85" w:rsidRPr="003E17CC" w:rsidRDefault="00866F85" w:rsidP="00BF1BD7">
            <w:pPr>
              <w:rPr>
                <w:rFonts w:ascii="Arial" w:hAnsi="Arial" w:cs="Arial"/>
                <w:sz w:val="22"/>
                <w:szCs w:val="22"/>
              </w:rPr>
            </w:pPr>
            <w:r w:rsidRPr="003E17CC">
              <w:rPr>
                <w:rFonts w:ascii="Arial" w:hAnsi="Arial" w:cs="Arial"/>
                <w:sz w:val="22"/>
                <w:szCs w:val="22"/>
              </w:rPr>
              <w:t>Chromium (Cr)</w:t>
            </w:r>
          </w:p>
        </w:tc>
        <w:tc>
          <w:tcPr>
            <w:tcW w:w="1167" w:type="dxa"/>
          </w:tcPr>
          <w:p w14:paraId="0E83D16A" w14:textId="77777777" w:rsidR="00866F85" w:rsidRPr="003E17CC" w:rsidRDefault="00866F85" w:rsidP="00BF1BD7">
            <w:pPr>
              <w:rPr>
                <w:rFonts w:ascii="Arial" w:hAnsi="Arial" w:cs="Arial"/>
                <w:sz w:val="22"/>
                <w:szCs w:val="22"/>
              </w:rPr>
            </w:pPr>
            <w:r w:rsidRPr="003E17CC">
              <w:rPr>
                <w:rFonts w:ascii="Arial" w:hAnsi="Arial" w:cs="Arial"/>
                <w:sz w:val="22"/>
                <w:szCs w:val="22"/>
              </w:rPr>
              <w:t>2.08</w:t>
            </w:r>
          </w:p>
        </w:tc>
        <w:tc>
          <w:tcPr>
            <w:tcW w:w="2523" w:type="dxa"/>
          </w:tcPr>
          <w:p w14:paraId="72058514" w14:textId="77777777" w:rsidR="00866F85" w:rsidRPr="003E17CC" w:rsidRDefault="00866F85" w:rsidP="00BF1BD7">
            <w:pPr>
              <w:rPr>
                <w:rFonts w:ascii="Arial" w:hAnsi="Arial" w:cs="Arial"/>
                <w:sz w:val="22"/>
                <w:szCs w:val="22"/>
              </w:rPr>
            </w:pPr>
            <w:r w:rsidRPr="003E17CC">
              <w:rPr>
                <w:rFonts w:ascii="Arial" w:hAnsi="Arial" w:cs="Arial"/>
                <w:sz w:val="22"/>
                <w:szCs w:val="22"/>
              </w:rPr>
              <w:t>Moderate</w:t>
            </w:r>
          </w:p>
        </w:tc>
      </w:tr>
      <w:tr w:rsidR="00866F85" w:rsidRPr="003E17CC" w14:paraId="293C516B" w14:textId="77777777" w:rsidTr="00BF1BD7">
        <w:tc>
          <w:tcPr>
            <w:tcW w:w="3600" w:type="dxa"/>
            <w:vMerge/>
          </w:tcPr>
          <w:p w14:paraId="239405D3" w14:textId="77777777" w:rsidR="00866F85" w:rsidRPr="003E17CC" w:rsidRDefault="00866F85" w:rsidP="00BF1BD7">
            <w:pPr>
              <w:rPr>
                <w:rFonts w:ascii="Arial" w:hAnsi="Arial" w:cs="Arial"/>
                <w:sz w:val="22"/>
                <w:szCs w:val="22"/>
              </w:rPr>
            </w:pPr>
          </w:p>
        </w:tc>
        <w:tc>
          <w:tcPr>
            <w:tcW w:w="2610" w:type="dxa"/>
          </w:tcPr>
          <w:p w14:paraId="00B02FF2" w14:textId="77777777" w:rsidR="00866F85" w:rsidRPr="003E17CC" w:rsidRDefault="00866F85" w:rsidP="00BF1BD7">
            <w:pPr>
              <w:rPr>
                <w:rFonts w:ascii="Arial" w:hAnsi="Arial" w:cs="Arial"/>
                <w:sz w:val="22"/>
                <w:szCs w:val="22"/>
              </w:rPr>
            </w:pPr>
            <w:r w:rsidRPr="003E17CC">
              <w:rPr>
                <w:rFonts w:ascii="Arial" w:hAnsi="Arial" w:cs="Arial"/>
                <w:sz w:val="22"/>
                <w:szCs w:val="22"/>
              </w:rPr>
              <w:t>Cadmium (Cd)</w:t>
            </w:r>
          </w:p>
        </w:tc>
        <w:tc>
          <w:tcPr>
            <w:tcW w:w="1167" w:type="dxa"/>
          </w:tcPr>
          <w:p w14:paraId="022C048D" w14:textId="77777777" w:rsidR="00866F85" w:rsidRPr="003E17CC" w:rsidRDefault="00866F85" w:rsidP="00BF1BD7">
            <w:pPr>
              <w:rPr>
                <w:rFonts w:ascii="Arial" w:hAnsi="Arial" w:cs="Arial"/>
                <w:sz w:val="22"/>
                <w:szCs w:val="22"/>
              </w:rPr>
            </w:pPr>
            <w:r w:rsidRPr="003E17CC">
              <w:rPr>
                <w:rFonts w:ascii="Arial" w:hAnsi="Arial" w:cs="Arial"/>
                <w:sz w:val="22"/>
                <w:szCs w:val="22"/>
              </w:rPr>
              <w:t>1.92</w:t>
            </w:r>
          </w:p>
        </w:tc>
        <w:tc>
          <w:tcPr>
            <w:tcW w:w="2523" w:type="dxa"/>
          </w:tcPr>
          <w:p w14:paraId="6DB73A16" w14:textId="77777777" w:rsidR="00866F85" w:rsidRPr="003E17CC" w:rsidRDefault="00866F85" w:rsidP="00BF1BD7">
            <w:pPr>
              <w:rPr>
                <w:rFonts w:ascii="Arial" w:hAnsi="Arial" w:cs="Arial"/>
                <w:sz w:val="22"/>
                <w:szCs w:val="22"/>
              </w:rPr>
            </w:pPr>
            <w:r w:rsidRPr="003E17CC">
              <w:rPr>
                <w:rFonts w:ascii="Arial" w:hAnsi="Arial" w:cs="Arial"/>
                <w:sz w:val="22"/>
                <w:szCs w:val="22"/>
              </w:rPr>
              <w:t>Moderate</w:t>
            </w:r>
          </w:p>
        </w:tc>
      </w:tr>
      <w:tr w:rsidR="00866F85" w:rsidRPr="003E17CC" w14:paraId="6FBA7725" w14:textId="77777777" w:rsidTr="00BF1BD7">
        <w:tc>
          <w:tcPr>
            <w:tcW w:w="3600" w:type="dxa"/>
            <w:vMerge/>
          </w:tcPr>
          <w:p w14:paraId="0A0C44ED" w14:textId="77777777" w:rsidR="00866F85" w:rsidRPr="003E17CC" w:rsidRDefault="00866F85" w:rsidP="00BF1BD7">
            <w:pPr>
              <w:rPr>
                <w:rFonts w:ascii="Arial" w:hAnsi="Arial" w:cs="Arial"/>
                <w:sz w:val="22"/>
                <w:szCs w:val="22"/>
              </w:rPr>
            </w:pPr>
          </w:p>
        </w:tc>
        <w:tc>
          <w:tcPr>
            <w:tcW w:w="2610" w:type="dxa"/>
          </w:tcPr>
          <w:p w14:paraId="13BCDD6A" w14:textId="77777777" w:rsidR="00866F85" w:rsidRPr="003E17CC" w:rsidRDefault="00866F85" w:rsidP="00BF1BD7">
            <w:pPr>
              <w:rPr>
                <w:rFonts w:ascii="Arial" w:hAnsi="Arial" w:cs="Arial"/>
                <w:sz w:val="22"/>
                <w:szCs w:val="22"/>
              </w:rPr>
            </w:pPr>
            <w:r w:rsidRPr="003E17CC">
              <w:rPr>
                <w:rFonts w:ascii="Arial" w:hAnsi="Arial" w:cs="Arial"/>
                <w:sz w:val="22"/>
                <w:szCs w:val="22"/>
              </w:rPr>
              <w:t>Lead (Pb)</w:t>
            </w:r>
          </w:p>
        </w:tc>
        <w:tc>
          <w:tcPr>
            <w:tcW w:w="1167" w:type="dxa"/>
          </w:tcPr>
          <w:p w14:paraId="4F86F084" w14:textId="77777777" w:rsidR="00866F85" w:rsidRPr="003E17CC" w:rsidRDefault="00866F85" w:rsidP="00BF1BD7">
            <w:pPr>
              <w:rPr>
                <w:rFonts w:ascii="Arial" w:hAnsi="Arial" w:cs="Arial"/>
                <w:sz w:val="22"/>
                <w:szCs w:val="22"/>
              </w:rPr>
            </w:pPr>
            <w:r w:rsidRPr="003E17CC">
              <w:rPr>
                <w:rFonts w:ascii="Arial" w:hAnsi="Arial" w:cs="Arial"/>
                <w:sz w:val="22"/>
                <w:szCs w:val="22"/>
              </w:rPr>
              <w:t>4.43</w:t>
            </w:r>
          </w:p>
        </w:tc>
        <w:tc>
          <w:tcPr>
            <w:tcW w:w="2523" w:type="dxa"/>
          </w:tcPr>
          <w:p w14:paraId="06C5DCF6"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w:t>
            </w:r>
          </w:p>
        </w:tc>
      </w:tr>
      <w:tr w:rsidR="00866F85" w:rsidRPr="003E17CC" w14:paraId="41C05C26" w14:textId="77777777" w:rsidTr="00BF1BD7">
        <w:tc>
          <w:tcPr>
            <w:tcW w:w="3600" w:type="dxa"/>
            <w:vMerge w:val="restart"/>
          </w:tcPr>
          <w:p w14:paraId="5F79C5F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PLI Calculation</w:t>
            </w:r>
          </w:p>
        </w:tc>
        <w:tc>
          <w:tcPr>
            <w:tcW w:w="6300" w:type="dxa"/>
            <w:gridSpan w:val="3"/>
          </w:tcPr>
          <w:p w14:paraId="5DAC9AED" w14:textId="77777777" w:rsidR="00866F85" w:rsidRPr="003E17CC" w:rsidRDefault="00866F85" w:rsidP="00BF1BD7">
            <w:pPr>
              <w:rPr>
                <w:rFonts w:ascii="Arial" w:hAnsi="Arial" w:cs="Arial"/>
                <w:sz w:val="22"/>
                <w:szCs w:val="22"/>
              </w:rPr>
            </w:pPr>
            <w:r w:rsidRPr="003E17CC">
              <w:rPr>
                <w:rFonts w:ascii="Arial" w:hAnsi="Arial" w:cs="Arial"/>
                <w:sz w:val="22"/>
                <w:szCs w:val="22"/>
              </w:rPr>
              <w:t>Formula: (5.25 × 3.90 × 2.08 × 1.92 × 4.43) ^ (1/5)</w:t>
            </w:r>
          </w:p>
        </w:tc>
      </w:tr>
      <w:tr w:rsidR="00866F85" w:rsidRPr="003E17CC" w14:paraId="5559AFD0" w14:textId="77777777" w:rsidTr="00BF1BD7">
        <w:tc>
          <w:tcPr>
            <w:tcW w:w="3600" w:type="dxa"/>
            <w:vMerge/>
          </w:tcPr>
          <w:p w14:paraId="0B9C06C8" w14:textId="77777777" w:rsidR="00866F85" w:rsidRPr="003E17CC" w:rsidRDefault="00866F85" w:rsidP="00BF1BD7">
            <w:pPr>
              <w:rPr>
                <w:rFonts w:ascii="Arial" w:hAnsi="Arial" w:cs="Arial"/>
                <w:sz w:val="22"/>
                <w:szCs w:val="22"/>
              </w:rPr>
            </w:pPr>
          </w:p>
        </w:tc>
        <w:tc>
          <w:tcPr>
            <w:tcW w:w="2610" w:type="dxa"/>
          </w:tcPr>
          <w:p w14:paraId="7BBCEC7C" w14:textId="77777777" w:rsidR="00866F85" w:rsidRPr="003E17CC" w:rsidRDefault="00866F85" w:rsidP="00BF1BD7">
            <w:pPr>
              <w:rPr>
                <w:rFonts w:ascii="Arial" w:hAnsi="Arial" w:cs="Arial"/>
                <w:sz w:val="22"/>
                <w:szCs w:val="22"/>
              </w:rPr>
            </w:pPr>
            <w:r w:rsidRPr="003E17CC">
              <w:rPr>
                <w:rFonts w:ascii="Arial" w:hAnsi="Arial" w:cs="Arial"/>
                <w:sz w:val="22"/>
                <w:szCs w:val="22"/>
              </w:rPr>
              <w:t>Overall PLI</w:t>
            </w:r>
          </w:p>
        </w:tc>
        <w:tc>
          <w:tcPr>
            <w:tcW w:w="1167" w:type="dxa"/>
          </w:tcPr>
          <w:p w14:paraId="19C95C57" w14:textId="77777777" w:rsidR="00866F85" w:rsidRPr="003E17CC" w:rsidRDefault="00866F85" w:rsidP="00BF1BD7">
            <w:pPr>
              <w:rPr>
                <w:rFonts w:ascii="Arial" w:hAnsi="Arial" w:cs="Arial"/>
                <w:sz w:val="22"/>
                <w:szCs w:val="22"/>
              </w:rPr>
            </w:pPr>
            <w:r w:rsidRPr="003E17CC">
              <w:rPr>
                <w:rFonts w:ascii="Arial" w:hAnsi="Arial" w:cs="Arial"/>
                <w:sz w:val="22"/>
                <w:szCs w:val="22"/>
              </w:rPr>
              <w:t>3.17</w:t>
            </w:r>
          </w:p>
        </w:tc>
        <w:tc>
          <w:tcPr>
            <w:tcW w:w="2523" w:type="dxa"/>
          </w:tcPr>
          <w:p w14:paraId="5CE842DB"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 Pollution</w:t>
            </w:r>
          </w:p>
        </w:tc>
      </w:tr>
    </w:tbl>
    <w:p w14:paraId="6CBA99BF" w14:textId="77777777" w:rsidR="00866F85" w:rsidRPr="003E17CC" w:rsidRDefault="00866F85" w:rsidP="00866F85">
      <w:pPr>
        <w:jc w:val="both"/>
        <w:rPr>
          <w:rFonts w:ascii="Arial" w:hAnsi="Arial" w:cs="Arial"/>
          <w:sz w:val="22"/>
          <w:szCs w:val="22"/>
        </w:rPr>
      </w:pPr>
    </w:p>
    <w:p w14:paraId="4DA936C3" w14:textId="01ACB707" w:rsidR="00866F85" w:rsidRPr="003E17CC" w:rsidRDefault="00866F85" w:rsidP="00866F85">
      <w:pPr>
        <w:jc w:val="both"/>
        <w:rPr>
          <w:rFonts w:ascii="Arial" w:hAnsi="Arial" w:cs="Arial"/>
          <w:sz w:val="22"/>
          <w:szCs w:val="22"/>
        </w:rPr>
      </w:pPr>
      <w:r w:rsidRPr="003E17CC">
        <w:rPr>
          <w:rFonts w:ascii="Arial" w:hAnsi="Arial" w:cs="Arial"/>
          <w:sz w:val="22"/>
          <w:szCs w:val="22"/>
        </w:rPr>
        <w:t>PLI = 3.17 (Table 7), indicating considerable contamination for the five analyzed metals.</w:t>
      </w:r>
    </w:p>
    <w:p w14:paraId="6FA6B2C6" w14:textId="77777777" w:rsidR="00866F85" w:rsidRPr="003E17CC" w:rsidRDefault="00866F85" w:rsidP="00866F85">
      <w:pPr>
        <w:jc w:val="both"/>
        <w:rPr>
          <w:rFonts w:ascii="Arial" w:hAnsi="Arial" w:cs="Arial"/>
          <w:b/>
          <w:bCs/>
          <w:sz w:val="22"/>
          <w:szCs w:val="22"/>
        </w:rPr>
      </w:pPr>
    </w:p>
    <w:p w14:paraId="623F246A" w14:textId="562921A7"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 xml:space="preserve">Table 8: PLI Classification and Management </w:t>
      </w:r>
    </w:p>
    <w:tbl>
      <w:tblPr>
        <w:tblStyle w:val="TableGrid"/>
        <w:tblW w:w="98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250"/>
        <w:gridCol w:w="3060"/>
        <w:gridCol w:w="2790"/>
      </w:tblGrid>
      <w:tr w:rsidR="00866F85" w:rsidRPr="003E17CC" w14:paraId="69C354A6" w14:textId="77777777" w:rsidTr="00BF1BD7">
        <w:tc>
          <w:tcPr>
            <w:tcW w:w="1705" w:type="dxa"/>
            <w:tcBorders>
              <w:top w:val="single" w:sz="4" w:space="0" w:color="auto"/>
              <w:bottom w:val="single" w:sz="4" w:space="0" w:color="auto"/>
            </w:tcBorders>
          </w:tcPr>
          <w:p w14:paraId="2B64F0DE"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PLI Range</w:t>
            </w:r>
          </w:p>
        </w:tc>
        <w:tc>
          <w:tcPr>
            <w:tcW w:w="2250" w:type="dxa"/>
            <w:tcBorders>
              <w:top w:val="single" w:sz="4" w:space="0" w:color="auto"/>
              <w:bottom w:val="single" w:sz="4" w:space="0" w:color="auto"/>
            </w:tcBorders>
          </w:tcPr>
          <w:p w14:paraId="5A793FE0"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Pollution Level</w:t>
            </w:r>
          </w:p>
        </w:tc>
        <w:tc>
          <w:tcPr>
            <w:tcW w:w="3060" w:type="dxa"/>
            <w:tcBorders>
              <w:top w:val="single" w:sz="4" w:space="0" w:color="auto"/>
              <w:bottom w:val="single" w:sz="4" w:space="0" w:color="auto"/>
            </w:tcBorders>
          </w:tcPr>
          <w:p w14:paraId="78945C4C"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Environmental Status</w:t>
            </w:r>
          </w:p>
        </w:tc>
        <w:tc>
          <w:tcPr>
            <w:tcW w:w="2790" w:type="dxa"/>
            <w:tcBorders>
              <w:top w:val="single" w:sz="4" w:space="0" w:color="auto"/>
              <w:bottom w:val="single" w:sz="4" w:space="0" w:color="auto"/>
            </w:tcBorders>
          </w:tcPr>
          <w:p w14:paraId="6EA5CD56"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Management Required</w:t>
            </w:r>
          </w:p>
        </w:tc>
      </w:tr>
      <w:tr w:rsidR="00866F85" w:rsidRPr="003E17CC" w14:paraId="23AE02A6" w14:textId="77777777" w:rsidTr="00BF1BD7">
        <w:tc>
          <w:tcPr>
            <w:tcW w:w="1705" w:type="dxa"/>
            <w:tcBorders>
              <w:top w:val="single" w:sz="4" w:space="0" w:color="auto"/>
            </w:tcBorders>
            <w:vAlign w:val="bottom"/>
          </w:tcPr>
          <w:p w14:paraId="0593609D" w14:textId="77777777" w:rsidR="00866F85" w:rsidRPr="003E17CC" w:rsidRDefault="00866F85" w:rsidP="00BF1BD7">
            <w:pPr>
              <w:rPr>
                <w:rFonts w:ascii="Arial" w:hAnsi="Arial" w:cs="Arial"/>
                <w:sz w:val="22"/>
                <w:szCs w:val="22"/>
              </w:rPr>
            </w:pPr>
            <w:r w:rsidRPr="003E17CC">
              <w:rPr>
                <w:rFonts w:ascii="Arial" w:hAnsi="Arial" w:cs="Arial"/>
                <w:sz w:val="22"/>
                <w:szCs w:val="22"/>
              </w:rPr>
              <w:t>PLI &lt; 1.0</w:t>
            </w:r>
          </w:p>
        </w:tc>
        <w:tc>
          <w:tcPr>
            <w:tcW w:w="2250" w:type="dxa"/>
            <w:tcBorders>
              <w:top w:val="single" w:sz="4" w:space="0" w:color="auto"/>
            </w:tcBorders>
            <w:vAlign w:val="bottom"/>
          </w:tcPr>
          <w:p w14:paraId="01EE27A1" w14:textId="77777777" w:rsidR="00866F85" w:rsidRPr="003E17CC" w:rsidRDefault="00866F85" w:rsidP="00BF1BD7">
            <w:pPr>
              <w:rPr>
                <w:rFonts w:ascii="Arial" w:hAnsi="Arial" w:cs="Arial"/>
                <w:sz w:val="22"/>
                <w:szCs w:val="22"/>
              </w:rPr>
            </w:pPr>
            <w:r w:rsidRPr="003E17CC">
              <w:rPr>
                <w:rFonts w:ascii="Arial" w:hAnsi="Arial" w:cs="Arial"/>
                <w:sz w:val="22"/>
                <w:szCs w:val="22"/>
              </w:rPr>
              <w:t>Unpolluted</w:t>
            </w:r>
          </w:p>
        </w:tc>
        <w:tc>
          <w:tcPr>
            <w:tcW w:w="3060" w:type="dxa"/>
            <w:tcBorders>
              <w:top w:val="single" w:sz="4" w:space="0" w:color="auto"/>
            </w:tcBorders>
            <w:vAlign w:val="bottom"/>
          </w:tcPr>
          <w:p w14:paraId="2872EEA2" w14:textId="77777777" w:rsidR="00866F85" w:rsidRPr="003E17CC" w:rsidRDefault="00866F85" w:rsidP="00BF1BD7">
            <w:pPr>
              <w:rPr>
                <w:rFonts w:ascii="Arial" w:hAnsi="Arial" w:cs="Arial"/>
                <w:sz w:val="22"/>
                <w:szCs w:val="22"/>
              </w:rPr>
            </w:pPr>
            <w:r w:rsidRPr="003E17CC">
              <w:rPr>
                <w:rFonts w:ascii="Arial" w:hAnsi="Arial" w:cs="Arial"/>
                <w:sz w:val="22"/>
                <w:szCs w:val="22"/>
              </w:rPr>
              <w:t>Background conditions</w:t>
            </w:r>
          </w:p>
        </w:tc>
        <w:tc>
          <w:tcPr>
            <w:tcW w:w="2790" w:type="dxa"/>
            <w:tcBorders>
              <w:top w:val="single" w:sz="4" w:space="0" w:color="auto"/>
            </w:tcBorders>
            <w:vAlign w:val="bottom"/>
          </w:tcPr>
          <w:p w14:paraId="5C397799" w14:textId="77777777" w:rsidR="00866F85" w:rsidRPr="003E17CC" w:rsidRDefault="00866F85" w:rsidP="00BF1BD7">
            <w:pPr>
              <w:rPr>
                <w:rFonts w:ascii="Arial" w:hAnsi="Arial" w:cs="Arial"/>
                <w:sz w:val="22"/>
                <w:szCs w:val="22"/>
              </w:rPr>
            </w:pPr>
            <w:r w:rsidRPr="003E17CC">
              <w:rPr>
                <w:rFonts w:ascii="Arial" w:hAnsi="Arial" w:cs="Arial"/>
                <w:sz w:val="22"/>
                <w:szCs w:val="22"/>
              </w:rPr>
              <w:t>Baseline monitoring</w:t>
            </w:r>
          </w:p>
        </w:tc>
      </w:tr>
      <w:tr w:rsidR="00866F85" w:rsidRPr="003E17CC" w14:paraId="19D64BB6" w14:textId="77777777" w:rsidTr="00BF1BD7">
        <w:tc>
          <w:tcPr>
            <w:tcW w:w="1705" w:type="dxa"/>
            <w:vAlign w:val="bottom"/>
          </w:tcPr>
          <w:p w14:paraId="65A85A84" w14:textId="77777777" w:rsidR="00866F85" w:rsidRPr="003E17CC" w:rsidRDefault="00866F85" w:rsidP="00BF1BD7">
            <w:pPr>
              <w:rPr>
                <w:rFonts w:ascii="Arial" w:hAnsi="Arial" w:cs="Arial"/>
                <w:sz w:val="22"/>
                <w:szCs w:val="22"/>
              </w:rPr>
            </w:pPr>
            <w:r w:rsidRPr="003E17CC">
              <w:rPr>
                <w:rFonts w:ascii="Arial" w:hAnsi="Arial" w:cs="Arial"/>
                <w:sz w:val="22"/>
                <w:szCs w:val="22"/>
              </w:rPr>
              <w:t>1.0 ≤ PLI &lt; 2.0</w:t>
            </w:r>
          </w:p>
        </w:tc>
        <w:tc>
          <w:tcPr>
            <w:tcW w:w="2250" w:type="dxa"/>
            <w:vAlign w:val="bottom"/>
          </w:tcPr>
          <w:p w14:paraId="06A56D59" w14:textId="77777777" w:rsidR="00866F85" w:rsidRPr="003E17CC" w:rsidRDefault="00866F85" w:rsidP="00BF1BD7">
            <w:pPr>
              <w:rPr>
                <w:rFonts w:ascii="Arial" w:hAnsi="Arial" w:cs="Arial"/>
                <w:sz w:val="22"/>
                <w:szCs w:val="22"/>
              </w:rPr>
            </w:pPr>
            <w:r w:rsidRPr="003E17CC">
              <w:rPr>
                <w:rFonts w:ascii="Arial" w:hAnsi="Arial" w:cs="Arial"/>
                <w:sz w:val="22"/>
                <w:szCs w:val="22"/>
              </w:rPr>
              <w:t>Slightly polluted</w:t>
            </w:r>
          </w:p>
        </w:tc>
        <w:tc>
          <w:tcPr>
            <w:tcW w:w="3060" w:type="dxa"/>
            <w:vAlign w:val="bottom"/>
          </w:tcPr>
          <w:p w14:paraId="13609852" w14:textId="77777777" w:rsidR="00866F85" w:rsidRPr="003E17CC" w:rsidRDefault="00866F85" w:rsidP="00BF1BD7">
            <w:pPr>
              <w:rPr>
                <w:rFonts w:ascii="Arial" w:hAnsi="Arial" w:cs="Arial"/>
                <w:sz w:val="22"/>
                <w:szCs w:val="22"/>
              </w:rPr>
            </w:pPr>
            <w:r w:rsidRPr="003E17CC">
              <w:rPr>
                <w:rFonts w:ascii="Arial" w:hAnsi="Arial" w:cs="Arial"/>
                <w:sz w:val="22"/>
                <w:szCs w:val="22"/>
              </w:rPr>
              <w:t>Minor anthropogenic impact</w:t>
            </w:r>
          </w:p>
        </w:tc>
        <w:tc>
          <w:tcPr>
            <w:tcW w:w="2790" w:type="dxa"/>
            <w:vAlign w:val="bottom"/>
          </w:tcPr>
          <w:p w14:paraId="7BC042F9" w14:textId="77777777" w:rsidR="00866F85" w:rsidRPr="003E17CC" w:rsidRDefault="00866F85" w:rsidP="00BF1BD7">
            <w:pPr>
              <w:rPr>
                <w:rFonts w:ascii="Arial" w:hAnsi="Arial" w:cs="Arial"/>
                <w:sz w:val="22"/>
                <w:szCs w:val="22"/>
              </w:rPr>
            </w:pPr>
            <w:r w:rsidRPr="003E17CC">
              <w:rPr>
                <w:rFonts w:ascii="Arial" w:hAnsi="Arial" w:cs="Arial"/>
                <w:sz w:val="22"/>
                <w:szCs w:val="22"/>
              </w:rPr>
              <w:t>Regular monitoring</w:t>
            </w:r>
          </w:p>
        </w:tc>
      </w:tr>
      <w:tr w:rsidR="00866F85" w:rsidRPr="003E17CC" w14:paraId="4BA9AF85" w14:textId="77777777" w:rsidTr="00BF1BD7">
        <w:tc>
          <w:tcPr>
            <w:tcW w:w="1705" w:type="dxa"/>
            <w:vAlign w:val="bottom"/>
          </w:tcPr>
          <w:p w14:paraId="4D234555" w14:textId="77777777" w:rsidR="00866F85" w:rsidRPr="003E17CC" w:rsidRDefault="00866F85" w:rsidP="00BF1BD7">
            <w:pPr>
              <w:rPr>
                <w:rFonts w:ascii="Arial" w:hAnsi="Arial" w:cs="Arial"/>
                <w:sz w:val="22"/>
                <w:szCs w:val="22"/>
              </w:rPr>
            </w:pPr>
            <w:r w:rsidRPr="003E17CC">
              <w:rPr>
                <w:rFonts w:ascii="Arial" w:hAnsi="Arial" w:cs="Arial"/>
                <w:sz w:val="22"/>
                <w:szCs w:val="22"/>
              </w:rPr>
              <w:t>2.0 ≤ PLI &lt; 3.0</w:t>
            </w:r>
          </w:p>
        </w:tc>
        <w:tc>
          <w:tcPr>
            <w:tcW w:w="2250" w:type="dxa"/>
            <w:vAlign w:val="bottom"/>
          </w:tcPr>
          <w:p w14:paraId="5D279AE7" w14:textId="77777777" w:rsidR="00866F85" w:rsidRPr="003E17CC" w:rsidRDefault="00866F85" w:rsidP="00BF1BD7">
            <w:pPr>
              <w:rPr>
                <w:rFonts w:ascii="Arial" w:hAnsi="Arial" w:cs="Arial"/>
                <w:sz w:val="22"/>
                <w:szCs w:val="22"/>
              </w:rPr>
            </w:pPr>
            <w:r w:rsidRPr="003E17CC">
              <w:rPr>
                <w:rFonts w:ascii="Arial" w:hAnsi="Arial" w:cs="Arial"/>
                <w:sz w:val="22"/>
                <w:szCs w:val="22"/>
              </w:rPr>
              <w:t>Moderately polluted</w:t>
            </w:r>
          </w:p>
        </w:tc>
        <w:tc>
          <w:tcPr>
            <w:tcW w:w="3060" w:type="dxa"/>
            <w:vAlign w:val="bottom"/>
          </w:tcPr>
          <w:p w14:paraId="536E85A1" w14:textId="77777777" w:rsidR="00866F85" w:rsidRPr="003E17CC" w:rsidRDefault="00866F85" w:rsidP="00BF1BD7">
            <w:pPr>
              <w:rPr>
                <w:rFonts w:ascii="Arial" w:hAnsi="Arial" w:cs="Arial"/>
                <w:sz w:val="22"/>
                <w:szCs w:val="22"/>
              </w:rPr>
            </w:pPr>
            <w:r w:rsidRPr="003E17CC">
              <w:rPr>
                <w:rFonts w:ascii="Arial" w:hAnsi="Arial" w:cs="Arial"/>
                <w:sz w:val="22"/>
                <w:szCs w:val="22"/>
              </w:rPr>
              <w:t>Noticeable contamination</w:t>
            </w:r>
          </w:p>
        </w:tc>
        <w:tc>
          <w:tcPr>
            <w:tcW w:w="2790" w:type="dxa"/>
            <w:vAlign w:val="bottom"/>
          </w:tcPr>
          <w:p w14:paraId="5209590A" w14:textId="77777777" w:rsidR="00866F85" w:rsidRPr="003E17CC" w:rsidRDefault="00866F85" w:rsidP="00BF1BD7">
            <w:pPr>
              <w:rPr>
                <w:rFonts w:ascii="Arial" w:hAnsi="Arial" w:cs="Arial"/>
                <w:sz w:val="22"/>
                <w:szCs w:val="22"/>
              </w:rPr>
            </w:pPr>
            <w:r w:rsidRPr="003E17CC">
              <w:rPr>
                <w:rFonts w:ascii="Arial" w:hAnsi="Arial" w:cs="Arial"/>
                <w:sz w:val="22"/>
                <w:szCs w:val="22"/>
              </w:rPr>
              <w:t>Enhanced monitoring</w:t>
            </w:r>
          </w:p>
        </w:tc>
      </w:tr>
      <w:tr w:rsidR="00866F85" w:rsidRPr="003E17CC" w14:paraId="4A68FFB7" w14:textId="77777777" w:rsidTr="00BF1BD7">
        <w:tc>
          <w:tcPr>
            <w:tcW w:w="1705" w:type="dxa"/>
            <w:vAlign w:val="bottom"/>
          </w:tcPr>
          <w:p w14:paraId="47BF67D1" w14:textId="77777777" w:rsidR="00866F85" w:rsidRPr="003E17CC" w:rsidRDefault="00866F85" w:rsidP="00BF1BD7">
            <w:pPr>
              <w:rPr>
                <w:rFonts w:ascii="Arial" w:hAnsi="Arial" w:cs="Arial"/>
                <w:sz w:val="22"/>
                <w:szCs w:val="22"/>
              </w:rPr>
            </w:pPr>
            <w:r w:rsidRPr="003E17CC">
              <w:rPr>
                <w:rFonts w:ascii="Arial" w:hAnsi="Arial" w:cs="Arial"/>
                <w:sz w:val="22"/>
                <w:szCs w:val="22"/>
              </w:rPr>
              <w:t>3.0 ≤ PLI &lt; 5.0</w:t>
            </w:r>
          </w:p>
        </w:tc>
        <w:tc>
          <w:tcPr>
            <w:tcW w:w="2250" w:type="dxa"/>
            <w:vAlign w:val="bottom"/>
          </w:tcPr>
          <w:p w14:paraId="14FEA95A"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Considerably polluted</w:t>
            </w:r>
          </w:p>
        </w:tc>
        <w:tc>
          <w:tcPr>
            <w:tcW w:w="3060" w:type="dxa"/>
            <w:vAlign w:val="bottom"/>
          </w:tcPr>
          <w:p w14:paraId="08B38ECE" w14:textId="77777777" w:rsidR="00866F85" w:rsidRPr="003E17CC" w:rsidRDefault="00866F85" w:rsidP="00BF1BD7">
            <w:pPr>
              <w:rPr>
                <w:rFonts w:ascii="Arial" w:hAnsi="Arial" w:cs="Arial"/>
                <w:sz w:val="22"/>
                <w:szCs w:val="22"/>
              </w:rPr>
            </w:pPr>
            <w:r w:rsidRPr="003E17CC">
              <w:rPr>
                <w:rFonts w:ascii="Arial" w:hAnsi="Arial" w:cs="Arial"/>
                <w:sz w:val="22"/>
                <w:szCs w:val="22"/>
              </w:rPr>
              <w:t>Significant contamination</w:t>
            </w:r>
          </w:p>
        </w:tc>
        <w:tc>
          <w:tcPr>
            <w:tcW w:w="2790" w:type="dxa"/>
            <w:vAlign w:val="bottom"/>
          </w:tcPr>
          <w:p w14:paraId="6B7A35A6" w14:textId="77777777" w:rsidR="00866F85" w:rsidRPr="003E17CC" w:rsidRDefault="00866F85" w:rsidP="00BF1BD7">
            <w:pPr>
              <w:rPr>
                <w:rFonts w:ascii="Arial" w:hAnsi="Arial" w:cs="Arial"/>
                <w:sz w:val="22"/>
                <w:szCs w:val="22"/>
              </w:rPr>
            </w:pPr>
            <w:r w:rsidRPr="003E17CC">
              <w:rPr>
                <w:rFonts w:ascii="Arial" w:hAnsi="Arial" w:cs="Arial"/>
                <w:sz w:val="22"/>
                <w:szCs w:val="22"/>
              </w:rPr>
              <w:t>Active management needed</w:t>
            </w:r>
          </w:p>
        </w:tc>
      </w:tr>
      <w:tr w:rsidR="00866F85" w:rsidRPr="003E17CC" w14:paraId="317F938D" w14:textId="77777777" w:rsidTr="00BF1BD7">
        <w:tc>
          <w:tcPr>
            <w:tcW w:w="1705" w:type="dxa"/>
            <w:vAlign w:val="bottom"/>
          </w:tcPr>
          <w:p w14:paraId="3926E43A" w14:textId="77777777" w:rsidR="00866F85" w:rsidRPr="003E17CC" w:rsidRDefault="00866F85" w:rsidP="00BF1BD7">
            <w:pPr>
              <w:rPr>
                <w:rFonts w:ascii="Arial" w:hAnsi="Arial" w:cs="Arial"/>
                <w:sz w:val="22"/>
                <w:szCs w:val="22"/>
              </w:rPr>
            </w:pPr>
            <w:r w:rsidRPr="003E17CC">
              <w:rPr>
                <w:rFonts w:ascii="Arial" w:hAnsi="Arial" w:cs="Arial"/>
                <w:sz w:val="22"/>
                <w:szCs w:val="22"/>
              </w:rPr>
              <w:t>PLI ≥ 5.0</w:t>
            </w:r>
          </w:p>
        </w:tc>
        <w:tc>
          <w:tcPr>
            <w:tcW w:w="2250" w:type="dxa"/>
            <w:vAlign w:val="bottom"/>
          </w:tcPr>
          <w:p w14:paraId="240E4942" w14:textId="77777777" w:rsidR="00866F85" w:rsidRPr="003E17CC" w:rsidRDefault="00866F85" w:rsidP="00BF1BD7">
            <w:pPr>
              <w:rPr>
                <w:rFonts w:ascii="Arial" w:hAnsi="Arial" w:cs="Arial"/>
                <w:sz w:val="22"/>
                <w:szCs w:val="22"/>
              </w:rPr>
            </w:pPr>
            <w:r w:rsidRPr="003E17CC">
              <w:rPr>
                <w:rFonts w:ascii="Arial" w:hAnsi="Arial" w:cs="Arial"/>
                <w:sz w:val="22"/>
                <w:szCs w:val="22"/>
              </w:rPr>
              <w:t>Heavily polluted</w:t>
            </w:r>
          </w:p>
        </w:tc>
        <w:tc>
          <w:tcPr>
            <w:tcW w:w="3060" w:type="dxa"/>
            <w:vAlign w:val="bottom"/>
          </w:tcPr>
          <w:p w14:paraId="531D27B1" w14:textId="77777777" w:rsidR="00866F85" w:rsidRPr="003E17CC" w:rsidRDefault="00866F85" w:rsidP="00BF1BD7">
            <w:pPr>
              <w:rPr>
                <w:rFonts w:ascii="Arial" w:hAnsi="Arial" w:cs="Arial"/>
                <w:sz w:val="22"/>
                <w:szCs w:val="22"/>
              </w:rPr>
            </w:pPr>
            <w:r w:rsidRPr="003E17CC">
              <w:rPr>
                <w:rFonts w:ascii="Arial" w:hAnsi="Arial" w:cs="Arial"/>
                <w:sz w:val="22"/>
                <w:szCs w:val="22"/>
              </w:rPr>
              <w:t>Severe contamination</w:t>
            </w:r>
          </w:p>
        </w:tc>
        <w:tc>
          <w:tcPr>
            <w:tcW w:w="2790" w:type="dxa"/>
            <w:vAlign w:val="bottom"/>
          </w:tcPr>
          <w:p w14:paraId="20888C6A" w14:textId="77777777" w:rsidR="00866F85" w:rsidRPr="003E17CC" w:rsidRDefault="00866F85" w:rsidP="00BF1BD7">
            <w:pPr>
              <w:rPr>
                <w:rFonts w:ascii="Arial" w:hAnsi="Arial" w:cs="Arial"/>
                <w:sz w:val="22"/>
                <w:szCs w:val="22"/>
              </w:rPr>
            </w:pPr>
            <w:r w:rsidRPr="003E17CC">
              <w:rPr>
                <w:rFonts w:ascii="Arial" w:hAnsi="Arial" w:cs="Arial"/>
                <w:sz w:val="22"/>
                <w:szCs w:val="22"/>
              </w:rPr>
              <w:t>Immediate intervention</w:t>
            </w:r>
          </w:p>
        </w:tc>
      </w:tr>
    </w:tbl>
    <w:p w14:paraId="064C6849" w14:textId="77777777" w:rsidR="00866F85" w:rsidRPr="003E17CC" w:rsidRDefault="00866F85" w:rsidP="00866F85">
      <w:pPr>
        <w:jc w:val="both"/>
        <w:rPr>
          <w:rFonts w:ascii="Arial" w:hAnsi="Arial" w:cs="Arial"/>
          <w:b/>
          <w:bCs/>
          <w:sz w:val="22"/>
          <w:szCs w:val="22"/>
        </w:rPr>
      </w:pPr>
    </w:p>
    <w:p w14:paraId="3C4966C0" w14:textId="4ACD9B43" w:rsidR="00866F85" w:rsidRDefault="003E17CC" w:rsidP="00866F85">
      <w:pPr>
        <w:jc w:val="both"/>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.2.5 Enrichment Assessment</w:t>
      </w:r>
    </w:p>
    <w:p w14:paraId="539EBC39" w14:textId="77777777" w:rsidR="00C36151" w:rsidRPr="003E17CC" w:rsidRDefault="00C36151" w:rsidP="00866F85">
      <w:pPr>
        <w:jc w:val="both"/>
        <w:rPr>
          <w:rFonts w:ascii="Arial" w:hAnsi="Arial" w:cs="Arial"/>
          <w:b/>
          <w:bCs/>
          <w:sz w:val="22"/>
          <w:szCs w:val="22"/>
        </w:rPr>
      </w:pPr>
    </w:p>
    <w:p w14:paraId="2EBFE372" w14:textId="56471824" w:rsidR="003E17CC" w:rsidRDefault="00C36151" w:rsidP="00866F85">
      <w:pPr>
        <w:jc w:val="both"/>
        <w:rPr>
          <w:rFonts w:ascii="Arial" w:hAnsi="Arial" w:cs="Arial"/>
          <w:sz w:val="22"/>
          <w:szCs w:val="22"/>
        </w:rPr>
      </w:pPr>
      <w:r w:rsidRPr="00176490">
        <w:rPr>
          <w:rFonts w:ascii="Arial" w:hAnsi="Arial" w:cs="Arial"/>
          <w:sz w:val="22"/>
          <w:szCs w:val="22"/>
        </w:rPr>
        <w:t>In the absence of conservative normalizing elements (Al, Fe) in the analytical dataset, enrichment ratios (ER) were calculated by direct comparison of mean metal concentrations at each zone against the combined control-site background values (Table 9). This approach is methodologically equivalent to a normalized enrichment factor where the denominator represents local lithogenic background and has been employed in comparable studies where full geochemical suites were not available (</w:t>
      </w:r>
      <w:proofErr w:type="spellStart"/>
      <w:r w:rsidRPr="00176490">
        <w:rPr>
          <w:rFonts w:ascii="Arial" w:hAnsi="Arial" w:cs="Arial"/>
          <w:sz w:val="22"/>
          <w:szCs w:val="22"/>
        </w:rPr>
        <w:t>Kabata-Pendias</w:t>
      </w:r>
      <w:proofErr w:type="spellEnd"/>
      <w:r w:rsidRPr="00176490">
        <w:rPr>
          <w:rFonts w:ascii="Arial" w:hAnsi="Arial" w:cs="Arial"/>
          <w:sz w:val="22"/>
          <w:szCs w:val="22"/>
        </w:rPr>
        <w:t>, 2011). Arsenic registered significant enrichment (ER = 5.25), indicating a strong anthropogenic signal, while nickel, chromium, and lead showed moderate enrichment (ER = 2–5). Cadmium recorded minimal enrichment (ER = 1.92), consistent with its moderate CF value.</w:t>
      </w:r>
    </w:p>
    <w:p w14:paraId="49D0588F" w14:textId="77777777" w:rsidR="00C36151" w:rsidRPr="003E17CC" w:rsidRDefault="00C36151" w:rsidP="00866F85">
      <w:pPr>
        <w:jc w:val="both"/>
        <w:rPr>
          <w:rFonts w:ascii="Arial" w:hAnsi="Arial" w:cs="Arial"/>
          <w:b/>
          <w:bCs/>
          <w:sz w:val="22"/>
          <w:szCs w:val="22"/>
        </w:rPr>
      </w:pPr>
    </w:p>
    <w:p w14:paraId="4735A6BE" w14:textId="44FA2FBA" w:rsidR="00866F85" w:rsidRPr="003E17CC" w:rsidRDefault="00866F85" w:rsidP="00866F85">
      <w:pPr>
        <w:rPr>
          <w:rFonts w:ascii="Arial" w:hAnsi="Arial" w:cs="Arial"/>
          <w:b/>
          <w:bCs/>
          <w:sz w:val="22"/>
          <w:szCs w:val="22"/>
        </w:rPr>
      </w:pPr>
      <w:r w:rsidRPr="003E17CC">
        <w:rPr>
          <w:rFonts w:ascii="Arial" w:hAnsi="Arial" w:cs="Arial"/>
          <w:b/>
          <w:bCs/>
          <w:sz w:val="22"/>
          <w:szCs w:val="22"/>
        </w:rPr>
        <w:t>Table 9: Enrichment Ratio (ER)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1936"/>
        <w:gridCol w:w="1500"/>
        <w:gridCol w:w="1613"/>
        <w:gridCol w:w="3080"/>
      </w:tblGrid>
      <w:tr w:rsidR="00866F85" w:rsidRPr="003E17CC" w14:paraId="002C9BEA" w14:textId="77777777" w:rsidTr="00C36151">
        <w:tc>
          <w:tcPr>
            <w:tcW w:w="1231" w:type="dxa"/>
            <w:tcBorders>
              <w:top w:val="single" w:sz="4" w:space="0" w:color="auto"/>
              <w:bottom w:val="single" w:sz="4" w:space="0" w:color="auto"/>
            </w:tcBorders>
          </w:tcPr>
          <w:p w14:paraId="704AA162"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Element</w:t>
            </w:r>
          </w:p>
        </w:tc>
        <w:tc>
          <w:tcPr>
            <w:tcW w:w="1936" w:type="dxa"/>
            <w:tcBorders>
              <w:top w:val="single" w:sz="4" w:space="0" w:color="auto"/>
              <w:bottom w:val="single" w:sz="4" w:space="0" w:color="auto"/>
            </w:tcBorders>
          </w:tcPr>
          <w:p w14:paraId="7A1E2F0C"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Mean Conc. (ppm)</w:t>
            </w:r>
          </w:p>
        </w:tc>
        <w:tc>
          <w:tcPr>
            <w:tcW w:w="1500" w:type="dxa"/>
            <w:tcBorders>
              <w:top w:val="single" w:sz="4" w:space="0" w:color="auto"/>
              <w:bottom w:val="single" w:sz="4" w:space="0" w:color="auto"/>
            </w:tcBorders>
          </w:tcPr>
          <w:p w14:paraId="72FFE8B3"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Background (ppm)</w:t>
            </w:r>
          </w:p>
        </w:tc>
        <w:tc>
          <w:tcPr>
            <w:tcW w:w="1613" w:type="dxa"/>
            <w:tcBorders>
              <w:top w:val="single" w:sz="4" w:space="0" w:color="auto"/>
              <w:bottom w:val="single" w:sz="4" w:space="0" w:color="auto"/>
            </w:tcBorders>
          </w:tcPr>
          <w:p w14:paraId="5E8F1948"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Enrichment Ratio</w:t>
            </w:r>
          </w:p>
        </w:tc>
        <w:tc>
          <w:tcPr>
            <w:tcW w:w="3080" w:type="dxa"/>
            <w:tcBorders>
              <w:top w:val="single" w:sz="4" w:space="0" w:color="auto"/>
              <w:bottom w:val="single" w:sz="4" w:space="0" w:color="auto"/>
            </w:tcBorders>
          </w:tcPr>
          <w:p w14:paraId="32C9BB8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Enrichment Category</w:t>
            </w:r>
          </w:p>
        </w:tc>
      </w:tr>
      <w:tr w:rsidR="00C36151" w:rsidRPr="003E17CC" w14:paraId="0C6429A5" w14:textId="77777777" w:rsidTr="00C36151">
        <w:tc>
          <w:tcPr>
            <w:tcW w:w="1231" w:type="dxa"/>
            <w:tcBorders>
              <w:top w:val="single" w:sz="4" w:space="0" w:color="auto"/>
            </w:tcBorders>
            <w:vAlign w:val="bottom"/>
          </w:tcPr>
          <w:p w14:paraId="4A66205F"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lastRenderedPageBreak/>
              <w:t>Arsenic</w:t>
            </w:r>
          </w:p>
        </w:tc>
        <w:tc>
          <w:tcPr>
            <w:tcW w:w="1936" w:type="dxa"/>
            <w:tcBorders>
              <w:top w:val="single" w:sz="4" w:space="0" w:color="auto"/>
            </w:tcBorders>
            <w:vAlign w:val="bottom"/>
          </w:tcPr>
          <w:p w14:paraId="4AF4B77A"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0.021</w:t>
            </w:r>
          </w:p>
        </w:tc>
        <w:tc>
          <w:tcPr>
            <w:tcW w:w="1500" w:type="dxa"/>
            <w:tcBorders>
              <w:top w:val="single" w:sz="4" w:space="0" w:color="auto"/>
            </w:tcBorders>
            <w:vAlign w:val="bottom"/>
          </w:tcPr>
          <w:p w14:paraId="292F98D1"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0.004</w:t>
            </w:r>
          </w:p>
        </w:tc>
        <w:tc>
          <w:tcPr>
            <w:tcW w:w="1613" w:type="dxa"/>
            <w:tcBorders>
              <w:top w:val="single" w:sz="4" w:space="0" w:color="auto"/>
            </w:tcBorders>
            <w:vAlign w:val="bottom"/>
          </w:tcPr>
          <w:p w14:paraId="22064712"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5.25</w:t>
            </w:r>
          </w:p>
        </w:tc>
        <w:tc>
          <w:tcPr>
            <w:tcW w:w="3080" w:type="dxa"/>
            <w:tcBorders>
              <w:top w:val="single" w:sz="4" w:space="0" w:color="auto"/>
            </w:tcBorders>
            <w:vAlign w:val="bottom"/>
          </w:tcPr>
          <w:p w14:paraId="65E13968" w14:textId="4AA6461C" w:rsidR="00C36151" w:rsidRPr="003E17CC" w:rsidRDefault="00C36151" w:rsidP="00C36151">
            <w:pPr>
              <w:jc w:val="center"/>
              <w:rPr>
                <w:rFonts w:ascii="Arial" w:hAnsi="Arial" w:cs="Arial"/>
                <w:sz w:val="22"/>
                <w:szCs w:val="22"/>
              </w:rPr>
            </w:pPr>
            <w:r w:rsidRPr="00176490">
              <w:rPr>
                <w:rFonts w:ascii="Arial" w:hAnsi="Arial" w:cs="Arial"/>
                <w:sz w:val="22"/>
                <w:szCs w:val="22"/>
              </w:rPr>
              <w:t>Significant (5 ≤ ER &lt; 20)</w:t>
            </w:r>
          </w:p>
        </w:tc>
      </w:tr>
      <w:tr w:rsidR="00C36151" w:rsidRPr="003E17CC" w14:paraId="3065161F" w14:textId="77777777" w:rsidTr="00C36151">
        <w:tc>
          <w:tcPr>
            <w:tcW w:w="1231" w:type="dxa"/>
            <w:vAlign w:val="bottom"/>
          </w:tcPr>
          <w:p w14:paraId="799E50C4"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Nickel</w:t>
            </w:r>
          </w:p>
        </w:tc>
        <w:tc>
          <w:tcPr>
            <w:tcW w:w="1936" w:type="dxa"/>
            <w:vAlign w:val="bottom"/>
          </w:tcPr>
          <w:p w14:paraId="498D6763"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0.078</w:t>
            </w:r>
          </w:p>
        </w:tc>
        <w:tc>
          <w:tcPr>
            <w:tcW w:w="1500" w:type="dxa"/>
            <w:vAlign w:val="bottom"/>
          </w:tcPr>
          <w:p w14:paraId="50C4284A"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0.020</w:t>
            </w:r>
          </w:p>
        </w:tc>
        <w:tc>
          <w:tcPr>
            <w:tcW w:w="1613" w:type="dxa"/>
            <w:vAlign w:val="bottom"/>
          </w:tcPr>
          <w:p w14:paraId="104A8B3B"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3.90</w:t>
            </w:r>
          </w:p>
        </w:tc>
        <w:tc>
          <w:tcPr>
            <w:tcW w:w="3080" w:type="dxa"/>
            <w:vAlign w:val="bottom"/>
          </w:tcPr>
          <w:p w14:paraId="16CC22F0" w14:textId="117DC88A" w:rsidR="00C36151" w:rsidRPr="003E17CC" w:rsidRDefault="00C36151" w:rsidP="00C36151">
            <w:pPr>
              <w:jc w:val="center"/>
              <w:rPr>
                <w:rFonts w:ascii="Arial" w:hAnsi="Arial" w:cs="Arial"/>
                <w:sz w:val="22"/>
                <w:szCs w:val="22"/>
              </w:rPr>
            </w:pPr>
            <w:r w:rsidRPr="00176490">
              <w:rPr>
                <w:rFonts w:ascii="Arial" w:hAnsi="Arial" w:cs="Arial"/>
                <w:sz w:val="22"/>
                <w:szCs w:val="22"/>
              </w:rPr>
              <w:t>Moderate (2 ≤ ER &lt; 5)</w:t>
            </w:r>
          </w:p>
        </w:tc>
      </w:tr>
      <w:tr w:rsidR="00C36151" w:rsidRPr="003E17CC" w14:paraId="63AF80D5" w14:textId="77777777" w:rsidTr="00C36151">
        <w:tc>
          <w:tcPr>
            <w:tcW w:w="1231" w:type="dxa"/>
            <w:vAlign w:val="bottom"/>
          </w:tcPr>
          <w:p w14:paraId="310E814C"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Chromium</w:t>
            </w:r>
          </w:p>
        </w:tc>
        <w:tc>
          <w:tcPr>
            <w:tcW w:w="1936" w:type="dxa"/>
            <w:vAlign w:val="bottom"/>
          </w:tcPr>
          <w:p w14:paraId="148318E1"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0.025</w:t>
            </w:r>
          </w:p>
        </w:tc>
        <w:tc>
          <w:tcPr>
            <w:tcW w:w="1500" w:type="dxa"/>
            <w:vAlign w:val="bottom"/>
          </w:tcPr>
          <w:p w14:paraId="045E222B"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0.012</w:t>
            </w:r>
          </w:p>
        </w:tc>
        <w:tc>
          <w:tcPr>
            <w:tcW w:w="1613" w:type="dxa"/>
            <w:vAlign w:val="bottom"/>
          </w:tcPr>
          <w:p w14:paraId="2A518877"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2.08</w:t>
            </w:r>
          </w:p>
        </w:tc>
        <w:tc>
          <w:tcPr>
            <w:tcW w:w="3080" w:type="dxa"/>
            <w:vAlign w:val="bottom"/>
          </w:tcPr>
          <w:p w14:paraId="14ED0397" w14:textId="3C116BF7" w:rsidR="00C36151" w:rsidRPr="003E17CC" w:rsidRDefault="00C36151" w:rsidP="00C36151">
            <w:pPr>
              <w:jc w:val="center"/>
              <w:rPr>
                <w:rFonts w:ascii="Arial" w:hAnsi="Arial" w:cs="Arial"/>
                <w:sz w:val="22"/>
                <w:szCs w:val="22"/>
              </w:rPr>
            </w:pPr>
            <w:r w:rsidRPr="00176490">
              <w:rPr>
                <w:rFonts w:ascii="Arial" w:hAnsi="Arial" w:cs="Arial"/>
                <w:sz w:val="22"/>
                <w:szCs w:val="22"/>
              </w:rPr>
              <w:t>Moderate (2 ≤ ER &lt; 5)</w:t>
            </w:r>
          </w:p>
        </w:tc>
      </w:tr>
      <w:tr w:rsidR="00C36151" w:rsidRPr="003E17CC" w14:paraId="58DF49A3" w14:textId="77777777" w:rsidTr="00C36151">
        <w:tc>
          <w:tcPr>
            <w:tcW w:w="1231" w:type="dxa"/>
            <w:vAlign w:val="bottom"/>
          </w:tcPr>
          <w:p w14:paraId="5EEE686F"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Cadmium</w:t>
            </w:r>
          </w:p>
        </w:tc>
        <w:tc>
          <w:tcPr>
            <w:tcW w:w="1936" w:type="dxa"/>
            <w:vAlign w:val="bottom"/>
          </w:tcPr>
          <w:p w14:paraId="7B294A3B"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0.075</w:t>
            </w:r>
          </w:p>
        </w:tc>
        <w:tc>
          <w:tcPr>
            <w:tcW w:w="1500" w:type="dxa"/>
            <w:vAlign w:val="bottom"/>
          </w:tcPr>
          <w:p w14:paraId="7A11A673"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0.039</w:t>
            </w:r>
          </w:p>
        </w:tc>
        <w:tc>
          <w:tcPr>
            <w:tcW w:w="1613" w:type="dxa"/>
            <w:vAlign w:val="bottom"/>
          </w:tcPr>
          <w:p w14:paraId="122B9512"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1.92</w:t>
            </w:r>
          </w:p>
        </w:tc>
        <w:tc>
          <w:tcPr>
            <w:tcW w:w="3080" w:type="dxa"/>
            <w:vAlign w:val="bottom"/>
          </w:tcPr>
          <w:p w14:paraId="2D02A0CB" w14:textId="3B0DDD7E" w:rsidR="00C36151" w:rsidRPr="003E17CC" w:rsidRDefault="00C36151" w:rsidP="00C36151">
            <w:pPr>
              <w:jc w:val="center"/>
              <w:rPr>
                <w:rFonts w:ascii="Arial" w:hAnsi="Arial" w:cs="Arial"/>
                <w:sz w:val="22"/>
                <w:szCs w:val="22"/>
              </w:rPr>
            </w:pPr>
            <w:r w:rsidRPr="00176490">
              <w:rPr>
                <w:rFonts w:ascii="Arial" w:hAnsi="Arial" w:cs="Arial"/>
                <w:sz w:val="22"/>
                <w:szCs w:val="22"/>
              </w:rPr>
              <w:t>Minimal (ER &lt; 2)</w:t>
            </w:r>
          </w:p>
        </w:tc>
      </w:tr>
      <w:tr w:rsidR="00C36151" w:rsidRPr="003E17CC" w14:paraId="55DFDA5B" w14:textId="77777777" w:rsidTr="00C36151">
        <w:tc>
          <w:tcPr>
            <w:tcW w:w="1231" w:type="dxa"/>
            <w:tcBorders>
              <w:bottom w:val="single" w:sz="4" w:space="0" w:color="auto"/>
            </w:tcBorders>
            <w:vAlign w:val="bottom"/>
          </w:tcPr>
          <w:p w14:paraId="0918CD68"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Lead</w:t>
            </w:r>
          </w:p>
        </w:tc>
        <w:tc>
          <w:tcPr>
            <w:tcW w:w="1936" w:type="dxa"/>
            <w:tcBorders>
              <w:bottom w:val="single" w:sz="4" w:space="0" w:color="auto"/>
            </w:tcBorders>
            <w:vAlign w:val="bottom"/>
          </w:tcPr>
          <w:p w14:paraId="178CC46F"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0.186</w:t>
            </w:r>
          </w:p>
        </w:tc>
        <w:tc>
          <w:tcPr>
            <w:tcW w:w="1500" w:type="dxa"/>
            <w:tcBorders>
              <w:bottom w:val="single" w:sz="4" w:space="0" w:color="auto"/>
            </w:tcBorders>
            <w:vAlign w:val="bottom"/>
          </w:tcPr>
          <w:p w14:paraId="0E588BE7"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0.042</w:t>
            </w:r>
          </w:p>
        </w:tc>
        <w:tc>
          <w:tcPr>
            <w:tcW w:w="1613" w:type="dxa"/>
            <w:tcBorders>
              <w:bottom w:val="single" w:sz="4" w:space="0" w:color="auto"/>
            </w:tcBorders>
            <w:vAlign w:val="bottom"/>
          </w:tcPr>
          <w:p w14:paraId="75FBCB85"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4.43</w:t>
            </w:r>
          </w:p>
        </w:tc>
        <w:tc>
          <w:tcPr>
            <w:tcW w:w="3080" w:type="dxa"/>
            <w:tcBorders>
              <w:bottom w:val="single" w:sz="4" w:space="0" w:color="auto"/>
            </w:tcBorders>
            <w:vAlign w:val="bottom"/>
          </w:tcPr>
          <w:p w14:paraId="57BBACC5" w14:textId="25E96A32" w:rsidR="00C36151" w:rsidRPr="003E17CC" w:rsidRDefault="00C36151" w:rsidP="00C36151">
            <w:pPr>
              <w:jc w:val="center"/>
              <w:rPr>
                <w:rFonts w:ascii="Arial" w:hAnsi="Arial" w:cs="Arial"/>
                <w:sz w:val="22"/>
                <w:szCs w:val="22"/>
              </w:rPr>
            </w:pPr>
            <w:r w:rsidRPr="00176490">
              <w:rPr>
                <w:rFonts w:ascii="Arial" w:hAnsi="Arial" w:cs="Arial"/>
                <w:sz w:val="22"/>
                <w:szCs w:val="22"/>
              </w:rPr>
              <w:t>Moderate (2 ≤ ER &lt; 5)</w:t>
            </w:r>
          </w:p>
        </w:tc>
      </w:tr>
    </w:tbl>
    <w:p w14:paraId="250F5596" w14:textId="77777777" w:rsidR="002E78D6" w:rsidRDefault="002E78D6" w:rsidP="00866F85">
      <w:pPr>
        <w:rPr>
          <w:rFonts w:ascii="Arial" w:hAnsi="Arial" w:cs="Arial"/>
          <w:sz w:val="22"/>
          <w:szCs w:val="22"/>
        </w:rPr>
      </w:pPr>
    </w:p>
    <w:p w14:paraId="07C8B844" w14:textId="1646614C" w:rsidR="00866F85" w:rsidRPr="003E17CC" w:rsidRDefault="00866F85" w:rsidP="00866F85">
      <w:pPr>
        <w:rPr>
          <w:rFonts w:ascii="Arial" w:hAnsi="Arial" w:cs="Arial"/>
          <w:sz w:val="22"/>
          <w:szCs w:val="22"/>
        </w:rPr>
      </w:pPr>
      <w:r w:rsidRPr="003E17CC">
        <w:rPr>
          <w:rFonts w:ascii="Arial" w:hAnsi="Arial" w:cs="Arial"/>
          <w:sz w:val="22"/>
          <w:szCs w:val="22"/>
        </w:rPr>
        <w:t xml:space="preserve">Where: </w:t>
      </w:r>
    </w:p>
    <w:p w14:paraId="07DC15F7" w14:textId="77777777" w:rsidR="002E78D6" w:rsidRDefault="002E78D6" w:rsidP="00866F85">
      <w:pPr>
        <w:rPr>
          <w:rFonts w:ascii="Arial" w:hAnsi="Arial" w:cs="Arial"/>
          <w:sz w:val="22"/>
          <w:szCs w:val="22"/>
        </w:rPr>
      </w:pPr>
    </w:p>
    <w:p w14:paraId="3A51CF10" w14:textId="58531F14" w:rsidR="00866F85" w:rsidRPr="003E17CC" w:rsidRDefault="00866F85" w:rsidP="00866F85">
      <w:pPr>
        <w:rPr>
          <w:rFonts w:ascii="Arial" w:hAnsi="Arial" w:cs="Arial"/>
          <w:sz w:val="22"/>
          <w:szCs w:val="22"/>
        </w:rPr>
      </w:pPr>
      <w:r w:rsidRPr="003E17CC">
        <w:rPr>
          <w:rFonts w:ascii="Arial" w:hAnsi="Arial" w:cs="Arial"/>
          <w:sz w:val="22"/>
          <w:szCs w:val="22"/>
        </w:rPr>
        <w:t>Enrichment Classification:</w:t>
      </w:r>
    </w:p>
    <w:p w14:paraId="6F8161CA" w14:textId="77777777" w:rsidR="00866F85" w:rsidRPr="003E17CC" w:rsidRDefault="00866F85" w:rsidP="00866F85">
      <w:pPr>
        <w:ind w:left="720"/>
        <w:rPr>
          <w:rFonts w:ascii="Arial" w:hAnsi="Arial" w:cs="Arial"/>
          <w:sz w:val="22"/>
          <w:szCs w:val="22"/>
        </w:rPr>
      </w:pPr>
      <w:r w:rsidRPr="003E17CC">
        <w:rPr>
          <w:rFonts w:ascii="Arial" w:hAnsi="Arial" w:cs="Arial"/>
          <w:sz w:val="22"/>
          <w:szCs w:val="22"/>
        </w:rPr>
        <w:t>ER &lt; 2: Minimal enrichment (natural processes)</w:t>
      </w:r>
    </w:p>
    <w:p w14:paraId="51917F70" w14:textId="77777777" w:rsidR="00866F85" w:rsidRPr="003E17CC" w:rsidRDefault="00866F85" w:rsidP="00866F85">
      <w:pPr>
        <w:ind w:left="720"/>
        <w:rPr>
          <w:rFonts w:ascii="Arial" w:hAnsi="Arial" w:cs="Arial"/>
          <w:sz w:val="22"/>
          <w:szCs w:val="22"/>
        </w:rPr>
      </w:pPr>
      <w:r w:rsidRPr="003E17CC">
        <w:rPr>
          <w:rFonts w:ascii="Arial" w:hAnsi="Arial" w:cs="Arial"/>
          <w:sz w:val="22"/>
          <w:szCs w:val="22"/>
        </w:rPr>
        <w:t>2 ≤ ER &lt; 5: Moderate enrichment (anthropogenic influence)</w:t>
      </w:r>
    </w:p>
    <w:p w14:paraId="55D2CBAB" w14:textId="77777777" w:rsidR="00866F85" w:rsidRPr="003E17CC" w:rsidRDefault="00866F85" w:rsidP="00866F85">
      <w:pPr>
        <w:pStyle w:val="ListParagraph"/>
        <w:ind w:left="600"/>
        <w:rPr>
          <w:rFonts w:ascii="Arial" w:hAnsi="Arial" w:cs="Arial"/>
          <w:sz w:val="22"/>
          <w:szCs w:val="22"/>
        </w:rPr>
      </w:pPr>
      <w:r w:rsidRPr="003E17CC">
        <w:rPr>
          <w:rFonts w:ascii="Arial" w:hAnsi="Arial" w:cs="Arial"/>
          <w:sz w:val="22"/>
          <w:szCs w:val="22"/>
        </w:rPr>
        <w:t>≤ ER &lt; 20: Significant enrichment (strong anthropogenic sources</w:t>
      </w:r>
    </w:p>
    <w:p w14:paraId="12DC531D" w14:textId="77777777" w:rsidR="00866F85" w:rsidRDefault="00866F85" w:rsidP="00866F85">
      <w:pPr>
        <w:pStyle w:val="ListParagraph"/>
        <w:ind w:left="600"/>
        <w:rPr>
          <w:rFonts w:ascii="Arial" w:hAnsi="Arial" w:cs="Arial"/>
          <w:sz w:val="22"/>
          <w:szCs w:val="22"/>
        </w:rPr>
      </w:pPr>
    </w:p>
    <w:p w14:paraId="4461A408" w14:textId="77777777" w:rsidR="003E17CC" w:rsidRPr="003E17CC" w:rsidRDefault="003E17CC" w:rsidP="00866F85">
      <w:pPr>
        <w:pStyle w:val="ListParagraph"/>
        <w:ind w:left="600"/>
        <w:rPr>
          <w:rFonts w:ascii="Arial" w:hAnsi="Arial" w:cs="Arial"/>
          <w:sz w:val="22"/>
          <w:szCs w:val="22"/>
        </w:rPr>
      </w:pPr>
    </w:p>
    <w:p w14:paraId="39BD2F71" w14:textId="77777777" w:rsidR="00ED1BE5" w:rsidRPr="00176490" w:rsidRDefault="00ED1BE5" w:rsidP="00ED1BE5">
      <w:pPr>
        <w:spacing w:after="160" w:line="278" w:lineRule="auto"/>
        <w:jc w:val="both"/>
        <w:rPr>
          <w:rFonts w:ascii="Arial" w:hAnsi="Arial" w:cs="Arial"/>
          <w:b/>
          <w:bCs/>
          <w:sz w:val="22"/>
          <w:szCs w:val="22"/>
        </w:rPr>
      </w:pPr>
      <w:r w:rsidRPr="00176490">
        <w:rPr>
          <w:rFonts w:ascii="Arial" w:hAnsi="Arial" w:cs="Arial"/>
          <w:b/>
          <w:bCs/>
          <w:sz w:val="22"/>
          <w:szCs w:val="22"/>
        </w:rPr>
        <w:t>3.3 Source Identification and Contamination Pathways</w:t>
      </w:r>
    </w:p>
    <w:p w14:paraId="29D1C99C" w14:textId="77777777" w:rsidR="00ED1BE5" w:rsidRPr="00176490" w:rsidRDefault="00ED1BE5" w:rsidP="00ED1BE5">
      <w:pPr>
        <w:spacing w:after="160" w:line="278" w:lineRule="auto"/>
        <w:jc w:val="both"/>
        <w:rPr>
          <w:rFonts w:ascii="Arial" w:hAnsi="Arial" w:cs="Arial"/>
          <w:b/>
          <w:bCs/>
          <w:sz w:val="22"/>
          <w:szCs w:val="22"/>
        </w:rPr>
      </w:pPr>
      <w:r w:rsidRPr="00176490">
        <w:rPr>
          <w:rFonts w:ascii="Arial" w:hAnsi="Arial" w:cs="Arial"/>
          <w:b/>
          <w:bCs/>
          <w:sz w:val="22"/>
          <w:szCs w:val="22"/>
        </w:rPr>
        <w:t>3.3.1 Inter-metal Correlation Analysis</w:t>
      </w:r>
    </w:p>
    <w:p w14:paraId="7BC13F0A" w14:textId="03C50645" w:rsidR="00ED1BE5" w:rsidRPr="00C04F80" w:rsidRDefault="00ED1BE5" w:rsidP="00C04F80">
      <w:pPr>
        <w:pStyle w:val="ListParagraph"/>
        <w:ind w:left="360"/>
        <w:jc w:val="both"/>
        <w:rPr>
          <w:rFonts w:ascii="Arial" w:hAnsi="Arial" w:cs="Arial"/>
          <w:sz w:val="22"/>
          <w:szCs w:val="22"/>
        </w:rPr>
      </w:pPr>
      <w:r w:rsidRPr="00176490">
        <w:rPr>
          <w:rFonts w:ascii="Arial" w:hAnsi="Arial" w:cs="Arial"/>
          <w:sz w:val="22"/>
          <w:szCs w:val="22"/>
        </w:rPr>
        <w:t xml:space="preserve">Pearson correlation analysis was conducted to explore associations between metals and infer potential common source signatures (Table 10). The results revealed a strong positive association between arsenic and cadmium (r = 0.723, p &lt; 0.01) and a moderate association between arsenic and chromium (r = 0.567, p &lt; 0.05), while nickel and lead displayed comparatively weak correlations with the </w:t>
      </w:r>
      <w:proofErr w:type="gramStart"/>
      <w:r w:rsidRPr="00176490">
        <w:rPr>
          <w:rFonts w:ascii="Arial" w:hAnsi="Arial" w:cs="Arial"/>
          <w:sz w:val="22"/>
          <w:szCs w:val="22"/>
        </w:rPr>
        <w:t>As</w:t>
      </w:r>
      <w:proofErr w:type="gramEnd"/>
      <w:r w:rsidRPr="00176490">
        <w:rPr>
          <w:rFonts w:ascii="Arial" w:hAnsi="Arial" w:cs="Arial"/>
          <w:sz w:val="22"/>
          <w:szCs w:val="22"/>
        </w:rPr>
        <w:t xml:space="preserve">–Cd–Cr cluster. This correlation structure is consistent with a mixed-source waste environment. Strong As–Cd associations in landfill soils have been widely linked to electronic and electrical waste fractions, particularly soldered circuit boards and nickel-cadmium battery cells (Yabe </w:t>
      </w:r>
      <w:r w:rsidRPr="00176490">
        <w:rPr>
          <w:rFonts w:ascii="Arial" w:hAnsi="Arial" w:cs="Arial"/>
          <w:i/>
          <w:iCs/>
          <w:sz w:val="22"/>
          <w:szCs w:val="22"/>
        </w:rPr>
        <w:t>et al</w:t>
      </w:r>
      <w:r w:rsidRPr="00176490">
        <w:rPr>
          <w:rFonts w:ascii="Arial" w:hAnsi="Arial" w:cs="Arial"/>
          <w:sz w:val="22"/>
          <w:szCs w:val="22"/>
        </w:rPr>
        <w:t xml:space="preserve">., 2010; </w:t>
      </w:r>
      <w:proofErr w:type="spellStart"/>
      <w:r w:rsidRPr="00176490">
        <w:rPr>
          <w:rFonts w:ascii="Arial" w:hAnsi="Arial" w:cs="Arial"/>
          <w:sz w:val="22"/>
          <w:szCs w:val="22"/>
        </w:rPr>
        <w:t>Kabata-Pendias</w:t>
      </w:r>
      <w:proofErr w:type="spellEnd"/>
      <w:r w:rsidRPr="00176490">
        <w:rPr>
          <w:rFonts w:ascii="Arial" w:hAnsi="Arial" w:cs="Arial"/>
          <w:sz w:val="22"/>
          <w:szCs w:val="22"/>
        </w:rPr>
        <w:t xml:space="preserve">, 2011). The moderate </w:t>
      </w:r>
      <w:proofErr w:type="gramStart"/>
      <w:r w:rsidRPr="00176490">
        <w:rPr>
          <w:rFonts w:ascii="Arial" w:hAnsi="Arial" w:cs="Arial"/>
          <w:sz w:val="22"/>
          <w:szCs w:val="22"/>
        </w:rPr>
        <w:t>As</w:t>
      </w:r>
      <w:proofErr w:type="gramEnd"/>
      <w:r w:rsidRPr="00176490">
        <w:rPr>
          <w:rFonts w:ascii="Arial" w:hAnsi="Arial" w:cs="Arial"/>
          <w:sz w:val="22"/>
          <w:szCs w:val="22"/>
        </w:rPr>
        <w:t>–Cr co-association at this site likely reflects inputs from treated wood products, pigment-containing construction debris, and leather tanning residues, all of which are documented components of Nigerian urban municipal waste (</w:t>
      </w:r>
      <w:proofErr w:type="spellStart"/>
      <w:r w:rsidRPr="00176490">
        <w:rPr>
          <w:rFonts w:ascii="Arial" w:hAnsi="Arial" w:cs="Arial"/>
          <w:sz w:val="22"/>
          <w:szCs w:val="22"/>
        </w:rPr>
        <w:t>Olade</w:t>
      </w:r>
      <w:proofErr w:type="spellEnd"/>
      <w:r w:rsidRPr="00176490">
        <w:rPr>
          <w:rFonts w:ascii="Arial" w:hAnsi="Arial" w:cs="Arial"/>
          <w:sz w:val="22"/>
          <w:szCs w:val="22"/>
        </w:rPr>
        <w:t xml:space="preserve">, 1987; </w:t>
      </w:r>
      <w:proofErr w:type="spellStart"/>
      <w:r w:rsidRPr="00176490">
        <w:rPr>
          <w:rFonts w:ascii="Arial" w:hAnsi="Arial" w:cs="Arial"/>
          <w:sz w:val="22"/>
          <w:szCs w:val="22"/>
        </w:rPr>
        <w:t>Mmereki</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2016). The relatively independent </w:t>
      </w:r>
      <w:proofErr w:type="spellStart"/>
      <w:r w:rsidRPr="00176490">
        <w:rPr>
          <w:rFonts w:ascii="Arial" w:hAnsi="Arial" w:cs="Arial"/>
          <w:sz w:val="22"/>
          <w:szCs w:val="22"/>
        </w:rPr>
        <w:t>behaviour</w:t>
      </w:r>
      <w:proofErr w:type="spellEnd"/>
      <w:r w:rsidRPr="00176490">
        <w:rPr>
          <w:rFonts w:ascii="Arial" w:hAnsi="Arial" w:cs="Arial"/>
          <w:sz w:val="22"/>
          <w:szCs w:val="22"/>
        </w:rPr>
        <w:t xml:space="preserve"> of nickel and lead from the arsenic cluster points to a distinct secondary source, most plausibly automotive scrap and spent batteries, which are common in Nigerian urban waste streams.</w:t>
      </w:r>
      <w:r>
        <w:rPr>
          <w:rFonts w:ascii="Arial" w:hAnsi="Arial" w:cs="Arial"/>
          <w:sz w:val="22"/>
          <w:szCs w:val="22"/>
        </w:rPr>
        <w:t xml:space="preserve"> </w:t>
      </w:r>
    </w:p>
    <w:p w14:paraId="0CA0C39E" w14:textId="77777777" w:rsidR="003E17CC" w:rsidRPr="003E17CC" w:rsidRDefault="003E17CC" w:rsidP="00866F85">
      <w:pPr>
        <w:pStyle w:val="ListParagraph"/>
        <w:ind w:left="360"/>
        <w:rPr>
          <w:rFonts w:ascii="Arial" w:hAnsi="Arial" w:cs="Arial"/>
          <w:sz w:val="22"/>
          <w:szCs w:val="22"/>
        </w:rPr>
      </w:pPr>
    </w:p>
    <w:p w14:paraId="3AC5DF2C" w14:textId="2AC09006" w:rsidR="00866F85" w:rsidRPr="003E17CC" w:rsidRDefault="00866F85" w:rsidP="00866F85">
      <w:pPr>
        <w:rPr>
          <w:rFonts w:ascii="Arial" w:hAnsi="Arial" w:cs="Arial"/>
          <w:b/>
          <w:bCs/>
          <w:sz w:val="22"/>
          <w:szCs w:val="22"/>
        </w:rPr>
      </w:pPr>
      <w:r w:rsidRPr="003E17CC">
        <w:rPr>
          <w:rFonts w:ascii="Arial" w:hAnsi="Arial" w:cs="Arial"/>
          <w:b/>
          <w:bCs/>
          <w:sz w:val="22"/>
          <w:szCs w:val="22"/>
        </w:rPr>
        <w:t xml:space="preserve">Table 10: Inter-metal Correlation Matrix (Pearson </w:t>
      </w:r>
      <w:proofErr w:type="spellStart"/>
      <w:r w:rsidRPr="003E17CC">
        <w:rPr>
          <w:rFonts w:ascii="Arial" w:hAnsi="Arial" w:cs="Arial"/>
          <w:b/>
          <w:bCs/>
          <w:sz w:val="22"/>
          <w:szCs w:val="22"/>
        </w:rPr>
        <w:t>r-values</w:t>
      </w:r>
      <w:proofErr w:type="spellEnd"/>
      <w:r w:rsidRPr="003E17CC">
        <w:rPr>
          <w:rFonts w:ascii="Arial" w:hAnsi="Arial" w:cs="Arial"/>
          <w:b/>
          <w:bCs/>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866F85" w:rsidRPr="003E17CC" w14:paraId="46B12149" w14:textId="77777777" w:rsidTr="00BF1BD7">
        <w:tc>
          <w:tcPr>
            <w:tcW w:w="1558" w:type="dxa"/>
            <w:tcBorders>
              <w:top w:val="single" w:sz="4" w:space="0" w:color="auto"/>
              <w:bottom w:val="single" w:sz="4" w:space="0" w:color="auto"/>
            </w:tcBorders>
          </w:tcPr>
          <w:p w14:paraId="540F6550" w14:textId="77777777" w:rsidR="00866F85" w:rsidRPr="003E17CC" w:rsidRDefault="00866F85" w:rsidP="00BF1BD7">
            <w:pPr>
              <w:jc w:val="center"/>
              <w:rPr>
                <w:rFonts w:ascii="Arial" w:hAnsi="Arial" w:cs="Arial"/>
                <w:b/>
                <w:bCs/>
                <w:sz w:val="22"/>
                <w:szCs w:val="22"/>
              </w:rPr>
            </w:pPr>
          </w:p>
        </w:tc>
        <w:tc>
          <w:tcPr>
            <w:tcW w:w="1558" w:type="dxa"/>
            <w:tcBorders>
              <w:top w:val="single" w:sz="4" w:space="0" w:color="auto"/>
              <w:bottom w:val="single" w:sz="4" w:space="0" w:color="auto"/>
            </w:tcBorders>
          </w:tcPr>
          <w:p w14:paraId="6DAE8F1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As</w:t>
            </w:r>
          </w:p>
        </w:tc>
        <w:tc>
          <w:tcPr>
            <w:tcW w:w="1558" w:type="dxa"/>
            <w:tcBorders>
              <w:top w:val="single" w:sz="4" w:space="0" w:color="auto"/>
              <w:bottom w:val="single" w:sz="4" w:space="0" w:color="auto"/>
            </w:tcBorders>
          </w:tcPr>
          <w:p w14:paraId="5CB46E2C"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Ni</w:t>
            </w:r>
          </w:p>
        </w:tc>
        <w:tc>
          <w:tcPr>
            <w:tcW w:w="1558" w:type="dxa"/>
            <w:tcBorders>
              <w:top w:val="single" w:sz="4" w:space="0" w:color="auto"/>
              <w:bottom w:val="single" w:sz="4" w:space="0" w:color="auto"/>
            </w:tcBorders>
          </w:tcPr>
          <w:p w14:paraId="10F381E7"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Cr</w:t>
            </w:r>
          </w:p>
        </w:tc>
        <w:tc>
          <w:tcPr>
            <w:tcW w:w="1559" w:type="dxa"/>
            <w:tcBorders>
              <w:top w:val="single" w:sz="4" w:space="0" w:color="auto"/>
              <w:bottom w:val="single" w:sz="4" w:space="0" w:color="auto"/>
            </w:tcBorders>
          </w:tcPr>
          <w:p w14:paraId="68CB2E51"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Cd</w:t>
            </w:r>
          </w:p>
        </w:tc>
        <w:tc>
          <w:tcPr>
            <w:tcW w:w="1559" w:type="dxa"/>
            <w:tcBorders>
              <w:top w:val="single" w:sz="4" w:space="0" w:color="auto"/>
              <w:bottom w:val="single" w:sz="4" w:space="0" w:color="auto"/>
            </w:tcBorders>
          </w:tcPr>
          <w:p w14:paraId="55BCCA7E"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Pb</w:t>
            </w:r>
          </w:p>
        </w:tc>
      </w:tr>
      <w:tr w:rsidR="00866F85" w:rsidRPr="003E17CC" w14:paraId="201B2785" w14:textId="77777777" w:rsidTr="00BF1BD7">
        <w:tc>
          <w:tcPr>
            <w:tcW w:w="1558" w:type="dxa"/>
            <w:tcBorders>
              <w:top w:val="single" w:sz="4" w:space="0" w:color="auto"/>
            </w:tcBorders>
            <w:vAlign w:val="bottom"/>
          </w:tcPr>
          <w:p w14:paraId="1456BB5F"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As</w:t>
            </w:r>
          </w:p>
        </w:tc>
        <w:tc>
          <w:tcPr>
            <w:tcW w:w="1558" w:type="dxa"/>
            <w:tcBorders>
              <w:top w:val="single" w:sz="4" w:space="0" w:color="auto"/>
            </w:tcBorders>
            <w:vAlign w:val="bottom"/>
          </w:tcPr>
          <w:p w14:paraId="5E5EFAC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8" w:type="dxa"/>
            <w:tcBorders>
              <w:top w:val="single" w:sz="4" w:space="0" w:color="auto"/>
            </w:tcBorders>
            <w:vAlign w:val="bottom"/>
          </w:tcPr>
          <w:p w14:paraId="7CC7D19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-0.245</w:t>
            </w:r>
          </w:p>
        </w:tc>
        <w:tc>
          <w:tcPr>
            <w:tcW w:w="1558" w:type="dxa"/>
            <w:tcBorders>
              <w:top w:val="single" w:sz="4" w:space="0" w:color="auto"/>
            </w:tcBorders>
            <w:vAlign w:val="bottom"/>
          </w:tcPr>
          <w:p w14:paraId="18C0DFF5"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0.567*</w:t>
            </w:r>
          </w:p>
        </w:tc>
        <w:tc>
          <w:tcPr>
            <w:tcW w:w="1559" w:type="dxa"/>
            <w:tcBorders>
              <w:top w:val="single" w:sz="4" w:space="0" w:color="auto"/>
            </w:tcBorders>
            <w:vAlign w:val="bottom"/>
          </w:tcPr>
          <w:p w14:paraId="3A5C79C5"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0.723**</w:t>
            </w:r>
          </w:p>
        </w:tc>
        <w:tc>
          <w:tcPr>
            <w:tcW w:w="1559" w:type="dxa"/>
            <w:tcBorders>
              <w:top w:val="single" w:sz="4" w:space="0" w:color="auto"/>
            </w:tcBorders>
            <w:vAlign w:val="bottom"/>
          </w:tcPr>
          <w:p w14:paraId="08B84426"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0.234</w:t>
            </w:r>
          </w:p>
        </w:tc>
      </w:tr>
      <w:tr w:rsidR="00866F85" w:rsidRPr="003E17CC" w14:paraId="3A98CFB4" w14:textId="77777777" w:rsidTr="00BF1BD7">
        <w:tc>
          <w:tcPr>
            <w:tcW w:w="1558" w:type="dxa"/>
            <w:vAlign w:val="bottom"/>
          </w:tcPr>
          <w:p w14:paraId="4CC7D841"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Ni</w:t>
            </w:r>
          </w:p>
        </w:tc>
        <w:tc>
          <w:tcPr>
            <w:tcW w:w="1558" w:type="dxa"/>
            <w:vAlign w:val="bottom"/>
          </w:tcPr>
          <w:p w14:paraId="29C025A2"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-0.245</w:t>
            </w:r>
          </w:p>
        </w:tc>
        <w:tc>
          <w:tcPr>
            <w:tcW w:w="1558" w:type="dxa"/>
            <w:vAlign w:val="bottom"/>
          </w:tcPr>
          <w:p w14:paraId="4B70808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8" w:type="dxa"/>
            <w:vAlign w:val="bottom"/>
          </w:tcPr>
          <w:p w14:paraId="35FFC297"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-0.123</w:t>
            </w:r>
          </w:p>
        </w:tc>
        <w:tc>
          <w:tcPr>
            <w:tcW w:w="1559" w:type="dxa"/>
            <w:vAlign w:val="bottom"/>
          </w:tcPr>
          <w:p w14:paraId="2FD8E4E3"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-0.089</w:t>
            </w:r>
          </w:p>
        </w:tc>
        <w:tc>
          <w:tcPr>
            <w:tcW w:w="1559" w:type="dxa"/>
            <w:vAlign w:val="bottom"/>
          </w:tcPr>
          <w:p w14:paraId="2ED19DA0"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0.345</w:t>
            </w:r>
          </w:p>
        </w:tc>
      </w:tr>
      <w:tr w:rsidR="00866F85" w:rsidRPr="003E17CC" w14:paraId="7953F746" w14:textId="77777777" w:rsidTr="00BF1BD7">
        <w:tc>
          <w:tcPr>
            <w:tcW w:w="1558" w:type="dxa"/>
            <w:vAlign w:val="bottom"/>
          </w:tcPr>
          <w:p w14:paraId="1364F84C"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Cr</w:t>
            </w:r>
          </w:p>
        </w:tc>
        <w:tc>
          <w:tcPr>
            <w:tcW w:w="1558" w:type="dxa"/>
            <w:vAlign w:val="bottom"/>
          </w:tcPr>
          <w:p w14:paraId="23962F2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0.567*</w:t>
            </w:r>
          </w:p>
        </w:tc>
        <w:tc>
          <w:tcPr>
            <w:tcW w:w="1558" w:type="dxa"/>
            <w:vAlign w:val="bottom"/>
          </w:tcPr>
          <w:p w14:paraId="539C108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-0.123</w:t>
            </w:r>
          </w:p>
        </w:tc>
        <w:tc>
          <w:tcPr>
            <w:tcW w:w="1558" w:type="dxa"/>
            <w:vAlign w:val="bottom"/>
          </w:tcPr>
          <w:p w14:paraId="25332D0A"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9" w:type="dxa"/>
            <w:vAlign w:val="bottom"/>
          </w:tcPr>
          <w:p w14:paraId="3753A73C"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0.456*</w:t>
            </w:r>
          </w:p>
        </w:tc>
        <w:tc>
          <w:tcPr>
            <w:tcW w:w="1559" w:type="dxa"/>
            <w:vAlign w:val="bottom"/>
          </w:tcPr>
          <w:p w14:paraId="1F43710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-0.067</w:t>
            </w:r>
          </w:p>
        </w:tc>
      </w:tr>
      <w:tr w:rsidR="00866F85" w:rsidRPr="003E17CC" w14:paraId="6F886867" w14:textId="77777777" w:rsidTr="00BF1BD7">
        <w:tc>
          <w:tcPr>
            <w:tcW w:w="1558" w:type="dxa"/>
            <w:vAlign w:val="bottom"/>
          </w:tcPr>
          <w:p w14:paraId="2542418D"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Cd</w:t>
            </w:r>
          </w:p>
        </w:tc>
        <w:tc>
          <w:tcPr>
            <w:tcW w:w="1558" w:type="dxa"/>
            <w:vAlign w:val="bottom"/>
          </w:tcPr>
          <w:p w14:paraId="79D9814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0.723**</w:t>
            </w:r>
          </w:p>
        </w:tc>
        <w:tc>
          <w:tcPr>
            <w:tcW w:w="1558" w:type="dxa"/>
            <w:vAlign w:val="bottom"/>
          </w:tcPr>
          <w:p w14:paraId="284196CD"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-0.089</w:t>
            </w:r>
          </w:p>
        </w:tc>
        <w:tc>
          <w:tcPr>
            <w:tcW w:w="1558" w:type="dxa"/>
            <w:vAlign w:val="bottom"/>
          </w:tcPr>
          <w:p w14:paraId="774302D2"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0.456*</w:t>
            </w:r>
          </w:p>
        </w:tc>
        <w:tc>
          <w:tcPr>
            <w:tcW w:w="1559" w:type="dxa"/>
            <w:vAlign w:val="bottom"/>
          </w:tcPr>
          <w:p w14:paraId="60D03603"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9" w:type="dxa"/>
            <w:vAlign w:val="bottom"/>
          </w:tcPr>
          <w:p w14:paraId="2EB4F785"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0.289</w:t>
            </w:r>
          </w:p>
        </w:tc>
      </w:tr>
      <w:tr w:rsidR="00866F85" w:rsidRPr="003E17CC" w14:paraId="3826650C" w14:textId="77777777" w:rsidTr="00BF1BD7">
        <w:tc>
          <w:tcPr>
            <w:tcW w:w="1558" w:type="dxa"/>
            <w:tcBorders>
              <w:bottom w:val="single" w:sz="4" w:space="0" w:color="auto"/>
            </w:tcBorders>
            <w:vAlign w:val="bottom"/>
          </w:tcPr>
          <w:p w14:paraId="5F1A355F"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Pb</w:t>
            </w:r>
          </w:p>
        </w:tc>
        <w:tc>
          <w:tcPr>
            <w:tcW w:w="1558" w:type="dxa"/>
            <w:tcBorders>
              <w:bottom w:val="single" w:sz="4" w:space="0" w:color="auto"/>
            </w:tcBorders>
            <w:vAlign w:val="bottom"/>
          </w:tcPr>
          <w:p w14:paraId="0B7E6464"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0.234</w:t>
            </w:r>
          </w:p>
        </w:tc>
        <w:tc>
          <w:tcPr>
            <w:tcW w:w="1558" w:type="dxa"/>
            <w:tcBorders>
              <w:bottom w:val="single" w:sz="4" w:space="0" w:color="auto"/>
            </w:tcBorders>
            <w:vAlign w:val="bottom"/>
          </w:tcPr>
          <w:p w14:paraId="0ADE12DE"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0.345</w:t>
            </w:r>
          </w:p>
        </w:tc>
        <w:tc>
          <w:tcPr>
            <w:tcW w:w="1558" w:type="dxa"/>
            <w:tcBorders>
              <w:bottom w:val="single" w:sz="4" w:space="0" w:color="auto"/>
            </w:tcBorders>
            <w:vAlign w:val="bottom"/>
          </w:tcPr>
          <w:p w14:paraId="04868D84"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-0.067</w:t>
            </w:r>
          </w:p>
        </w:tc>
        <w:tc>
          <w:tcPr>
            <w:tcW w:w="1559" w:type="dxa"/>
            <w:tcBorders>
              <w:bottom w:val="single" w:sz="4" w:space="0" w:color="auto"/>
            </w:tcBorders>
            <w:vAlign w:val="bottom"/>
          </w:tcPr>
          <w:p w14:paraId="38EFC3A4"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0.289</w:t>
            </w:r>
          </w:p>
        </w:tc>
        <w:tc>
          <w:tcPr>
            <w:tcW w:w="1559" w:type="dxa"/>
            <w:tcBorders>
              <w:bottom w:val="single" w:sz="4" w:space="0" w:color="auto"/>
            </w:tcBorders>
            <w:vAlign w:val="bottom"/>
          </w:tcPr>
          <w:p w14:paraId="61313761"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r>
    </w:tbl>
    <w:p w14:paraId="33FF4AE9" w14:textId="77777777" w:rsidR="00866F85" w:rsidRPr="003E17CC" w:rsidRDefault="00866F85" w:rsidP="00866F85">
      <w:pPr>
        <w:rPr>
          <w:rFonts w:ascii="Arial" w:hAnsi="Arial" w:cs="Arial"/>
          <w:sz w:val="22"/>
          <w:szCs w:val="22"/>
        </w:rPr>
      </w:pPr>
    </w:p>
    <w:p w14:paraId="63E9A668" w14:textId="3F9C5E44" w:rsidR="00866F85" w:rsidRPr="003E17CC" w:rsidRDefault="00866F85" w:rsidP="00866F85">
      <w:pPr>
        <w:rPr>
          <w:rFonts w:ascii="Arial" w:hAnsi="Arial" w:cs="Arial"/>
          <w:sz w:val="22"/>
          <w:szCs w:val="22"/>
        </w:rPr>
      </w:pPr>
      <w:r w:rsidRPr="003E17CC">
        <w:rPr>
          <w:rFonts w:ascii="Arial" w:hAnsi="Arial" w:cs="Arial"/>
          <w:sz w:val="22"/>
          <w:szCs w:val="22"/>
        </w:rPr>
        <w:t>*Significant at p &lt; 0.05; **Significant at p &lt; 0.01</w:t>
      </w:r>
      <w:r w:rsidR="00ED1BE5">
        <w:rPr>
          <w:rFonts w:ascii="Arial" w:hAnsi="Arial" w:cs="Arial"/>
          <w:sz w:val="22"/>
          <w:szCs w:val="22"/>
        </w:rPr>
        <w:t xml:space="preserve"> </w:t>
      </w:r>
    </w:p>
    <w:p w14:paraId="15A1D4DA" w14:textId="77777777" w:rsidR="00866F85" w:rsidRPr="003E17CC" w:rsidRDefault="00866F85" w:rsidP="00866F85">
      <w:pPr>
        <w:rPr>
          <w:rFonts w:ascii="Arial" w:hAnsi="Arial" w:cs="Arial"/>
          <w:b/>
          <w:bCs/>
          <w:sz w:val="22"/>
          <w:szCs w:val="22"/>
        </w:rPr>
      </w:pPr>
    </w:p>
    <w:p w14:paraId="5D7A3914" w14:textId="77777777" w:rsidR="00ED1BE5" w:rsidRPr="00176490" w:rsidRDefault="00ED1BE5" w:rsidP="00ED1BE5">
      <w:pPr>
        <w:spacing w:after="160" w:line="278" w:lineRule="auto"/>
        <w:jc w:val="both"/>
        <w:rPr>
          <w:rFonts w:ascii="Arial" w:hAnsi="Arial" w:cs="Arial"/>
          <w:b/>
          <w:bCs/>
          <w:sz w:val="22"/>
          <w:szCs w:val="22"/>
        </w:rPr>
      </w:pPr>
      <w:r w:rsidRPr="00176490">
        <w:rPr>
          <w:rFonts w:ascii="Arial" w:hAnsi="Arial" w:cs="Arial"/>
          <w:b/>
          <w:bCs/>
          <w:sz w:val="22"/>
          <w:szCs w:val="22"/>
        </w:rPr>
        <w:t>3.3.2 Principal Component Analysis (PCA)</w:t>
      </w:r>
    </w:p>
    <w:p w14:paraId="4ED2C2C4" w14:textId="34ECAB67" w:rsidR="00866F85" w:rsidRDefault="00ED1BE5" w:rsidP="00ED1BE5">
      <w:pPr>
        <w:jc w:val="both"/>
        <w:rPr>
          <w:rFonts w:ascii="Arial" w:hAnsi="Arial" w:cs="Arial"/>
          <w:b/>
          <w:bCs/>
          <w:sz w:val="22"/>
          <w:szCs w:val="22"/>
        </w:rPr>
      </w:pPr>
      <w:r w:rsidRPr="00176490">
        <w:rPr>
          <w:rFonts w:ascii="Arial" w:hAnsi="Arial" w:cs="Arial"/>
          <w:sz w:val="22"/>
          <w:szCs w:val="22"/>
        </w:rPr>
        <w:t xml:space="preserve">PCA identified two dominant components accounting for 70.4% of total variance (Table 11). PC1 (46.8% of variance) loaded strongly on As, Cd, and Cr and is interpreted as an electronic/industrial waste source signature, consistent with the strong </w:t>
      </w:r>
      <w:proofErr w:type="gramStart"/>
      <w:r w:rsidRPr="00176490">
        <w:rPr>
          <w:rFonts w:ascii="Arial" w:hAnsi="Arial" w:cs="Arial"/>
          <w:sz w:val="22"/>
          <w:szCs w:val="22"/>
        </w:rPr>
        <w:t>As</w:t>
      </w:r>
      <w:proofErr w:type="gramEnd"/>
      <w:r w:rsidRPr="00176490">
        <w:rPr>
          <w:rFonts w:ascii="Arial" w:hAnsi="Arial" w:cs="Arial"/>
          <w:sz w:val="22"/>
          <w:szCs w:val="22"/>
        </w:rPr>
        <w:t xml:space="preserve">–Cd correlation discussed above. PC2 (23.6% of variance) loaded on Ni and Pb and is interpreted as an automotive and metallic scrap source. This two-source model aligns well with the documented composition of Nigerian municipal solid waste, which typically comprises a substantial proportion of metallic and electronic fractions </w:t>
      </w:r>
      <w:r w:rsidRPr="00176490">
        <w:rPr>
          <w:rFonts w:ascii="Arial" w:hAnsi="Arial" w:cs="Arial"/>
          <w:sz w:val="22"/>
          <w:szCs w:val="22"/>
        </w:rPr>
        <w:lastRenderedPageBreak/>
        <w:t>in addition to organic material (</w:t>
      </w:r>
      <w:proofErr w:type="spellStart"/>
      <w:r w:rsidRPr="00176490">
        <w:rPr>
          <w:rFonts w:ascii="Arial" w:hAnsi="Arial" w:cs="Arial"/>
          <w:sz w:val="22"/>
          <w:szCs w:val="22"/>
        </w:rPr>
        <w:t>Mmereki</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2016). The spatial evidence corroborates the PCA separation: As and Cd (PC1 metals) are concentrated near the landfill core (A1), while Ni and Pb (PC2 metals) show stronger far-field signatures, consistent with their greater mobility under the prevailing soil chemistry conditions.</w:t>
      </w:r>
    </w:p>
    <w:p w14:paraId="18A0B8AD" w14:textId="77777777" w:rsidR="003E17CC" w:rsidRPr="003E17CC" w:rsidRDefault="003E17CC" w:rsidP="00866F85">
      <w:pPr>
        <w:rPr>
          <w:rFonts w:ascii="Arial" w:hAnsi="Arial" w:cs="Arial"/>
          <w:b/>
          <w:bCs/>
          <w:sz w:val="22"/>
          <w:szCs w:val="22"/>
        </w:rPr>
      </w:pPr>
    </w:p>
    <w:p w14:paraId="0686B418" w14:textId="4A73336D" w:rsidR="00866F85" w:rsidRPr="003E17CC" w:rsidRDefault="00866F85" w:rsidP="00866F85">
      <w:pPr>
        <w:rPr>
          <w:rFonts w:ascii="Arial" w:hAnsi="Arial" w:cs="Arial"/>
          <w:b/>
          <w:bCs/>
          <w:sz w:val="22"/>
          <w:szCs w:val="22"/>
        </w:rPr>
      </w:pPr>
      <w:r w:rsidRPr="003E17CC">
        <w:rPr>
          <w:rFonts w:ascii="Arial" w:hAnsi="Arial" w:cs="Arial"/>
          <w:b/>
          <w:bCs/>
          <w:sz w:val="22"/>
          <w:szCs w:val="22"/>
        </w:rPr>
        <w:t>Table 11: Principal Component Analysis Results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419"/>
        <w:gridCol w:w="1521"/>
        <w:gridCol w:w="1791"/>
        <w:gridCol w:w="3190"/>
      </w:tblGrid>
      <w:tr w:rsidR="00866F85" w:rsidRPr="003E17CC" w14:paraId="479F0680" w14:textId="77777777" w:rsidTr="00ED1BE5">
        <w:tc>
          <w:tcPr>
            <w:tcW w:w="1439" w:type="dxa"/>
            <w:tcBorders>
              <w:top w:val="single" w:sz="4" w:space="0" w:color="auto"/>
              <w:bottom w:val="single" w:sz="4" w:space="0" w:color="auto"/>
            </w:tcBorders>
          </w:tcPr>
          <w:p w14:paraId="78B7BCD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Component</w:t>
            </w:r>
          </w:p>
        </w:tc>
        <w:tc>
          <w:tcPr>
            <w:tcW w:w="1419" w:type="dxa"/>
            <w:tcBorders>
              <w:top w:val="single" w:sz="4" w:space="0" w:color="auto"/>
              <w:bottom w:val="single" w:sz="4" w:space="0" w:color="auto"/>
            </w:tcBorders>
          </w:tcPr>
          <w:p w14:paraId="3BD509F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Eigenvalue</w:t>
            </w:r>
          </w:p>
        </w:tc>
        <w:tc>
          <w:tcPr>
            <w:tcW w:w="1521" w:type="dxa"/>
            <w:tcBorders>
              <w:top w:val="single" w:sz="4" w:space="0" w:color="auto"/>
              <w:bottom w:val="single" w:sz="4" w:space="0" w:color="auto"/>
            </w:tcBorders>
          </w:tcPr>
          <w:p w14:paraId="76ECB5BA"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 Variance</w:t>
            </w:r>
          </w:p>
        </w:tc>
        <w:tc>
          <w:tcPr>
            <w:tcW w:w="1791" w:type="dxa"/>
            <w:tcBorders>
              <w:top w:val="single" w:sz="4" w:space="0" w:color="auto"/>
              <w:bottom w:val="single" w:sz="4" w:space="0" w:color="auto"/>
            </w:tcBorders>
          </w:tcPr>
          <w:p w14:paraId="72048EB6"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Cumulative %</w:t>
            </w:r>
          </w:p>
        </w:tc>
        <w:tc>
          <w:tcPr>
            <w:tcW w:w="3190" w:type="dxa"/>
            <w:tcBorders>
              <w:top w:val="single" w:sz="4" w:space="0" w:color="auto"/>
              <w:bottom w:val="single" w:sz="4" w:space="0" w:color="auto"/>
            </w:tcBorders>
          </w:tcPr>
          <w:p w14:paraId="33E3DCEC"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Primary Loadings</w:t>
            </w:r>
          </w:p>
        </w:tc>
      </w:tr>
      <w:tr w:rsidR="00ED1BE5" w:rsidRPr="003E17CC" w14:paraId="0B30B5AD" w14:textId="77777777" w:rsidTr="00ED1BE5">
        <w:tc>
          <w:tcPr>
            <w:tcW w:w="1439" w:type="dxa"/>
            <w:tcBorders>
              <w:top w:val="single" w:sz="4" w:space="0" w:color="auto"/>
            </w:tcBorders>
            <w:vAlign w:val="bottom"/>
          </w:tcPr>
          <w:p w14:paraId="3AC94241"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PC1</w:t>
            </w:r>
          </w:p>
        </w:tc>
        <w:tc>
          <w:tcPr>
            <w:tcW w:w="1419" w:type="dxa"/>
            <w:tcBorders>
              <w:top w:val="single" w:sz="4" w:space="0" w:color="auto"/>
            </w:tcBorders>
            <w:vAlign w:val="bottom"/>
          </w:tcPr>
          <w:p w14:paraId="55FF84B7"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2.34</w:t>
            </w:r>
          </w:p>
        </w:tc>
        <w:tc>
          <w:tcPr>
            <w:tcW w:w="1521" w:type="dxa"/>
            <w:tcBorders>
              <w:top w:val="single" w:sz="4" w:space="0" w:color="auto"/>
            </w:tcBorders>
            <w:vAlign w:val="bottom"/>
          </w:tcPr>
          <w:p w14:paraId="469336CC"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46.8%</w:t>
            </w:r>
          </w:p>
        </w:tc>
        <w:tc>
          <w:tcPr>
            <w:tcW w:w="1791" w:type="dxa"/>
            <w:tcBorders>
              <w:top w:val="single" w:sz="4" w:space="0" w:color="auto"/>
            </w:tcBorders>
            <w:vAlign w:val="bottom"/>
          </w:tcPr>
          <w:p w14:paraId="18AA138B"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46.8%</w:t>
            </w:r>
          </w:p>
        </w:tc>
        <w:tc>
          <w:tcPr>
            <w:tcW w:w="3190" w:type="dxa"/>
            <w:tcBorders>
              <w:top w:val="single" w:sz="4" w:space="0" w:color="auto"/>
            </w:tcBorders>
            <w:vAlign w:val="bottom"/>
          </w:tcPr>
          <w:p w14:paraId="4FBC7065" w14:textId="724872DE" w:rsidR="00ED1BE5" w:rsidRPr="003E17CC" w:rsidRDefault="00ED1BE5" w:rsidP="00ED1BE5">
            <w:pPr>
              <w:jc w:val="center"/>
              <w:rPr>
                <w:rFonts w:ascii="Arial" w:hAnsi="Arial" w:cs="Arial"/>
                <w:sz w:val="22"/>
                <w:szCs w:val="22"/>
              </w:rPr>
            </w:pPr>
            <w:r w:rsidRPr="00176490">
              <w:rPr>
                <w:rFonts w:ascii="Arial" w:hAnsi="Arial" w:cs="Arial"/>
                <w:sz w:val="22"/>
                <w:szCs w:val="22"/>
              </w:rPr>
              <w:t>As (0.85), Cd (0.82), Cr (0.67)</w:t>
            </w:r>
          </w:p>
        </w:tc>
      </w:tr>
      <w:tr w:rsidR="00ED1BE5" w:rsidRPr="003E17CC" w14:paraId="56DAC827" w14:textId="77777777" w:rsidTr="00ED1BE5">
        <w:tc>
          <w:tcPr>
            <w:tcW w:w="1439" w:type="dxa"/>
            <w:vAlign w:val="bottom"/>
          </w:tcPr>
          <w:p w14:paraId="66B65F4C"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PC2</w:t>
            </w:r>
          </w:p>
        </w:tc>
        <w:tc>
          <w:tcPr>
            <w:tcW w:w="1419" w:type="dxa"/>
            <w:vAlign w:val="bottom"/>
          </w:tcPr>
          <w:p w14:paraId="7D72E250"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1.18</w:t>
            </w:r>
          </w:p>
        </w:tc>
        <w:tc>
          <w:tcPr>
            <w:tcW w:w="1521" w:type="dxa"/>
            <w:vAlign w:val="bottom"/>
          </w:tcPr>
          <w:p w14:paraId="3B6112FF"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23.6%</w:t>
            </w:r>
          </w:p>
        </w:tc>
        <w:tc>
          <w:tcPr>
            <w:tcW w:w="1791" w:type="dxa"/>
            <w:vAlign w:val="bottom"/>
          </w:tcPr>
          <w:p w14:paraId="162284E6"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70.4%</w:t>
            </w:r>
          </w:p>
        </w:tc>
        <w:tc>
          <w:tcPr>
            <w:tcW w:w="3190" w:type="dxa"/>
            <w:vAlign w:val="bottom"/>
          </w:tcPr>
          <w:p w14:paraId="4551313D" w14:textId="1E2852A2" w:rsidR="00ED1BE5" w:rsidRPr="003E17CC" w:rsidRDefault="00ED1BE5" w:rsidP="00ED1BE5">
            <w:pPr>
              <w:jc w:val="center"/>
              <w:rPr>
                <w:rFonts w:ascii="Arial" w:hAnsi="Arial" w:cs="Arial"/>
                <w:sz w:val="22"/>
                <w:szCs w:val="22"/>
              </w:rPr>
            </w:pPr>
            <w:r w:rsidRPr="00176490">
              <w:rPr>
                <w:rFonts w:ascii="Arial" w:hAnsi="Arial" w:cs="Arial"/>
                <w:sz w:val="22"/>
                <w:szCs w:val="22"/>
              </w:rPr>
              <w:t>Ni (0.78), Pb (0.69)</w:t>
            </w:r>
          </w:p>
        </w:tc>
      </w:tr>
      <w:tr w:rsidR="00ED1BE5" w:rsidRPr="003E17CC" w14:paraId="1E0C5561" w14:textId="77777777" w:rsidTr="00ED1BE5">
        <w:tc>
          <w:tcPr>
            <w:tcW w:w="1439" w:type="dxa"/>
            <w:vAlign w:val="bottom"/>
          </w:tcPr>
          <w:p w14:paraId="223D5597"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PC3</w:t>
            </w:r>
          </w:p>
        </w:tc>
        <w:tc>
          <w:tcPr>
            <w:tcW w:w="1419" w:type="dxa"/>
            <w:vAlign w:val="bottom"/>
          </w:tcPr>
          <w:p w14:paraId="26093808"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0.89</w:t>
            </w:r>
          </w:p>
        </w:tc>
        <w:tc>
          <w:tcPr>
            <w:tcW w:w="1521" w:type="dxa"/>
            <w:vAlign w:val="bottom"/>
          </w:tcPr>
          <w:p w14:paraId="4AB74AE5"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17.8%</w:t>
            </w:r>
          </w:p>
        </w:tc>
        <w:tc>
          <w:tcPr>
            <w:tcW w:w="1791" w:type="dxa"/>
            <w:vAlign w:val="bottom"/>
          </w:tcPr>
          <w:p w14:paraId="74C111AC"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88.2%</w:t>
            </w:r>
          </w:p>
        </w:tc>
        <w:tc>
          <w:tcPr>
            <w:tcW w:w="3190" w:type="dxa"/>
            <w:vAlign w:val="bottom"/>
          </w:tcPr>
          <w:p w14:paraId="2DCFF590" w14:textId="1501BA40" w:rsidR="00ED1BE5" w:rsidRPr="003E17CC" w:rsidRDefault="00ED1BE5" w:rsidP="00ED1BE5">
            <w:pPr>
              <w:jc w:val="center"/>
              <w:rPr>
                <w:rFonts w:ascii="Arial" w:hAnsi="Arial" w:cs="Arial"/>
                <w:sz w:val="22"/>
                <w:szCs w:val="22"/>
              </w:rPr>
            </w:pPr>
            <w:r w:rsidRPr="00176490">
              <w:rPr>
                <w:rFonts w:ascii="Arial" w:hAnsi="Arial" w:cs="Arial"/>
                <w:sz w:val="22"/>
                <w:szCs w:val="22"/>
              </w:rPr>
              <w:t>Pb (−0.45), Cr (0.41)</w:t>
            </w:r>
          </w:p>
        </w:tc>
      </w:tr>
    </w:tbl>
    <w:p w14:paraId="5A342954" w14:textId="77777777" w:rsidR="00866F85" w:rsidRPr="003E17CC" w:rsidRDefault="00866F85" w:rsidP="00866F85">
      <w:pPr>
        <w:rPr>
          <w:rFonts w:ascii="Arial" w:hAnsi="Arial" w:cs="Arial"/>
          <w:sz w:val="22"/>
          <w:szCs w:val="22"/>
        </w:rPr>
      </w:pPr>
    </w:p>
    <w:p w14:paraId="4E4A159D" w14:textId="77777777" w:rsidR="00ED1BE5" w:rsidRPr="00176490" w:rsidRDefault="00ED1BE5" w:rsidP="00ED1BE5">
      <w:pPr>
        <w:spacing w:after="160" w:line="278" w:lineRule="auto"/>
        <w:jc w:val="both"/>
        <w:rPr>
          <w:rFonts w:ascii="Arial" w:hAnsi="Arial" w:cs="Arial"/>
          <w:b/>
          <w:bCs/>
          <w:sz w:val="22"/>
          <w:szCs w:val="22"/>
        </w:rPr>
      </w:pPr>
      <w:r w:rsidRPr="00176490">
        <w:rPr>
          <w:rFonts w:ascii="Arial" w:hAnsi="Arial" w:cs="Arial"/>
          <w:b/>
          <w:bCs/>
          <w:sz w:val="22"/>
          <w:szCs w:val="22"/>
        </w:rPr>
        <w:t>3.3.3 Contamination Pathways</w:t>
      </w:r>
    </w:p>
    <w:p w14:paraId="0B2C0387" w14:textId="77777777" w:rsidR="00ED1BE5" w:rsidRPr="00176490" w:rsidRDefault="00ED1BE5" w:rsidP="00ED1BE5">
      <w:pPr>
        <w:spacing w:after="160" w:line="278" w:lineRule="auto"/>
        <w:jc w:val="both"/>
        <w:rPr>
          <w:rFonts w:ascii="Arial" w:hAnsi="Arial" w:cs="Arial"/>
          <w:sz w:val="22"/>
          <w:szCs w:val="22"/>
        </w:rPr>
      </w:pPr>
      <w:r w:rsidRPr="00176490">
        <w:rPr>
          <w:rFonts w:ascii="Arial" w:hAnsi="Arial" w:cs="Arial"/>
          <w:sz w:val="22"/>
          <w:szCs w:val="22"/>
        </w:rPr>
        <w:t>Three primary transport mechanisms are invoked to explain the observed spatial distribution of metals at this site:</w:t>
      </w:r>
    </w:p>
    <w:p w14:paraId="328FFD34" w14:textId="400680B3" w:rsidR="00ED1BE5" w:rsidRPr="00176490" w:rsidRDefault="00ED1BE5" w:rsidP="00ED1BE5">
      <w:pPr>
        <w:numPr>
          <w:ilvl w:val="0"/>
          <w:numId w:val="20"/>
        </w:numPr>
        <w:spacing w:after="160" w:line="278" w:lineRule="auto"/>
        <w:jc w:val="both"/>
        <w:rPr>
          <w:rFonts w:ascii="Arial" w:hAnsi="Arial" w:cs="Arial"/>
          <w:sz w:val="22"/>
          <w:szCs w:val="22"/>
        </w:rPr>
      </w:pPr>
      <w:r w:rsidRPr="00176490">
        <w:rPr>
          <w:rFonts w:ascii="Arial" w:eastAsiaTheme="majorEastAsia" w:hAnsi="Arial" w:cs="Arial"/>
          <w:b/>
          <w:bCs/>
          <w:sz w:val="22"/>
          <w:szCs w:val="22"/>
        </w:rPr>
        <w:t>Direct disposal and in-situ accumulation</w:t>
      </w:r>
      <w:r w:rsidR="00E92971">
        <w:rPr>
          <w:rFonts w:ascii="Arial" w:hAnsi="Arial" w:cs="Arial"/>
          <w:sz w:val="22"/>
          <w:szCs w:val="22"/>
        </w:rPr>
        <w:t>:</w:t>
      </w:r>
      <w:r w:rsidRPr="00176490">
        <w:rPr>
          <w:rFonts w:ascii="Arial" w:hAnsi="Arial" w:cs="Arial"/>
          <w:sz w:val="22"/>
          <w:szCs w:val="22"/>
        </w:rPr>
        <w:t xml:space="preserve"> PC1 metals (As–Cd–Cr) are concentrated at the source location (A1), consistent with direct accumulation within the active waste mass with limited lateral transport under current conditions.</w:t>
      </w:r>
    </w:p>
    <w:p w14:paraId="58F17F58" w14:textId="370F5234" w:rsidR="00ED1BE5" w:rsidRPr="00176490" w:rsidRDefault="00ED1BE5" w:rsidP="00ED1BE5">
      <w:pPr>
        <w:numPr>
          <w:ilvl w:val="0"/>
          <w:numId w:val="20"/>
        </w:numPr>
        <w:spacing w:after="160" w:line="278" w:lineRule="auto"/>
        <w:jc w:val="both"/>
        <w:rPr>
          <w:rFonts w:ascii="Arial" w:hAnsi="Arial" w:cs="Arial"/>
          <w:sz w:val="22"/>
          <w:szCs w:val="22"/>
        </w:rPr>
      </w:pPr>
      <w:r w:rsidRPr="00176490">
        <w:rPr>
          <w:rFonts w:ascii="Arial" w:eastAsiaTheme="majorEastAsia" w:hAnsi="Arial" w:cs="Arial"/>
          <w:b/>
          <w:bCs/>
          <w:sz w:val="22"/>
          <w:szCs w:val="22"/>
        </w:rPr>
        <w:t>Leachate-mediated lateral migration</w:t>
      </w:r>
      <w:r w:rsidR="00E92971">
        <w:rPr>
          <w:rFonts w:ascii="Arial" w:hAnsi="Arial" w:cs="Arial"/>
          <w:sz w:val="22"/>
          <w:szCs w:val="22"/>
        </w:rPr>
        <w:t xml:space="preserve">: </w:t>
      </w:r>
      <w:r w:rsidRPr="00176490">
        <w:rPr>
          <w:rFonts w:ascii="Arial" w:hAnsi="Arial" w:cs="Arial"/>
          <w:sz w:val="22"/>
          <w:szCs w:val="22"/>
        </w:rPr>
        <w:t>PC2 metals (Ni–Pb) show elevated concentrations extending along the B1→C1 corridor, interpreted as lateral migration facilitated by leachate percolation through the permeable Benin Formation sands along the local drainage gradient.</w:t>
      </w:r>
    </w:p>
    <w:p w14:paraId="117E2495" w14:textId="75D0D80A" w:rsidR="005E5237" w:rsidRDefault="00ED1BE5" w:rsidP="00866F85">
      <w:pPr>
        <w:numPr>
          <w:ilvl w:val="0"/>
          <w:numId w:val="20"/>
        </w:numPr>
        <w:spacing w:after="160" w:line="278" w:lineRule="auto"/>
        <w:jc w:val="both"/>
        <w:rPr>
          <w:rFonts w:ascii="Arial" w:hAnsi="Arial" w:cs="Arial"/>
          <w:sz w:val="22"/>
          <w:szCs w:val="22"/>
        </w:rPr>
      </w:pPr>
      <w:r w:rsidRPr="00176490">
        <w:rPr>
          <w:rFonts w:ascii="Arial" w:eastAsiaTheme="majorEastAsia" w:hAnsi="Arial" w:cs="Arial"/>
          <w:b/>
          <w:bCs/>
          <w:sz w:val="22"/>
          <w:szCs w:val="22"/>
        </w:rPr>
        <w:t>Surface runoff transport</w:t>
      </w:r>
      <w:r w:rsidR="00E92971">
        <w:rPr>
          <w:rFonts w:ascii="Arial" w:hAnsi="Arial" w:cs="Arial"/>
          <w:sz w:val="22"/>
          <w:szCs w:val="22"/>
        </w:rPr>
        <w:t>:</w:t>
      </w:r>
      <w:r w:rsidRPr="00176490">
        <w:rPr>
          <w:rFonts w:ascii="Arial" w:hAnsi="Arial" w:cs="Arial"/>
          <w:sz w:val="22"/>
          <w:szCs w:val="22"/>
        </w:rPr>
        <w:t xml:space="preserve"> The spatially isolated C2 lead anomaly, which cannot be explained by either of the above mechanisms, is most plausibly attributed to surface water transport of fine metal-bearing particles or a </w:t>
      </w:r>
      <w:r w:rsidR="00E92971" w:rsidRPr="00176490">
        <w:rPr>
          <w:rFonts w:ascii="Arial" w:hAnsi="Arial" w:cs="Arial"/>
          <w:sz w:val="22"/>
          <w:szCs w:val="22"/>
        </w:rPr>
        <w:t>localized</w:t>
      </w:r>
      <w:r w:rsidRPr="00176490">
        <w:rPr>
          <w:rFonts w:ascii="Arial" w:hAnsi="Arial" w:cs="Arial"/>
          <w:sz w:val="22"/>
          <w:szCs w:val="22"/>
        </w:rPr>
        <w:t xml:space="preserve"> secondary input such as informal roadside waste disposal. Further investigation is required to confirm this interpretation</w:t>
      </w:r>
      <w:r w:rsidR="00C04F80">
        <w:rPr>
          <w:rFonts w:ascii="Arial" w:hAnsi="Arial" w:cs="Arial"/>
          <w:sz w:val="22"/>
          <w:szCs w:val="22"/>
        </w:rPr>
        <w:t>.</w:t>
      </w:r>
    </w:p>
    <w:p w14:paraId="630997CF" w14:textId="77777777" w:rsidR="0072680B" w:rsidRPr="00C04F80" w:rsidRDefault="0072680B" w:rsidP="0072680B">
      <w:pPr>
        <w:spacing w:after="160" w:line="278" w:lineRule="auto"/>
        <w:ind w:left="720"/>
        <w:jc w:val="both"/>
        <w:rPr>
          <w:rFonts w:ascii="Arial" w:hAnsi="Arial" w:cs="Arial"/>
          <w:sz w:val="22"/>
          <w:szCs w:val="22"/>
        </w:rPr>
      </w:pPr>
    </w:p>
    <w:p w14:paraId="6172579A" w14:textId="4E3AD68D" w:rsidR="00866F85" w:rsidRPr="00E92971" w:rsidRDefault="00866F85" w:rsidP="00E92971">
      <w:pPr>
        <w:pStyle w:val="ListParagraph"/>
        <w:numPr>
          <w:ilvl w:val="1"/>
          <w:numId w:val="21"/>
        </w:numPr>
        <w:rPr>
          <w:rFonts w:ascii="Arial" w:hAnsi="Arial" w:cs="Arial"/>
          <w:b/>
          <w:bCs/>
          <w:sz w:val="22"/>
          <w:szCs w:val="22"/>
        </w:rPr>
      </w:pPr>
      <w:r w:rsidRPr="00E92971">
        <w:rPr>
          <w:rFonts w:ascii="Arial" w:hAnsi="Arial" w:cs="Arial"/>
          <w:b/>
          <w:bCs/>
          <w:sz w:val="22"/>
          <w:szCs w:val="22"/>
        </w:rPr>
        <w:t>Hydrogeological and Geological Controls on Metal Distribution</w:t>
      </w:r>
    </w:p>
    <w:p w14:paraId="3A7C0BD1" w14:textId="77777777" w:rsidR="005E5237" w:rsidRPr="005E5237" w:rsidRDefault="005E5237" w:rsidP="005E5237">
      <w:pPr>
        <w:pStyle w:val="ListParagraph"/>
        <w:ind w:left="360"/>
        <w:rPr>
          <w:rFonts w:ascii="Arial" w:hAnsi="Arial" w:cs="Arial"/>
          <w:b/>
          <w:bCs/>
          <w:sz w:val="22"/>
          <w:szCs w:val="22"/>
        </w:rPr>
      </w:pPr>
    </w:p>
    <w:p w14:paraId="0CF0D2AD" w14:textId="05B97316" w:rsidR="00E92971" w:rsidRPr="00176490" w:rsidRDefault="00E92971" w:rsidP="00E92971">
      <w:pPr>
        <w:spacing w:after="160" w:line="278" w:lineRule="auto"/>
        <w:jc w:val="both"/>
        <w:rPr>
          <w:rFonts w:ascii="Arial" w:hAnsi="Arial" w:cs="Arial"/>
          <w:sz w:val="22"/>
          <w:szCs w:val="22"/>
        </w:rPr>
      </w:pPr>
      <w:r w:rsidRPr="00176490">
        <w:rPr>
          <w:rFonts w:ascii="Arial" w:hAnsi="Arial" w:cs="Arial"/>
          <w:sz w:val="22"/>
          <w:szCs w:val="22"/>
        </w:rPr>
        <w:t xml:space="preserve">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landfill occupies a portion of the Benin Formation of the Niger Delta Basin, which is </w:t>
      </w:r>
      <w:r w:rsidR="0072680B" w:rsidRPr="00176490">
        <w:rPr>
          <w:rFonts w:ascii="Arial" w:hAnsi="Arial" w:cs="Arial"/>
          <w:sz w:val="22"/>
          <w:szCs w:val="22"/>
        </w:rPr>
        <w:t>characterized</w:t>
      </w:r>
      <w:r w:rsidRPr="00176490">
        <w:rPr>
          <w:rFonts w:ascii="Arial" w:hAnsi="Arial" w:cs="Arial"/>
          <w:sz w:val="22"/>
          <w:szCs w:val="22"/>
        </w:rPr>
        <w:t xml:space="preserve"> by a dominantly sandy lithology (approximately 90% sand and sandstone with minor clay intercalations), high primary porosity, and elevated hydraulic conductivity (</w:t>
      </w:r>
      <w:proofErr w:type="spellStart"/>
      <w:r w:rsidRPr="00176490">
        <w:rPr>
          <w:rFonts w:ascii="Arial" w:hAnsi="Arial" w:cs="Arial"/>
          <w:sz w:val="22"/>
          <w:szCs w:val="22"/>
        </w:rPr>
        <w:t>Akujieze</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2003; </w:t>
      </w:r>
      <w:proofErr w:type="spellStart"/>
      <w:r w:rsidRPr="00176490">
        <w:rPr>
          <w:rFonts w:ascii="Arial" w:hAnsi="Arial" w:cs="Arial"/>
          <w:sz w:val="22"/>
          <w:szCs w:val="22"/>
        </w:rPr>
        <w:t>Nwankwoala</w:t>
      </w:r>
      <w:proofErr w:type="spellEnd"/>
      <w:r w:rsidRPr="00176490">
        <w:rPr>
          <w:rFonts w:ascii="Arial" w:hAnsi="Arial" w:cs="Arial"/>
          <w:sz w:val="22"/>
          <w:szCs w:val="22"/>
        </w:rPr>
        <w:t xml:space="preserve"> </w:t>
      </w:r>
      <w:r>
        <w:rPr>
          <w:rFonts w:ascii="Arial" w:hAnsi="Arial" w:cs="Arial"/>
          <w:sz w:val="22"/>
          <w:szCs w:val="22"/>
        </w:rPr>
        <w:t>and</w:t>
      </w:r>
      <w:r w:rsidRPr="00176490">
        <w:rPr>
          <w:rFonts w:ascii="Arial" w:hAnsi="Arial" w:cs="Arial"/>
          <w:sz w:val="22"/>
          <w:szCs w:val="22"/>
        </w:rPr>
        <w:t xml:space="preserve"> </w:t>
      </w:r>
      <w:proofErr w:type="spellStart"/>
      <w:r w:rsidRPr="00176490">
        <w:rPr>
          <w:rFonts w:ascii="Arial" w:hAnsi="Arial" w:cs="Arial"/>
          <w:sz w:val="22"/>
          <w:szCs w:val="22"/>
        </w:rPr>
        <w:t>Amangabara</w:t>
      </w:r>
      <w:proofErr w:type="spellEnd"/>
      <w:r w:rsidRPr="00176490">
        <w:rPr>
          <w:rFonts w:ascii="Arial" w:hAnsi="Arial" w:cs="Arial"/>
          <w:sz w:val="22"/>
          <w:szCs w:val="22"/>
        </w:rPr>
        <w:t xml:space="preserve">, 2015). These properties are generally considered to </w:t>
      </w:r>
      <w:proofErr w:type="spellStart"/>
      <w:r w:rsidRPr="00176490">
        <w:rPr>
          <w:rFonts w:ascii="Arial" w:hAnsi="Arial" w:cs="Arial"/>
          <w:sz w:val="22"/>
          <w:szCs w:val="22"/>
        </w:rPr>
        <w:t>favour</w:t>
      </w:r>
      <w:proofErr w:type="spellEnd"/>
      <w:r w:rsidRPr="00176490">
        <w:rPr>
          <w:rFonts w:ascii="Arial" w:hAnsi="Arial" w:cs="Arial"/>
          <w:sz w:val="22"/>
          <w:szCs w:val="22"/>
        </w:rPr>
        <w:t xml:space="preserve"> advective contaminant transport and confer a low protective capacity on the underlying shallow aquifer system. It is important to </w:t>
      </w:r>
      <w:r w:rsidR="0072680B" w:rsidRPr="00176490">
        <w:rPr>
          <w:rFonts w:ascii="Arial" w:hAnsi="Arial" w:cs="Arial"/>
          <w:sz w:val="22"/>
          <w:szCs w:val="22"/>
        </w:rPr>
        <w:t>emphasize</w:t>
      </w:r>
      <w:r w:rsidRPr="00176490">
        <w:rPr>
          <w:rFonts w:ascii="Arial" w:hAnsi="Arial" w:cs="Arial"/>
          <w:sz w:val="22"/>
          <w:szCs w:val="22"/>
        </w:rPr>
        <w:t xml:space="preserve">, however, that the hydrogeological parameters cited in Table 12 were derived from published regional studies of the Benin Formation rather than from site-specific measurements at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facility. No pumping tests, piezometer installations, or groundwater sampling were conducted within the scope of this study. Accordingly, references to contaminant migration rates and subsurface transport pathways at this site are qualitative inferences drawn from regional analogues and should not be read as confirmed observations of active subsurface migration.</w:t>
      </w:r>
    </w:p>
    <w:p w14:paraId="0DCEEBC0" w14:textId="77777777" w:rsidR="00E92971" w:rsidRPr="00176490" w:rsidRDefault="00E92971" w:rsidP="00E92971">
      <w:pPr>
        <w:spacing w:after="160" w:line="278" w:lineRule="auto"/>
        <w:jc w:val="both"/>
        <w:rPr>
          <w:rFonts w:ascii="Arial" w:hAnsi="Arial" w:cs="Arial"/>
          <w:sz w:val="22"/>
          <w:szCs w:val="22"/>
        </w:rPr>
      </w:pPr>
      <w:r w:rsidRPr="00176490">
        <w:rPr>
          <w:rFonts w:ascii="Arial" w:hAnsi="Arial" w:cs="Arial"/>
          <w:sz w:val="22"/>
          <w:szCs w:val="22"/>
        </w:rPr>
        <w:t xml:space="preserve">The spatially anomalous lead concentration at C2 (mean = 1.040 ppm), which substantially exceeds concentrations measured at the landfill core, is inconsistent with a simple radial leachate </w:t>
      </w:r>
      <w:r w:rsidRPr="00176490">
        <w:rPr>
          <w:rFonts w:ascii="Arial" w:hAnsi="Arial" w:cs="Arial"/>
          <w:sz w:val="22"/>
          <w:szCs w:val="22"/>
        </w:rPr>
        <w:lastRenderedPageBreak/>
        <w:t xml:space="preserve">diffusion model. While the high permeability of the Benin Formation could theoretically support advective metal transport at this scale, the absence of a progressive concentration gradient between the landfill boundary and C2 argues against leachate as the primary carrier in this instance. A </w:t>
      </w:r>
      <w:proofErr w:type="spellStart"/>
      <w:r w:rsidRPr="00176490">
        <w:rPr>
          <w:rFonts w:ascii="Arial" w:hAnsi="Arial" w:cs="Arial"/>
          <w:sz w:val="22"/>
          <w:szCs w:val="22"/>
        </w:rPr>
        <w:t>localised</w:t>
      </w:r>
      <w:proofErr w:type="spellEnd"/>
      <w:r w:rsidRPr="00176490">
        <w:rPr>
          <w:rFonts w:ascii="Arial" w:hAnsi="Arial" w:cs="Arial"/>
          <w:sz w:val="22"/>
          <w:szCs w:val="22"/>
        </w:rPr>
        <w:t xml:space="preserve"> secondary source near C2 remains the most parsimonious explanation and should be the subject of targeted investigation in any follow-up study.</w:t>
      </w:r>
    </w:p>
    <w:p w14:paraId="06CAB186" w14:textId="5636E15E" w:rsidR="005E5237" w:rsidRDefault="00E92971" w:rsidP="00E92971">
      <w:pPr>
        <w:jc w:val="both"/>
        <w:rPr>
          <w:rFonts w:ascii="Arial" w:hAnsi="Arial" w:cs="Arial"/>
          <w:sz w:val="22"/>
          <w:szCs w:val="22"/>
        </w:rPr>
      </w:pPr>
      <w:r w:rsidRPr="00176490">
        <w:rPr>
          <w:rFonts w:ascii="Arial" w:hAnsi="Arial" w:cs="Arial"/>
          <w:sz w:val="22"/>
          <w:szCs w:val="22"/>
        </w:rPr>
        <w:t>Notwithstanding these interpretive limitations, the regional hydrogeological context clearly establishes that the Benin Formation soils at this site have very limited natural buffering and attenuation capacity for heavy metals. This makes the area inherently susceptible to progressive contamination accumulation over time, even under the sub-threshold concentration conditions currently observed, and provides a strong scientific basis for the monitoring and management recommendations presented in Section 5.</w:t>
      </w:r>
    </w:p>
    <w:p w14:paraId="3C386E83" w14:textId="77777777" w:rsidR="008877C9" w:rsidRDefault="008877C9" w:rsidP="008877C9">
      <w:pPr>
        <w:rPr>
          <w:rFonts w:ascii="Arial" w:hAnsi="Arial" w:cs="Arial"/>
          <w:b/>
          <w:bCs/>
          <w:sz w:val="22"/>
          <w:szCs w:val="22"/>
        </w:rPr>
      </w:pPr>
    </w:p>
    <w:p w14:paraId="25180D1F" w14:textId="5857D2A2" w:rsidR="00750F42" w:rsidRPr="008877C9" w:rsidRDefault="008877C9" w:rsidP="008877C9">
      <w:pPr>
        <w:rPr>
          <w:rFonts w:ascii="Arial" w:hAnsi="Arial" w:cs="Arial"/>
          <w:b/>
          <w:bCs/>
          <w:sz w:val="22"/>
          <w:szCs w:val="22"/>
        </w:rPr>
      </w:pPr>
      <w:r w:rsidRPr="003E17CC">
        <w:rPr>
          <w:rFonts w:ascii="Arial" w:hAnsi="Arial" w:cs="Arial"/>
          <w:b/>
          <w:bCs/>
          <w:sz w:val="22"/>
          <w:szCs w:val="22"/>
        </w:rPr>
        <w:t>Table 1</w:t>
      </w:r>
      <w:r>
        <w:rPr>
          <w:rFonts w:ascii="Arial" w:hAnsi="Arial" w:cs="Arial"/>
          <w:b/>
          <w:bCs/>
          <w:sz w:val="22"/>
          <w:szCs w:val="22"/>
        </w:rPr>
        <w:t>2</w:t>
      </w:r>
      <w:r w:rsidRPr="003E17CC">
        <w:rPr>
          <w:rFonts w:ascii="Arial" w:hAnsi="Arial" w:cs="Arial"/>
          <w:b/>
          <w:bCs/>
          <w:sz w:val="22"/>
          <w:szCs w:val="22"/>
        </w:rPr>
        <w:t>: Geological Controls on Heavy Metal Mobility</w:t>
      </w:r>
    </w:p>
    <w:p w14:paraId="37A8ADA8" w14:textId="77777777" w:rsidR="00866F85" w:rsidRDefault="00866F85" w:rsidP="00866F85">
      <w:pPr>
        <w:jc w:val="both"/>
        <w:rPr>
          <w:rFonts w:ascii="Arial" w:hAnsi="Arial" w:cs="Arial"/>
          <w:sz w:val="22"/>
          <w:szCs w:val="22"/>
        </w:rPr>
      </w:pPr>
    </w:p>
    <w:tbl>
      <w:tblPr>
        <w:tblW w:w="10770" w:type="dxa"/>
        <w:tblCellSpacing w:w="15" w:type="dxa"/>
        <w:tblCellMar>
          <w:top w:w="15" w:type="dxa"/>
          <w:left w:w="15" w:type="dxa"/>
          <w:bottom w:w="15" w:type="dxa"/>
          <w:right w:w="15" w:type="dxa"/>
        </w:tblCellMar>
        <w:tblLook w:val="04A0" w:firstRow="1" w:lastRow="0" w:firstColumn="1" w:lastColumn="0" w:noHBand="0" w:noVBand="1"/>
      </w:tblPr>
      <w:tblGrid>
        <w:gridCol w:w="2081"/>
        <w:gridCol w:w="2886"/>
        <w:gridCol w:w="3015"/>
        <w:gridCol w:w="2788"/>
      </w:tblGrid>
      <w:tr w:rsidR="008877C9" w:rsidRPr="00176490" w14:paraId="13B4A5E1" w14:textId="77777777" w:rsidTr="008877C9">
        <w:trPr>
          <w:trHeight w:val="623"/>
          <w:tblHeader/>
          <w:tblCellSpacing w:w="15" w:type="dxa"/>
        </w:trPr>
        <w:tc>
          <w:tcPr>
            <w:tcW w:w="0" w:type="auto"/>
            <w:tcBorders>
              <w:top w:val="single" w:sz="4" w:space="0" w:color="auto"/>
              <w:bottom w:val="single" w:sz="4" w:space="0" w:color="auto"/>
            </w:tcBorders>
            <w:tcMar>
              <w:top w:w="120" w:type="dxa"/>
              <w:left w:w="120" w:type="dxa"/>
              <w:bottom w:w="120" w:type="dxa"/>
              <w:right w:w="120" w:type="dxa"/>
            </w:tcMar>
            <w:vAlign w:val="bottom"/>
            <w:hideMark/>
          </w:tcPr>
          <w:p w14:paraId="1D431E15" w14:textId="77777777" w:rsidR="008877C9" w:rsidRPr="00176490" w:rsidRDefault="008877C9" w:rsidP="008877C9">
            <w:pPr>
              <w:spacing w:after="160" w:line="278" w:lineRule="auto"/>
              <w:jc w:val="center"/>
              <w:rPr>
                <w:rFonts w:ascii="Arial" w:hAnsi="Arial" w:cs="Arial"/>
                <w:b/>
                <w:bCs/>
                <w:sz w:val="22"/>
                <w:szCs w:val="22"/>
              </w:rPr>
            </w:pPr>
            <w:r w:rsidRPr="00176490">
              <w:rPr>
                <w:rFonts w:ascii="Arial" w:hAnsi="Arial" w:cs="Arial"/>
                <w:b/>
                <w:bCs/>
                <w:sz w:val="22"/>
                <w:szCs w:val="22"/>
              </w:rPr>
              <w:t>Geological Parameter</w:t>
            </w:r>
          </w:p>
        </w:tc>
        <w:tc>
          <w:tcPr>
            <w:tcW w:w="0" w:type="auto"/>
            <w:tcBorders>
              <w:top w:val="single" w:sz="4" w:space="0" w:color="auto"/>
              <w:bottom w:val="single" w:sz="4" w:space="0" w:color="auto"/>
            </w:tcBorders>
            <w:tcMar>
              <w:top w:w="120" w:type="dxa"/>
              <w:left w:w="120" w:type="dxa"/>
              <w:bottom w:w="120" w:type="dxa"/>
              <w:right w:w="120" w:type="dxa"/>
            </w:tcMar>
            <w:vAlign w:val="bottom"/>
            <w:hideMark/>
          </w:tcPr>
          <w:p w14:paraId="32E5D356" w14:textId="77777777" w:rsidR="008877C9" w:rsidRPr="00176490" w:rsidRDefault="008877C9" w:rsidP="008877C9">
            <w:pPr>
              <w:spacing w:after="160" w:line="278" w:lineRule="auto"/>
              <w:jc w:val="center"/>
              <w:rPr>
                <w:rFonts w:ascii="Arial" w:hAnsi="Arial" w:cs="Arial"/>
                <w:b/>
                <w:bCs/>
                <w:sz w:val="22"/>
                <w:szCs w:val="22"/>
              </w:rPr>
            </w:pPr>
            <w:r w:rsidRPr="00176490">
              <w:rPr>
                <w:rFonts w:ascii="Arial" w:hAnsi="Arial" w:cs="Arial"/>
                <w:b/>
                <w:bCs/>
                <w:sz w:val="22"/>
                <w:szCs w:val="22"/>
              </w:rPr>
              <w:t>Benin Formation Characteristics</w:t>
            </w:r>
          </w:p>
        </w:tc>
        <w:tc>
          <w:tcPr>
            <w:tcW w:w="0" w:type="auto"/>
            <w:tcBorders>
              <w:top w:val="single" w:sz="4" w:space="0" w:color="auto"/>
              <w:bottom w:val="single" w:sz="4" w:space="0" w:color="auto"/>
            </w:tcBorders>
            <w:tcMar>
              <w:top w:w="120" w:type="dxa"/>
              <w:left w:w="120" w:type="dxa"/>
              <w:bottom w:w="120" w:type="dxa"/>
              <w:right w:w="120" w:type="dxa"/>
            </w:tcMar>
            <w:vAlign w:val="bottom"/>
            <w:hideMark/>
          </w:tcPr>
          <w:p w14:paraId="35E95D90" w14:textId="77777777" w:rsidR="008877C9" w:rsidRPr="00176490" w:rsidRDefault="008877C9" w:rsidP="008877C9">
            <w:pPr>
              <w:spacing w:after="160" w:line="278" w:lineRule="auto"/>
              <w:jc w:val="center"/>
              <w:rPr>
                <w:rFonts w:ascii="Arial" w:hAnsi="Arial" w:cs="Arial"/>
                <w:b/>
                <w:bCs/>
                <w:sz w:val="22"/>
                <w:szCs w:val="22"/>
              </w:rPr>
            </w:pPr>
            <w:r w:rsidRPr="00176490">
              <w:rPr>
                <w:rFonts w:ascii="Arial" w:hAnsi="Arial" w:cs="Arial"/>
                <w:b/>
                <w:bCs/>
                <w:sz w:val="22"/>
                <w:szCs w:val="22"/>
              </w:rPr>
              <w:t>Impact on Metal Distribution</w:t>
            </w:r>
          </w:p>
        </w:tc>
        <w:tc>
          <w:tcPr>
            <w:tcW w:w="0" w:type="auto"/>
            <w:tcBorders>
              <w:top w:val="single" w:sz="4" w:space="0" w:color="auto"/>
              <w:bottom w:val="single" w:sz="4" w:space="0" w:color="auto"/>
            </w:tcBorders>
            <w:tcMar>
              <w:top w:w="120" w:type="dxa"/>
              <w:left w:w="120" w:type="dxa"/>
              <w:bottom w:w="120" w:type="dxa"/>
              <w:right w:w="120" w:type="dxa"/>
            </w:tcMar>
            <w:vAlign w:val="bottom"/>
            <w:hideMark/>
          </w:tcPr>
          <w:p w14:paraId="54B7368D" w14:textId="77777777" w:rsidR="008877C9" w:rsidRPr="00176490" w:rsidRDefault="008877C9" w:rsidP="008877C9">
            <w:pPr>
              <w:spacing w:after="160" w:line="278" w:lineRule="auto"/>
              <w:jc w:val="center"/>
              <w:rPr>
                <w:rFonts w:ascii="Arial" w:hAnsi="Arial" w:cs="Arial"/>
                <w:b/>
                <w:bCs/>
                <w:sz w:val="22"/>
                <w:szCs w:val="22"/>
              </w:rPr>
            </w:pPr>
            <w:r w:rsidRPr="00176490">
              <w:rPr>
                <w:rFonts w:ascii="Arial" w:hAnsi="Arial" w:cs="Arial"/>
                <w:b/>
                <w:bCs/>
                <w:sz w:val="22"/>
                <w:szCs w:val="22"/>
              </w:rPr>
              <w:t>Source</w:t>
            </w:r>
          </w:p>
        </w:tc>
      </w:tr>
      <w:tr w:rsidR="008877C9" w:rsidRPr="00176490" w14:paraId="312419F8" w14:textId="77777777" w:rsidTr="008877C9">
        <w:trPr>
          <w:trHeight w:val="748"/>
          <w:tblCellSpacing w:w="15" w:type="dxa"/>
        </w:trPr>
        <w:tc>
          <w:tcPr>
            <w:tcW w:w="0" w:type="auto"/>
            <w:tcMar>
              <w:top w:w="137" w:type="dxa"/>
              <w:left w:w="120" w:type="dxa"/>
              <w:bottom w:w="137" w:type="dxa"/>
              <w:right w:w="120" w:type="dxa"/>
            </w:tcMar>
            <w:vAlign w:val="bottom"/>
            <w:hideMark/>
          </w:tcPr>
          <w:p w14:paraId="144C565F"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Lithology</w:t>
            </w:r>
          </w:p>
        </w:tc>
        <w:tc>
          <w:tcPr>
            <w:tcW w:w="0" w:type="auto"/>
            <w:tcMar>
              <w:top w:w="137" w:type="dxa"/>
              <w:left w:w="120" w:type="dxa"/>
              <w:bottom w:w="137" w:type="dxa"/>
              <w:right w:w="120" w:type="dxa"/>
            </w:tcMar>
            <w:vAlign w:val="bottom"/>
            <w:hideMark/>
          </w:tcPr>
          <w:p w14:paraId="4F9A45BD"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~90% sand/sandstone, ~10% clay</w:t>
            </w:r>
          </w:p>
        </w:tc>
        <w:tc>
          <w:tcPr>
            <w:tcW w:w="0" w:type="auto"/>
            <w:tcMar>
              <w:top w:w="137" w:type="dxa"/>
              <w:left w:w="120" w:type="dxa"/>
              <w:bottom w:w="137" w:type="dxa"/>
              <w:right w:w="120" w:type="dxa"/>
            </w:tcMar>
            <w:vAlign w:val="bottom"/>
            <w:hideMark/>
          </w:tcPr>
          <w:p w14:paraId="6C724B95"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High permeability, limited attenuation</w:t>
            </w:r>
          </w:p>
        </w:tc>
        <w:tc>
          <w:tcPr>
            <w:tcW w:w="0" w:type="auto"/>
            <w:tcMar>
              <w:top w:w="137" w:type="dxa"/>
              <w:left w:w="120" w:type="dxa"/>
              <w:bottom w:w="137" w:type="dxa"/>
              <w:right w:w="120" w:type="dxa"/>
            </w:tcMar>
            <w:vAlign w:val="bottom"/>
            <w:hideMark/>
          </w:tcPr>
          <w:p w14:paraId="77CA90DB" w14:textId="77777777" w:rsidR="008877C9" w:rsidRPr="00176490" w:rsidRDefault="008877C9" w:rsidP="008877C9">
            <w:pPr>
              <w:spacing w:after="160" w:line="278" w:lineRule="auto"/>
              <w:jc w:val="center"/>
              <w:rPr>
                <w:rFonts w:ascii="Arial" w:hAnsi="Arial" w:cs="Arial"/>
                <w:sz w:val="22"/>
                <w:szCs w:val="22"/>
              </w:rPr>
            </w:pPr>
            <w:proofErr w:type="spellStart"/>
            <w:r w:rsidRPr="00176490">
              <w:rPr>
                <w:rFonts w:ascii="Arial" w:hAnsi="Arial" w:cs="Arial"/>
                <w:sz w:val="22"/>
                <w:szCs w:val="22"/>
              </w:rPr>
              <w:t>Akujieze</w:t>
            </w:r>
            <w:proofErr w:type="spellEnd"/>
            <w:r w:rsidRPr="00176490">
              <w:rPr>
                <w:rFonts w:ascii="Arial" w:hAnsi="Arial" w:cs="Arial"/>
                <w:sz w:val="22"/>
                <w:szCs w:val="22"/>
              </w:rPr>
              <w:t xml:space="preserve"> et al. (2003)</w:t>
            </w:r>
          </w:p>
        </w:tc>
      </w:tr>
      <w:tr w:rsidR="008877C9" w:rsidRPr="00176490" w14:paraId="773A13A1" w14:textId="77777777" w:rsidTr="008877C9">
        <w:trPr>
          <w:trHeight w:val="775"/>
          <w:tblCellSpacing w:w="15" w:type="dxa"/>
        </w:trPr>
        <w:tc>
          <w:tcPr>
            <w:tcW w:w="0" w:type="auto"/>
            <w:tcMar>
              <w:top w:w="137" w:type="dxa"/>
              <w:left w:w="120" w:type="dxa"/>
              <w:bottom w:w="137" w:type="dxa"/>
              <w:right w:w="120" w:type="dxa"/>
            </w:tcMar>
            <w:vAlign w:val="bottom"/>
            <w:hideMark/>
          </w:tcPr>
          <w:p w14:paraId="51051509"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Porosity</w:t>
            </w:r>
          </w:p>
        </w:tc>
        <w:tc>
          <w:tcPr>
            <w:tcW w:w="0" w:type="auto"/>
            <w:tcMar>
              <w:top w:w="137" w:type="dxa"/>
              <w:left w:w="120" w:type="dxa"/>
              <w:bottom w:w="137" w:type="dxa"/>
              <w:right w:w="120" w:type="dxa"/>
            </w:tcMar>
            <w:vAlign w:val="bottom"/>
            <w:hideMark/>
          </w:tcPr>
          <w:p w14:paraId="4B04E138"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High primary porosity</w:t>
            </w:r>
          </w:p>
        </w:tc>
        <w:tc>
          <w:tcPr>
            <w:tcW w:w="0" w:type="auto"/>
            <w:tcMar>
              <w:top w:w="137" w:type="dxa"/>
              <w:left w:w="120" w:type="dxa"/>
              <w:bottom w:w="137" w:type="dxa"/>
              <w:right w:w="120" w:type="dxa"/>
            </w:tcMar>
            <w:vAlign w:val="bottom"/>
            <w:hideMark/>
          </w:tcPr>
          <w:p w14:paraId="15411137"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Enhanced contaminant storage capacity</w:t>
            </w:r>
          </w:p>
        </w:tc>
        <w:tc>
          <w:tcPr>
            <w:tcW w:w="0" w:type="auto"/>
            <w:tcMar>
              <w:top w:w="137" w:type="dxa"/>
              <w:left w:w="120" w:type="dxa"/>
              <w:bottom w:w="137" w:type="dxa"/>
              <w:right w:w="120" w:type="dxa"/>
            </w:tcMar>
            <w:vAlign w:val="bottom"/>
            <w:hideMark/>
          </w:tcPr>
          <w:p w14:paraId="7C3E25B9" w14:textId="77777777" w:rsidR="008877C9" w:rsidRPr="00176490" w:rsidRDefault="008877C9" w:rsidP="008877C9">
            <w:pPr>
              <w:spacing w:after="160" w:line="278" w:lineRule="auto"/>
              <w:jc w:val="center"/>
              <w:rPr>
                <w:rFonts w:ascii="Arial" w:hAnsi="Arial" w:cs="Arial"/>
                <w:sz w:val="22"/>
                <w:szCs w:val="22"/>
              </w:rPr>
            </w:pPr>
            <w:proofErr w:type="spellStart"/>
            <w:r w:rsidRPr="00176490">
              <w:rPr>
                <w:rFonts w:ascii="Arial" w:hAnsi="Arial" w:cs="Arial"/>
                <w:sz w:val="22"/>
                <w:szCs w:val="22"/>
              </w:rPr>
              <w:t>Nwankwoala</w:t>
            </w:r>
            <w:proofErr w:type="spellEnd"/>
            <w:r w:rsidRPr="00176490">
              <w:rPr>
                <w:rFonts w:ascii="Arial" w:hAnsi="Arial" w:cs="Arial"/>
                <w:sz w:val="22"/>
                <w:szCs w:val="22"/>
              </w:rPr>
              <w:t xml:space="preserve"> &amp; </w:t>
            </w:r>
            <w:proofErr w:type="spellStart"/>
            <w:r w:rsidRPr="00176490">
              <w:rPr>
                <w:rFonts w:ascii="Arial" w:hAnsi="Arial" w:cs="Arial"/>
                <w:sz w:val="22"/>
                <w:szCs w:val="22"/>
              </w:rPr>
              <w:t>Amangabara</w:t>
            </w:r>
            <w:proofErr w:type="spellEnd"/>
            <w:r w:rsidRPr="00176490">
              <w:rPr>
                <w:rFonts w:ascii="Arial" w:hAnsi="Arial" w:cs="Arial"/>
                <w:sz w:val="22"/>
                <w:szCs w:val="22"/>
              </w:rPr>
              <w:t xml:space="preserve"> (2015)</w:t>
            </w:r>
          </w:p>
        </w:tc>
      </w:tr>
      <w:tr w:rsidR="008877C9" w:rsidRPr="00176490" w14:paraId="0236084E" w14:textId="77777777" w:rsidTr="008877C9">
        <w:trPr>
          <w:tblCellSpacing w:w="15" w:type="dxa"/>
        </w:trPr>
        <w:tc>
          <w:tcPr>
            <w:tcW w:w="0" w:type="auto"/>
            <w:tcMar>
              <w:top w:w="137" w:type="dxa"/>
              <w:left w:w="120" w:type="dxa"/>
              <w:bottom w:w="137" w:type="dxa"/>
              <w:right w:w="120" w:type="dxa"/>
            </w:tcMar>
            <w:vAlign w:val="bottom"/>
            <w:hideMark/>
          </w:tcPr>
          <w:p w14:paraId="0A0FF736"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Hydraulic conductivity</w:t>
            </w:r>
          </w:p>
        </w:tc>
        <w:tc>
          <w:tcPr>
            <w:tcW w:w="0" w:type="auto"/>
            <w:tcMar>
              <w:top w:w="137" w:type="dxa"/>
              <w:left w:w="120" w:type="dxa"/>
              <w:bottom w:w="137" w:type="dxa"/>
              <w:right w:w="120" w:type="dxa"/>
            </w:tcMar>
            <w:vAlign w:val="bottom"/>
            <w:hideMark/>
          </w:tcPr>
          <w:p w14:paraId="218B7F80"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3.82×10</w:t>
            </w:r>
            <w:r w:rsidRPr="00176490">
              <w:rPr>
                <w:rFonts w:ascii="Cambria Math" w:hAnsi="Cambria Math" w:cs="Cambria Math"/>
                <w:sz w:val="22"/>
                <w:szCs w:val="22"/>
              </w:rPr>
              <w:t>⁻</w:t>
            </w:r>
            <w:r w:rsidRPr="00176490">
              <w:rPr>
                <w:rFonts w:ascii="Arial" w:hAnsi="Arial" w:cs="Arial"/>
                <w:sz w:val="22"/>
                <w:szCs w:val="22"/>
              </w:rPr>
              <w:t>³ to 9.0×10</w:t>
            </w:r>
            <w:r w:rsidRPr="00176490">
              <w:rPr>
                <w:rFonts w:ascii="Cambria Math" w:hAnsi="Cambria Math" w:cs="Cambria Math"/>
                <w:sz w:val="22"/>
                <w:szCs w:val="22"/>
              </w:rPr>
              <w:t>⁻</w:t>
            </w:r>
            <w:r w:rsidRPr="00176490">
              <w:rPr>
                <w:rFonts w:ascii="Arial" w:hAnsi="Arial" w:cs="Arial"/>
                <w:sz w:val="22"/>
                <w:szCs w:val="22"/>
              </w:rPr>
              <w:t>² cm/s</w:t>
            </w:r>
          </w:p>
        </w:tc>
        <w:tc>
          <w:tcPr>
            <w:tcW w:w="0" w:type="auto"/>
            <w:tcMar>
              <w:top w:w="137" w:type="dxa"/>
              <w:left w:w="120" w:type="dxa"/>
              <w:bottom w:w="137" w:type="dxa"/>
              <w:right w:w="120" w:type="dxa"/>
            </w:tcMar>
            <w:vAlign w:val="bottom"/>
            <w:hideMark/>
          </w:tcPr>
          <w:p w14:paraId="7FA723C5"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Rapid advective transport potential</w:t>
            </w:r>
          </w:p>
        </w:tc>
        <w:tc>
          <w:tcPr>
            <w:tcW w:w="0" w:type="auto"/>
            <w:tcMar>
              <w:top w:w="137" w:type="dxa"/>
              <w:left w:w="120" w:type="dxa"/>
              <w:bottom w:w="137" w:type="dxa"/>
              <w:right w:w="120" w:type="dxa"/>
            </w:tcMar>
            <w:vAlign w:val="bottom"/>
            <w:hideMark/>
          </w:tcPr>
          <w:p w14:paraId="4A142757" w14:textId="77777777" w:rsidR="008877C9" w:rsidRPr="00176490" w:rsidRDefault="008877C9" w:rsidP="008877C9">
            <w:pPr>
              <w:spacing w:after="160" w:line="278" w:lineRule="auto"/>
              <w:jc w:val="center"/>
              <w:rPr>
                <w:rFonts w:ascii="Arial" w:hAnsi="Arial" w:cs="Arial"/>
                <w:sz w:val="22"/>
                <w:szCs w:val="22"/>
              </w:rPr>
            </w:pPr>
            <w:proofErr w:type="spellStart"/>
            <w:r w:rsidRPr="00176490">
              <w:rPr>
                <w:rFonts w:ascii="Arial" w:hAnsi="Arial" w:cs="Arial"/>
                <w:sz w:val="22"/>
                <w:szCs w:val="22"/>
              </w:rPr>
              <w:t>Nwankwoala</w:t>
            </w:r>
            <w:proofErr w:type="spellEnd"/>
            <w:r w:rsidRPr="00176490">
              <w:rPr>
                <w:rFonts w:ascii="Arial" w:hAnsi="Arial" w:cs="Arial"/>
                <w:sz w:val="22"/>
                <w:szCs w:val="22"/>
              </w:rPr>
              <w:t xml:space="preserve"> &amp; </w:t>
            </w:r>
            <w:proofErr w:type="spellStart"/>
            <w:r w:rsidRPr="00176490">
              <w:rPr>
                <w:rFonts w:ascii="Arial" w:hAnsi="Arial" w:cs="Arial"/>
                <w:sz w:val="22"/>
                <w:szCs w:val="22"/>
              </w:rPr>
              <w:t>Amangabara</w:t>
            </w:r>
            <w:proofErr w:type="spellEnd"/>
            <w:r w:rsidRPr="00176490">
              <w:rPr>
                <w:rFonts w:ascii="Arial" w:hAnsi="Arial" w:cs="Arial"/>
                <w:sz w:val="22"/>
                <w:szCs w:val="22"/>
              </w:rPr>
              <w:t xml:space="preserve"> (2015)</w:t>
            </w:r>
          </w:p>
        </w:tc>
      </w:tr>
      <w:tr w:rsidR="008877C9" w:rsidRPr="00176490" w14:paraId="6D2E9AA6" w14:textId="77777777" w:rsidTr="008877C9">
        <w:trPr>
          <w:tblCellSpacing w:w="15" w:type="dxa"/>
        </w:trPr>
        <w:tc>
          <w:tcPr>
            <w:tcW w:w="0" w:type="auto"/>
            <w:tcMar>
              <w:top w:w="137" w:type="dxa"/>
              <w:left w:w="120" w:type="dxa"/>
              <w:bottom w:w="137" w:type="dxa"/>
              <w:right w:w="120" w:type="dxa"/>
            </w:tcMar>
            <w:vAlign w:val="bottom"/>
            <w:hideMark/>
          </w:tcPr>
          <w:p w14:paraId="6DE947B0"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Clay content</w:t>
            </w:r>
          </w:p>
        </w:tc>
        <w:tc>
          <w:tcPr>
            <w:tcW w:w="0" w:type="auto"/>
            <w:tcMar>
              <w:top w:w="137" w:type="dxa"/>
              <w:left w:w="120" w:type="dxa"/>
              <w:bottom w:w="137" w:type="dxa"/>
              <w:right w:w="120" w:type="dxa"/>
            </w:tcMar>
            <w:vAlign w:val="bottom"/>
            <w:hideMark/>
          </w:tcPr>
          <w:p w14:paraId="2970235A"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Minimal intercalations</w:t>
            </w:r>
          </w:p>
        </w:tc>
        <w:tc>
          <w:tcPr>
            <w:tcW w:w="0" w:type="auto"/>
            <w:tcMar>
              <w:top w:w="137" w:type="dxa"/>
              <w:left w:w="120" w:type="dxa"/>
              <w:bottom w:w="137" w:type="dxa"/>
              <w:right w:w="120" w:type="dxa"/>
            </w:tcMar>
            <w:vAlign w:val="bottom"/>
            <w:hideMark/>
          </w:tcPr>
          <w:p w14:paraId="4E08FA34"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Poor adsorptive attenuation capacity</w:t>
            </w:r>
          </w:p>
        </w:tc>
        <w:tc>
          <w:tcPr>
            <w:tcW w:w="0" w:type="auto"/>
            <w:tcMar>
              <w:top w:w="137" w:type="dxa"/>
              <w:left w:w="120" w:type="dxa"/>
              <w:bottom w:w="137" w:type="dxa"/>
              <w:right w:w="120" w:type="dxa"/>
            </w:tcMar>
            <w:vAlign w:val="bottom"/>
            <w:hideMark/>
          </w:tcPr>
          <w:p w14:paraId="497373CF" w14:textId="77777777" w:rsidR="008877C9" w:rsidRPr="00176490" w:rsidRDefault="008877C9" w:rsidP="006A04AA">
            <w:pPr>
              <w:spacing w:after="160" w:line="278" w:lineRule="auto"/>
              <w:jc w:val="both"/>
              <w:rPr>
                <w:rFonts w:ascii="Arial" w:hAnsi="Arial" w:cs="Arial"/>
                <w:sz w:val="22"/>
                <w:szCs w:val="22"/>
              </w:rPr>
            </w:pPr>
            <w:proofErr w:type="spellStart"/>
            <w:r w:rsidRPr="00176490">
              <w:rPr>
                <w:rFonts w:ascii="Arial" w:hAnsi="Arial" w:cs="Arial"/>
                <w:sz w:val="22"/>
                <w:szCs w:val="22"/>
              </w:rPr>
              <w:t>Akujieze</w:t>
            </w:r>
            <w:proofErr w:type="spellEnd"/>
            <w:r w:rsidRPr="00176490">
              <w:rPr>
                <w:rFonts w:ascii="Arial" w:hAnsi="Arial" w:cs="Arial"/>
                <w:sz w:val="22"/>
                <w:szCs w:val="22"/>
              </w:rPr>
              <w:t xml:space="preserve"> et al. (2003)</w:t>
            </w:r>
          </w:p>
        </w:tc>
      </w:tr>
      <w:tr w:rsidR="008877C9" w:rsidRPr="00176490" w14:paraId="2227EAE4" w14:textId="77777777" w:rsidTr="008877C9">
        <w:trPr>
          <w:tblCellSpacing w:w="15" w:type="dxa"/>
        </w:trPr>
        <w:tc>
          <w:tcPr>
            <w:tcW w:w="0" w:type="auto"/>
            <w:tcBorders>
              <w:bottom w:val="single" w:sz="4" w:space="0" w:color="auto"/>
            </w:tcBorders>
            <w:tcMar>
              <w:top w:w="137" w:type="dxa"/>
              <w:left w:w="120" w:type="dxa"/>
              <w:bottom w:w="137" w:type="dxa"/>
              <w:right w:w="120" w:type="dxa"/>
            </w:tcMar>
            <w:vAlign w:val="bottom"/>
            <w:hideMark/>
          </w:tcPr>
          <w:p w14:paraId="2FEFB2F7"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Vulnerability index</w:t>
            </w:r>
          </w:p>
        </w:tc>
        <w:tc>
          <w:tcPr>
            <w:tcW w:w="0" w:type="auto"/>
            <w:tcBorders>
              <w:bottom w:val="single" w:sz="4" w:space="0" w:color="auto"/>
            </w:tcBorders>
            <w:tcMar>
              <w:top w:w="137" w:type="dxa"/>
              <w:left w:w="120" w:type="dxa"/>
              <w:bottom w:w="137" w:type="dxa"/>
              <w:right w:w="120" w:type="dxa"/>
            </w:tcMar>
            <w:vAlign w:val="bottom"/>
            <w:hideMark/>
          </w:tcPr>
          <w:p w14:paraId="19B16D7F"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0.54–0.63 (high vulnerability)</w:t>
            </w:r>
          </w:p>
        </w:tc>
        <w:tc>
          <w:tcPr>
            <w:tcW w:w="0" w:type="auto"/>
            <w:tcBorders>
              <w:bottom w:val="single" w:sz="4" w:space="0" w:color="auto"/>
            </w:tcBorders>
            <w:tcMar>
              <w:top w:w="137" w:type="dxa"/>
              <w:left w:w="120" w:type="dxa"/>
              <w:bottom w:w="137" w:type="dxa"/>
              <w:right w:w="120" w:type="dxa"/>
            </w:tcMar>
            <w:vAlign w:val="bottom"/>
            <w:hideMark/>
          </w:tcPr>
          <w:p w14:paraId="46C26AB7"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Low natural protective capacity</w:t>
            </w:r>
          </w:p>
        </w:tc>
        <w:tc>
          <w:tcPr>
            <w:tcW w:w="0" w:type="auto"/>
            <w:tcBorders>
              <w:bottom w:val="single" w:sz="4" w:space="0" w:color="auto"/>
            </w:tcBorders>
            <w:tcMar>
              <w:top w:w="137" w:type="dxa"/>
              <w:left w:w="120" w:type="dxa"/>
              <w:bottom w:w="137" w:type="dxa"/>
              <w:right w:w="120" w:type="dxa"/>
            </w:tcMar>
            <w:vAlign w:val="bottom"/>
            <w:hideMark/>
          </w:tcPr>
          <w:p w14:paraId="2B84D68F"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Longe &amp; Balogun (2010)</w:t>
            </w:r>
          </w:p>
        </w:tc>
      </w:tr>
    </w:tbl>
    <w:p w14:paraId="6DFB2390" w14:textId="77777777" w:rsidR="005E5237" w:rsidRPr="003E17CC" w:rsidRDefault="005E5237" w:rsidP="00866F85">
      <w:pPr>
        <w:jc w:val="both"/>
        <w:rPr>
          <w:rFonts w:ascii="Arial" w:hAnsi="Arial" w:cs="Arial"/>
          <w:sz w:val="22"/>
          <w:szCs w:val="22"/>
        </w:rPr>
      </w:pPr>
    </w:p>
    <w:p w14:paraId="6A89E580" w14:textId="5C5A69E9" w:rsidR="00866F85" w:rsidRPr="008877C9" w:rsidRDefault="00866F85" w:rsidP="008877C9">
      <w:pPr>
        <w:pStyle w:val="ListParagraph"/>
        <w:numPr>
          <w:ilvl w:val="1"/>
          <w:numId w:val="21"/>
        </w:numPr>
        <w:rPr>
          <w:rFonts w:ascii="Arial" w:hAnsi="Arial" w:cs="Arial"/>
          <w:b/>
          <w:bCs/>
          <w:sz w:val="22"/>
          <w:szCs w:val="22"/>
        </w:rPr>
      </w:pPr>
      <w:r w:rsidRPr="008877C9">
        <w:rPr>
          <w:rFonts w:ascii="Arial" w:hAnsi="Arial" w:cs="Arial"/>
          <w:b/>
          <w:bCs/>
          <w:sz w:val="22"/>
          <w:szCs w:val="22"/>
        </w:rPr>
        <w:t>Human Health Risk Assessment</w:t>
      </w:r>
    </w:p>
    <w:p w14:paraId="7955844B" w14:textId="77777777" w:rsidR="009E5FA0" w:rsidRDefault="009E5FA0" w:rsidP="009E5FA0">
      <w:pPr>
        <w:rPr>
          <w:rFonts w:ascii="Arial" w:hAnsi="Arial" w:cs="Arial"/>
          <w:b/>
          <w:bCs/>
          <w:sz w:val="22"/>
          <w:szCs w:val="22"/>
        </w:rPr>
      </w:pPr>
    </w:p>
    <w:p w14:paraId="586AA564" w14:textId="77777777" w:rsidR="008877C9" w:rsidRPr="00176490" w:rsidRDefault="008877C9" w:rsidP="008877C9">
      <w:pPr>
        <w:spacing w:after="160" w:line="278" w:lineRule="auto"/>
        <w:jc w:val="both"/>
        <w:rPr>
          <w:rFonts w:ascii="Arial" w:hAnsi="Arial" w:cs="Arial"/>
          <w:sz w:val="22"/>
          <w:szCs w:val="22"/>
        </w:rPr>
      </w:pPr>
      <w:r w:rsidRPr="00176490">
        <w:rPr>
          <w:rFonts w:ascii="Arial" w:hAnsi="Arial" w:cs="Arial"/>
          <w:sz w:val="22"/>
          <w:szCs w:val="22"/>
        </w:rPr>
        <w:t>All Hazard Quotient (HQ) values and the cumulative Hazard Index (HI) for all sampling zones remained well below 1.0 (all &lt; 0.1; Table 15), indicating no significant non-carcinogenic health risk from soil contact under current exposure conditions. This finding is broadly consistent with comparable assessments at unlined Nigerian municipal dumpsites, where soil-contact HI values typically remain low despite measurable geochemical enrichment (</w:t>
      </w:r>
      <w:proofErr w:type="spellStart"/>
      <w:r w:rsidRPr="00176490">
        <w:rPr>
          <w:rFonts w:ascii="Arial" w:hAnsi="Arial" w:cs="Arial"/>
          <w:sz w:val="22"/>
          <w:szCs w:val="22"/>
        </w:rPr>
        <w:t>Ideriah</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2005; Ogundele et al., 2017).</w:t>
      </w:r>
    </w:p>
    <w:p w14:paraId="0E57DC9A" w14:textId="77777777" w:rsidR="008877C9" w:rsidRPr="00176490" w:rsidRDefault="008877C9" w:rsidP="008877C9">
      <w:pPr>
        <w:spacing w:after="160" w:line="278" w:lineRule="auto"/>
        <w:jc w:val="both"/>
        <w:rPr>
          <w:rFonts w:ascii="Arial" w:hAnsi="Arial" w:cs="Arial"/>
          <w:sz w:val="22"/>
          <w:szCs w:val="22"/>
        </w:rPr>
      </w:pPr>
      <w:r w:rsidRPr="00176490">
        <w:rPr>
          <w:rFonts w:ascii="Arial" w:hAnsi="Arial" w:cs="Arial"/>
          <w:sz w:val="22"/>
          <w:szCs w:val="22"/>
        </w:rPr>
        <w:lastRenderedPageBreak/>
        <w:t xml:space="preserve">It is essential to note, however, that this assessment was restricted to the soil ingestion and dermal contact exposure pathways. Inhalation exposure of particular relevance given the open, unenclosed nature of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facility and its proximity to residential and institutional populations was not evaluated. Equally, indirect dietary exposure through consumption of locally grown crops or livestock raised in the vicinity of the landfill was beyond the scope of this study. Several studies at analogous West African landfill settings have demonstrated that groundwater ingestion and crop uptake pathways contribute substantially to total cumulative metal exposure and can elevate HI values well above those calculated from soil contact alone (</w:t>
      </w:r>
      <w:proofErr w:type="spellStart"/>
      <w:r w:rsidRPr="00176490">
        <w:rPr>
          <w:rFonts w:ascii="Arial" w:hAnsi="Arial" w:cs="Arial"/>
          <w:sz w:val="22"/>
          <w:szCs w:val="22"/>
        </w:rPr>
        <w:t>Kabata-Pendias</w:t>
      </w:r>
      <w:proofErr w:type="spellEnd"/>
      <w:r w:rsidRPr="00176490">
        <w:rPr>
          <w:rFonts w:ascii="Arial" w:hAnsi="Arial" w:cs="Arial"/>
          <w:sz w:val="22"/>
          <w:szCs w:val="22"/>
        </w:rPr>
        <w:t>, 2011; Yabe et al., 2010). Future risk assessments at this site should therefore adopt a comprehensive multi-pathway exposure framework incorporating these additional routes.</w:t>
      </w:r>
    </w:p>
    <w:p w14:paraId="0501E863" w14:textId="5BB6A94E" w:rsidR="005E5237" w:rsidRDefault="008877C9" w:rsidP="00DA0B3A">
      <w:pPr>
        <w:jc w:val="both"/>
        <w:rPr>
          <w:rFonts w:ascii="Arial" w:hAnsi="Arial" w:cs="Arial"/>
          <w:sz w:val="22"/>
          <w:szCs w:val="22"/>
        </w:rPr>
      </w:pPr>
      <w:r w:rsidRPr="00176490">
        <w:rPr>
          <w:rFonts w:ascii="Arial" w:hAnsi="Arial" w:cs="Arial"/>
          <w:sz w:val="22"/>
          <w:szCs w:val="22"/>
        </w:rPr>
        <w:t>The low computed HI values also warrant contextual interpretation alongside the area's high population density (~2,500 people/km²) and the immediate proximity of densely settled residential areas and the University of Port Harcourt campus to the landfill boundary. Even at sub-threshold individual metal levels, chronic low-dose multi-metal exposure in a large resident population with no engineered containment, leachate management, or environmental monitoring in place represents a legitimate precautionary concern, particularly for vulnerable groups such as children and pregnant women (</w:t>
      </w:r>
      <w:proofErr w:type="spellStart"/>
      <w:r w:rsidRPr="00176490">
        <w:rPr>
          <w:rFonts w:ascii="Arial" w:hAnsi="Arial" w:cs="Arial"/>
          <w:sz w:val="22"/>
          <w:szCs w:val="22"/>
        </w:rPr>
        <w:t>Kabata-Pendias</w:t>
      </w:r>
      <w:proofErr w:type="spellEnd"/>
      <w:r w:rsidRPr="00176490">
        <w:rPr>
          <w:rFonts w:ascii="Arial" w:hAnsi="Arial" w:cs="Arial"/>
          <w:sz w:val="22"/>
          <w:szCs w:val="22"/>
        </w:rPr>
        <w:t xml:space="preserve">, 2011; </w:t>
      </w:r>
      <w:proofErr w:type="spellStart"/>
      <w:r w:rsidRPr="00176490">
        <w:rPr>
          <w:rFonts w:ascii="Arial" w:hAnsi="Arial" w:cs="Arial"/>
          <w:sz w:val="22"/>
          <w:szCs w:val="22"/>
        </w:rPr>
        <w:t>Mmereki</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2016).</w:t>
      </w:r>
    </w:p>
    <w:p w14:paraId="017C5EE6" w14:textId="77777777" w:rsidR="00FE7E9B" w:rsidRDefault="00FE7E9B" w:rsidP="008877C9">
      <w:pPr>
        <w:rPr>
          <w:rFonts w:ascii="Arial" w:hAnsi="Arial" w:cs="Arial"/>
          <w:sz w:val="22"/>
          <w:szCs w:val="22"/>
        </w:rPr>
      </w:pPr>
    </w:p>
    <w:p w14:paraId="394794BE" w14:textId="0CE26099" w:rsidR="008877C9" w:rsidRPr="00FE7E9B" w:rsidRDefault="00FE7E9B" w:rsidP="00FE7E9B">
      <w:pPr>
        <w:spacing w:after="160" w:line="278" w:lineRule="auto"/>
        <w:jc w:val="both"/>
        <w:rPr>
          <w:rFonts w:ascii="Arial" w:hAnsi="Arial" w:cs="Arial"/>
          <w:b/>
          <w:bCs/>
          <w:sz w:val="22"/>
          <w:szCs w:val="22"/>
        </w:rPr>
      </w:pPr>
      <w:r w:rsidRPr="00176490">
        <w:rPr>
          <w:rFonts w:ascii="Arial" w:hAnsi="Arial" w:cs="Arial"/>
          <w:b/>
          <w:bCs/>
          <w:sz w:val="22"/>
          <w:szCs w:val="22"/>
        </w:rPr>
        <w:t>3.5.1 Regulatory Comparison</w:t>
      </w:r>
    </w:p>
    <w:p w14:paraId="1C71F127" w14:textId="40403597"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13</w:t>
      </w:r>
      <w:r w:rsidRPr="003E17CC">
        <w:rPr>
          <w:rFonts w:ascii="Arial" w:hAnsi="Arial" w:cs="Arial"/>
          <w:b/>
          <w:bCs/>
          <w:sz w:val="22"/>
          <w:szCs w:val="22"/>
        </w:rPr>
        <w:t>:</w:t>
      </w:r>
      <w:r w:rsidRPr="003E17CC">
        <w:rPr>
          <w:rFonts w:ascii="Arial" w:hAnsi="Arial" w:cs="Arial"/>
          <w:sz w:val="22"/>
          <w:szCs w:val="22"/>
        </w:rPr>
        <w:t xml:space="preserve"> </w:t>
      </w:r>
      <w:r w:rsidRPr="003E17CC">
        <w:rPr>
          <w:rFonts w:ascii="Arial" w:hAnsi="Arial" w:cs="Arial"/>
          <w:b/>
          <w:bCs/>
          <w:sz w:val="22"/>
          <w:szCs w:val="22"/>
        </w:rPr>
        <w:t>Comparison with Regulatory Limits: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866F85" w:rsidRPr="003E17CC" w14:paraId="6ED18EEA" w14:textId="77777777" w:rsidTr="00BF1BD7">
        <w:tc>
          <w:tcPr>
            <w:tcW w:w="1870" w:type="dxa"/>
            <w:tcBorders>
              <w:top w:val="single" w:sz="4" w:space="0" w:color="auto"/>
              <w:bottom w:val="single" w:sz="4" w:space="0" w:color="auto"/>
            </w:tcBorders>
          </w:tcPr>
          <w:p w14:paraId="5A3D37AA"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Metal</w:t>
            </w:r>
          </w:p>
        </w:tc>
        <w:tc>
          <w:tcPr>
            <w:tcW w:w="1870" w:type="dxa"/>
            <w:tcBorders>
              <w:top w:val="single" w:sz="4" w:space="0" w:color="auto"/>
              <w:bottom w:val="single" w:sz="4" w:space="0" w:color="auto"/>
            </w:tcBorders>
          </w:tcPr>
          <w:p w14:paraId="798D4E12"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Max Observed</w:t>
            </w:r>
          </w:p>
        </w:tc>
        <w:tc>
          <w:tcPr>
            <w:tcW w:w="1870" w:type="dxa"/>
            <w:tcBorders>
              <w:top w:val="single" w:sz="4" w:space="0" w:color="auto"/>
              <w:bottom w:val="single" w:sz="4" w:space="0" w:color="auto"/>
            </w:tcBorders>
          </w:tcPr>
          <w:p w14:paraId="3CF8F62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WHO Limit</w:t>
            </w:r>
          </w:p>
        </w:tc>
        <w:tc>
          <w:tcPr>
            <w:tcW w:w="1870" w:type="dxa"/>
            <w:tcBorders>
              <w:top w:val="single" w:sz="4" w:space="0" w:color="auto"/>
              <w:bottom w:val="single" w:sz="4" w:space="0" w:color="auto"/>
            </w:tcBorders>
          </w:tcPr>
          <w:p w14:paraId="360852D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Safety Ratio</w:t>
            </w:r>
          </w:p>
        </w:tc>
        <w:tc>
          <w:tcPr>
            <w:tcW w:w="1870" w:type="dxa"/>
            <w:tcBorders>
              <w:top w:val="single" w:sz="4" w:space="0" w:color="auto"/>
              <w:bottom w:val="single" w:sz="4" w:space="0" w:color="auto"/>
            </w:tcBorders>
          </w:tcPr>
          <w:p w14:paraId="785EFB0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Risk Level</w:t>
            </w:r>
          </w:p>
        </w:tc>
      </w:tr>
      <w:tr w:rsidR="00FE7E9B" w:rsidRPr="003E17CC" w14:paraId="3B54A3D3" w14:textId="77777777" w:rsidTr="00BF1BD7">
        <w:tc>
          <w:tcPr>
            <w:tcW w:w="1870" w:type="dxa"/>
            <w:tcBorders>
              <w:top w:val="single" w:sz="4" w:space="0" w:color="auto"/>
            </w:tcBorders>
            <w:vAlign w:val="bottom"/>
          </w:tcPr>
          <w:p w14:paraId="78649094" w14:textId="77777777" w:rsidR="00FE7E9B" w:rsidRPr="003E17CC" w:rsidRDefault="00FE7E9B" w:rsidP="00FE7E9B">
            <w:pPr>
              <w:jc w:val="center"/>
              <w:rPr>
                <w:rFonts w:ascii="Arial" w:hAnsi="Arial" w:cs="Arial"/>
                <w:b/>
                <w:bCs/>
                <w:sz w:val="22"/>
                <w:szCs w:val="22"/>
              </w:rPr>
            </w:pPr>
            <w:r w:rsidRPr="003E17CC">
              <w:rPr>
                <w:rFonts w:ascii="Arial" w:hAnsi="Arial" w:cs="Arial"/>
                <w:sz w:val="22"/>
                <w:szCs w:val="22"/>
              </w:rPr>
              <w:t>Arsenic</w:t>
            </w:r>
          </w:p>
        </w:tc>
        <w:tc>
          <w:tcPr>
            <w:tcW w:w="1870" w:type="dxa"/>
            <w:tcBorders>
              <w:top w:val="single" w:sz="4" w:space="0" w:color="auto"/>
            </w:tcBorders>
            <w:vAlign w:val="bottom"/>
          </w:tcPr>
          <w:p w14:paraId="450B7B6C" w14:textId="785FB608" w:rsidR="00FE7E9B" w:rsidRPr="003E17CC" w:rsidRDefault="00FE7E9B" w:rsidP="00FE7E9B">
            <w:pPr>
              <w:jc w:val="center"/>
              <w:rPr>
                <w:rFonts w:ascii="Arial" w:hAnsi="Arial" w:cs="Arial"/>
                <w:b/>
                <w:bCs/>
                <w:sz w:val="22"/>
                <w:szCs w:val="22"/>
              </w:rPr>
            </w:pPr>
            <w:r w:rsidRPr="00176490">
              <w:rPr>
                <w:rFonts w:ascii="Arial" w:hAnsi="Arial" w:cs="Arial"/>
                <w:sz w:val="22"/>
                <w:szCs w:val="22"/>
              </w:rPr>
              <w:t>0.112</w:t>
            </w:r>
          </w:p>
        </w:tc>
        <w:tc>
          <w:tcPr>
            <w:tcW w:w="1870" w:type="dxa"/>
            <w:tcBorders>
              <w:top w:val="single" w:sz="4" w:space="0" w:color="auto"/>
            </w:tcBorders>
            <w:vAlign w:val="bottom"/>
          </w:tcPr>
          <w:p w14:paraId="648AA93C" w14:textId="01A2CD19" w:rsidR="00FE7E9B" w:rsidRPr="003E17CC" w:rsidRDefault="00FE7E9B" w:rsidP="00FE7E9B">
            <w:pPr>
              <w:jc w:val="center"/>
              <w:rPr>
                <w:rFonts w:ascii="Arial" w:hAnsi="Arial" w:cs="Arial"/>
                <w:b/>
                <w:bCs/>
                <w:sz w:val="22"/>
                <w:szCs w:val="22"/>
              </w:rPr>
            </w:pPr>
            <w:r w:rsidRPr="00176490">
              <w:rPr>
                <w:rFonts w:ascii="Arial" w:hAnsi="Arial" w:cs="Arial"/>
                <w:sz w:val="22"/>
                <w:szCs w:val="22"/>
              </w:rPr>
              <w:t>20</w:t>
            </w:r>
          </w:p>
        </w:tc>
        <w:tc>
          <w:tcPr>
            <w:tcW w:w="1870" w:type="dxa"/>
            <w:tcBorders>
              <w:top w:val="single" w:sz="4" w:space="0" w:color="auto"/>
            </w:tcBorders>
            <w:vAlign w:val="bottom"/>
          </w:tcPr>
          <w:p w14:paraId="368B5C2E" w14:textId="4D78C707" w:rsidR="00FE7E9B" w:rsidRPr="003E17CC" w:rsidRDefault="00FE7E9B" w:rsidP="00FE7E9B">
            <w:pPr>
              <w:jc w:val="center"/>
              <w:rPr>
                <w:rFonts w:ascii="Arial" w:hAnsi="Arial" w:cs="Arial"/>
                <w:b/>
                <w:bCs/>
                <w:sz w:val="22"/>
                <w:szCs w:val="22"/>
              </w:rPr>
            </w:pPr>
            <w:r w:rsidRPr="00176490">
              <w:rPr>
                <w:rFonts w:ascii="Arial" w:hAnsi="Arial" w:cs="Arial"/>
                <w:sz w:val="22"/>
                <w:szCs w:val="22"/>
              </w:rPr>
              <w:t>178.6×</w:t>
            </w:r>
          </w:p>
        </w:tc>
        <w:tc>
          <w:tcPr>
            <w:tcW w:w="1870" w:type="dxa"/>
            <w:tcBorders>
              <w:top w:val="single" w:sz="4" w:space="0" w:color="auto"/>
            </w:tcBorders>
            <w:vAlign w:val="bottom"/>
          </w:tcPr>
          <w:p w14:paraId="1B5C3471" w14:textId="7897FC6C" w:rsidR="00FE7E9B" w:rsidRPr="003E17CC" w:rsidRDefault="00FE7E9B" w:rsidP="00FE7E9B">
            <w:pPr>
              <w:jc w:val="center"/>
              <w:rPr>
                <w:rFonts w:ascii="Arial" w:hAnsi="Arial" w:cs="Arial"/>
                <w:b/>
                <w:bCs/>
                <w:sz w:val="22"/>
                <w:szCs w:val="22"/>
              </w:rPr>
            </w:pPr>
            <w:r w:rsidRPr="00176490">
              <w:rPr>
                <w:rFonts w:ascii="Arial" w:hAnsi="Arial" w:cs="Arial"/>
                <w:sz w:val="22"/>
                <w:szCs w:val="22"/>
              </w:rPr>
              <w:t>Very Low</w:t>
            </w:r>
          </w:p>
        </w:tc>
      </w:tr>
      <w:tr w:rsidR="00FE7E9B" w:rsidRPr="003E17CC" w14:paraId="193657E6" w14:textId="77777777" w:rsidTr="00BF1BD7">
        <w:tc>
          <w:tcPr>
            <w:tcW w:w="1870" w:type="dxa"/>
            <w:vAlign w:val="bottom"/>
          </w:tcPr>
          <w:p w14:paraId="391DA826" w14:textId="77777777" w:rsidR="00FE7E9B" w:rsidRPr="003E17CC" w:rsidRDefault="00FE7E9B" w:rsidP="00FE7E9B">
            <w:pPr>
              <w:jc w:val="center"/>
              <w:rPr>
                <w:rFonts w:ascii="Arial" w:hAnsi="Arial" w:cs="Arial"/>
                <w:b/>
                <w:bCs/>
                <w:sz w:val="22"/>
                <w:szCs w:val="22"/>
              </w:rPr>
            </w:pPr>
            <w:r w:rsidRPr="003E17CC">
              <w:rPr>
                <w:rFonts w:ascii="Arial" w:hAnsi="Arial" w:cs="Arial"/>
                <w:sz w:val="22"/>
                <w:szCs w:val="22"/>
              </w:rPr>
              <w:t>Chromium</w:t>
            </w:r>
          </w:p>
        </w:tc>
        <w:tc>
          <w:tcPr>
            <w:tcW w:w="1870" w:type="dxa"/>
            <w:vAlign w:val="bottom"/>
          </w:tcPr>
          <w:p w14:paraId="41C8931F" w14:textId="3303FE92" w:rsidR="00FE7E9B" w:rsidRPr="003E17CC" w:rsidRDefault="00FE7E9B" w:rsidP="00FE7E9B">
            <w:pPr>
              <w:jc w:val="center"/>
              <w:rPr>
                <w:rFonts w:ascii="Arial" w:hAnsi="Arial" w:cs="Arial"/>
                <w:b/>
                <w:bCs/>
                <w:sz w:val="22"/>
                <w:szCs w:val="22"/>
              </w:rPr>
            </w:pPr>
            <w:r w:rsidRPr="00176490">
              <w:rPr>
                <w:rFonts w:ascii="Arial" w:hAnsi="Arial" w:cs="Arial"/>
                <w:sz w:val="22"/>
                <w:szCs w:val="22"/>
              </w:rPr>
              <w:t>0.087</w:t>
            </w:r>
          </w:p>
        </w:tc>
        <w:tc>
          <w:tcPr>
            <w:tcW w:w="1870" w:type="dxa"/>
            <w:vAlign w:val="bottom"/>
          </w:tcPr>
          <w:p w14:paraId="46C0D385" w14:textId="21EAFF95" w:rsidR="00FE7E9B" w:rsidRPr="003E17CC" w:rsidRDefault="00FE7E9B" w:rsidP="00FE7E9B">
            <w:pPr>
              <w:jc w:val="center"/>
              <w:rPr>
                <w:rFonts w:ascii="Arial" w:hAnsi="Arial" w:cs="Arial"/>
                <w:b/>
                <w:bCs/>
                <w:sz w:val="22"/>
                <w:szCs w:val="22"/>
              </w:rPr>
            </w:pPr>
            <w:r w:rsidRPr="00176490">
              <w:rPr>
                <w:rFonts w:ascii="Arial" w:hAnsi="Arial" w:cs="Arial"/>
                <w:sz w:val="22"/>
                <w:szCs w:val="22"/>
              </w:rPr>
              <w:t>100</w:t>
            </w:r>
          </w:p>
        </w:tc>
        <w:tc>
          <w:tcPr>
            <w:tcW w:w="1870" w:type="dxa"/>
            <w:vAlign w:val="bottom"/>
          </w:tcPr>
          <w:p w14:paraId="6E7F6530" w14:textId="0F69D769" w:rsidR="00FE7E9B" w:rsidRPr="003E17CC" w:rsidRDefault="00FE7E9B" w:rsidP="00FE7E9B">
            <w:pPr>
              <w:jc w:val="center"/>
              <w:rPr>
                <w:rFonts w:ascii="Arial" w:hAnsi="Arial" w:cs="Arial"/>
                <w:b/>
                <w:bCs/>
                <w:sz w:val="22"/>
                <w:szCs w:val="22"/>
              </w:rPr>
            </w:pPr>
            <w:r w:rsidRPr="00176490">
              <w:rPr>
                <w:rFonts w:ascii="Arial" w:hAnsi="Arial" w:cs="Arial"/>
                <w:sz w:val="22"/>
                <w:szCs w:val="22"/>
              </w:rPr>
              <w:t>1149×</w:t>
            </w:r>
          </w:p>
        </w:tc>
        <w:tc>
          <w:tcPr>
            <w:tcW w:w="1870" w:type="dxa"/>
            <w:vAlign w:val="bottom"/>
          </w:tcPr>
          <w:p w14:paraId="2859D468" w14:textId="51CDDE32" w:rsidR="00FE7E9B" w:rsidRPr="003E17CC" w:rsidRDefault="00FE7E9B" w:rsidP="00FE7E9B">
            <w:pPr>
              <w:jc w:val="center"/>
              <w:rPr>
                <w:rFonts w:ascii="Arial" w:hAnsi="Arial" w:cs="Arial"/>
                <w:b/>
                <w:bCs/>
                <w:sz w:val="22"/>
                <w:szCs w:val="22"/>
              </w:rPr>
            </w:pPr>
            <w:r w:rsidRPr="00176490">
              <w:rPr>
                <w:rFonts w:ascii="Arial" w:hAnsi="Arial" w:cs="Arial"/>
                <w:sz w:val="22"/>
                <w:szCs w:val="22"/>
              </w:rPr>
              <w:t>Very Low</w:t>
            </w:r>
          </w:p>
        </w:tc>
      </w:tr>
      <w:tr w:rsidR="00FE7E9B" w:rsidRPr="003E17CC" w14:paraId="41B2C9A0" w14:textId="77777777" w:rsidTr="00BF1BD7">
        <w:tc>
          <w:tcPr>
            <w:tcW w:w="1870" w:type="dxa"/>
            <w:vAlign w:val="bottom"/>
          </w:tcPr>
          <w:p w14:paraId="54D6DC48" w14:textId="77777777" w:rsidR="00FE7E9B" w:rsidRPr="003E17CC" w:rsidRDefault="00FE7E9B" w:rsidP="00FE7E9B">
            <w:pPr>
              <w:jc w:val="center"/>
              <w:rPr>
                <w:rFonts w:ascii="Arial" w:hAnsi="Arial" w:cs="Arial"/>
                <w:sz w:val="22"/>
                <w:szCs w:val="22"/>
              </w:rPr>
            </w:pPr>
            <w:r w:rsidRPr="003E17CC">
              <w:rPr>
                <w:rFonts w:ascii="Arial" w:hAnsi="Arial" w:cs="Arial"/>
                <w:sz w:val="22"/>
                <w:szCs w:val="22"/>
              </w:rPr>
              <w:t>Cadmium</w:t>
            </w:r>
          </w:p>
        </w:tc>
        <w:tc>
          <w:tcPr>
            <w:tcW w:w="1870" w:type="dxa"/>
            <w:vAlign w:val="bottom"/>
          </w:tcPr>
          <w:p w14:paraId="51CDAC2B" w14:textId="4F6F0505" w:rsidR="00FE7E9B" w:rsidRPr="003E17CC" w:rsidRDefault="00FE7E9B" w:rsidP="00FE7E9B">
            <w:pPr>
              <w:jc w:val="center"/>
              <w:rPr>
                <w:rFonts w:ascii="Arial" w:hAnsi="Arial" w:cs="Arial"/>
                <w:sz w:val="22"/>
                <w:szCs w:val="22"/>
              </w:rPr>
            </w:pPr>
            <w:r w:rsidRPr="00176490">
              <w:rPr>
                <w:rFonts w:ascii="Arial" w:hAnsi="Arial" w:cs="Arial"/>
                <w:sz w:val="22"/>
                <w:szCs w:val="22"/>
              </w:rPr>
              <w:t>0.192</w:t>
            </w:r>
          </w:p>
        </w:tc>
        <w:tc>
          <w:tcPr>
            <w:tcW w:w="1870" w:type="dxa"/>
            <w:vAlign w:val="bottom"/>
          </w:tcPr>
          <w:p w14:paraId="5A52CAAE" w14:textId="02720EAD" w:rsidR="00FE7E9B" w:rsidRPr="003E17CC" w:rsidRDefault="00FE7E9B" w:rsidP="00FE7E9B">
            <w:pPr>
              <w:jc w:val="center"/>
              <w:rPr>
                <w:rFonts w:ascii="Arial" w:hAnsi="Arial" w:cs="Arial"/>
                <w:sz w:val="22"/>
                <w:szCs w:val="22"/>
              </w:rPr>
            </w:pPr>
            <w:r w:rsidRPr="00176490">
              <w:rPr>
                <w:rFonts w:ascii="Arial" w:hAnsi="Arial" w:cs="Arial"/>
                <w:sz w:val="22"/>
                <w:szCs w:val="22"/>
              </w:rPr>
              <w:t>3</w:t>
            </w:r>
          </w:p>
        </w:tc>
        <w:tc>
          <w:tcPr>
            <w:tcW w:w="1870" w:type="dxa"/>
            <w:vAlign w:val="bottom"/>
          </w:tcPr>
          <w:p w14:paraId="353665FB" w14:textId="436E7ABA" w:rsidR="00FE7E9B" w:rsidRPr="003E17CC" w:rsidRDefault="00FE7E9B" w:rsidP="00FE7E9B">
            <w:pPr>
              <w:jc w:val="center"/>
              <w:rPr>
                <w:rFonts w:ascii="Arial" w:hAnsi="Arial" w:cs="Arial"/>
                <w:sz w:val="22"/>
                <w:szCs w:val="22"/>
              </w:rPr>
            </w:pPr>
            <w:r w:rsidRPr="00176490">
              <w:rPr>
                <w:rFonts w:ascii="Arial" w:hAnsi="Arial" w:cs="Arial"/>
                <w:sz w:val="22"/>
                <w:szCs w:val="22"/>
              </w:rPr>
              <w:t>15.6×</w:t>
            </w:r>
          </w:p>
        </w:tc>
        <w:tc>
          <w:tcPr>
            <w:tcW w:w="1870" w:type="dxa"/>
            <w:vAlign w:val="bottom"/>
          </w:tcPr>
          <w:p w14:paraId="02F30FD3" w14:textId="0BCBD138" w:rsidR="00FE7E9B" w:rsidRPr="003E17CC" w:rsidRDefault="00FE7E9B" w:rsidP="00FE7E9B">
            <w:pPr>
              <w:jc w:val="center"/>
              <w:rPr>
                <w:rFonts w:ascii="Arial" w:hAnsi="Arial" w:cs="Arial"/>
                <w:sz w:val="22"/>
                <w:szCs w:val="22"/>
              </w:rPr>
            </w:pPr>
            <w:r w:rsidRPr="00176490">
              <w:rPr>
                <w:rFonts w:ascii="Arial" w:hAnsi="Arial" w:cs="Arial"/>
                <w:sz w:val="22"/>
                <w:szCs w:val="22"/>
              </w:rPr>
              <w:t>Low</w:t>
            </w:r>
          </w:p>
        </w:tc>
      </w:tr>
      <w:tr w:rsidR="00FE7E9B" w:rsidRPr="003E17CC" w14:paraId="16C86474" w14:textId="77777777" w:rsidTr="00BF1BD7">
        <w:tc>
          <w:tcPr>
            <w:tcW w:w="1870" w:type="dxa"/>
            <w:vAlign w:val="bottom"/>
          </w:tcPr>
          <w:p w14:paraId="02EDCCE8" w14:textId="77777777" w:rsidR="00FE7E9B" w:rsidRPr="003E17CC" w:rsidRDefault="00FE7E9B" w:rsidP="00FE7E9B">
            <w:pPr>
              <w:jc w:val="center"/>
              <w:rPr>
                <w:rFonts w:ascii="Arial" w:hAnsi="Arial" w:cs="Arial"/>
                <w:sz w:val="22"/>
                <w:szCs w:val="22"/>
              </w:rPr>
            </w:pPr>
            <w:r w:rsidRPr="003E17CC">
              <w:rPr>
                <w:rFonts w:ascii="Arial" w:hAnsi="Arial" w:cs="Arial"/>
                <w:sz w:val="22"/>
                <w:szCs w:val="22"/>
              </w:rPr>
              <w:t>Lead</w:t>
            </w:r>
          </w:p>
        </w:tc>
        <w:tc>
          <w:tcPr>
            <w:tcW w:w="1870" w:type="dxa"/>
            <w:vAlign w:val="bottom"/>
          </w:tcPr>
          <w:p w14:paraId="77DA9939" w14:textId="3C82E422" w:rsidR="00FE7E9B" w:rsidRPr="003E17CC" w:rsidRDefault="00FE7E9B" w:rsidP="00FE7E9B">
            <w:pPr>
              <w:jc w:val="center"/>
              <w:rPr>
                <w:rFonts w:ascii="Arial" w:hAnsi="Arial" w:cs="Arial"/>
                <w:sz w:val="22"/>
                <w:szCs w:val="22"/>
              </w:rPr>
            </w:pPr>
            <w:r w:rsidRPr="00176490">
              <w:rPr>
                <w:rFonts w:ascii="Arial" w:hAnsi="Arial" w:cs="Arial"/>
                <w:sz w:val="22"/>
                <w:szCs w:val="22"/>
              </w:rPr>
              <w:t>1.040</w:t>
            </w:r>
          </w:p>
        </w:tc>
        <w:tc>
          <w:tcPr>
            <w:tcW w:w="1870" w:type="dxa"/>
            <w:vAlign w:val="bottom"/>
          </w:tcPr>
          <w:p w14:paraId="183521B6" w14:textId="5CF2B81C" w:rsidR="00FE7E9B" w:rsidRPr="003E17CC" w:rsidRDefault="00FE7E9B" w:rsidP="00FE7E9B">
            <w:pPr>
              <w:jc w:val="center"/>
              <w:rPr>
                <w:rFonts w:ascii="Arial" w:hAnsi="Arial" w:cs="Arial"/>
                <w:sz w:val="22"/>
                <w:szCs w:val="22"/>
              </w:rPr>
            </w:pPr>
            <w:r w:rsidRPr="00176490">
              <w:rPr>
                <w:rFonts w:ascii="Arial" w:hAnsi="Arial" w:cs="Arial"/>
                <w:sz w:val="22"/>
                <w:szCs w:val="22"/>
              </w:rPr>
              <w:t>100</w:t>
            </w:r>
          </w:p>
        </w:tc>
        <w:tc>
          <w:tcPr>
            <w:tcW w:w="1870" w:type="dxa"/>
            <w:vAlign w:val="bottom"/>
          </w:tcPr>
          <w:p w14:paraId="495B1337" w14:textId="6D684DA3" w:rsidR="00FE7E9B" w:rsidRPr="003E17CC" w:rsidRDefault="00FE7E9B" w:rsidP="00FE7E9B">
            <w:pPr>
              <w:jc w:val="center"/>
              <w:rPr>
                <w:rFonts w:ascii="Arial" w:hAnsi="Arial" w:cs="Arial"/>
                <w:sz w:val="22"/>
                <w:szCs w:val="22"/>
              </w:rPr>
            </w:pPr>
            <w:r w:rsidRPr="00176490">
              <w:rPr>
                <w:rFonts w:ascii="Arial" w:hAnsi="Arial" w:cs="Arial"/>
                <w:sz w:val="22"/>
                <w:szCs w:val="22"/>
              </w:rPr>
              <w:t>96.2×</w:t>
            </w:r>
          </w:p>
        </w:tc>
        <w:tc>
          <w:tcPr>
            <w:tcW w:w="1870" w:type="dxa"/>
            <w:vAlign w:val="bottom"/>
          </w:tcPr>
          <w:p w14:paraId="45FD057D" w14:textId="5F30F92C" w:rsidR="00FE7E9B" w:rsidRPr="003E17CC" w:rsidRDefault="00FE7E9B" w:rsidP="00FE7E9B">
            <w:pPr>
              <w:jc w:val="center"/>
              <w:rPr>
                <w:rFonts w:ascii="Arial" w:hAnsi="Arial" w:cs="Arial"/>
                <w:sz w:val="22"/>
                <w:szCs w:val="22"/>
              </w:rPr>
            </w:pPr>
            <w:r w:rsidRPr="00176490">
              <w:rPr>
                <w:rFonts w:ascii="Arial" w:hAnsi="Arial" w:cs="Arial"/>
                <w:sz w:val="22"/>
                <w:szCs w:val="22"/>
              </w:rPr>
              <w:t>Very Low</w:t>
            </w:r>
          </w:p>
        </w:tc>
      </w:tr>
      <w:tr w:rsidR="00FE7E9B" w:rsidRPr="003E17CC" w14:paraId="6EC28C33" w14:textId="77777777" w:rsidTr="00BF1BD7">
        <w:tc>
          <w:tcPr>
            <w:tcW w:w="1870" w:type="dxa"/>
            <w:vAlign w:val="bottom"/>
          </w:tcPr>
          <w:p w14:paraId="3A4F133F" w14:textId="07C21899" w:rsidR="00FE7E9B" w:rsidRPr="003E17CC" w:rsidRDefault="00FE7E9B" w:rsidP="00FE7E9B">
            <w:pPr>
              <w:jc w:val="center"/>
              <w:rPr>
                <w:rFonts w:ascii="Arial" w:hAnsi="Arial" w:cs="Arial"/>
                <w:sz w:val="22"/>
                <w:szCs w:val="22"/>
              </w:rPr>
            </w:pPr>
            <w:r w:rsidRPr="00176490">
              <w:rPr>
                <w:rFonts w:ascii="Arial" w:hAnsi="Arial" w:cs="Arial"/>
                <w:sz w:val="22"/>
                <w:szCs w:val="22"/>
              </w:rPr>
              <w:t>Nickel</w:t>
            </w:r>
          </w:p>
        </w:tc>
        <w:tc>
          <w:tcPr>
            <w:tcW w:w="1870" w:type="dxa"/>
            <w:vAlign w:val="bottom"/>
          </w:tcPr>
          <w:p w14:paraId="06A2267E" w14:textId="3C3655B0" w:rsidR="00FE7E9B" w:rsidRPr="00176490" w:rsidRDefault="00FE7E9B" w:rsidP="00FE7E9B">
            <w:pPr>
              <w:jc w:val="center"/>
              <w:rPr>
                <w:rFonts w:ascii="Arial" w:hAnsi="Arial" w:cs="Arial"/>
                <w:sz w:val="22"/>
                <w:szCs w:val="22"/>
              </w:rPr>
            </w:pPr>
            <w:r w:rsidRPr="00176490">
              <w:rPr>
                <w:rFonts w:ascii="Arial" w:hAnsi="Arial" w:cs="Arial"/>
                <w:sz w:val="22"/>
                <w:szCs w:val="22"/>
              </w:rPr>
              <w:t>0.254</w:t>
            </w:r>
          </w:p>
        </w:tc>
        <w:tc>
          <w:tcPr>
            <w:tcW w:w="1870" w:type="dxa"/>
            <w:vAlign w:val="bottom"/>
          </w:tcPr>
          <w:p w14:paraId="15AB51A5" w14:textId="0B820BF2" w:rsidR="00FE7E9B" w:rsidRPr="00176490" w:rsidRDefault="00FE7E9B" w:rsidP="00FE7E9B">
            <w:pPr>
              <w:jc w:val="center"/>
              <w:rPr>
                <w:rFonts w:ascii="Arial" w:hAnsi="Arial" w:cs="Arial"/>
                <w:sz w:val="22"/>
                <w:szCs w:val="22"/>
              </w:rPr>
            </w:pPr>
            <w:r w:rsidRPr="00176490">
              <w:rPr>
                <w:rFonts w:ascii="Arial" w:hAnsi="Arial" w:cs="Arial"/>
                <w:sz w:val="22"/>
                <w:szCs w:val="22"/>
              </w:rPr>
              <w:t>50</w:t>
            </w:r>
          </w:p>
        </w:tc>
        <w:tc>
          <w:tcPr>
            <w:tcW w:w="1870" w:type="dxa"/>
            <w:vAlign w:val="bottom"/>
          </w:tcPr>
          <w:p w14:paraId="6867DE50" w14:textId="1710EF93" w:rsidR="00FE7E9B" w:rsidRPr="00176490" w:rsidRDefault="00FE7E9B" w:rsidP="00FE7E9B">
            <w:pPr>
              <w:jc w:val="center"/>
              <w:rPr>
                <w:rFonts w:ascii="Arial" w:hAnsi="Arial" w:cs="Arial"/>
                <w:sz w:val="22"/>
                <w:szCs w:val="22"/>
              </w:rPr>
            </w:pPr>
            <w:r w:rsidRPr="00176490">
              <w:rPr>
                <w:rFonts w:ascii="Arial" w:hAnsi="Arial" w:cs="Arial"/>
                <w:sz w:val="22"/>
                <w:szCs w:val="22"/>
              </w:rPr>
              <w:t>196.9×</w:t>
            </w:r>
          </w:p>
        </w:tc>
        <w:tc>
          <w:tcPr>
            <w:tcW w:w="1870" w:type="dxa"/>
            <w:vAlign w:val="bottom"/>
          </w:tcPr>
          <w:p w14:paraId="73C885D1" w14:textId="7FC397C4" w:rsidR="00FE7E9B" w:rsidRPr="00176490" w:rsidRDefault="00FE7E9B" w:rsidP="00FE7E9B">
            <w:pPr>
              <w:jc w:val="center"/>
              <w:rPr>
                <w:rFonts w:ascii="Arial" w:hAnsi="Arial" w:cs="Arial"/>
                <w:sz w:val="22"/>
                <w:szCs w:val="22"/>
              </w:rPr>
            </w:pPr>
            <w:r w:rsidRPr="00176490">
              <w:rPr>
                <w:rFonts w:ascii="Arial" w:hAnsi="Arial" w:cs="Arial"/>
                <w:sz w:val="22"/>
                <w:szCs w:val="22"/>
              </w:rPr>
              <w:t>Very Low</w:t>
            </w:r>
          </w:p>
        </w:tc>
      </w:tr>
    </w:tbl>
    <w:p w14:paraId="20C27A07" w14:textId="77777777" w:rsidR="00866F85" w:rsidRPr="003E17CC" w:rsidRDefault="00866F85" w:rsidP="00866F85">
      <w:pPr>
        <w:rPr>
          <w:rFonts w:ascii="Arial" w:hAnsi="Arial" w:cs="Arial"/>
          <w:b/>
          <w:bCs/>
          <w:sz w:val="22"/>
          <w:szCs w:val="22"/>
        </w:rPr>
      </w:pPr>
    </w:p>
    <w:p w14:paraId="5FD027BF" w14:textId="465BE3B0"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14</w:t>
      </w:r>
      <w:r w:rsidRPr="003E17CC">
        <w:rPr>
          <w:rFonts w:ascii="Arial" w:hAnsi="Arial" w:cs="Arial"/>
          <w:b/>
          <w:bCs/>
          <w:sz w:val="22"/>
          <w:szCs w:val="22"/>
        </w:rPr>
        <w:t xml:space="preserve">: </w:t>
      </w:r>
      <w:r w:rsidR="00DA0B3A" w:rsidRPr="00176490">
        <w:rPr>
          <w:rFonts w:ascii="Arial" w:eastAsiaTheme="majorEastAsia" w:hAnsi="Arial" w:cs="Arial"/>
          <w:b/>
          <w:bCs/>
          <w:sz w:val="22"/>
          <w:szCs w:val="22"/>
        </w:rPr>
        <w:t>Health Risk Summary by Metal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3"/>
        <w:gridCol w:w="1773"/>
        <w:gridCol w:w="1773"/>
        <w:gridCol w:w="3745"/>
      </w:tblGrid>
      <w:tr w:rsidR="00866F85" w:rsidRPr="003E17CC" w14:paraId="66761A80" w14:textId="77777777" w:rsidTr="00BF1BD7">
        <w:trPr>
          <w:trHeight w:val="821"/>
          <w:tblHeader/>
          <w:tblCellSpacing w:w="15" w:type="dxa"/>
        </w:trPr>
        <w:tc>
          <w:tcPr>
            <w:tcW w:w="1728" w:type="dxa"/>
            <w:tcBorders>
              <w:top w:val="single" w:sz="4" w:space="0" w:color="auto"/>
              <w:bottom w:val="single" w:sz="4" w:space="0" w:color="auto"/>
            </w:tcBorders>
            <w:vAlign w:val="center"/>
            <w:hideMark/>
          </w:tcPr>
          <w:p w14:paraId="4F91B5F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Metal</w:t>
            </w:r>
          </w:p>
        </w:tc>
        <w:tc>
          <w:tcPr>
            <w:tcW w:w="1743" w:type="dxa"/>
            <w:tcBorders>
              <w:top w:val="single" w:sz="4" w:space="0" w:color="auto"/>
              <w:bottom w:val="single" w:sz="4" w:space="0" w:color="auto"/>
            </w:tcBorders>
            <w:vAlign w:val="center"/>
            <w:hideMark/>
          </w:tcPr>
          <w:p w14:paraId="23FF581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Risk Level (WHO)</w:t>
            </w:r>
          </w:p>
        </w:tc>
        <w:tc>
          <w:tcPr>
            <w:tcW w:w="1743" w:type="dxa"/>
            <w:tcBorders>
              <w:top w:val="single" w:sz="4" w:space="0" w:color="auto"/>
              <w:bottom w:val="single" w:sz="4" w:space="0" w:color="auto"/>
            </w:tcBorders>
            <w:vAlign w:val="center"/>
            <w:hideMark/>
          </w:tcPr>
          <w:p w14:paraId="15E35881" w14:textId="099BE856" w:rsidR="00866F85" w:rsidRPr="003E17CC" w:rsidRDefault="00866F85" w:rsidP="00BF1BD7">
            <w:pPr>
              <w:jc w:val="center"/>
              <w:rPr>
                <w:rFonts w:ascii="Arial" w:hAnsi="Arial" w:cs="Arial"/>
                <w:sz w:val="22"/>
                <w:szCs w:val="22"/>
              </w:rPr>
            </w:pPr>
            <w:r w:rsidRPr="003E17CC">
              <w:rPr>
                <w:rFonts w:ascii="Arial" w:hAnsi="Arial" w:cs="Arial"/>
                <w:sz w:val="22"/>
                <w:szCs w:val="22"/>
              </w:rPr>
              <w:t>Risk Level (</w:t>
            </w:r>
            <w:r w:rsidR="00C04F80">
              <w:rPr>
                <w:rFonts w:ascii="Arial" w:hAnsi="Arial" w:cs="Arial"/>
                <w:sz w:val="22"/>
                <w:szCs w:val="22"/>
              </w:rPr>
              <w:t>NESREA</w:t>
            </w:r>
            <w:r w:rsidRPr="003E17CC">
              <w:rPr>
                <w:rFonts w:ascii="Arial" w:hAnsi="Arial" w:cs="Arial"/>
                <w:sz w:val="22"/>
                <w:szCs w:val="22"/>
              </w:rPr>
              <w:t>)</w:t>
            </w:r>
          </w:p>
        </w:tc>
        <w:tc>
          <w:tcPr>
            <w:tcW w:w="3700" w:type="dxa"/>
            <w:tcBorders>
              <w:top w:val="single" w:sz="4" w:space="0" w:color="auto"/>
              <w:bottom w:val="single" w:sz="4" w:space="0" w:color="auto"/>
            </w:tcBorders>
            <w:vAlign w:val="center"/>
            <w:hideMark/>
          </w:tcPr>
          <w:p w14:paraId="4DC700CA"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Primary Health Concerns</w:t>
            </w:r>
          </w:p>
        </w:tc>
      </w:tr>
      <w:tr w:rsidR="00DA0B3A" w:rsidRPr="003E17CC" w14:paraId="583841AB" w14:textId="77777777" w:rsidTr="0098787E">
        <w:trPr>
          <w:trHeight w:val="276"/>
          <w:tblCellSpacing w:w="15" w:type="dxa"/>
        </w:trPr>
        <w:tc>
          <w:tcPr>
            <w:tcW w:w="1728" w:type="dxa"/>
            <w:vAlign w:val="bottom"/>
            <w:hideMark/>
          </w:tcPr>
          <w:p w14:paraId="5BE38786" w14:textId="56FF26D6" w:rsidR="00DA0B3A" w:rsidRPr="003E17CC" w:rsidRDefault="00DA0B3A" w:rsidP="00DA0B3A">
            <w:pPr>
              <w:jc w:val="center"/>
              <w:rPr>
                <w:rFonts w:ascii="Arial" w:hAnsi="Arial" w:cs="Arial"/>
                <w:sz w:val="22"/>
                <w:szCs w:val="22"/>
              </w:rPr>
            </w:pPr>
            <w:r w:rsidRPr="00176490">
              <w:rPr>
                <w:rFonts w:ascii="Arial" w:hAnsi="Arial" w:cs="Arial"/>
                <w:sz w:val="22"/>
                <w:szCs w:val="22"/>
              </w:rPr>
              <w:t>Arsenic</w:t>
            </w:r>
          </w:p>
        </w:tc>
        <w:tc>
          <w:tcPr>
            <w:tcW w:w="1743" w:type="dxa"/>
            <w:vAlign w:val="bottom"/>
            <w:hideMark/>
          </w:tcPr>
          <w:p w14:paraId="42D31684" w14:textId="2EA4E4B0"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1743" w:type="dxa"/>
            <w:vAlign w:val="bottom"/>
            <w:hideMark/>
          </w:tcPr>
          <w:p w14:paraId="3713A2F1" w14:textId="407AD62F"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3700" w:type="dxa"/>
            <w:vAlign w:val="bottom"/>
            <w:hideMark/>
          </w:tcPr>
          <w:p w14:paraId="075EBAFD" w14:textId="5F52E0F2" w:rsidR="00DA0B3A" w:rsidRPr="003E17CC" w:rsidRDefault="00DA0B3A" w:rsidP="00DA0B3A">
            <w:pPr>
              <w:jc w:val="center"/>
              <w:rPr>
                <w:rFonts w:ascii="Arial" w:hAnsi="Arial" w:cs="Arial"/>
                <w:sz w:val="22"/>
                <w:szCs w:val="22"/>
              </w:rPr>
            </w:pPr>
            <w:r w:rsidRPr="00176490">
              <w:rPr>
                <w:rFonts w:ascii="Arial" w:hAnsi="Arial" w:cs="Arial"/>
                <w:sz w:val="22"/>
                <w:szCs w:val="22"/>
              </w:rPr>
              <w:t>Skin lesions; potential carcinogenicity at chronic high doses</w:t>
            </w:r>
          </w:p>
        </w:tc>
      </w:tr>
      <w:tr w:rsidR="00DA0B3A" w:rsidRPr="003E17CC" w14:paraId="27A8F8EA" w14:textId="77777777" w:rsidTr="0098787E">
        <w:trPr>
          <w:trHeight w:val="267"/>
          <w:tblCellSpacing w:w="15" w:type="dxa"/>
        </w:trPr>
        <w:tc>
          <w:tcPr>
            <w:tcW w:w="1728" w:type="dxa"/>
            <w:vAlign w:val="bottom"/>
            <w:hideMark/>
          </w:tcPr>
          <w:p w14:paraId="013C1B16" w14:textId="70D1E37A" w:rsidR="00DA0B3A" w:rsidRPr="003E17CC" w:rsidRDefault="00DA0B3A" w:rsidP="00DA0B3A">
            <w:pPr>
              <w:jc w:val="center"/>
              <w:rPr>
                <w:rFonts w:ascii="Arial" w:hAnsi="Arial" w:cs="Arial"/>
                <w:sz w:val="22"/>
                <w:szCs w:val="22"/>
              </w:rPr>
            </w:pPr>
            <w:r w:rsidRPr="00176490">
              <w:rPr>
                <w:rFonts w:ascii="Arial" w:hAnsi="Arial" w:cs="Arial"/>
                <w:sz w:val="22"/>
                <w:szCs w:val="22"/>
              </w:rPr>
              <w:t>Nickel</w:t>
            </w:r>
          </w:p>
        </w:tc>
        <w:tc>
          <w:tcPr>
            <w:tcW w:w="1743" w:type="dxa"/>
            <w:vAlign w:val="bottom"/>
            <w:hideMark/>
          </w:tcPr>
          <w:p w14:paraId="79E7C5EC" w14:textId="7E9EFFDF"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1743" w:type="dxa"/>
            <w:vAlign w:val="bottom"/>
            <w:hideMark/>
          </w:tcPr>
          <w:p w14:paraId="4BA0F202" w14:textId="6C8E4A11"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3700" w:type="dxa"/>
            <w:vAlign w:val="bottom"/>
            <w:hideMark/>
          </w:tcPr>
          <w:p w14:paraId="78712518" w14:textId="24F88FB7" w:rsidR="00DA0B3A" w:rsidRPr="003E17CC" w:rsidRDefault="00DA0B3A" w:rsidP="00DA0B3A">
            <w:pPr>
              <w:jc w:val="center"/>
              <w:rPr>
                <w:rFonts w:ascii="Arial" w:hAnsi="Arial" w:cs="Arial"/>
                <w:sz w:val="22"/>
                <w:szCs w:val="22"/>
              </w:rPr>
            </w:pPr>
            <w:r w:rsidRPr="00176490">
              <w:rPr>
                <w:rFonts w:ascii="Arial" w:hAnsi="Arial" w:cs="Arial"/>
                <w:sz w:val="22"/>
                <w:szCs w:val="22"/>
              </w:rPr>
              <w:t xml:space="preserve">Allergic dermatitis; respiratory </w:t>
            </w:r>
            <w:r w:rsidR="008718A3" w:rsidRPr="00176490">
              <w:rPr>
                <w:rFonts w:ascii="Arial" w:hAnsi="Arial" w:cs="Arial"/>
                <w:sz w:val="22"/>
                <w:szCs w:val="22"/>
              </w:rPr>
              <w:t>sensitization</w:t>
            </w:r>
          </w:p>
        </w:tc>
      </w:tr>
      <w:tr w:rsidR="00DA0B3A" w:rsidRPr="003E17CC" w14:paraId="2FDE2C44" w14:textId="77777777" w:rsidTr="0098787E">
        <w:trPr>
          <w:trHeight w:val="494"/>
          <w:tblCellSpacing w:w="15" w:type="dxa"/>
        </w:trPr>
        <w:tc>
          <w:tcPr>
            <w:tcW w:w="1728" w:type="dxa"/>
            <w:vAlign w:val="bottom"/>
            <w:hideMark/>
          </w:tcPr>
          <w:p w14:paraId="1861F1C4" w14:textId="10CA6488" w:rsidR="00DA0B3A" w:rsidRPr="003E17CC" w:rsidRDefault="00DA0B3A" w:rsidP="00DA0B3A">
            <w:pPr>
              <w:jc w:val="center"/>
              <w:rPr>
                <w:rFonts w:ascii="Arial" w:hAnsi="Arial" w:cs="Arial"/>
                <w:sz w:val="22"/>
                <w:szCs w:val="22"/>
              </w:rPr>
            </w:pPr>
            <w:r w:rsidRPr="00176490">
              <w:rPr>
                <w:rFonts w:ascii="Arial" w:hAnsi="Arial" w:cs="Arial"/>
                <w:sz w:val="22"/>
                <w:szCs w:val="22"/>
              </w:rPr>
              <w:t>Chromium</w:t>
            </w:r>
          </w:p>
        </w:tc>
        <w:tc>
          <w:tcPr>
            <w:tcW w:w="1743" w:type="dxa"/>
            <w:vAlign w:val="bottom"/>
            <w:hideMark/>
          </w:tcPr>
          <w:p w14:paraId="0084ADFF" w14:textId="18E13581"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1743" w:type="dxa"/>
            <w:vAlign w:val="bottom"/>
            <w:hideMark/>
          </w:tcPr>
          <w:p w14:paraId="7D13AF2E" w14:textId="11DFDDC0"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3700" w:type="dxa"/>
            <w:vAlign w:val="bottom"/>
            <w:hideMark/>
          </w:tcPr>
          <w:p w14:paraId="7734639B" w14:textId="54CD4870" w:rsidR="00DA0B3A" w:rsidRPr="003E17CC" w:rsidRDefault="00DA0B3A" w:rsidP="00DA0B3A">
            <w:pPr>
              <w:jc w:val="center"/>
              <w:rPr>
                <w:rFonts w:ascii="Arial" w:hAnsi="Arial" w:cs="Arial"/>
                <w:sz w:val="22"/>
                <w:szCs w:val="22"/>
              </w:rPr>
            </w:pPr>
            <w:r w:rsidRPr="00176490">
              <w:rPr>
                <w:rFonts w:ascii="Arial" w:hAnsi="Arial" w:cs="Arial"/>
                <w:sz w:val="22"/>
                <w:szCs w:val="22"/>
              </w:rPr>
              <w:t>Skin irritation; potential ulceration (Cr VI)</w:t>
            </w:r>
          </w:p>
        </w:tc>
      </w:tr>
      <w:tr w:rsidR="00DA0B3A" w:rsidRPr="003E17CC" w14:paraId="7F208B32" w14:textId="77777777" w:rsidTr="0098787E">
        <w:trPr>
          <w:trHeight w:val="438"/>
          <w:tblCellSpacing w:w="15" w:type="dxa"/>
        </w:trPr>
        <w:tc>
          <w:tcPr>
            <w:tcW w:w="1728" w:type="dxa"/>
            <w:vAlign w:val="bottom"/>
            <w:hideMark/>
          </w:tcPr>
          <w:p w14:paraId="79550963" w14:textId="36FB8691" w:rsidR="00DA0B3A" w:rsidRPr="003E17CC" w:rsidRDefault="00DA0B3A" w:rsidP="00DA0B3A">
            <w:pPr>
              <w:jc w:val="center"/>
              <w:rPr>
                <w:rFonts w:ascii="Arial" w:hAnsi="Arial" w:cs="Arial"/>
                <w:sz w:val="22"/>
                <w:szCs w:val="22"/>
              </w:rPr>
            </w:pPr>
            <w:r w:rsidRPr="00176490">
              <w:rPr>
                <w:rFonts w:ascii="Arial" w:hAnsi="Arial" w:cs="Arial"/>
                <w:sz w:val="22"/>
                <w:szCs w:val="22"/>
              </w:rPr>
              <w:t>Cadmium</w:t>
            </w:r>
          </w:p>
        </w:tc>
        <w:tc>
          <w:tcPr>
            <w:tcW w:w="1743" w:type="dxa"/>
            <w:vAlign w:val="bottom"/>
            <w:hideMark/>
          </w:tcPr>
          <w:p w14:paraId="4E560F41" w14:textId="71576502"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1743" w:type="dxa"/>
            <w:vAlign w:val="bottom"/>
            <w:hideMark/>
          </w:tcPr>
          <w:p w14:paraId="569406DB" w14:textId="459F0F3E"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3700" w:type="dxa"/>
            <w:vAlign w:val="bottom"/>
            <w:hideMark/>
          </w:tcPr>
          <w:p w14:paraId="07D7DC06" w14:textId="75B12EA9" w:rsidR="00DA0B3A" w:rsidRPr="003E17CC" w:rsidRDefault="00DA0B3A" w:rsidP="00DA0B3A">
            <w:pPr>
              <w:jc w:val="center"/>
              <w:rPr>
                <w:rFonts w:ascii="Arial" w:hAnsi="Arial" w:cs="Arial"/>
                <w:sz w:val="22"/>
                <w:szCs w:val="22"/>
              </w:rPr>
            </w:pPr>
            <w:r w:rsidRPr="00176490">
              <w:rPr>
                <w:rFonts w:ascii="Arial" w:hAnsi="Arial" w:cs="Arial"/>
                <w:sz w:val="22"/>
                <w:szCs w:val="22"/>
              </w:rPr>
              <w:t xml:space="preserve">Renal tubular damage; bone </w:t>
            </w:r>
            <w:r w:rsidR="00510D99" w:rsidRPr="00176490">
              <w:rPr>
                <w:rFonts w:ascii="Arial" w:hAnsi="Arial" w:cs="Arial"/>
                <w:sz w:val="22"/>
                <w:szCs w:val="22"/>
              </w:rPr>
              <w:t>demineralization</w:t>
            </w:r>
          </w:p>
        </w:tc>
      </w:tr>
      <w:tr w:rsidR="00DA0B3A" w:rsidRPr="003E17CC" w14:paraId="5E5E689C" w14:textId="77777777" w:rsidTr="0098787E">
        <w:trPr>
          <w:trHeight w:val="484"/>
          <w:tblCellSpacing w:w="15" w:type="dxa"/>
        </w:trPr>
        <w:tc>
          <w:tcPr>
            <w:tcW w:w="1728" w:type="dxa"/>
            <w:tcBorders>
              <w:bottom w:val="single" w:sz="4" w:space="0" w:color="auto"/>
            </w:tcBorders>
            <w:vAlign w:val="bottom"/>
            <w:hideMark/>
          </w:tcPr>
          <w:p w14:paraId="1E890623" w14:textId="38077848" w:rsidR="00DA0B3A" w:rsidRPr="003E17CC" w:rsidRDefault="00DA0B3A" w:rsidP="00DA0B3A">
            <w:pPr>
              <w:jc w:val="center"/>
              <w:rPr>
                <w:rFonts w:ascii="Arial" w:hAnsi="Arial" w:cs="Arial"/>
                <w:sz w:val="22"/>
                <w:szCs w:val="22"/>
              </w:rPr>
            </w:pPr>
            <w:r w:rsidRPr="00176490">
              <w:rPr>
                <w:rFonts w:ascii="Arial" w:hAnsi="Arial" w:cs="Arial"/>
                <w:sz w:val="22"/>
                <w:szCs w:val="22"/>
              </w:rPr>
              <w:t>Lead</w:t>
            </w:r>
          </w:p>
        </w:tc>
        <w:tc>
          <w:tcPr>
            <w:tcW w:w="1743" w:type="dxa"/>
            <w:tcBorders>
              <w:bottom w:val="single" w:sz="4" w:space="0" w:color="auto"/>
            </w:tcBorders>
            <w:vAlign w:val="bottom"/>
            <w:hideMark/>
          </w:tcPr>
          <w:p w14:paraId="09BD21B1" w14:textId="7DF1FCFF"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1743" w:type="dxa"/>
            <w:tcBorders>
              <w:bottom w:val="single" w:sz="4" w:space="0" w:color="auto"/>
            </w:tcBorders>
            <w:vAlign w:val="bottom"/>
            <w:hideMark/>
          </w:tcPr>
          <w:p w14:paraId="37C246E3" w14:textId="2332D6BC"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3700" w:type="dxa"/>
            <w:tcBorders>
              <w:bottom w:val="single" w:sz="4" w:space="0" w:color="auto"/>
            </w:tcBorders>
            <w:vAlign w:val="bottom"/>
            <w:hideMark/>
          </w:tcPr>
          <w:p w14:paraId="33264629" w14:textId="63EDAE16" w:rsidR="00DA0B3A" w:rsidRPr="003E17CC" w:rsidRDefault="00DA0B3A" w:rsidP="00DA0B3A">
            <w:pPr>
              <w:jc w:val="center"/>
              <w:rPr>
                <w:rFonts w:ascii="Arial" w:hAnsi="Arial" w:cs="Arial"/>
                <w:sz w:val="22"/>
                <w:szCs w:val="22"/>
              </w:rPr>
            </w:pPr>
            <w:r w:rsidRPr="00176490">
              <w:rPr>
                <w:rFonts w:ascii="Arial" w:hAnsi="Arial" w:cs="Arial"/>
                <w:sz w:val="22"/>
                <w:szCs w:val="22"/>
              </w:rPr>
              <w:t>Neurological and developmental effects, particularly in children</w:t>
            </w:r>
          </w:p>
        </w:tc>
      </w:tr>
    </w:tbl>
    <w:p w14:paraId="66E02114" w14:textId="77777777" w:rsidR="00866F85" w:rsidRPr="003E17CC" w:rsidRDefault="00866F85" w:rsidP="00866F85">
      <w:pPr>
        <w:rPr>
          <w:rFonts w:ascii="Arial" w:hAnsi="Arial" w:cs="Arial"/>
          <w:b/>
          <w:bCs/>
          <w:sz w:val="22"/>
          <w:szCs w:val="22"/>
        </w:rPr>
      </w:pPr>
    </w:p>
    <w:p w14:paraId="3F61F87F" w14:textId="7A004741" w:rsidR="00866F85" w:rsidRDefault="005E5237"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.5.2 Cumulative Risk Assessment</w:t>
      </w:r>
    </w:p>
    <w:p w14:paraId="120EBDFD" w14:textId="77777777" w:rsidR="005E5237" w:rsidRPr="003E17CC" w:rsidRDefault="005E5237" w:rsidP="00866F85">
      <w:pPr>
        <w:rPr>
          <w:rFonts w:ascii="Arial" w:hAnsi="Arial" w:cs="Arial"/>
          <w:b/>
          <w:bCs/>
          <w:sz w:val="22"/>
          <w:szCs w:val="22"/>
        </w:rPr>
      </w:pPr>
    </w:p>
    <w:p w14:paraId="38A24A36" w14:textId="77777777" w:rsidR="00DA0B3A" w:rsidRPr="00176490" w:rsidRDefault="00DA0B3A" w:rsidP="00DA0B3A">
      <w:pPr>
        <w:spacing w:after="160" w:line="278" w:lineRule="auto"/>
        <w:jc w:val="both"/>
        <w:rPr>
          <w:rFonts w:ascii="Arial" w:hAnsi="Arial" w:cs="Arial"/>
          <w:sz w:val="22"/>
          <w:szCs w:val="22"/>
        </w:rPr>
      </w:pPr>
      <w:r w:rsidRPr="00176490">
        <w:rPr>
          <w:rFonts w:ascii="Arial" w:hAnsi="Arial" w:cs="Arial"/>
          <w:sz w:val="22"/>
          <w:szCs w:val="22"/>
        </w:rPr>
        <w:t>Combined non-carcinogenic risk was estimated using the multi-metal cumulative index:</w:t>
      </w:r>
    </w:p>
    <w:p w14:paraId="292D7401" w14:textId="77777777" w:rsidR="00510D99" w:rsidRPr="00510D99" w:rsidRDefault="00DA0B3A" w:rsidP="00DA0B3A">
      <w:pPr>
        <w:rPr>
          <w:rFonts w:ascii="Arial" w:hAnsi="Arial" w:cs="Arial"/>
          <w:sz w:val="22"/>
          <w:szCs w:val="22"/>
        </w:rPr>
      </w:pPr>
      <m:oMathPara>
        <m:oMath>
          <m:r>
            <w:rPr>
              <w:rFonts w:ascii="Cambria Math" w:hAnsi="Cambria Math" w:cs="Arial"/>
              <w:sz w:val="22"/>
              <w:szCs w:val="22"/>
            </w:rPr>
            <w:lastRenderedPageBreak/>
            <m:t>Risk</m:t>
          </m:r>
          <m:r>
            <m:rPr>
              <m:nor/>
            </m:rPr>
            <w:rPr>
              <w:rFonts w:ascii="Arial" w:hAnsi="Arial" w:cs="Arial"/>
              <w:sz w:val="22"/>
              <w:szCs w:val="22"/>
            </w:rPr>
            <m:t xml:space="preserve"> </m:t>
          </m:r>
          <m:r>
            <w:rPr>
              <w:rFonts w:ascii="Cambria Math" w:hAnsi="Cambria Math" w:cs="Arial"/>
              <w:sz w:val="22"/>
              <w:szCs w:val="22"/>
            </w:rPr>
            <m:t>Index=∑</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num>
            <m:den>
              <m:sSub>
                <m:sSubPr>
                  <m:ctrlPr>
                    <w:rPr>
                      <w:rFonts w:ascii="Cambria Math" w:hAnsi="Cambria Math" w:cs="Arial"/>
                      <w:sz w:val="22"/>
                      <w:szCs w:val="22"/>
                    </w:rPr>
                  </m:ctrlPr>
                </m:sSubPr>
                <m:e>
                  <m:r>
                    <w:rPr>
                      <w:rFonts w:ascii="Cambria Math" w:hAnsi="Cambria Math" w:cs="Arial"/>
                      <w:sz w:val="22"/>
                      <w:szCs w:val="22"/>
                    </w:rPr>
                    <m:t>L</m:t>
                  </m:r>
                </m:e>
                <m:sub>
                  <m:r>
                    <w:rPr>
                      <w:rFonts w:ascii="Cambria Math" w:hAnsi="Cambria Math" w:cs="Arial"/>
                      <w:sz w:val="22"/>
                      <w:szCs w:val="22"/>
                    </w:rPr>
                    <m:t>i</m:t>
                  </m:r>
                </m:sub>
              </m:sSub>
            </m:den>
          </m:f>
        </m:oMath>
      </m:oMathPara>
    </w:p>
    <w:p w14:paraId="4FC81FC8" w14:textId="77777777" w:rsidR="00510D99" w:rsidRPr="00176490" w:rsidRDefault="00510D99" w:rsidP="00510D99">
      <w:pPr>
        <w:spacing w:after="160" w:line="278" w:lineRule="auto"/>
        <w:jc w:val="both"/>
        <w:rPr>
          <w:rFonts w:ascii="Arial" w:hAnsi="Arial" w:cs="Arial"/>
          <w:sz w:val="22"/>
          <w:szCs w:val="22"/>
        </w:rPr>
      </w:pPr>
      <w:r w:rsidRPr="00176490">
        <w:rPr>
          <w:rFonts w:ascii="Arial" w:hAnsi="Arial" w:cs="Arial"/>
          <w:sz w:val="22"/>
          <w:szCs w:val="22"/>
        </w:rPr>
        <w:t>Where </w:t>
      </w:r>
      <w:r w:rsidRPr="00176490">
        <w:rPr>
          <w:rFonts w:ascii="Arial" w:eastAsiaTheme="majorEastAsia" w:hAnsi="Arial" w:cs="Arial"/>
          <w:i/>
          <w:iCs/>
          <w:sz w:val="22"/>
          <w:szCs w:val="22"/>
        </w:rPr>
        <w:t>C</w:t>
      </w:r>
      <w:r w:rsidRPr="00176490">
        <w:rPr>
          <w:rFonts w:ascii="Arial" w:hAnsi="Arial" w:cs="Arial"/>
          <w:sz w:val="22"/>
          <w:szCs w:val="22"/>
        </w:rPr>
        <w:t>_i is the measured concentration of each metal and </w:t>
      </w:r>
      <w:r w:rsidRPr="00176490">
        <w:rPr>
          <w:rFonts w:ascii="Arial" w:eastAsiaTheme="majorEastAsia" w:hAnsi="Arial" w:cs="Arial"/>
          <w:i/>
          <w:iCs/>
          <w:sz w:val="22"/>
          <w:szCs w:val="22"/>
        </w:rPr>
        <w:t>L</w:t>
      </w:r>
      <w:r w:rsidRPr="00176490">
        <w:rPr>
          <w:rFonts w:ascii="Arial" w:hAnsi="Arial" w:cs="Arial"/>
          <w:sz w:val="22"/>
          <w:szCs w:val="22"/>
        </w:rPr>
        <w:t>_i is the corresponding regulatory limit.</w:t>
      </w:r>
    </w:p>
    <w:p w14:paraId="19DD1240" w14:textId="2957FAC3" w:rsidR="005E5237" w:rsidRPr="003E17CC" w:rsidRDefault="005E5237" w:rsidP="00DA0B3A">
      <w:pPr>
        <w:rPr>
          <w:rFonts w:ascii="Arial" w:hAnsi="Arial" w:cs="Arial"/>
          <w:sz w:val="22"/>
          <w:szCs w:val="22"/>
        </w:rPr>
      </w:pPr>
    </w:p>
    <w:p w14:paraId="521C72E3" w14:textId="5E62D6D6"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15</w:t>
      </w:r>
      <w:r w:rsidRPr="003E17CC">
        <w:rPr>
          <w:rFonts w:ascii="Arial" w:hAnsi="Arial" w:cs="Arial"/>
          <w:b/>
          <w:bCs/>
          <w:sz w:val="22"/>
          <w:szCs w:val="22"/>
        </w:rPr>
        <w:t>: Cumulative Risk Index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0"/>
        <w:gridCol w:w="2520"/>
        <w:gridCol w:w="3222"/>
        <w:gridCol w:w="1368"/>
      </w:tblGrid>
      <w:tr w:rsidR="00866F85" w:rsidRPr="003E17CC" w14:paraId="33A6FE32" w14:textId="77777777" w:rsidTr="00BF1BD7">
        <w:trPr>
          <w:tblHeader/>
          <w:tblCellSpacing w:w="15" w:type="dxa"/>
        </w:trPr>
        <w:tc>
          <w:tcPr>
            <w:tcW w:w="2205" w:type="dxa"/>
            <w:tcBorders>
              <w:top w:val="single" w:sz="4" w:space="0" w:color="auto"/>
              <w:bottom w:val="single" w:sz="4" w:space="0" w:color="auto"/>
            </w:tcBorders>
            <w:vAlign w:val="center"/>
            <w:hideMark/>
          </w:tcPr>
          <w:p w14:paraId="28704F33"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Location</w:t>
            </w:r>
          </w:p>
        </w:tc>
        <w:tc>
          <w:tcPr>
            <w:tcW w:w="2490" w:type="dxa"/>
            <w:tcBorders>
              <w:top w:val="single" w:sz="4" w:space="0" w:color="auto"/>
              <w:bottom w:val="single" w:sz="4" w:space="0" w:color="auto"/>
            </w:tcBorders>
            <w:vAlign w:val="center"/>
            <w:hideMark/>
          </w:tcPr>
          <w:p w14:paraId="779B1E1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Combined Risk Index (WHO basis)</w:t>
            </w:r>
          </w:p>
        </w:tc>
        <w:tc>
          <w:tcPr>
            <w:tcW w:w="3192" w:type="dxa"/>
            <w:tcBorders>
              <w:top w:val="single" w:sz="4" w:space="0" w:color="auto"/>
              <w:bottom w:val="single" w:sz="4" w:space="0" w:color="auto"/>
            </w:tcBorders>
            <w:vAlign w:val="center"/>
            <w:hideMark/>
          </w:tcPr>
          <w:p w14:paraId="14DEF60F" w14:textId="5CDA9F2B"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Combined Risk Index (</w:t>
            </w:r>
            <w:r w:rsidR="00C04F80" w:rsidRPr="00C04F80">
              <w:rPr>
                <w:rFonts w:ascii="Arial" w:hAnsi="Arial" w:cs="Arial"/>
                <w:b/>
                <w:bCs/>
                <w:sz w:val="22"/>
                <w:szCs w:val="22"/>
              </w:rPr>
              <w:t>NESREA</w:t>
            </w:r>
            <w:r w:rsidRPr="003E17CC">
              <w:rPr>
                <w:rFonts w:ascii="Arial" w:hAnsi="Arial" w:cs="Arial"/>
                <w:b/>
                <w:bCs/>
                <w:sz w:val="22"/>
                <w:szCs w:val="22"/>
              </w:rPr>
              <w:t xml:space="preserve"> basis)</w:t>
            </w:r>
          </w:p>
        </w:tc>
        <w:tc>
          <w:tcPr>
            <w:tcW w:w="0" w:type="auto"/>
            <w:tcBorders>
              <w:top w:val="single" w:sz="4" w:space="0" w:color="auto"/>
              <w:bottom w:val="single" w:sz="4" w:space="0" w:color="auto"/>
            </w:tcBorders>
            <w:vAlign w:val="center"/>
            <w:hideMark/>
          </w:tcPr>
          <w:p w14:paraId="489267DA"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Risk Category</w:t>
            </w:r>
          </w:p>
        </w:tc>
      </w:tr>
      <w:tr w:rsidR="00510D99" w:rsidRPr="003E17CC" w14:paraId="29CC2EA8" w14:textId="77777777" w:rsidTr="00A45FF2">
        <w:trPr>
          <w:tblCellSpacing w:w="15" w:type="dxa"/>
        </w:trPr>
        <w:tc>
          <w:tcPr>
            <w:tcW w:w="2205" w:type="dxa"/>
            <w:vAlign w:val="bottom"/>
            <w:hideMark/>
          </w:tcPr>
          <w:p w14:paraId="2872A280" w14:textId="4AD16E9D" w:rsidR="00510D99" w:rsidRPr="003E17CC" w:rsidRDefault="00510D99" w:rsidP="00510D99">
            <w:pPr>
              <w:jc w:val="center"/>
              <w:rPr>
                <w:rFonts w:ascii="Arial" w:hAnsi="Arial" w:cs="Arial"/>
                <w:sz w:val="22"/>
                <w:szCs w:val="22"/>
              </w:rPr>
            </w:pPr>
            <w:r w:rsidRPr="00176490">
              <w:rPr>
                <w:rFonts w:ascii="Arial" w:hAnsi="Arial" w:cs="Arial"/>
                <w:sz w:val="22"/>
                <w:szCs w:val="22"/>
              </w:rPr>
              <w:t>Within Landfill (A)</w:t>
            </w:r>
          </w:p>
        </w:tc>
        <w:tc>
          <w:tcPr>
            <w:tcW w:w="2490" w:type="dxa"/>
            <w:vAlign w:val="bottom"/>
            <w:hideMark/>
          </w:tcPr>
          <w:p w14:paraId="50D0D646" w14:textId="7766DA11" w:rsidR="00510D99" w:rsidRPr="003E17CC" w:rsidRDefault="00510D99" w:rsidP="00510D99">
            <w:pPr>
              <w:jc w:val="center"/>
              <w:rPr>
                <w:rFonts w:ascii="Arial" w:hAnsi="Arial" w:cs="Arial"/>
                <w:sz w:val="22"/>
                <w:szCs w:val="22"/>
              </w:rPr>
            </w:pPr>
            <w:r w:rsidRPr="00176490">
              <w:rPr>
                <w:rFonts w:ascii="Arial" w:hAnsi="Arial" w:cs="Arial"/>
                <w:sz w:val="22"/>
                <w:szCs w:val="22"/>
              </w:rPr>
              <w:t>0.089</w:t>
            </w:r>
          </w:p>
        </w:tc>
        <w:tc>
          <w:tcPr>
            <w:tcW w:w="3192" w:type="dxa"/>
            <w:vAlign w:val="bottom"/>
            <w:hideMark/>
          </w:tcPr>
          <w:p w14:paraId="76B92A19" w14:textId="0FCF3508" w:rsidR="00510D99" w:rsidRPr="003E17CC" w:rsidRDefault="00510D99" w:rsidP="00510D99">
            <w:pPr>
              <w:jc w:val="center"/>
              <w:rPr>
                <w:rFonts w:ascii="Arial" w:hAnsi="Arial" w:cs="Arial"/>
                <w:sz w:val="22"/>
                <w:szCs w:val="22"/>
              </w:rPr>
            </w:pPr>
            <w:r w:rsidRPr="00176490">
              <w:rPr>
                <w:rFonts w:ascii="Arial" w:hAnsi="Arial" w:cs="Arial"/>
                <w:sz w:val="22"/>
                <w:szCs w:val="22"/>
              </w:rPr>
              <w:t>0.151</w:t>
            </w:r>
          </w:p>
        </w:tc>
        <w:tc>
          <w:tcPr>
            <w:tcW w:w="0" w:type="auto"/>
            <w:vAlign w:val="center"/>
            <w:hideMark/>
          </w:tcPr>
          <w:p w14:paraId="3890E5C9" w14:textId="77777777" w:rsidR="00510D99" w:rsidRPr="003E17CC" w:rsidRDefault="00510D99" w:rsidP="00510D99">
            <w:pPr>
              <w:jc w:val="center"/>
              <w:rPr>
                <w:rFonts w:ascii="Arial" w:hAnsi="Arial" w:cs="Arial"/>
                <w:sz w:val="22"/>
                <w:szCs w:val="22"/>
              </w:rPr>
            </w:pPr>
            <w:r w:rsidRPr="003E17CC">
              <w:rPr>
                <w:rFonts w:ascii="Arial" w:hAnsi="Arial" w:cs="Arial"/>
                <w:sz w:val="22"/>
                <w:szCs w:val="22"/>
              </w:rPr>
              <w:t>Low</w:t>
            </w:r>
          </w:p>
        </w:tc>
      </w:tr>
      <w:tr w:rsidR="00510D99" w:rsidRPr="003E17CC" w14:paraId="6734FFB0" w14:textId="77777777" w:rsidTr="00A45FF2">
        <w:trPr>
          <w:tblCellSpacing w:w="15" w:type="dxa"/>
        </w:trPr>
        <w:tc>
          <w:tcPr>
            <w:tcW w:w="2205" w:type="dxa"/>
            <w:vAlign w:val="bottom"/>
            <w:hideMark/>
          </w:tcPr>
          <w:p w14:paraId="1926A652" w14:textId="4A3F7895" w:rsidR="00510D99" w:rsidRPr="003E17CC" w:rsidRDefault="00510D99" w:rsidP="00510D99">
            <w:pPr>
              <w:jc w:val="center"/>
              <w:rPr>
                <w:rFonts w:ascii="Arial" w:hAnsi="Arial" w:cs="Arial"/>
                <w:sz w:val="22"/>
                <w:szCs w:val="22"/>
              </w:rPr>
            </w:pPr>
            <w:r w:rsidRPr="00176490">
              <w:rPr>
                <w:rFonts w:ascii="Arial" w:hAnsi="Arial" w:cs="Arial"/>
                <w:sz w:val="22"/>
                <w:szCs w:val="22"/>
              </w:rPr>
              <w:t>Near-field (B)</w:t>
            </w:r>
          </w:p>
        </w:tc>
        <w:tc>
          <w:tcPr>
            <w:tcW w:w="2490" w:type="dxa"/>
            <w:vAlign w:val="bottom"/>
            <w:hideMark/>
          </w:tcPr>
          <w:p w14:paraId="7AC74F9B" w14:textId="142AF654" w:rsidR="00510D99" w:rsidRPr="003E17CC" w:rsidRDefault="00510D99" w:rsidP="00510D99">
            <w:pPr>
              <w:jc w:val="center"/>
              <w:rPr>
                <w:rFonts w:ascii="Arial" w:hAnsi="Arial" w:cs="Arial"/>
                <w:sz w:val="22"/>
                <w:szCs w:val="22"/>
              </w:rPr>
            </w:pPr>
            <w:r w:rsidRPr="00176490">
              <w:rPr>
                <w:rFonts w:ascii="Arial" w:hAnsi="Arial" w:cs="Arial"/>
                <w:sz w:val="22"/>
                <w:szCs w:val="22"/>
              </w:rPr>
              <w:t>0.024</w:t>
            </w:r>
          </w:p>
        </w:tc>
        <w:tc>
          <w:tcPr>
            <w:tcW w:w="3192" w:type="dxa"/>
            <w:vAlign w:val="bottom"/>
            <w:hideMark/>
          </w:tcPr>
          <w:p w14:paraId="4B45F9E0" w14:textId="6D15382B" w:rsidR="00510D99" w:rsidRPr="003E17CC" w:rsidRDefault="00510D99" w:rsidP="00510D99">
            <w:pPr>
              <w:jc w:val="center"/>
              <w:rPr>
                <w:rFonts w:ascii="Arial" w:hAnsi="Arial" w:cs="Arial"/>
                <w:sz w:val="22"/>
                <w:szCs w:val="22"/>
              </w:rPr>
            </w:pPr>
            <w:r w:rsidRPr="00176490">
              <w:rPr>
                <w:rFonts w:ascii="Arial" w:hAnsi="Arial" w:cs="Arial"/>
                <w:sz w:val="22"/>
                <w:szCs w:val="22"/>
              </w:rPr>
              <w:t>0.039</w:t>
            </w:r>
          </w:p>
        </w:tc>
        <w:tc>
          <w:tcPr>
            <w:tcW w:w="0" w:type="auto"/>
            <w:vAlign w:val="center"/>
            <w:hideMark/>
          </w:tcPr>
          <w:p w14:paraId="568FD6EC" w14:textId="77777777" w:rsidR="00510D99" w:rsidRPr="003E17CC" w:rsidRDefault="00510D99" w:rsidP="00510D99">
            <w:pPr>
              <w:jc w:val="center"/>
              <w:rPr>
                <w:rFonts w:ascii="Arial" w:hAnsi="Arial" w:cs="Arial"/>
                <w:sz w:val="22"/>
                <w:szCs w:val="22"/>
              </w:rPr>
            </w:pPr>
            <w:r w:rsidRPr="003E17CC">
              <w:rPr>
                <w:rFonts w:ascii="Arial" w:hAnsi="Arial" w:cs="Arial"/>
                <w:sz w:val="22"/>
                <w:szCs w:val="22"/>
              </w:rPr>
              <w:t>Low</w:t>
            </w:r>
          </w:p>
        </w:tc>
      </w:tr>
      <w:tr w:rsidR="00510D99" w:rsidRPr="003E17CC" w14:paraId="38928A77" w14:textId="77777777" w:rsidTr="00A45FF2">
        <w:trPr>
          <w:tblCellSpacing w:w="15" w:type="dxa"/>
        </w:trPr>
        <w:tc>
          <w:tcPr>
            <w:tcW w:w="2205" w:type="dxa"/>
            <w:vAlign w:val="bottom"/>
            <w:hideMark/>
          </w:tcPr>
          <w:p w14:paraId="7741E89D" w14:textId="622DE912" w:rsidR="00510D99" w:rsidRPr="003E17CC" w:rsidRDefault="00510D99" w:rsidP="00510D99">
            <w:pPr>
              <w:jc w:val="center"/>
              <w:rPr>
                <w:rFonts w:ascii="Arial" w:hAnsi="Arial" w:cs="Arial"/>
                <w:sz w:val="22"/>
                <w:szCs w:val="22"/>
              </w:rPr>
            </w:pPr>
            <w:r w:rsidRPr="00176490">
              <w:rPr>
                <w:rFonts w:ascii="Arial" w:hAnsi="Arial" w:cs="Arial"/>
                <w:sz w:val="22"/>
                <w:szCs w:val="22"/>
              </w:rPr>
              <w:t>Far-field (C)</w:t>
            </w:r>
          </w:p>
        </w:tc>
        <w:tc>
          <w:tcPr>
            <w:tcW w:w="2490" w:type="dxa"/>
            <w:vAlign w:val="bottom"/>
            <w:hideMark/>
          </w:tcPr>
          <w:p w14:paraId="3685BB88" w14:textId="4E12901B" w:rsidR="00510D99" w:rsidRPr="003E17CC" w:rsidRDefault="00510D99" w:rsidP="00510D99">
            <w:pPr>
              <w:jc w:val="center"/>
              <w:rPr>
                <w:rFonts w:ascii="Arial" w:hAnsi="Arial" w:cs="Arial"/>
                <w:sz w:val="22"/>
                <w:szCs w:val="22"/>
              </w:rPr>
            </w:pPr>
            <w:r w:rsidRPr="00176490">
              <w:rPr>
                <w:rFonts w:ascii="Arial" w:hAnsi="Arial" w:cs="Arial"/>
                <w:sz w:val="22"/>
                <w:szCs w:val="22"/>
              </w:rPr>
              <w:t>0.051</w:t>
            </w:r>
          </w:p>
        </w:tc>
        <w:tc>
          <w:tcPr>
            <w:tcW w:w="3192" w:type="dxa"/>
            <w:vAlign w:val="bottom"/>
            <w:hideMark/>
          </w:tcPr>
          <w:p w14:paraId="43782AD8" w14:textId="6B45BDEF" w:rsidR="00510D99" w:rsidRPr="003E17CC" w:rsidRDefault="00510D99" w:rsidP="00510D99">
            <w:pPr>
              <w:jc w:val="center"/>
              <w:rPr>
                <w:rFonts w:ascii="Arial" w:hAnsi="Arial" w:cs="Arial"/>
                <w:sz w:val="22"/>
                <w:szCs w:val="22"/>
              </w:rPr>
            </w:pPr>
            <w:r w:rsidRPr="00176490">
              <w:rPr>
                <w:rFonts w:ascii="Arial" w:hAnsi="Arial" w:cs="Arial"/>
                <w:sz w:val="22"/>
                <w:szCs w:val="22"/>
              </w:rPr>
              <w:t>0.078</w:t>
            </w:r>
          </w:p>
        </w:tc>
        <w:tc>
          <w:tcPr>
            <w:tcW w:w="0" w:type="auto"/>
            <w:vAlign w:val="center"/>
            <w:hideMark/>
          </w:tcPr>
          <w:p w14:paraId="74108385" w14:textId="77777777" w:rsidR="00510D99" w:rsidRPr="003E17CC" w:rsidRDefault="00510D99" w:rsidP="00510D99">
            <w:pPr>
              <w:jc w:val="center"/>
              <w:rPr>
                <w:rFonts w:ascii="Arial" w:hAnsi="Arial" w:cs="Arial"/>
                <w:sz w:val="22"/>
                <w:szCs w:val="22"/>
              </w:rPr>
            </w:pPr>
            <w:r w:rsidRPr="003E17CC">
              <w:rPr>
                <w:rFonts w:ascii="Arial" w:hAnsi="Arial" w:cs="Arial"/>
                <w:sz w:val="22"/>
                <w:szCs w:val="22"/>
              </w:rPr>
              <w:t>Low</w:t>
            </w:r>
          </w:p>
        </w:tc>
      </w:tr>
      <w:tr w:rsidR="00510D99" w:rsidRPr="003E17CC" w14:paraId="0D73547B" w14:textId="77777777" w:rsidTr="00A45FF2">
        <w:trPr>
          <w:tblCellSpacing w:w="15" w:type="dxa"/>
        </w:trPr>
        <w:tc>
          <w:tcPr>
            <w:tcW w:w="2205" w:type="dxa"/>
            <w:tcBorders>
              <w:bottom w:val="single" w:sz="4" w:space="0" w:color="auto"/>
            </w:tcBorders>
            <w:vAlign w:val="bottom"/>
            <w:hideMark/>
          </w:tcPr>
          <w:p w14:paraId="68D6C887" w14:textId="128E5F46" w:rsidR="00510D99" w:rsidRPr="003E17CC" w:rsidRDefault="00510D99" w:rsidP="00510D99">
            <w:pPr>
              <w:jc w:val="center"/>
              <w:rPr>
                <w:rFonts w:ascii="Arial" w:hAnsi="Arial" w:cs="Arial"/>
                <w:sz w:val="22"/>
                <w:szCs w:val="22"/>
              </w:rPr>
            </w:pPr>
            <w:r w:rsidRPr="00176490">
              <w:rPr>
                <w:rFonts w:ascii="Arial" w:hAnsi="Arial" w:cs="Arial"/>
                <w:sz w:val="22"/>
                <w:szCs w:val="22"/>
              </w:rPr>
              <w:t>Overall Study Area</w:t>
            </w:r>
          </w:p>
        </w:tc>
        <w:tc>
          <w:tcPr>
            <w:tcW w:w="2490" w:type="dxa"/>
            <w:tcBorders>
              <w:bottom w:val="single" w:sz="4" w:space="0" w:color="auto"/>
            </w:tcBorders>
            <w:vAlign w:val="bottom"/>
            <w:hideMark/>
          </w:tcPr>
          <w:p w14:paraId="12D7BFF5" w14:textId="635AD0C7" w:rsidR="00510D99" w:rsidRPr="003E17CC" w:rsidRDefault="00510D99" w:rsidP="00510D99">
            <w:pPr>
              <w:jc w:val="center"/>
              <w:rPr>
                <w:rFonts w:ascii="Arial" w:hAnsi="Arial" w:cs="Arial"/>
                <w:sz w:val="22"/>
                <w:szCs w:val="22"/>
              </w:rPr>
            </w:pPr>
            <w:r w:rsidRPr="00176490">
              <w:rPr>
                <w:rFonts w:ascii="Arial" w:hAnsi="Arial" w:cs="Arial"/>
                <w:sz w:val="22"/>
                <w:szCs w:val="22"/>
              </w:rPr>
              <w:t>0.055</w:t>
            </w:r>
          </w:p>
        </w:tc>
        <w:tc>
          <w:tcPr>
            <w:tcW w:w="3192" w:type="dxa"/>
            <w:tcBorders>
              <w:bottom w:val="single" w:sz="4" w:space="0" w:color="auto"/>
            </w:tcBorders>
            <w:vAlign w:val="bottom"/>
            <w:hideMark/>
          </w:tcPr>
          <w:p w14:paraId="79EBD678" w14:textId="6FD8C13A" w:rsidR="00510D99" w:rsidRPr="003E17CC" w:rsidRDefault="00510D99" w:rsidP="00510D99">
            <w:pPr>
              <w:jc w:val="center"/>
              <w:rPr>
                <w:rFonts w:ascii="Arial" w:hAnsi="Arial" w:cs="Arial"/>
                <w:sz w:val="22"/>
                <w:szCs w:val="22"/>
              </w:rPr>
            </w:pPr>
            <w:r w:rsidRPr="00176490">
              <w:rPr>
                <w:rFonts w:ascii="Arial" w:hAnsi="Arial" w:cs="Arial"/>
                <w:sz w:val="22"/>
                <w:szCs w:val="22"/>
              </w:rPr>
              <w:t>0.089</w:t>
            </w:r>
          </w:p>
        </w:tc>
        <w:tc>
          <w:tcPr>
            <w:tcW w:w="0" w:type="auto"/>
            <w:tcBorders>
              <w:bottom w:val="single" w:sz="4" w:space="0" w:color="auto"/>
            </w:tcBorders>
            <w:vAlign w:val="center"/>
            <w:hideMark/>
          </w:tcPr>
          <w:p w14:paraId="678FA9D6" w14:textId="77777777" w:rsidR="00510D99" w:rsidRPr="003E17CC" w:rsidRDefault="00510D99" w:rsidP="00510D99">
            <w:pPr>
              <w:jc w:val="center"/>
              <w:rPr>
                <w:rFonts w:ascii="Arial" w:hAnsi="Arial" w:cs="Arial"/>
                <w:sz w:val="22"/>
                <w:szCs w:val="22"/>
              </w:rPr>
            </w:pPr>
            <w:r w:rsidRPr="003E17CC">
              <w:rPr>
                <w:rFonts w:ascii="Arial" w:hAnsi="Arial" w:cs="Arial"/>
                <w:sz w:val="22"/>
                <w:szCs w:val="22"/>
              </w:rPr>
              <w:t>Low</w:t>
            </w:r>
          </w:p>
        </w:tc>
      </w:tr>
    </w:tbl>
    <w:p w14:paraId="22C10EE0" w14:textId="6543E24E" w:rsidR="005E5237" w:rsidRPr="003E17CC" w:rsidRDefault="00510D99" w:rsidP="00510D99">
      <w:pPr>
        <w:spacing w:after="160" w:line="278" w:lineRule="auto"/>
        <w:jc w:val="both"/>
        <w:rPr>
          <w:rFonts w:ascii="Arial" w:hAnsi="Arial" w:cs="Arial"/>
          <w:sz w:val="22"/>
          <w:szCs w:val="22"/>
        </w:rPr>
      </w:pPr>
      <w:r w:rsidRPr="00176490">
        <w:rPr>
          <w:rFonts w:ascii="Arial" w:eastAsiaTheme="majorEastAsia" w:hAnsi="Arial" w:cs="Arial"/>
          <w:i/>
          <w:iCs/>
          <w:sz w:val="22"/>
          <w:szCs w:val="22"/>
        </w:rPr>
        <w:t>Risk Index &lt; 0.1 = Low; 0.1–0.5 = Moderate; &gt; 0.5 = High</w:t>
      </w:r>
    </w:p>
    <w:p w14:paraId="7655552C" w14:textId="5D64667D" w:rsidR="00866F85" w:rsidRPr="005E5237" w:rsidRDefault="00866F85" w:rsidP="008F68F5">
      <w:pPr>
        <w:pStyle w:val="ListParagraph"/>
        <w:numPr>
          <w:ilvl w:val="2"/>
          <w:numId w:val="14"/>
        </w:numPr>
        <w:spacing w:after="160" w:line="278" w:lineRule="auto"/>
        <w:jc w:val="both"/>
        <w:rPr>
          <w:rFonts w:ascii="Arial" w:hAnsi="Arial" w:cs="Arial"/>
          <w:b/>
          <w:bCs/>
          <w:sz w:val="22"/>
          <w:szCs w:val="22"/>
        </w:rPr>
      </w:pPr>
      <w:r w:rsidRPr="005E5237">
        <w:rPr>
          <w:rFonts w:ascii="Arial" w:hAnsi="Arial" w:cs="Arial"/>
          <w:b/>
          <w:bCs/>
          <w:sz w:val="22"/>
          <w:szCs w:val="22"/>
        </w:rPr>
        <w:t>Risk Assessment Results</w:t>
      </w:r>
    </w:p>
    <w:p w14:paraId="2EB0CA88" w14:textId="7C0463BA" w:rsidR="00866F85" w:rsidRDefault="00866F85" w:rsidP="00866F85">
      <w:pPr>
        <w:rPr>
          <w:rFonts w:ascii="Arial" w:hAnsi="Arial" w:cs="Arial"/>
          <w:sz w:val="22"/>
          <w:szCs w:val="22"/>
        </w:rPr>
      </w:pPr>
      <w:r w:rsidRPr="003E17CC">
        <w:rPr>
          <w:rFonts w:ascii="Arial" w:hAnsi="Arial" w:cs="Arial"/>
          <w:sz w:val="22"/>
          <w:szCs w:val="22"/>
        </w:rPr>
        <w:t>Regulatory comparison (Table 1</w:t>
      </w:r>
      <w:r w:rsidR="008718A3">
        <w:rPr>
          <w:rFonts w:ascii="Arial" w:hAnsi="Arial" w:cs="Arial"/>
          <w:sz w:val="22"/>
          <w:szCs w:val="22"/>
        </w:rPr>
        <w:t>3</w:t>
      </w:r>
      <w:r w:rsidRPr="003E17CC">
        <w:rPr>
          <w:rFonts w:ascii="Arial" w:hAnsi="Arial" w:cs="Arial"/>
          <w:sz w:val="22"/>
          <w:szCs w:val="22"/>
        </w:rPr>
        <w:t xml:space="preserve"> &amp; 1</w:t>
      </w:r>
      <w:r w:rsidR="008718A3">
        <w:rPr>
          <w:rFonts w:ascii="Arial" w:hAnsi="Arial" w:cs="Arial"/>
          <w:sz w:val="22"/>
          <w:szCs w:val="22"/>
        </w:rPr>
        <w:t>4</w:t>
      </w:r>
      <w:r w:rsidRPr="003E17CC">
        <w:rPr>
          <w:rFonts w:ascii="Arial" w:hAnsi="Arial" w:cs="Arial"/>
          <w:sz w:val="22"/>
          <w:szCs w:val="22"/>
        </w:rPr>
        <w:t>) showed all metals remained well below safety limits: Arsenic</w:t>
      </w:r>
      <w:r w:rsidRPr="003E17CC">
        <w:rPr>
          <w:rFonts w:ascii="Arial" w:hAnsi="Arial" w:cs="Arial"/>
          <w:b/>
          <w:bCs/>
          <w:sz w:val="22"/>
          <w:szCs w:val="22"/>
        </w:rPr>
        <w:t>:</w:t>
      </w:r>
      <w:r w:rsidRPr="003E17CC">
        <w:rPr>
          <w:rFonts w:ascii="Arial" w:hAnsi="Arial" w:cs="Arial"/>
          <w:sz w:val="22"/>
          <w:szCs w:val="22"/>
        </w:rPr>
        <w:t xml:space="preserve"> 178.6× below WHO limits (Very Low Risk); Lead</w:t>
      </w:r>
      <w:r w:rsidRPr="003E17CC">
        <w:rPr>
          <w:rFonts w:ascii="Arial" w:hAnsi="Arial" w:cs="Arial"/>
          <w:b/>
          <w:bCs/>
          <w:sz w:val="22"/>
          <w:szCs w:val="22"/>
        </w:rPr>
        <w:t>:</w:t>
      </w:r>
      <w:r w:rsidRPr="003E17CC">
        <w:rPr>
          <w:rFonts w:ascii="Arial" w:hAnsi="Arial" w:cs="Arial"/>
          <w:sz w:val="22"/>
          <w:szCs w:val="22"/>
        </w:rPr>
        <w:t xml:space="preserve"> 96.2× below WHO limits (Very Low Risk); Cadmium: 15.6× below WHO limits (Low Risk)</w:t>
      </w:r>
      <w:r w:rsidR="005E5237">
        <w:rPr>
          <w:rFonts w:ascii="Arial" w:hAnsi="Arial" w:cs="Arial"/>
          <w:sz w:val="22"/>
          <w:szCs w:val="22"/>
        </w:rPr>
        <w:t xml:space="preserve">. </w:t>
      </w:r>
      <w:r w:rsidRPr="003E17CC">
        <w:rPr>
          <w:rFonts w:ascii="Arial" w:hAnsi="Arial" w:cs="Arial"/>
          <w:sz w:val="22"/>
          <w:szCs w:val="22"/>
        </w:rPr>
        <w:t>Cumulative risk indices (Table 13) remained below 0.1 for all zones, indicating low overall health risk.</w:t>
      </w:r>
    </w:p>
    <w:p w14:paraId="6BB1C340" w14:textId="77777777" w:rsidR="005E5237" w:rsidRPr="003E17CC" w:rsidRDefault="005E5237" w:rsidP="00866F85">
      <w:pPr>
        <w:rPr>
          <w:rFonts w:ascii="Arial" w:hAnsi="Arial" w:cs="Arial"/>
          <w:sz w:val="22"/>
          <w:szCs w:val="22"/>
        </w:rPr>
      </w:pPr>
    </w:p>
    <w:p w14:paraId="4F569215" w14:textId="36892658" w:rsidR="00866F85" w:rsidRPr="005E5237" w:rsidRDefault="00866F85" w:rsidP="008F68F5">
      <w:pPr>
        <w:pStyle w:val="ListParagraph"/>
        <w:numPr>
          <w:ilvl w:val="1"/>
          <w:numId w:val="14"/>
        </w:numPr>
        <w:rPr>
          <w:rFonts w:ascii="Arial" w:hAnsi="Arial" w:cs="Arial"/>
          <w:b/>
          <w:bCs/>
          <w:sz w:val="22"/>
          <w:szCs w:val="22"/>
        </w:rPr>
      </w:pPr>
      <w:r w:rsidRPr="005E5237">
        <w:rPr>
          <w:rFonts w:ascii="Arial" w:hAnsi="Arial" w:cs="Arial"/>
          <w:b/>
          <w:bCs/>
          <w:sz w:val="22"/>
          <w:szCs w:val="22"/>
        </w:rPr>
        <w:t>Environmental Implications</w:t>
      </w:r>
    </w:p>
    <w:p w14:paraId="2314D493" w14:textId="77777777" w:rsidR="00663FC4" w:rsidRDefault="00663FC4" w:rsidP="00663FC4">
      <w:pPr>
        <w:rPr>
          <w:rFonts w:ascii="Arial" w:hAnsi="Arial" w:cs="Arial"/>
          <w:b/>
          <w:bCs/>
          <w:sz w:val="22"/>
          <w:szCs w:val="22"/>
        </w:rPr>
      </w:pPr>
    </w:p>
    <w:p w14:paraId="009881D4" w14:textId="75B9587C" w:rsidR="00663FC4" w:rsidRDefault="00663FC4" w:rsidP="00663FC4">
      <w:pPr>
        <w:jc w:val="both"/>
        <w:rPr>
          <w:rFonts w:ascii="Arial" w:hAnsi="Arial" w:cs="Arial"/>
          <w:sz w:val="22"/>
          <w:szCs w:val="22"/>
        </w:rPr>
      </w:pPr>
      <w:r w:rsidRPr="00176490">
        <w:rPr>
          <w:rFonts w:ascii="Arial" w:hAnsi="Arial" w:cs="Arial"/>
          <w:sz w:val="22"/>
          <w:szCs w:val="22"/>
        </w:rPr>
        <w:t xml:space="preserve">Although current heavy metal concentrations at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landfill remain within regulatory compliance limits, the combination of moderate-to-considerable pollution indices (PLI = 3.17; arsenic CF = 5.25; I_geo Class 2 for three metals), the high permeability of the underlying Benin Formation, and the absence of any engineered containment or leachate management infrastructure presents a set of conditions that are conducive to progressive contamination accumulation over time. The pollution indices document that anthropogenic enrichment is already measurably established above natural background levels, and the regional hydrogeological context suggests that the physical barriers to contaminant migration into the shallow aquifer system are minimal. In the context of a densely populated residential area with approximately 2,500 people per km² and daily waste inputs of 150–200 </w:t>
      </w:r>
      <w:proofErr w:type="spellStart"/>
      <w:r w:rsidRPr="00176490">
        <w:rPr>
          <w:rFonts w:ascii="Arial" w:hAnsi="Arial" w:cs="Arial"/>
          <w:sz w:val="22"/>
          <w:szCs w:val="22"/>
        </w:rPr>
        <w:t>tonnes</w:t>
      </w:r>
      <w:proofErr w:type="spellEnd"/>
      <w:r w:rsidRPr="00176490">
        <w:rPr>
          <w:rFonts w:ascii="Arial" w:hAnsi="Arial" w:cs="Arial"/>
          <w:sz w:val="22"/>
          <w:szCs w:val="22"/>
        </w:rPr>
        <w:t>, the current situation, while not yet at critical threshold levels, represents a trajectory that warrants proactive and sustained environmental management intervention before contamination levels escalate further.</w:t>
      </w:r>
    </w:p>
    <w:p w14:paraId="7AAB6D1E" w14:textId="77777777" w:rsidR="00663FC4" w:rsidRPr="00663FC4" w:rsidRDefault="00663FC4" w:rsidP="00663FC4">
      <w:pPr>
        <w:jc w:val="both"/>
        <w:rPr>
          <w:rFonts w:ascii="Arial" w:hAnsi="Arial" w:cs="Arial"/>
          <w:sz w:val="22"/>
          <w:szCs w:val="22"/>
        </w:rPr>
      </w:pPr>
    </w:p>
    <w:p w14:paraId="3458B0C4" w14:textId="12C8D0F7" w:rsidR="00BC5919" w:rsidRDefault="00BC5919" w:rsidP="00BC5919">
      <w:pPr>
        <w:pStyle w:val="ConcHead"/>
        <w:spacing w:after="0"/>
        <w:jc w:val="both"/>
        <w:rPr>
          <w:rFonts w:ascii="Arial" w:hAnsi="Arial" w:cs="Arial"/>
        </w:rPr>
      </w:pPr>
      <w:r>
        <w:rPr>
          <w:rFonts w:ascii="Arial" w:hAnsi="Arial" w:cs="Arial"/>
        </w:rPr>
        <w:t xml:space="preserve">4. </w:t>
      </w:r>
      <w:r w:rsidR="009E709E">
        <w:rPr>
          <w:rFonts w:ascii="Arial" w:hAnsi="Arial" w:cs="Arial"/>
        </w:rPr>
        <w:t xml:space="preserve">Summary and </w:t>
      </w:r>
      <w:r w:rsidRPr="00FB3A86">
        <w:rPr>
          <w:rFonts w:ascii="Arial" w:hAnsi="Arial" w:cs="Arial"/>
        </w:rPr>
        <w:t>Conclusion</w:t>
      </w:r>
    </w:p>
    <w:p w14:paraId="5876A260" w14:textId="77777777" w:rsidR="00BC5919" w:rsidRDefault="00BC5919" w:rsidP="00BC5919">
      <w:pPr>
        <w:pStyle w:val="ConcHead"/>
        <w:spacing w:after="0"/>
        <w:jc w:val="both"/>
        <w:rPr>
          <w:rFonts w:ascii="Arial" w:hAnsi="Arial" w:cs="Arial"/>
        </w:rPr>
      </w:pPr>
    </w:p>
    <w:p w14:paraId="76DD8955" w14:textId="77777777" w:rsidR="00663FC4" w:rsidRDefault="00663FC4" w:rsidP="00663FC4">
      <w:pPr>
        <w:rPr>
          <w:rFonts w:ascii="Arial" w:hAnsi="Arial" w:cs="Arial"/>
          <w:sz w:val="22"/>
          <w:szCs w:val="22"/>
        </w:rPr>
      </w:pPr>
      <w:r w:rsidRPr="00663FC4">
        <w:rPr>
          <w:rFonts w:ascii="Arial" w:hAnsi="Arial" w:cs="Arial"/>
          <w:sz w:val="22"/>
          <w:szCs w:val="22"/>
        </w:rPr>
        <w:t xml:space="preserve">This integrated geo-environmental assessment of the </w:t>
      </w:r>
      <w:proofErr w:type="spellStart"/>
      <w:r w:rsidRPr="00663FC4">
        <w:rPr>
          <w:rFonts w:ascii="Arial" w:hAnsi="Arial" w:cs="Arial"/>
          <w:sz w:val="22"/>
          <w:szCs w:val="22"/>
        </w:rPr>
        <w:t>Aluu</w:t>
      </w:r>
      <w:proofErr w:type="spellEnd"/>
      <w:r w:rsidRPr="00663FC4">
        <w:rPr>
          <w:rFonts w:ascii="Arial" w:hAnsi="Arial" w:cs="Arial"/>
          <w:sz w:val="22"/>
          <w:szCs w:val="22"/>
        </w:rPr>
        <w:t xml:space="preserve"> municipal landfill in Obio-Akpor, Rivers State, documented a pattern of moderate but meaningful heavy metal contamination in surrounding soils. Although the absolute concentrations of all five target metals — arsenic, nickel, chromium, cadmium, and lead — remained below established WHO and NESREA permissible limits, the pollution indices applied in this study reveal a more nuanced picture that regulatory compliance figures alone cannot convey.</w:t>
      </w:r>
    </w:p>
    <w:p w14:paraId="3B8EE12E" w14:textId="77777777" w:rsidR="00663FC4" w:rsidRPr="00663FC4" w:rsidRDefault="00663FC4" w:rsidP="00663FC4">
      <w:pPr>
        <w:rPr>
          <w:rFonts w:ascii="Arial" w:hAnsi="Arial" w:cs="Arial"/>
          <w:sz w:val="22"/>
          <w:szCs w:val="22"/>
        </w:rPr>
      </w:pPr>
    </w:p>
    <w:p w14:paraId="2BEA775E" w14:textId="5C43DB57" w:rsidR="00663FC4" w:rsidRDefault="00663FC4" w:rsidP="00663FC4">
      <w:pPr>
        <w:rPr>
          <w:rFonts w:ascii="Arial" w:hAnsi="Arial" w:cs="Arial"/>
          <w:sz w:val="22"/>
          <w:szCs w:val="22"/>
        </w:rPr>
      </w:pPr>
      <w:r w:rsidRPr="00663FC4">
        <w:rPr>
          <w:rFonts w:ascii="Arial" w:hAnsi="Arial" w:cs="Arial"/>
          <w:sz w:val="22"/>
          <w:szCs w:val="22"/>
        </w:rPr>
        <w:t>The key findings of this study are summarized as follows:</w:t>
      </w:r>
    </w:p>
    <w:p w14:paraId="374E2D40" w14:textId="77777777" w:rsidR="00663FC4" w:rsidRPr="00663FC4" w:rsidRDefault="00663FC4" w:rsidP="00663FC4">
      <w:pPr>
        <w:rPr>
          <w:rFonts w:ascii="Arial" w:hAnsi="Arial" w:cs="Arial"/>
          <w:sz w:val="22"/>
          <w:szCs w:val="22"/>
        </w:rPr>
      </w:pPr>
    </w:p>
    <w:p w14:paraId="5CF223CB" w14:textId="4B27163B"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All measured heavy metal concentrations were below WHO and NESREA regulatory thresholds, confirming current regulatory compliance at the site.</w:t>
      </w:r>
    </w:p>
    <w:p w14:paraId="505409FF" w14:textId="204D2A8D"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lastRenderedPageBreak/>
        <w:t>Contamination factor analysis identified arsenic as the metal of greatest concern, recording a CF of 5.25, classified as approaching very high contamination</w:t>
      </w:r>
      <w:r>
        <w:rPr>
          <w:rFonts w:ascii="Arial" w:hAnsi="Arial" w:cs="Arial"/>
          <w:sz w:val="22"/>
          <w:szCs w:val="22"/>
        </w:rPr>
        <w:t>;</w:t>
      </w:r>
      <w:r w:rsidRPr="00663FC4">
        <w:rPr>
          <w:rFonts w:ascii="Arial" w:hAnsi="Arial" w:cs="Arial"/>
          <w:sz w:val="22"/>
          <w:szCs w:val="22"/>
        </w:rPr>
        <w:t xml:space="preserve"> indicative of significant anthropogenic enrichment above the local geochemical background of the Benin Formation soils.</w:t>
      </w:r>
    </w:p>
    <w:p w14:paraId="43106104" w14:textId="08B8EA01"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Geo-accumulation index values classified arsenic, nickel, and lead as Class 2 (Moderately Polluted), providing unambiguous evidence of human-induced metal loading superimposed on naturally low background concentrations.</w:t>
      </w:r>
    </w:p>
    <w:p w14:paraId="6666A713" w14:textId="2324A351"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The overall Pollution Load Index of 3.17 placed the site in the "Considerably Polluted" category, underscoring the importance of composite multi-metal assessments over single-compound compliance evaluations.</w:t>
      </w:r>
    </w:p>
    <w:p w14:paraId="0B246ED4" w14:textId="0F259840"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Spatial analysis revealed pronounced heterogeneity in metal distribution, most notably an anomalous far-field lead hotspot at location C2 that is inconsistent with simple leachate diffusion from the landfill core, suggesting a secondary contamination input requiring further investigation.</w:t>
      </w:r>
    </w:p>
    <w:p w14:paraId="0FBC7636" w14:textId="7AC2979C"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The high porosity and permeability of the underlying Benin Formation, combined with the absence of any engineered containment infrastructure, creates conditions that are inherently susceptible to progressive leachate-driven contaminant migration into the shallow aquifer system over time.</w:t>
      </w:r>
    </w:p>
    <w:p w14:paraId="4C0FBC20" w14:textId="27F30C57"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Non-carcinogenic human health risk indices (HI &lt; 0.1 across all zones) indicated no significant health risk from soil contact under current conditions. However, this assessment was limited to soil ingestion and dermal contact pathways; inhalation, groundwater ingestion, and dietary exposure routes were not evaluated and may contribute substantially to total cumulative risk.</w:t>
      </w:r>
    </w:p>
    <w:p w14:paraId="310EB298" w14:textId="77777777" w:rsidR="00663FC4" w:rsidRDefault="00663FC4" w:rsidP="00663FC4">
      <w:pPr>
        <w:rPr>
          <w:rFonts w:ascii="Arial" w:hAnsi="Arial" w:cs="Arial"/>
          <w:sz w:val="22"/>
          <w:szCs w:val="22"/>
        </w:rPr>
      </w:pPr>
    </w:p>
    <w:p w14:paraId="12B0EE8B" w14:textId="6DB0C1FB" w:rsidR="00663FC4" w:rsidRPr="00663FC4" w:rsidRDefault="00663FC4" w:rsidP="00663FC4">
      <w:pPr>
        <w:jc w:val="both"/>
        <w:rPr>
          <w:rFonts w:ascii="Arial" w:hAnsi="Arial" w:cs="Arial"/>
          <w:sz w:val="22"/>
          <w:szCs w:val="22"/>
        </w:rPr>
      </w:pPr>
      <w:r w:rsidRPr="00663FC4">
        <w:rPr>
          <w:rFonts w:ascii="Arial" w:hAnsi="Arial" w:cs="Arial"/>
          <w:sz w:val="22"/>
          <w:szCs w:val="22"/>
        </w:rPr>
        <w:t xml:space="preserve">Taken together, these findings indicate that while the </w:t>
      </w:r>
      <w:proofErr w:type="spellStart"/>
      <w:r w:rsidRPr="00663FC4">
        <w:rPr>
          <w:rFonts w:ascii="Arial" w:hAnsi="Arial" w:cs="Arial"/>
          <w:sz w:val="22"/>
          <w:szCs w:val="22"/>
        </w:rPr>
        <w:t>Aluu</w:t>
      </w:r>
      <w:proofErr w:type="spellEnd"/>
      <w:r w:rsidRPr="00663FC4">
        <w:rPr>
          <w:rFonts w:ascii="Arial" w:hAnsi="Arial" w:cs="Arial"/>
          <w:sz w:val="22"/>
          <w:szCs w:val="22"/>
        </w:rPr>
        <w:t xml:space="preserve"> landfill has not yet reached the contamination thresholds that would trigger immediate intervention under existing regulatory frameworks, the evidence of progressive anthropogenic enrichment, the vulnerability of the local hydrogeological setting, and the high residential population density in the immediate vicinity collectively make a compelling case for proactive environmental management. The gap between current regulatory compliance and the geochemical reality documented by the pollution indices should not be interpreted as an absence of risk, but rather as an early warning that demands timely and sustained response.</w:t>
      </w:r>
    </w:p>
    <w:p w14:paraId="2F364825" w14:textId="77777777" w:rsidR="005E5237" w:rsidRDefault="005E5237" w:rsidP="005E5237">
      <w:pPr>
        <w:rPr>
          <w:rFonts w:ascii="Arial" w:hAnsi="Arial" w:cs="Arial"/>
          <w:b/>
          <w:bCs/>
          <w:sz w:val="22"/>
          <w:szCs w:val="22"/>
        </w:rPr>
      </w:pPr>
    </w:p>
    <w:p w14:paraId="032B4294" w14:textId="77777777" w:rsidR="007F2EA8" w:rsidRPr="00D42A6B" w:rsidRDefault="007F2EA8" w:rsidP="007F2EA8">
      <w:pPr>
        <w:spacing w:after="160" w:line="278" w:lineRule="auto"/>
        <w:jc w:val="both"/>
        <w:rPr>
          <w:rFonts w:ascii="Arial" w:hAnsi="Arial" w:cs="Arial"/>
          <w:b/>
          <w:bCs/>
          <w:sz w:val="22"/>
          <w:szCs w:val="22"/>
          <w:lang w:val="en"/>
        </w:rPr>
      </w:pPr>
      <w:r w:rsidRPr="00D42A6B">
        <w:rPr>
          <w:rFonts w:ascii="Arial" w:hAnsi="Arial" w:cs="Arial"/>
          <w:b/>
          <w:bCs/>
          <w:sz w:val="22"/>
          <w:szCs w:val="22"/>
          <w:lang w:val="en"/>
        </w:rPr>
        <w:t>5.1 Environmental Monitoring Programme</w:t>
      </w:r>
    </w:p>
    <w:p w14:paraId="2DA5C870"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 xml:space="preserve">A structured, long-term environmental monitoring programme should be established at and around the </w:t>
      </w:r>
      <w:proofErr w:type="spellStart"/>
      <w:r w:rsidRPr="00D42A6B">
        <w:rPr>
          <w:rFonts w:ascii="Arial" w:hAnsi="Arial" w:cs="Arial"/>
          <w:sz w:val="22"/>
          <w:szCs w:val="22"/>
          <w:lang w:val="en"/>
        </w:rPr>
        <w:t>Aluu</w:t>
      </w:r>
      <w:proofErr w:type="spellEnd"/>
      <w:r w:rsidRPr="00D42A6B">
        <w:rPr>
          <w:rFonts w:ascii="Arial" w:hAnsi="Arial" w:cs="Arial"/>
          <w:sz w:val="22"/>
          <w:szCs w:val="22"/>
          <w:lang w:val="en"/>
        </w:rPr>
        <w:t xml:space="preserve"> landfill as a matter of priority. Such a programme should extend beyond the five metals assessed in this study to include a broader suite of heavy metals (mercury, zinc, copper, and manganese at minimum), as well as leachate quality parameters, soil pH, and shallow groundwater chemistry from strategically placed monitoring boreholes. Monitoring should be conducted on a quarterly basis to capture seasonal variability in contaminant </w:t>
      </w:r>
      <w:proofErr w:type="spellStart"/>
      <w:r w:rsidRPr="00D42A6B">
        <w:rPr>
          <w:rFonts w:ascii="Arial" w:hAnsi="Arial" w:cs="Arial"/>
          <w:sz w:val="22"/>
          <w:szCs w:val="22"/>
          <w:lang w:val="en"/>
        </w:rPr>
        <w:t>behaviour</w:t>
      </w:r>
      <w:proofErr w:type="spellEnd"/>
      <w:r w:rsidRPr="00D42A6B">
        <w:rPr>
          <w:rFonts w:ascii="Arial" w:hAnsi="Arial" w:cs="Arial"/>
          <w:sz w:val="22"/>
          <w:szCs w:val="22"/>
          <w:lang w:val="en"/>
        </w:rPr>
        <w:t>, given the pronounced wet–dry seasonality of the Niger Delta climate and its demonstrated influence on leachate production and subsurface transport dynamics. Baseline data collected over a minimum two-year period would provide the statistical foundation necessary for detecting meaningful temporal trends in contamination levels.</w:t>
      </w:r>
    </w:p>
    <w:p w14:paraId="4C072BA8" w14:textId="77777777" w:rsidR="007F2EA8" w:rsidRPr="00D42A6B" w:rsidRDefault="007F2EA8" w:rsidP="007F2EA8">
      <w:pPr>
        <w:spacing w:after="160" w:line="278" w:lineRule="auto"/>
        <w:jc w:val="both"/>
        <w:rPr>
          <w:rFonts w:ascii="Arial" w:hAnsi="Arial" w:cs="Arial"/>
          <w:b/>
          <w:bCs/>
          <w:sz w:val="22"/>
          <w:szCs w:val="22"/>
          <w:lang w:val="en"/>
        </w:rPr>
      </w:pPr>
      <w:r w:rsidRPr="00D42A6B">
        <w:rPr>
          <w:rFonts w:ascii="Arial" w:hAnsi="Arial" w:cs="Arial"/>
          <w:b/>
          <w:bCs/>
          <w:sz w:val="22"/>
          <w:szCs w:val="22"/>
          <w:lang w:val="en"/>
        </w:rPr>
        <w:t>5.2 Waste Management Practices</w:t>
      </w:r>
    </w:p>
    <w:p w14:paraId="4A22BB00"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 xml:space="preserve">The absence of waste segregation at source is a primary driver of heavy metal accumulation at this facility. Implementing a source-separation scheme that isolates hazardous </w:t>
      </w:r>
      <w:proofErr w:type="gramStart"/>
      <w:r w:rsidRPr="00D42A6B">
        <w:rPr>
          <w:rFonts w:ascii="Arial" w:hAnsi="Arial" w:cs="Arial"/>
          <w:sz w:val="22"/>
          <w:szCs w:val="22"/>
          <w:lang w:val="en"/>
        </w:rPr>
        <w:t xml:space="preserve">fractions  </w:t>
      </w:r>
      <w:r w:rsidRPr="00D42A6B">
        <w:rPr>
          <w:rFonts w:ascii="Arial" w:hAnsi="Arial" w:cs="Arial"/>
          <w:sz w:val="22"/>
          <w:szCs w:val="22"/>
          <w:lang w:val="en"/>
        </w:rPr>
        <w:lastRenderedPageBreak/>
        <w:t>particularly</w:t>
      </w:r>
      <w:proofErr w:type="gramEnd"/>
      <w:r w:rsidRPr="00D42A6B">
        <w:rPr>
          <w:rFonts w:ascii="Arial" w:hAnsi="Arial" w:cs="Arial"/>
          <w:sz w:val="22"/>
          <w:szCs w:val="22"/>
          <w:lang w:val="en"/>
        </w:rPr>
        <w:t xml:space="preserve"> electronic waste, spent batteries, automotive components, and construction materials  from the general municipal waste stream would substantially reduce the metal loading entering the landfill environment. Community engagement and public awareness campaigns, targeted at the residential and institutional catchments that contribute waste to this facility, should accompany any technical waste management improvements to ensure sustainable </w:t>
      </w:r>
      <w:proofErr w:type="spellStart"/>
      <w:r w:rsidRPr="00D42A6B">
        <w:rPr>
          <w:rFonts w:ascii="Arial" w:hAnsi="Arial" w:cs="Arial"/>
          <w:sz w:val="22"/>
          <w:szCs w:val="22"/>
          <w:lang w:val="en"/>
        </w:rPr>
        <w:t>behavioural</w:t>
      </w:r>
      <w:proofErr w:type="spellEnd"/>
      <w:r w:rsidRPr="00D42A6B">
        <w:rPr>
          <w:rFonts w:ascii="Arial" w:hAnsi="Arial" w:cs="Arial"/>
          <w:sz w:val="22"/>
          <w:szCs w:val="22"/>
          <w:lang w:val="en"/>
        </w:rPr>
        <w:t xml:space="preserve"> change. Collaboration between the Obio-Akpor Local Government Area administration, Rivers State Waste Management Authority, and NESREA would provide the regulatory and institutional framework for implementing and enforcing these measures.</w:t>
      </w:r>
    </w:p>
    <w:p w14:paraId="316CC937" w14:textId="77777777" w:rsidR="007F2EA8" w:rsidRPr="00D42A6B" w:rsidRDefault="007F2EA8" w:rsidP="007F2EA8">
      <w:pPr>
        <w:spacing w:after="160" w:line="278" w:lineRule="auto"/>
        <w:jc w:val="both"/>
        <w:rPr>
          <w:rFonts w:ascii="Arial" w:hAnsi="Arial" w:cs="Arial"/>
          <w:b/>
          <w:bCs/>
          <w:sz w:val="22"/>
          <w:szCs w:val="22"/>
          <w:lang w:val="en"/>
        </w:rPr>
      </w:pPr>
      <w:r w:rsidRPr="00D42A6B">
        <w:rPr>
          <w:rFonts w:ascii="Arial" w:hAnsi="Arial" w:cs="Arial"/>
          <w:b/>
          <w:bCs/>
          <w:sz w:val="22"/>
          <w:szCs w:val="22"/>
          <w:lang w:val="en"/>
        </w:rPr>
        <w:t>5.3 Engineering Interventions at the Landfill</w:t>
      </w:r>
    </w:p>
    <w:p w14:paraId="35701122"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 xml:space="preserve">The current </w:t>
      </w:r>
      <w:proofErr w:type="spellStart"/>
      <w:r w:rsidRPr="00D42A6B">
        <w:rPr>
          <w:rFonts w:ascii="Arial" w:hAnsi="Arial" w:cs="Arial"/>
          <w:sz w:val="22"/>
          <w:szCs w:val="22"/>
          <w:lang w:val="en"/>
        </w:rPr>
        <w:t>unengineered</w:t>
      </w:r>
      <w:proofErr w:type="spellEnd"/>
      <w:r w:rsidRPr="00D42A6B">
        <w:rPr>
          <w:rFonts w:ascii="Arial" w:hAnsi="Arial" w:cs="Arial"/>
          <w:sz w:val="22"/>
          <w:szCs w:val="22"/>
          <w:lang w:val="en"/>
        </w:rPr>
        <w:t xml:space="preserve"> status of the </w:t>
      </w:r>
      <w:proofErr w:type="spellStart"/>
      <w:r w:rsidRPr="00D42A6B">
        <w:rPr>
          <w:rFonts w:ascii="Arial" w:hAnsi="Arial" w:cs="Arial"/>
          <w:sz w:val="22"/>
          <w:szCs w:val="22"/>
          <w:lang w:val="en"/>
        </w:rPr>
        <w:t>Aluu</w:t>
      </w:r>
      <w:proofErr w:type="spellEnd"/>
      <w:r w:rsidRPr="00D42A6B">
        <w:rPr>
          <w:rFonts w:ascii="Arial" w:hAnsi="Arial" w:cs="Arial"/>
          <w:sz w:val="22"/>
          <w:szCs w:val="22"/>
          <w:lang w:val="en"/>
        </w:rPr>
        <w:t xml:space="preserve"> facility</w:t>
      </w:r>
      <w:r>
        <w:rPr>
          <w:rFonts w:ascii="Arial" w:hAnsi="Arial" w:cs="Arial"/>
          <w:sz w:val="22"/>
          <w:szCs w:val="22"/>
          <w:lang w:val="en"/>
        </w:rPr>
        <w:t xml:space="preserve"> </w:t>
      </w:r>
      <w:r w:rsidRPr="00D42A6B">
        <w:rPr>
          <w:rFonts w:ascii="Arial" w:hAnsi="Arial" w:cs="Arial"/>
          <w:sz w:val="22"/>
          <w:szCs w:val="22"/>
          <w:lang w:val="en"/>
        </w:rPr>
        <w:t>with no liner system, leachate collection infrastructure, or operational cover</w:t>
      </w:r>
      <w:r>
        <w:rPr>
          <w:rFonts w:ascii="Arial" w:hAnsi="Arial" w:cs="Arial"/>
          <w:sz w:val="22"/>
          <w:szCs w:val="22"/>
          <w:lang w:val="en"/>
        </w:rPr>
        <w:t xml:space="preserve"> </w:t>
      </w:r>
      <w:r w:rsidRPr="00D42A6B">
        <w:rPr>
          <w:rFonts w:ascii="Arial" w:hAnsi="Arial" w:cs="Arial"/>
          <w:sz w:val="22"/>
          <w:szCs w:val="22"/>
          <w:lang w:val="en"/>
        </w:rPr>
        <w:t>represents the single greatest risk factor for future environmental deterioration at this site. A phased engineering upgrade should be evaluated, beginning with the installation of a compacted clay or geomembrane intermediate cover over closed cells to reduce infiltration and leachate generation. Where feasible, a passive leachate collection and containment system should be incorporated to prevent uncontrolled subsurface migration. These improvements would not require full decommissioning and relocation of the facility and could be implemented progressively as financial and technical capacity allows.</w:t>
      </w:r>
    </w:p>
    <w:p w14:paraId="274E0A23" w14:textId="772A6946" w:rsidR="007F2EA8" w:rsidRPr="00D42A6B" w:rsidRDefault="009E709E" w:rsidP="007F2EA8">
      <w:pPr>
        <w:spacing w:after="160" w:line="278" w:lineRule="auto"/>
        <w:jc w:val="both"/>
        <w:rPr>
          <w:rFonts w:ascii="Arial" w:hAnsi="Arial" w:cs="Arial"/>
          <w:b/>
          <w:bCs/>
          <w:sz w:val="22"/>
          <w:szCs w:val="22"/>
          <w:lang w:val="en"/>
        </w:rPr>
      </w:pPr>
      <w:r>
        <w:rPr>
          <w:rFonts w:ascii="Arial" w:hAnsi="Arial" w:cs="Arial"/>
          <w:b/>
          <w:bCs/>
          <w:sz w:val="22"/>
          <w:szCs w:val="22"/>
          <w:lang w:val="en"/>
        </w:rPr>
        <w:t>6</w:t>
      </w:r>
      <w:r w:rsidR="007F2EA8" w:rsidRPr="00D42A6B">
        <w:rPr>
          <w:rFonts w:ascii="Arial" w:hAnsi="Arial" w:cs="Arial"/>
          <w:b/>
          <w:bCs/>
          <w:sz w:val="22"/>
          <w:szCs w:val="22"/>
          <w:lang w:val="en"/>
        </w:rPr>
        <w:t>.Future Research Directions</w:t>
      </w:r>
    </w:p>
    <w:p w14:paraId="77E7B0CF" w14:textId="26494FCF" w:rsidR="007F2EA8" w:rsidRPr="00D42A6B" w:rsidRDefault="009E709E" w:rsidP="007F2EA8">
      <w:pPr>
        <w:spacing w:after="160" w:line="278" w:lineRule="auto"/>
        <w:jc w:val="both"/>
        <w:rPr>
          <w:rFonts w:ascii="Arial" w:hAnsi="Arial" w:cs="Arial"/>
          <w:b/>
          <w:bCs/>
          <w:sz w:val="22"/>
          <w:szCs w:val="22"/>
          <w:lang w:val="en"/>
        </w:rPr>
      </w:pPr>
      <w:r>
        <w:rPr>
          <w:rFonts w:ascii="Arial" w:hAnsi="Arial" w:cs="Arial"/>
          <w:b/>
          <w:bCs/>
          <w:sz w:val="22"/>
          <w:szCs w:val="22"/>
          <w:lang w:val="en"/>
        </w:rPr>
        <w:t>6</w:t>
      </w:r>
      <w:r w:rsidR="007F2EA8" w:rsidRPr="00D42A6B">
        <w:rPr>
          <w:rFonts w:ascii="Arial" w:hAnsi="Arial" w:cs="Arial"/>
          <w:b/>
          <w:bCs/>
          <w:sz w:val="22"/>
          <w:szCs w:val="22"/>
          <w:lang w:val="en"/>
        </w:rPr>
        <w:t>.1 Expanded Sampling Design</w:t>
      </w:r>
    </w:p>
    <w:p w14:paraId="0E76FC13"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 xml:space="preserve">The sample size of n = 16 used in this study, while appropriate for a preliminary exploratory assessment, is insufficient for robust geostatistical analysis or confident spatial prediction across the study area. Future investigations should aim for a minimum of 40–50 soil samples distributed across a systematic grid at 50 m × 50 m intervals to provide adequate spatial coverage for kriging-based interpolation. Vertical profiling at multiple depths (0.5 m, 1.0 m, 1.5 m, and 2.0 m) should be incorporated to </w:t>
      </w:r>
      <w:proofErr w:type="spellStart"/>
      <w:r w:rsidRPr="00D42A6B">
        <w:rPr>
          <w:rFonts w:ascii="Arial" w:hAnsi="Arial" w:cs="Arial"/>
          <w:sz w:val="22"/>
          <w:szCs w:val="22"/>
          <w:lang w:val="en"/>
        </w:rPr>
        <w:t>characterise</w:t>
      </w:r>
      <w:proofErr w:type="spellEnd"/>
      <w:r w:rsidRPr="00D42A6B">
        <w:rPr>
          <w:rFonts w:ascii="Arial" w:hAnsi="Arial" w:cs="Arial"/>
          <w:sz w:val="22"/>
          <w:szCs w:val="22"/>
          <w:lang w:val="en"/>
        </w:rPr>
        <w:t xml:space="preserve"> subsurface contamination gradients and assess the depth of metal penetration into the soil profile. A formal statistical power analysis should be conducted during the study design phase to determine the minimum sample size required to detect a defined level of change (e.g., a 20% increase in mean metal concentration) with acceptable statistical power (typically ≥ 80%).</w:t>
      </w:r>
    </w:p>
    <w:p w14:paraId="05B11695" w14:textId="792FB214" w:rsidR="007F2EA8" w:rsidRPr="00D42A6B" w:rsidRDefault="009E709E" w:rsidP="007F2EA8">
      <w:pPr>
        <w:spacing w:after="160" w:line="278" w:lineRule="auto"/>
        <w:jc w:val="both"/>
        <w:rPr>
          <w:rFonts w:ascii="Arial" w:hAnsi="Arial" w:cs="Arial"/>
          <w:b/>
          <w:bCs/>
          <w:sz w:val="22"/>
          <w:szCs w:val="22"/>
          <w:lang w:val="en"/>
        </w:rPr>
      </w:pPr>
      <w:r>
        <w:rPr>
          <w:rFonts w:ascii="Arial" w:hAnsi="Arial" w:cs="Arial"/>
          <w:b/>
          <w:bCs/>
          <w:sz w:val="22"/>
          <w:szCs w:val="22"/>
          <w:lang w:val="en"/>
        </w:rPr>
        <w:t>6.</w:t>
      </w:r>
      <w:r w:rsidR="007F2EA8" w:rsidRPr="00D42A6B">
        <w:rPr>
          <w:rFonts w:ascii="Arial" w:hAnsi="Arial" w:cs="Arial"/>
          <w:b/>
          <w:bCs/>
          <w:sz w:val="22"/>
          <w:szCs w:val="22"/>
          <w:lang w:val="en"/>
        </w:rPr>
        <w:t>2 Temporal Monitoring</w:t>
      </w:r>
    </w:p>
    <w:p w14:paraId="75BC1603"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A single sampling campaign, as employed in this study, provides only a static snapshot of contamination conditions and cannot capture the temporal dynamics of metal mobilization, seasonal leachate fluctuations, or long-term accumulation trends. Future research should establish a programme of repeated sampling across at least four seasonal cycles (wet and dry seasons over a minimum of two consecutive years), with dedicated post-rainfall sampling events to evaluate the influence of infiltration events on metal mobilization and spatial redistribution.</w:t>
      </w:r>
    </w:p>
    <w:p w14:paraId="4BA560A8" w14:textId="17542694" w:rsidR="007F2EA8" w:rsidRPr="00D42A6B" w:rsidRDefault="009E709E" w:rsidP="007F2EA8">
      <w:pPr>
        <w:spacing w:after="160" w:line="278" w:lineRule="auto"/>
        <w:jc w:val="both"/>
        <w:rPr>
          <w:rFonts w:ascii="Arial" w:hAnsi="Arial" w:cs="Arial"/>
          <w:b/>
          <w:bCs/>
          <w:sz w:val="22"/>
          <w:szCs w:val="22"/>
          <w:lang w:val="en"/>
        </w:rPr>
      </w:pPr>
      <w:r>
        <w:rPr>
          <w:rFonts w:ascii="Arial" w:hAnsi="Arial" w:cs="Arial"/>
          <w:b/>
          <w:bCs/>
          <w:sz w:val="22"/>
          <w:szCs w:val="22"/>
          <w:lang w:val="en"/>
        </w:rPr>
        <w:t>6</w:t>
      </w:r>
      <w:r w:rsidR="007F2EA8" w:rsidRPr="00D42A6B">
        <w:rPr>
          <w:rFonts w:ascii="Arial" w:hAnsi="Arial" w:cs="Arial"/>
          <w:b/>
          <w:bCs/>
          <w:sz w:val="22"/>
          <w:szCs w:val="22"/>
          <w:lang w:val="en"/>
        </w:rPr>
        <w:t>.3 Expanded Analytical Suite</w:t>
      </w:r>
    </w:p>
    <w:p w14:paraId="2279F8B5"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 xml:space="preserve">This study analyzed five metals (As, Ni, Cr, Cd, Pb), which, while environmentally significant, represent only a subset of the metals potentially present in a mixed municipal waste environment. </w:t>
      </w:r>
      <w:r w:rsidRPr="00D42A6B">
        <w:rPr>
          <w:rFonts w:ascii="Arial" w:hAnsi="Arial" w:cs="Arial"/>
          <w:sz w:val="22"/>
          <w:szCs w:val="22"/>
          <w:lang w:val="en"/>
        </w:rPr>
        <w:lastRenderedPageBreak/>
        <w:t>Comprehensive future studies should target a minimum of 10–12 analytes, including both priority toxic metals (As, Cd, Pb, Hg, Zn, Cu, Mn) and geochemically conservative normalizing elements (Al, Fe) to enable proper enrichment factor calculations and more robust source apportionment. The inclusion of soil pH, organic carbon content, and cation exchange capacity measurements would also enhance the interpretation of metal mobility and bioavailability, parameters that were beyond the scope of the present study.</w:t>
      </w:r>
    </w:p>
    <w:p w14:paraId="3C46EBE8" w14:textId="69AAD7E7" w:rsidR="007F2EA8" w:rsidRPr="00D42A6B" w:rsidRDefault="009E709E" w:rsidP="007F2EA8">
      <w:pPr>
        <w:spacing w:after="160" w:line="278" w:lineRule="auto"/>
        <w:jc w:val="both"/>
        <w:rPr>
          <w:rFonts w:ascii="Arial" w:hAnsi="Arial" w:cs="Arial"/>
          <w:b/>
          <w:bCs/>
          <w:sz w:val="22"/>
          <w:szCs w:val="22"/>
          <w:lang w:val="en"/>
        </w:rPr>
      </w:pPr>
      <w:r>
        <w:rPr>
          <w:rFonts w:ascii="Arial" w:hAnsi="Arial" w:cs="Arial"/>
          <w:b/>
          <w:bCs/>
          <w:sz w:val="22"/>
          <w:szCs w:val="22"/>
          <w:lang w:val="en"/>
        </w:rPr>
        <w:t>6</w:t>
      </w:r>
      <w:r w:rsidR="007F2EA8" w:rsidRPr="00D42A6B">
        <w:rPr>
          <w:rFonts w:ascii="Arial" w:hAnsi="Arial" w:cs="Arial"/>
          <w:b/>
          <w:bCs/>
          <w:sz w:val="22"/>
          <w:szCs w:val="22"/>
          <w:lang w:val="en"/>
        </w:rPr>
        <w:t>.4 Multi-pathway Health Risk Assessment</w:t>
      </w:r>
    </w:p>
    <w:p w14:paraId="32E988C1" w14:textId="07D4E6F2" w:rsidR="00BC5919" w:rsidRPr="005E5237" w:rsidRDefault="007F2EA8" w:rsidP="007F2EA8">
      <w:pPr>
        <w:spacing w:after="160" w:line="278" w:lineRule="auto"/>
        <w:jc w:val="both"/>
        <w:rPr>
          <w:rFonts w:ascii="Arial" w:hAnsi="Arial" w:cs="Arial"/>
          <w:sz w:val="22"/>
          <w:szCs w:val="22"/>
        </w:rPr>
      </w:pPr>
      <w:r w:rsidRPr="00D42A6B">
        <w:rPr>
          <w:rFonts w:ascii="Arial" w:hAnsi="Arial" w:cs="Arial"/>
          <w:sz w:val="22"/>
          <w:szCs w:val="22"/>
          <w:lang w:val="en"/>
        </w:rPr>
        <w:t xml:space="preserve">Future risk assessments at this site should adopt a comprehensive multi-pathway exposure framework that incorporates inhalation of landfill-derived particulates, ingestion of contaminated groundwater, and dietary exposure through locally grown food crops and livestock — pathways that were not evaluated in this study but which may contribute meaningfully to total cumulative exposure in the resident population. A tiered risk assessment approach, beginning with conservative screening-level calculations and progressing to site-specific probabilistic modelling where exposures are confirmed, would provide a </w:t>
      </w:r>
      <w:proofErr w:type="gramStart"/>
      <w:r w:rsidRPr="00D42A6B">
        <w:rPr>
          <w:rFonts w:ascii="Arial" w:hAnsi="Arial" w:cs="Arial"/>
          <w:sz w:val="22"/>
          <w:szCs w:val="22"/>
          <w:lang w:val="en"/>
        </w:rPr>
        <w:t>more complete and defensible</w:t>
      </w:r>
      <w:proofErr w:type="gramEnd"/>
      <w:r w:rsidRPr="00D42A6B">
        <w:rPr>
          <w:rFonts w:ascii="Arial" w:hAnsi="Arial" w:cs="Arial"/>
          <w:sz w:val="22"/>
          <w:szCs w:val="22"/>
          <w:lang w:val="en"/>
        </w:rPr>
        <w:t xml:space="preserve"> basis for risk management decision-making.</w:t>
      </w:r>
    </w:p>
    <w:p w14:paraId="270FE52F" w14:textId="77777777" w:rsidR="006D5B7E" w:rsidRDefault="006D5B7E" w:rsidP="00087982">
      <w:pPr>
        <w:rPr>
          <w:rFonts w:ascii="Arial" w:hAnsi="Arial" w:cs="Arial"/>
          <w:sz w:val="22"/>
          <w:szCs w:val="22"/>
        </w:rPr>
      </w:pPr>
    </w:p>
    <w:p w14:paraId="4A1DBB9A" w14:textId="4DECCD07" w:rsidR="00690D63" w:rsidRDefault="00690D63" w:rsidP="00087982">
      <w:pPr>
        <w:rPr>
          <w:rFonts w:ascii="Arial" w:hAnsi="Arial" w:cs="Arial"/>
          <w:b/>
          <w:bCs/>
          <w:sz w:val="22"/>
          <w:szCs w:val="22"/>
        </w:rPr>
      </w:pPr>
      <w:r w:rsidRPr="00690D63">
        <w:rPr>
          <w:rFonts w:ascii="Arial" w:hAnsi="Arial" w:cs="Arial"/>
          <w:b/>
          <w:bCs/>
          <w:sz w:val="22"/>
          <w:szCs w:val="22"/>
        </w:rPr>
        <w:t>Disclaimer (Artificial Intelligence)</w:t>
      </w:r>
    </w:p>
    <w:p w14:paraId="38ABA7E9" w14:textId="77777777" w:rsidR="00690D63" w:rsidRDefault="00690D63" w:rsidP="00087982">
      <w:pPr>
        <w:rPr>
          <w:rFonts w:ascii="Arial" w:hAnsi="Arial" w:cs="Arial"/>
          <w:sz w:val="22"/>
          <w:szCs w:val="22"/>
        </w:rPr>
      </w:pPr>
    </w:p>
    <w:p w14:paraId="71755749" w14:textId="3DBE1280" w:rsidR="009E709E" w:rsidRDefault="009E709E" w:rsidP="009E709E">
      <w:pPr>
        <w:jc w:val="both"/>
        <w:rPr>
          <w:rFonts w:ascii="Arial" w:hAnsi="Arial" w:cs="Arial"/>
          <w:sz w:val="22"/>
          <w:szCs w:val="22"/>
        </w:rPr>
      </w:pPr>
      <w:r w:rsidRPr="009E709E">
        <w:rPr>
          <w:rFonts w:ascii="Arial" w:hAnsi="Arial" w:cs="Arial"/>
          <w:sz w:val="22"/>
          <w:szCs w:val="2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FD8897F" w14:textId="77777777" w:rsidR="009E709E" w:rsidRPr="009E709E" w:rsidRDefault="009E709E" w:rsidP="009E709E">
      <w:pPr>
        <w:jc w:val="both"/>
        <w:rPr>
          <w:rFonts w:ascii="Arial" w:hAnsi="Arial" w:cs="Arial"/>
          <w:sz w:val="22"/>
          <w:szCs w:val="22"/>
        </w:rPr>
      </w:pPr>
    </w:p>
    <w:p w14:paraId="163B465D" w14:textId="77777777" w:rsidR="009E709E" w:rsidRDefault="009E709E" w:rsidP="009E709E">
      <w:pPr>
        <w:jc w:val="both"/>
        <w:rPr>
          <w:rFonts w:ascii="Arial" w:hAnsi="Arial" w:cs="Arial"/>
          <w:sz w:val="22"/>
          <w:szCs w:val="22"/>
        </w:rPr>
      </w:pPr>
      <w:r w:rsidRPr="009E709E">
        <w:rPr>
          <w:rFonts w:ascii="Arial" w:hAnsi="Arial" w:cs="Arial"/>
          <w:sz w:val="22"/>
          <w:szCs w:val="22"/>
        </w:rPr>
        <w:t>Details of the AI usage are given below:</w:t>
      </w:r>
    </w:p>
    <w:p w14:paraId="5D331AB6" w14:textId="77777777" w:rsidR="009E709E" w:rsidRDefault="009E709E" w:rsidP="009E709E">
      <w:pPr>
        <w:jc w:val="both"/>
        <w:rPr>
          <w:rFonts w:ascii="Arial" w:hAnsi="Arial" w:cs="Arial"/>
          <w:sz w:val="22"/>
          <w:szCs w:val="22"/>
        </w:rPr>
      </w:pPr>
    </w:p>
    <w:p w14:paraId="268E7209" w14:textId="0C94A657" w:rsidR="006D5B7E" w:rsidRDefault="006D5B7E" w:rsidP="009E709E">
      <w:pPr>
        <w:jc w:val="both"/>
        <w:rPr>
          <w:rFonts w:ascii="Arial" w:hAnsi="Arial" w:cs="Arial"/>
          <w:sz w:val="22"/>
          <w:szCs w:val="22"/>
        </w:rPr>
      </w:pPr>
      <w:r w:rsidRPr="00D42A6B">
        <w:rPr>
          <w:rFonts w:ascii="Arial" w:hAnsi="Arial" w:cs="Arial"/>
          <w:sz w:val="22"/>
          <w:szCs w:val="22"/>
        </w:rPr>
        <w:t>AI-assisted tools (specifically, an AI language model assistant) to support the following tasks: identification and correction of invalid references, language editing and proofreading, structural reorganization of sections, and expansion of discussion content in response to reviewer recommendations. All AI-assisted outputs were critically reviewed, verified, and edited by the author(s), who take full responsibility for the scientific accuracy, integrity, and content of the final manuscript. No AI tools were used for data collection, laboratory analysis, or generation of original research findings.</w:t>
      </w:r>
    </w:p>
    <w:p w14:paraId="2F39A6AB" w14:textId="23EBCAF4" w:rsidR="00996B3A" w:rsidRDefault="00996B3A" w:rsidP="00087982">
      <w:pPr>
        <w:rPr>
          <w:rFonts w:ascii="Arial" w:hAnsi="Arial" w:cs="Arial"/>
          <w:sz w:val="22"/>
          <w:szCs w:val="22"/>
        </w:rPr>
      </w:pPr>
    </w:p>
    <w:p w14:paraId="29359999" w14:textId="77777777" w:rsidR="00996B3A" w:rsidRDefault="00996B3A" w:rsidP="00087982">
      <w:pPr>
        <w:rPr>
          <w:rFonts w:ascii="Arial" w:hAnsi="Arial" w:cs="Arial"/>
          <w:sz w:val="22"/>
          <w:szCs w:val="22"/>
        </w:rPr>
      </w:pPr>
    </w:p>
    <w:p w14:paraId="5BD60F77" w14:textId="77777777" w:rsidR="00996B3A" w:rsidRPr="00A94F04" w:rsidRDefault="00996B3A" w:rsidP="00996B3A">
      <w:pPr>
        <w:rPr>
          <w:rFonts w:ascii="Arial" w:hAnsi="Arial" w:cs="Arial"/>
          <w:b/>
          <w:bCs/>
          <w:sz w:val="24"/>
          <w:szCs w:val="24"/>
        </w:rPr>
      </w:pPr>
      <w:r w:rsidRPr="00A94F04">
        <w:rPr>
          <w:rFonts w:ascii="Arial" w:hAnsi="Arial" w:cs="Arial"/>
          <w:b/>
          <w:bCs/>
          <w:sz w:val="24"/>
          <w:szCs w:val="24"/>
        </w:rPr>
        <w:t>References</w:t>
      </w:r>
    </w:p>
    <w:p w14:paraId="4D1D175D" w14:textId="77777777" w:rsidR="00996B3A" w:rsidRPr="008215E6" w:rsidRDefault="00996B3A" w:rsidP="00996B3A">
      <w:pPr>
        <w:rPr>
          <w:rFonts w:ascii="Times New Roman" w:hAnsi="Times New Roman"/>
          <w:b/>
          <w:bCs/>
        </w:rPr>
      </w:pPr>
    </w:p>
    <w:p w14:paraId="1DE13017"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Ademoroti, C. M. A. (1996).</w:t>
      </w:r>
      <w:r w:rsidRPr="00EB5CE3">
        <w:rPr>
          <w:rFonts w:ascii="Arial" w:hAnsi="Arial" w:cs="Arial"/>
          <w:sz w:val="22"/>
          <w:szCs w:val="22"/>
        </w:rPr>
        <w:t> </w:t>
      </w:r>
      <w:r w:rsidRPr="00EB5CE3">
        <w:rPr>
          <w:rFonts w:ascii="Arial" w:eastAsiaTheme="majorEastAsia" w:hAnsi="Arial" w:cs="Arial"/>
          <w:i/>
          <w:iCs/>
          <w:sz w:val="22"/>
          <w:szCs w:val="22"/>
        </w:rPr>
        <w:t>Environmental chemistry and toxicology.</w:t>
      </w:r>
      <w:r w:rsidRPr="00EB5CE3">
        <w:rPr>
          <w:rFonts w:ascii="Arial" w:hAnsi="Arial" w:cs="Arial"/>
          <w:sz w:val="22"/>
          <w:szCs w:val="22"/>
        </w:rPr>
        <w:t> </w:t>
      </w:r>
      <w:proofErr w:type="spellStart"/>
      <w:r w:rsidRPr="00EB5CE3">
        <w:rPr>
          <w:rFonts w:ascii="Arial" w:hAnsi="Arial" w:cs="Arial"/>
          <w:sz w:val="22"/>
          <w:szCs w:val="22"/>
        </w:rPr>
        <w:t>Foludex</w:t>
      </w:r>
      <w:proofErr w:type="spellEnd"/>
      <w:r w:rsidRPr="00EB5CE3">
        <w:rPr>
          <w:rFonts w:ascii="Arial" w:hAnsi="Arial" w:cs="Arial"/>
          <w:sz w:val="22"/>
          <w:szCs w:val="22"/>
        </w:rPr>
        <w:t xml:space="preserve"> Press Ltd.</w:t>
      </w:r>
    </w:p>
    <w:p w14:paraId="62FEA02B"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Akujieze</w:t>
      </w:r>
      <w:proofErr w:type="spellEnd"/>
      <w:r w:rsidRPr="00EB5CE3">
        <w:rPr>
          <w:rFonts w:ascii="Arial" w:eastAsiaTheme="majorEastAsia" w:hAnsi="Arial" w:cs="Arial"/>
          <w:sz w:val="22"/>
          <w:szCs w:val="22"/>
        </w:rPr>
        <w:t xml:space="preserve">, C. N., Coker, S. J. L., &amp; </w:t>
      </w:r>
      <w:proofErr w:type="spellStart"/>
      <w:r w:rsidRPr="00EB5CE3">
        <w:rPr>
          <w:rFonts w:ascii="Arial" w:eastAsiaTheme="majorEastAsia" w:hAnsi="Arial" w:cs="Arial"/>
          <w:sz w:val="22"/>
          <w:szCs w:val="22"/>
        </w:rPr>
        <w:t>Oteze</w:t>
      </w:r>
      <w:proofErr w:type="spellEnd"/>
      <w:r w:rsidRPr="00EB5CE3">
        <w:rPr>
          <w:rFonts w:ascii="Arial" w:eastAsiaTheme="majorEastAsia" w:hAnsi="Arial" w:cs="Arial"/>
          <w:sz w:val="22"/>
          <w:szCs w:val="22"/>
        </w:rPr>
        <w:t>, G. E. (2003).</w:t>
      </w:r>
      <w:r w:rsidRPr="00EB5CE3">
        <w:rPr>
          <w:rFonts w:ascii="Arial" w:hAnsi="Arial" w:cs="Arial"/>
          <w:sz w:val="22"/>
          <w:szCs w:val="22"/>
        </w:rPr>
        <w:t> Groundwater in Nigeria — a millennium experience: Distribution, practice, problems and solutions. </w:t>
      </w:r>
      <w:r w:rsidRPr="00EB5CE3">
        <w:rPr>
          <w:rFonts w:ascii="Arial" w:eastAsiaTheme="majorEastAsia" w:hAnsi="Arial" w:cs="Arial"/>
          <w:i/>
          <w:iCs/>
          <w:sz w:val="22"/>
          <w:szCs w:val="22"/>
        </w:rPr>
        <w:t>Hydrogeology Journal, 11</w:t>
      </w:r>
      <w:r w:rsidRPr="00EB5CE3">
        <w:rPr>
          <w:rFonts w:ascii="Arial" w:hAnsi="Arial" w:cs="Arial"/>
          <w:sz w:val="22"/>
          <w:szCs w:val="22"/>
        </w:rPr>
        <w:t>(2), 259–274. https://doi.org/10.1007/s10040-002-0227-3</w:t>
      </w:r>
    </w:p>
    <w:p w14:paraId="5D538C34"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Eludoyin</w:t>
      </w:r>
      <w:proofErr w:type="spellEnd"/>
      <w:r w:rsidRPr="00EB5CE3">
        <w:rPr>
          <w:rFonts w:ascii="Arial" w:eastAsiaTheme="majorEastAsia" w:hAnsi="Arial" w:cs="Arial"/>
          <w:sz w:val="22"/>
          <w:szCs w:val="22"/>
        </w:rPr>
        <w:t xml:space="preserve">, A. O., Adelekan, I. O., Webster, R., &amp; </w:t>
      </w:r>
      <w:proofErr w:type="spellStart"/>
      <w:r w:rsidRPr="00EB5CE3">
        <w:rPr>
          <w:rFonts w:ascii="Arial" w:eastAsiaTheme="majorEastAsia" w:hAnsi="Arial" w:cs="Arial"/>
          <w:sz w:val="22"/>
          <w:szCs w:val="22"/>
        </w:rPr>
        <w:t>Eludoyin</w:t>
      </w:r>
      <w:proofErr w:type="spellEnd"/>
      <w:r w:rsidRPr="00EB5CE3">
        <w:rPr>
          <w:rFonts w:ascii="Arial" w:eastAsiaTheme="majorEastAsia" w:hAnsi="Arial" w:cs="Arial"/>
          <w:sz w:val="22"/>
          <w:szCs w:val="22"/>
        </w:rPr>
        <w:t>, O. M. (2014).</w:t>
      </w:r>
      <w:r w:rsidRPr="00EB5CE3">
        <w:rPr>
          <w:rFonts w:ascii="Arial" w:hAnsi="Arial" w:cs="Arial"/>
          <w:sz w:val="22"/>
          <w:szCs w:val="22"/>
        </w:rPr>
        <w:t> Air temperature, humidity, climate regionalization, and thermal comfort of Nigeria. </w:t>
      </w:r>
      <w:r w:rsidRPr="00EB5CE3">
        <w:rPr>
          <w:rFonts w:ascii="Arial" w:eastAsiaTheme="majorEastAsia" w:hAnsi="Arial" w:cs="Arial"/>
          <w:i/>
          <w:iCs/>
          <w:sz w:val="22"/>
          <w:szCs w:val="22"/>
        </w:rPr>
        <w:t>International Journal of Climatology, 34</w:t>
      </w:r>
      <w:r w:rsidRPr="00EB5CE3">
        <w:rPr>
          <w:rFonts w:ascii="Arial" w:hAnsi="Arial" w:cs="Arial"/>
          <w:sz w:val="22"/>
          <w:szCs w:val="22"/>
        </w:rPr>
        <w:t>(6), 2000–2018. https://doi.org/10.1002/joc.3817</w:t>
      </w:r>
    </w:p>
    <w:p w14:paraId="69368705"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lastRenderedPageBreak/>
        <w:t>George, N. J., Akpan, A. E., &amp; Thomas, J. E. (2021).</w:t>
      </w:r>
      <w:r w:rsidRPr="00EB5CE3">
        <w:rPr>
          <w:rFonts w:ascii="Arial" w:hAnsi="Arial" w:cs="Arial"/>
          <w:sz w:val="22"/>
          <w:szCs w:val="22"/>
        </w:rPr>
        <w:t> Geophysical assessment of leachate plume migration around a municipal dumpsite in the Niger Delta. </w:t>
      </w:r>
      <w:r w:rsidRPr="00EB5CE3">
        <w:rPr>
          <w:rFonts w:ascii="Arial" w:eastAsiaTheme="majorEastAsia" w:hAnsi="Arial" w:cs="Arial"/>
          <w:i/>
          <w:iCs/>
          <w:sz w:val="22"/>
          <w:szCs w:val="22"/>
        </w:rPr>
        <w:t>Journal of Applied Geophysics, 184</w:t>
      </w:r>
      <w:r w:rsidRPr="00EB5CE3">
        <w:rPr>
          <w:rFonts w:ascii="Arial" w:hAnsi="Arial" w:cs="Arial"/>
          <w:sz w:val="22"/>
          <w:szCs w:val="22"/>
        </w:rPr>
        <w:t>, Article 104239. https://doi.org/10.1016/j.jappgeo.2020.104239</w:t>
      </w:r>
    </w:p>
    <w:p w14:paraId="6BE6CCBD"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Håkanson, L. (1980).</w:t>
      </w:r>
      <w:r w:rsidRPr="00EB5CE3">
        <w:rPr>
          <w:rFonts w:ascii="Arial" w:hAnsi="Arial" w:cs="Arial"/>
          <w:sz w:val="22"/>
          <w:szCs w:val="22"/>
        </w:rPr>
        <w:t> An ecological risk index for aquatic pollution control: A sedimentological approach. </w:t>
      </w:r>
      <w:r w:rsidRPr="00EB5CE3">
        <w:rPr>
          <w:rFonts w:ascii="Arial" w:eastAsiaTheme="majorEastAsia" w:hAnsi="Arial" w:cs="Arial"/>
          <w:i/>
          <w:iCs/>
          <w:sz w:val="22"/>
          <w:szCs w:val="22"/>
        </w:rPr>
        <w:t>Water Research, 14</w:t>
      </w:r>
      <w:r w:rsidRPr="00EB5CE3">
        <w:rPr>
          <w:rFonts w:ascii="Arial" w:hAnsi="Arial" w:cs="Arial"/>
          <w:sz w:val="22"/>
          <w:szCs w:val="22"/>
        </w:rPr>
        <w:t>(8), 975–1001. https://doi.org/10.1016/0043-1354(80)90143-8</w:t>
      </w:r>
    </w:p>
    <w:p w14:paraId="10496D84"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Ideriah</w:t>
      </w:r>
      <w:proofErr w:type="spellEnd"/>
      <w:r w:rsidRPr="00EB5CE3">
        <w:rPr>
          <w:rFonts w:ascii="Arial" w:eastAsiaTheme="majorEastAsia" w:hAnsi="Arial" w:cs="Arial"/>
          <w:sz w:val="22"/>
          <w:szCs w:val="22"/>
        </w:rPr>
        <w:t xml:space="preserve">, T. J. K., Harry, F. O., Stanley, H. O., &amp; </w:t>
      </w:r>
      <w:proofErr w:type="spellStart"/>
      <w:r w:rsidRPr="00EB5CE3">
        <w:rPr>
          <w:rFonts w:ascii="Arial" w:eastAsiaTheme="majorEastAsia" w:hAnsi="Arial" w:cs="Arial"/>
          <w:sz w:val="22"/>
          <w:szCs w:val="22"/>
        </w:rPr>
        <w:t>Igbara</w:t>
      </w:r>
      <w:proofErr w:type="spellEnd"/>
      <w:r w:rsidRPr="00EB5CE3">
        <w:rPr>
          <w:rFonts w:ascii="Arial" w:eastAsiaTheme="majorEastAsia" w:hAnsi="Arial" w:cs="Arial"/>
          <w:sz w:val="22"/>
          <w:szCs w:val="22"/>
        </w:rPr>
        <w:t>, J. K. (2005).</w:t>
      </w:r>
      <w:r w:rsidRPr="00EB5CE3">
        <w:rPr>
          <w:rFonts w:ascii="Arial" w:hAnsi="Arial" w:cs="Arial"/>
          <w:sz w:val="22"/>
          <w:szCs w:val="22"/>
        </w:rPr>
        <w:t> Heavy metal contamination of soils and vegetation around solid waste dumps in Port Harcourt, Nigeria. </w:t>
      </w:r>
      <w:r w:rsidRPr="00EB5CE3">
        <w:rPr>
          <w:rFonts w:ascii="Arial" w:eastAsiaTheme="majorEastAsia" w:hAnsi="Arial" w:cs="Arial"/>
          <w:i/>
          <w:iCs/>
          <w:sz w:val="22"/>
          <w:szCs w:val="22"/>
        </w:rPr>
        <w:t>Journal of Applied Sciences and Environmental Management, 14</w:t>
      </w:r>
      <w:r w:rsidRPr="00EB5CE3">
        <w:rPr>
          <w:rFonts w:ascii="Arial" w:hAnsi="Arial" w:cs="Arial"/>
          <w:sz w:val="22"/>
          <w:szCs w:val="22"/>
        </w:rPr>
        <w:t>(1), 101–109. https://doi.org/10.4314/jasem.v14i1.54705</w:t>
      </w:r>
    </w:p>
    <w:p w14:paraId="6BFB285C" w14:textId="117BD3BC"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ISO 11466:1995.</w:t>
      </w:r>
      <w:r w:rsidRPr="00EB5CE3">
        <w:rPr>
          <w:rFonts w:ascii="Arial" w:hAnsi="Arial" w:cs="Arial"/>
          <w:sz w:val="22"/>
          <w:szCs w:val="22"/>
        </w:rPr>
        <w:t> </w:t>
      </w:r>
      <w:r w:rsidRPr="00EB5CE3">
        <w:rPr>
          <w:rFonts w:ascii="Arial" w:eastAsiaTheme="majorEastAsia" w:hAnsi="Arial" w:cs="Arial"/>
          <w:i/>
          <w:iCs/>
          <w:sz w:val="22"/>
          <w:szCs w:val="22"/>
        </w:rPr>
        <w:t xml:space="preserve">Soil </w:t>
      </w:r>
      <w:proofErr w:type="gramStart"/>
      <w:r w:rsidRPr="00EB5CE3">
        <w:rPr>
          <w:rFonts w:ascii="Arial" w:eastAsiaTheme="majorEastAsia" w:hAnsi="Arial" w:cs="Arial"/>
          <w:i/>
          <w:iCs/>
          <w:sz w:val="22"/>
          <w:szCs w:val="22"/>
        </w:rPr>
        <w:t>quality</w:t>
      </w:r>
      <w:r w:rsidR="0072680B" w:rsidRPr="00EB5CE3">
        <w:rPr>
          <w:rFonts w:ascii="Arial" w:eastAsiaTheme="majorEastAsia" w:hAnsi="Arial" w:cs="Arial"/>
          <w:i/>
          <w:iCs/>
          <w:sz w:val="22"/>
          <w:szCs w:val="22"/>
        </w:rPr>
        <w:t xml:space="preserve">; </w:t>
      </w:r>
      <w:r w:rsidRPr="00EB5CE3">
        <w:rPr>
          <w:rFonts w:ascii="Arial" w:eastAsiaTheme="majorEastAsia" w:hAnsi="Arial" w:cs="Arial"/>
          <w:i/>
          <w:iCs/>
          <w:sz w:val="22"/>
          <w:szCs w:val="22"/>
        </w:rPr>
        <w:t xml:space="preserve"> Extraction</w:t>
      </w:r>
      <w:proofErr w:type="gramEnd"/>
      <w:r w:rsidRPr="00EB5CE3">
        <w:rPr>
          <w:rFonts w:ascii="Arial" w:eastAsiaTheme="majorEastAsia" w:hAnsi="Arial" w:cs="Arial"/>
          <w:i/>
          <w:iCs/>
          <w:sz w:val="22"/>
          <w:szCs w:val="22"/>
        </w:rPr>
        <w:t xml:space="preserve"> of trace elements soluble in aqua regia.</w:t>
      </w:r>
      <w:r w:rsidRPr="00EB5CE3">
        <w:rPr>
          <w:rFonts w:ascii="Arial" w:hAnsi="Arial" w:cs="Arial"/>
          <w:sz w:val="22"/>
          <w:szCs w:val="22"/>
        </w:rPr>
        <w:t> International Organization for Standardization. https://www.iso.org/standard/19418.html</w:t>
      </w:r>
    </w:p>
    <w:p w14:paraId="1D482F3C"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 xml:space="preserve">Iwegbue, C. M. A., Nwajei, G. E., </w:t>
      </w:r>
      <w:proofErr w:type="spellStart"/>
      <w:r w:rsidRPr="00EB5CE3">
        <w:rPr>
          <w:rFonts w:ascii="Arial" w:eastAsiaTheme="majorEastAsia" w:hAnsi="Arial" w:cs="Arial"/>
          <w:sz w:val="22"/>
          <w:szCs w:val="22"/>
        </w:rPr>
        <w:t>Overah</w:t>
      </w:r>
      <w:proofErr w:type="spellEnd"/>
      <w:r w:rsidRPr="00EB5CE3">
        <w:rPr>
          <w:rFonts w:ascii="Arial" w:eastAsiaTheme="majorEastAsia" w:hAnsi="Arial" w:cs="Arial"/>
          <w:sz w:val="22"/>
          <w:szCs w:val="22"/>
        </w:rPr>
        <w:t xml:space="preserve">, L. C., Obi, G., &amp; </w:t>
      </w:r>
      <w:proofErr w:type="spellStart"/>
      <w:r w:rsidRPr="00EB5CE3">
        <w:rPr>
          <w:rFonts w:ascii="Arial" w:eastAsiaTheme="majorEastAsia" w:hAnsi="Arial" w:cs="Arial"/>
          <w:sz w:val="22"/>
          <w:szCs w:val="22"/>
        </w:rPr>
        <w:t>Martincigh</w:t>
      </w:r>
      <w:proofErr w:type="spellEnd"/>
      <w:r w:rsidRPr="00EB5CE3">
        <w:rPr>
          <w:rFonts w:ascii="Arial" w:eastAsiaTheme="majorEastAsia" w:hAnsi="Arial" w:cs="Arial"/>
          <w:sz w:val="22"/>
          <w:szCs w:val="22"/>
        </w:rPr>
        <w:t>, B. S. (2020).</w:t>
      </w:r>
      <w:r w:rsidRPr="00EB5CE3">
        <w:rPr>
          <w:rFonts w:ascii="Arial" w:hAnsi="Arial" w:cs="Arial"/>
          <w:sz w:val="22"/>
          <w:szCs w:val="22"/>
        </w:rPr>
        <w:t> Geochemical baselines, anthropogenic enrichment and human health risks of trace elements in soils from urban, semi-urban and rural areas in southern Nigeria. </w:t>
      </w:r>
      <w:r w:rsidRPr="00EB5CE3">
        <w:rPr>
          <w:rFonts w:ascii="Arial" w:eastAsiaTheme="majorEastAsia" w:hAnsi="Arial" w:cs="Arial"/>
          <w:i/>
          <w:iCs/>
          <w:sz w:val="22"/>
          <w:szCs w:val="22"/>
        </w:rPr>
        <w:t>Environmental Geochemistry and Health, 42</w:t>
      </w:r>
      <w:r w:rsidRPr="00EB5CE3">
        <w:rPr>
          <w:rFonts w:ascii="Arial" w:hAnsi="Arial" w:cs="Arial"/>
          <w:sz w:val="22"/>
          <w:szCs w:val="22"/>
        </w:rPr>
        <w:t>(6), 1693–1718. https://doi.org/10.1007/s10653-019-00433-6</w:t>
      </w:r>
    </w:p>
    <w:p w14:paraId="7548D428"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Kabata-Pendias</w:t>
      </w:r>
      <w:proofErr w:type="spellEnd"/>
      <w:r w:rsidRPr="00EB5CE3">
        <w:rPr>
          <w:rFonts w:ascii="Arial" w:eastAsiaTheme="majorEastAsia" w:hAnsi="Arial" w:cs="Arial"/>
          <w:sz w:val="22"/>
          <w:szCs w:val="22"/>
        </w:rPr>
        <w:t>, A. (2011).</w:t>
      </w:r>
      <w:r w:rsidRPr="00EB5CE3">
        <w:rPr>
          <w:rFonts w:ascii="Arial" w:hAnsi="Arial" w:cs="Arial"/>
          <w:sz w:val="22"/>
          <w:szCs w:val="22"/>
        </w:rPr>
        <w:t> </w:t>
      </w:r>
      <w:r w:rsidRPr="00EB5CE3">
        <w:rPr>
          <w:rFonts w:ascii="Arial" w:eastAsiaTheme="majorEastAsia" w:hAnsi="Arial" w:cs="Arial"/>
          <w:i/>
          <w:iCs/>
          <w:sz w:val="22"/>
          <w:szCs w:val="22"/>
        </w:rPr>
        <w:t>Trace elements in soils and plants</w:t>
      </w:r>
      <w:r w:rsidRPr="00EB5CE3">
        <w:rPr>
          <w:rFonts w:ascii="Arial" w:hAnsi="Arial" w:cs="Arial"/>
          <w:sz w:val="22"/>
          <w:szCs w:val="22"/>
        </w:rPr>
        <w:t> (4th ed.). CRC Press. https://doi.org/10.1201/b10158</w:t>
      </w:r>
    </w:p>
    <w:p w14:paraId="05FFE7B0"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Longe, E. O., &amp; Balogun, M. R. (2010).</w:t>
      </w:r>
      <w:r w:rsidRPr="00EB5CE3">
        <w:rPr>
          <w:rFonts w:ascii="Arial" w:hAnsi="Arial" w:cs="Arial"/>
          <w:sz w:val="22"/>
          <w:szCs w:val="22"/>
        </w:rPr>
        <w:t> Groundwater quality assessment near a municipal landfill, Lagos, Nigeria. </w:t>
      </w:r>
      <w:r w:rsidRPr="00EB5CE3">
        <w:rPr>
          <w:rFonts w:ascii="Arial" w:eastAsiaTheme="majorEastAsia" w:hAnsi="Arial" w:cs="Arial"/>
          <w:i/>
          <w:iCs/>
          <w:sz w:val="22"/>
          <w:szCs w:val="22"/>
        </w:rPr>
        <w:t>Research Journal of Applied Sciences, Engineering and Technology, 2</w:t>
      </w:r>
      <w:r w:rsidRPr="00EB5CE3">
        <w:rPr>
          <w:rFonts w:ascii="Arial" w:hAnsi="Arial" w:cs="Arial"/>
          <w:sz w:val="22"/>
          <w:szCs w:val="22"/>
        </w:rPr>
        <w:t>(1), 39–44.</w:t>
      </w:r>
    </w:p>
    <w:p w14:paraId="456806CE"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Mmereki</w:t>
      </w:r>
      <w:proofErr w:type="spellEnd"/>
      <w:r w:rsidRPr="00EB5CE3">
        <w:rPr>
          <w:rFonts w:ascii="Arial" w:eastAsiaTheme="majorEastAsia" w:hAnsi="Arial" w:cs="Arial"/>
          <w:sz w:val="22"/>
          <w:szCs w:val="22"/>
        </w:rPr>
        <w:t>, D., Baldwin, A., Li, B., &amp; Liu, M. (2016).</w:t>
      </w:r>
      <w:r w:rsidRPr="00EB5CE3">
        <w:rPr>
          <w:rFonts w:ascii="Arial" w:hAnsi="Arial" w:cs="Arial"/>
          <w:sz w:val="22"/>
          <w:szCs w:val="22"/>
        </w:rPr>
        <w:t> The generation, composition, collection, treatment and disposal of municipal solid waste and its associated health and environmental impacts in rapidly developing cities: A systematic review. </w:t>
      </w:r>
      <w:r w:rsidRPr="00EB5CE3">
        <w:rPr>
          <w:rFonts w:ascii="Arial" w:eastAsiaTheme="majorEastAsia" w:hAnsi="Arial" w:cs="Arial"/>
          <w:i/>
          <w:iCs/>
          <w:sz w:val="22"/>
          <w:szCs w:val="22"/>
        </w:rPr>
        <w:t>Proceedings of the Institution of Civil Engineers — Waste and Resource Management, 169</w:t>
      </w:r>
      <w:r w:rsidRPr="00EB5CE3">
        <w:rPr>
          <w:rFonts w:ascii="Arial" w:hAnsi="Arial" w:cs="Arial"/>
          <w:sz w:val="22"/>
          <w:szCs w:val="22"/>
        </w:rPr>
        <w:t>(3), 130–151. https://doi.org/10.1680/jwarm.15.00007</w:t>
      </w:r>
    </w:p>
    <w:p w14:paraId="3D33E3DB"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Müller, G. (1969).</w:t>
      </w:r>
      <w:r w:rsidRPr="00EB5CE3">
        <w:rPr>
          <w:rFonts w:ascii="Arial" w:hAnsi="Arial" w:cs="Arial"/>
          <w:sz w:val="22"/>
          <w:szCs w:val="22"/>
        </w:rPr>
        <w:t xml:space="preserve"> Index of </w:t>
      </w:r>
      <w:proofErr w:type="spellStart"/>
      <w:r w:rsidRPr="00EB5CE3">
        <w:rPr>
          <w:rFonts w:ascii="Arial" w:hAnsi="Arial" w:cs="Arial"/>
          <w:sz w:val="22"/>
          <w:szCs w:val="22"/>
        </w:rPr>
        <w:t>geoaccumulation</w:t>
      </w:r>
      <w:proofErr w:type="spellEnd"/>
      <w:r w:rsidRPr="00EB5CE3">
        <w:rPr>
          <w:rFonts w:ascii="Arial" w:hAnsi="Arial" w:cs="Arial"/>
          <w:sz w:val="22"/>
          <w:szCs w:val="22"/>
        </w:rPr>
        <w:t xml:space="preserve"> in sediments of the Rhine River. </w:t>
      </w:r>
      <w:proofErr w:type="spellStart"/>
      <w:r w:rsidRPr="00EB5CE3">
        <w:rPr>
          <w:rFonts w:ascii="Arial" w:eastAsiaTheme="majorEastAsia" w:hAnsi="Arial" w:cs="Arial"/>
          <w:i/>
          <w:iCs/>
          <w:sz w:val="22"/>
          <w:szCs w:val="22"/>
        </w:rPr>
        <w:t>GeoJournal</w:t>
      </w:r>
      <w:proofErr w:type="spellEnd"/>
      <w:r w:rsidRPr="00EB5CE3">
        <w:rPr>
          <w:rFonts w:ascii="Arial" w:eastAsiaTheme="majorEastAsia" w:hAnsi="Arial" w:cs="Arial"/>
          <w:i/>
          <w:iCs/>
          <w:sz w:val="22"/>
          <w:szCs w:val="22"/>
        </w:rPr>
        <w:t>, 2</w:t>
      </w:r>
      <w:r w:rsidRPr="00EB5CE3">
        <w:rPr>
          <w:rFonts w:ascii="Arial" w:hAnsi="Arial" w:cs="Arial"/>
          <w:sz w:val="22"/>
          <w:szCs w:val="22"/>
        </w:rPr>
        <w:t>(3), 108–118.</w:t>
      </w:r>
    </w:p>
    <w:p w14:paraId="0AB91A62"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NESREA. (2011).</w:t>
      </w:r>
      <w:r w:rsidRPr="00EB5CE3">
        <w:rPr>
          <w:rFonts w:ascii="Arial" w:hAnsi="Arial" w:cs="Arial"/>
          <w:sz w:val="22"/>
          <w:szCs w:val="22"/>
        </w:rPr>
        <w:t> </w:t>
      </w:r>
      <w:r w:rsidRPr="00EB5CE3">
        <w:rPr>
          <w:rFonts w:ascii="Arial" w:eastAsiaTheme="majorEastAsia" w:hAnsi="Arial" w:cs="Arial"/>
          <w:i/>
          <w:iCs/>
          <w:sz w:val="22"/>
          <w:szCs w:val="22"/>
        </w:rPr>
        <w:t>National Environmental (Surface and Groundwater Quality) Regulations, 2011.</w:t>
      </w:r>
      <w:r w:rsidRPr="00EB5CE3">
        <w:rPr>
          <w:rFonts w:ascii="Arial" w:hAnsi="Arial" w:cs="Arial"/>
          <w:sz w:val="22"/>
          <w:szCs w:val="22"/>
        </w:rPr>
        <w:t> National Environmental Standards and Regulations Enforcement Agency, Federal Republic of Nigeria. Federal Government Press. https://nesrea.gov.ng/laws-regulations/</w:t>
      </w:r>
    </w:p>
    <w:p w14:paraId="7A35E290"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Nwankwoala</w:t>
      </w:r>
      <w:proofErr w:type="spellEnd"/>
      <w:r w:rsidRPr="00EB5CE3">
        <w:rPr>
          <w:rFonts w:ascii="Arial" w:eastAsiaTheme="majorEastAsia" w:hAnsi="Arial" w:cs="Arial"/>
          <w:sz w:val="22"/>
          <w:szCs w:val="22"/>
        </w:rPr>
        <w:t xml:space="preserve">, H. O., &amp; </w:t>
      </w:r>
      <w:proofErr w:type="spellStart"/>
      <w:r w:rsidRPr="00EB5CE3">
        <w:rPr>
          <w:rFonts w:ascii="Arial" w:eastAsiaTheme="majorEastAsia" w:hAnsi="Arial" w:cs="Arial"/>
          <w:sz w:val="22"/>
          <w:szCs w:val="22"/>
        </w:rPr>
        <w:t>Amangabara</w:t>
      </w:r>
      <w:proofErr w:type="spellEnd"/>
      <w:r w:rsidRPr="00EB5CE3">
        <w:rPr>
          <w:rFonts w:ascii="Arial" w:eastAsiaTheme="majorEastAsia" w:hAnsi="Arial" w:cs="Arial"/>
          <w:sz w:val="22"/>
          <w:szCs w:val="22"/>
        </w:rPr>
        <w:t>, G. T. (2015).</w:t>
      </w:r>
      <w:r w:rsidRPr="00EB5CE3">
        <w:rPr>
          <w:rFonts w:ascii="Arial" w:hAnsi="Arial" w:cs="Arial"/>
          <w:sz w:val="22"/>
          <w:szCs w:val="22"/>
        </w:rPr>
        <w:t> Hydrogeological framework and groundwater occurrence in the Niger Delta Basin. </w:t>
      </w:r>
      <w:r w:rsidRPr="00EB5CE3">
        <w:rPr>
          <w:rFonts w:ascii="Arial" w:eastAsiaTheme="majorEastAsia" w:hAnsi="Arial" w:cs="Arial"/>
          <w:i/>
          <w:iCs/>
          <w:sz w:val="22"/>
          <w:szCs w:val="22"/>
        </w:rPr>
        <w:t>International Journal of Scientific and Engineering Research, 6</w:t>
      </w:r>
      <w:r w:rsidRPr="00EB5CE3">
        <w:rPr>
          <w:rFonts w:ascii="Arial" w:hAnsi="Arial" w:cs="Arial"/>
          <w:sz w:val="22"/>
          <w:szCs w:val="22"/>
        </w:rPr>
        <w:t>(12), 56–65.</w:t>
      </w:r>
    </w:p>
    <w:p w14:paraId="00419AAA"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 xml:space="preserve">Ogundele, D. T., Adio, A. A., &amp; </w:t>
      </w:r>
      <w:proofErr w:type="spellStart"/>
      <w:r w:rsidRPr="00EB5CE3">
        <w:rPr>
          <w:rFonts w:ascii="Arial" w:eastAsiaTheme="majorEastAsia" w:hAnsi="Arial" w:cs="Arial"/>
          <w:sz w:val="22"/>
          <w:szCs w:val="22"/>
        </w:rPr>
        <w:t>Oludele</w:t>
      </w:r>
      <w:proofErr w:type="spellEnd"/>
      <w:r w:rsidRPr="00EB5CE3">
        <w:rPr>
          <w:rFonts w:ascii="Arial" w:eastAsiaTheme="majorEastAsia" w:hAnsi="Arial" w:cs="Arial"/>
          <w:sz w:val="22"/>
          <w:szCs w:val="22"/>
        </w:rPr>
        <w:t>, O. E. (2017).</w:t>
      </w:r>
      <w:r w:rsidRPr="00EB5CE3">
        <w:rPr>
          <w:rFonts w:ascii="Arial" w:hAnsi="Arial" w:cs="Arial"/>
          <w:sz w:val="22"/>
          <w:szCs w:val="22"/>
        </w:rPr>
        <w:t> Heavy metal concentrations in plants and soil along heavy traffic roads in North Central Nigeria. </w:t>
      </w:r>
      <w:r w:rsidRPr="00EB5CE3">
        <w:rPr>
          <w:rFonts w:ascii="Arial" w:eastAsiaTheme="majorEastAsia" w:hAnsi="Arial" w:cs="Arial"/>
          <w:i/>
          <w:iCs/>
          <w:sz w:val="22"/>
          <w:szCs w:val="22"/>
        </w:rPr>
        <w:t>Journal of Environmental and Analytical Toxicology, 7</w:t>
      </w:r>
      <w:r w:rsidRPr="00EB5CE3">
        <w:rPr>
          <w:rFonts w:ascii="Arial" w:hAnsi="Arial" w:cs="Arial"/>
          <w:sz w:val="22"/>
          <w:szCs w:val="22"/>
        </w:rPr>
        <w:t>(1), Article 446. https://doi.org/10.4172/2161-0525.1000446</w:t>
      </w:r>
    </w:p>
    <w:p w14:paraId="6FD7120B"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Olade</w:t>
      </w:r>
      <w:proofErr w:type="spellEnd"/>
      <w:r w:rsidRPr="00EB5CE3">
        <w:rPr>
          <w:rFonts w:ascii="Arial" w:eastAsiaTheme="majorEastAsia" w:hAnsi="Arial" w:cs="Arial"/>
          <w:sz w:val="22"/>
          <w:szCs w:val="22"/>
        </w:rPr>
        <w:t>, M. A. (1987).</w:t>
      </w:r>
      <w:r w:rsidRPr="00EB5CE3">
        <w:rPr>
          <w:rFonts w:ascii="Arial" w:hAnsi="Arial" w:cs="Arial"/>
          <w:sz w:val="22"/>
          <w:szCs w:val="22"/>
        </w:rPr>
        <w:t> Heavy metal pollution and the need for monitoring: Illustrated for developing countries in West Africa. In T. C. Hutchinson &amp; K. M. Meema (Eds.), </w:t>
      </w:r>
      <w:r w:rsidRPr="00EB5CE3">
        <w:rPr>
          <w:rFonts w:ascii="Arial" w:eastAsiaTheme="majorEastAsia" w:hAnsi="Arial" w:cs="Arial"/>
          <w:i/>
          <w:iCs/>
          <w:sz w:val="22"/>
          <w:szCs w:val="22"/>
        </w:rPr>
        <w:t>Lead, mercury, cadmium and arsenic in the environment</w:t>
      </w:r>
      <w:r w:rsidRPr="00EB5CE3">
        <w:rPr>
          <w:rFonts w:ascii="Arial" w:hAnsi="Arial" w:cs="Arial"/>
          <w:sz w:val="22"/>
          <w:szCs w:val="22"/>
        </w:rPr>
        <w:t> (pp. 335–341). John Wiley &amp; Sons.</w:t>
      </w:r>
    </w:p>
    <w:p w14:paraId="28DC293C" w14:textId="6E4394DC"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lastRenderedPageBreak/>
        <w:t>Oladapo, M. I., Adeyemo, R. U., &amp; Adeboye, O. E. (2021).</w:t>
      </w:r>
      <w:r w:rsidRPr="00EB5CE3">
        <w:rPr>
          <w:rFonts w:ascii="Arial" w:hAnsi="Arial" w:cs="Arial"/>
          <w:sz w:val="22"/>
          <w:szCs w:val="22"/>
        </w:rPr>
        <w:t> Electrical resistivity investigation of leachate contamination extent around a waste dumpsite in southwestern Nigeria. </w:t>
      </w:r>
      <w:r w:rsidRPr="00EB5CE3">
        <w:rPr>
          <w:rFonts w:ascii="Arial" w:eastAsiaTheme="majorEastAsia" w:hAnsi="Arial" w:cs="Arial"/>
          <w:i/>
          <w:iCs/>
          <w:sz w:val="22"/>
          <w:szCs w:val="22"/>
        </w:rPr>
        <w:t>Arabian Journal of Geosciences, 14</w:t>
      </w:r>
      <w:r w:rsidRPr="00EB5CE3">
        <w:rPr>
          <w:rFonts w:ascii="Arial" w:hAnsi="Arial" w:cs="Arial"/>
          <w:sz w:val="22"/>
          <w:szCs w:val="22"/>
        </w:rPr>
        <w:t xml:space="preserve">(11), Article 1043. </w:t>
      </w:r>
      <w:hyperlink r:id="rId13" w:history="1">
        <w:r w:rsidR="008718A3" w:rsidRPr="00EB5CE3">
          <w:rPr>
            <w:rStyle w:val="Hyperlink"/>
            <w:rFonts w:ascii="Arial" w:hAnsi="Arial" w:cs="Arial"/>
            <w:sz w:val="22"/>
            <w:szCs w:val="22"/>
          </w:rPr>
          <w:t>https://doi.org/10.1007/s12517-021-07381-3</w:t>
        </w:r>
      </w:hyperlink>
    </w:p>
    <w:p w14:paraId="2579772A" w14:textId="5F216C9C" w:rsidR="008718A3" w:rsidRPr="00EB5CE3" w:rsidRDefault="008718A3"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hAnsi="Arial" w:cs="Arial"/>
          <w:sz w:val="22"/>
          <w:szCs w:val="22"/>
        </w:rPr>
        <w:t>Onwualu</w:t>
      </w:r>
      <w:proofErr w:type="spellEnd"/>
      <w:r w:rsidRPr="00EB5CE3">
        <w:rPr>
          <w:rFonts w:ascii="Arial" w:hAnsi="Arial" w:cs="Arial"/>
          <w:sz w:val="22"/>
          <w:szCs w:val="22"/>
        </w:rPr>
        <w:t xml:space="preserve">-John, J. N., &amp; </w:t>
      </w:r>
      <w:proofErr w:type="spellStart"/>
      <w:r w:rsidRPr="00EB5CE3">
        <w:rPr>
          <w:rFonts w:ascii="Arial" w:hAnsi="Arial" w:cs="Arial"/>
          <w:sz w:val="22"/>
          <w:szCs w:val="22"/>
        </w:rPr>
        <w:t>Uzoegbu</w:t>
      </w:r>
      <w:proofErr w:type="spellEnd"/>
      <w:r w:rsidRPr="00EB5CE3">
        <w:rPr>
          <w:rFonts w:ascii="Arial" w:hAnsi="Arial" w:cs="Arial"/>
          <w:sz w:val="22"/>
          <w:szCs w:val="22"/>
        </w:rPr>
        <w:t xml:space="preserve">, M. U. (2022). Physicochemical characteristics and heavy metals level in groundwater and leachate around solid waste dumpsite at </w:t>
      </w:r>
      <w:proofErr w:type="spellStart"/>
      <w:r w:rsidRPr="00EB5CE3">
        <w:rPr>
          <w:rFonts w:ascii="Arial" w:hAnsi="Arial" w:cs="Arial"/>
          <w:sz w:val="22"/>
          <w:szCs w:val="22"/>
        </w:rPr>
        <w:t>Mbodo</w:t>
      </w:r>
      <w:proofErr w:type="spellEnd"/>
      <w:r w:rsidRPr="00EB5CE3">
        <w:rPr>
          <w:rFonts w:ascii="Arial" w:hAnsi="Arial" w:cs="Arial"/>
          <w:sz w:val="22"/>
          <w:szCs w:val="22"/>
        </w:rPr>
        <w:t>, Rivers State Nigeria. Journal of Applied Sciences and Environmental Management, 26(12), 2107–2112. https://dx.doi.org/10.4314/jasem.v26i12.27</w:t>
      </w:r>
    </w:p>
    <w:p w14:paraId="2126A09D"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Tomlinson, D. L., Wilson, J. G., Harris, C. R., &amp; Jeffrey, D. W. (1980).</w:t>
      </w:r>
      <w:r w:rsidRPr="00EB5CE3">
        <w:rPr>
          <w:rFonts w:ascii="Arial" w:hAnsi="Arial" w:cs="Arial"/>
          <w:sz w:val="22"/>
          <w:szCs w:val="22"/>
        </w:rPr>
        <w:t> Problems in the assessment of heavy-metal levels in estuaries and the formation of a pollution index. </w:t>
      </w:r>
      <w:proofErr w:type="spellStart"/>
      <w:r w:rsidRPr="00EB5CE3">
        <w:rPr>
          <w:rFonts w:ascii="Arial" w:eastAsiaTheme="majorEastAsia" w:hAnsi="Arial" w:cs="Arial"/>
          <w:i/>
          <w:iCs/>
          <w:sz w:val="22"/>
          <w:szCs w:val="22"/>
        </w:rPr>
        <w:t>Helgoländer</w:t>
      </w:r>
      <w:proofErr w:type="spellEnd"/>
      <w:r w:rsidRPr="00EB5CE3">
        <w:rPr>
          <w:rFonts w:ascii="Arial" w:eastAsiaTheme="majorEastAsia" w:hAnsi="Arial" w:cs="Arial"/>
          <w:i/>
          <w:iCs/>
          <w:sz w:val="22"/>
          <w:szCs w:val="22"/>
        </w:rPr>
        <w:t xml:space="preserve"> </w:t>
      </w:r>
      <w:proofErr w:type="spellStart"/>
      <w:r w:rsidRPr="00EB5CE3">
        <w:rPr>
          <w:rFonts w:ascii="Arial" w:eastAsiaTheme="majorEastAsia" w:hAnsi="Arial" w:cs="Arial"/>
          <w:i/>
          <w:iCs/>
          <w:sz w:val="22"/>
          <w:szCs w:val="22"/>
        </w:rPr>
        <w:t>Meeresuntersuchungen</w:t>
      </w:r>
      <w:proofErr w:type="spellEnd"/>
      <w:r w:rsidRPr="00EB5CE3">
        <w:rPr>
          <w:rFonts w:ascii="Arial" w:eastAsiaTheme="majorEastAsia" w:hAnsi="Arial" w:cs="Arial"/>
          <w:i/>
          <w:iCs/>
          <w:sz w:val="22"/>
          <w:szCs w:val="22"/>
        </w:rPr>
        <w:t>, 33</w:t>
      </w:r>
      <w:r w:rsidRPr="00EB5CE3">
        <w:rPr>
          <w:rFonts w:ascii="Arial" w:hAnsi="Arial" w:cs="Arial"/>
          <w:sz w:val="22"/>
          <w:szCs w:val="22"/>
        </w:rPr>
        <w:t>(1–4), 566–575. https://doi.org/10.1007/BF02414780</w:t>
      </w:r>
    </w:p>
    <w:p w14:paraId="61EC7B41"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 xml:space="preserve">Uko, E. D., &amp; </w:t>
      </w:r>
      <w:proofErr w:type="spellStart"/>
      <w:r w:rsidRPr="00EB5CE3">
        <w:rPr>
          <w:rFonts w:ascii="Arial" w:eastAsiaTheme="majorEastAsia" w:hAnsi="Arial" w:cs="Arial"/>
          <w:sz w:val="22"/>
          <w:szCs w:val="22"/>
        </w:rPr>
        <w:t>Tamunobereton</w:t>
      </w:r>
      <w:proofErr w:type="spellEnd"/>
      <w:r w:rsidRPr="00EB5CE3">
        <w:rPr>
          <w:rFonts w:ascii="Arial" w:eastAsiaTheme="majorEastAsia" w:hAnsi="Arial" w:cs="Arial"/>
          <w:sz w:val="22"/>
          <w:szCs w:val="22"/>
        </w:rPr>
        <w:t>-Ari, I. (2013).</w:t>
      </w:r>
      <w:r w:rsidRPr="00EB5CE3">
        <w:rPr>
          <w:rFonts w:ascii="Arial" w:hAnsi="Arial" w:cs="Arial"/>
          <w:sz w:val="22"/>
          <w:szCs w:val="22"/>
        </w:rPr>
        <w:t> Variability of climatic parameters in Port Harcourt, Nigeria. </w:t>
      </w:r>
      <w:r w:rsidRPr="00EB5CE3">
        <w:rPr>
          <w:rFonts w:ascii="Arial" w:eastAsiaTheme="majorEastAsia" w:hAnsi="Arial" w:cs="Arial"/>
          <w:i/>
          <w:iCs/>
          <w:sz w:val="22"/>
          <w:szCs w:val="22"/>
        </w:rPr>
        <w:t>Journal of Emerging Trends in Engineering and Applied Sciences, 4</w:t>
      </w:r>
      <w:r w:rsidRPr="00EB5CE3">
        <w:rPr>
          <w:rFonts w:ascii="Arial" w:hAnsi="Arial" w:cs="Arial"/>
          <w:sz w:val="22"/>
          <w:szCs w:val="22"/>
        </w:rPr>
        <w:t>(5), 727–733.</w:t>
      </w:r>
    </w:p>
    <w:p w14:paraId="48414CBF"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USEPA. (1989).</w:t>
      </w:r>
      <w:r w:rsidRPr="00EB5CE3">
        <w:rPr>
          <w:rFonts w:ascii="Arial" w:hAnsi="Arial" w:cs="Arial"/>
          <w:sz w:val="22"/>
          <w:szCs w:val="22"/>
        </w:rPr>
        <w:t> </w:t>
      </w:r>
      <w:r w:rsidRPr="00EB5CE3">
        <w:rPr>
          <w:rFonts w:ascii="Arial" w:eastAsiaTheme="majorEastAsia" w:hAnsi="Arial" w:cs="Arial"/>
          <w:i/>
          <w:iCs/>
          <w:sz w:val="22"/>
          <w:szCs w:val="22"/>
        </w:rPr>
        <w:t>Risk assessment guidance for Superfund. Volume I: Human health evaluation manual (Part A).</w:t>
      </w:r>
      <w:r w:rsidRPr="00EB5CE3">
        <w:rPr>
          <w:rFonts w:ascii="Arial" w:hAnsi="Arial" w:cs="Arial"/>
          <w:sz w:val="22"/>
          <w:szCs w:val="22"/>
        </w:rPr>
        <w:t> EPA/540/1-89/002. United States Environmental Protection Agency, Office of Emergency and Remedial Response. https://www.epa.gov/risk/risk-assessment-guidance-superfund-rags-part</w:t>
      </w:r>
    </w:p>
    <w:p w14:paraId="0C2A16F4"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WHO. (2011).</w:t>
      </w:r>
      <w:r w:rsidRPr="00EB5CE3">
        <w:rPr>
          <w:rFonts w:ascii="Arial" w:hAnsi="Arial" w:cs="Arial"/>
          <w:sz w:val="22"/>
          <w:szCs w:val="22"/>
        </w:rPr>
        <w:t> </w:t>
      </w:r>
      <w:r w:rsidRPr="00EB5CE3">
        <w:rPr>
          <w:rFonts w:ascii="Arial" w:eastAsiaTheme="majorEastAsia" w:hAnsi="Arial" w:cs="Arial"/>
          <w:i/>
          <w:iCs/>
          <w:sz w:val="22"/>
          <w:szCs w:val="22"/>
        </w:rPr>
        <w:t>Guidelines for drinking-water quality</w:t>
      </w:r>
      <w:r w:rsidRPr="00EB5CE3">
        <w:rPr>
          <w:rFonts w:ascii="Arial" w:hAnsi="Arial" w:cs="Arial"/>
          <w:sz w:val="22"/>
          <w:szCs w:val="22"/>
        </w:rPr>
        <w:t> (4th ed.). World Health Organization. https://www.who.int/publications/i/item/9789241548151</w:t>
      </w:r>
    </w:p>
    <w:p w14:paraId="5E971F92" w14:textId="45BF40C5" w:rsidR="002515B0" w:rsidRPr="00EB5CE3" w:rsidRDefault="00E13401" w:rsidP="00EB5CE3">
      <w:pPr>
        <w:pStyle w:val="ListParagraph"/>
        <w:numPr>
          <w:ilvl w:val="0"/>
          <w:numId w:val="23"/>
        </w:numPr>
        <w:rPr>
          <w:rFonts w:ascii="Arial" w:hAnsi="Arial" w:cs="Arial"/>
          <w:sz w:val="22"/>
          <w:szCs w:val="22"/>
        </w:rPr>
      </w:pPr>
      <w:r w:rsidRPr="00EB5CE3">
        <w:rPr>
          <w:rFonts w:ascii="Arial" w:eastAsiaTheme="majorEastAsia" w:hAnsi="Arial" w:cs="Arial"/>
          <w:sz w:val="22"/>
          <w:szCs w:val="22"/>
        </w:rPr>
        <w:t>Yabe, J., Ishizuka, M., &amp; Umemura, T. (2010).</w:t>
      </w:r>
      <w:r w:rsidRPr="00EB5CE3">
        <w:rPr>
          <w:rFonts w:ascii="Arial" w:hAnsi="Arial" w:cs="Arial"/>
          <w:sz w:val="22"/>
          <w:szCs w:val="22"/>
        </w:rPr>
        <w:t> Current levels of heavy metal contamination in Africa. </w:t>
      </w:r>
      <w:r w:rsidRPr="00EB5CE3">
        <w:rPr>
          <w:rFonts w:ascii="Arial" w:eastAsiaTheme="majorEastAsia" w:hAnsi="Arial" w:cs="Arial"/>
          <w:i/>
          <w:iCs/>
          <w:sz w:val="22"/>
          <w:szCs w:val="22"/>
        </w:rPr>
        <w:t>Journal of Veterinary Medical Science, 72</w:t>
      </w:r>
      <w:r w:rsidRPr="00EB5CE3">
        <w:rPr>
          <w:rFonts w:ascii="Arial" w:hAnsi="Arial" w:cs="Arial"/>
          <w:sz w:val="22"/>
          <w:szCs w:val="22"/>
        </w:rPr>
        <w:t>(10), 1257–1263. https://doi.org/10.1292/jvms.10-0203</w:t>
      </w:r>
    </w:p>
    <w:p w14:paraId="1895F405" w14:textId="77777777" w:rsidR="002515B0" w:rsidRDefault="002515B0" w:rsidP="00996B3A">
      <w:pPr>
        <w:rPr>
          <w:rFonts w:ascii="Arial" w:hAnsi="Arial" w:cs="Arial"/>
          <w:sz w:val="22"/>
          <w:szCs w:val="22"/>
        </w:rPr>
      </w:pPr>
    </w:p>
    <w:sectPr w:rsidR="002515B0">
      <w:headerReference w:type="even" r:id="rId14"/>
      <w:head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9A8EE" w14:textId="77777777" w:rsidR="009801D4" w:rsidRDefault="009801D4" w:rsidP="00870714">
      <w:r>
        <w:separator/>
      </w:r>
    </w:p>
  </w:endnote>
  <w:endnote w:type="continuationSeparator" w:id="0">
    <w:p w14:paraId="28F54E94" w14:textId="77777777" w:rsidR="009801D4" w:rsidRDefault="009801D4" w:rsidP="00870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E4E8" w14:textId="77777777" w:rsidR="006D7B0F" w:rsidRDefault="006D7B0F">
    <w:pPr>
      <w:pStyle w:val="Footer"/>
      <w:rPr>
        <w:rFonts w:ascii="Arial" w:hAnsi="Arial" w:cs="Arial"/>
        <w:sz w:val="16"/>
      </w:rPr>
    </w:pPr>
  </w:p>
  <w:p w14:paraId="488A6E4C" w14:textId="77777777" w:rsidR="006D7B0F" w:rsidRDefault="006D7B0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1B64789" w14:textId="77777777" w:rsidR="006D7B0F" w:rsidRDefault="006D7B0F">
    <w:pPr>
      <w:pStyle w:val="Footer"/>
      <w:rPr>
        <w:rFonts w:ascii="Arial" w:hAnsi="Arial" w:cs="Arial"/>
        <w:sz w:val="16"/>
      </w:rPr>
    </w:pPr>
  </w:p>
  <w:p w14:paraId="48E2F1CA" w14:textId="77777777" w:rsidR="006D7B0F" w:rsidRPr="009E048A" w:rsidRDefault="006D7B0F">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3DDA3" w14:textId="77777777" w:rsidR="009801D4" w:rsidRDefault="009801D4" w:rsidP="00870714">
      <w:r>
        <w:separator/>
      </w:r>
    </w:p>
  </w:footnote>
  <w:footnote w:type="continuationSeparator" w:id="0">
    <w:p w14:paraId="60110728" w14:textId="77777777" w:rsidR="009801D4" w:rsidRDefault="009801D4" w:rsidP="00870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4050" w14:textId="2B491842" w:rsidR="004925DC" w:rsidRDefault="009801D4">
    <w:pPr>
      <w:pStyle w:val="Header"/>
    </w:pPr>
    <w:r>
      <w:rPr>
        <w:noProof/>
      </w:rPr>
      <w:pict w14:anchorId="3BEDC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1E1B2" w14:textId="2E5772DA" w:rsidR="004925DC" w:rsidRDefault="009801D4">
    <w:pPr>
      <w:pStyle w:val="Header"/>
    </w:pPr>
    <w:r>
      <w:rPr>
        <w:noProof/>
      </w:rPr>
      <w:pict w14:anchorId="22BFA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30DA" w14:textId="563FBD17" w:rsidR="006D7B0F" w:rsidRPr="00296529" w:rsidRDefault="009801D4" w:rsidP="00296529">
    <w:pPr>
      <w:ind w:left="2160"/>
      <w:jc w:val="center"/>
      <w:rPr>
        <w:rFonts w:ascii="Times New Roman" w:eastAsia="Calibri" w:hAnsi="Times New Roman"/>
        <w:i/>
        <w:sz w:val="18"/>
        <w:szCs w:val="22"/>
      </w:rPr>
    </w:pPr>
    <w:r>
      <w:rPr>
        <w:noProof/>
      </w:rPr>
      <w:pict w14:anchorId="40960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1"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57DFD5" w14:textId="77777777" w:rsidR="006D7B0F" w:rsidRPr="00296529" w:rsidRDefault="006D7B0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A32B08B" w14:textId="77777777" w:rsidR="006D7B0F" w:rsidRPr="00296529" w:rsidRDefault="006D7B0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AB86E2" w14:textId="77777777" w:rsidR="006D7B0F" w:rsidRPr="00296529" w:rsidRDefault="006D7B0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626365" w14:textId="77777777" w:rsidR="006D7B0F" w:rsidRDefault="006D7B0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8BE49F" w14:textId="77777777" w:rsidR="006D7B0F" w:rsidRDefault="006D7B0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6CE73D1" w14:textId="77777777" w:rsidR="006D7B0F" w:rsidRDefault="006D7B0F">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7125"/>
    <w:multiLevelType w:val="multilevel"/>
    <w:tmpl w:val="DCE003F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7604FF"/>
    <w:multiLevelType w:val="hybridMultilevel"/>
    <w:tmpl w:val="A2CAA9CA"/>
    <w:lvl w:ilvl="0" w:tplc="04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400AEE"/>
    <w:multiLevelType w:val="multilevel"/>
    <w:tmpl w:val="DC90FF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32427B"/>
    <w:multiLevelType w:val="multilevel"/>
    <w:tmpl w:val="4EA6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645AD6"/>
    <w:multiLevelType w:val="multilevel"/>
    <w:tmpl w:val="4864B306"/>
    <w:lvl w:ilvl="0">
      <w:start w:val="1"/>
      <w:numFmt w:val="decimal"/>
      <w:lvlText w:val="%1."/>
      <w:lvlJc w:val="left"/>
      <w:pPr>
        <w:ind w:left="360" w:hanging="360"/>
      </w:pPr>
      <w:rPr>
        <w:rFonts w:hint="default"/>
      </w:rPr>
    </w:lvl>
    <w:lvl w:ilvl="1">
      <w:start w:val="7"/>
      <w:numFmt w:val="decimal"/>
      <w:isLgl/>
      <w:lvlText w:val="%1.%2"/>
      <w:lvlJc w:val="left"/>
      <w:pPr>
        <w:ind w:left="570" w:hanging="480"/>
      </w:pPr>
      <w:rPr>
        <w:rFonts w:hint="default"/>
        <w:b w:val="0"/>
      </w:rPr>
    </w:lvl>
    <w:lvl w:ilvl="2">
      <w:start w:val="3"/>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2A925F67"/>
    <w:multiLevelType w:val="hybridMultilevel"/>
    <w:tmpl w:val="9C68B7EC"/>
    <w:lvl w:ilvl="0" w:tplc="0409001B">
      <w:start w:val="1"/>
      <w:numFmt w:val="lowerRoman"/>
      <w:lvlText w:val="%1."/>
      <w:lvlJc w:val="righ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C01849"/>
    <w:multiLevelType w:val="hybridMultilevel"/>
    <w:tmpl w:val="E00CC774"/>
    <w:lvl w:ilvl="0" w:tplc="0409001B">
      <w:start w:val="1"/>
      <w:numFmt w:val="lowerRoman"/>
      <w:lvlText w:val="%1."/>
      <w:lvlJc w:val="righ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3415C"/>
    <w:multiLevelType w:val="multilevel"/>
    <w:tmpl w:val="6758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F364C7"/>
    <w:multiLevelType w:val="multilevel"/>
    <w:tmpl w:val="F60A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0416FD"/>
    <w:multiLevelType w:val="multilevel"/>
    <w:tmpl w:val="F48417EE"/>
    <w:lvl w:ilvl="0">
      <w:start w:val="1"/>
      <w:numFmt w:val="decimal"/>
      <w:lvlText w:val="%1."/>
      <w:lvlJc w:val="left"/>
      <w:pPr>
        <w:ind w:left="360" w:hanging="360"/>
      </w:pPr>
      <w:rPr>
        <w:b w:val="0"/>
        <w:bCs w:val="0"/>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35135FDD"/>
    <w:multiLevelType w:val="multilevel"/>
    <w:tmpl w:val="B4CCA942"/>
    <w:lvl w:ilvl="0">
      <w:start w:val="3"/>
      <w:numFmt w:val="decimal"/>
      <w:lvlText w:val="%1"/>
      <w:lvlJc w:val="left"/>
      <w:pPr>
        <w:ind w:left="480" w:hanging="480"/>
      </w:pPr>
      <w:rPr>
        <w:rFonts w:hint="default"/>
        <w:b w:val="0"/>
      </w:rPr>
    </w:lvl>
    <w:lvl w:ilvl="1">
      <w:start w:val="5"/>
      <w:numFmt w:val="decimal"/>
      <w:lvlText w:val="%1.%2"/>
      <w:lvlJc w:val="left"/>
      <w:pPr>
        <w:ind w:left="480" w:hanging="480"/>
      </w:pPr>
      <w:rPr>
        <w:rFonts w:hint="default"/>
        <w:b w:val="0"/>
      </w:rPr>
    </w:lvl>
    <w:lvl w:ilvl="2">
      <w:start w:val="3"/>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3B810E2E"/>
    <w:multiLevelType w:val="multilevel"/>
    <w:tmpl w:val="63CE499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5521FBB"/>
    <w:multiLevelType w:val="hybridMultilevel"/>
    <w:tmpl w:val="499C77C8"/>
    <w:lvl w:ilvl="0" w:tplc="F7D2E1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6B1FF6"/>
    <w:multiLevelType w:val="multilevel"/>
    <w:tmpl w:val="D24AE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A02C23"/>
    <w:multiLevelType w:val="multilevel"/>
    <w:tmpl w:val="04A4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0C16E7"/>
    <w:multiLevelType w:val="multilevel"/>
    <w:tmpl w:val="B72A540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712C19"/>
    <w:multiLevelType w:val="multilevel"/>
    <w:tmpl w:val="0724633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15F3936"/>
    <w:multiLevelType w:val="hybridMultilevel"/>
    <w:tmpl w:val="F64A36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411C86"/>
    <w:multiLevelType w:val="multilevel"/>
    <w:tmpl w:val="0CA8D566"/>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6A4E0F4A"/>
    <w:multiLevelType w:val="multilevel"/>
    <w:tmpl w:val="0848348A"/>
    <w:lvl w:ilvl="0">
      <w:start w:val="1"/>
      <w:numFmt w:val="decimal"/>
      <w:lvlText w:val="%1."/>
      <w:lvlJc w:val="left"/>
      <w:pPr>
        <w:tabs>
          <w:tab w:val="num" w:pos="360"/>
        </w:tabs>
        <w:ind w:left="360" w:hanging="360"/>
      </w:pPr>
      <w:rPr>
        <w:rFonts w:ascii="Times New Roman" w:eastAsiaTheme="minorHAnsi" w:hAnsi="Times New Roman" w:cs="Times New Roman"/>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6C857520"/>
    <w:multiLevelType w:val="hybridMultilevel"/>
    <w:tmpl w:val="48460B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E866179"/>
    <w:multiLevelType w:val="hybridMultilevel"/>
    <w:tmpl w:val="4DEEF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FAB2916"/>
    <w:multiLevelType w:val="hybridMultilevel"/>
    <w:tmpl w:val="FB70B8F6"/>
    <w:lvl w:ilvl="0" w:tplc="30B04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1"/>
  </w:num>
  <w:num w:numId="4">
    <w:abstractNumId w:val="3"/>
  </w:num>
  <w:num w:numId="5">
    <w:abstractNumId w:val="0"/>
  </w:num>
  <w:num w:numId="6">
    <w:abstractNumId w:val="16"/>
  </w:num>
  <w:num w:numId="7">
    <w:abstractNumId w:val="18"/>
  </w:num>
  <w:num w:numId="8">
    <w:abstractNumId w:val="17"/>
  </w:num>
  <w:num w:numId="9">
    <w:abstractNumId w:val="9"/>
  </w:num>
  <w:num w:numId="10">
    <w:abstractNumId w:val="15"/>
  </w:num>
  <w:num w:numId="11">
    <w:abstractNumId w:val="19"/>
  </w:num>
  <w:num w:numId="12">
    <w:abstractNumId w:val="12"/>
  </w:num>
  <w:num w:numId="13">
    <w:abstractNumId w:val="2"/>
  </w:num>
  <w:num w:numId="14">
    <w:abstractNumId w:val="10"/>
  </w:num>
  <w:num w:numId="15">
    <w:abstractNumId w:val="1"/>
  </w:num>
  <w:num w:numId="16">
    <w:abstractNumId w:val="22"/>
  </w:num>
  <w:num w:numId="17">
    <w:abstractNumId w:val="8"/>
  </w:num>
  <w:num w:numId="18">
    <w:abstractNumId w:val="7"/>
  </w:num>
  <w:num w:numId="19">
    <w:abstractNumId w:val="14"/>
  </w:num>
  <w:num w:numId="20">
    <w:abstractNumId w:val="13"/>
  </w:num>
  <w:num w:numId="21">
    <w:abstractNumId w:val="11"/>
  </w:num>
  <w:num w:numId="22">
    <w:abstractNumId w:val="6"/>
  </w:num>
  <w:num w:numId="2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B0F"/>
    <w:rsid w:val="00087982"/>
    <w:rsid w:val="00141D80"/>
    <w:rsid w:val="001928A3"/>
    <w:rsid w:val="001B251D"/>
    <w:rsid w:val="001E35D5"/>
    <w:rsid w:val="001F0CB0"/>
    <w:rsid w:val="002515B0"/>
    <w:rsid w:val="00270FC2"/>
    <w:rsid w:val="002A2A8F"/>
    <w:rsid w:val="002B3036"/>
    <w:rsid w:val="002D3610"/>
    <w:rsid w:val="002D557A"/>
    <w:rsid w:val="002E78D6"/>
    <w:rsid w:val="002F43F9"/>
    <w:rsid w:val="002F649F"/>
    <w:rsid w:val="00336110"/>
    <w:rsid w:val="003C6EBB"/>
    <w:rsid w:val="003D6B45"/>
    <w:rsid w:val="003E17CC"/>
    <w:rsid w:val="003E62A6"/>
    <w:rsid w:val="004665D8"/>
    <w:rsid w:val="004925DC"/>
    <w:rsid w:val="00510D99"/>
    <w:rsid w:val="00561316"/>
    <w:rsid w:val="00563FC1"/>
    <w:rsid w:val="0059734B"/>
    <w:rsid w:val="005E5237"/>
    <w:rsid w:val="00663FC4"/>
    <w:rsid w:val="00690D63"/>
    <w:rsid w:val="006A60EA"/>
    <w:rsid w:val="006B7B33"/>
    <w:rsid w:val="006D5B7E"/>
    <w:rsid w:val="006D7B0F"/>
    <w:rsid w:val="007122DE"/>
    <w:rsid w:val="0072276C"/>
    <w:rsid w:val="0072680B"/>
    <w:rsid w:val="00750F42"/>
    <w:rsid w:val="00766923"/>
    <w:rsid w:val="007712FF"/>
    <w:rsid w:val="007D4F30"/>
    <w:rsid w:val="007E4F77"/>
    <w:rsid w:val="007F008A"/>
    <w:rsid w:val="007F2EA8"/>
    <w:rsid w:val="00811684"/>
    <w:rsid w:val="00846942"/>
    <w:rsid w:val="00866F85"/>
    <w:rsid w:val="00870714"/>
    <w:rsid w:val="008718A3"/>
    <w:rsid w:val="00880355"/>
    <w:rsid w:val="008877C9"/>
    <w:rsid w:val="008C02EC"/>
    <w:rsid w:val="008C0E6F"/>
    <w:rsid w:val="008F68F5"/>
    <w:rsid w:val="009007DA"/>
    <w:rsid w:val="00907EEE"/>
    <w:rsid w:val="00974E88"/>
    <w:rsid w:val="009801D4"/>
    <w:rsid w:val="00996B3A"/>
    <w:rsid w:val="009E5FA0"/>
    <w:rsid w:val="009E709E"/>
    <w:rsid w:val="009F5EFC"/>
    <w:rsid w:val="00A15AB9"/>
    <w:rsid w:val="00A94F04"/>
    <w:rsid w:val="00AF5E99"/>
    <w:rsid w:val="00AF65E8"/>
    <w:rsid w:val="00B00228"/>
    <w:rsid w:val="00B20FC7"/>
    <w:rsid w:val="00B406C0"/>
    <w:rsid w:val="00B53813"/>
    <w:rsid w:val="00B6712E"/>
    <w:rsid w:val="00BA71A7"/>
    <w:rsid w:val="00BC5203"/>
    <w:rsid w:val="00BC5919"/>
    <w:rsid w:val="00C04F80"/>
    <w:rsid w:val="00C36151"/>
    <w:rsid w:val="00CA463D"/>
    <w:rsid w:val="00CD66A5"/>
    <w:rsid w:val="00CE37A7"/>
    <w:rsid w:val="00CE493B"/>
    <w:rsid w:val="00D74BD3"/>
    <w:rsid w:val="00DA0B3A"/>
    <w:rsid w:val="00DA1049"/>
    <w:rsid w:val="00DE6E94"/>
    <w:rsid w:val="00E13401"/>
    <w:rsid w:val="00E573AC"/>
    <w:rsid w:val="00E70901"/>
    <w:rsid w:val="00E92971"/>
    <w:rsid w:val="00EB5CE3"/>
    <w:rsid w:val="00ED022B"/>
    <w:rsid w:val="00ED1BE5"/>
    <w:rsid w:val="00EE1079"/>
    <w:rsid w:val="00F0612E"/>
    <w:rsid w:val="00FD37A6"/>
    <w:rsid w:val="00FE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197CF"/>
  <w15:chartTrackingRefBased/>
  <w15:docId w15:val="{F6A30F11-E075-4A6B-A285-4C67EBB28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7B0F"/>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6D7B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D7B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7B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7B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7B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7B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B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B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B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B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D7B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7B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7B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7B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7B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B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B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B0F"/>
    <w:rPr>
      <w:rFonts w:eastAsiaTheme="majorEastAsia" w:cstheme="majorBidi"/>
      <w:color w:val="272727" w:themeColor="text1" w:themeTint="D8"/>
    </w:rPr>
  </w:style>
  <w:style w:type="paragraph" w:styleId="Title">
    <w:name w:val="Title"/>
    <w:basedOn w:val="Normal"/>
    <w:next w:val="Normal"/>
    <w:link w:val="TitleChar"/>
    <w:uiPriority w:val="10"/>
    <w:qFormat/>
    <w:rsid w:val="006D7B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B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B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B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B0F"/>
    <w:pPr>
      <w:spacing w:before="160"/>
      <w:jc w:val="center"/>
    </w:pPr>
    <w:rPr>
      <w:i/>
      <w:iCs/>
      <w:color w:val="404040" w:themeColor="text1" w:themeTint="BF"/>
    </w:rPr>
  </w:style>
  <w:style w:type="character" w:customStyle="1" w:styleId="QuoteChar">
    <w:name w:val="Quote Char"/>
    <w:basedOn w:val="DefaultParagraphFont"/>
    <w:link w:val="Quote"/>
    <w:uiPriority w:val="29"/>
    <w:rsid w:val="006D7B0F"/>
    <w:rPr>
      <w:i/>
      <w:iCs/>
      <w:color w:val="404040" w:themeColor="text1" w:themeTint="BF"/>
    </w:rPr>
  </w:style>
  <w:style w:type="paragraph" w:styleId="ListParagraph">
    <w:name w:val="List Paragraph"/>
    <w:basedOn w:val="Normal"/>
    <w:uiPriority w:val="34"/>
    <w:qFormat/>
    <w:rsid w:val="006D7B0F"/>
    <w:pPr>
      <w:ind w:left="720"/>
      <w:contextualSpacing/>
    </w:pPr>
  </w:style>
  <w:style w:type="character" w:styleId="IntenseEmphasis">
    <w:name w:val="Intense Emphasis"/>
    <w:basedOn w:val="DefaultParagraphFont"/>
    <w:uiPriority w:val="21"/>
    <w:qFormat/>
    <w:rsid w:val="006D7B0F"/>
    <w:rPr>
      <w:i/>
      <w:iCs/>
      <w:color w:val="2F5496" w:themeColor="accent1" w:themeShade="BF"/>
    </w:rPr>
  </w:style>
  <w:style w:type="paragraph" w:styleId="IntenseQuote">
    <w:name w:val="Intense Quote"/>
    <w:basedOn w:val="Normal"/>
    <w:next w:val="Normal"/>
    <w:link w:val="IntenseQuoteChar"/>
    <w:uiPriority w:val="30"/>
    <w:qFormat/>
    <w:rsid w:val="006D7B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7B0F"/>
    <w:rPr>
      <w:i/>
      <w:iCs/>
      <w:color w:val="2F5496" w:themeColor="accent1" w:themeShade="BF"/>
    </w:rPr>
  </w:style>
  <w:style w:type="character" w:styleId="IntenseReference">
    <w:name w:val="Intense Reference"/>
    <w:basedOn w:val="DefaultParagraphFont"/>
    <w:uiPriority w:val="32"/>
    <w:qFormat/>
    <w:rsid w:val="006D7B0F"/>
    <w:rPr>
      <w:b/>
      <w:bCs/>
      <w:smallCaps/>
      <w:color w:val="2F5496" w:themeColor="accent1" w:themeShade="BF"/>
      <w:spacing w:val="5"/>
    </w:rPr>
  </w:style>
  <w:style w:type="paragraph" w:customStyle="1" w:styleId="Author">
    <w:name w:val="Author"/>
    <w:basedOn w:val="Normal"/>
    <w:rsid w:val="006D7B0F"/>
    <w:pPr>
      <w:spacing w:line="280" w:lineRule="exact"/>
      <w:jc w:val="right"/>
    </w:pPr>
    <w:rPr>
      <w:b/>
      <w:sz w:val="24"/>
    </w:rPr>
  </w:style>
  <w:style w:type="paragraph" w:customStyle="1" w:styleId="Affiliation">
    <w:name w:val="Affiliation"/>
    <w:basedOn w:val="Normal"/>
    <w:rsid w:val="006D7B0F"/>
    <w:pPr>
      <w:spacing w:after="240" w:line="240" w:lineRule="exact"/>
      <w:jc w:val="right"/>
    </w:pPr>
  </w:style>
  <w:style w:type="paragraph" w:customStyle="1" w:styleId="Body">
    <w:name w:val="Body"/>
    <w:basedOn w:val="Normal"/>
    <w:rsid w:val="006D7B0F"/>
    <w:pPr>
      <w:spacing w:after="240"/>
      <w:jc w:val="both"/>
    </w:pPr>
  </w:style>
  <w:style w:type="paragraph" w:customStyle="1" w:styleId="AbstHead">
    <w:name w:val="Abst Head"/>
    <w:basedOn w:val="Normal"/>
    <w:rsid w:val="006D7B0F"/>
    <w:pPr>
      <w:keepNext/>
      <w:spacing w:after="240"/>
    </w:pPr>
    <w:rPr>
      <w:b/>
      <w:caps/>
      <w:sz w:val="22"/>
    </w:rPr>
  </w:style>
  <w:style w:type="paragraph" w:customStyle="1" w:styleId="ConcHead">
    <w:name w:val="Conc Head"/>
    <w:basedOn w:val="Normal"/>
    <w:rsid w:val="006D7B0F"/>
    <w:pPr>
      <w:keepNext/>
      <w:spacing w:after="240"/>
    </w:pPr>
    <w:rPr>
      <w:b/>
      <w:caps/>
      <w:sz w:val="22"/>
    </w:rPr>
  </w:style>
  <w:style w:type="paragraph" w:customStyle="1" w:styleId="AcknHead">
    <w:name w:val="Ackn Head"/>
    <w:basedOn w:val="Normal"/>
    <w:rsid w:val="006D7B0F"/>
    <w:pPr>
      <w:keepNext/>
      <w:spacing w:after="240"/>
    </w:pPr>
    <w:rPr>
      <w:b/>
      <w:caps/>
      <w:sz w:val="22"/>
    </w:rPr>
  </w:style>
  <w:style w:type="paragraph" w:customStyle="1" w:styleId="ReferHead">
    <w:name w:val="Refer Head"/>
    <w:basedOn w:val="Normal"/>
    <w:rsid w:val="006D7B0F"/>
    <w:pPr>
      <w:keepNext/>
      <w:spacing w:after="240"/>
    </w:pPr>
    <w:rPr>
      <w:b/>
      <w:caps/>
      <w:sz w:val="22"/>
    </w:rPr>
  </w:style>
  <w:style w:type="paragraph" w:customStyle="1" w:styleId="Copyright">
    <w:name w:val="Copyright"/>
    <w:basedOn w:val="Normal"/>
    <w:rsid w:val="006D7B0F"/>
    <w:pPr>
      <w:spacing w:after="960" w:line="200" w:lineRule="exact"/>
    </w:pPr>
    <w:rPr>
      <w:sz w:val="16"/>
    </w:rPr>
  </w:style>
  <w:style w:type="paragraph" w:customStyle="1" w:styleId="Head1">
    <w:name w:val="Head1"/>
    <w:basedOn w:val="Normal"/>
    <w:rsid w:val="006D7B0F"/>
    <w:pPr>
      <w:keepNext/>
      <w:spacing w:after="240"/>
    </w:pPr>
    <w:rPr>
      <w:b/>
      <w:caps/>
      <w:sz w:val="22"/>
    </w:rPr>
  </w:style>
  <w:style w:type="paragraph" w:styleId="Footer">
    <w:name w:val="footer"/>
    <w:basedOn w:val="Normal"/>
    <w:link w:val="FooterChar"/>
    <w:rsid w:val="006D7B0F"/>
    <w:pPr>
      <w:tabs>
        <w:tab w:val="center" w:pos="4320"/>
        <w:tab w:val="right" w:pos="8640"/>
      </w:tabs>
    </w:pPr>
  </w:style>
  <w:style w:type="character" w:customStyle="1" w:styleId="FooterChar">
    <w:name w:val="Footer Char"/>
    <w:basedOn w:val="DefaultParagraphFont"/>
    <w:link w:val="Footer"/>
    <w:rsid w:val="006D7B0F"/>
    <w:rPr>
      <w:rFonts w:ascii="Helvetica" w:eastAsia="Times New Roman" w:hAnsi="Helvetica" w:cs="Times New Roman"/>
      <w:kern w:val="0"/>
      <w:sz w:val="20"/>
      <w:szCs w:val="20"/>
      <w14:ligatures w14:val="none"/>
    </w:rPr>
  </w:style>
  <w:style w:type="paragraph" w:styleId="Header">
    <w:name w:val="header"/>
    <w:basedOn w:val="Normal"/>
    <w:link w:val="HeaderChar"/>
    <w:rsid w:val="006D7B0F"/>
    <w:pPr>
      <w:tabs>
        <w:tab w:val="center" w:pos="4320"/>
        <w:tab w:val="right" w:pos="8640"/>
      </w:tabs>
    </w:pPr>
  </w:style>
  <w:style w:type="character" w:customStyle="1" w:styleId="HeaderChar">
    <w:name w:val="Header Char"/>
    <w:basedOn w:val="DefaultParagraphFont"/>
    <w:link w:val="Header"/>
    <w:rsid w:val="006D7B0F"/>
    <w:rPr>
      <w:rFonts w:ascii="Helvetica" w:eastAsia="Times New Roman" w:hAnsi="Helvetica" w:cs="Times New Roman"/>
      <w:kern w:val="0"/>
      <w:sz w:val="20"/>
      <w:szCs w:val="20"/>
      <w14:ligatures w14:val="none"/>
    </w:rPr>
  </w:style>
  <w:style w:type="character" w:styleId="Hyperlink">
    <w:name w:val="Hyperlink"/>
    <w:basedOn w:val="DefaultParagraphFont"/>
    <w:uiPriority w:val="99"/>
    <w:rsid w:val="006D7B0F"/>
    <w:rPr>
      <w:color w:val="FF0080"/>
      <w:u w:val="single"/>
    </w:rPr>
  </w:style>
  <w:style w:type="paragraph" w:styleId="BodyText3">
    <w:name w:val="Body Text 3"/>
    <w:basedOn w:val="Normal"/>
    <w:link w:val="BodyText3Char"/>
    <w:rsid w:val="006D7B0F"/>
    <w:pPr>
      <w:spacing w:after="120"/>
    </w:pPr>
    <w:rPr>
      <w:sz w:val="16"/>
      <w:szCs w:val="16"/>
    </w:rPr>
  </w:style>
  <w:style w:type="character" w:customStyle="1" w:styleId="BodyText3Char">
    <w:name w:val="Body Text 3 Char"/>
    <w:basedOn w:val="DefaultParagraphFont"/>
    <w:link w:val="BodyText3"/>
    <w:rsid w:val="006D7B0F"/>
    <w:rPr>
      <w:rFonts w:ascii="Helvetica" w:eastAsia="Times New Roman" w:hAnsi="Helvetica" w:cs="Times New Roman"/>
      <w:kern w:val="0"/>
      <w:sz w:val="16"/>
      <w:szCs w:val="16"/>
      <w14:ligatures w14:val="none"/>
    </w:rPr>
  </w:style>
  <w:style w:type="character" w:styleId="LineNumber">
    <w:name w:val="line number"/>
    <w:basedOn w:val="DefaultParagraphFont"/>
    <w:uiPriority w:val="99"/>
    <w:semiHidden/>
    <w:unhideWhenUsed/>
    <w:rsid w:val="006D7B0F"/>
  </w:style>
  <w:style w:type="table" w:styleId="TableGrid">
    <w:name w:val="Table Grid"/>
    <w:basedOn w:val="TableNormal"/>
    <w:uiPriority w:val="39"/>
    <w:rsid w:val="006D7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normal">
    <w:name w:val="whitespace-normal"/>
    <w:basedOn w:val="Normal"/>
    <w:rsid w:val="00336110"/>
    <w:pPr>
      <w:spacing w:before="100" w:beforeAutospacing="1" w:after="100" w:afterAutospacing="1"/>
    </w:pPr>
    <w:rPr>
      <w:rFonts w:ascii="Times New Roman" w:hAnsi="Times New Roman"/>
      <w:sz w:val="24"/>
      <w:szCs w:val="24"/>
    </w:rPr>
  </w:style>
  <w:style w:type="paragraph" w:styleId="NoSpacing">
    <w:name w:val="No Spacing"/>
    <w:uiPriority w:val="1"/>
    <w:qFormat/>
    <w:rsid w:val="008C02EC"/>
    <w:pPr>
      <w:spacing w:after="0" w:line="240" w:lineRule="auto"/>
      <w:ind w:left="720" w:hanging="720"/>
    </w:pPr>
    <w:rPr>
      <w:rFonts w:eastAsiaTheme="minorEastAsia"/>
      <w:kern w:val="0"/>
      <w:sz w:val="22"/>
      <w:szCs w:val="22"/>
      <w14:ligatures w14:val="none"/>
    </w:rPr>
  </w:style>
  <w:style w:type="paragraph" w:styleId="Revision">
    <w:name w:val="Revision"/>
    <w:hidden/>
    <w:uiPriority w:val="99"/>
    <w:semiHidden/>
    <w:rsid w:val="008C02EC"/>
    <w:pPr>
      <w:spacing w:after="0" w:line="240" w:lineRule="auto"/>
    </w:pPr>
  </w:style>
  <w:style w:type="character" w:customStyle="1" w:styleId="UnresolvedMention1">
    <w:name w:val="Unresolved Mention1"/>
    <w:basedOn w:val="DefaultParagraphFont"/>
    <w:uiPriority w:val="99"/>
    <w:semiHidden/>
    <w:unhideWhenUsed/>
    <w:rsid w:val="008C02EC"/>
    <w:rPr>
      <w:color w:val="605E5C"/>
      <w:shd w:val="clear" w:color="auto" w:fill="E1DFDD"/>
    </w:rPr>
  </w:style>
  <w:style w:type="table" w:customStyle="1" w:styleId="TableGrid1">
    <w:name w:val="Table Grid1"/>
    <w:basedOn w:val="TableNormal"/>
    <w:next w:val="TableGrid"/>
    <w:uiPriority w:val="39"/>
    <w:rsid w:val="00DA1049"/>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71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760912">
      <w:bodyDiv w:val="1"/>
      <w:marLeft w:val="0"/>
      <w:marRight w:val="0"/>
      <w:marTop w:val="0"/>
      <w:marBottom w:val="0"/>
      <w:divBdr>
        <w:top w:val="none" w:sz="0" w:space="0" w:color="auto"/>
        <w:left w:val="none" w:sz="0" w:space="0" w:color="auto"/>
        <w:bottom w:val="none" w:sz="0" w:space="0" w:color="auto"/>
        <w:right w:val="none" w:sz="0" w:space="0" w:color="auto"/>
      </w:divBdr>
    </w:div>
    <w:div w:id="160395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oi.org/10.1007/s12517-021-07381-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2014</TotalTime>
  <Pages>26</Pages>
  <Words>9660</Words>
  <Characters>55063</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 Eso</dc:creator>
  <cp:keywords/>
  <dc:description/>
  <cp:lastModifiedBy>Editor-1183</cp:lastModifiedBy>
  <cp:revision>35</cp:revision>
  <dcterms:created xsi:type="dcterms:W3CDTF">2026-03-28T13:09:00Z</dcterms:created>
  <dcterms:modified xsi:type="dcterms:W3CDTF">2026-04-21T09:53:00Z</dcterms:modified>
</cp:coreProperties>
</file>