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7AFBD3" w14:textId="4A968983" w:rsidR="008B46A1" w:rsidRDefault="000D6C06" w:rsidP="00CD5A4C">
      <w:pPr>
        <w:spacing w:line="360" w:lineRule="auto"/>
        <w:jc w:val="center"/>
        <w:rPr>
          <w:rFonts w:ascii="Times New Roman" w:hAnsi="Times New Roman" w:cs="Times New Roman"/>
          <w:b/>
          <w:bCs/>
          <w:sz w:val="28"/>
          <w:szCs w:val="28"/>
        </w:rPr>
      </w:pPr>
      <w:r w:rsidRPr="00CD5A4C">
        <w:rPr>
          <w:rFonts w:ascii="Times New Roman" w:hAnsi="Times New Roman" w:cs="Times New Roman"/>
          <w:b/>
          <w:bCs/>
          <w:sz w:val="28"/>
          <w:szCs w:val="28"/>
        </w:rPr>
        <w:t>Perceptions of Communities on Climate Change and Climate Variability in the Lake Chad Basin, Diffa Region</w:t>
      </w:r>
    </w:p>
    <w:p w14:paraId="02F5EDFA" w14:textId="1EABFB3B" w:rsidR="00B078AA" w:rsidRDefault="00B078AA" w:rsidP="00B078AA">
      <w:pPr>
        <w:spacing w:line="360" w:lineRule="auto"/>
        <w:rPr>
          <w:rFonts w:ascii="Times New Roman" w:hAnsi="Times New Roman" w:cs="Times New Roman"/>
          <w:b/>
          <w:bCs/>
          <w:sz w:val="28"/>
          <w:szCs w:val="28"/>
        </w:rPr>
      </w:pPr>
      <w:r w:rsidRPr="00B078AA">
        <w:rPr>
          <w:rFonts w:ascii="Times New Roman" w:hAnsi="Times New Roman" w:cs="Times New Roman"/>
          <w:b/>
          <w:bCs/>
          <w:sz w:val="28"/>
          <w:szCs w:val="28"/>
          <w:highlight w:val="green"/>
        </w:rPr>
        <w:t>Original research article</w:t>
      </w:r>
    </w:p>
    <w:p w14:paraId="3A9F30CB" w14:textId="793D7B4A" w:rsidR="000D6C06" w:rsidRDefault="000D6C06" w:rsidP="00CD5A4C">
      <w:pPr>
        <w:spacing w:line="360" w:lineRule="auto"/>
        <w:jc w:val="both"/>
        <w:rPr>
          <w:rFonts w:ascii="Times New Roman" w:hAnsi="Times New Roman" w:cs="Times New Roman"/>
          <w:b/>
          <w:bCs/>
          <w:sz w:val="24"/>
          <w:szCs w:val="24"/>
        </w:rPr>
      </w:pPr>
      <w:r w:rsidRPr="00CD5A4C">
        <w:rPr>
          <w:rFonts w:ascii="Times New Roman" w:hAnsi="Times New Roman" w:cs="Times New Roman"/>
          <w:b/>
          <w:bCs/>
          <w:sz w:val="24"/>
          <w:szCs w:val="24"/>
        </w:rPr>
        <w:t>Abstract</w:t>
      </w:r>
    </w:p>
    <w:p w14:paraId="59E7E73F" w14:textId="3E5184E4" w:rsidR="00D21443" w:rsidRPr="00067A65" w:rsidRDefault="00067A65" w:rsidP="00CD5A4C">
      <w:pPr>
        <w:spacing w:line="360" w:lineRule="auto"/>
        <w:jc w:val="both"/>
        <w:rPr>
          <w:rFonts w:ascii="Times New Roman" w:hAnsi="Times New Roman" w:cs="Times New Roman"/>
          <w:sz w:val="24"/>
          <w:szCs w:val="24"/>
        </w:rPr>
      </w:pPr>
      <w:r w:rsidRPr="00D21443">
        <w:rPr>
          <w:rFonts w:ascii="Times New Roman" w:hAnsi="Times New Roman" w:cs="Times New Roman"/>
          <w:sz w:val="24"/>
          <w:szCs w:val="24"/>
          <w:lang w:val="fr-NE"/>
        </w:rPr>
        <w:t xml:space="preserve">In a </w:t>
      </w:r>
      <w:proofErr w:type="spellStart"/>
      <w:r w:rsidRPr="00D21443">
        <w:rPr>
          <w:rFonts w:ascii="Times New Roman" w:hAnsi="Times New Roman" w:cs="Times New Roman"/>
          <w:sz w:val="24"/>
          <w:szCs w:val="24"/>
          <w:lang w:val="fr-NE"/>
        </w:rPr>
        <w:t>Sahelian</w:t>
      </w:r>
      <w:proofErr w:type="spellEnd"/>
      <w:r w:rsidRPr="00D21443">
        <w:rPr>
          <w:rFonts w:ascii="Times New Roman" w:hAnsi="Times New Roman" w:cs="Times New Roman"/>
          <w:sz w:val="24"/>
          <w:szCs w:val="24"/>
          <w:lang w:val="fr-NE"/>
        </w:rPr>
        <w:t xml:space="preserve"> </w:t>
      </w:r>
      <w:proofErr w:type="spellStart"/>
      <w:r w:rsidRPr="00D21443">
        <w:rPr>
          <w:rFonts w:ascii="Times New Roman" w:hAnsi="Times New Roman" w:cs="Times New Roman"/>
          <w:sz w:val="24"/>
          <w:szCs w:val="24"/>
          <w:lang w:val="fr-NE"/>
        </w:rPr>
        <w:t>context</w:t>
      </w:r>
      <w:proofErr w:type="spellEnd"/>
      <w:r w:rsidRPr="00D21443">
        <w:rPr>
          <w:rFonts w:ascii="Times New Roman" w:hAnsi="Times New Roman" w:cs="Times New Roman"/>
          <w:sz w:val="24"/>
          <w:szCs w:val="24"/>
          <w:lang w:val="fr-NE"/>
        </w:rPr>
        <w:t xml:space="preserve"> </w:t>
      </w:r>
      <w:proofErr w:type="spellStart"/>
      <w:r w:rsidRPr="00D21443">
        <w:rPr>
          <w:rFonts w:ascii="Times New Roman" w:hAnsi="Times New Roman" w:cs="Times New Roman"/>
          <w:sz w:val="24"/>
          <w:szCs w:val="24"/>
          <w:lang w:val="fr-NE"/>
        </w:rPr>
        <w:t>characterized</w:t>
      </w:r>
      <w:proofErr w:type="spellEnd"/>
      <w:r w:rsidRPr="00D21443">
        <w:rPr>
          <w:rFonts w:ascii="Times New Roman" w:hAnsi="Times New Roman" w:cs="Times New Roman"/>
          <w:sz w:val="24"/>
          <w:szCs w:val="24"/>
          <w:lang w:val="fr-NE"/>
        </w:rPr>
        <w:t xml:space="preserve"> by high </w:t>
      </w:r>
      <w:proofErr w:type="spellStart"/>
      <w:r w:rsidRPr="00D21443">
        <w:rPr>
          <w:rFonts w:ascii="Times New Roman" w:hAnsi="Times New Roman" w:cs="Times New Roman"/>
          <w:sz w:val="24"/>
          <w:szCs w:val="24"/>
          <w:lang w:val="fr-NE"/>
        </w:rPr>
        <w:t>hydroclimatic</w:t>
      </w:r>
      <w:proofErr w:type="spellEnd"/>
      <w:r w:rsidRPr="00D21443">
        <w:rPr>
          <w:rFonts w:ascii="Times New Roman" w:hAnsi="Times New Roman" w:cs="Times New Roman"/>
          <w:sz w:val="24"/>
          <w:szCs w:val="24"/>
          <w:lang w:val="fr-NE"/>
        </w:rPr>
        <w:t xml:space="preserve"> </w:t>
      </w:r>
      <w:proofErr w:type="spellStart"/>
      <w:r w:rsidRPr="00D21443">
        <w:rPr>
          <w:rFonts w:ascii="Times New Roman" w:hAnsi="Times New Roman" w:cs="Times New Roman"/>
          <w:sz w:val="24"/>
          <w:szCs w:val="24"/>
          <w:lang w:val="fr-NE"/>
        </w:rPr>
        <w:t>variability</w:t>
      </w:r>
      <w:proofErr w:type="spellEnd"/>
      <w:r w:rsidRPr="00D21443">
        <w:rPr>
          <w:rFonts w:ascii="Times New Roman" w:hAnsi="Times New Roman" w:cs="Times New Roman"/>
          <w:sz w:val="24"/>
          <w:szCs w:val="24"/>
          <w:lang w:val="fr-NE"/>
        </w:rPr>
        <w:t xml:space="preserve">, the Diffa </w:t>
      </w:r>
      <w:proofErr w:type="spellStart"/>
      <w:r w:rsidRPr="00D21443">
        <w:rPr>
          <w:rFonts w:ascii="Times New Roman" w:hAnsi="Times New Roman" w:cs="Times New Roman"/>
          <w:sz w:val="24"/>
          <w:szCs w:val="24"/>
          <w:lang w:val="fr-NE"/>
        </w:rPr>
        <w:t>region</w:t>
      </w:r>
      <w:proofErr w:type="spellEnd"/>
      <w:r w:rsidRPr="00D21443">
        <w:rPr>
          <w:rFonts w:ascii="Times New Roman" w:hAnsi="Times New Roman" w:cs="Times New Roman"/>
          <w:sz w:val="24"/>
          <w:szCs w:val="24"/>
          <w:lang w:val="fr-NE"/>
        </w:rPr>
        <w:t xml:space="preserve"> </w:t>
      </w:r>
      <w:proofErr w:type="spellStart"/>
      <w:r w:rsidRPr="00D21443">
        <w:rPr>
          <w:rFonts w:ascii="Times New Roman" w:hAnsi="Times New Roman" w:cs="Times New Roman"/>
          <w:sz w:val="24"/>
          <w:szCs w:val="24"/>
          <w:lang w:val="fr-NE"/>
        </w:rPr>
        <w:t>is</w:t>
      </w:r>
      <w:proofErr w:type="spellEnd"/>
      <w:r w:rsidRPr="00D21443">
        <w:rPr>
          <w:rFonts w:ascii="Times New Roman" w:hAnsi="Times New Roman" w:cs="Times New Roman"/>
          <w:sz w:val="24"/>
          <w:szCs w:val="24"/>
          <w:lang w:val="fr-NE"/>
        </w:rPr>
        <w:t xml:space="preserve"> </w:t>
      </w:r>
      <w:proofErr w:type="spellStart"/>
      <w:r w:rsidRPr="00D21443">
        <w:rPr>
          <w:rFonts w:ascii="Times New Roman" w:hAnsi="Times New Roman" w:cs="Times New Roman"/>
          <w:sz w:val="24"/>
          <w:szCs w:val="24"/>
          <w:lang w:val="fr-NE"/>
        </w:rPr>
        <w:t>experiencing</w:t>
      </w:r>
      <w:proofErr w:type="spellEnd"/>
      <w:r w:rsidRPr="00D21443">
        <w:rPr>
          <w:rFonts w:ascii="Times New Roman" w:hAnsi="Times New Roman" w:cs="Times New Roman"/>
          <w:sz w:val="24"/>
          <w:szCs w:val="24"/>
          <w:lang w:val="fr-NE"/>
        </w:rPr>
        <w:t xml:space="preserve"> </w:t>
      </w:r>
      <w:proofErr w:type="spellStart"/>
      <w:r w:rsidRPr="00D21443">
        <w:rPr>
          <w:rFonts w:ascii="Times New Roman" w:hAnsi="Times New Roman" w:cs="Times New Roman"/>
          <w:sz w:val="24"/>
          <w:szCs w:val="24"/>
          <w:lang w:val="fr-NE"/>
        </w:rPr>
        <w:t>rainfall</w:t>
      </w:r>
      <w:proofErr w:type="spellEnd"/>
      <w:r w:rsidRPr="00D21443">
        <w:rPr>
          <w:rFonts w:ascii="Times New Roman" w:hAnsi="Times New Roman" w:cs="Times New Roman"/>
          <w:sz w:val="24"/>
          <w:szCs w:val="24"/>
          <w:lang w:val="fr-NE"/>
        </w:rPr>
        <w:t xml:space="preserve"> and </w:t>
      </w:r>
      <w:proofErr w:type="spellStart"/>
      <w:r w:rsidRPr="00D21443">
        <w:rPr>
          <w:rFonts w:ascii="Times New Roman" w:hAnsi="Times New Roman" w:cs="Times New Roman"/>
          <w:sz w:val="24"/>
          <w:szCs w:val="24"/>
          <w:lang w:val="fr-NE"/>
        </w:rPr>
        <w:t>temperature</w:t>
      </w:r>
      <w:proofErr w:type="spellEnd"/>
      <w:r w:rsidRPr="00D21443">
        <w:rPr>
          <w:rFonts w:ascii="Times New Roman" w:hAnsi="Times New Roman" w:cs="Times New Roman"/>
          <w:sz w:val="24"/>
          <w:szCs w:val="24"/>
          <w:lang w:val="fr-NE"/>
        </w:rPr>
        <w:t xml:space="preserve"> </w:t>
      </w:r>
      <w:proofErr w:type="spellStart"/>
      <w:r w:rsidRPr="00D21443">
        <w:rPr>
          <w:rFonts w:ascii="Times New Roman" w:hAnsi="Times New Roman" w:cs="Times New Roman"/>
          <w:sz w:val="24"/>
          <w:szCs w:val="24"/>
          <w:lang w:val="fr-NE"/>
        </w:rPr>
        <w:t>disturbances</w:t>
      </w:r>
      <w:proofErr w:type="spellEnd"/>
      <w:r w:rsidRPr="00D21443">
        <w:rPr>
          <w:rFonts w:ascii="Times New Roman" w:hAnsi="Times New Roman" w:cs="Times New Roman"/>
          <w:sz w:val="24"/>
          <w:szCs w:val="24"/>
          <w:lang w:val="fr-NE"/>
        </w:rPr>
        <w:t xml:space="preserve"> </w:t>
      </w:r>
      <w:proofErr w:type="spellStart"/>
      <w:r w:rsidRPr="00D21443">
        <w:rPr>
          <w:rFonts w:ascii="Times New Roman" w:hAnsi="Times New Roman" w:cs="Times New Roman"/>
          <w:sz w:val="24"/>
          <w:szCs w:val="24"/>
          <w:lang w:val="fr-NE"/>
        </w:rPr>
        <w:t>that</w:t>
      </w:r>
      <w:proofErr w:type="spellEnd"/>
      <w:r w:rsidRPr="00D21443">
        <w:rPr>
          <w:rFonts w:ascii="Times New Roman" w:hAnsi="Times New Roman" w:cs="Times New Roman"/>
          <w:sz w:val="24"/>
          <w:szCs w:val="24"/>
          <w:lang w:val="fr-NE"/>
        </w:rPr>
        <w:t xml:space="preserve"> are </w:t>
      </w:r>
      <w:proofErr w:type="spellStart"/>
      <w:r w:rsidRPr="00D21443">
        <w:rPr>
          <w:rFonts w:ascii="Times New Roman" w:hAnsi="Times New Roman" w:cs="Times New Roman"/>
          <w:sz w:val="24"/>
          <w:szCs w:val="24"/>
          <w:lang w:val="fr-NE"/>
        </w:rPr>
        <w:t>increasing</w:t>
      </w:r>
      <w:proofErr w:type="spellEnd"/>
      <w:r w:rsidRPr="00D21443">
        <w:rPr>
          <w:rFonts w:ascii="Times New Roman" w:hAnsi="Times New Roman" w:cs="Times New Roman"/>
          <w:sz w:val="24"/>
          <w:szCs w:val="24"/>
          <w:lang w:val="fr-NE"/>
        </w:rPr>
        <w:t xml:space="preserve"> the </w:t>
      </w:r>
      <w:proofErr w:type="spellStart"/>
      <w:r w:rsidRPr="00D21443">
        <w:rPr>
          <w:rFonts w:ascii="Times New Roman" w:hAnsi="Times New Roman" w:cs="Times New Roman"/>
          <w:sz w:val="24"/>
          <w:szCs w:val="24"/>
          <w:lang w:val="fr-NE"/>
        </w:rPr>
        <w:t>vulnerability</w:t>
      </w:r>
      <w:proofErr w:type="spellEnd"/>
      <w:r w:rsidRPr="00D21443">
        <w:rPr>
          <w:rFonts w:ascii="Times New Roman" w:hAnsi="Times New Roman" w:cs="Times New Roman"/>
          <w:sz w:val="24"/>
          <w:szCs w:val="24"/>
          <w:lang w:val="fr-NE"/>
        </w:rPr>
        <w:t xml:space="preserve"> of agropastoral </w:t>
      </w:r>
      <w:proofErr w:type="spellStart"/>
      <w:r w:rsidRPr="00D21443">
        <w:rPr>
          <w:rFonts w:ascii="Times New Roman" w:hAnsi="Times New Roman" w:cs="Times New Roman"/>
          <w:sz w:val="24"/>
          <w:szCs w:val="24"/>
          <w:lang w:val="fr-NE"/>
        </w:rPr>
        <w:t>systems</w:t>
      </w:r>
      <w:proofErr w:type="spellEnd"/>
      <w:r>
        <w:rPr>
          <w:rFonts w:ascii="Times New Roman" w:hAnsi="Times New Roman" w:cs="Times New Roman"/>
          <w:sz w:val="24"/>
          <w:szCs w:val="24"/>
          <w:lang w:val="fr-NE"/>
        </w:rPr>
        <w:t xml:space="preserve">. </w:t>
      </w:r>
      <w:r w:rsidRPr="00067A65">
        <w:rPr>
          <w:rFonts w:ascii="Times New Roman" w:hAnsi="Times New Roman" w:cs="Times New Roman"/>
          <w:sz w:val="24"/>
          <w:szCs w:val="24"/>
        </w:rPr>
        <w:t xml:space="preserve">This study combines a survey of 234 households and the analysis of simulated climate data (1995–2025) to jointly assess perceptions of climate change and hydroclimatic dynamics. Climate variability is </w:t>
      </w:r>
      <w:r w:rsidR="00843E4C" w:rsidRPr="00067A65">
        <w:rPr>
          <w:rFonts w:ascii="Times New Roman" w:hAnsi="Times New Roman" w:cs="Times New Roman"/>
          <w:sz w:val="24"/>
          <w:szCs w:val="24"/>
        </w:rPr>
        <w:t>analysed</w:t>
      </w:r>
      <w:r w:rsidRPr="00067A65">
        <w:rPr>
          <w:rFonts w:ascii="Times New Roman" w:hAnsi="Times New Roman" w:cs="Times New Roman"/>
          <w:sz w:val="24"/>
          <w:szCs w:val="24"/>
        </w:rPr>
        <w:t xml:space="preserve"> using the SPI and SPEI indices, while trends and ruptures are examined using the Mann–Kendall and </w:t>
      </w:r>
      <w:proofErr w:type="spellStart"/>
      <w:r w:rsidRPr="00067A65">
        <w:rPr>
          <w:rFonts w:ascii="Times New Roman" w:hAnsi="Times New Roman" w:cs="Times New Roman"/>
          <w:sz w:val="24"/>
          <w:szCs w:val="24"/>
        </w:rPr>
        <w:t>Petttt</w:t>
      </w:r>
      <w:proofErr w:type="spellEnd"/>
      <w:r w:rsidRPr="00067A65">
        <w:rPr>
          <w:rFonts w:ascii="Times New Roman" w:hAnsi="Times New Roman" w:cs="Times New Roman"/>
          <w:sz w:val="24"/>
          <w:szCs w:val="24"/>
        </w:rPr>
        <w:t xml:space="preserve"> tests. The results show that agriculture dominates (&gt; 60%), followed by livestock. Perceptions point to intense rainfall (11.2%), rising temperatures (10.6%) and irregular seasons. Climate indices reveal an intensification of extremes (TX90p = 41.88 °C; TN90 = 27.36 °C; R95p = 10.43 mm). The analysis of the SPI and SPEI indicates a high variability and a significant trend towards wetting (τ = 0.122 to 0.497; p &lt; 0.001), with breaks around 2010–2018. </w:t>
      </w:r>
      <w:r w:rsidR="006A0637" w:rsidRPr="006A0637">
        <w:rPr>
          <w:rFonts w:ascii="Times New Roman" w:hAnsi="Times New Roman" w:cs="Times New Roman"/>
          <w:sz w:val="24"/>
          <w:szCs w:val="24"/>
        </w:rPr>
        <w:t>Statistical analyses indicate negative effects of temperatures and positive effects of water conditions on livelihoods.</w:t>
      </w:r>
      <w:r w:rsidR="006A0637">
        <w:rPr>
          <w:rFonts w:ascii="Times New Roman" w:hAnsi="Times New Roman" w:cs="Times New Roman"/>
          <w:sz w:val="24"/>
          <w:szCs w:val="24"/>
        </w:rPr>
        <w:t xml:space="preserve"> </w:t>
      </w:r>
      <w:r w:rsidRPr="00067A65">
        <w:rPr>
          <w:rFonts w:ascii="Times New Roman" w:hAnsi="Times New Roman" w:cs="Times New Roman"/>
          <w:sz w:val="24"/>
          <w:szCs w:val="24"/>
        </w:rPr>
        <w:t>These results underscore the need to strengthen tailored adaptation strategies.</w:t>
      </w:r>
    </w:p>
    <w:p w14:paraId="332F6881" w14:textId="20366AFE" w:rsidR="00FD6F4A" w:rsidRPr="00CD5A4C" w:rsidRDefault="000D6C06" w:rsidP="00CD5A4C">
      <w:pPr>
        <w:spacing w:line="360" w:lineRule="auto"/>
        <w:jc w:val="both"/>
        <w:rPr>
          <w:rFonts w:ascii="Times New Roman" w:hAnsi="Times New Roman" w:cs="Times New Roman"/>
          <w:sz w:val="24"/>
          <w:szCs w:val="24"/>
        </w:rPr>
      </w:pPr>
      <w:r w:rsidRPr="00CD5A4C">
        <w:rPr>
          <w:rFonts w:ascii="Times New Roman" w:hAnsi="Times New Roman" w:cs="Times New Roman"/>
          <w:b/>
          <w:bCs/>
          <w:sz w:val="24"/>
          <w:szCs w:val="24"/>
        </w:rPr>
        <w:t>Keywords:</w:t>
      </w:r>
      <w:r w:rsidRPr="00CD5A4C">
        <w:rPr>
          <w:rFonts w:ascii="Times New Roman" w:hAnsi="Times New Roman" w:cs="Times New Roman"/>
          <w:sz w:val="24"/>
          <w:szCs w:val="24"/>
        </w:rPr>
        <w:t xml:space="preserve"> Climate change and variability, Lake Chad, adaptation, strategies, Diffa, Niger.</w:t>
      </w:r>
    </w:p>
    <w:p w14:paraId="51E64BD8" w14:textId="28DC4B1F" w:rsidR="000D6C06" w:rsidRPr="00B263D3" w:rsidRDefault="00FD6F4A" w:rsidP="00B263D3">
      <w:pPr>
        <w:pStyle w:val="Paragraphedeliste"/>
        <w:numPr>
          <w:ilvl w:val="0"/>
          <w:numId w:val="18"/>
        </w:numPr>
        <w:spacing w:line="360" w:lineRule="auto"/>
        <w:jc w:val="both"/>
        <w:rPr>
          <w:rFonts w:ascii="Times New Roman" w:hAnsi="Times New Roman" w:cs="Times New Roman"/>
          <w:b/>
          <w:bCs/>
          <w:sz w:val="24"/>
          <w:szCs w:val="24"/>
        </w:rPr>
      </w:pPr>
      <w:r w:rsidRPr="00B263D3">
        <w:rPr>
          <w:rFonts w:ascii="Times New Roman" w:hAnsi="Times New Roman" w:cs="Times New Roman"/>
          <w:b/>
          <w:bCs/>
          <w:sz w:val="24"/>
          <w:szCs w:val="24"/>
        </w:rPr>
        <w:t>INTRODUCTION</w:t>
      </w:r>
    </w:p>
    <w:p w14:paraId="0AF88998" w14:textId="7FD44995" w:rsidR="000D6C06" w:rsidRPr="00CD5A4C" w:rsidRDefault="000D6C06" w:rsidP="00CD5A4C">
      <w:pPr>
        <w:spacing w:line="360" w:lineRule="auto"/>
        <w:jc w:val="both"/>
        <w:rPr>
          <w:rFonts w:ascii="Times New Roman" w:hAnsi="Times New Roman" w:cs="Times New Roman"/>
          <w:sz w:val="24"/>
          <w:szCs w:val="24"/>
        </w:rPr>
      </w:pPr>
      <w:r w:rsidRPr="00CD5A4C">
        <w:rPr>
          <w:rFonts w:ascii="Times New Roman" w:hAnsi="Times New Roman" w:cs="Times New Roman"/>
          <w:sz w:val="24"/>
          <w:szCs w:val="24"/>
        </w:rPr>
        <w:t xml:space="preserve">Climate change is one of the major drivers disrupting socio-ecological systems worldwide. Rising temperatures, shifts in rainfall regimes, and the intensification of extreme events directly affect rain-fed agricultural and pastoral systems (Masson-Delmotte et al., </w:t>
      </w:r>
      <w:r w:rsidR="00F3432B" w:rsidRPr="00CD5A4C">
        <w:rPr>
          <w:rFonts w:ascii="Times New Roman" w:hAnsi="Times New Roman" w:cs="Times New Roman"/>
          <w:sz w:val="24"/>
          <w:szCs w:val="24"/>
        </w:rPr>
        <w:t>2021 ;</w:t>
      </w:r>
      <w:r w:rsidRPr="00CD5A4C">
        <w:rPr>
          <w:rFonts w:ascii="Times New Roman" w:hAnsi="Times New Roman" w:cs="Times New Roman"/>
          <w:sz w:val="24"/>
          <w:szCs w:val="24"/>
        </w:rPr>
        <w:t xml:space="preserve"> Dosio et al., 2021). Beyond instrumental observations, however, the perception of climate change by local communities plays a decisive role in shaping adaptive responses. Recent studies indicate that these perceptions are constructed from lived experiences, climate memory, and socio-economic factors, which in turn influence the adoption of adaptation strategies (Ayal et al., 2021).</w:t>
      </w:r>
    </w:p>
    <w:p w14:paraId="7BC343D0" w14:textId="77777777" w:rsidR="000D6C06" w:rsidRPr="00CD5A4C" w:rsidRDefault="000D6C06" w:rsidP="00CD5A4C">
      <w:pPr>
        <w:spacing w:line="360" w:lineRule="auto"/>
        <w:jc w:val="both"/>
        <w:rPr>
          <w:rFonts w:ascii="Times New Roman" w:hAnsi="Times New Roman" w:cs="Times New Roman"/>
          <w:sz w:val="24"/>
          <w:szCs w:val="24"/>
        </w:rPr>
      </w:pPr>
      <w:r w:rsidRPr="00CD5A4C">
        <w:rPr>
          <w:rFonts w:ascii="Times New Roman" w:hAnsi="Times New Roman" w:cs="Times New Roman"/>
          <w:sz w:val="24"/>
          <w:szCs w:val="24"/>
        </w:rPr>
        <w:t xml:space="preserve">The Sahel is widely recognized as a climate “hotspot”, characterized by strong interannual rainfall variability and a warming trend exceeding the global average (Dosio et al., 2021). Despite a partial recovery of rainfall since the 1990s, the region continues to experience increasing seasonal irregularity and a growing frequency of extreme events, particularly floods </w:t>
      </w:r>
      <w:r w:rsidRPr="00CD5A4C">
        <w:rPr>
          <w:rFonts w:ascii="Times New Roman" w:hAnsi="Times New Roman" w:cs="Times New Roman"/>
          <w:sz w:val="24"/>
          <w:szCs w:val="24"/>
        </w:rPr>
        <w:lastRenderedPageBreak/>
        <w:t>(Sanogo et al., 2022). In the Lake Chad Basin, these climatic dynamics interact with anthropogenic and demographic pressures, exacerbating the vulnerability of agropastoral systems and increasing dependence on natural resources (Okpara et al., 2021). Regional studies indicate that Sahelian populations perceive rising temperatures, a shortening of the rainy season, and increasing climatic unpredictability, perceptions that influence agricultural and pastoral decision-making (Salack et al., 2022).</w:t>
      </w:r>
    </w:p>
    <w:p w14:paraId="0D0D7A3A" w14:textId="77777777" w:rsidR="000D6C06" w:rsidRPr="00CD5A4C" w:rsidRDefault="000D6C06" w:rsidP="00CD5A4C">
      <w:pPr>
        <w:spacing w:line="360" w:lineRule="auto"/>
        <w:jc w:val="both"/>
        <w:rPr>
          <w:rFonts w:ascii="Times New Roman" w:hAnsi="Times New Roman" w:cs="Times New Roman"/>
          <w:sz w:val="24"/>
          <w:szCs w:val="24"/>
        </w:rPr>
      </w:pPr>
      <w:r w:rsidRPr="00CD5A4C">
        <w:rPr>
          <w:rFonts w:ascii="Times New Roman" w:hAnsi="Times New Roman" w:cs="Times New Roman"/>
          <w:sz w:val="24"/>
          <w:szCs w:val="24"/>
        </w:rPr>
        <w:t>Niger is among the countries most exposed to climate hazards due to its Sahelian location and its strong dependence on rain-fed agriculture. Recent climatic analyses highlight a significant warming trend and increased rainfall variability, characterized by the alternation of droughts and floods (Ozer et al., 2020). Studies conducted among Nigerien farmers show that the majority perceive these changes and adjust their practices through modifications in cropping calendars, the use of early-maturing varieties, and the diversification of livelihood activities (Issa et al., 2022).</w:t>
      </w:r>
    </w:p>
    <w:p w14:paraId="5916B9B1" w14:textId="77777777" w:rsidR="000D6C06" w:rsidRPr="00CD5A4C" w:rsidRDefault="000D6C06" w:rsidP="00CD5A4C">
      <w:pPr>
        <w:spacing w:line="360" w:lineRule="auto"/>
        <w:jc w:val="both"/>
        <w:rPr>
          <w:rFonts w:ascii="Times New Roman" w:hAnsi="Times New Roman" w:cs="Times New Roman"/>
          <w:sz w:val="24"/>
          <w:szCs w:val="24"/>
        </w:rPr>
      </w:pPr>
      <w:r w:rsidRPr="00CD5A4C">
        <w:rPr>
          <w:rFonts w:ascii="Times New Roman" w:hAnsi="Times New Roman" w:cs="Times New Roman"/>
          <w:sz w:val="24"/>
          <w:szCs w:val="24"/>
        </w:rPr>
        <w:t>In the Diffa region, which is part of the Lake Chad Basin, these dynamics take on a particular dimension. Agro-pastoral communities report increasing rainfall irregularity, rising temperatures, and a higher frequency of extreme events. These perceptions are reflected in the implementation of endogenous adaptation strategies, including crop diversification, increased pastoral mobility, improved soil management, and adjustments in herd size (Issa et al., 2022). However, adaptive capacities remain constrained by structural and socio-economic limitations. Therefore, the combined analysis of community perceptions, observed climatic variability, and adaptation strategies provides a better understanding of vulnerability and resilience dynamics in the Lake Chad Basin, particularly in the Diffa region.</w:t>
      </w:r>
    </w:p>
    <w:p w14:paraId="4704D5CC" w14:textId="77777777" w:rsidR="000D6C06" w:rsidRPr="00CD5A4C" w:rsidRDefault="000D6C06" w:rsidP="00CD5A4C">
      <w:pPr>
        <w:spacing w:line="360" w:lineRule="auto"/>
        <w:jc w:val="both"/>
        <w:rPr>
          <w:rFonts w:ascii="Times New Roman" w:hAnsi="Times New Roman" w:cs="Times New Roman"/>
          <w:b/>
          <w:bCs/>
          <w:sz w:val="24"/>
          <w:szCs w:val="24"/>
        </w:rPr>
      </w:pPr>
      <w:r w:rsidRPr="00CD5A4C">
        <w:rPr>
          <w:rFonts w:ascii="Times New Roman" w:hAnsi="Times New Roman" w:cs="Times New Roman"/>
          <w:b/>
          <w:bCs/>
          <w:sz w:val="24"/>
          <w:szCs w:val="24"/>
        </w:rPr>
        <w:t>Objectives</w:t>
      </w:r>
    </w:p>
    <w:p w14:paraId="1F8AC695" w14:textId="77777777" w:rsidR="000D6C06" w:rsidRPr="00CD5A4C" w:rsidRDefault="000D6C06" w:rsidP="00CD5A4C">
      <w:pPr>
        <w:numPr>
          <w:ilvl w:val="0"/>
          <w:numId w:val="1"/>
        </w:numPr>
        <w:spacing w:line="360" w:lineRule="auto"/>
        <w:jc w:val="both"/>
        <w:rPr>
          <w:rFonts w:ascii="Times New Roman" w:hAnsi="Times New Roman" w:cs="Times New Roman"/>
          <w:sz w:val="24"/>
          <w:szCs w:val="24"/>
        </w:rPr>
      </w:pPr>
      <w:r w:rsidRPr="00CD5A4C">
        <w:rPr>
          <w:rFonts w:ascii="Times New Roman" w:hAnsi="Times New Roman" w:cs="Times New Roman"/>
          <w:sz w:val="24"/>
          <w:szCs w:val="24"/>
        </w:rPr>
        <w:t>To analyze community perceptions of climate variability and climate change.</w:t>
      </w:r>
    </w:p>
    <w:p w14:paraId="29F102F2" w14:textId="77777777" w:rsidR="000D6C06" w:rsidRPr="00CD5A4C" w:rsidRDefault="000D6C06" w:rsidP="00CD5A4C">
      <w:pPr>
        <w:numPr>
          <w:ilvl w:val="0"/>
          <w:numId w:val="1"/>
        </w:numPr>
        <w:spacing w:line="360" w:lineRule="auto"/>
        <w:jc w:val="both"/>
        <w:rPr>
          <w:rFonts w:ascii="Times New Roman" w:hAnsi="Times New Roman" w:cs="Times New Roman"/>
          <w:sz w:val="24"/>
          <w:szCs w:val="24"/>
        </w:rPr>
      </w:pPr>
      <w:r w:rsidRPr="00CD5A4C">
        <w:rPr>
          <w:rFonts w:ascii="Times New Roman" w:hAnsi="Times New Roman" w:cs="Times New Roman"/>
          <w:sz w:val="24"/>
          <w:szCs w:val="24"/>
        </w:rPr>
        <w:t>To identify the adaptation strategies adopted by agropastoral communities in response to climate variability.</w:t>
      </w:r>
    </w:p>
    <w:p w14:paraId="47D6A429" w14:textId="364580FF" w:rsidR="000D6C06" w:rsidRPr="00B263D3" w:rsidRDefault="00FD6F4A" w:rsidP="00B263D3">
      <w:pPr>
        <w:pStyle w:val="Paragraphedeliste"/>
        <w:numPr>
          <w:ilvl w:val="0"/>
          <w:numId w:val="18"/>
        </w:numPr>
        <w:rPr>
          <w:rFonts w:ascii="Times New Roman" w:hAnsi="Times New Roman" w:cs="Times New Roman"/>
          <w:b/>
          <w:bCs/>
          <w:sz w:val="24"/>
          <w:szCs w:val="24"/>
        </w:rPr>
      </w:pPr>
      <w:r w:rsidRPr="00B263D3">
        <w:rPr>
          <w:rFonts w:ascii="Times New Roman" w:hAnsi="Times New Roman" w:cs="Times New Roman"/>
          <w:b/>
          <w:bCs/>
          <w:sz w:val="24"/>
          <w:szCs w:val="24"/>
        </w:rPr>
        <w:t>METHODOLOGY</w:t>
      </w:r>
    </w:p>
    <w:p w14:paraId="106486F9" w14:textId="77777777" w:rsidR="000D6C06" w:rsidRPr="00B263D3" w:rsidRDefault="000D6C06" w:rsidP="00B263D3">
      <w:pPr>
        <w:spacing w:line="360" w:lineRule="auto"/>
        <w:jc w:val="both"/>
        <w:rPr>
          <w:rFonts w:ascii="Times New Roman" w:hAnsi="Times New Roman" w:cs="Times New Roman"/>
          <w:b/>
          <w:bCs/>
          <w:sz w:val="24"/>
          <w:szCs w:val="24"/>
        </w:rPr>
      </w:pPr>
      <w:r w:rsidRPr="00B263D3">
        <w:rPr>
          <w:rFonts w:ascii="Times New Roman" w:hAnsi="Times New Roman" w:cs="Times New Roman"/>
          <w:b/>
          <w:bCs/>
          <w:sz w:val="24"/>
          <w:szCs w:val="24"/>
        </w:rPr>
        <w:t>2.1. Study Area Description</w:t>
      </w:r>
    </w:p>
    <w:p w14:paraId="75EDC96F" w14:textId="09137BBC" w:rsidR="000D6C06" w:rsidRPr="00CD5A4C" w:rsidRDefault="000D6C06" w:rsidP="00CD5A4C">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sidRPr="00CD5A4C">
        <w:rPr>
          <w:rFonts w:ascii="Times New Roman" w:eastAsia="Times New Roman" w:hAnsi="Times New Roman" w:cs="Times New Roman"/>
          <w:kern w:val="0"/>
          <w:sz w:val="24"/>
          <w:szCs w:val="24"/>
          <w14:ligatures w14:val="none"/>
        </w:rPr>
        <w:t xml:space="preserve">The Diffa region is located in the extreme southeastern part of Niger, between 13°–15° N and 10°–14° E. It covers an area of approximately 156,906 km² and shares borders with Nigeria, Chad, and Libya. As part of the Lake Chad Basin, the region lies within the Sahelian zone, </w:t>
      </w:r>
      <w:r w:rsidRPr="00CD5A4C">
        <w:rPr>
          <w:rFonts w:ascii="Times New Roman" w:eastAsia="Times New Roman" w:hAnsi="Times New Roman" w:cs="Times New Roman"/>
          <w:kern w:val="0"/>
          <w:sz w:val="24"/>
          <w:szCs w:val="24"/>
          <w14:ligatures w14:val="none"/>
        </w:rPr>
        <w:lastRenderedPageBreak/>
        <w:t>which is characterized by high hydroclimatic variability (Okpara et al., 2021).</w:t>
      </w:r>
      <w:r w:rsidR="00CD5A4C" w:rsidRPr="00CD5A4C">
        <w:rPr>
          <w:rFonts w:ascii="Times New Roman" w:eastAsia="Times New Roman" w:hAnsi="Times New Roman" w:cs="Times New Roman"/>
          <w:kern w:val="0"/>
          <w:sz w:val="24"/>
          <w:szCs w:val="24"/>
          <w14:ligatures w14:val="none"/>
        </w:rPr>
        <w:t xml:space="preserve"> </w:t>
      </w:r>
      <w:r w:rsidRPr="00CD5A4C">
        <w:rPr>
          <w:rFonts w:ascii="Times New Roman" w:eastAsia="Times New Roman" w:hAnsi="Times New Roman" w:cs="Times New Roman"/>
          <w:kern w:val="0"/>
          <w:sz w:val="24"/>
          <w:szCs w:val="24"/>
          <w14:ligatures w14:val="none"/>
        </w:rPr>
        <w:t xml:space="preserve">The climate ranges from Sahelian to Sahelo-Saharan, with a short rainy season </w:t>
      </w:r>
      <w:r w:rsidR="00CD5A4C">
        <w:rPr>
          <w:rFonts w:ascii="Times New Roman" w:eastAsia="Times New Roman" w:hAnsi="Times New Roman" w:cs="Times New Roman"/>
          <w:kern w:val="0"/>
          <w:sz w:val="24"/>
          <w:szCs w:val="24"/>
          <w14:ligatures w14:val="none"/>
        </w:rPr>
        <w:t>from June to September and annual rainfall between 200 and 400 mm, characterized</w:t>
      </w:r>
      <w:r w:rsidRPr="00CD5A4C">
        <w:rPr>
          <w:rFonts w:ascii="Times New Roman" w:eastAsia="Times New Roman" w:hAnsi="Times New Roman" w:cs="Times New Roman"/>
          <w:kern w:val="0"/>
          <w:sz w:val="24"/>
          <w:szCs w:val="24"/>
          <w14:ligatures w14:val="none"/>
        </w:rPr>
        <w:t xml:space="preserve"> by strong interannual variability (Ozer et al., 2020). Temperatures frequently exceed 40 °C during the hot season. Recent climatic trends indicate a significant warming pattern and an increasing alternation between droughts and floods in the Sahel (Dosio et al., 2021).</w:t>
      </w:r>
      <w:r w:rsidR="00CD5A4C" w:rsidRPr="00CD5A4C">
        <w:rPr>
          <w:rFonts w:ascii="Times New Roman" w:eastAsia="Times New Roman" w:hAnsi="Times New Roman" w:cs="Times New Roman"/>
          <w:kern w:val="0"/>
          <w:sz w:val="24"/>
          <w:szCs w:val="24"/>
          <w14:ligatures w14:val="none"/>
        </w:rPr>
        <w:t xml:space="preserve"> </w:t>
      </w:r>
      <w:r w:rsidRPr="00CD5A4C">
        <w:rPr>
          <w:rFonts w:ascii="Times New Roman" w:eastAsia="Times New Roman" w:hAnsi="Times New Roman" w:cs="Times New Roman"/>
          <w:kern w:val="0"/>
          <w:sz w:val="24"/>
          <w:szCs w:val="24"/>
          <w14:ligatures w14:val="none"/>
        </w:rPr>
        <w:t>The local economy mainly relies on rain-fed agriculture (millet and sorghum), pastoral livestock farming, and fishing. This strong dependence on natural resources, combined with environmental degradation and socio-economic pressures, increases the vulnerability of households to climate variability and climate change.</w:t>
      </w:r>
    </w:p>
    <w:p w14:paraId="29A2E9E3" w14:textId="77777777" w:rsidR="000D6C06" w:rsidRPr="004543E2" w:rsidRDefault="000D6C06" w:rsidP="000D6C06">
      <w:pPr>
        <w:spacing w:line="360" w:lineRule="auto"/>
        <w:jc w:val="center"/>
        <w:rPr>
          <w:rFonts w:ascii="Times New Roman" w:hAnsi="Times New Roman" w:cs="Times New Roman"/>
          <w:sz w:val="24"/>
          <w:szCs w:val="24"/>
        </w:rPr>
      </w:pPr>
      <w:r w:rsidRPr="004543E2">
        <w:rPr>
          <w:rFonts w:ascii="Times New Roman" w:hAnsi="Times New Roman" w:cs="Times New Roman"/>
          <w:noProof/>
          <w:sz w:val="24"/>
          <w:szCs w:val="24"/>
          <w:lang w:val="en-US"/>
        </w:rPr>
        <w:drawing>
          <wp:inline distT="0" distB="0" distL="0" distR="0" wp14:anchorId="3B5217EB" wp14:editId="116549E8">
            <wp:extent cx="4057585" cy="3016925"/>
            <wp:effectExtent l="0" t="0" r="635" b="0"/>
            <wp:docPr id="1" name="Image 1" descr="C:\Users\acer7\AppData\Local\Packages\Microsoft.Windows.Photos_8wekyb3d8bbwe\TempState\ShareServiceTempFolder\CARTE ZO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Users\acer7\AppData\Local\Packages\Microsoft.Windows.Photos_8wekyb3d8bbwe\TempState\ShareServiceTempFolder\CARTE ZONE.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068125" cy="3024762"/>
                    </a:xfrm>
                    <a:prstGeom prst="rect">
                      <a:avLst/>
                    </a:prstGeom>
                    <a:noFill/>
                    <a:ln>
                      <a:noFill/>
                    </a:ln>
                  </pic:spPr>
                </pic:pic>
              </a:graphicData>
            </a:graphic>
          </wp:inline>
        </w:drawing>
      </w:r>
    </w:p>
    <w:p w14:paraId="69F37165" w14:textId="73B13865" w:rsidR="000D6C06" w:rsidRPr="004543E2" w:rsidRDefault="000D6C06" w:rsidP="00CD5A4C">
      <w:pPr>
        <w:spacing w:line="360" w:lineRule="auto"/>
        <w:jc w:val="center"/>
        <w:rPr>
          <w:rFonts w:ascii="Times New Roman" w:hAnsi="Times New Roman" w:cs="Times New Roman"/>
          <w:sz w:val="24"/>
          <w:szCs w:val="24"/>
        </w:rPr>
      </w:pPr>
      <w:r w:rsidRPr="00CA4436">
        <w:rPr>
          <w:rFonts w:ascii="Times New Roman" w:hAnsi="Times New Roman" w:cs="Times New Roman"/>
          <w:b/>
          <w:bCs/>
          <w:sz w:val="24"/>
          <w:szCs w:val="24"/>
        </w:rPr>
        <w:t xml:space="preserve">Fig. </w:t>
      </w:r>
      <w:r w:rsidR="00FD6F4A" w:rsidRPr="00CA4436">
        <w:rPr>
          <w:rFonts w:ascii="Times New Roman" w:hAnsi="Times New Roman" w:cs="Times New Roman"/>
          <w:b/>
          <w:bCs/>
          <w:sz w:val="24"/>
          <w:szCs w:val="24"/>
        </w:rPr>
        <w:t>1</w:t>
      </w:r>
      <w:r w:rsidR="00FD6F4A" w:rsidRPr="004543E2">
        <w:rPr>
          <w:rFonts w:ascii="Times New Roman" w:hAnsi="Times New Roman" w:cs="Times New Roman"/>
          <w:sz w:val="24"/>
          <w:szCs w:val="24"/>
        </w:rPr>
        <w:t xml:space="preserve"> :</w:t>
      </w:r>
      <w:r w:rsidRPr="004543E2">
        <w:rPr>
          <w:rFonts w:ascii="Times New Roman" w:hAnsi="Times New Roman" w:cs="Times New Roman"/>
          <w:sz w:val="24"/>
          <w:szCs w:val="24"/>
        </w:rPr>
        <w:t xml:space="preserve"> Location Map of the Study Area</w:t>
      </w:r>
    </w:p>
    <w:p w14:paraId="76C6C206" w14:textId="77777777" w:rsidR="000D6C06" w:rsidRPr="00CD5A4C" w:rsidRDefault="000D6C06" w:rsidP="00CD5A4C">
      <w:pPr>
        <w:spacing w:line="360" w:lineRule="auto"/>
        <w:jc w:val="both"/>
        <w:rPr>
          <w:rFonts w:ascii="Times New Roman" w:hAnsi="Times New Roman" w:cs="Times New Roman"/>
          <w:sz w:val="24"/>
          <w:szCs w:val="24"/>
        </w:rPr>
      </w:pPr>
      <w:r w:rsidRPr="00CD5A4C">
        <w:rPr>
          <w:rFonts w:ascii="Times New Roman" w:hAnsi="Times New Roman" w:cs="Times New Roman"/>
          <w:sz w:val="24"/>
          <w:szCs w:val="24"/>
        </w:rPr>
        <w:t xml:space="preserve">2.2. </w:t>
      </w:r>
      <w:r w:rsidRPr="00ED725F">
        <w:rPr>
          <w:rFonts w:ascii="Times New Roman" w:hAnsi="Times New Roman" w:cs="Times New Roman"/>
          <w:b/>
          <w:bCs/>
          <w:sz w:val="24"/>
          <w:szCs w:val="24"/>
        </w:rPr>
        <w:t>Climate of the Diffa Region</w:t>
      </w:r>
    </w:p>
    <w:p w14:paraId="06BDA636" w14:textId="77777777" w:rsidR="008511CB" w:rsidRPr="008511CB" w:rsidRDefault="008511CB" w:rsidP="008511CB">
      <w:pPr>
        <w:spacing w:line="360" w:lineRule="auto"/>
        <w:jc w:val="both"/>
        <w:rPr>
          <w:rFonts w:ascii="Times New Roman" w:hAnsi="Times New Roman" w:cs="Times New Roman"/>
          <w:sz w:val="24"/>
          <w:szCs w:val="24"/>
          <w:lang w:val="fr-NE"/>
        </w:rPr>
      </w:pPr>
      <w:r w:rsidRPr="008511CB">
        <w:rPr>
          <w:rFonts w:ascii="Times New Roman" w:hAnsi="Times New Roman" w:cs="Times New Roman"/>
          <w:sz w:val="24"/>
          <w:szCs w:val="24"/>
          <w:lang w:val="fr-NE"/>
        </w:rPr>
        <w:t xml:space="preserve">The </w:t>
      </w:r>
      <w:proofErr w:type="spellStart"/>
      <w:r w:rsidRPr="008511CB">
        <w:rPr>
          <w:rFonts w:ascii="Times New Roman" w:hAnsi="Times New Roman" w:cs="Times New Roman"/>
          <w:sz w:val="24"/>
          <w:szCs w:val="24"/>
          <w:lang w:val="fr-NE"/>
        </w:rPr>
        <w:t>ombrothermic</w:t>
      </w:r>
      <w:proofErr w:type="spellEnd"/>
      <w:r w:rsidRPr="008511CB">
        <w:rPr>
          <w:rFonts w:ascii="Times New Roman" w:hAnsi="Times New Roman" w:cs="Times New Roman"/>
          <w:sz w:val="24"/>
          <w:szCs w:val="24"/>
          <w:lang w:val="fr-NE"/>
        </w:rPr>
        <w:t xml:space="preserve"> </w:t>
      </w:r>
      <w:proofErr w:type="spellStart"/>
      <w:r w:rsidRPr="008511CB">
        <w:rPr>
          <w:rFonts w:ascii="Times New Roman" w:hAnsi="Times New Roman" w:cs="Times New Roman"/>
          <w:sz w:val="24"/>
          <w:szCs w:val="24"/>
          <w:lang w:val="fr-NE"/>
        </w:rPr>
        <w:t>curve</w:t>
      </w:r>
      <w:proofErr w:type="spellEnd"/>
      <w:r w:rsidRPr="008511CB">
        <w:rPr>
          <w:rFonts w:ascii="Times New Roman" w:hAnsi="Times New Roman" w:cs="Times New Roman"/>
          <w:sz w:val="24"/>
          <w:szCs w:val="24"/>
          <w:lang w:val="fr-NE"/>
        </w:rPr>
        <w:t xml:space="preserve"> of Diffa highlights a hot and dry </w:t>
      </w:r>
      <w:proofErr w:type="spellStart"/>
      <w:r w:rsidRPr="008511CB">
        <w:rPr>
          <w:rFonts w:ascii="Times New Roman" w:hAnsi="Times New Roman" w:cs="Times New Roman"/>
          <w:sz w:val="24"/>
          <w:szCs w:val="24"/>
          <w:lang w:val="fr-NE"/>
        </w:rPr>
        <w:t>Sahelian</w:t>
      </w:r>
      <w:proofErr w:type="spellEnd"/>
      <w:r w:rsidRPr="008511CB">
        <w:rPr>
          <w:rFonts w:ascii="Times New Roman" w:hAnsi="Times New Roman" w:cs="Times New Roman"/>
          <w:sz w:val="24"/>
          <w:szCs w:val="24"/>
          <w:lang w:val="fr-NE"/>
        </w:rPr>
        <w:t xml:space="preserve"> </w:t>
      </w:r>
      <w:proofErr w:type="spellStart"/>
      <w:r w:rsidRPr="008511CB">
        <w:rPr>
          <w:rFonts w:ascii="Times New Roman" w:hAnsi="Times New Roman" w:cs="Times New Roman"/>
          <w:sz w:val="24"/>
          <w:szCs w:val="24"/>
          <w:lang w:val="fr-NE"/>
        </w:rPr>
        <w:t>climate</w:t>
      </w:r>
      <w:proofErr w:type="spellEnd"/>
      <w:r w:rsidRPr="008511CB">
        <w:rPr>
          <w:rFonts w:ascii="Times New Roman" w:hAnsi="Times New Roman" w:cs="Times New Roman"/>
          <w:sz w:val="24"/>
          <w:szCs w:val="24"/>
          <w:lang w:val="fr-NE"/>
        </w:rPr>
        <w:t xml:space="preserve">, </w:t>
      </w:r>
      <w:proofErr w:type="spellStart"/>
      <w:r w:rsidRPr="008511CB">
        <w:rPr>
          <w:rFonts w:ascii="Times New Roman" w:hAnsi="Times New Roman" w:cs="Times New Roman"/>
          <w:sz w:val="24"/>
          <w:szCs w:val="24"/>
          <w:lang w:val="fr-NE"/>
        </w:rPr>
        <w:t>characterized</w:t>
      </w:r>
      <w:proofErr w:type="spellEnd"/>
      <w:r w:rsidRPr="008511CB">
        <w:rPr>
          <w:rFonts w:ascii="Times New Roman" w:hAnsi="Times New Roman" w:cs="Times New Roman"/>
          <w:sz w:val="24"/>
          <w:szCs w:val="24"/>
          <w:lang w:val="fr-NE"/>
        </w:rPr>
        <w:t xml:space="preserve"> by high </w:t>
      </w:r>
      <w:proofErr w:type="spellStart"/>
      <w:r w:rsidRPr="008511CB">
        <w:rPr>
          <w:rFonts w:ascii="Times New Roman" w:hAnsi="Times New Roman" w:cs="Times New Roman"/>
          <w:sz w:val="24"/>
          <w:szCs w:val="24"/>
          <w:lang w:val="fr-NE"/>
        </w:rPr>
        <w:t>temperatures</w:t>
      </w:r>
      <w:proofErr w:type="spellEnd"/>
      <w:r w:rsidRPr="008511CB">
        <w:rPr>
          <w:rFonts w:ascii="Times New Roman" w:hAnsi="Times New Roman" w:cs="Times New Roman"/>
          <w:sz w:val="24"/>
          <w:szCs w:val="24"/>
          <w:lang w:val="fr-NE"/>
        </w:rPr>
        <w:t xml:space="preserve"> </w:t>
      </w:r>
      <w:proofErr w:type="spellStart"/>
      <w:r w:rsidRPr="008511CB">
        <w:rPr>
          <w:rFonts w:ascii="Times New Roman" w:hAnsi="Times New Roman" w:cs="Times New Roman"/>
          <w:sz w:val="24"/>
          <w:szCs w:val="24"/>
          <w:lang w:val="fr-NE"/>
        </w:rPr>
        <w:t>throughout</w:t>
      </w:r>
      <w:proofErr w:type="spellEnd"/>
      <w:r w:rsidRPr="008511CB">
        <w:rPr>
          <w:rFonts w:ascii="Times New Roman" w:hAnsi="Times New Roman" w:cs="Times New Roman"/>
          <w:sz w:val="24"/>
          <w:szCs w:val="24"/>
          <w:lang w:val="fr-NE"/>
        </w:rPr>
        <w:t xml:space="preserve"> the </w:t>
      </w:r>
      <w:proofErr w:type="spellStart"/>
      <w:r w:rsidRPr="008511CB">
        <w:rPr>
          <w:rFonts w:ascii="Times New Roman" w:hAnsi="Times New Roman" w:cs="Times New Roman"/>
          <w:sz w:val="24"/>
          <w:szCs w:val="24"/>
          <w:lang w:val="fr-NE"/>
        </w:rPr>
        <w:t>year</w:t>
      </w:r>
      <w:proofErr w:type="spellEnd"/>
      <w:r w:rsidRPr="008511CB">
        <w:rPr>
          <w:rFonts w:ascii="Times New Roman" w:hAnsi="Times New Roman" w:cs="Times New Roman"/>
          <w:sz w:val="24"/>
          <w:szCs w:val="24"/>
          <w:lang w:val="fr-NE"/>
        </w:rPr>
        <w:t xml:space="preserve"> (≈ 26.7 °C) and </w:t>
      </w:r>
      <w:proofErr w:type="spellStart"/>
      <w:r w:rsidRPr="008511CB">
        <w:rPr>
          <w:rFonts w:ascii="Times New Roman" w:hAnsi="Times New Roman" w:cs="Times New Roman"/>
          <w:sz w:val="24"/>
          <w:szCs w:val="24"/>
          <w:lang w:val="fr-NE"/>
        </w:rPr>
        <w:t>low</w:t>
      </w:r>
      <w:proofErr w:type="spellEnd"/>
      <w:r w:rsidRPr="008511CB">
        <w:rPr>
          <w:rFonts w:ascii="Times New Roman" w:hAnsi="Times New Roman" w:cs="Times New Roman"/>
          <w:sz w:val="24"/>
          <w:szCs w:val="24"/>
          <w:lang w:val="fr-NE"/>
        </w:rPr>
        <w:t xml:space="preserve"> </w:t>
      </w:r>
      <w:proofErr w:type="spellStart"/>
      <w:r w:rsidRPr="008511CB">
        <w:rPr>
          <w:rFonts w:ascii="Times New Roman" w:hAnsi="Times New Roman" w:cs="Times New Roman"/>
          <w:sz w:val="24"/>
          <w:szCs w:val="24"/>
          <w:lang w:val="fr-NE"/>
        </w:rPr>
        <w:t>annual</w:t>
      </w:r>
      <w:proofErr w:type="spellEnd"/>
      <w:r w:rsidRPr="008511CB">
        <w:rPr>
          <w:rFonts w:ascii="Times New Roman" w:hAnsi="Times New Roman" w:cs="Times New Roman"/>
          <w:sz w:val="24"/>
          <w:szCs w:val="24"/>
          <w:lang w:val="fr-NE"/>
        </w:rPr>
        <w:t xml:space="preserve"> </w:t>
      </w:r>
      <w:proofErr w:type="spellStart"/>
      <w:r w:rsidRPr="008511CB">
        <w:rPr>
          <w:rFonts w:ascii="Times New Roman" w:hAnsi="Times New Roman" w:cs="Times New Roman"/>
          <w:sz w:val="24"/>
          <w:szCs w:val="24"/>
          <w:lang w:val="fr-NE"/>
        </w:rPr>
        <w:t>rainfall</w:t>
      </w:r>
      <w:proofErr w:type="spellEnd"/>
      <w:r w:rsidRPr="008511CB">
        <w:rPr>
          <w:rFonts w:ascii="Times New Roman" w:hAnsi="Times New Roman" w:cs="Times New Roman"/>
          <w:sz w:val="24"/>
          <w:szCs w:val="24"/>
          <w:lang w:val="fr-NE"/>
        </w:rPr>
        <w:t xml:space="preserve"> (≈ 294 mm), </w:t>
      </w:r>
      <w:proofErr w:type="spellStart"/>
      <w:r w:rsidRPr="008511CB">
        <w:rPr>
          <w:rFonts w:ascii="Times New Roman" w:hAnsi="Times New Roman" w:cs="Times New Roman"/>
          <w:sz w:val="24"/>
          <w:szCs w:val="24"/>
          <w:lang w:val="fr-NE"/>
        </w:rPr>
        <w:t>concentrated</w:t>
      </w:r>
      <w:proofErr w:type="spellEnd"/>
      <w:r w:rsidRPr="008511CB">
        <w:rPr>
          <w:rFonts w:ascii="Times New Roman" w:hAnsi="Times New Roman" w:cs="Times New Roman"/>
          <w:sz w:val="24"/>
          <w:szCs w:val="24"/>
          <w:lang w:val="fr-NE"/>
        </w:rPr>
        <w:t xml:space="preserve"> </w:t>
      </w:r>
      <w:proofErr w:type="spellStart"/>
      <w:r w:rsidRPr="008511CB">
        <w:rPr>
          <w:rFonts w:ascii="Times New Roman" w:hAnsi="Times New Roman" w:cs="Times New Roman"/>
          <w:sz w:val="24"/>
          <w:szCs w:val="24"/>
          <w:lang w:val="fr-NE"/>
        </w:rPr>
        <w:t>within</w:t>
      </w:r>
      <w:proofErr w:type="spellEnd"/>
      <w:r w:rsidRPr="008511CB">
        <w:rPr>
          <w:rFonts w:ascii="Times New Roman" w:hAnsi="Times New Roman" w:cs="Times New Roman"/>
          <w:sz w:val="24"/>
          <w:szCs w:val="24"/>
          <w:lang w:val="fr-NE"/>
        </w:rPr>
        <w:t xml:space="preserve"> a short </w:t>
      </w:r>
      <w:proofErr w:type="spellStart"/>
      <w:r w:rsidRPr="008511CB">
        <w:rPr>
          <w:rFonts w:ascii="Times New Roman" w:hAnsi="Times New Roman" w:cs="Times New Roman"/>
          <w:sz w:val="24"/>
          <w:szCs w:val="24"/>
          <w:lang w:val="fr-NE"/>
        </w:rPr>
        <w:t>rainy</w:t>
      </w:r>
      <w:proofErr w:type="spellEnd"/>
      <w:r w:rsidRPr="008511CB">
        <w:rPr>
          <w:rFonts w:ascii="Times New Roman" w:hAnsi="Times New Roman" w:cs="Times New Roman"/>
          <w:sz w:val="24"/>
          <w:szCs w:val="24"/>
          <w:lang w:val="fr-NE"/>
        </w:rPr>
        <w:t xml:space="preserve"> </w:t>
      </w:r>
      <w:proofErr w:type="spellStart"/>
      <w:r w:rsidRPr="008511CB">
        <w:rPr>
          <w:rFonts w:ascii="Times New Roman" w:hAnsi="Times New Roman" w:cs="Times New Roman"/>
          <w:sz w:val="24"/>
          <w:szCs w:val="24"/>
          <w:lang w:val="fr-NE"/>
        </w:rPr>
        <w:t>season</w:t>
      </w:r>
      <w:proofErr w:type="spellEnd"/>
      <w:r w:rsidRPr="008511CB">
        <w:rPr>
          <w:rFonts w:ascii="Times New Roman" w:hAnsi="Times New Roman" w:cs="Times New Roman"/>
          <w:sz w:val="24"/>
          <w:szCs w:val="24"/>
          <w:lang w:val="fr-NE"/>
        </w:rPr>
        <w:t xml:space="preserve"> (July–August). The long dry </w:t>
      </w:r>
      <w:proofErr w:type="spellStart"/>
      <w:r w:rsidRPr="008511CB">
        <w:rPr>
          <w:rFonts w:ascii="Times New Roman" w:hAnsi="Times New Roman" w:cs="Times New Roman"/>
          <w:sz w:val="24"/>
          <w:szCs w:val="24"/>
          <w:lang w:val="fr-NE"/>
        </w:rPr>
        <w:t>season</w:t>
      </w:r>
      <w:proofErr w:type="spellEnd"/>
      <w:r w:rsidRPr="008511CB">
        <w:rPr>
          <w:rFonts w:ascii="Times New Roman" w:hAnsi="Times New Roman" w:cs="Times New Roman"/>
          <w:sz w:val="24"/>
          <w:szCs w:val="24"/>
          <w:lang w:val="fr-NE"/>
        </w:rPr>
        <w:t xml:space="preserve"> (8 to 9 </w:t>
      </w:r>
      <w:proofErr w:type="spellStart"/>
      <w:r w:rsidRPr="008511CB">
        <w:rPr>
          <w:rFonts w:ascii="Times New Roman" w:hAnsi="Times New Roman" w:cs="Times New Roman"/>
          <w:sz w:val="24"/>
          <w:szCs w:val="24"/>
          <w:lang w:val="fr-NE"/>
        </w:rPr>
        <w:t>months</w:t>
      </w:r>
      <w:proofErr w:type="spellEnd"/>
      <w:r w:rsidRPr="008511CB">
        <w:rPr>
          <w:rFonts w:ascii="Times New Roman" w:hAnsi="Times New Roman" w:cs="Times New Roman"/>
          <w:sz w:val="24"/>
          <w:szCs w:val="24"/>
          <w:lang w:val="fr-NE"/>
        </w:rPr>
        <w:t xml:space="preserve">) and the </w:t>
      </w:r>
      <w:proofErr w:type="spellStart"/>
      <w:r w:rsidRPr="008511CB">
        <w:rPr>
          <w:rFonts w:ascii="Times New Roman" w:hAnsi="Times New Roman" w:cs="Times New Roman"/>
          <w:sz w:val="24"/>
          <w:szCs w:val="24"/>
          <w:lang w:val="fr-NE"/>
        </w:rPr>
        <w:t>nearly</w:t>
      </w:r>
      <w:proofErr w:type="spellEnd"/>
      <w:r w:rsidRPr="008511CB">
        <w:rPr>
          <w:rFonts w:ascii="Times New Roman" w:hAnsi="Times New Roman" w:cs="Times New Roman"/>
          <w:sz w:val="24"/>
          <w:szCs w:val="24"/>
          <w:lang w:val="fr-NE"/>
        </w:rPr>
        <w:t xml:space="preserve"> permanent water </w:t>
      </w:r>
      <w:proofErr w:type="spellStart"/>
      <w:r w:rsidRPr="008511CB">
        <w:rPr>
          <w:rFonts w:ascii="Times New Roman" w:hAnsi="Times New Roman" w:cs="Times New Roman"/>
          <w:sz w:val="24"/>
          <w:szCs w:val="24"/>
          <w:lang w:val="fr-NE"/>
        </w:rPr>
        <w:t>deficit</w:t>
      </w:r>
      <w:proofErr w:type="spellEnd"/>
      <w:r w:rsidRPr="008511CB">
        <w:rPr>
          <w:rFonts w:ascii="Times New Roman" w:hAnsi="Times New Roman" w:cs="Times New Roman"/>
          <w:sz w:val="24"/>
          <w:szCs w:val="24"/>
          <w:lang w:val="fr-NE"/>
        </w:rPr>
        <w:t xml:space="preserve">, </w:t>
      </w:r>
      <w:proofErr w:type="spellStart"/>
      <w:r w:rsidRPr="008511CB">
        <w:rPr>
          <w:rFonts w:ascii="Times New Roman" w:hAnsi="Times New Roman" w:cs="Times New Roman"/>
          <w:sz w:val="24"/>
          <w:szCs w:val="24"/>
          <w:lang w:val="fr-NE"/>
        </w:rPr>
        <w:t>exacerbated</w:t>
      </w:r>
      <w:proofErr w:type="spellEnd"/>
      <w:r w:rsidRPr="008511CB">
        <w:rPr>
          <w:rFonts w:ascii="Times New Roman" w:hAnsi="Times New Roman" w:cs="Times New Roman"/>
          <w:sz w:val="24"/>
          <w:szCs w:val="24"/>
          <w:lang w:val="fr-NE"/>
        </w:rPr>
        <w:t xml:space="preserve"> by high </w:t>
      </w:r>
      <w:proofErr w:type="spellStart"/>
      <w:r w:rsidRPr="008511CB">
        <w:rPr>
          <w:rFonts w:ascii="Times New Roman" w:hAnsi="Times New Roman" w:cs="Times New Roman"/>
          <w:sz w:val="24"/>
          <w:szCs w:val="24"/>
          <w:lang w:val="fr-NE"/>
        </w:rPr>
        <w:t>evapotranspiration</w:t>
      </w:r>
      <w:proofErr w:type="spellEnd"/>
      <w:r w:rsidRPr="008511CB">
        <w:rPr>
          <w:rFonts w:ascii="Times New Roman" w:hAnsi="Times New Roman" w:cs="Times New Roman"/>
          <w:sz w:val="24"/>
          <w:szCs w:val="24"/>
          <w:lang w:val="fr-NE"/>
        </w:rPr>
        <w:t xml:space="preserve">, </w:t>
      </w:r>
      <w:proofErr w:type="spellStart"/>
      <w:r w:rsidRPr="008511CB">
        <w:rPr>
          <w:rFonts w:ascii="Times New Roman" w:hAnsi="Times New Roman" w:cs="Times New Roman"/>
          <w:sz w:val="24"/>
          <w:szCs w:val="24"/>
          <w:lang w:val="fr-NE"/>
        </w:rPr>
        <w:t>limit</w:t>
      </w:r>
      <w:proofErr w:type="spellEnd"/>
      <w:r w:rsidRPr="008511CB">
        <w:rPr>
          <w:rFonts w:ascii="Times New Roman" w:hAnsi="Times New Roman" w:cs="Times New Roman"/>
          <w:sz w:val="24"/>
          <w:szCs w:val="24"/>
          <w:lang w:val="fr-NE"/>
        </w:rPr>
        <w:t xml:space="preserve"> the </w:t>
      </w:r>
      <w:proofErr w:type="spellStart"/>
      <w:r w:rsidRPr="008511CB">
        <w:rPr>
          <w:rFonts w:ascii="Times New Roman" w:hAnsi="Times New Roman" w:cs="Times New Roman"/>
          <w:sz w:val="24"/>
          <w:szCs w:val="24"/>
          <w:lang w:val="fr-NE"/>
        </w:rPr>
        <w:t>length</w:t>
      </w:r>
      <w:proofErr w:type="spellEnd"/>
      <w:r w:rsidRPr="008511CB">
        <w:rPr>
          <w:rFonts w:ascii="Times New Roman" w:hAnsi="Times New Roman" w:cs="Times New Roman"/>
          <w:sz w:val="24"/>
          <w:szCs w:val="24"/>
          <w:lang w:val="fr-NE"/>
        </w:rPr>
        <w:t xml:space="preserve"> of the </w:t>
      </w:r>
      <w:proofErr w:type="spellStart"/>
      <w:r w:rsidRPr="008511CB">
        <w:rPr>
          <w:rFonts w:ascii="Times New Roman" w:hAnsi="Times New Roman" w:cs="Times New Roman"/>
          <w:sz w:val="24"/>
          <w:szCs w:val="24"/>
          <w:lang w:val="fr-NE"/>
        </w:rPr>
        <w:t>growing</w:t>
      </w:r>
      <w:proofErr w:type="spellEnd"/>
      <w:r w:rsidRPr="008511CB">
        <w:rPr>
          <w:rFonts w:ascii="Times New Roman" w:hAnsi="Times New Roman" w:cs="Times New Roman"/>
          <w:sz w:val="24"/>
          <w:szCs w:val="24"/>
          <w:lang w:val="fr-NE"/>
        </w:rPr>
        <w:t xml:space="preserve"> </w:t>
      </w:r>
      <w:proofErr w:type="spellStart"/>
      <w:r w:rsidRPr="008511CB">
        <w:rPr>
          <w:rFonts w:ascii="Times New Roman" w:hAnsi="Times New Roman" w:cs="Times New Roman"/>
          <w:sz w:val="24"/>
          <w:szCs w:val="24"/>
          <w:lang w:val="fr-NE"/>
        </w:rPr>
        <w:t>season</w:t>
      </w:r>
      <w:proofErr w:type="spellEnd"/>
      <w:r w:rsidRPr="008511CB">
        <w:rPr>
          <w:rFonts w:ascii="Times New Roman" w:hAnsi="Times New Roman" w:cs="Times New Roman"/>
          <w:sz w:val="24"/>
          <w:szCs w:val="24"/>
          <w:lang w:val="fr-NE"/>
        </w:rPr>
        <w:t xml:space="preserve"> and </w:t>
      </w:r>
      <w:proofErr w:type="spellStart"/>
      <w:r w:rsidRPr="008511CB">
        <w:rPr>
          <w:rFonts w:ascii="Times New Roman" w:hAnsi="Times New Roman" w:cs="Times New Roman"/>
          <w:sz w:val="24"/>
          <w:szCs w:val="24"/>
          <w:lang w:val="fr-NE"/>
        </w:rPr>
        <w:t>increase</w:t>
      </w:r>
      <w:proofErr w:type="spellEnd"/>
      <w:r w:rsidRPr="008511CB">
        <w:rPr>
          <w:rFonts w:ascii="Times New Roman" w:hAnsi="Times New Roman" w:cs="Times New Roman"/>
          <w:sz w:val="24"/>
          <w:szCs w:val="24"/>
          <w:lang w:val="fr-NE"/>
        </w:rPr>
        <w:t xml:space="preserve"> the </w:t>
      </w:r>
      <w:proofErr w:type="spellStart"/>
      <w:r w:rsidRPr="008511CB">
        <w:rPr>
          <w:rFonts w:ascii="Times New Roman" w:hAnsi="Times New Roman" w:cs="Times New Roman"/>
          <w:sz w:val="24"/>
          <w:szCs w:val="24"/>
          <w:lang w:val="fr-NE"/>
        </w:rPr>
        <w:t>vulnerability</w:t>
      </w:r>
      <w:proofErr w:type="spellEnd"/>
      <w:r w:rsidRPr="008511CB">
        <w:rPr>
          <w:rFonts w:ascii="Times New Roman" w:hAnsi="Times New Roman" w:cs="Times New Roman"/>
          <w:sz w:val="24"/>
          <w:szCs w:val="24"/>
          <w:lang w:val="fr-NE"/>
        </w:rPr>
        <w:t xml:space="preserve"> of agropastoral </w:t>
      </w:r>
      <w:proofErr w:type="spellStart"/>
      <w:r w:rsidRPr="008511CB">
        <w:rPr>
          <w:rFonts w:ascii="Times New Roman" w:hAnsi="Times New Roman" w:cs="Times New Roman"/>
          <w:sz w:val="24"/>
          <w:szCs w:val="24"/>
          <w:lang w:val="fr-NE"/>
        </w:rPr>
        <w:t>systems</w:t>
      </w:r>
      <w:proofErr w:type="spellEnd"/>
      <w:r w:rsidRPr="008511CB">
        <w:rPr>
          <w:rFonts w:ascii="Times New Roman" w:hAnsi="Times New Roman" w:cs="Times New Roman"/>
          <w:sz w:val="24"/>
          <w:szCs w:val="24"/>
          <w:lang w:val="fr-NE"/>
        </w:rPr>
        <w:t>.</w:t>
      </w:r>
    </w:p>
    <w:p w14:paraId="349E272E" w14:textId="77777777" w:rsidR="008511CB" w:rsidRPr="008511CB" w:rsidRDefault="008511CB" w:rsidP="008511CB">
      <w:pPr>
        <w:spacing w:line="360" w:lineRule="auto"/>
        <w:jc w:val="both"/>
        <w:rPr>
          <w:rFonts w:ascii="Times New Roman" w:hAnsi="Times New Roman" w:cs="Times New Roman"/>
          <w:sz w:val="24"/>
          <w:szCs w:val="24"/>
          <w:lang w:val="fr-NE"/>
        </w:rPr>
      </w:pPr>
      <w:proofErr w:type="spellStart"/>
      <w:r w:rsidRPr="008511CB">
        <w:rPr>
          <w:rFonts w:ascii="Times New Roman" w:hAnsi="Times New Roman" w:cs="Times New Roman"/>
          <w:sz w:val="24"/>
          <w:szCs w:val="24"/>
          <w:lang w:val="fr-NE"/>
        </w:rPr>
        <w:t>These</w:t>
      </w:r>
      <w:proofErr w:type="spellEnd"/>
      <w:r w:rsidRPr="008511CB">
        <w:rPr>
          <w:rFonts w:ascii="Times New Roman" w:hAnsi="Times New Roman" w:cs="Times New Roman"/>
          <w:sz w:val="24"/>
          <w:szCs w:val="24"/>
          <w:lang w:val="fr-NE"/>
        </w:rPr>
        <w:t xml:space="preserve"> </w:t>
      </w:r>
      <w:proofErr w:type="spellStart"/>
      <w:r w:rsidRPr="008511CB">
        <w:rPr>
          <w:rFonts w:ascii="Times New Roman" w:hAnsi="Times New Roman" w:cs="Times New Roman"/>
          <w:sz w:val="24"/>
          <w:szCs w:val="24"/>
          <w:lang w:val="fr-NE"/>
        </w:rPr>
        <w:t>climatic</w:t>
      </w:r>
      <w:proofErr w:type="spellEnd"/>
      <w:r w:rsidRPr="008511CB">
        <w:rPr>
          <w:rFonts w:ascii="Times New Roman" w:hAnsi="Times New Roman" w:cs="Times New Roman"/>
          <w:sz w:val="24"/>
          <w:szCs w:val="24"/>
          <w:lang w:val="fr-NE"/>
        </w:rPr>
        <w:t xml:space="preserve"> conditions have </w:t>
      </w:r>
      <w:proofErr w:type="spellStart"/>
      <w:r w:rsidRPr="008511CB">
        <w:rPr>
          <w:rFonts w:ascii="Times New Roman" w:hAnsi="Times New Roman" w:cs="Times New Roman"/>
          <w:sz w:val="24"/>
          <w:szCs w:val="24"/>
          <w:lang w:val="fr-NE"/>
        </w:rPr>
        <w:t>significant</w:t>
      </w:r>
      <w:proofErr w:type="spellEnd"/>
      <w:r w:rsidRPr="008511CB">
        <w:rPr>
          <w:rFonts w:ascii="Times New Roman" w:hAnsi="Times New Roman" w:cs="Times New Roman"/>
          <w:sz w:val="24"/>
          <w:szCs w:val="24"/>
          <w:lang w:val="fr-NE"/>
        </w:rPr>
        <w:t xml:space="preserve"> impacts on agropastoral </w:t>
      </w:r>
      <w:proofErr w:type="spellStart"/>
      <w:r w:rsidRPr="008511CB">
        <w:rPr>
          <w:rFonts w:ascii="Times New Roman" w:hAnsi="Times New Roman" w:cs="Times New Roman"/>
          <w:sz w:val="24"/>
          <w:szCs w:val="24"/>
          <w:lang w:val="fr-NE"/>
        </w:rPr>
        <w:t>activities</w:t>
      </w:r>
      <w:proofErr w:type="spellEnd"/>
      <w:r w:rsidRPr="008511CB">
        <w:rPr>
          <w:rFonts w:ascii="Times New Roman" w:hAnsi="Times New Roman" w:cs="Times New Roman"/>
          <w:sz w:val="24"/>
          <w:szCs w:val="24"/>
          <w:lang w:val="fr-NE"/>
        </w:rPr>
        <w:t xml:space="preserve">. In agriculture, the </w:t>
      </w:r>
      <w:proofErr w:type="spellStart"/>
      <w:r w:rsidRPr="008511CB">
        <w:rPr>
          <w:rFonts w:ascii="Times New Roman" w:hAnsi="Times New Roman" w:cs="Times New Roman"/>
          <w:sz w:val="24"/>
          <w:szCs w:val="24"/>
          <w:lang w:val="fr-NE"/>
        </w:rPr>
        <w:t>variability</w:t>
      </w:r>
      <w:proofErr w:type="spellEnd"/>
      <w:r w:rsidRPr="008511CB">
        <w:rPr>
          <w:rFonts w:ascii="Times New Roman" w:hAnsi="Times New Roman" w:cs="Times New Roman"/>
          <w:sz w:val="24"/>
          <w:szCs w:val="24"/>
          <w:lang w:val="fr-NE"/>
        </w:rPr>
        <w:t xml:space="preserve"> and short duration of </w:t>
      </w:r>
      <w:proofErr w:type="spellStart"/>
      <w:r w:rsidRPr="008511CB">
        <w:rPr>
          <w:rFonts w:ascii="Times New Roman" w:hAnsi="Times New Roman" w:cs="Times New Roman"/>
          <w:sz w:val="24"/>
          <w:szCs w:val="24"/>
          <w:lang w:val="fr-NE"/>
        </w:rPr>
        <w:t>rainfall</w:t>
      </w:r>
      <w:proofErr w:type="spellEnd"/>
      <w:r w:rsidRPr="008511CB">
        <w:rPr>
          <w:rFonts w:ascii="Times New Roman" w:hAnsi="Times New Roman" w:cs="Times New Roman"/>
          <w:sz w:val="24"/>
          <w:szCs w:val="24"/>
          <w:lang w:val="fr-NE"/>
        </w:rPr>
        <w:t xml:space="preserve"> </w:t>
      </w:r>
      <w:proofErr w:type="spellStart"/>
      <w:r w:rsidRPr="008511CB">
        <w:rPr>
          <w:rFonts w:ascii="Times New Roman" w:hAnsi="Times New Roman" w:cs="Times New Roman"/>
          <w:sz w:val="24"/>
          <w:szCs w:val="24"/>
          <w:lang w:val="fr-NE"/>
        </w:rPr>
        <w:t>reduce</w:t>
      </w:r>
      <w:proofErr w:type="spellEnd"/>
      <w:r w:rsidRPr="008511CB">
        <w:rPr>
          <w:rFonts w:ascii="Times New Roman" w:hAnsi="Times New Roman" w:cs="Times New Roman"/>
          <w:sz w:val="24"/>
          <w:szCs w:val="24"/>
          <w:lang w:val="fr-NE"/>
        </w:rPr>
        <w:t xml:space="preserve"> </w:t>
      </w:r>
      <w:proofErr w:type="spellStart"/>
      <w:r w:rsidRPr="008511CB">
        <w:rPr>
          <w:rFonts w:ascii="Times New Roman" w:hAnsi="Times New Roman" w:cs="Times New Roman"/>
          <w:sz w:val="24"/>
          <w:szCs w:val="24"/>
          <w:lang w:val="fr-NE"/>
        </w:rPr>
        <w:t>crop</w:t>
      </w:r>
      <w:proofErr w:type="spellEnd"/>
      <w:r w:rsidRPr="008511CB">
        <w:rPr>
          <w:rFonts w:ascii="Times New Roman" w:hAnsi="Times New Roman" w:cs="Times New Roman"/>
          <w:sz w:val="24"/>
          <w:szCs w:val="24"/>
          <w:lang w:val="fr-NE"/>
        </w:rPr>
        <w:t xml:space="preserve"> cycles and expose </w:t>
      </w:r>
      <w:proofErr w:type="spellStart"/>
      <w:r w:rsidRPr="008511CB">
        <w:rPr>
          <w:rFonts w:ascii="Times New Roman" w:hAnsi="Times New Roman" w:cs="Times New Roman"/>
          <w:sz w:val="24"/>
          <w:szCs w:val="24"/>
          <w:lang w:val="fr-NE"/>
        </w:rPr>
        <w:t>crops</w:t>
      </w:r>
      <w:proofErr w:type="spellEnd"/>
      <w:r w:rsidRPr="008511CB">
        <w:rPr>
          <w:rFonts w:ascii="Times New Roman" w:hAnsi="Times New Roman" w:cs="Times New Roman"/>
          <w:sz w:val="24"/>
          <w:szCs w:val="24"/>
          <w:lang w:val="fr-NE"/>
        </w:rPr>
        <w:t xml:space="preserve"> to </w:t>
      </w:r>
      <w:proofErr w:type="spellStart"/>
      <w:r w:rsidRPr="008511CB">
        <w:rPr>
          <w:rFonts w:ascii="Times New Roman" w:hAnsi="Times New Roman" w:cs="Times New Roman"/>
          <w:sz w:val="24"/>
          <w:szCs w:val="24"/>
          <w:lang w:val="fr-NE"/>
        </w:rPr>
        <w:t>frequent</w:t>
      </w:r>
      <w:proofErr w:type="spellEnd"/>
      <w:r w:rsidRPr="008511CB">
        <w:rPr>
          <w:rFonts w:ascii="Times New Roman" w:hAnsi="Times New Roman" w:cs="Times New Roman"/>
          <w:sz w:val="24"/>
          <w:szCs w:val="24"/>
          <w:lang w:val="fr-NE"/>
        </w:rPr>
        <w:t xml:space="preserve"> water stress, </w:t>
      </w:r>
      <w:proofErr w:type="spellStart"/>
      <w:r w:rsidRPr="008511CB">
        <w:rPr>
          <w:rFonts w:ascii="Times New Roman" w:hAnsi="Times New Roman" w:cs="Times New Roman"/>
          <w:sz w:val="24"/>
          <w:szCs w:val="24"/>
          <w:lang w:val="fr-NE"/>
        </w:rPr>
        <w:t>leading</w:t>
      </w:r>
      <w:proofErr w:type="spellEnd"/>
      <w:r w:rsidRPr="008511CB">
        <w:rPr>
          <w:rFonts w:ascii="Times New Roman" w:hAnsi="Times New Roman" w:cs="Times New Roman"/>
          <w:sz w:val="24"/>
          <w:szCs w:val="24"/>
          <w:lang w:val="fr-NE"/>
        </w:rPr>
        <w:t xml:space="preserve"> to </w:t>
      </w:r>
      <w:proofErr w:type="spellStart"/>
      <w:r w:rsidRPr="008511CB">
        <w:rPr>
          <w:rFonts w:ascii="Times New Roman" w:hAnsi="Times New Roman" w:cs="Times New Roman"/>
          <w:sz w:val="24"/>
          <w:szCs w:val="24"/>
          <w:lang w:val="fr-NE"/>
        </w:rPr>
        <w:t>yield</w:t>
      </w:r>
      <w:proofErr w:type="spellEnd"/>
      <w:r w:rsidRPr="008511CB">
        <w:rPr>
          <w:rFonts w:ascii="Times New Roman" w:hAnsi="Times New Roman" w:cs="Times New Roman"/>
          <w:sz w:val="24"/>
          <w:szCs w:val="24"/>
          <w:lang w:val="fr-NE"/>
        </w:rPr>
        <w:t xml:space="preserve"> </w:t>
      </w:r>
      <w:proofErr w:type="spellStart"/>
      <w:r w:rsidRPr="008511CB">
        <w:rPr>
          <w:rFonts w:ascii="Times New Roman" w:hAnsi="Times New Roman" w:cs="Times New Roman"/>
          <w:sz w:val="24"/>
          <w:szCs w:val="24"/>
          <w:lang w:val="fr-NE"/>
        </w:rPr>
        <w:t>declines</w:t>
      </w:r>
      <w:proofErr w:type="spellEnd"/>
      <w:r w:rsidRPr="008511CB">
        <w:rPr>
          <w:rFonts w:ascii="Times New Roman" w:hAnsi="Times New Roman" w:cs="Times New Roman"/>
          <w:sz w:val="24"/>
          <w:szCs w:val="24"/>
          <w:lang w:val="fr-NE"/>
        </w:rPr>
        <w:t xml:space="preserve"> and a shift </w:t>
      </w:r>
      <w:proofErr w:type="spellStart"/>
      <w:r w:rsidRPr="008511CB">
        <w:rPr>
          <w:rFonts w:ascii="Times New Roman" w:hAnsi="Times New Roman" w:cs="Times New Roman"/>
          <w:sz w:val="24"/>
          <w:szCs w:val="24"/>
          <w:lang w:val="fr-NE"/>
        </w:rPr>
        <w:t>toward</w:t>
      </w:r>
      <w:proofErr w:type="spellEnd"/>
      <w:r w:rsidRPr="008511CB">
        <w:rPr>
          <w:rFonts w:ascii="Times New Roman" w:hAnsi="Times New Roman" w:cs="Times New Roman"/>
          <w:sz w:val="24"/>
          <w:szCs w:val="24"/>
          <w:lang w:val="fr-NE"/>
        </w:rPr>
        <w:t xml:space="preserve"> short-cycle </w:t>
      </w:r>
      <w:proofErr w:type="spellStart"/>
      <w:r w:rsidRPr="008511CB">
        <w:rPr>
          <w:rFonts w:ascii="Times New Roman" w:hAnsi="Times New Roman" w:cs="Times New Roman"/>
          <w:sz w:val="24"/>
          <w:szCs w:val="24"/>
          <w:lang w:val="fr-NE"/>
        </w:rPr>
        <w:t>varieties</w:t>
      </w:r>
      <w:proofErr w:type="spellEnd"/>
      <w:r w:rsidRPr="008511CB">
        <w:rPr>
          <w:rFonts w:ascii="Times New Roman" w:hAnsi="Times New Roman" w:cs="Times New Roman"/>
          <w:sz w:val="24"/>
          <w:szCs w:val="24"/>
          <w:lang w:val="fr-NE"/>
        </w:rPr>
        <w:t xml:space="preserve">. In </w:t>
      </w:r>
      <w:proofErr w:type="spellStart"/>
      <w:r w:rsidRPr="008511CB">
        <w:rPr>
          <w:rFonts w:ascii="Times New Roman" w:hAnsi="Times New Roman" w:cs="Times New Roman"/>
          <w:sz w:val="24"/>
          <w:szCs w:val="24"/>
          <w:lang w:val="fr-NE"/>
        </w:rPr>
        <w:t>livestock</w:t>
      </w:r>
      <w:proofErr w:type="spellEnd"/>
      <w:r w:rsidRPr="008511CB">
        <w:rPr>
          <w:rFonts w:ascii="Times New Roman" w:hAnsi="Times New Roman" w:cs="Times New Roman"/>
          <w:sz w:val="24"/>
          <w:szCs w:val="24"/>
          <w:lang w:val="fr-NE"/>
        </w:rPr>
        <w:t xml:space="preserve"> </w:t>
      </w:r>
      <w:proofErr w:type="spellStart"/>
      <w:r w:rsidRPr="008511CB">
        <w:rPr>
          <w:rFonts w:ascii="Times New Roman" w:hAnsi="Times New Roman" w:cs="Times New Roman"/>
          <w:sz w:val="24"/>
          <w:szCs w:val="24"/>
          <w:lang w:val="fr-NE"/>
        </w:rPr>
        <w:t>farming</w:t>
      </w:r>
      <w:proofErr w:type="spellEnd"/>
      <w:r w:rsidRPr="008511CB">
        <w:rPr>
          <w:rFonts w:ascii="Times New Roman" w:hAnsi="Times New Roman" w:cs="Times New Roman"/>
          <w:sz w:val="24"/>
          <w:szCs w:val="24"/>
          <w:lang w:val="fr-NE"/>
        </w:rPr>
        <w:t xml:space="preserve">, </w:t>
      </w:r>
      <w:r w:rsidRPr="008511CB">
        <w:rPr>
          <w:rFonts w:ascii="Times New Roman" w:hAnsi="Times New Roman" w:cs="Times New Roman"/>
          <w:sz w:val="24"/>
          <w:szCs w:val="24"/>
          <w:lang w:val="fr-NE"/>
        </w:rPr>
        <w:lastRenderedPageBreak/>
        <w:t xml:space="preserve">the </w:t>
      </w:r>
      <w:proofErr w:type="spellStart"/>
      <w:r w:rsidRPr="008511CB">
        <w:rPr>
          <w:rFonts w:ascii="Times New Roman" w:hAnsi="Times New Roman" w:cs="Times New Roman"/>
          <w:sz w:val="24"/>
          <w:szCs w:val="24"/>
          <w:lang w:val="fr-NE"/>
        </w:rPr>
        <w:t>reduction</w:t>
      </w:r>
      <w:proofErr w:type="spellEnd"/>
      <w:r w:rsidRPr="008511CB">
        <w:rPr>
          <w:rFonts w:ascii="Times New Roman" w:hAnsi="Times New Roman" w:cs="Times New Roman"/>
          <w:sz w:val="24"/>
          <w:szCs w:val="24"/>
          <w:lang w:val="fr-NE"/>
        </w:rPr>
        <w:t xml:space="preserve"> of </w:t>
      </w:r>
      <w:proofErr w:type="spellStart"/>
      <w:r w:rsidRPr="008511CB">
        <w:rPr>
          <w:rFonts w:ascii="Times New Roman" w:hAnsi="Times New Roman" w:cs="Times New Roman"/>
          <w:sz w:val="24"/>
          <w:szCs w:val="24"/>
          <w:lang w:val="fr-NE"/>
        </w:rPr>
        <w:t>fodder</w:t>
      </w:r>
      <w:proofErr w:type="spellEnd"/>
      <w:r w:rsidRPr="008511CB">
        <w:rPr>
          <w:rFonts w:ascii="Times New Roman" w:hAnsi="Times New Roman" w:cs="Times New Roman"/>
          <w:sz w:val="24"/>
          <w:szCs w:val="24"/>
          <w:lang w:val="fr-NE"/>
        </w:rPr>
        <w:t xml:space="preserve"> and water </w:t>
      </w:r>
      <w:proofErr w:type="spellStart"/>
      <w:r w:rsidRPr="008511CB">
        <w:rPr>
          <w:rFonts w:ascii="Times New Roman" w:hAnsi="Times New Roman" w:cs="Times New Roman"/>
          <w:sz w:val="24"/>
          <w:szCs w:val="24"/>
          <w:lang w:val="fr-NE"/>
        </w:rPr>
        <w:t>resources</w:t>
      </w:r>
      <w:proofErr w:type="spellEnd"/>
      <w:r w:rsidRPr="008511CB">
        <w:rPr>
          <w:rFonts w:ascii="Times New Roman" w:hAnsi="Times New Roman" w:cs="Times New Roman"/>
          <w:sz w:val="24"/>
          <w:szCs w:val="24"/>
          <w:lang w:val="fr-NE"/>
        </w:rPr>
        <w:t xml:space="preserve"> </w:t>
      </w:r>
      <w:proofErr w:type="spellStart"/>
      <w:r w:rsidRPr="008511CB">
        <w:rPr>
          <w:rFonts w:ascii="Times New Roman" w:hAnsi="Times New Roman" w:cs="Times New Roman"/>
          <w:sz w:val="24"/>
          <w:szCs w:val="24"/>
          <w:lang w:val="fr-NE"/>
        </w:rPr>
        <w:t>promotes</w:t>
      </w:r>
      <w:proofErr w:type="spellEnd"/>
      <w:r w:rsidRPr="008511CB">
        <w:rPr>
          <w:rFonts w:ascii="Times New Roman" w:hAnsi="Times New Roman" w:cs="Times New Roman"/>
          <w:sz w:val="24"/>
          <w:szCs w:val="24"/>
          <w:lang w:val="fr-NE"/>
        </w:rPr>
        <w:t xml:space="preserve"> </w:t>
      </w:r>
      <w:proofErr w:type="spellStart"/>
      <w:r w:rsidRPr="008511CB">
        <w:rPr>
          <w:rFonts w:ascii="Times New Roman" w:hAnsi="Times New Roman" w:cs="Times New Roman"/>
          <w:sz w:val="24"/>
          <w:szCs w:val="24"/>
          <w:lang w:val="fr-NE"/>
        </w:rPr>
        <w:t>herd</w:t>
      </w:r>
      <w:proofErr w:type="spellEnd"/>
      <w:r w:rsidRPr="008511CB">
        <w:rPr>
          <w:rFonts w:ascii="Times New Roman" w:hAnsi="Times New Roman" w:cs="Times New Roman"/>
          <w:sz w:val="24"/>
          <w:szCs w:val="24"/>
          <w:lang w:val="fr-NE"/>
        </w:rPr>
        <w:t xml:space="preserve"> </w:t>
      </w:r>
      <w:proofErr w:type="spellStart"/>
      <w:r w:rsidRPr="008511CB">
        <w:rPr>
          <w:rFonts w:ascii="Times New Roman" w:hAnsi="Times New Roman" w:cs="Times New Roman"/>
          <w:sz w:val="24"/>
          <w:szCs w:val="24"/>
          <w:lang w:val="fr-NE"/>
        </w:rPr>
        <w:t>mobility</w:t>
      </w:r>
      <w:proofErr w:type="spellEnd"/>
      <w:r w:rsidRPr="008511CB">
        <w:rPr>
          <w:rFonts w:ascii="Times New Roman" w:hAnsi="Times New Roman" w:cs="Times New Roman"/>
          <w:sz w:val="24"/>
          <w:szCs w:val="24"/>
          <w:lang w:val="fr-NE"/>
        </w:rPr>
        <w:t xml:space="preserve"> and </w:t>
      </w:r>
      <w:proofErr w:type="spellStart"/>
      <w:r w:rsidRPr="008511CB">
        <w:rPr>
          <w:rFonts w:ascii="Times New Roman" w:hAnsi="Times New Roman" w:cs="Times New Roman"/>
          <w:sz w:val="24"/>
          <w:szCs w:val="24"/>
          <w:lang w:val="fr-NE"/>
        </w:rPr>
        <w:t>increases</w:t>
      </w:r>
      <w:proofErr w:type="spellEnd"/>
      <w:r w:rsidRPr="008511CB">
        <w:rPr>
          <w:rFonts w:ascii="Times New Roman" w:hAnsi="Times New Roman" w:cs="Times New Roman"/>
          <w:sz w:val="24"/>
          <w:szCs w:val="24"/>
          <w:lang w:val="fr-NE"/>
        </w:rPr>
        <w:t xml:space="preserve"> pressure on </w:t>
      </w:r>
      <w:proofErr w:type="spellStart"/>
      <w:r w:rsidRPr="008511CB">
        <w:rPr>
          <w:rFonts w:ascii="Times New Roman" w:hAnsi="Times New Roman" w:cs="Times New Roman"/>
          <w:sz w:val="24"/>
          <w:szCs w:val="24"/>
          <w:lang w:val="fr-NE"/>
        </w:rPr>
        <w:t>grazing</w:t>
      </w:r>
      <w:proofErr w:type="spellEnd"/>
      <w:r w:rsidRPr="008511CB">
        <w:rPr>
          <w:rFonts w:ascii="Times New Roman" w:hAnsi="Times New Roman" w:cs="Times New Roman"/>
          <w:sz w:val="24"/>
          <w:szCs w:val="24"/>
          <w:lang w:val="fr-NE"/>
        </w:rPr>
        <w:t xml:space="preserve"> lands. </w:t>
      </w:r>
      <w:proofErr w:type="spellStart"/>
      <w:r w:rsidRPr="008511CB">
        <w:rPr>
          <w:rFonts w:ascii="Times New Roman" w:hAnsi="Times New Roman" w:cs="Times New Roman"/>
          <w:sz w:val="24"/>
          <w:szCs w:val="24"/>
          <w:lang w:val="fr-NE"/>
        </w:rPr>
        <w:t>Overall</w:t>
      </w:r>
      <w:proofErr w:type="spellEnd"/>
      <w:r w:rsidRPr="008511CB">
        <w:rPr>
          <w:rFonts w:ascii="Times New Roman" w:hAnsi="Times New Roman" w:cs="Times New Roman"/>
          <w:sz w:val="24"/>
          <w:szCs w:val="24"/>
          <w:lang w:val="fr-NE"/>
        </w:rPr>
        <w:t xml:space="preserve">, </w:t>
      </w:r>
      <w:proofErr w:type="spellStart"/>
      <w:r w:rsidRPr="008511CB">
        <w:rPr>
          <w:rFonts w:ascii="Times New Roman" w:hAnsi="Times New Roman" w:cs="Times New Roman"/>
          <w:sz w:val="24"/>
          <w:szCs w:val="24"/>
          <w:lang w:val="fr-NE"/>
        </w:rPr>
        <w:t>these</w:t>
      </w:r>
      <w:proofErr w:type="spellEnd"/>
      <w:r w:rsidRPr="008511CB">
        <w:rPr>
          <w:rFonts w:ascii="Times New Roman" w:hAnsi="Times New Roman" w:cs="Times New Roman"/>
          <w:sz w:val="24"/>
          <w:szCs w:val="24"/>
          <w:lang w:val="fr-NE"/>
        </w:rPr>
        <w:t xml:space="preserve"> </w:t>
      </w:r>
      <w:proofErr w:type="spellStart"/>
      <w:r w:rsidRPr="008511CB">
        <w:rPr>
          <w:rFonts w:ascii="Times New Roman" w:hAnsi="Times New Roman" w:cs="Times New Roman"/>
          <w:sz w:val="24"/>
          <w:szCs w:val="24"/>
          <w:lang w:val="fr-NE"/>
        </w:rPr>
        <w:t>constraints</w:t>
      </w:r>
      <w:proofErr w:type="spellEnd"/>
      <w:r w:rsidRPr="008511CB">
        <w:rPr>
          <w:rFonts w:ascii="Times New Roman" w:hAnsi="Times New Roman" w:cs="Times New Roman"/>
          <w:sz w:val="24"/>
          <w:szCs w:val="24"/>
          <w:lang w:val="fr-NE"/>
        </w:rPr>
        <w:t xml:space="preserve"> </w:t>
      </w:r>
      <w:proofErr w:type="spellStart"/>
      <w:r w:rsidRPr="008511CB">
        <w:rPr>
          <w:rFonts w:ascii="Times New Roman" w:hAnsi="Times New Roman" w:cs="Times New Roman"/>
          <w:sz w:val="24"/>
          <w:szCs w:val="24"/>
          <w:lang w:val="fr-NE"/>
        </w:rPr>
        <w:t>contribute</w:t>
      </w:r>
      <w:proofErr w:type="spellEnd"/>
      <w:r w:rsidRPr="008511CB">
        <w:rPr>
          <w:rFonts w:ascii="Times New Roman" w:hAnsi="Times New Roman" w:cs="Times New Roman"/>
          <w:sz w:val="24"/>
          <w:szCs w:val="24"/>
          <w:lang w:val="fr-NE"/>
        </w:rPr>
        <w:t xml:space="preserve"> to </w:t>
      </w:r>
      <w:proofErr w:type="spellStart"/>
      <w:r w:rsidRPr="008511CB">
        <w:rPr>
          <w:rFonts w:ascii="Times New Roman" w:hAnsi="Times New Roman" w:cs="Times New Roman"/>
          <w:sz w:val="24"/>
          <w:szCs w:val="24"/>
          <w:lang w:val="fr-NE"/>
        </w:rPr>
        <w:t>weakening</w:t>
      </w:r>
      <w:proofErr w:type="spellEnd"/>
      <w:r w:rsidRPr="008511CB">
        <w:rPr>
          <w:rFonts w:ascii="Times New Roman" w:hAnsi="Times New Roman" w:cs="Times New Roman"/>
          <w:sz w:val="24"/>
          <w:szCs w:val="24"/>
          <w:lang w:val="fr-NE"/>
        </w:rPr>
        <w:t xml:space="preserve"> production </w:t>
      </w:r>
      <w:proofErr w:type="spellStart"/>
      <w:r w:rsidRPr="008511CB">
        <w:rPr>
          <w:rFonts w:ascii="Times New Roman" w:hAnsi="Times New Roman" w:cs="Times New Roman"/>
          <w:sz w:val="24"/>
          <w:szCs w:val="24"/>
          <w:lang w:val="fr-NE"/>
        </w:rPr>
        <w:t>systems</w:t>
      </w:r>
      <w:proofErr w:type="spellEnd"/>
      <w:r w:rsidRPr="008511CB">
        <w:rPr>
          <w:rFonts w:ascii="Times New Roman" w:hAnsi="Times New Roman" w:cs="Times New Roman"/>
          <w:sz w:val="24"/>
          <w:szCs w:val="24"/>
          <w:lang w:val="fr-NE"/>
        </w:rPr>
        <w:t xml:space="preserve"> and </w:t>
      </w:r>
      <w:proofErr w:type="spellStart"/>
      <w:r w:rsidRPr="008511CB">
        <w:rPr>
          <w:rFonts w:ascii="Times New Roman" w:hAnsi="Times New Roman" w:cs="Times New Roman"/>
          <w:sz w:val="24"/>
          <w:szCs w:val="24"/>
          <w:lang w:val="fr-NE"/>
        </w:rPr>
        <w:t>increasing</w:t>
      </w:r>
      <w:proofErr w:type="spellEnd"/>
      <w:r w:rsidRPr="008511CB">
        <w:rPr>
          <w:rFonts w:ascii="Times New Roman" w:hAnsi="Times New Roman" w:cs="Times New Roman"/>
          <w:sz w:val="24"/>
          <w:szCs w:val="24"/>
          <w:lang w:val="fr-NE"/>
        </w:rPr>
        <w:t xml:space="preserve"> the </w:t>
      </w:r>
      <w:proofErr w:type="spellStart"/>
      <w:r w:rsidRPr="008511CB">
        <w:rPr>
          <w:rFonts w:ascii="Times New Roman" w:hAnsi="Times New Roman" w:cs="Times New Roman"/>
          <w:sz w:val="24"/>
          <w:szCs w:val="24"/>
          <w:lang w:val="fr-NE"/>
        </w:rPr>
        <w:t>vulnerability</w:t>
      </w:r>
      <w:proofErr w:type="spellEnd"/>
      <w:r w:rsidRPr="008511CB">
        <w:rPr>
          <w:rFonts w:ascii="Times New Roman" w:hAnsi="Times New Roman" w:cs="Times New Roman"/>
          <w:sz w:val="24"/>
          <w:szCs w:val="24"/>
          <w:lang w:val="fr-NE"/>
        </w:rPr>
        <w:t xml:space="preserve"> of rural </w:t>
      </w:r>
      <w:proofErr w:type="spellStart"/>
      <w:r w:rsidRPr="008511CB">
        <w:rPr>
          <w:rFonts w:ascii="Times New Roman" w:hAnsi="Times New Roman" w:cs="Times New Roman"/>
          <w:sz w:val="24"/>
          <w:szCs w:val="24"/>
          <w:lang w:val="fr-NE"/>
        </w:rPr>
        <w:t>households</w:t>
      </w:r>
      <w:proofErr w:type="spellEnd"/>
      <w:r w:rsidRPr="008511CB">
        <w:rPr>
          <w:rFonts w:ascii="Times New Roman" w:hAnsi="Times New Roman" w:cs="Times New Roman"/>
          <w:sz w:val="24"/>
          <w:szCs w:val="24"/>
          <w:lang w:val="fr-NE"/>
        </w:rPr>
        <w:t>.</w:t>
      </w:r>
    </w:p>
    <w:p w14:paraId="15891754" w14:textId="77777777" w:rsidR="008511CB" w:rsidRDefault="008511CB" w:rsidP="00CD5A4C">
      <w:pPr>
        <w:spacing w:line="360" w:lineRule="auto"/>
        <w:jc w:val="both"/>
        <w:rPr>
          <w:rFonts w:ascii="Times New Roman" w:hAnsi="Times New Roman" w:cs="Times New Roman"/>
          <w:sz w:val="24"/>
          <w:szCs w:val="24"/>
        </w:rPr>
      </w:pPr>
    </w:p>
    <w:p w14:paraId="632A3E18" w14:textId="70383315" w:rsidR="000D6C06" w:rsidRPr="000D6C06" w:rsidRDefault="000D6C06" w:rsidP="000D6C06">
      <w:pPr>
        <w:jc w:val="center"/>
      </w:pPr>
      <w:r>
        <w:rPr>
          <w:noProof/>
          <w:lang w:val="en-US"/>
        </w:rPr>
        <w:drawing>
          <wp:inline distT="0" distB="0" distL="0" distR="0" wp14:anchorId="370C9588" wp14:editId="66328AC6">
            <wp:extent cx="4831417" cy="2877303"/>
            <wp:effectExtent l="0" t="0" r="7620" b="0"/>
            <wp:docPr id="2094988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2997" cy="2931843"/>
                    </a:xfrm>
                    <a:prstGeom prst="rect">
                      <a:avLst/>
                    </a:prstGeom>
                    <a:noFill/>
                    <a:ln>
                      <a:noFill/>
                    </a:ln>
                  </pic:spPr>
                </pic:pic>
              </a:graphicData>
            </a:graphic>
          </wp:inline>
        </w:drawing>
      </w:r>
    </w:p>
    <w:p w14:paraId="2D8D212A" w14:textId="5DF66113" w:rsidR="000D6C06" w:rsidRPr="00CD5A4C" w:rsidRDefault="000D6C06" w:rsidP="000D6C06">
      <w:pPr>
        <w:jc w:val="center"/>
        <w:rPr>
          <w:rFonts w:ascii="Times New Roman" w:hAnsi="Times New Roman" w:cs="Times New Roman"/>
          <w:sz w:val="24"/>
          <w:szCs w:val="24"/>
        </w:rPr>
      </w:pPr>
      <w:r w:rsidRPr="00CD5A4C">
        <w:rPr>
          <w:rFonts w:ascii="Times New Roman" w:hAnsi="Times New Roman" w:cs="Times New Roman"/>
          <w:sz w:val="24"/>
          <w:szCs w:val="24"/>
        </w:rPr>
        <w:t>Fig. 2. Ombrothermic Curve of the Diffa Region</w:t>
      </w:r>
    </w:p>
    <w:p w14:paraId="4B656845" w14:textId="77777777" w:rsidR="000D6C06" w:rsidRPr="00ED725F" w:rsidRDefault="000D6C06" w:rsidP="00ED725F">
      <w:pPr>
        <w:spacing w:line="360" w:lineRule="auto"/>
        <w:jc w:val="both"/>
        <w:rPr>
          <w:rFonts w:ascii="Times New Roman" w:hAnsi="Times New Roman" w:cs="Times New Roman"/>
          <w:b/>
          <w:bCs/>
          <w:sz w:val="24"/>
          <w:szCs w:val="24"/>
        </w:rPr>
      </w:pPr>
      <w:r w:rsidRPr="00ED725F">
        <w:rPr>
          <w:rFonts w:ascii="Times New Roman" w:hAnsi="Times New Roman" w:cs="Times New Roman"/>
          <w:b/>
          <w:bCs/>
          <w:sz w:val="24"/>
          <w:szCs w:val="24"/>
        </w:rPr>
        <w:t>2.3. Sampling and Data Collection</w:t>
      </w:r>
    </w:p>
    <w:p w14:paraId="0C5E0A4B" w14:textId="77777777" w:rsidR="000D6C06" w:rsidRPr="00ED725F" w:rsidRDefault="000D6C06" w:rsidP="00ED725F">
      <w:pPr>
        <w:spacing w:line="360" w:lineRule="auto"/>
        <w:jc w:val="both"/>
        <w:rPr>
          <w:rFonts w:ascii="Times New Roman" w:hAnsi="Times New Roman" w:cs="Times New Roman"/>
          <w:b/>
          <w:bCs/>
          <w:sz w:val="24"/>
          <w:szCs w:val="24"/>
        </w:rPr>
      </w:pPr>
      <w:r w:rsidRPr="00ED725F">
        <w:rPr>
          <w:rFonts w:ascii="Times New Roman" w:hAnsi="Times New Roman" w:cs="Times New Roman"/>
          <w:b/>
          <w:bCs/>
          <w:sz w:val="24"/>
          <w:szCs w:val="24"/>
        </w:rPr>
        <w:t>2.3.1. Sampling</w:t>
      </w:r>
    </w:p>
    <w:p w14:paraId="02D9072D" w14:textId="2BA76DBF" w:rsidR="000D6C06" w:rsidRPr="00ED725F" w:rsidRDefault="000D6C06"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 xml:space="preserve">The present study was conducted in the communes of </w:t>
      </w:r>
      <w:r w:rsidRPr="00475B47">
        <w:rPr>
          <w:rFonts w:ascii="Times New Roman" w:hAnsi="Times New Roman" w:cs="Times New Roman"/>
          <w:sz w:val="24"/>
          <w:szCs w:val="24"/>
        </w:rPr>
        <w:t>Chetimari</w:t>
      </w:r>
      <w:r w:rsidRPr="00ED725F">
        <w:rPr>
          <w:rFonts w:ascii="Times New Roman" w:hAnsi="Times New Roman" w:cs="Times New Roman"/>
          <w:sz w:val="24"/>
          <w:szCs w:val="24"/>
        </w:rPr>
        <w:t xml:space="preserve"> in the south and </w:t>
      </w:r>
      <w:r w:rsidRPr="00475B47">
        <w:rPr>
          <w:rFonts w:ascii="Times New Roman" w:hAnsi="Times New Roman" w:cs="Times New Roman"/>
          <w:sz w:val="24"/>
          <w:szCs w:val="24"/>
        </w:rPr>
        <w:t xml:space="preserve">N’Guel Bely </w:t>
      </w:r>
      <w:r w:rsidRPr="00ED725F">
        <w:rPr>
          <w:rFonts w:ascii="Times New Roman" w:hAnsi="Times New Roman" w:cs="Times New Roman"/>
          <w:sz w:val="24"/>
          <w:szCs w:val="24"/>
        </w:rPr>
        <w:t xml:space="preserve">and </w:t>
      </w:r>
      <w:r w:rsidRPr="00475B47">
        <w:rPr>
          <w:rFonts w:ascii="Times New Roman" w:hAnsi="Times New Roman" w:cs="Times New Roman"/>
          <w:sz w:val="24"/>
          <w:szCs w:val="24"/>
        </w:rPr>
        <w:t>Foulatar</w:t>
      </w:r>
      <w:r w:rsidRPr="00F3432B">
        <w:rPr>
          <w:rFonts w:ascii="Times New Roman" w:hAnsi="Times New Roman" w:cs="Times New Roman"/>
          <w:sz w:val="24"/>
          <w:szCs w:val="24"/>
        </w:rPr>
        <w:t xml:space="preserve">i </w:t>
      </w:r>
      <w:r w:rsidRPr="00ED725F">
        <w:rPr>
          <w:rFonts w:ascii="Times New Roman" w:hAnsi="Times New Roman" w:cs="Times New Roman"/>
          <w:sz w:val="24"/>
          <w:szCs w:val="24"/>
        </w:rPr>
        <w:t>in the north of the Diffa region. Due to security constraints in the study area, the research was limited to these three communes, which were relatively accessible for data collection. The selection also focused on villages located close to the communes.</w:t>
      </w:r>
      <w:r w:rsidR="00475B47">
        <w:rPr>
          <w:rFonts w:ascii="Times New Roman" w:hAnsi="Times New Roman" w:cs="Times New Roman"/>
          <w:sz w:val="24"/>
          <w:szCs w:val="24"/>
        </w:rPr>
        <w:t xml:space="preserve"> </w:t>
      </w:r>
      <w:r w:rsidRPr="00ED725F">
        <w:rPr>
          <w:rFonts w:ascii="Times New Roman" w:hAnsi="Times New Roman" w:cs="Times New Roman"/>
          <w:sz w:val="24"/>
          <w:szCs w:val="24"/>
        </w:rPr>
        <w:t xml:space="preserve">The surveyed villages include </w:t>
      </w:r>
      <w:r w:rsidRPr="00475B47">
        <w:rPr>
          <w:rFonts w:ascii="Times New Roman" w:hAnsi="Times New Roman" w:cs="Times New Roman"/>
          <w:sz w:val="24"/>
          <w:szCs w:val="24"/>
        </w:rPr>
        <w:t>Gamari, Madouri, Boudouri, Kabi Bagara, Kabi Kollo, Kill Manga, Dassoram, Goujou, and Tacha Rogo, located within the communes of Chetimari, N’Guel Bely, and Foulatari,</w:t>
      </w:r>
      <w:r w:rsidRPr="00ED725F">
        <w:rPr>
          <w:rFonts w:ascii="Times New Roman" w:hAnsi="Times New Roman" w:cs="Times New Roman"/>
          <w:sz w:val="24"/>
          <w:szCs w:val="24"/>
        </w:rPr>
        <w:t xml:space="preserve"> representing a total of </w:t>
      </w:r>
      <w:r w:rsidRPr="00F3432B">
        <w:rPr>
          <w:rFonts w:ascii="Times New Roman" w:hAnsi="Times New Roman" w:cs="Times New Roman"/>
          <w:sz w:val="24"/>
          <w:szCs w:val="24"/>
        </w:rPr>
        <w:t>12 villages</w:t>
      </w:r>
      <w:r w:rsidRPr="00ED725F">
        <w:rPr>
          <w:rFonts w:ascii="Times New Roman" w:hAnsi="Times New Roman" w:cs="Times New Roman"/>
          <w:sz w:val="24"/>
          <w:szCs w:val="24"/>
        </w:rPr>
        <w:t>.</w:t>
      </w:r>
      <w:r w:rsidR="00475B47">
        <w:rPr>
          <w:rFonts w:ascii="Times New Roman" w:hAnsi="Times New Roman" w:cs="Times New Roman"/>
          <w:sz w:val="24"/>
          <w:szCs w:val="24"/>
        </w:rPr>
        <w:t xml:space="preserve"> </w:t>
      </w:r>
      <w:r w:rsidRPr="00ED725F">
        <w:rPr>
          <w:rFonts w:ascii="Times New Roman" w:hAnsi="Times New Roman" w:cs="Times New Roman"/>
          <w:sz w:val="24"/>
          <w:szCs w:val="24"/>
        </w:rPr>
        <w:t xml:space="preserve">These villages were selected primarily based on their </w:t>
      </w:r>
      <w:r w:rsidRPr="00475B47">
        <w:rPr>
          <w:rFonts w:ascii="Times New Roman" w:hAnsi="Times New Roman" w:cs="Times New Roman"/>
          <w:sz w:val="24"/>
          <w:szCs w:val="24"/>
        </w:rPr>
        <w:t>accessibility.</w:t>
      </w:r>
      <w:r w:rsidRPr="00ED725F">
        <w:rPr>
          <w:rFonts w:ascii="Times New Roman" w:hAnsi="Times New Roman" w:cs="Times New Roman"/>
          <w:sz w:val="24"/>
          <w:szCs w:val="24"/>
        </w:rPr>
        <w:t xml:space="preserve"> In addition, they possess significant </w:t>
      </w:r>
      <w:r w:rsidRPr="00475B47">
        <w:rPr>
          <w:rFonts w:ascii="Times New Roman" w:hAnsi="Times New Roman" w:cs="Times New Roman"/>
          <w:sz w:val="24"/>
          <w:szCs w:val="24"/>
        </w:rPr>
        <w:t>natural resources and local potentials</w:t>
      </w:r>
      <w:r w:rsidRPr="00ED725F">
        <w:rPr>
          <w:rFonts w:ascii="Times New Roman" w:hAnsi="Times New Roman" w:cs="Times New Roman"/>
          <w:sz w:val="24"/>
          <w:szCs w:val="24"/>
        </w:rPr>
        <w:t xml:space="preserve">, while at the same time being </w:t>
      </w:r>
      <w:r w:rsidRPr="00475B47">
        <w:rPr>
          <w:rFonts w:ascii="Times New Roman" w:hAnsi="Times New Roman" w:cs="Times New Roman"/>
          <w:sz w:val="24"/>
          <w:szCs w:val="24"/>
        </w:rPr>
        <w:t>highly exposed to the impacts of climate change,</w:t>
      </w:r>
      <w:r w:rsidRPr="00ED725F">
        <w:rPr>
          <w:rFonts w:ascii="Times New Roman" w:hAnsi="Times New Roman" w:cs="Times New Roman"/>
          <w:sz w:val="24"/>
          <w:szCs w:val="24"/>
        </w:rPr>
        <w:t xml:space="preserve"> making them relevant for the objectives of this study.</w:t>
      </w:r>
    </w:p>
    <w:p w14:paraId="5A2115E6" w14:textId="77777777" w:rsidR="00957E55" w:rsidRPr="00ED725F" w:rsidRDefault="00957E55"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 xml:space="preserve">The </w:t>
      </w:r>
      <w:r w:rsidRPr="00475B47">
        <w:rPr>
          <w:rFonts w:ascii="Times New Roman" w:hAnsi="Times New Roman" w:cs="Times New Roman"/>
          <w:sz w:val="24"/>
          <w:szCs w:val="24"/>
        </w:rPr>
        <w:t>sample size</w:t>
      </w:r>
      <w:r w:rsidRPr="00ED725F">
        <w:rPr>
          <w:rFonts w:ascii="Times New Roman" w:hAnsi="Times New Roman" w:cs="Times New Roman"/>
          <w:sz w:val="24"/>
          <w:szCs w:val="24"/>
        </w:rPr>
        <w:t xml:space="preserve"> was determined using the method proposed by </w:t>
      </w:r>
      <w:r w:rsidRPr="00ED725F">
        <w:rPr>
          <w:rFonts w:ascii="Times New Roman" w:hAnsi="Times New Roman" w:cs="Times New Roman"/>
          <w:b/>
          <w:bCs/>
          <w:sz w:val="24"/>
          <w:szCs w:val="24"/>
        </w:rPr>
        <w:t>Dagnelie (1998)</w:t>
      </w:r>
      <w:r w:rsidRPr="00ED725F">
        <w:rPr>
          <w:rFonts w:ascii="Times New Roman" w:hAnsi="Times New Roman" w:cs="Times New Roman"/>
          <w:sz w:val="24"/>
          <w:szCs w:val="24"/>
        </w:rPr>
        <w:t>:</w:t>
      </w:r>
    </w:p>
    <w:p w14:paraId="4251F9D0" w14:textId="552DE152" w:rsidR="00957E55" w:rsidRPr="00ED725F" w:rsidRDefault="00957E55" w:rsidP="00ED725F">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N=</m:t>
          </m:r>
          <m:f>
            <m:fPr>
              <m:ctrlPr>
                <w:rPr>
                  <w:rFonts w:ascii="Cambria Math" w:hAnsi="Cambria Math" w:cs="Times New Roman"/>
                  <w:sz w:val="24"/>
                  <w:szCs w:val="24"/>
                </w:rPr>
              </m:ctrlPr>
            </m:fPr>
            <m:num>
              <m:sSubSup>
                <m:sSubSupPr>
                  <m:ctrlPr>
                    <w:rPr>
                      <w:rFonts w:ascii="Cambria Math" w:hAnsi="Cambria Math" w:cs="Times New Roman"/>
                      <w:sz w:val="24"/>
                      <w:szCs w:val="24"/>
                    </w:rPr>
                  </m:ctrlPr>
                </m:sSubSupPr>
                <m:e>
                  <m:r>
                    <w:rPr>
                      <w:rFonts w:ascii="Cambria Math" w:hAnsi="Cambria Math" w:cs="Times New Roman"/>
                      <w:sz w:val="24"/>
                      <w:szCs w:val="24"/>
                    </w:rPr>
                    <m:t>U</m:t>
                  </m:r>
                </m:e>
                <m:sub>
                  <m:r>
                    <w:rPr>
                      <w:rFonts w:ascii="Cambria Math" w:hAnsi="Cambria Math" w:cs="Times New Roman"/>
                      <w:sz w:val="24"/>
                      <w:szCs w:val="24"/>
                    </w:rPr>
                    <m:t>1-α</m:t>
                  </m:r>
                  <m:r>
                    <m:rPr>
                      <m:sty m:val="p"/>
                    </m:rPr>
                    <w:rPr>
                      <w:rFonts w:ascii="Cambria Math" w:hAnsi="Cambria Math" w:cs="Times New Roman"/>
                      <w:sz w:val="24"/>
                      <w:szCs w:val="24"/>
                    </w:rPr>
                    <m:t>/</m:t>
                  </m:r>
                  <m:r>
                    <w:rPr>
                      <w:rFonts w:ascii="Cambria Math" w:hAnsi="Cambria Math" w:cs="Times New Roman"/>
                      <w:sz w:val="24"/>
                      <w:szCs w:val="24"/>
                    </w:rPr>
                    <m:t>2</m:t>
                  </m:r>
                </m:sub>
                <m:sup>
                  <m:r>
                    <w:rPr>
                      <w:rFonts w:ascii="Cambria Math" w:hAnsi="Cambria Math" w:cs="Times New Roman"/>
                      <w:sz w:val="24"/>
                      <w:szCs w:val="24"/>
                    </w:rPr>
                    <m:t>2</m:t>
                  </m:r>
                </m:sup>
              </m:sSubSup>
              <m:r>
                <m:rPr>
                  <m:nor/>
                </m:rPr>
                <w:rPr>
                  <w:rFonts w:ascii="Times New Roman" w:hAnsi="Times New Roman" w:cs="Times New Roman"/>
                  <w:sz w:val="24"/>
                  <w:szCs w:val="24"/>
                </w:rPr>
                <m:t> </m:t>
              </m:r>
              <m:r>
                <w:rPr>
                  <w:rFonts w:ascii="Cambria Math" w:hAnsi="Cambria Math" w:cs="Times New Roman"/>
                  <w:sz w:val="24"/>
                  <w:szCs w:val="24"/>
                </w:rPr>
                <m:t>P(1-P)</m:t>
              </m:r>
            </m:num>
            <m:den>
              <m:sSup>
                <m:sSupPr>
                  <m:ctrlPr>
                    <w:rPr>
                      <w:rFonts w:ascii="Cambria Math" w:hAnsi="Cambria Math" w:cs="Times New Roman"/>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oMath>
      </m:oMathPara>
    </w:p>
    <w:p w14:paraId="5DE9718F" w14:textId="77777777" w:rsidR="00957E55" w:rsidRPr="00ED725F" w:rsidRDefault="00957E55"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lastRenderedPageBreak/>
        <w:t>Where:</w:t>
      </w:r>
    </w:p>
    <w:p w14:paraId="5FB66259" w14:textId="77777777" w:rsidR="00957E55" w:rsidRPr="00ED725F" w:rsidRDefault="00957E55" w:rsidP="00ED725F">
      <w:pPr>
        <w:numPr>
          <w:ilvl w:val="0"/>
          <w:numId w:val="2"/>
        </w:numPr>
        <w:spacing w:line="360" w:lineRule="auto"/>
        <w:jc w:val="both"/>
        <w:rPr>
          <w:rFonts w:ascii="Times New Roman" w:hAnsi="Times New Roman" w:cs="Times New Roman"/>
          <w:sz w:val="24"/>
          <w:szCs w:val="24"/>
        </w:rPr>
      </w:pPr>
      <w:r w:rsidRPr="00ED725F">
        <w:rPr>
          <w:rFonts w:ascii="Times New Roman" w:hAnsi="Times New Roman" w:cs="Times New Roman"/>
          <w:b/>
          <w:bCs/>
          <w:sz w:val="24"/>
          <w:szCs w:val="24"/>
        </w:rPr>
        <w:t>N</w:t>
      </w:r>
      <w:r w:rsidRPr="00ED725F">
        <w:rPr>
          <w:rFonts w:ascii="Times New Roman" w:hAnsi="Times New Roman" w:cs="Times New Roman"/>
          <w:sz w:val="24"/>
          <w:szCs w:val="24"/>
        </w:rPr>
        <w:t xml:space="preserve"> = sample size</w:t>
      </w:r>
    </w:p>
    <w:p w14:paraId="72E7E3A5" w14:textId="77777777" w:rsidR="00957E55" w:rsidRPr="00ED725F" w:rsidRDefault="00957E55" w:rsidP="00ED725F">
      <w:pPr>
        <w:numPr>
          <w:ilvl w:val="0"/>
          <w:numId w:val="2"/>
        </w:numPr>
        <w:spacing w:line="360" w:lineRule="auto"/>
        <w:jc w:val="both"/>
        <w:rPr>
          <w:rFonts w:ascii="Times New Roman" w:hAnsi="Times New Roman" w:cs="Times New Roman"/>
          <w:sz w:val="24"/>
          <w:szCs w:val="24"/>
        </w:rPr>
      </w:pPr>
      <w:r w:rsidRPr="00ED725F">
        <w:rPr>
          <w:rFonts w:ascii="Times New Roman" w:hAnsi="Times New Roman" w:cs="Times New Roman"/>
          <w:b/>
          <w:bCs/>
          <w:sz w:val="24"/>
          <w:szCs w:val="24"/>
        </w:rPr>
        <w:t>P</w:t>
      </w:r>
      <w:r w:rsidRPr="00ED725F">
        <w:rPr>
          <w:rFonts w:ascii="Times New Roman" w:hAnsi="Times New Roman" w:cs="Times New Roman"/>
          <w:sz w:val="24"/>
          <w:szCs w:val="24"/>
        </w:rPr>
        <w:t xml:space="preserve"> = expected proportion of a response in the population (set by default at </w:t>
      </w:r>
      <w:r w:rsidRPr="00ED725F">
        <w:rPr>
          <w:rFonts w:ascii="Times New Roman" w:hAnsi="Times New Roman" w:cs="Times New Roman"/>
          <w:b/>
          <w:bCs/>
          <w:sz w:val="24"/>
          <w:szCs w:val="24"/>
        </w:rPr>
        <w:t>0.5</w:t>
      </w:r>
      <w:r w:rsidRPr="00ED725F">
        <w:rPr>
          <w:rFonts w:ascii="Times New Roman" w:hAnsi="Times New Roman" w:cs="Times New Roman"/>
          <w:sz w:val="24"/>
          <w:szCs w:val="24"/>
        </w:rPr>
        <w:t>)</w:t>
      </w:r>
    </w:p>
    <w:p w14:paraId="45151FAF" w14:textId="77777777" w:rsidR="00957E55" w:rsidRPr="00ED725F" w:rsidRDefault="00957E55" w:rsidP="00ED725F">
      <w:pPr>
        <w:numPr>
          <w:ilvl w:val="0"/>
          <w:numId w:val="2"/>
        </w:numPr>
        <w:spacing w:line="360" w:lineRule="auto"/>
        <w:jc w:val="both"/>
        <w:rPr>
          <w:rFonts w:ascii="Times New Roman" w:hAnsi="Times New Roman" w:cs="Times New Roman"/>
          <w:sz w:val="24"/>
          <w:szCs w:val="24"/>
        </w:rPr>
      </w:pPr>
      <w:r w:rsidRPr="00ED725F">
        <w:rPr>
          <w:rFonts w:ascii="Times New Roman" w:hAnsi="Times New Roman" w:cs="Times New Roman"/>
          <w:b/>
          <w:bCs/>
          <w:sz w:val="24"/>
          <w:szCs w:val="24"/>
        </w:rPr>
        <w:t>U₁₋α/₂</w:t>
      </w:r>
      <w:r w:rsidRPr="00ED725F">
        <w:rPr>
          <w:rFonts w:ascii="Times New Roman" w:hAnsi="Times New Roman" w:cs="Times New Roman"/>
          <w:sz w:val="24"/>
          <w:szCs w:val="24"/>
        </w:rPr>
        <w:t xml:space="preserve"> = confidence level corresponding to </w:t>
      </w:r>
      <w:r w:rsidRPr="00ED725F">
        <w:rPr>
          <w:rFonts w:ascii="Times New Roman" w:hAnsi="Times New Roman" w:cs="Times New Roman"/>
          <w:b/>
          <w:bCs/>
          <w:sz w:val="24"/>
          <w:szCs w:val="24"/>
        </w:rPr>
        <w:t>1.96</w:t>
      </w:r>
    </w:p>
    <w:p w14:paraId="566D6865" w14:textId="77777777" w:rsidR="00957E55" w:rsidRPr="00ED725F" w:rsidRDefault="00957E55" w:rsidP="00ED725F">
      <w:pPr>
        <w:numPr>
          <w:ilvl w:val="0"/>
          <w:numId w:val="2"/>
        </w:numPr>
        <w:spacing w:line="360" w:lineRule="auto"/>
        <w:jc w:val="both"/>
        <w:rPr>
          <w:rFonts w:ascii="Times New Roman" w:hAnsi="Times New Roman" w:cs="Times New Roman"/>
          <w:sz w:val="24"/>
          <w:szCs w:val="24"/>
        </w:rPr>
      </w:pPr>
      <w:r w:rsidRPr="00ED725F">
        <w:rPr>
          <w:rFonts w:ascii="Times New Roman" w:hAnsi="Times New Roman" w:cs="Times New Roman"/>
          <w:b/>
          <w:bCs/>
          <w:sz w:val="24"/>
          <w:szCs w:val="24"/>
        </w:rPr>
        <w:t>d</w:t>
      </w:r>
      <w:r w:rsidRPr="00ED725F">
        <w:rPr>
          <w:rFonts w:ascii="Times New Roman" w:hAnsi="Times New Roman" w:cs="Times New Roman"/>
          <w:sz w:val="24"/>
          <w:szCs w:val="24"/>
        </w:rPr>
        <w:t xml:space="preserve"> = margin of error (</w:t>
      </w:r>
      <w:r w:rsidRPr="00ED725F">
        <w:rPr>
          <w:rFonts w:ascii="Times New Roman" w:hAnsi="Times New Roman" w:cs="Times New Roman"/>
          <w:b/>
          <w:bCs/>
          <w:sz w:val="24"/>
          <w:szCs w:val="24"/>
        </w:rPr>
        <w:t>0.05</w:t>
      </w:r>
      <w:r w:rsidRPr="00ED725F">
        <w:rPr>
          <w:rFonts w:ascii="Times New Roman" w:hAnsi="Times New Roman" w:cs="Times New Roman"/>
          <w:sz w:val="24"/>
          <w:szCs w:val="24"/>
        </w:rPr>
        <w:t>)</w:t>
      </w:r>
    </w:p>
    <w:p w14:paraId="3E4AD324" w14:textId="77777777" w:rsidR="00957E55" w:rsidRPr="00ED725F" w:rsidRDefault="00957E55" w:rsidP="00ED725F">
      <w:pPr>
        <w:numPr>
          <w:ilvl w:val="0"/>
          <w:numId w:val="2"/>
        </w:numPr>
        <w:spacing w:line="360" w:lineRule="auto"/>
        <w:jc w:val="both"/>
        <w:rPr>
          <w:rFonts w:ascii="Times New Roman" w:hAnsi="Times New Roman" w:cs="Times New Roman"/>
          <w:sz w:val="24"/>
          <w:szCs w:val="24"/>
        </w:rPr>
      </w:pPr>
      <w:r w:rsidRPr="00ED725F">
        <w:rPr>
          <w:rFonts w:ascii="Times New Roman" w:hAnsi="Times New Roman" w:cs="Times New Roman"/>
          <w:b/>
          <w:bCs/>
          <w:sz w:val="24"/>
          <w:szCs w:val="24"/>
        </w:rPr>
        <w:t>α</w:t>
      </w:r>
      <w:r w:rsidRPr="00ED725F">
        <w:rPr>
          <w:rFonts w:ascii="Times New Roman" w:hAnsi="Times New Roman" w:cs="Times New Roman"/>
          <w:sz w:val="24"/>
          <w:szCs w:val="24"/>
        </w:rPr>
        <w:t xml:space="preserve"> = significance level (</w:t>
      </w:r>
      <w:r w:rsidRPr="00ED725F">
        <w:rPr>
          <w:rFonts w:ascii="Times New Roman" w:hAnsi="Times New Roman" w:cs="Times New Roman"/>
          <w:b/>
          <w:bCs/>
          <w:sz w:val="24"/>
          <w:szCs w:val="24"/>
        </w:rPr>
        <w:t>0.05</w:t>
      </w:r>
      <w:r w:rsidRPr="00ED725F">
        <w:rPr>
          <w:rFonts w:ascii="Times New Roman" w:hAnsi="Times New Roman" w:cs="Times New Roman"/>
          <w:sz w:val="24"/>
          <w:szCs w:val="24"/>
        </w:rPr>
        <w:t>)</w:t>
      </w:r>
    </w:p>
    <w:p w14:paraId="00BE71CF" w14:textId="77777777" w:rsidR="000D6C06" w:rsidRDefault="000D6C06" w:rsidP="000D6C06"/>
    <w:p w14:paraId="38850C8A" w14:textId="114A7274" w:rsidR="00957E55" w:rsidRPr="00ED725F" w:rsidRDefault="00957E55"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Three sub-sites (</w:t>
      </w:r>
      <w:r w:rsidRPr="00B263D3">
        <w:rPr>
          <w:rFonts w:ascii="Times New Roman" w:hAnsi="Times New Roman" w:cs="Times New Roman"/>
          <w:sz w:val="24"/>
          <w:szCs w:val="24"/>
        </w:rPr>
        <w:t>Chetimari, Foulatari, and N’Guel Bely</w:t>
      </w:r>
      <w:r w:rsidRPr="00ED725F">
        <w:rPr>
          <w:rFonts w:ascii="Times New Roman" w:hAnsi="Times New Roman" w:cs="Times New Roman"/>
          <w:sz w:val="24"/>
          <w:szCs w:val="24"/>
        </w:rPr>
        <w:t xml:space="preserve">) in the </w:t>
      </w:r>
      <w:r w:rsidRPr="00B263D3">
        <w:rPr>
          <w:rFonts w:ascii="Times New Roman" w:hAnsi="Times New Roman" w:cs="Times New Roman"/>
          <w:sz w:val="24"/>
          <w:szCs w:val="24"/>
        </w:rPr>
        <w:t>Lake Chad Basin</w:t>
      </w:r>
      <w:r w:rsidRPr="00ED725F">
        <w:rPr>
          <w:rFonts w:ascii="Times New Roman" w:hAnsi="Times New Roman" w:cs="Times New Roman"/>
          <w:sz w:val="24"/>
          <w:szCs w:val="24"/>
        </w:rPr>
        <w:t xml:space="preserve">, within the </w:t>
      </w:r>
      <w:r w:rsidRPr="00B263D3">
        <w:rPr>
          <w:rFonts w:ascii="Times New Roman" w:hAnsi="Times New Roman" w:cs="Times New Roman"/>
          <w:sz w:val="24"/>
          <w:szCs w:val="24"/>
        </w:rPr>
        <w:t>Diffa region</w:t>
      </w:r>
      <w:r w:rsidRPr="00ED725F">
        <w:rPr>
          <w:rFonts w:ascii="Times New Roman" w:hAnsi="Times New Roman" w:cs="Times New Roman"/>
          <w:sz w:val="24"/>
          <w:szCs w:val="24"/>
        </w:rPr>
        <w:t>, were selected due to their proximity to vulnerable ecosystems.</w:t>
      </w:r>
      <w:r w:rsidR="00120ACF" w:rsidRPr="00ED725F">
        <w:rPr>
          <w:rFonts w:ascii="Times New Roman" w:hAnsi="Times New Roman" w:cs="Times New Roman"/>
          <w:sz w:val="24"/>
          <w:szCs w:val="24"/>
        </w:rPr>
        <w:t xml:space="preserve"> </w:t>
      </w:r>
      <w:r w:rsidRPr="00ED725F">
        <w:rPr>
          <w:rFonts w:ascii="Times New Roman" w:hAnsi="Times New Roman" w:cs="Times New Roman"/>
          <w:sz w:val="24"/>
          <w:szCs w:val="24"/>
        </w:rPr>
        <w:t xml:space="preserve">The study employed </w:t>
      </w:r>
      <w:r w:rsidR="00B263D3">
        <w:rPr>
          <w:rFonts w:ascii="Times New Roman" w:hAnsi="Times New Roman" w:cs="Times New Roman"/>
          <w:sz w:val="24"/>
          <w:szCs w:val="24"/>
        </w:rPr>
        <w:t>stratified random sampling, in which the number of households surveyed in each locality was determined proportionally to that locality's</w:t>
      </w:r>
      <w:r w:rsidRPr="00ED725F">
        <w:rPr>
          <w:rFonts w:ascii="Times New Roman" w:hAnsi="Times New Roman" w:cs="Times New Roman"/>
          <w:sz w:val="24"/>
          <w:szCs w:val="24"/>
        </w:rPr>
        <w:t xml:space="preserve"> share of the total population. This approach ensured that each locality was adequately represented in the sample.</w:t>
      </w:r>
      <w:r w:rsidR="00120ACF" w:rsidRPr="00ED725F">
        <w:rPr>
          <w:rFonts w:ascii="Times New Roman" w:hAnsi="Times New Roman" w:cs="Times New Roman"/>
          <w:sz w:val="24"/>
          <w:szCs w:val="24"/>
        </w:rPr>
        <w:t xml:space="preserve"> </w:t>
      </w:r>
      <w:r w:rsidRPr="00ED725F">
        <w:rPr>
          <w:rFonts w:ascii="Times New Roman" w:hAnsi="Times New Roman" w:cs="Times New Roman"/>
          <w:sz w:val="24"/>
          <w:szCs w:val="24"/>
        </w:rPr>
        <w:t xml:space="preserve">The total number of households in each village/site was divided by the </w:t>
      </w:r>
      <w:r w:rsidRPr="00B263D3">
        <w:rPr>
          <w:rFonts w:ascii="Times New Roman" w:hAnsi="Times New Roman" w:cs="Times New Roman"/>
          <w:sz w:val="24"/>
          <w:szCs w:val="24"/>
        </w:rPr>
        <w:t>sample size (N)</w:t>
      </w:r>
      <w:r w:rsidRPr="00ED725F">
        <w:rPr>
          <w:rFonts w:ascii="Times New Roman" w:hAnsi="Times New Roman" w:cs="Times New Roman"/>
          <w:sz w:val="24"/>
          <w:szCs w:val="24"/>
        </w:rPr>
        <w:t xml:space="preserve"> in order to determine the </w:t>
      </w:r>
      <w:r w:rsidRPr="00B263D3">
        <w:rPr>
          <w:rFonts w:ascii="Times New Roman" w:hAnsi="Times New Roman" w:cs="Times New Roman"/>
          <w:sz w:val="24"/>
          <w:szCs w:val="24"/>
        </w:rPr>
        <w:t>sampling interval</w:t>
      </w:r>
      <w:r w:rsidRPr="00ED725F">
        <w:rPr>
          <w:rFonts w:ascii="Times New Roman" w:hAnsi="Times New Roman" w:cs="Times New Roman"/>
          <w:sz w:val="24"/>
          <w:szCs w:val="24"/>
        </w:rPr>
        <w:t xml:space="preserve"> (Table 1).</w:t>
      </w:r>
    </w:p>
    <w:p w14:paraId="2D4F6353" w14:textId="1B26BF49" w:rsidR="00957E55" w:rsidRDefault="00957E55" w:rsidP="00957E55">
      <w:pPr>
        <w:jc w:val="center"/>
      </w:pPr>
      <w:r>
        <w:rPr>
          <w:noProof/>
          <w:lang w:val="en-US"/>
        </w:rPr>
        <w:drawing>
          <wp:inline distT="0" distB="0" distL="0" distR="0" wp14:anchorId="692CC246" wp14:editId="7CF43ABA">
            <wp:extent cx="4876800" cy="3703557"/>
            <wp:effectExtent l="0" t="0" r="0" b="0"/>
            <wp:docPr id="5911822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90058" cy="3713626"/>
                    </a:xfrm>
                    <a:prstGeom prst="rect">
                      <a:avLst/>
                    </a:prstGeom>
                    <a:noFill/>
                    <a:ln>
                      <a:noFill/>
                    </a:ln>
                  </pic:spPr>
                </pic:pic>
              </a:graphicData>
            </a:graphic>
          </wp:inline>
        </w:drawing>
      </w:r>
    </w:p>
    <w:p w14:paraId="6C8A0AE1" w14:textId="46CAE76E" w:rsidR="00957E55" w:rsidRPr="00ED725F" w:rsidRDefault="00957E55" w:rsidP="00957E55">
      <w:pPr>
        <w:jc w:val="center"/>
        <w:rPr>
          <w:rFonts w:ascii="Times New Roman" w:hAnsi="Times New Roman" w:cs="Times New Roman"/>
          <w:sz w:val="24"/>
          <w:szCs w:val="24"/>
        </w:rPr>
      </w:pPr>
      <w:r w:rsidRPr="00ED725F">
        <w:rPr>
          <w:rFonts w:ascii="Times New Roman" w:hAnsi="Times New Roman" w:cs="Times New Roman"/>
          <w:sz w:val="24"/>
          <w:szCs w:val="24"/>
        </w:rPr>
        <w:t>Fig. 3. Location Map of the Survey Sites</w:t>
      </w:r>
    </w:p>
    <w:p w14:paraId="5787A0F1" w14:textId="77777777" w:rsidR="00957E55" w:rsidRPr="00ED725F" w:rsidRDefault="00957E55" w:rsidP="00ED725F">
      <w:pPr>
        <w:spacing w:line="360" w:lineRule="auto"/>
        <w:jc w:val="both"/>
        <w:rPr>
          <w:rFonts w:ascii="Times New Roman" w:hAnsi="Times New Roman" w:cs="Times New Roman"/>
          <w:b/>
          <w:bCs/>
          <w:sz w:val="24"/>
          <w:szCs w:val="24"/>
        </w:rPr>
      </w:pPr>
      <w:r w:rsidRPr="00ED725F">
        <w:rPr>
          <w:rFonts w:ascii="Times New Roman" w:hAnsi="Times New Roman" w:cs="Times New Roman"/>
          <w:sz w:val="24"/>
          <w:szCs w:val="24"/>
        </w:rPr>
        <w:t xml:space="preserve">2.3.2. </w:t>
      </w:r>
      <w:r w:rsidRPr="00ED725F">
        <w:rPr>
          <w:rFonts w:ascii="Times New Roman" w:hAnsi="Times New Roman" w:cs="Times New Roman"/>
          <w:b/>
          <w:bCs/>
          <w:sz w:val="24"/>
          <w:szCs w:val="24"/>
        </w:rPr>
        <w:t>Data Collection</w:t>
      </w:r>
    </w:p>
    <w:p w14:paraId="093630CB" w14:textId="77777777" w:rsidR="00957E55" w:rsidRPr="00ED725F" w:rsidRDefault="00957E55"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lastRenderedPageBreak/>
        <w:t>To conduct this study, two categories of data were collected:</w:t>
      </w:r>
    </w:p>
    <w:p w14:paraId="15927D63" w14:textId="77777777" w:rsidR="00957E55" w:rsidRPr="00ED725F" w:rsidRDefault="00957E55" w:rsidP="00ED725F">
      <w:pPr>
        <w:pStyle w:val="Paragraphedeliste"/>
        <w:numPr>
          <w:ilvl w:val="0"/>
          <w:numId w:val="7"/>
        </w:numPr>
        <w:spacing w:line="360" w:lineRule="auto"/>
        <w:jc w:val="both"/>
        <w:rPr>
          <w:rFonts w:ascii="Times New Roman" w:hAnsi="Times New Roman" w:cs="Times New Roman"/>
          <w:b/>
          <w:bCs/>
          <w:sz w:val="24"/>
          <w:szCs w:val="24"/>
        </w:rPr>
      </w:pPr>
      <w:r w:rsidRPr="00ED725F">
        <w:rPr>
          <w:rFonts w:ascii="Times New Roman" w:hAnsi="Times New Roman" w:cs="Times New Roman"/>
          <w:b/>
          <w:bCs/>
          <w:sz w:val="24"/>
          <w:szCs w:val="24"/>
        </w:rPr>
        <w:t>Survey data (social data)</w:t>
      </w:r>
    </w:p>
    <w:p w14:paraId="7EFA9D28" w14:textId="60EF87F2" w:rsidR="00957E55" w:rsidRPr="00ED725F" w:rsidRDefault="00957E55"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 xml:space="preserve">The household survey questionnaire was divided into three </w:t>
      </w:r>
      <w:r w:rsidR="00120ACF" w:rsidRPr="00ED725F">
        <w:rPr>
          <w:rFonts w:ascii="Times New Roman" w:hAnsi="Times New Roman" w:cs="Times New Roman"/>
          <w:sz w:val="24"/>
          <w:szCs w:val="24"/>
        </w:rPr>
        <w:t>sections :</w:t>
      </w:r>
      <w:r w:rsidRPr="00ED725F">
        <w:rPr>
          <w:rFonts w:ascii="Times New Roman" w:hAnsi="Times New Roman" w:cs="Times New Roman"/>
          <w:sz w:val="24"/>
          <w:szCs w:val="24"/>
        </w:rPr>
        <w:t xml:space="preserve"> Section A (General information about the respondent), Section B (Perception of climate and observed changes), and Section C (Impacts of climate change on livelihoods). Section B also gathered community assessments regarding their perception of climatic factors such as rainfall and temperature, as well as their evaluation of the impacts of climate change.</w:t>
      </w:r>
    </w:p>
    <w:p w14:paraId="6F6BF752" w14:textId="77777777" w:rsidR="00957E55" w:rsidRPr="00ED725F" w:rsidRDefault="00957E55"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Face-to-face interviews were mainly conducted at the respondents’ homes, with each interview lasting approximately 20 to 30 minutes. The respondents were adult household members (≥ 40 years old), preferably household heads or their spouses. Prior to the survey, the questionnaire was pre-tested in five households in the village of Kourou to ensure its relevance and clarity.</w:t>
      </w:r>
    </w:p>
    <w:p w14:paraId="1BFC054B" w14:textId="77777777" w:rsidR="00957E55" w:rsidRPr="00ED725F" w:rsidRDefault="00957E55"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The questionnaire was translated from French into the respondents’ local languages (Hausa, Kanuri, and Fulani) to facilitate better understanding. As recommended by Pearce et al. (2009), the ethical procedures followed in this research took into account local norms, language considerations, and the confidentiality of respondents, while ensuring their voluntary participation in the survey.</w:t>
      </w:r>
    </w:p>
    <w:p w14:paraId="3F6A8C66" w14:textId="77777777" w:rsidR="00957E55" w:rsidRPr="00ED725F" w:rsidRDefault="00957E55" w:rsidP="00ED725F">
      <w:pPr>
        <w:pStyle w:val="Paragraphedeliste"/>
        <w:numPr>
          <w:ilvl w:val="0"/>
          <w:numId w:val="6"/>
        </w:numPr>
        <w:spacing w:line="360" w:lineRule="auto"/>
        <w:jc w:val="both"/>
        <w:rPr>
          <w:rFonts w:ascii="Times New Roman" w:hAnsi="Times New Roman" w:cs="Times New Roman"/>
          <w:b/>
          <w:bCs/>
          <w:sz w:val="24"/>
          <w:szCs w:val="24"/>
        </w:rPr>
      </w:pPr>
      <w:r w:rsidRPr="00ED725F">
        <w:rPr>
          <w:rFonts w:ascii="Times New Roman" w:hAnsi="Times New Roman" w:cs="Times New Roman"/>
          <w:b/>
          <w:bCs/>
          <w:sz w:val="24"/>
          <w:szCs w:val="24"/>
        </w:rPr>
        <w:t>Climatic data (meteorological data)</w:t>
      </w:r>
    </w:p>
    <w:p w14:paraId="7598F9CC" w14:textId="77777777" w:rsidR="00957E55" w:rsidRPr="00ED725F" w:rsidRDefault="00957E55"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The climatic data used to analyze climate change and variability, as well as to calculate extreme climate and drought indices, were obtained from the NASA POWER database (</w:t>
      </w:r>
      <w:hyperlink r:id="rId10" w:tgtFrame="_new" w:history="1">
        <w:r w:rsidRPr="00ED725F">
          <w:rPr>
            <w:rStyle w:val="Lienhypertexte"/>
            <w:rFonts w:ascii="Times New Roman" w:hAnsi="Times New Roman" w:cs="Times New Roman"/>
            <w:sz w:val="24"/>
            <w:szCs w:val="24"/>
          </w:rPr>
          <w:t>https://power.larc.nasa.gov/</w:t>
        </w:r>
      </w:hyperlink>
      <w:r w:rsidRPr="00ED725F">
        <w:rPr>
          <w:rFonts w:ascii="Times New Roman" w:hAnsi="Times New Roman" w:cs="Times New Roman"/>
          <w:sz w:val="24"/>
          <w:szCs w:val="24"/>
        </w:rPr>
        <w:t>).</w:t>
      </w:r>
    </w:p>
    <w:p w14:paraId="08B3F1A9" w14:textId="77777777" w:rsidR="00957E55" w:rsidRPr="00ED725F" w:rsidRDefault="00957E55"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The following variables were downloaded:</w:t>
      </w:r>
    </w:p>
    <w:p w14:paraId="7A4A9F42" w14:textId="1AA71159" w:rsidR="00957E55" w:rsidRPr="00ED725F" w:rsidRDefault="00957E55" w:rsidP="00ED725F">
      <w:pPr>
        <w:numPr>
          <w:ilvl w:val="0"/>
          <w:numId w:val="8"/>
        </w:num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 xml:space="preserve">Daily maximum temperatures from 1995 to </w:t>
      </w:r>
      <w:r w:rsidR="00FD6F4A" w:rsidRPr="00ED725F">
        <w:rPr>
          <w:rFonts w:ascii="Times New Roman" w:hAnsi="Times New Roman" w:cs="Times New Roman"/>
          <w:sz w:val="24"/>
          <w:szCs w:val="24"/>
        </w:rPr>
        <w:t>2025 ;</w:t>
      </w:r>
    </w:p>
    <w:p w14:paraId="1BCC9007" w14:textId="5F5F1C40" w:rsidR="00957E55" w:rsidRPr="00ED725F" w:rsidRDefault="00957E55" w:rsidP="00ED725F">
      <w:pPr>
        <w:numPr>
          <w:ilvl w:val="0"/>
          <w:numId w:val="8"/>
        </w:num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 xml:space="preserve">Daily minimum temperatures from 1995 to </w:t>
      </w:r>
      <w:r w:rsidR="00FD6F4A" w:rsidRPr="00ED725F">
        <w:rPr>
          <w:rFonts w:ascii="Times New Roman" w:hAnsi="Times New Roman" w:cs="Times New Roman"/>
          <w:sz w:val="24"/>
          <w:szCs w:val="24"/>
        </w:rPr>
        <w:t>2025 ;</w:t>
      </w:r>
    </w:p>
    <w:p w14:paraId="11BE297F" w14:textId="77777777" w:rsidR="00957E55" w:rsidRPr="00ED725F" w:rsidRDefault="00957E55" w:rsidP="00ED725F">
      <w:pPr>
        <w:numPr>
          <w:ilvl w:val="0"/>
          <w:numId w:val="8"/>
        </w:num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Daily precipitation data from 1995 to 2025.</w:t>
      </w:r>
    </w:p>
    <w:p w14:paraId="72A25508" w14:textId="743E8AF2" w:rsidR="00DD77FF" w:rsidRPr="00ED725F" w:rsidRDefault="00DD77FF"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 xml:space="preserve">2.4. </w:t>
      </w:r>
      <w:r w:rsidRPr="00ED725F">
        <w:rPr>
          <w:rFonts w:ascii="Times New Roman" w:hAnsi="Times New Roman" w:cs="Times New Roman"/>
          <w:b/>
          <w:bCs/>
          <w:sz w:val="24"/>
          <w:szCs w:val="24"/>
        </w:rPr>
        <w:t>Data Analysis and Processing</w:t>
      </w:r>
    </w:p>
    <w:p w14:paraId="391791D8" w14:textId="77777777" w:rsidR="002C0CA0" w:rsidRDefault="00DD77FF" w:rsidP="00ED725F">
      <w:pPr>
        <w:pStyle w:val="NormalWeb"/>
        <w:spacing w:line="360" w:lineRule="auto"/>
        <w:jc w:val="both"/>
      </w:pPr>
      <w:r w:rsidRPr="00ED725F">
        <w:t xml:space="preserve">The data collected for this study originate from both </w:t>
      </w:r>
      <w:r w:rsidRPr="00ED725F">
        <w:rPr>
          <w:rStyle w:val="lev"/>
          <w:rFonts w:eastAsiaTheme="majorEastAsia"/>
          <w:b w:val="0"/>
          <w:bCs w:val="0"/>
        </w:rPr>
        <w:t>socio-economic surveys</w:t>
      </w:r>
      <w:r w:rsidRPr="00ED725F">
        <w:t xml:space="preserve"> conducted among </w:t>
      </w:r>
      <w:r w:rsidRPr="00ED725F">
        <w:rPr>
          <w:rStyle w:val="lev"/>
          <w:rFonts w:eastAsiaTheme="majorEastAsia"/>
          <w:b w:val="0"/>
          <w:bCs w:val="0"/>
        </w:rPr>
        <w:t>234 households in 12 villages</w:t>
      </w:r>
      <w:r w:rsidRPr="00ED725F">
        <w:t xml:space="preserve"> in the Diffa region and </w:t>
      </w:r>
      <w:r w:rsidRPr="00ED725F">
        <w:rPr>
          <w:rStyle w:val="lev"/>
          <w:rFonts w:eastAsiaTheme="majorEastAsia"/>
          <w:b w:val="0"/>
          <w:bCs w:val="0"/>
        </w:rPr>
        <w:t>simulated climatic data</w:t>
      </w:r>
      <w:r w:rsidRPr="00ED725F">
        <w:t xml:space="preserve"> derived from satellite-based databases and climate reanalysis products (</w:t>
      </w:r>
      <w:r w:rsidRPr="00ED725F">
        <w:rPr>
          <w:rStyle w:val="lev"/>
          <w:rFonts w:eastAsiaTheme="majorEastAsia"/>
          <w:b w:val="0"/>
          <w:bCs w:val="0"/>
        </w:rPr>
        <w:t xml:space="preserve">NASA </w:t>
      </w:r>
      <w:r w:rsidR="00FD6F4A" w:rsidRPr="00ED725F">
        <w:rPr>
          <w:rStyle w:val="lev"/>
          <w:rFonts w:eastAsiaTheme="majorEastAsia"/>
          <w:b w:val="0"/>
          <w:bCs w:val="0"/>
        </w:rPr>
        <w:t>POWER</w:t>
      </w:r>
      <w:r w:rsidR="00FD6F4A" w:rsidRPr="00ED725F">
        <w:t xml:space="preserve"> :</w:t>
      </w:r>
      <w:r w:rsidRPr="00ED725F">
        <w:t xml:space="preserve"> </w:t>
      </w:r>
      <w:hyperlink r:id="rId11" w:tgtFrame="_new" w:history="1">
        <w:r w:rsidRPr="00ED725F">
          <w:rPr>
            <w:rStyle w:val="Lienhypertexte"/>
            <w:rFonts w:eastAsiaTheme="majorEastAsia"/>
          </w:rPr>
          <w:t>https://power.larc.nasa.gov/</w:t>
        </w:r>
      </w:hyperlink>
      <w:r w:rsidRPr="00ED725F">
        <w:t xml:space="preserve">). </w:t>
      </w:r>
    </w:p>
    <w:p w14:paraId="20D962D7" w14:textId="1199E623" w:rsidR="00DD77FF" w:rsidRDefault="00DD77FF" w:rsidP="00ED725F">
      <w:pPr>
        <w:pStyle w:val="NormalWeb"/>
        <w:spacing w:line="360" w:lineRule="auto"/>
        <w:jc w:val="both"/>
      </w:pPr>
      <w:r w:rsidRPr="00ED725F">
        <w:lastRenderedPageBreak/>
        <w:t xml:space="preserve">A data cleaning process was performed to correct inconsistencies, verify missing values, and harmonize variables. Qualitative responses were converted into </w:t>
      </w:r>
      <w:r w:rsidRPr="00ED725F">
        <w:rPr>
          <w:rStyle w:val="lev"/>
          <w:rFonts w:eastAsiaTheme="majorEastAsia"/>
          <w:b w:val="0"/>
          <w:bCs w:val="0"/>
        </w:rPr>
        <w:t>quantitative variables</w:t>
      </w:r>
      <w:r w:rsidRPr="00ED725F">
        <w:t xml:space="preserve"> (binary or categorical coding) to facilitate statistical analysis. </w:t>
      </w:r>
      <w:r w:rsidRPr="00ED725F">
        <w:rPr>
          <w:rStyle w:val="lev"/>
          <w:rFonts w:eastAsiaTheme="majorEastAsia"/>
          <w:b w:val="0"/>
          <w:bCs w:val="0"/>
        </w:rPr>
        <w:t>Descriptive statistics</w:t>
      </w:r>
      <w:r w:rsidRPr="00ED725F">
        <w:t xml:space="preserve"> (frequencies, percentages, and distributions) were used to analyze the </w:t>
      </w:r>
      <w:r w:rsidRPr="00ED725F">
        <w:rPr>
          <w:rStyle w:val="lev"/>
          <w:rFonts w:eastAsiaTheme="majorEastAsia"/>
          <w:b w:val="0"/>
          <w:bCs w:val="0"/>
        </w:rPr>
        <w:t>socio-economic profile of respondents</w:t>
      </w:r>
      <w:r w:rsidRPr="00ED725F">
        <w:t xml:space="preserve">, their </w:t>
      </w:r>
      <w:r w:rsidRPr="00ED725F">
        <w:rPr>
          <w:rStyle w:val="lev"/>
          <w:rFonts w:eastAsiaTheme="majorEastAsia"/>
          <w:b w:val="0"/>
          <w:bCs w:val="0"/>
        </w:rPr>
        <w:t>perceptions of climate change</w:t>
      </w:r>
      <w:r w:rsidRPr="00ED725F">
        <w:t xml:space="preserve">, the </w:t>
      </w:r>
      <w:r w:rsidRPr="00ED725F">
        <w:rPr>
          <w:rStyle w:val="lev"/>
          <w:rFonts w:eastAsiaTheme="majorEastAsia"/>
          <w:b w:val="0"/>
          <w:bCs w:val="0"/>
        </w:rPr>
        <w:t>perceived impacts on livelihoods</w:t>
      </w:r>
      <w:r w:rsidRPr="00ED725F">
        <w:t xml:space="preserve">, and the </w:t>
      </w:r>
      <w:r w:rsidRPr="00ED725F">
        <w:rPr>
          <w:rStyle w:val="lev"/>
          <w:rFonts w:eastAsiaTheme="majorEastAsia"/>
          <w:b w:val="0"/>
          <w:bCs w:val="0"/>
        </w:rPr>
        <w:t>adaptation strategies adopted by communities</w:t>
      </w:r>
      <w:r w:rsidRPr="00ED725F">
        <w:t xml:space="preserve">. Statistical analyses and graphical outputs were produced using the </w:t>
      </w:r>
      <w:r w:rsidRPr="00ED725F">
        <w:rPr>
          <w:rStyle w:val="lev"/>
          <w:rFonts w:eastAsiaTheme="majorEastAsia"/>
          <w:b w:val="0"/>
          <w:bCs w:val="0"/>
        </w:rPr>
        <w:t>R software</w:t>
      </w:r>
      <w:r w:rsidRPr="00ED725F">
        <w:t xml:space="preserve">, which enabled the creation of </w:t>
      </w:r>
      <w:r w:rsidRPr="00ED725F">
        <w:rPr>
          <w:rStyle w:val="lev"/>
          <w:rFonts w:eastAsiaTheme="majorEastAsia"/>
          <w:b w:val="0"/>
          <w:bCs w:val="0"/>
        </w:rPr>
        <w:t>bar charts and comparative graphs</w:t>
      </w:r>
      <w:r w:rsidRPr="00ED725F">
        <w:t xml:space="preserve"> illustrating community perceptions, the impacts of climate change, and adaptation strategies.</w:t>
      </w:r>
      <w:r w:rsidR="00120ACF" w:rsidRPr="00ED725F">
        <w:t xml:space="preserve"> </w:t>
      </w:r>
      <w:r w:rsidRPr="00ED725F">
        <w:t>Daily climatic data (</w:t>
      </w:r>
      <w:r w:rsidRPr="00ED725F">
        <w:rPr>
          <w:rStyle w:val="lev"/>
          <w:rFonts w:eastAsiaTheme="majorEastAsia"/>
          <w:b w:val="0"/>
          <w:bCs w:val="0"/>
        </w:rPr>
        <w:t>maximum and minimum temperatures, and precipitation</w:t>
      </w:r>
      <w:r w:rsidRPr="00ED725F">
        <w:t xml:space="preserve">) covering the period </w:t>
      </w:r>
      <w:r w:rsidRPr="00ED725F">
        <w:rPr>
          <w:rStyle w:val="lev"/>
          <w:rFonts w:eastAsiaTheme="majorEastAsia"/>
          <w:b w:val="0"/>
          <w:bCs w:val="0"/>
        </w:rPr>
        <w:t>1995–2025</w:t>
      </w:r>
      <w:r w:rsidRPr="00ED725F">
        <w:t xml:space="preserve"> were analyzed to identify </w:t>
      </w:r>
      <w:r w:rsidRPr="00ED725F">
        <w:rPr>
          <w:rStyle w:val="lev"/>
          <w:rFonts w:eastAsiaTheme="majorEastAsia"/>
          <w:b w:val="0"/>
          <w:bCs w:val="0"/>
        </w:rPr>
        <w:t>climatic trends and variability</w:t>
      </w:r>
      <w:r w:rsidRPr="00ED725F">
        <w:t xml:space="preserve">. Annual averages, moving averages, and graphical analyses were used to highlight the evolution of </w:t>
      </w:r>
      <w:r w:rsidRPr="00ED725F">
        <w:rPr>
          <w:rStyle w:val="lev"/>
          <w:rFonts w:eastAsiaTheme="majorEastAsia"/>
          <w:b w:val="0"/>
          <w:bCs w:val="0"/>
        </w:rPr>
        <w:t>temperatures (Tmax and Tmin)</w:t>
      </w:r>
      <w:r w:rsidRPr="00ED725F">
        <w:t xml:space="preserve"> and </w:t>
      </w:r>
      <w:r w:rsidRPr="00ED725F">
        <w:rPr>
          <w:rStyle w:val="lev"/>
          <w:rFonts w:eastAsiaTheme="majorEastAsia"/>
          <w:b w:val="0"/>
          <w:bCs w:val="0"/>
        </w:rPr>
        <w:t>interannual rainfall variability</w:t>
      </w:r>
      <w:r w:rsidRPr="00ED725F">
        <w:t>.</w:t>
      </w:r>
      <w:r w:rsidR="00120ACF" w:rsidRPr="00ED725F">
        <w:t xml:space="preserve"> </w:t>
      </w:r>
      <w:r w:rsidRPr="00ED725F">
        <w:t xml:space="preserve">Extreme climate indices were calculated in accordance with the recommendations of the </w:t>
      </w:r>
      <w:r w:rsidRPr="00ED725F">
        <w:rPr>
          <w:rStyle w:val="lev"/>
          <w:rFonts w:eastAsiaTheme="majorEastAsia"/>
          <w:b w:val="0"/>
          <w:bCs w:val="0"/>
        </w:rPr>
        <w:t>Expert Team on Climate Change Detection and Indices (ETCCDI)</w:t>
      </w:r>
      <w:r w:rsidRPr="00ED725F">
        <w:t xml:space="preserve">, which provides standardized definitions for the analysis of climate extremes at the international level. Drought conditions were assessed using the </w:t>
      </w:r>
      <w:r w:rsidRPr="00ED725F">
        <w:rPr>
          <w:rStyle w:val="lev"/>
          <w:rFonts w:eastAsiaTheme="majorEastAsia"/>
          <w:b w:val="0"/>
          <w:bCs w:val="0"/>
        </w:rPr>
        <w:t>Standardized Precipitation Index (SPI)</w:t>
      </w:r>
      <w:r w:rsidRPr="00ED725F">
        <w:t xml:space="preserve"> and the </w:t>
      </w:r>
      <w:r w:rsidRPr="00ED725F">
        <w:rPr>
          <w:rStyle w:val="lev"/>
          <w:rFonts w:eastAsiaTheme="majorEastAsia"/>
          <w:b w:val="0"/>
          <w:bCs w:val="0"/>
        </w:rPr>
        <w:t>Standardized Precipitation Evapotranspiration Index (SPEI)</w:t>
      </w:r>
      <w:r w:rsidRPr="00ED725F">
        <w:t xml:space="preserve"> at </w:t>
      </w:r>
      <w:r w:rsidRPr="00ED725F">
        <w:rPr>
          <w:rStyle w:val="lev"/>
          <w:rFonts w:eastAsiaTheme="majorEastAsia"/>
          <w:b w:val="0"/>
          <w:bCs w:val="0"/>
        </w:rPr>
        <w:t>3-, 6-, and 12-month timescales</w:t>
      </w:r>
      <w:r w:rsidRPr="00ED725F">
        <w:t xml:space="preserve">. Trend detection was performed using the </w:t>
      </w:r>
      <w:r w:rsidRPr="00ED725F">
        <w:rPr>
          <w:rStyle w:val="lev"/>
          <w:rFonts w:eastAsiaTheme="majorEastAsia"/>
          <w:b w:val="0"/>
          <w:bCs w:val="0"/>
        </w:rPr>
        <w:t>non-parametric Mann–Kendall test</w:t>
      </w:r>
      <w:r w:rsidRPr="00ED725F">
        <w:t xml:space="preserve">, while </w:t>
      </w:r>
      <w:r w:rsidRPr="00ED725F">
        <w:rPr>
          <w:rStyle w:val="lev"/>
          <w:rFonts w:eastAsiaTheme="majorEastAsia"/>
          <w:b w:val="0"/>
          <w:bCs w:val="0"/>
        </w:rPr>
        <w:t>structural breaks</w:t>
      </w:r>
      <w:r w:rsidRPr="00ED725F">
        <w:t xml:space="preserve"> were identified using the </w:t>
      </w:r>
      <w:r w:rsidRPr="00ED725F">
        <w:rPr>
          <w:rStyle w:val="lev"/>
          <w:rFonts w:eastAsiaTheme="majorEastAsia"/>
          <w:b w:val="0"/>
          <w:bCs w:val="0"/>
        </w:rPr>
        <w:t>Pettitt test</w:t>
      </w:r>
      <w:r w:rsidRPr="00ED725F">
        <w:t>.</w:t>
      </w:r>
    </w:p>
    <w:p w14:paraId="538FE008" w14:textId="77777777" w:rsidR="00ED725F" w:rsidRDefault="00ED725F" w:rsidP="00ED725F">
      <w:pPr>
        <w:pStyle w:val="NormalWeb"/>
        <w:spacing w:line="360" w:lineRule="auto"/>
        <w:jc w:val="both"/>
      </w:pPr>
    </w:p>
    <w:p w14:paraId="7C3CCC35" w14:textId="77777777" w:rsidR="00ED725F" w:rsidRDefault="00ED725F" w:rsidP="00ED725F">
      <w:pPr>
        <w:pStyle w:val="NormalWeb"/>
        <w:spacing w:line="360" w:lineRule="auto"/>
        <w:jc w:val="both"/>
      </w:pPr>
    </w:p>
    <w:p w14:paraId="2E2326E9" w14:textId="77777777" w:rsidR="00ED725F" w:rsidRDefault="00ED725F" w:rsidP="00ED725F">
      <w:pPr>
        <w:pStyle w:val="NormalWeb"/>
        <w:spacing w:line="360" w:lineRule="auto"/>
        <w:jc w:val="both"/>
      </w:pPr>
    </w:p>
    <w:p w14:paraId="1655B1F5" w14:textId="77777777" w:rsidR="00ED725F" w:rsidRDefault="00ED725F" w:rsidP="00ED725F">
      <w:pPr>
        <w:pStyle w:val="NormalWeb"/>
        <w:spacing w:line="360" w:lineRule="auto"/>
        <w:jc w:val="both"/>
      </w:pPr>
    </w:p>
    <w:p w14:paraId="313073EA" w14:textId="77777777" w:rsidR="00ED725F" w:rsidRDefault="00ED725F" w:rsidP="00ED725F">
      <w:pPr>
        <w:pStyle w:val="NormalWeb"/>
        <w:spacing w:line="360" w:lineRule="auto"/>
        <w:jc w:val="both"/>
      </w:pPr>
    </w:p>
    <w:p w14:paraId="44D056B8" w14:textId="77777777" w:rsidR="00ED725F" w:rsidRDefault="00ED725F" w:rsidP="00ED725F">
      <w:pPr>
        <w:pStyle w:val="NormalWeb"/>
        <w:spacing w:line="360" w:lineRule="auto"/>
        <w:jc w:val="both"/>
      </w:pPr>
    </w:p>
    <w:p w14:paraId="77382C8A" w14:textId="77777777" w:rsidR="00ED725F" w:rsidRDefault="00ED725F" w:rsidP="00ED725F">
      <w:pPr>
        <w:pStyle w:val="NormalWeb"/>
        <w:spacing w:line="360" w:lineRule="auto"/>
        <w:jc w:val="both"/>
      </w:pPr>
    </w:p>
    <w:p w14:paraId="7FFEC1B2" w14:textId="77777777" w:rsidR="00FD6F4A" w:rsidRDefault="00FD6F4A" w:rsidP="00ED725F">
      <w:pPr>
        <w:pStyle w:val="NormalWeb"/>
        <w:spacing w:line="360" w:lineRule="auto"/>
        <w:jc w:val="both"/>
      </w:pPr>
    </w:p>
    <w:p w14:paraId="5DA97806" w14:textId="77777777" w:rsidR="00ED725F" w:rsidRDefault="00ED725F" w:rsidP="00ED725F">
      <w:pPr>
        <w:pStyle w:val="NormalWeb"/>
        <w:spacing w:line="360" w:lineRule="auto"/>
        <w:jc w:val="both"/>
      </w:pPr>
    </w:p>
    <w:p w14:paraId="3AF44145" w14:textId="045E6EF0" w:rsidR="00DD77FF" w:rsidRDefault="00DD77FF" w:rsidP="00DD77FF">
      <w:pPr>
        <w:pStyle w:val="NormalWeb"/>
      </w:pPr>
      <w:r w:rsidRPr="00DD77FF">
        <w:rPr>
          <w:b/>
          <w:bCs/>
        </w:rPr>
        <w:lastRenderedPageBreak/>
        <w:t>Table 2.</w:t>
      </w:r>
      <w:r w:rsidRPr="00DD77FF">
        <w:t xml:space="preserve"> Definition of indices/tests and formulas</w:t>
      </w:r>
    </w:p>
    <w:tbl>
      <w:tblPr>
        <w:tblW w:w="10348" w:type="dxa"/>
        <w:tblCellSpacing w:w="15" w:type="dxa"/>
        <w:tblInd w:w="-567" w:type="dxa"/>
        <w:tblCellMar>
          <w:top w:w="15" w:type="dxa"/>
          <w:left w:w="15" w:type="dxa"/>
          <w:bottom w:w="15" w:type="dxa"/>
          <w:right w:w="15" w:type="dxa"/>
        </w:tblCellMar>
        <w:tblLook w:val="04A0" w:firstRow="1" w:lastRow="0" w:firstColumn="1" w:lastColumn="0" w:noHBand="0" w:noVBand="1"/>
      </w:tblPr>
      <w:tblGrid>
        <w:gridCol w:w="1399"/>
        <w:gridCol w:w="2027"/>
        <w:gridCol w:w="2491"/>
        <w:gridCol w:w="1880"/>
        <w:gridCol w:w="2551"/>
      </w:tblGrid>
      <w:tr w:rsidR="00DD77FF" w:rsidRPr="00DD77FF" w14:paraId="40BE059F" w14:textId="77777777" w:rsidTr="00DD77FF">
        <w:trPr>
          <w:tblHeader/>
          <w:tblCellSpacing w:w="15" w:type="dxa"/>
        </w:trPr>
        <w:tc>
          <w:tcPr>
            <w:tcW w:w="1354" w:type="dxa"/>
            <w:vAlign w:val="center"/>
            <w:hideMark/>
          </w:tcPr>
          <w:p w14:paraId="6B033B23" w14:textId="77777777" w:rsidR="00DD77FF" w:rsidRPr="00ED725F" w:rsidRDefault="00DD77FF" w:rsidP="00ED725F">
            <w:pPr>
              <w:spacing w:line="276" w:lineRule="auto"/>
              <w:jc w:val="both"/>
              <w:rPr>
                <w:rFonts w:ascii="Times New Roman" w:hAnsi="Times New Roman" w:cs="Times New Roman"/>
                <w:b/>
                <w:bCs/>
                <w:sz w:val="24"/>
                <w:szCs w:val="24"/>
              </w:rPr>
            </w:pPr>
            <w:r w:rsidRPr="00ED725F">
              <w:rPr>
                <w:rFonts w:ascii="Times New Roman" w:hAnsi="Times New Roman" w:cs="Times New Roman"/>
                <w:b/>
                <w:bCs/>
                <w:sz w:val="24"/>
                <w:szCs w:val="24"/>
              </w:rPr>
              <w:t>Index / Test</w:t>
            </w:r>
          </w:p>
        </w:tc>
        <w:tc>
          <w:tcPr>
            <w:tcW w:w="0" w:type="auto"/>
            <w:vAlign w:val="center"/>
            <w:hideMark/>
          </w:tcPr>
          <w:p w14:paraId="7600B063" w14:textId="77777777" w:rsidR="00DD77FF" w:rsidRPr="00ED725F" w:rsidRDefault="00DD77FF" w:rsidP="00ED725F">
            <w:pPr>
              <w:spacing w:line="276" w:lineRule="auto"/>
              <w:jc w:val="both"/>
              <w:rPr>
                <w:rFonts w:ascii="Times New Roman" w:hAnsi="Times New Roman" w:cs="Times New Roman"/>
                <w:b/>
                <w:bCs/>
                <w:sz w:val="24"/>
                <w:szCs w:val="24"/>
              </w:rPr>
            </w:pPr>
            <w:r w:rsidRPr="00ED725F">
              <w:rPr>
                <w:rFonts w:ascii="Times New Roman" w:hAnsi="Times New Roman" w:cs="Times New Roman"/>
                <w:b/>
                <w:bCs/>
                <w:sz w:val="24"/>
                <w:szCs w:val="24"/>
              </w:rPr>
              <w:t>Full name</w:t>
            </w:r>
          </w:p>
        </w:tc>
        <w:tc>
          <w:tcPr>
            <w:tcW w:w="0" w:type="auto"/>
            <w:vAlign w:val="center"/>
            <w:hideMark/>
          </w:tcPr>
          <w:p w14:paraId="137BBDC7" w14:textId="77777777" w:rsidR="00DD77FF" w:rsidRPr="00ED725F" w:rsidRDefault="00DD77FF" w:rsidP="00ED725F">
            <w:pPr>
              <w:spacing w:line="276" w:lineRule="auto"/>
              <w:jc w:val="both"/>
              <w:rPr>
                <w:rFonts w:ascii="Times New Roman" w:hAnsi="Times New Roman" w:cs="Times New Roman"/>
                <w:b/>
                <w:bCs/>
                <w:sz w:val="24"/>
                <w:szCs w:val="24"/>
              </w:rPr>
            </w:pPr>
            <w:r w:rsidRPr="00ED725F">
              <w:rPr>
                <w:rFonts w:ascii="Times New Roman" w:hAnsi="Times New Roman" w:cs="Times New Roman"/>
                <w:b/>
                <w:bCs/>
                <w:sz w:val="24"/>
                <w:szCs w:val="24"/>
              </w:rPr>
              <w:t>Definition</w:t>
            </w:r>
          </w:p>
        </w:tc>
        <w:tc>
          <w:tcPr>
            <w:tcW w:w="1850" w:type="dxa"/>
            <w:vAlign w:val="center"/>
            <w:hideMark/>
          </w:tcPr>
          <w:p w14:paraId="0D2C3FDB" w14:textId="77777777" w:rsidR="00DD77FF" w:rsidRPr="00ED725F" w:rsidRDefault="00DD77FF" w:rsidP="00ED725F">
            <w:pPr>
              <w:spacing w:line="276" w:lineRule="auto"/>
              <w:jc w:val="both"/>
              <w:rPr>
                <w:rFonts w:ascii="Times New Roman" w:hAnsi="Times New Roman" w:cs="Times New Roman"/>
                <w:b/>
                <w:bCs/>
                <w:sz w:val="24"/>
                <w:szCs w:val="24"/>
              </w:rPr>
            </w:pPr>
            <w:r w:rsidRPr="00ED725F">
              <w:rPr>
                <w:rFonts w:ascii="Times New Roman" w:hAnsi="Times New Roman" w:cs="Times New Roman"/>
                <w:b/>
                <w:bCs/>
                <w:sz w:val="24"/>
                <w:szCs w:val="24"/>
              </w:rPr>
              <w:t>Interpretation</w:t>
            </w:r>
          </w:p>
        </w:tc>
        <w:tc>
          <w:tcPr>
            <w:tcW w:w="2506" w:type="dxa"/>
            <w:vAlign w:val="center"/>
            <w:hideMark/>
          </w:tcPr>
          <w:p w14:paraId="759A6FC0" w14:textId="77777777" w:rsidR="00DD77FF" w:rsidRPr="00ED725F" w:rsidRDefault="00DD77FF" w:rsidP="00ED725F">
            <w:pPr>
              <w:spacing w:line="276" w:lineRule="auto"/>
              <w:jc w:val="both"/>
              <w:rPr>
                <w:rFonts w:ascii="Times New Roman" w:hAnsi="Times New Roman" w:cs="Times New Roman"/>
                <w:b/>
                <w:bCs/>
                <w:sz w:val="24"/>
                <w:szCs w:val="24"/>
              </w:rPr>
            </w:pPr>
            <w:r w:rsidRPr="00ED725F">
              <w:rPr>
                <w:rFonts w:ascii="Times New Roman" w:hAnsi="Times New Roman" w:cs="Times New Roman"/>
                <w:b/>
                <w:bCs/>
                <w:sz w:val="24"/>
                <w:szCs w:val="24"/>
              </w:rPr>
              <w:t>Mathematical formulas</w:t>
            </w:r>
          </w:p>
        </w:tc>
      </w:tr>
      <w:tr w:rsidR="00DD77FF" w:rsidRPr="00DD77FF" w14:paraId="16EA5322" w14:textId="77777777" w:rsidTr="00DD77FF">
        <w:trPr>
          <w:tblCellSpacing w:w="15" w:type="dxa"/>
        </w:trPr>
        <w:tc>
          <w:tcPr>
            <w:tcW w:w="1354" w:type="dxa"/>
            <w:vAlign w:val="center"/>
            <w:hideMark/>
          </w:tcPr>
          <w:p w14:paraId="54EA7BC1"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b/>
                <w:bCs/>
                <w:sz w:val="24"/>
                <w:szCs w:val="24"/>
              </w:rPr>
              <w:t>TX90p</w:t>
            </w:r>
          </w:p>
        </w:tc>
        <w:tc>
          <w:tcPr>
            <w:tcW w:w="0" w:type="auto"/>
            <w:vAlign w:val="center"/>
            <w:hideMark/>
          </w:tcPr>
          <w:p w14:paraId="429A7088"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Percentage of days with Tmax &gt; 90th percentile</w:t>
            </w:r>
          </w:p>
        </w:tc>
        <w:tc>
          <w:tcPr>
            <w:tcW w:w="0" w:type="auto"/>
            <w:vAlign w:val="center"/>
            <w:hideMark/>
          </w:tcPr>
          <w:p w14:paraId="39DBEDF2"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Annual (or seasonal) proportion of days when the daily maximum temperature exceeds the 90th percentile of the reference period</w:t>
            </w:r>
          </w:p>
        </w:tc>
        <w:tc>
          <w:tcPr>
            <w:tcW w:w="1850" w:type="dxa"/>
            <w:vAlign w:val="center"/>
            <w:hideMark/>
          </w:tcPr>
          <w:p w14:paraId="45441CE7"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Indicates the frequency of extremely hot days</w:t>
            </w:r>
          </w:p>
        </w:tc>
        <w:tc>
          <w:tcPr>
            <w:tcW w:w="2506" w:type="dxa"/>
            <w:vAlign w:val="center"/>
            <w:hideMark/>
          </w:tcPr>
          <w:p w14:paraId="6115A867" w14:textId="77777777" w:rsidR="00DD77FF" w:rsidRPr="00ED725F" w:rsidRDefault="00DD77FF" w:rsidP="00ED725F">
            <w:pPr>
              <w:spacing w:line="276" w:lineRule="auto"/>
              <w:jc w:val="both"/>
              <w:rPr>
                <w:rFonts w:ascii="Times New Roman" w:hAnsi="Times New Roman" w:cs="Times New Roman"/>
                <w:sz w:val="24"/>
                <w:szCs w:val="24"/>
              </w:rPr>
            </w:pPr>
          </w:p>
        </w:tc>
      </w:tr>
      <w:tr w:rsidR="00DD77FF" w:rsidRPr="00DD77FF" w14:paraId="20C327C5" w14:textId="77777777" w:rsidTr="00DD77FF">
        <w:trPr>
          <w:tblCellSpacing w:w="15" w:type="dxa"/>
        </w:trPr>
        <w:tc>
          <w:tcPr>
            <w:tcW w:w="1354" w:type="dxa"/>
            <w:vAlign w:val="center"/>
            <w:hideMark/>
          </w:tcPr>
          <w:p w14:paraId="3683FF6B"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b/>
                <w:bCs/>
                <w:sz w:val="24"/>
                <w:szCs w:val="24"/>
              </w:rPr>
              <w:t>TN90p</w:t>
            </w:r>
          </w:p>
        </w:tc>
        <w:tc>
          <w:tcPr>
            <w:tcW w:w="0" w:type="auto"/>
            <w:vAlign w:val="center"/>
            <w:hideMark/>
          </w:tcPr>
          <w:p w14:paraId="00EA6AF7"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Percentage of days with Tmin &gt; 90th percentile</w:t>
            </w:r>
          </w:p>
        </w:tc>
        <w:tc>
          <w:tcPr>
            <w:tcW w:w="0" w:type="auto"/>
            <w:vAlign w:val="center"/>
            <w:hideMark/>
          </w:tcPr>
          <w:p w14:paraId="3C1636F5"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Proportion of warm nights when the daily minimum temperature exceeds the 90th percentile</w:t>
            </w:r>
          </w:p>
        </w:tc>
        <w:tc>
          <w:tcPr>
            <w:tcW w:w="1850" w:type="dxa"/>
            <w:vAlign w:val="center"/>
            <w:hideMark/>
          </w:tcPr>
          <w:p w14:paraId="3B473BCF"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Indicates an increase in warm nights</w:t>
            </w:r>
          </w:p>
        </w:tc>
        <w:tc>
          <w:tcPr>
            <w:tcW w:w="2506" w:type="dxa"/>
            <w:vAlign w:val="center"/>
            <w:hideMark/>
          </w:tcPr>
          <w:p w14:paraId="36CE3B3B" w14:textId="77777777" w:rsidR="00DD77FF" w:rsidRPr="00ED725F" w:rsidRDefault="00DD77FF" w:rsidP="00ED725F">
            <w:pPr>
              <w:spacing w:line="276" w:lineRule="auto"/>
              <w:jc w:val="both"/>
              <w:rPr>
                <w:rFonts w:ascii="Times New Roman" w:hAnsi="Times New Roman" w:cs="Times New Roman"/>
                <w:sz w:val="24"/>
                <w:szCs w:val="24"/>
              </w:rPr>
            </w:pPr>
          </w:p>
        </w:tc>
      </w:tr>
      <w:tr w:rsidR="00DD77FF" w:rsidRPr="00DD77FF" w14:paraId="0CDF6EBC" w14:textId="77777777" w:rsidTr="00DD77FF">
        <w:trPr>
          <w:tblCellSpacing w:w="15" w:type="dxa"/>
        </w:trPr>
        <w:tc>
          <w:tcPr>
            <w:tcW w:w="1354" w:type="dxa"/>
            <w:vAlign w:val="center"/>
            <w:hideMark/>
          </w:tcPr>
          <w:p w14:paraId="79D9622A"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b/>
                <w:bCs/>
                <w:sz w:val="24"/>
                <w:szCs w:val="24"/>
              </w:rPr>
              <w:t>R95p</w:t>
            </w:r>
          </w:p>
        </w:tc>
        <w:tc>
          <w:tcPr>
            <w:tcW w:w="0" w:type="auto"/>
            <w:vAlign w:val="center"/>
            <w:hideMark/>
          </w:tcPr>
          <w:p w14:paraId="2397EEE7"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Very intense precipitation</w:t>
            </w:r>
          </w:p>
        </w:tc>
        <w:tc>
          <w:tcPr>
            <w:tcW w:w="0" w:type="auto"/>
            <w:vAlign w:val="center"/>
            <w:hideMark/>
          </w:tcPr>
          <w:p w14:paraId="16B4E152"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Annual total of daily precipitation exceeding the 95th percentile</w:t>
            </w:r>
          </w:p>
        </w:tc>
        <w:tc>
          <w:tcPr>
            <w:tcW w:w="1850" w:type="dxa"/>
            <w:vAlign w:val="center"/>
            <w:hideMark/>
          </w:tcPr>
          <w:p w14:paraId="3434D29E"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Measures the intensity of extreme rainfall</w:t>
            </w:r>
          </w:p>
        </w:tc>
        <w:tc>
          <w:tcPr>
            <w:tcW w:w="2506" w:type="dxa"/>
            <w:vAlign w:val="center"/>
            <w:hideMark/>
          </w:tcPr>
          <w:p w14:paraId="6980CA58" w14:textId="77777777" w:rsidR="00DD77FF" w:rsidRPr="00ED725F" w:rsidRDefault="00DD77FF" w:rsidP="00ED725F">
            <w:pPr>
              <w:spacing w:line="276" w:lineRule="auto"/>
              <w:jc w:val="both"/>
              <w:rPr>
                <w:rFonts w:ascii="Times New Roman" w:hAnsi="Times New Roman" w:cs="Times New Roman"/>
                <w:sz w:val="24"/>
                <w:szCs w:val="24"/>
              </w:rPr>
            </w:pPr>
          </w:p>
        </w:tc>
      </w:tr>
      <w:tr w:rsidR="00DD77FF" w:rsidRPr="00DD77FF" w14:paraId="2BF1057C" w14:textId="77777777" w:rsidTr="00DD77FF">
        <w:trPr>
          <w:tblCellSpacing w:w="15" w:type="dxa"/>
        </w:trPr>
        <w:tc>
          <w:tcPr>
            <w:tcW w:w="1354" w:type="dxa"/>
            <w:vAlign w:val="center"/>
            <w:hideMark/>
          </w:tcPr>
          <w:p w14:paraId="72A7D0D3"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b/>
                <w:bCs/>
                <w:sz w:val="24"/>
                <w:szCs w:val="24"/>
              </w:rPr>
              <w:t>SPI</w:t>
            </w:r>
          </w:p>
        </w:tc>
        <w:tc>
          <w:tcPr>
            <w:tcW w:w="0" w:type="auto"/>
            <w:vAlign w:val="center"/>
            <w:hideMark/>
          </w:tcPr>
          <w:p w14:paraId="2B032723"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Standardized Precipitation Index</w:t>
            </w:r>
          </w:p>
        </w:tc>
        <w:tc>
          <w:tcPr>
            <w:tcW w:w="0" w:type="auto"/>
            <w:vAlign w:val="center"/>
            <w:hideMark/>
          </w:tcPr>
          <w:p w14:paraId="3301468D"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Standardized index based only on precipitation, calculated at different time scales (3, 6, 12 months)</w:t>
            </w:r>
          </w:p>
        </w:tc>
        <w:tc>
          <w:tcPr>
            <w:tcW w:w="1850" w:type="dxa"/>
            <w:vAlign w:val="center"/>
            <w:hideMark/>
          </w:tcPr>
          <w:p w14:paraId="52FC6B15"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Negative values = drought; positive values = wet conditions</w:t>
            </w:r>
          </w:p>
        </w:tc>
        <w:tc>
          <w:tcPr>
            <w:tcW w:w="2506" w:type="dxa"/>
            <w:vAlign w:val="center"/>
            <w:hideMark/>
          </w:tcPr>
          <w:p w14:paraId="38A4F8FE"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b/>
                <w:bCs/>
                <w:sz w:val="24"/>
                <w:szCs w:val="24"/>
              </w:rPr>
              <w:t>SPI = (Pᵢ − μ) / σ</w:t>
            </w:r>
            <w:r w:rsidRPr="00ED725F">
              <w:rPr>
                <w:rFonts w:ascii="Times New Roman" w:hAnsi="Times New Roman" w:cs="Times New Roman"/>
                <w:sz w:val="24"/>
                <w:szCs w:val="24"/>
              </w:rPr>
              <w:t xml:space="preserve"> Where </w:t>
            </w:r>
            <w:r w:rsidRPr="00ED725F">
              <w:rPr>
                <w:rFonts w:ascii="Times New Roman" w:hAnsi="Times New Roman" w:cs="Times New Roman"/>
                <w:i/>
                <w:iCs/>
                <w:sz w:val="24"/>
                <w:szCs w:val="24"/>
              </w:rPr>
              <w:t>Pᵢ</w:t>
            </w:r>
            <w:r w:rsidRPr="00ED725F">
              <w:rPr>
                <w:rFonts w:ascii="Times New Roman" w:hAnsi="Times New Roman" w:cs="Times New Roman"/>
                <w:sz w:val="24"/>
                <w:szCs w:val="24"/>
              </w:rPr>
              <w:t xml:space="preserve"> is the cumulative precipitation at the considered timescale, </w:t>
            </w:r>
            <w:r w:rsidRPr="00ED725F">
              <w:rPr>
                <w:rFonts w:ascii="Times New Roman" w:hAnsi="Times New Roman" w:cs="Times New Roman"/>
                <w:i/>
                <w:iCs/>
                <w:sz w:val="24"/>
                <w:szCs w:val="24"/>
              </w:rPr>
              <w:t>μ</w:t>
            </w:r>
            <w:r w:rsidRPr="00ED725F">
              <w:rPr>
                <w:rFonts w:ascii="Times New Roman" w:hAnsi="Times New Roman" w:cs="Times New Roman"/>
                <w:sz w:val="24"/>
                <w:szCs w:val="24"/>
              </w:rPr>
              <w:t xml:space="preserve"> is the mean, and </w:t>
            </w:r>
            <w:r w:rsidRPr="00ED725F">
              <w:rPr>
                <w:rFonts w:ascii="Times New Roman" w:hAnsi="Times New Roman" w:cs="Times New Roman"/>
                <w:i/>
                <w:iCs/>
                <w:sz w:val="24"/>
                <w:szCs w:val="24"/>
              </w:rPr>
              <w:t>σ</w:t>
            </w:r>
            <w:r w:rsidRPr="00ED725F">
              <w:rPr>
                <w:rFonts w:ascii="Times New Roman" w:hAnsi="Times New Roman" w:cs="Times New Roman"/>
                <w:sz w:val="24"/>
                <w:szCs w:val="24"/>
              </w:rPr>
              <w:t xml:space="preserve"> is the standard deviation.</w:t>
            </w:r>
          </w:p>
        </w:tc>
      </w:tr>
      <w:tr w:rsidR="00DD77FF" w:rsidRPr="00DD77FF" w14:paraId="1FCA9408" w14:textId="77777777" w:rsidTr="00DD77FF">
        <w:trPr>
          <w:tblCellSpacing w:w="15" w:type="dxa"/>
        </w:trPr>
        <w:tc>
          <w:tcPr>
            <w:tcW w:w="1354" w:type="dxa"/>
            <w:vAlign w:val="center"/>
            <w:hideMark/>
          </w:tcPr>
          <w:p w14:paraId="586C3E63"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b/>
                <w:bCs/>
                <w:sz w:val="24"/>
                <w:szCs w:val="24"/>
              </w:rPr>
              <w:t>SPEI</w:t>
            </w:r>
          </w:p>
        </w:tc>
        <w:tc>
          <w:tcPr>
            <w:tcW w:w="0" w:type="auto"/>
            <w:vAlign w:val="center"/>
            <w:hideMark/>
          </w:tcPr>
          <w:p w14:paraId="4BA23BB9"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Standardized Precipitation Evapotranspiration Index</w:t>
            </w:r>
          </w:p>
        </w:tc>
        <w:tc>
          <w:tcPr>
            <w:tcW w:w="0" w:type="auto"/>
            <w:vAlign w:val="center"/>
            <w:hideMark/>
          </w:tcPr>
          <w:p w14:paraId="29DA074B"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Standardized index based on the climatic water balance (Precipitation − Potential Evapotranspiration), sensitive to global warming</w:t>
            </w:r>
          </w:p>
        </w:tc>
        <w:tc>
          <w:tcPr>
            <w:tcW w:w="1850" w:type="dxa"/>
            <w:vAlign w:val="center"/>
            <w:hideMark/>
          </w:tcPr>
          <w:p w14:paraId="2C568EFB"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Incorporates the effect of evaporative demand</w:t>
            </w:r>
          </w:p>
        </w:tc>
        <w:tc>
          <w:tcPr>
            <w:tcW w:w="2506" w:type="dxa"/>
            <w:vAlign w:val="center"/>
            <w:hideMark/>
          </w:tcPr>
          <w:p w14:paraId="0FB7F8A5"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b/>
                <w:bCs/>
                <w:sz w:val="24"/>
                <w:szCs w:val="24"/>
              </w:rPr>
              <w:t>Dᵢ = Pᵢ − PETᵢ</w:t>
            </w:r>
            <w:r w:rsidRPr="00ED725F">
              <w:rPr>
                <w:rFonts w:ascii="Times New Roman" w:hAnsi="Times New Roman" w:cs="Times New Roman"/>
                <w:sz w:val="24"/>
                <w:szCs w:val="24"/>
              </w:rPr>
              <w:t xml:space="preserve"> </w:t>
            </w:r>
            <w:r w:rsidRPr="00ED725F">
              <w:rPr>
                <w:rFonts w:ascii="Times New Roman" w:hAnsi="Times New Roman" w:cs="Times New Roman"/>
                <w:b/>
                <w:bCs/>
                <w:sz w:val="24"/>
                <w:szCs w:val="24"/>
              </w:rPr>
              <w:t>SPEI = (Dᵢ − μᴅ) / σᴅ</w:t>
            </w:r>
            <w:r w:rsidRPr="00ED725F">
              <w:rPr>
                <w:rFonts w:ascii="Times New Roman" w:hAnsi="Times New Roman" w:cs="Times New Roman"/>
                <w:sz w:val="24"/>
                <w:szCs w:val="24"/>
              </w:rPr>
              <w:t xml:space="preserve"> Where </w:t>
            </w:r>
            <w:r w:rsidRPr="00ED725F">
              <w:rPr>
                <w:rFonts w:ascii="Times New Roman" w:hAnsi="Times New Roman" w:cs="Times New Roman"/>
                <w:i/>
                <w:iCs/>
                <w:sz w:val="24"/>
                <w:szCs w:val="24"/>
              </w:rPr>
              <w:t>Dᵢ</w:t>
            </w:r>
            <w:r w:rsidRPr="00ED725F">
              <w:rPr>
                <w:rFonts w:ascii="Times New Roman" w:hAnsi="Times New Roman" w:cs="Times New Roman"/>
                <w:sz w:val="24"/>
                <w:szCs w:val="24"/>
              </w:rPr>
              <w:t xml:space="preserve"> is the water balance, </w:t>
            </w:r>
            <w:r w:rsidRPr="00ED725F">
              <w:rPr>
                <w:rFonts w:ascii="Times New Roman" w:hAnsi="Times New Roman" w:cs="Times New Roman"/>
                <w:i/>
                <w:iCs/>
                <w:sz w:val="24"/>
                <w:szCs w:val="24"/>
              </w:rPr>
              <w:t>μᴅ</w:t>
            </w:r>
            <w:r w:rsidRPr="00ED725F">
              <w:rPr>
                <w:rFonts w:ascii="Times New Roman" w:hAnsi="Times New Roman" w:cs="Times New Roman"/>
                <w:sz w:val="24"/>
                <w:szCs w:val="24"/>
              </w:rPr>
              <w:t xml:space="preserve"> the mean, and </w:t>
            </w:r>
            <w:r w:rsidRPr="00ED725F">
              <w:rPr>
                <w:rFonts w:ascii="Times New Roman" w:hAnsi="Times New Roman" w:cs="Times New Roman"/>
                <w:i/>
                <w:iCs/>
                <w:sz w:val="24"/>
                <w:szCs w:val="24"/>
              </w:rPr>
              <w:t>σᴅ</w:t>
            </w:r>
            <w:r w:rsidRPr="00ED725F">
              <w:rPr>
                <w:rFonts w:ascii="Times New Roman" w:hAnsi="Times New Roman" w:cs="Times New Roman"/>
                <w:sz w:val="24"/>
                <w:szCs w:val="24"/>
              </w:rPr>
              <w:t xml:space="preserve"> the standard deviation.</w:t>
            </w:r>
          </w:p>
        </w:tc>
      </w:tr>
      <w:tr w:rsidR="00DD77FF" w:rsidRPr="00DD77FF" w14:paraId="16ACC7B5" w14:textId="77777777" w:rsidTr="00DD77FF">
        <w:trPr>
          <w:tblCellSpacing w:w="15" w:type="dxa"/>
        </w:trPr>
        <w:tc>
          <w:tcPr>
            <w:tcW w:w="1354" w:type="dxa"/>
            <w:vAlign w:val="center"/>
            <w:hideMark/>
          </w:tcPr>
          <w:p w14:paraId="399DB253"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b/>
                <w:bCs/>
                <w:sz w:val="24"/>
                <w:szCs w:val="24"/>
              </w:rPr>
              <w:t>Mann–Kendall Test</w:t>
            </w:r>
          </w:p>
        </w:tc>
        <w:tc>
          <w:tcPr>
            <w:tcW w:w="0" w:type="auto"/>
            <w:vAlign w:val="center"/>
            <w:hideMark/>
          </w:tcPr>
          <w:p w14:paraId="71CEF590"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Non-parametric test for monotonic trend</w:t>
            </w:r>
          </w:p>
        </w:tc>
        <w:tc>
          <w:tcPr>
            <w:tcW w:w="0" w:type="auto"/>
            <w:vAlign w:val="center"/>
            <w:hideMark/>
          </w:tcPr>
          <w:p w14:paraId="2BAF863B"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Assesses the presence of a significant trend in a time series without assuming a normal distribution</w:t>
            </w:r>
          </w:p>
        </w:tc>
        <w:tc>
          <w:tcPr>
            <w:tcW w:w="1850" w:type="dxa"/>
            <w:vAlign w:val="center"/>
            <w:hideMark/>
          </w:tcPr>
          <w:p w14:paraId="07BD5516"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b/>
                <w:bCs/>
                <w:sz w:val="24"/>
                <w:szCs w:val="24"/>
              </w:rPr>
              <w:t>Tau &gt; 0:</w:t>
            </w:r>
            <w:r w:rsidRPr="00ED725F">
              <w:rPr>
                <w:rFonts w:ascii="Times New Roman" w:hAnsi="Times New Roman" w:cs="Times New Roman"/>
                <w:sz w:val="24"/>
                <w:szCs w:val="24"/>
              </w:rPr>
              <w:t xml:space="preserve"> increasing trend; </w:t>
            </w:r>
            <w:r w:rsidRPr="00ED725F">
              <w:rPr>
                <w:rFonts w:ascii="Times New Roman" w:hAnsi="Times New Roman" w:cs="Times New Roman"/>
                <w:b/>
                <w:bCs/>
                <w:sz w:val="24"/>
                <w:szCs w:val="24"/>
              </w:rPr>
              <w:t>Tau &lt; 0:</w:t>
            </w:r>
            <w:r w:rsidRPr="00ED725F">
              <w:rPr>
                <w:rFonts w:ascii="Times New Roman" w:hAnsi="Times New Roman" w:cs="Times New Roman"/>
                <w:sz w:val="24"/>
                <w:szCs w:val="24"/>
              </w:rPr>
              <w:t xml:space="preserve"> decreasing trend</w:t>
            </w:r>
          </w:p>
        </w:tc>
        <w:tc>
          <w:tcPr>
            <w:tcW w:w="2506" w:type="dxa"/>
            <w:vAlign w:val="center"/>
            <w:hideMark/>
          </w:tcPr>
          <w:p w14:paraId="0575E3B2"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b/>
                <w:bCs/>
                <w:sz w:val="24"/>
                <w:szCs w:val="24"/>
              </w:rPr>
              <w:t>S = Σ Σ sign(xⱼ − xᵢ)</w:t>
            </w:r>
            <w:r w:rsidRPr="00ED725F">
              <w:rPr>
                <w:rFonts w:ascii="Times New Roman" w:hAnsi="Times New Roman" w:cs="Times New Roman"/>
                <w:sz w:val="24"/>
                <w:szCs w:val="24"/>
              </w:rPr>
              <w:t xml:space="preserve"> for </w:t>
            </w:r>
            <w:r w:rsidRPr="00ED725F">
              <w:rPr>
                <w:rFonts w:ascii="Times New Roman" w:hAnsi="Times New Roman" w:cs="Times New Roman"/>
                <w:i/>
                <w:iCs/>
                <w:sz w:val="24"/>
                <w:szCs w:val="24"/>
              </w:rPr>
              <w:t>j &gt; i</w:t>
            </w:r>
            <w:r w:rsidRPr="00ED725F">
              <w:rPr>
                <w:rFonts w:ascii="Times New Roman" w:hAnsi="Times New Roman" w:cs="Times New Roman"/>
                <w:sz w:val="24"/>
                <w:szCs w:val="24"/>
              </w:rPr>
              <w:t xml:space="preserve"> </w:t>
            </w:r>
            <w:r w:rsidRPr="00ED725F">
              <w:rPr>
                <w:rFonts w:ascii="Times New Roman" w:hAnsi="Times New Roman" w:cs="Times New Roman"/>
                <w:b/>
                <w:bCs/>
                <w:sz w:val="24"/>
                <w:szCs w:val="24"/>
              </w:rPr>
              <w:t>Tau = S / [n(n−1)/2]</w:t>
            </w:r>
          </w:p>
        </w:tc>
      </w:tr>
      <w:tr w:rsidR="00DD77FF" w:rsidRPr="00DD77FF" w14:paraId="3FCEFB25" w14:textId="77777777" w:rsidTr="00DD77FF">
        <w:trPr>
          <w:tblCellSpacing w:w="15" w:type="dxa"/>
        </w:trPr>
        <w:tc>
          <w:tcPr>
            <w:tcW w:w="1354" w:type="dxa"/>
            <w:vAlign w:val="center"/>
            <w:hideMark/>
          </w:tcPr>
          <w:p w14:paraId="7D762C63"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b/>
                <w:bCs/>
                <w:sz w:val="24"/>
                <w:szCs w:val="24"/>
              </w:rPr>
              <w:t>Pettitt Test</w:t>
            </w:r>
          </w:p>
        </w:tc>
        <w:tc>
          <w:tcPr>
            <w:tcW w:w="0" w:type="auto"/>
            <w:vAlign w:val="center"/>
            <w:hideMark/>
          </w:tcPr>
          <w:p w14:paraId="3991D6AA"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Non-parametric change-point test</w:t>
            </w:r>
          </w:p>
        </w:tc>
        <w:tc>
          <w:tcPr>
            <w:tcW w:w="0" w:type="auto"/>
            <w:vAlign w:val="center"/>
            <w:hideMark/>
          </w:tcPr>
          <w:p w14:paraId="2AE5059C"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Detects a significant break (regime shift) in a time series</w:t>
            </w:r>
          </w:p>
        </w:tc>
        <w:tc>
          <w:tcPr>
            <w:tcW w:w="1850" w:type="dxa"/>
            <w:vAlign w:val="center"/>
            <w:hideMark/>
          </w:tcPr>
          <w:p w14:paraId="2F1500F3"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Identifies the year of structural change</w:t>
            </w:r>
          </w:p>
        </w:tc>
        <w:tc>
          <w:tcPr>
            <w:tcW w:w="2506" w:type="dxa"/>
            <w:vAlign w:val="center"/>
            <w:hideMark/>
          </w:tcPr>
          <w:p w14:paraId="53D2247F" w14:textId="77777777" w:rsidR="00DD77FF" w:rsidRPr="00ED725F" w:rsidRDefault="00DD77FF" w:rsidP="00ED725F">
            <w:pPr>
              <w:spacing w:line="276" w:lineRule="auto"/>
              <w:jc w:val="both"/>
              <w:rPr>
                <w:rFonts w:ascii="Times New Roman" w:hAnsi="Times New Roman" w:cs="Times New Roman"/>
                <w:sz w:val="24"/>
                <w:szCs w:val="24"/>
              </w:rPr>
            </w:pPr>
            <w:r w:rsidRPr="00ED725F">
              <w:rPr>
                <w:rFonts w:ascii="Times New Roman" w:hAnsi="Times New Roman" w:cs="Times New Roman"/>
                <w:sz w:val="24"/>
                <w:szCs w:val="24"/>
              </w:rPr>
              <w:t>**Kₜ = max</w:t>
            </w:r>
          </w:p>
        </w:tc>
      </w:tr>
    </w:tbl>
    <w:p w14:paraId="6E59EA2A" w14:textId="6B43C231" w:rsidR="00DD77FF" w:rsidRPr="00B263D3" w:rsidRDefault="00FD6F4A" w:rsidP="00B263D3">
      <w:pPr>
        <w:pStyle w:val="Paragraphedeliste"/>
        <w:numPr>
          <w:ilvl w:val="0"/>
          <w:numId w:val="18"/>
        </w:numPr>
        <w:spacing w:line="360" w:lineRule="auto"/>
        <w:jc w:val="both"/>
        <w:rPr>
          <w:rFonts w:ascii="Times New Roman" w:hAnsi="Times New Roman" w:cs="Times New Roman"/>
          <w:b/>
          <w:bCs/>
          <w:sz w:val="24"/>
          <w:szCs w:val="24"/>
        </w:rPr>
      </w:pPr>
      <w:r w:rsidRPr="00B263D3">
        <w:rPr>
          <w:rFonts w:ascii="Times New Roman" w:hAnsi="Times New Roman" w:cs="Times New Roman"/>
          <w:b/>
          <w:bCs/>
          <w:sz w:val="24"/>
          <w:szCs w:val="24"/>
        </w:rPr>
        <w:lastRenderedPageBreak/>
        <w:t>RESULTS</w:t>
      </w:r>
    </w:p>
    <w:p w14:paraId="0A794F43" w14:textId="77777777" w:rsidR="00DD77FF" w:rsidRPr="00ED725F" w:rsidRDefault="00DD77FF" w:rsidP="00ED725F">
      <w:pPr>
        <w:spacing w:line="360" w:lineRule="auto"/>
        <w:jc w:val="both"/>
        <w:rPr>
          <w:rFonts w:ascii="Times New Roman" w:hAnsi="Times New Roman" w:cs="Times New Roman"/>
          <w:sz w:val="24"/>
          <w:szCs w:val="24"/>
        </w:rPr>
      </w:pPr>
      <w:r w:rsidRPr="000A2508">
        <w:rPr>
          <w:rFonts w:ascii="Times New Roman" w:hAnsi="Times New Roman" w:cs="Times New Roman"/>
          <w:b/>
          <w:bCs/>
          <w:sz w:val="24"/>
          <w:szCs w:val="24"/>
        </w:rPr>
        <w:t>3.1</w:t>
      </w:r>
      <w:r w:rsidRPr="00ED725F">
        <w:rPr>
          <w:rFonts w:ascii="Times New Roman" w:hAnsi="Times New Roman" w:cs="Times New Roman"/>
          <w:sz w:val="24"/>
          <w:szCs w:val="24"/>
        </w:rPr>
        <w:t xml:space="preserve">. </w:t>
      </w:r>
      <w:r w:rsidRPr="00ED725F">
        <w:rPr>
          <w:rFonts w:ascii="Times New Roman" w:hAnsi="Times New Roman" w:cs="Times New Roman"/>
          <w:b/>
          <w:bCs/>
          <w:sz w:val="24"/>
          <w:szCs w:val="24"/>
        </w:rPr>
        <w:t>Socio-economic Profile of the Respondents</w:t>
      </w:r>
    </w:p>
    <w:p w14:paraId="24EF7C83" w14:textId="7BE6B1FE" w:rsidR="00DD77FF" w:rsidRPr="00ED725F" w:rsidRDefault="00DD77FF"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The results show a clear dominance of agriculture, which represents the main activity across all study sites, with proportions generally exceeding 60% and reaching 100% in Boudouri, Goujou, Kill Manga, Kourou, and Tacha Rogo. Livestock farming constitutes the second most important activity, particularly among women, with high frequencies observed in Foulatari (75%), Dassoram (60%), Kabi Kolo (100%), and N’Guelbelly (100%). Trade remains a secondary activity but reaches notable levels in Gamari (23.8% among men and 33.3% among women) and Madouri (30.8% among men). Fishing and public service employment remain marginal activities, accounting for less than 5% of respondents.</w:t>
      </w:r>
    </w:p>
    <w:p w14:paraId="249AF092" w14:textId="0683C7DA" w:rsidR="00DD77FF" w:rsidRDefault="00DD77FF" w:rsidP="00DD77FF">
      <w:pPr>
        <w:jc w:val="center"/>
      </w:pPr>
      <w:r>
        <w:rPr>
          <w:noProof/>
          <w:lang w:val="en-US"/>
        </w:rPr>
        <w:drawing>
          <wp:inline distT="0" distB="0" distL="0" distR="0" wp14:anchorId="3DCD8089" wp14:editId="567CB8B6">
            <wp:extent cx="4152265" cy="3200400"/>
            <wp:effectExtent l="0" t="0" r="635" b="0"/>
            <wp:docPr id="6092018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3208" cy="3239665"/>
                    </a:xfrm>
                    <a:prstGeom prst="rect">
                      <a:avLst/>
                    </a:prstGeom>
                    <a:noFill/>
                  </pic:spPr>
                </pic:pic>
              </a:graphicData>
            </a:graphic>
          </wp:inline>
        </w:drawing>
      </w:r>
    </w:p>
    <w:p w14:paraId="48D9F8C8" w14:textId="3D282F36" w:rsidR="00DD77FF" w:rsidRPr="00ED725F" w:rsidRDefault="00DD77FF" w:rsidP="00DD77FF">
      <w:pPr>
        <w:jc w:val="center"/>
        <w:rPr>
          <w:rFonts w:ascii="Times New Roman" w:hAnsi="Times New Roman" w:cs="Times New Roman"/>
          <w:sz w:val="24"/>
          <w:szCs w:val="24"/>
        </w:rPr>
      </w:pPr>
      <w:r w:rsidRPr="00ED725F">
        <w:rPr>
          <w:rFonts w:ascii="Times New Roman" w:hAnsi="Times New Roman" w:cs="Times New Roman"/>
          <w:sz w:val="24"/>
          <w:szCs w:val="24"/>
        </w:rPr>
        <w:t>Fig. 3. Socio-economic Profile of the Respondents</w:t>
      </w:r>
    </w:p>
    <w:p w14:paraId="1EF4D566" w14:textId="77777777" w:rsidR="00D80E86" w:rsidRPr="00ED725F" w:rsidRDefault="00D80E86" w:rsidP="00ED725F">
      <w:pPr>
        <w:spacing w:line="360" w:lineRule="auto"/>
        <w:jc w:val="both"/>
        <w:rPr>
          <w:rFonts w:ascii="Times New Roman" w:hAnsi="Times New Roman" w:cs="Times New Roman"/>
          <w:sz w:val="24"/>
          <w:szCs w:val="24"/>
        </w:rPr>
      </w:pPr>
      <w:r w:rsidRPr="00D80E86">
        <w:rPr>
          <w:b/>
          <w:bCs/>
        </w:rPr>
        <w:t xml:space="preserve">3.2. </w:t>
      </w:r>
      <w:r w:rsidRPr="00ED725F">
        <w:rPr>
          <w:rFonts w:ascii="Times New Roman" w:hAnsi="Times New Roman" w:cs="Times New Roman"/>
          <w:b/>
          <w:bCs/>
          <w:sz w:val="24"/>
          <w:szCs w:val="24"/>
        </w:rPr>
        <w:t>Community Perceptions of Climate and Observed Changes</w:t>
      </w:r>
    </w:p>
    <w:p w14:paraId="1938192A" w14:textId="6419EEA8" w:rsidR="00D80E86" w:rsidRPr="00ED725F" w:rsidRDefault="00D80E86" w:rsidP="00ED725F">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 xml:space="preserve">Figure 4 shows that local populations perceive climate change through several indicators, with perception levels ranging between 7.4% and 11.2%. The most frequently cited phenomena include intense rainfall (11.2%), rising temperatures (10.6%), and variability in the rainy season, particularly late onset (10.6%), as well as strong winds (10.7%), indicating a high sensitivity to extreme climatic events and seasonal disruptions. In contrast, floods (7.4%) and the early end of the rainy season (8.7%) are less frequently mentioned. Overall, these results </w:t>
      </w:r>
      <w:r w:rsidRPr="00ED725F">
        <w:rPr>
          <w:rFonts w:ascii="Times New Roman" w:hAnsi="Times New Roman" w:cs="Times New Roman"/>
          <w:sz w:val="24"/>
          <w:szCs w:val="24"/>
        </w:rPr>
        <w:lastRenderedPageBreak/>
        <w:t>indicate that local populations mainly associate climate change with increasing climatic variability rather than with a gradual modification of average climatic conditions.</w:t>
      </w:r>
    </w:p>
    <w:p w14:paraId="6C6A2361" w14:textId="5E78A204" w:rsidR="00D80E86" w:rsidRPr="00D80E86" w:rsidRDefault="00D80E86" w:rsidP="00D80E86">
      <w:pPr>
        <w:jc w:val="center"/>
      </w:pPr>
      <w:r>
        <w:rPr>
          <w:noProof/>
          <w:lang w:val="en-US"/>
        </w:rPr>
        <w:drawing>
          <wp:inline distT="0" distB="0" distL="0" distR="0" wp14:anchorId="744080B3" wp14:editId="6F9F87E9">
            <wp:extent cx="5619750" cy="2844800"/>
            <wp:effectExtent l="0" t="0" r="0" b="0"/>
            <wp:docPr id="174167843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4117" t="5775"/>
                    <a:stretch>
                      <a:fillRect/>
                    </a:stretch>
                  </pic:blipFill>
                  <pic:spPr bwMode="auto">
                    <a:xfrm>
                      <a:off x="0" y="0"/>
                      <a:ext cx="5639529" cy="2854812"/>
                    </a:xfrm>
                    <a:prstGeom prst="rect">
                      <a:avLst/>
                    </a:prstGeom>
                    <a:noFill/>
                    <a:ln>
                      <a:noFill/>
                    </a:ln>
                    <a:extLst>
                      <a:ext uri="{53640926-AAD7-44D8-BBD7-CCE9431645EC}">
                        <a14:shadowObscured xmlns:a14="http://schemas.microsoft.com/office/drawing/2010/main"/>
                      </a:ext>
                    </a:extLst>
                  </pic:spPr>
                </pic:pic>
              </a:graphicData>
            </a:graphic>
          </wp:inline>
        </w:drawing>
      </w:r>
    </w:p>
    <w:p w14:paraId="3CDE52AF" w14:textId="77777777" w:rsidR="00D80E86" w:rsidRDefault="00D80E86" w:rsidP="00D80E86">
      <w:pPr>
        <w:jc w:val="center"/>
        <w:rPr>
          <w:rFonts w:ascii="Times New Roman" w:hAnsi="Times New Roman" w:cs="Times New Roman"/>
          <w:sz w:val="24"/>
          <w:szCs w:val="24"/>
        </w:rPr>
      </w:pPr>
      <w:r w:rsidRPr="00ED725F">
        <w:rPr>
          <w:rFonts w:ascii="Times New Roman" w:hAnsi="Times New Roman" w:cs="Times New Roman"/>
          <w:b/>
          <w:bCs/>
          <w:sz w:val="24"/>
          <w:szCs w:val="24"/>
        </w:rPr>
        <w:t>Fig. 4.</w:t>
      </w:r>
      <w:r w:rsidRPr="00ED725F">
        <w:rPr>
          <w:rFonts w:ascii="Times New Roman" w:hAnsi="Times New Roman" w:cs="Times New Roman"/>
          <w:sz w:val="24"/>
          <w:szCs w:val="24"/>
        </w:rPr>
        <w:t xml:space="preserve"> Community Perceptions of Climate Change</w:t>
      </w:r>
    </w:p>
    <w:p w14:paraId="2757D7A3" w14:textId="77777777" w:rsidR="000A2508" w:rsidRPr="00ED725F" w:rsidRDefault="000A2508" w:rsidP="000A2508">
      <w:pPr>
        <w:rPr>
          <w:rFonts w:ascii="Times New Roman" w:hAnsi="Times New Roman" w:cs="Times New Roman"/>
          <w:sz w:val="24"/>
          <w:szCs w:val="24"/>
        </w:rPr>
      </w:pPr>
    </w:p>
    <w:p w14:paraId="56AAB77D" w14:textId="041B00E8" w:rsidR="00D80E86" w:rsidRPr="00ED725F" w:rsidRDefault="00D80E86" w:rsidP="00ED725F">
      <w:pPr>
        <w:spacing w:line="360" w:lineRule="auto"/>
        <w:jc w:val="both"/>
        <w:rPr>
          <w:rFonts w:ascii="Times New Roman" w:hAnsi="Times New Roman" w:cs="Times New Roman"/>
          <w:sz w:val="24"/>
          <w:szCs w:val="24"/>
        </w:rPr>
      </w:pPr>
      <w:r>
        <w:rPr>
          <w:b/>
          <w:bCs/>
        </w:rPr>
        <w:t>3.3</w:t>
      </w:r>
      <w:r w:rsidRPr="00ED725F">
        <w:rPr>
          <w:rFonts w:ascii="Times New Roman" w:hAnsi="Times New Roman" w:cs="Times New Roman"/>
          <w:sz w:val="24"/>
          <w:szCs w:val="24"/>
        </w:rPr>
        <w:t xml:space="preserve">. </w:t>
      </w:r>
      <w:r w:rsidR="000A2508">
        <w:rPr>
          <w:rFonts w:ascii="Times New Roman" w:hAnsi="Times New Roman" w:cs="Times New Roman"/>
          <w:sz w:val="24"/>
          <w:szCs w:val="24"/>
        </w:rPr>
        <w:t xml:space="preserve"> </w:t>
      </w:r>
      <w:r w:rsidR="000A2508" w:rsidRPr="00670B75">
        <w:rPr>
          <w:rFonts w:ascii="Times New Roman" w:hAnsi="Times New Roman" w:cs="Times New Roman"/>
          <w:b/>
          <w:bCs/>
          <w:sz w:val="24"/>
          <w:szCs w:val="24"/>
        </w:rPr>
        <w:t>Climate Trends</w:t>
      </w:r>
      <w:r w:rsidR="000A2508">
        <w:rPr>
          <w:rFonts w:ascii="Times New Roman" w:hAnsi="Times New Roman" w:cs="Times New Roman"/>
          <w:b/>
          <w:bCs/>
          <w:sz w:val="24"/>
          <w:szCs w:val="24"/>
        </w:rPr>
        <w:t xml:space="preserve"> </w:t>
      </w:r>
    </w:p>
    <w:p w14:paraId="7EE52193" w14:textId="77777777" w:rsidR="000A2508" w:rsidRPr="00670B75" w:rsidRDefault="00D80E86" w:rsidP="000A2508">
      <w:pPr>
        <w:spacing w:line="360" w:lineRule="auto"/>
        <w:jc w:val="both"/>
        <w:rPr>
          <w:rFonts w:ascii="Times New Roman" w:hAnsi="Times New Roman" w:cs="Times New Roman"/>
          <w:b/>
          <w:bCs/>
          <w:sz w:val="24"/>
          <w:szCs w:val="24"/>
        </w:rPr>
      </w:pPr>
      <w:r w:rsidRPr="000A2508">
        <w:rPr>
          <w:rFonts w:ascii="Times New Roman" w:hAnsi="Times New Roman" w:cs="Times New Roman"/>
          <w:b/>
          <w:bCs/>
          <w:sz w:val="24"/>
          <w:szCs w:val="24"/>
        </w:rPr>
        <w:t>3.3.1</w:t>
      </w:r>
      <w:r w:rsidRPr="00ED725F">
        <w:rPr>
          <w:rFonts w:ascii="Times New Roman" w:hAnsi="Times New Roman" w:cs="Times New Roman"/>
          <w:b/>
          <w:bCs/>
          <w:sz w:val="24"/>
          <w:szCs w:val="24"/>
        </w:rPr>
        <w:t xml:space="preserve">. </w:t>
      </w:r>
      <w:r w:rsidR="000A2508">
        <w:rPr>
          <w:rFonts w:ascii="Times New Roman" w:hAnsi="Times New Roman" w:cs="Times New Roman"/>
          <w:b/>
          <w:bCs/>
          <w:sz w:val="24"/>
          <w:szCs w:val="24"/>
        </w:rPr>
        <w:t xml:space="preserve"> </w:t>
      </w:r>
      <w:r w:rsidR="000A2508" w:rsidRPr="00670B75">
        <w:rPr>
          <w:rFonts w:ascii="Times New Roman" w:hAnsi="Times New Roman" w:cs="Times New Roman"/>
          <w:b/>
          <w:bCs/>
          <w:sz w:val="24"/>
          <w:szCs w:val="24"/>
        </w:rPr>
        <w:t>Calculation of Extreme Climate Indices</w:t>
      </w:r>
    </w:p>
    <w:p w14:paraId="3745FFF6" w14:textId="77777777" w:rsidR="000A2508" w:rsidRPr="00ED725F" w:rsidRDefault="000A2508" w:rsidP="000A2508">
      <w:pPr>
        <w:pStyle w:val="Paragraphedeliste"/>
        <w:numPr>
          <w:ilvl w:val="0"/>
          <w:numId w:val="6"/>
        </w:numPr>
        <w:spacing w:line="360" w:lineRule="auto"/>
        <w:jc w:val="both"/>
        <w:rPr>
          <w:rFonts w:ascii="Times New Roman" w:hAnsi="Times New Roman" w:cs="Times New Roman"/>
          <w:sz w:val="24"/>
          <w:szCs w:val="24"/>
        </w:rPr>
      </w:pPr>
      <w:r w:rsidRPr="00ED725F">
        <w:rPr>
          <w:rFonts w:ascii="Times New Roman" w:hAnsi="Times New Roman" w:cs="Times New Roman"/>
          <w:b/>
          <w:bCs/>
          <w:sz w:val="24"/>
          <w:szCs w:val="24"/>
        </w:rPr>
        <w:t>Analysis of the TX90p Index</w:t>
      </w:r>
    </w:p>
    <w:p w14:paraId="3AE21EDE" w14:textId="42654B74" w:rsidR="000A2508" w:rsidRPr="000A2508" w:rsidRDefault="000A2508" w:rsidP="000A2508">
      <w:pPr>
        <w:spacing w:line="360" w:lineRule="auto"/>
        <w:jc w:val="both"/>
        <w:rPr>
          <w:rFonts w:ascii="Times New Roman" w:hAnsi="Times New Roman" w:cs="Times New Roman"/>
          <w:sz w:val="24"/>
          <w:szCs w:val="24"/>
        </w:rPr>
      </w:pPr>
      <w:r w:rsidRPr="000A2508">
        <w:rPr>
          <w:rFonts w:ascii="Times New Roman" w:hAnsi="Times New Roman" w:cs="Times New Roman"/>
          <w:sz w:val="24"/>
          <w:szCs w:val="24"/>
        </w:rPr>
        <w:t>The results of the analysis show the evolution of maximum temperatures (</w:t>
      </w:r>
      <w:proofErr w:type="spellStart"/>
      <w:r w:rsidRPr="000A2508">
        <w:rPr>
          <w:rFonts w:ascii="Times New Roman" w:hAnsi="Times New Roman" w:cs="Times New Roman"/>
          <w:sz w:val="24"/>
          <w:szCs w:val="24"/>
        </w:rPr>
        <w:t>Tmax</w:t>
      </w:r>
      <w:proofErr w:type="spellEnd"/>
      <w:r w:rsidRPr="000A2508">
        <w:rPr>
          <w:rFonts w:ascii="Times New Roman" w:hAnsi="Times New Roman" w:cs="Times New Roman"/>
          <w:sz w:val="24"/>
          <w:szCs w:val="24"/>
        </w:rPr>
        <w:t xml:space="preserve">) over </w:t>
      </w:r>
      <w:r w:rsidR="00A16D68" w:rsidRPr="000A2508">
        <w:rPr>
          <w:rFonts w:ascii="Times New Roman" w:hAnsi="Times New Roman" w:cs="Times New Roman"/>
          <w:sz w:val="24"/>
          <w:szCs w:val="24"/>
        </w:rPr>
        <w:t>time;</w:t>
      </w:r>
      <w:r w:rsidRPr="000A2508">
        <w:rPr>
          <w:rFonts w:ascii="Times New Roman" w:hAnsi="Times New Roman" w:cs="Times New Roman"/>
          <w:sz w:val="24"/>
          <w:szCs w:val="24"/>
        </w:rPr>
        <w:t xml:space="preserve"> the calculated TX90p index is 41.88 °C for the reference period 1995–2014. A day is considered extremely hot when the maximum temperature exceeds 41.9 °C, corresponding on average to 36 to 37 days per year (10% of 365 days). In a Sahelian context such as Diffa, such a frequency of extreme heat has direct repercussions on socio-economic activities. These include reduced agricultural productivity due to water and heat stress affecting crops, declining livestock</w:t>
      </w:r>
      <w:r w:rsidRPr="000A2508">
        <w:rPr>
          <w:rFonts w:ascii="Times New Roman" w:hAnsi="Times New Roman" w:cs="Times New Roman"/>
          <w:b/>
          <w:bCs/>
          <w:sz w:val="24"/>
          <w:szCs w:val="24"/>
        </w:rPr>
        <w:t xml:space="preserve"> </w:t>
      </w:r>
      <w:r w:rsidRPr="000A2508">
        <w:rPr>
          <w:rFonts w:ascii="Times New Roman" w:hAnsi="Times New Roman" w:cs="Times New Roman"/>
          <w:sz w:val="24"/>
          <w:szCs w:val="24"/>
        </w:rPr>
        <w:t>performance, reduced capacity for outdoor work (agriculture, trade, construction), increased energy expenditures related to cooling, and heightened health risks such as dehydration and heatstroke. Thus, this high threshold reflects not only pronounced climatic intensity but also heightened</w:t>
      </w:r>
      <w:r w:rsidRPr="000A2508">
        <w:rPr>
          <w:rFonts w:ascii="Times New Roman" w:hAnsi="Times New Roman" w:cs="Times New Roman"/>
          <w:b/>
          <w:bCs/>
          <w:sz w:val="24"/>
          <w:szCs w:val="24"/>
        </w:rPr>
        <w:t xml:space="preserve"> </w:t>
      </w:r>
      <w:r w:rsidRPr="000A2508">
        <w:rPr>
          <w:rFonts w:ascii="Times New Roman" w:hAnsi="Times New Roman" w:cs="Times New Roman"/>
          <w:sz w:val="24"/>
          <w:szCs w:val="24"/>
        </w:rPr>
        <w:t>vulnerability of local livelihoods to thermal extremes.</w:t>
      </w:r>
    </w:p>
    <w:p w14:paraId="0FC70B16" w14:textId="77777777" w:rsidR="000A2508" w:rsidRDefault="000A2508" w:rsidP="000A2508">
      <w:pPr>
        <w:pStyle w:val="NormalWeb"/>
        <w:ind w:left="720"/>
        <w:jc w:val="center"/>
        <w:rPr>
          <w:rFonts w:eastAsiaTheme="minorHAnsi"/>
          <w:noProof/>
          <w:lang w:val="en-US"/>
        </w:rPr>
      </w:pPr>
      <w:r>
        <w:rPr>
          <w:noProof/>
        </w:rPr>
        <w:lastRenderedPageBreak/>
        <w:drawing>
          <wp:inline distT="0" distB="0" distL="0" distR="0" wp14:anchorId="59DEC265" wp14:editId="51D48BE2">
            <wp:extent cx="4037330" cy="2387600"/>
            <wp:effectExtent l="0" t="0" r="1270" b="0"/>
            <wp:docPr id="4061186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251"/>
                    <a:stretch>
                      <a:fillRect/>
                    </a:stretch>
                  </pic:blipFill>
                  <pic:spPr bwMode="auto">
                    <a:xfrm>
                      <a:off x="0" y="0"/>
                      <a:ext cx="4181986" cy="2473147"/>
                    </a:xfrm>
                    <a:prstGeom prst="rect">
                      <a:avLst/>
                    </a:prstGeom>
                    <a:noFill/>
                    <a:ln>
                      <a:noFill/>
                    </a:ln>
                    <a:extLst>
                      <a:ext uri="{53640926-AAD7-44D8-BBD7-CCE9431645EC}">
                        <a14:shadowObscured xmlns:a14="http://schemas.microsoft.com/office/drawing/2010/main"/>
                      </a:ext>
                    </a:extLst>
                  </pic:spPr>
                </pic:pic>
              </a:graphicData>
            </a:graphic>
          </wp:inline>
        </w:drawing>
      </w:r>
    </w:p>
    <w:p w14:paraId="6200F5B3" w14:textId="238E6D0F" w:rsidR="000A2508" w:rsidRDefault="000A2508" w:rsidP="000A2508">
      <w:pPr>
        <w:pStyle w:val="NormalWeb"/>
        <w:ind w:left="720"/>
      </w:pPr>
      <w:r w:rsidRPr="00205B83">
        <w:rPr>
          <w:b/>
          <w:bCs/>
        </w:rPr>
        <w:t xml:space="preserve">Fig. </w:t>
      </w:r>
      <w:r>
        <w:rPr>
          <w:b/>
          <w:bCs/>
        </w:rPr>
        <w:t>5</w:t>
      </w:r>
      <w:r w:rsidRPr="00205B83">
        <w:rPr>
          <w:b/>
          <w:bCs/>
        </w:rPr>
        <w:t>.</w:t>
      </w:r>
      <w:r w:rsidRPr="00205B83">
        <w:t xml:space="preserve"> Evolution of Maximum Temperatures (</w:t>
      </w:r>
      <w:proofErr w:type="spellStart"/>
      <w:r w:rsidRPr="00205B83">
        <w:t>Tmax</w:t>
      </w:r>
      <w:proofErr w:type="spellEnd"/>
      <w:r w:rsidRPr="00205B83">
        <w:t>) from 1995 to 2025</w:t>
      </w:r>
    </w:p>
    <w:p w14:paraId="55A6D5C1" w14:textId="77777777" w:rsidR="000A2508" w:rsidRPr="00ED725F" w:rsidRDefault="000A2508" w:rsidP="000A2508">
      <w:pPr>
        <w:pStyle w:val="Paragraphedeliste"/>
        <w:numPr>
          <w:ilvl w:val="0"/>
          <w:numId w:val="6"/>
        </w:numPr>
        <w:spacing w:line="360" w:lineRule="auto"/>
        <w:jc w:val="both"/>
        <w:rPr>
          <w:rFonts w:ascii="Times New Roman" w:hAnsi="Times New Roman" w:cs="Times New Roman"/>
          <w:b/>
          <w:bCs/>
          <w:sz w:val="24"/>
          <w:szCs w:val="24"/>
        </w:rPr>
      </w:pPr>
      <w:r w:rsidRPr="00ED725F">
        <w:rPr>
          <w:rFonts w:ascii="Times New Roman" w:hAnsi="Times New Roman" w:cs="Times New Roman"/>
          <w:b/>
          <w:bCs/>
          <w:sz w:val="24"/>
          <w:szCs w:val="24"/>
        </w:rPr>
        <w:t>Analysis of the TN90 Index</w:t>
      </w:r>
    </w:p>
    <w:p w14:paraId="7C63387B" w14:textId="77777777" w:rsidR="000A2508" w:rsidRPr="00205B83" w:rsidRDefault="000A2508" w:rsidP="000A2508">
      <w:pPr>
        <w:spacing w:line="360" w:lineRule="auto"/>
        <w:jc w:val="both"/>
        <w:rPr>
          <w:rFonts w:ascii="Times New Roman" w:hAnsi="Times New Roman" w:cs="Times New Roman"/>
          <w:sz w:val="24"/>
          <w:szCs w:val="24"/>
        </w:rPr>
      </w:pPr>
      <w:r w:rsidRPr="00205B83">
        <w:rPr>
          <w:rFonts w:ascii="Times New Roman" w:hAnsi="Times New Roman" w:cs="Times New Roman"/>
          <w:sz w:val="24"/>
          <w:szCs w:val="24"/>
        </w:rPr>
        <w:t>The analysis of the evolution of minimum temperatures (</w:t>
      </w:r>
      <w:proofErr w:type="spellStart"/>
      <w:r w:rsidRPr="00205B83">
        <w:rPr>
          <w:rFonts w:ascii="Times New Roman" w:hAnsi="Times New Roman" w:cs="Times New Roman"/>
          <w:sz w:val="24"/>
          <w:szCs w:val="24"/>
        </w:rPr>
        <w:t>Tmin</w:t>
      </w:r>
      <w:proofErr w:type="spellEnd"/>
      <w:r w:rsidRPr="00205B83">
        <w:rPr>
          <w:rFonts w:ascii="Times New Roman" w:hAnsi="Times New Roman" w:cs="Times New Roman"/>
          <w:sz w:val="24"/>
          <w:szCs w:val="24"/>
        </w:rPr>
        <w:t>) indicates that TN90 = 27.36 °C, meaning that during the reference period, about 10% of nights (approximately 36–37 nights per year) recorded minimum temperatures exceeding 27.3 °C.</w:t>
      </w:r>
      <w:r w:rsidRPr="00ED725F">
        <w:rPr>
          <w:rFonts w:ascii="Times New Roman" w:hAnsi="Times New Roman" w:cs="Times New Roman"/>
          <w:sz w:val="24"/>
          <w:szCs w:val="24"/>
        </w:rPr>
        <w:t xml:space="preserve"> </w:t>
      </w:r>
      <w:r w:rsidRPr="00205B83">
        <w:rPr>
          <w:rFonts w:ascii="Times New Roman" w:hAnsi="Times New Roman" w:cs="Times New Roman"/>
          <w:sz w:val="24"/>
          <w:szCs w:val="24"/>
        </w:rPr>
        <w:t>In a Sahelian context such as Diffa, where nighttime temperatures during the hot season may exceed 28 °C, this situation reflects the persistence of nocturnal heat. From a socio-economic perspective, the limited nighttime cooling increases thermal stress among populations, reduces the quality of rest and work capacity the following day, and raises health risks.</w:t>
      </w:r>
      <w:r w:rsidRPr="00ED725F">
        <w:rPr>
          <w:rFonts w:ascii="Times New Roman" w:hAnsi="Times New Roman" w:cs="Times New Roman"/>
          <w:sz w:val="24"/>
          <w:szCs w:val="24"/>
        </w:rPr>
        <w:t xml:space="preserve"> </w:t>
      </w:r>
      <w:r w:rsidRPr="00205B83">
        <w:rPr>
          <w:rFonts w:ascii="Times New Roman" w:hAnsi="Times New Roman" w:cs="Times New Roman"/>
          <w:sz w:val="24"/>
          <w:szCs w:val="24"/>
        </w:rPr>
        <w:t>It may also affect agricultural productivity, particularly the nighttime metabolic processes of crops, and reduce livestock well-being, while increasing energy needs for cooling. Thus, a high TN90 value reflects continuous thermal pressure, which can weaken local livelihoods and adaptive capacities.</w:t>
      </w:r>
    </w:p>
    <w:p w14:paraId="057AD20E" w14:textId="77777777" w:rsidR="000A2508" w:rsidRDefault="000A2508" w:rsidP="000A2508">
      <w:pPr>
        <w:jc w:val="center"/>
        <w:rPr>
          <w:noProof/>
          <w:lang w:val="en-US"/>
        </w:rPr>
      </w:pPr>
      <w:r>
        <w:rPr>
          <w:rFonts w:ascii="Times New Roman" w:hAnsi="Times New Roman" w:cs="Times New Roman"/>
          <w:noProof/>
          <w:sz w:val="24"/>
          <w:szCs w:val="24"/>
        </w:rPr>
        <w:drawing>
          <wp:inline distT="0" distB="0" distL="0" distR="0" wp14:anchorId="516BBB80" wp14:editId="2D051071">
            <wp:extent cx="3966210" cy="2127250"/>
            <wp:effectExtent l="0" t="0" r="0" b="6350"/>
            <wp:docPr id="115128713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681" b="3075"/>
                    <a:stretch>
                      <a:fillRect/>
                    </a:stretch>
                  </pic:blipFill>
                  <pic:spPr bwMode="auto">
                    <a:xfrm>
                      <a:off x="0" y="0"/>
                      <a:ext cx="4119491" cy="2209461"/>
                    </a:xfrm>
                    <a:prstGeom prst="rect">
                      <a:avLst/>
                    </a:prstGeom>
                    <a:noFill/>
                    <a:ln>
                      <a:noFill/>
                    </a:ln>
                    <a:extLst>
                      <a:ext uri="{53640926-AAD7-44D8-BBD7-CCE9431645EC}">
                        <a14:shadowObscured xmlns:a14="http://schemas.microsoft.com/office/drawing/2010/main"/>
                      </a:ext>
                    </a:extLst>
                  </pic:spPr>
                </pic:pic>
              </a:graphicData>
            </a:graphic>
          </wp:inline>
        </w:drawing>
      </w:r>
    </w:p>
    <w:p w14:paraId="53D910DE" w14:textId="0C5DEEB2" w:rsidR="000A2508" w:rsidRPr="00ED725F" w:rsidRDefault="000A2508" w:rsidP="000A2508">
      <w:pPr>
        <w:jc w:val="center"/>
        <w:rPr>
          <w:rFonts w:ascii="Times New Roman" w:hAnsi="Times New Roman" w:cs="Times New Roman"/>
        </w:rPr>
      </w:pPr>
      <w:r w:rsidRPr="00ED725F">
        <w:rPr>
          <w:rFonts w:ascii="Times New Roman" w:hAnsi="Times New Roman" w:cs="Times New Roman"/>
          <w:b/>
          <w:bCs/>
        </w:rPr>
        <w:t xml:space="preserve">Fig. </w:t>
      </w:r>
      <w:r>
        <w:rPr>
          <w:rFonts w:ascii="Times New Roman" w:hAnsi="Times New Roman" w:cs="Times New Roman"/>
          <w:b/>
          <w:bCs/>
        </w:rPr>
        <w:t>6</w:t>
      </w:r>
      <w:r w:rsidRPr="00ED725F">
        <w:rPr>
          <w:rFonts w:ascii="Times New Roman" w:hAnsi="Times New Roman" w:cs="Times New Roman"/>
          <w:b/>
          <w:bCs/>
        </w:rPr>
        <w:t>.</w:t>
      </w:r>
      <w:r w:rsidRPr="00ED725F">
        <w:rPr>
          <w:rFonts w:ascii="Times New Roman" w:hAnsi="Times New Roman" w:cs="Times New Roman"/>
        </w:rPr>
        <w:t xml:space="preserve"> Evolution of Minimum Temperatures (</w:t>
      </w:r>
      <w:proofErr w:type="spellStart"/>
      <w:r w:rsidRPr="00ED725F">
        <w:rPr>
          <w:rFonts w:ascii="Times New Roman" w:hAnsi="Times New Roman" w:cs="Times New Roman"/>
        </w:rPr>
        <w:t>Tmin</w:t>
      </w:r>
      <w:proofErr w:type="spellEnd"/>
      <w:r w:rsidRPr="00ED725F">
        <w:rPr>
          <w:rFonts w:ascii="Times New Roman" w:hAnsi="Times New Roman" w:cs="Times New Roman"/>
        </w:rPr>
        <w:t>) from 1995 to 2025</w:t>
      </w:r>
    </w:p>
    <w:p w14:paraId="4968EDD0" w14:textId="77777777" w:rsidR="000A2508" w:rsidRPr="00ED725F" w:rsidRDefault="000A2508" w:rsidP="000A2508">
      <w:pPr>
        <w:pStyle w:val="Paragraphedeliste"/>
        <w:numPr>
          <w:ilvl w:val="0"/>
          <w:numId w:val="6"/>
        </w:numPr>
        <w:spacing w:line="360" w:lineRule="auto"/>
        <w:jc w:val="both"/>
        <w:rPr>
          <w:rFonts w:ascii="Times New Roman" w:hAnsi="Times New Roman" w:cs="Times New Roman"/>
          <w:b/>
          <w:bCs/>
          <w:sz w:val="24"/>
          <w:szCs w:val="24"/>
        </w:rPr>
      </w:pPr>
      <w:r w:rsidRPr="00ED725F">
        <w:rPr>
          <w:rFonts w:ascii="Times New Roman" w:hAnsi="Times New Roman" w:cs="Times New Roman"/>
          <w:b/>
          <w:bCs/>
          <w:sz w:val="24"/>
          <w:szCs w:val="24"/>
        </w:rPr>
        <w:t xml:space="preserve">Analysis of the R95p Index </w:t>
      </w:r>
    </w:p>
    <w:p w14:paraId="5978243F" w14:textId="77777777" w:rsidR="000A2508" w:rsidRPr="00205B83" w:rsidRDefault="000A2508" w:rsidP="000A2508">
      <w:pPr>
        <w:spacing w:line="360" w:lineRule="auto"/>
        <w:jc w:val="both"/>
        <w:rPr>
          <w:rFonts w:ascii="Times New Roman" w:hAnsi="Times New Roman" w:cs="Times New Roman"/>
          <w:sz w:val="24"/>
          <w:szCs w:val="24"/>
        </w:rPr>
      </w:pPr>
      <w:r w:rsidRPr="00205B83">
        <w:rPr>
          <w:rFonts w:ascii="Times New Roman" w:hAnsi="Times New Roman" w:cs="Times New Roman"/>
          <w:sz w:val="24"/>
          <w:szCs w:val="24"/>
        </w:rPr>
        <w:lastRenderedPageBreak/>
        <w:t>The analysis of this index, R95p = 10.43 mm, indicates that 5% of rainy days record precipitation amounts exceeding 10.4 mm/day, characterizing a rainfall regime where precipitation is generally infrequent but occasionally marked by intense events.</w:t>
      </w:r>
      <w:r w:rsidRPr="00ED725F">
        <w:rPr>
          <w:rFonts w:ascii="Times New Roman" w:hAnsi="Times New Roman" w:cs="Times New Roman"/>
          <w:sz w:val="24"/>
          <w:szCs w:val="24"/>
        </w:rPr>
        <w:t xml:space="preserve"> </w:t>
      </w:r>
      <w:r w:rsidRPr="00205B83">
        <w:rPr>
          <w:rFonts w:ascii="Times New Roman" w:hAnsi="Times New Roman" w:cs="Times New Roman"/>
          <w:sz w:val="24"/>
          <w:szCs w:val="24"/>
        </w:rPr>
        <w:t>In a Sahelian region such as Diffa, this pattern corresponds to short but intense convective rainfall events. From a socio-economic perspective, this irregularity promotes rapid runoff, sudden floods, and soil degradation, while reducing the effectiveness of water infiltration for rain-fed agriculture.</w:t>
      </w:r>
      <w:r w:rsidRPr="00ED725F">
        <w:rPr>
          <w:rFonts w:ascii="Times New Roman" w:hAnsi="Times New Roman" w:cs="Times New Roman"/>
          <w:sz w:val="24"/>
          <w:szCs w:val="24"/>
        </w:rPr>
        <w:t xml:space="preserve"> </w:t>
      </w:r>
      <w:r w:rsidRPr="00205B83">
        <w:rPr>
          <w:rFonts w:ascii="Times New Roman" w:hAnsi="Times New Roman" w:cs="Times New Roman"/>
          <w:sz w:val="24"/>
          <w:szCs w:val="24"/>
        </w:rPr>
        <w:t>Consequently, these conditions can weaken agricultural production, affect local infrastructure, and increase the exposure of rural households to hydrometeorological hazards.</w:t>
      </w:r>
    </w:p>
    <w:p w14:paraId="71135D00" w14:textId="77777777" w:rsidR="000A2508" w:rsidRDefault="000A2508" w:rsidP="000A2508">
      <w:pPr>
        <w:jc w:val="center"/>
        <w:rPr>
          <w:noProof/>
          <w:lang w:val="en-US"/>
        </w:rPr>
      </w:pPr>
      <w:r>
        <w:rPr>
          <w:rFonts w:ascii="Times New Roman" w:hAnsi="Times New Roman" w:cs="Times New Roman"/>
          <w:noProof/>
          <w:sz w:val="24"/>
          <w:szCs w:val="24"/>
        </w:rPr>
        <w:drawing>
          <wp:inline distT="0" distB="0" distL="0" distR="0" wp14:anchorId="36548AF4" wp14:editId="64638C8D">
            <wp:extent cx="4155599" cy="2241550"/>
            <wp:effectExtent l="0" t="0" r="0" b="6350"/>
            <wp:docPr id="100579143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705" b="1"/>
                    <a:stretch>
                      <a:fillRect/>
                    </a:stretch>
                  </pic:blipFill>
                  <pic:spPr bwMode="auto">
                    <a:xfrm>
                      <a:off x="0" y="0"/>
                      <a:ext cx="4244964" cy="2289754"/>
                    </a:xfrm>
                    <a:prstGeom prst="rect">
                      <a:avLst/>
                    </a:prstGeom>
                    <a:noFill/>
                    <a:ln>
                      <a:noFill/>
                    </a:ln>
                    <a:extLst>
                      <a:ext uri="{53640926-AAD7-44D8-BBD7-CCE9431645EC}">
                        <a14:shadowObscured xmlns:a14="http://schemas.microsoft.com/office/drawing/2010/main"/>
                      </a:ext>
                    </a:extLst>
                  </pic:spPr>
                </pic:pic>
              </a:graphicData>
            </a:graphic>
          </wp:inline>
        </w:drawing>
      </w:r>
    </w:p>
    <w:p w14:paraId="0EE3BA38" w14:textId="17D47088" w:rsidR="000A2508" w:rsidRDefault="000A2508" w:rsidP="000A2508">
      <w:pPr>
        <w:jc w:val="center"/>
      </w:pPr>
      <w:r w:rsidRPr="00ED725F">
        <w:rPr>
          <w:rFonts w:ascii="Times New Roman" w:hAnsi="Times New Roman" w:cs="Times New Roman"/>
          <w:b/>
          <w:bCs/>
          <w:sz w:val="24"/>
          <w:szCs w:val="24"/>
        </w:rPr>
        <w:t xml:space="preserve">Fig. </w:t>
      </w:r>
      <w:r>
        <w:rPr>
          <w:rFonts w:ascii="Times New Roman" w:hAnsi="Times New Roman" w:cs="Times New Roman"/>
          <w:b/>
          <w:bCs/>
          <w:sz w:val="24"/>
          <w:szCs w:val="24"/>
        </w:rPr>
        <w:t>7</w:t>
      </w:r>
      <w:r w:rsidRPr="00ED725F">
        <w:rPr>
          <w:rFonts w:ascii="Times New Roman" w:hAnsi="Times New Roman" w:cs="Times New Roman"/>
          <w:b/>
          <w:bCs/>
          <w:sz w:val="24"/>
          <w:szCs w:val="24"/>
        </w:rPr>
        <w:t>.</w:t>
      </w:r>
      <w:r w:rsidRPr="00ED725F">
        <w:rPr>
          <w:rFonts w:ascii="Times New Roman" w:hAnsi="Times New Roman" w:cs="Times New Roman"/>
          <w:sz w:val="24"/>
          <w:szCs w:val="24"/>
        </w:rPr>
        <w:t xml:space="preserve"> Evolution of Rainfall from 1995 to 2025</w:t>
      </w:r>
    </w:p>
    <w:p w14:paraId="771C6DCC" w14:textId="704AFD4D" w:rsidR="00120ACF" w:rsidRPr="00ED725F" w:rsidRDefault="00120ACF" w:rsidP="000A2508">
      <w:pPr>
        <w:rPr>
          <w:rFonts w:ascii="Times New Roman" w:hAnsi="Times New Roman" w:cs="Times New Roman"/>
          <w:sz w:val="24"/>
          <w:szCs w:val="24"/>
        </w:rPr>
      </w:pPr>
    </w:p>
    <w:p w14:paraId="66FC471F" w14:textId="1AFE65ED" w:rsidR="00670B75" w:rsidRPr="00670B75" w:rsidRDefault="00670B75" w:rsidP="00ED725F">
      <w:pPr>
        <w:spacing w:line="360" w:lineRule="auto"/>
        <w:jc w:val="both"/>
        <w:rPr>
          <w:rFonts w:ascii="Times New Roman" w:hAnsi="Times New Roman" w:cs="Times New Roman"/>
          <w:b/>
          <w:bCs/>
          <w:sz w:val="24"/>
          <w:szCs w:val="24"/>
        </w:rPr>
      </w:pPr>
      <w:r w:rsidRPr="00670B75">
        <w:rPr>
          <w:b/>
          <w:bCs/>
        </w:rPr>
        <w:t>3.4</w:t>
      </w:r>
      <w:r w:rsidRPr="00670B75">
        <w:rPr>
          <w:rFonts w:ascii="Times New Roman" w:hAnsi="Times New Roman" w:cs="Times New Roman"/>
          <w:b/>
          <w:bCs/>
          <w:sz w:val="24"/>
          <w:szCs w:val="24"/>
        </w:rPr>
        <w:t xml:space="preserve">. </w:t>
      </w:r>
      <w:r w:rsidR="000A2508" w:rsidRPr="00ED725F">
        <w:rPr>
          <w:rFonts w:ascii="Times New Roman" w:hAnsi="Times New Roman" w:cs="Times New Roman"/>
          <w:b/>
          <w:bCs/>
          <w:sz w:val="24"/>
          <w:szCs w:val="24"/>
        </w:rPr>
        <w:t>Impacts of Climate Change on Livelihoods</w:t>
      </w:r>
    </w:p>
    <w:p w14:paraId="67D2DA12" w14:textId="522B9FB0" w:rsidR="000A2508" w:rsidRDefault="00670B75" w:rsidP="000A2508">
      <w:pPr>
        <w:spacing w:line="360" w:lineRule="auto"/>
        <w:jc w:val="both"/>
        <w:rPr>
          <w:rFonts w:ascii="Times New Roman" w:hAnsi="Times New Roman" w:cs="Times New Roman"/>
          <w:b/>
          <w:bCs/>
          <w:sz w:val="24"/>
          <w:szCs w:val="24"/>
        </w:rPr>
      </w:pPr>
      <w:r w:rsidRPr="00670B75">
        <w:rPr>
          <w:rFonts w:ascii="Times New Roman" w:hAnsi="Times New Roman" w:cs="Times New Roman"/>
          <w:b/>
          <w:bCs/>
          <w:sz w:val="24"/>
          <w:szCs w:val="24"/>
        </w:rPr>
        <w:t xml:space="preserve">3.4.1. </w:t>
      </w:r>
      <w:r w:rsidR="000A2508">
        <w:rPr>
          <w:rFonts w:ascii="Times New Roman" w:hAnsi="Times New Roman" w:cs="Times New Roman"/>
          <w:b/>
          <w:bCs/>
          <w:sz w:val="24"/>
          <w:szCs w:val="24"/>
        </w:rPr>
        <w:t xml:space="preserve">  </w:t>
      </w:r>
      <w:r w:rsidR="000A2508" w:rsidRPr="00ED725F">
        <w:rPr>
          <w:rFonts w:ascii="Times New Roman" w:hAnsi="Times New Roman" w:cs="Times New Roman"/>
          <w:b/>
          <w:bCs/>
          <w:sz w:val="24"/>
          <w:szCs w:val="24"/>
        </w:rPr>
        <w:t>Impact of Climate Change on Agricultural Production</w:t>
      </w:r>
    </w:p>
    <w:p w14:paraId="07E46D09" w14:textId="4689BCC3" w:rsidR="000A2508" w:rsidRPr="00ED725F" w:rsidRDefault="000A2508" w:rsidP="000A2508">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 xml:space="preserve">Figure </w:t>
      </w:r>
      <w:r w:rsidR="002F6A35">
        <w:rPr>
          <w:rFonts w:ascii="Times New Roman" w:hAnsi="Times New Roman" w:cs="Times New Roman"/>
          <w:sz w:val="24"/>
          <w:szCs w:val="24"/>
        </w:rPr>
        <w:t>8</w:t>
      </w:r>
      <w:r w:rsidRPr="00ED725F">
        <w:rPr>
          <w:rFonts w:ascii="Times New Roman" w:hAnsi="Times New Roman" w:cs="Times New Roman"/>
          <w:sz w:val="24"/>
          <w:szCs w:val="24"/>
        </w:rPr>
        <w:t xml:space="preserve"> indicates that farmers perceive the impacts of climate change mainly through decreasing rainfall (16.45%) and the late onset of the rainy season (15.37%), followed by rising temperatures (13.79%), soil degradation (13.70%), and increased pest pressure (13.29%). Similar to the other perception figures, these results highlight a strong sensitivity of farmers to rainfall variability and climate-related constraints directly affecting agricultural activities, while phenomena perceived as more occasional, such as excess rainfall (5.73%), are less frequently mentioned. This convergence across the different figures indicates a consistent perception of climate change, mainly </w:t>
      </w:r>
      <w:proofErr w:type="spellStart"/>
      <w:r w:rsidRPr="00ED725F">
        <w:rPr>
          <w:rFonts w:ascii="Times New Roman" w:hAnsi="Times New Roman" w:cs="Times New Roman"/>
          <w:sz w:val="24"/>
          <w:szCs w:val="24"/>
        </w:rPr>
        <w:t>centered</w:t>
      </w:r>
      <w:proofErr w:type="spellEnd"/>
      <w:r w:rsidRPr="00ED725F">
        <w:rPr>
          <w:rFonts w:ascii="Times New Roman" w:hAnsi="Times New Roman" w:cs="Times New Roman"/>
          <w:sz w:val="24"/>
          <w:szCs w:val="24"/>
        </w:rPr>
        <w:t xml:space="preserve"> on seasonal disturbances and their direct effects on production and livelihoods. These changes directly affect agricultural production at all stages of the cropping cycle, from germination to harvest, by reducing crop emergence, limiting vegetative </w:t>
      </w:r>
      <w:r w:rsidRPr="00ED725F">
        <w:rPr>
          <w:rFonts w:ascii="Times New Roman" w:hAnsi="Times New Roman" w:cs="Times New Roman"/>
          <w:sz w:val="24"/>
          <w:szCs w:val="24"/>
        </w:rPr>
        <w:lastRenderedPageBreak/>
        <w:t>growth, disrupting flowering, and ultimately leading to a significant decline in yields and the quality of agricultural outputs.</w:t>
      </w:r>
    </w:p>
    <w:p w14:paraId="6137A1B3" w14:textId="77777777" w:rsidR="000A2508" w:rsidRDefault="000A2508" w:rsidP="000A2508">
      <w:pPr>
        <w:jc w:val="center"/>
      </w:pPr>
      <w:r>
        <w:rPr>
          <w:noProof/>
          <w:lang w:val="en-US"/>
        </w:rPr>
        <w:drawing>
          <wp:inline distT="0" distB="0" distL="0" distR="0" wp14:anchorId="3C5DCCD8" wp14:editId="75885DD2">
            <wp:extent cx="5534025" cy="2793805"/>
            <wp:effectExtent l="0" t="0" r="0" b="6985"/>
            <wp:docPr id="24178348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4387" t="5909"/>
                    <a:stretch>
                      <a:fillRect/>
                    </a:stretch>
                  </pic:blipFill>
                  <pic:spPr bwMode="auto">
                    <a:xfrm>
                      <a:off x="0" y="0"/>
                      <a:ext cx="5576962" cy="2815481"/>
                    </a:xfrm>
                    <a:prstGeom prst="rect">
                      <a:avLst/>
                    </a:prstGeom>
                    <a:noFill/>
                    <a:ln>
                      <a:noFill/>
                    </a:ln>
                    <a:extLst>
                      <a:ext uri="{53640926-AAD7-44D8-BBD7-CCE9431645EC}">
                        <a14:shadowObscured xmlns:a14="http://schemas.microsoft.com/office/drawing/2010/main"/>
                      </a:ext>
                    </a:extLst>
                  </pic:spPr>
                </pic:pic>
              </a:graphicData>
            </a:graphic>
          </wp:inline>
        </w:drawing>
      </w:r>
    </w:p>
    <w:p w14:paraId="2E43290B" w14:textId="7DF14963" w:rsidR="000A2508" w:rsidRPr="00ED725F" w:rsidRDefault="000A2508" w:rsidP="000A2508">
      <w:pPr>
        <w:jc w:val="center"/>
        <w:rPr>
          <w:rFonts w:ascii="Times New Roman" w:hAnsi="Times New Roman" w:cs="Times New Roman"/>
          <w:sz w:val="24"/>
          <w:szCs w:val="24"/>
        </w:rPr>
      </w:pPr>
      <w:r w:rsidRPr="00ED725F">
        <w:rPr>
          <w:rFonts w:ascii="Times New Roman" w:hAnsi="Times New Roman" w:cs="Times New Roman"/>
          <w:b/>
          <w:bCs/>
          <w:sz w:val="24"/>
          <w:szCs w:val="24"/>
        </w:rPr>
        <w:t xml:space="preserve">Fig. </w:t>
      </w:r>
      <w:r>
        <w:rPr>
          <w:rFonts w:ascii="Times New Roman" w:hAnsi="Times New Roman" w:cs="Times New Roman"/>
          <w:b/>
          <w:bCs/>
          <w:sz w:val="24"/>
          <w:szCs w:val="24"/>
        </w:rPr>
        <w:t>8</w:t>
      </w:r>
      <w:r w:rsidRPr="00ED725F">
        <w:rPr>
          <w:rFonts w:ascii="Times New Roman" w:hAnsi="Times New Roman" w:cs="Times New Roman"/>
          <w:b/>
          <w:bCs/>
          <w:sz w:val="24"/>
          <w:szCs w:val="24"/>
        </w:rPr>
        <w:t>.</w:t>
      </w:r>
      <w:r w:rsidRPr="00ED725F">
        <w:rPr>
          <w:rFonts w:ascii="Times New Roman" w:hAnsi="Times New Roman" w:cs="Times New Roman"/>
          <w:sz w:val="24"/>
          <w:szCs w:val="24"/>
        </w:rPr>
        <w:t xml:space="preserve"> Impacts of Climate Change on Agricultural Production</w:t>
      </w:r>
    </w:p>
    <w:p w14:paraId="618A5CBE" w14:textId="77777777" w:rsidR="000A2508" w:rsidRPr="00ED725F" w:rsidRDefault="000A2508" w:rsidP="000A2508">
      <w:pPr>
        <w:spacing w:line="360" w:lineRule="auto"/>
        <w:jc w:val="both"/>
        <w:rPr>
          <w:rFonts w:ascii="Times New Roman" w:hAnsi="Times New Roman" w:cs="Times New Roman"/>
          <w:sz w:val="24"/>
          <w:szCs w:val="24"/>
        </w:rPr>
      </w:pPr>
      <w:r w:rsidRPr="006417B0">
        <w:rPr>
          <w:b/>
          <w:bCs/>
        </w:rPr>
        <w:t>3.3.2</w:t>
      </w:r>
      <w:r w:rsidRPr="00ED725F">
        <w:rPr>
          <w:rFonts w:ascii="Times New Roman" w:hAnsi="Times New Roman" w:cs="Times New Roman"/>
          <w:sz w:val="24"/>
          <w:szCs w:val="24"/>
        </w:rPr>
        <w:t xml:space="preserve">. </w:t>
      </w:r>
      <w:r w:rsidRPr="00ED725F">
        <w:rPr>
          <w:rFonts w:ascii="Times New Roman" w:hAnsi="Times New Roman" w:cs="Times New Roman"/>
          <w:b/>
          <w:bCs/>
          <w:sz w:val="24"/>
          <w:szCs w:val="24"/>
        </w:rPr>
        <w:t>Livestock Herders’ Adaptation Strategies to Climate Change</w:t>
      </w:r>
    </w:p>
    <w:p w14:paraId="1414C562" w14:textId="20D6867D" w:rsidR="000A2508" w:rsidRPr="00ED725F" w:rsidRDefault="000A2508" w:rsidP="000A2508">
      <w:pPr>
        <w:spacing w:line="360" w:lineRule="auto"/>
        <w:jc w:val="both"/>
        <w:rPr>
          <w:rFonts w:ascii="Times New Roman" w:hAnsi="Times New Roman" w:cs="Times New Roman"/>
          <w:sz w:val="24"/>
          <w:szCs w:val="24"/>
        </w:rPr>
      </w:pPr>
      <w:r w:rsidRPr="00ED725F">
        <w:rPr>
          <w:rFonts w:ascii="Times New Roman" w:hAnsi="Times New Roman" w:cs="Times New Roman"/>
          <w:sz w:val="24"/>
          <w:szCs w:val="24"/>
        </w:rPr>
        <w:t xml:space="preserve">Figure </w:t>
      </w:r>
      <w:r w:rsidR="002F6A35">
        <w:rPr>
          <w:rFonts w:ascii="Times New Roman" w:hAnsi="Times New Roman" w:cs="Times New Roman"/>
          <w:sz w:val="24"/>
          <w:szCs w:val="24"/>
        </w:rPr>
        <w:t>9</w:t>
      </w:r>
      <w:r w:rsidRPr="00ED725F">
        <w:rPr>
          <w:rFonts w:ascii="Times New Roman" w:hAnsi="Times New Roman" w:cs="Times New Roman"/>
          <w:sz w:val="24"/>
          <w:szCs w:val="24"/>
        </w:rPr>
        <w:t xml:space="preserve"> presents the adaptation practices implemented by livestock herders in response to climatic constraints, with a predominance of reducing herd size (10.56%), diversifying fodder resources (10.19%), and changing livestock breeds (10.19%). Practices related to securing livestock feed and water access, such as feed supplementation, improvement of water points, and fodder storage, are also widely adopted, whereas modifications in transhumance patterns and optimization of livestock watering practices appear less frequent. Overall, these results show that herders tend to prioritize practical, flexible, and directly applicable adaptation strategies, aimed at reducing the vulnerability of livestock production systems to climate variability.</w:t>
      </w:r>
    </w:p>
    <w:p w14:paraId="7BE50AB4" w14:textId="77777777" w:rsidR="000A2508" w:rsidRDefault="000A2508" w:rsidP="000A2508">
      <w:pPr>
        <w:jc w:val="center"/>
      </w:pPr>
      <w:r>
        <w:rPr>
          <w:noProof/>
          <w:lang w:val="en-US"/>
        </w:rPr>
        <w:lastRenderedPageBreak/>
        <w:drawing>
          <wp:inline distT="0" distB="0" distL="0" distR="0" wp14:anchorId="0B843BF3" wp14:editId="6AFC9A17">
            <wp:extent cx="5651500" cy="2755900"/>
            <wp:effectExtent l="0" t="0" r="6350" b="6350"/>
            <wp:docPr id="210838514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4411" t="5783"/>
                    <a:stretch>
                      <a:fillRect/>
                    </a:stretch>
                  </pic:blipFill>
                  <pic:spPr bwMode="auto">
                    <a:xfrm>
                      <a:off x="0" y="0"/>
                      <a:ext cx="5678341" cy="2768989"/>
                    </a:xfrm>
                    <a:prstGeom prst="rect">
                      <a:avLst/>
                    </a:prstGeom>
                    <a:noFill/>
                    <a:ln>
                      <a:noFill/>
                    </a:ln>
                    <a:extLst>
                      <a:ext uri="{53640926-AAD7-44D8-BBD7-CCE9431645EC}">
                        <a14:shadowObscured xmlns:a14="http://schemas.microsoft.com/office/drawing/2010/main"/>
                      </a:ext>
                    </a:extLst>
                  </pic:spPr>
                </pic:pic>
              </a:graphicData>
            </a:graphic>
          </wp:inline>
        </w:drawing>
      </w:r>
    </w:p>
    <w:p w14:paraId="1CD88DE2" w14:textId="12B88D75" w:rsidR="000A2508" w:rsidRDefault="000A2508" w:rsidP="000A2508">
      <w:pPr>
        <w:jc w:val="center"/>
        <w:rPr>
          <w:rFonts w:ascii="Times New Roman" w:hAnsi="Times New Roman" w:cs="Times New Roman"/>
          <w:sz w:val="24"/>
          <w:szCs w:val="24"/>
        </w:rPr>
      </w:pPr>
      <w:r w:rsidRPr="00ED725F">
        <w:rPr>
          <w:rFonts w:ascii="Times New Roman" w:hAnsi="Times New Roman" w:cs="Times New Roman"/>
          <w:b/>
          <w:bCs/>
          <w:sz w:val="24"/>
          <w:szCs w:val="24"/>
        </w:rPr>
        <w:t xml:space="preserve">Fig. </w:t>
      </w:r>
      <w:r>
        <w:rPr>
          <w:rFonts w:ascii="Times New Roman" w:hAnsi="Times New Roman" w:cs="Times New Roman"/>
          <w:b/>
          <w:bCs/>
          <w:sz w:val="24"/>
          <w:szCs w:val="24"/>
        </w:rPr>
        <w:t>9</w:t>
      </w:r>
      <w:r w:rsidRPr="00ED725F">
        <w:rPr>
          <w:rFonts w:ascii="Times New Roman" w:hAnsi="Times New Roman" w:cs="Times New Roman"/>
          <w:b/>
          <w:bCs/>
          <w:sz w:val="24"/>
          <w:szCs w:val="24"/>
        </w:rPr>
        <w:t xml:space="preserve">. </w:t>
      </w:r>
      <w:r w:rsidRPr="00ED725F">
        <w:rPr>
          <w:rFonts w:ascii="Times New Roman" w:hAnsi="Times New Roman" w:cs="Times New Roman"/>
          <w:sz w:val="24"/>
          <w:szCs w:val="24"/>
        </w:rPr>
        <w:t>Livestock Herders’ Adaptation Strategies to Climate Change</w:t>
      </w:r>
    </w:p>
    <w:p w14:paraId="419D7ED1" w14:textId="77777777" w:rsidR="000A2508" w:rsidRPr="00ED725F" w:rsidRDefault="000A2508" w:rsidP="000A2508">
      <w:pPr>
        <w:jc w:val="center"/>
        <w:rPr>
          <w:rFonts w:ascii="Times New Roman" w:hAnsi="Times New Roman" w:cs="Times New Roman"/>
          <w:sz w:val="24"/>
          <w:szCs w:val="24"/>
        </w:rPr>
      </w:pPr>
    </w:p>
    <w:p w14:paraId="3AC7DF8F" w14:textId="77777777" w:rsidR="000A2508" w:rsidRPr="00120ACF" w:rsidRDefault="000A2508" w:rsidP="000A2508">
      <w:pPr>
        <w:spacing w:line="360" w:lineRule="auto"/>
        <w:jc w:val="both"/>
        <w:rPr>
          <w:rFonts w:ascii="Times New Roman" w:hAnsi="Times New Roman" w:cs="Times New Roman"/>
          <w:b/>
          <w:bCs/>
          <w:sz w:val="24"/>
          <w:szCs w:val="24"/>
        </w:rPr>
      </w:pPr>
      <w:r>
        <w:rPr>
          <w:b/>
          <w:bCs/>
        </w:rPr>
        <w:t xml:space="preserve">3.3.3. </w:t>
      </w:r>
      <w:r w:rsidRPr="00120ACF">
        <w:rPr>
          <w:rFonts w:ascii="Times New Roman" w:hAnsi="Times New Roman" w:cs="Times New Roman"/>
          <w:b/>
          <w:bCs/>
          <w:sz w:val="24"/>
          <w:szCs w:val="24"/>
        </w:rPr>
        <w:t>Farmers’ Adaptation Strategies to Climate Change</w:t>
      </w:r>
    </w:p>
    <w:p w14:paraId="20D83D3A" w14:textId="01105AAA" w:rsidR="000A2508" w:rsidRPr="00120ACF" w:rsidRDefault="000A2508" w:rsidP="000A2508">
      <w:pPr>
        <w:spacing w:line="360" w:lineRule="auto"/>
        <w:jc w:val="both"/>
        <w:rPr>
          <w:rFonts w:ascii="Times New Roman" w:hAnsi="Times New Roman" w:cs="Times New Roman"/>
          <w:sz w:val="24"/>
          <w:szCs w:val="24"/>
        </w:rPr>
      </w:pPr>
      <w:r w:rsidRPr="00120ACF">
        <w:rPr>
          <w:rFonts w:ascii="Times New Roman" w:hAnsi="Times New Roman" w:cs="Times New Roman"/>
          <w:sz w:val="24"/>
          <w:szCs w:val="24"/>
        </w:rPr>
        <w:t xml:space="preserve">Figure </w:t>
      </w:r>
      <w:r w:rsidR="002F6A35">
        <w:rPr>
          <w:rFonts w:ascii="Times New Roman" w:hAnsi="Times New Roman" w:cs="Times New Roman"/>
          <w:sz w:val="24"/>
          <w:szCs w:val="24"/>
        </w:rPr>
        <w:t>10</w:t>
      </w:r>
      <w:r w:rsidRPr="00120ACF">
        <w:rPr>
          <w:rFonts w:ascii="Times New Roman" w:hAnsi="Times New Roman" w:cs="Times New Roman"/>
          <w:sz w:val="24"/>
          <w:szCs w:val="24"/>
        </w:rPr>
        <w:t xml:space="preserve"> shows that farming communities primarily prioritize adaptation strategies directly related to </w:t>
      </w:r>
      <w:r w:rsidRPr="00120ACF">
        <w:rPr>
          <w:rFonts w:ascii="Times New Roman" w:hAnsi="Times New Roman" w:cs="Times New Roman"/>
          <w:b/>
          <w:bCs/>
          <w:sz w:val="24"/>
          <w:szCs w:val="24"/>
        </w:rPr>
        <w:t>securing agricultural production and livelihoods</w:t>
      </w:r>
      <w:r w:rsidRPr="00120ACF">
        <w:rPr>
          <w:rFonts w:ascii="Times New Roman" w:hAnsi="Times New Roman" w:cs="Times New Roman"/>
          <w:sz w:val="24"/>
          <w:szCs w:val="24"/>
        </w:rPr>
        <w:t xml:space="preserve">, particularly </w:t>
      </w:r>
      <w:r w:rsidRPr="00120ACF">
        <w:rPr>
          <w:rFonts w:ascii="Times New Roman" w:hAnsi="Times New Roman" w:cs="Times New Roman"/>
          <w:b/>
          <w:bCs/>
          <w:sz w:val="24"/>
          <w:szCs w:val="24"/>
        </w:rPr>
        <w:t>pest control (12.6%)</w:t>
      </w:r>
      <w:r w:rsidRPr="00120ACF">
        <w:rPr>
          <w:rFonts w:ascii="Times New Roman" w:hAnsi="Times New Roman" w:cs="Times New Roman"/>
          <w:sz w:val="24"/>
          <w:szCs w:val="24"/>
        </w:rPr>
        <w:t xml:space="preserve">, the </w:t>
      </w:r>
      <w:r w:rsidRPr="00120ACF">
        <w:rPr>
          <w:rFonts w:ascii="Times New Roman" w:hAnsi="Times New Roman" w:cs="Times New Roman"/>
          <w:b/>
          <w:bCs/>
          <w:sz w:val="24"/>
          <w:szCs w:val="24"/>
        </w:rPr>
        <w:t>adoption of drought-resistant crops (12.3%)</w:t>
      </w:r>
      <w:r w:rsidRPr="00120ACF">
        <w:rPr>
          <w:rFonts w:ascii="Times New Roman" w:hAnsi="Times New Roman" w:cs="Times New Roman"/>
          <w:sz w:val="24"/>
          <w:szCs w:val="24"/>
        </w:rPr>
        <w:t xml:space="preserve">, and </w:t>
      </w:r>
      <w:r w:rsidRPr="00120ACF">
        <w:rPr>
          <w:rFonts w:ascii="Times New Roman" w:hAnsi="Times New Roman" w:cs="Times New Roman"/>
          <w:b/>
          <w:bCs/>
          <w:sz w:val="24"/>
          <w:szCs w:val="24"/>
        </w:rPr>
        <w:t>environmental restoration actions such as reforestation (11.3%)</w:t>
      </w:r>
      <w:r w:rsidRPr="00120ACF">
        <w:rPr>
          <w:rFonts w:ascii="Times New Roman" w:hAnsi="Times New Roman" w:cs="Times New Roman"/>
          <w:sz w:val="24"/>
          <w:szCs w:val="24"/>
        </w:rPr>
        <w:t xml:space="preserve">. In contrast, strategies related to </w:t>
      </w:r>
      <w:r w:rsidRPr="00120ACF">
        <w:rPr>
          <w:rFonts w:ascii="Times New Roman" w:hAnsi="Times New Roman" w:cs="Times New Roman"/>
          <w:b/>
          <w:bCs/>
          <w:sz w:val="24"/>
          <w:szCs w:val="24"/>
        </w:rPr>
        <w:t>specific extreme risks</w:t>
      </w:r>
      <w:r w:rsidRPr="00120ACF">
        <w:rPr>
          <w:rFonts w:ascii="Times New Roman" w:hAnsi="Times New Roman" w:cs="Times New Roman"/>
          <w:sz w:val="24"/>
          <w:szCs w:val="24"/>
        </w:rPr>
        <w:t xml:space="preserve">, such as the </w:t>
      </w:r>
      <w:r w:rsidRPr="00120ACF">
        <w:rPr>
          <w:rFonts w:ascii="Times New Roman" w:hAnsi="Times New Roman" w:cs="Times New Roman"/>
          <w:b/>
          <w:bCs/>
          <w:sz w:val="24"/>
          <w:szCs w:val="24"/>
        </w:rPr>
        <w:t>adoption of flood-resistant crops (6.8%)</w:t>
      </w:r>
      <w:r w:rsidRPr="00120ACF">
        <w:rPr>
          <w:rFonts w:ascii="Times New Roman" w:hAnsi="Times New Roman" w:cs="Times New Roman"/>
          <w:sz w:val="24"/>
          <w:szCs w:val="24"/>
        </w:rPr>
        <w:t>, are less frequently implemented.</w:t>
      </w:r>
    </w:p>
    <w:p w14:paraId="22B1B077" w14:textId="77777777" w:rsidR="000A2508" w:rsidRDefault="000A2508" w:rsidP="000A2508">
      <w:pPr>
        <w:jc w:val="center"/>
      </w:pPr>
      <w:r>
        <w:rPr>
          <w:noProof/>
          <w:lang w:val="en-US"/>
        </w:rPr>
        <w:drawing>
          <wp:inline distT="0" distB="0" distL="0" distR="0" wp14:anchorId="77B042C3" wp14:editId="3FFE2DF3">
            <wp:extent cx="5415280" cy="2603500"/>
            <wp:effectExtent l="0" t="0" r="0" b="6350"/>
            <wp:docPr id="88354865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2958"/>
                    <a:stretch>
                      <a:fillRect/>
                    </a:stretch>
                  </pic:blipFill>
                  <pic:spPr bwMode="auto">
                    <a:xfrm>
                      <a:off x="0" y="0"/>
                      <a:ext cx="5433986" cy="2612493"/>
                    </a:xfrm>
                    <a:prstGeom prst="rect">
                      <a:avLst/>
                    </a:prstGeom>
                    <a:noFill/>
                    <a:ln>
                      <a:noFill/>
                    </a:ln>
                    <a:extLst>
                      <a:ext uri="{53640926-AAD7-44D8-BBD7-CCE9431645EC}">
                        <a14:shadowObscured xmlns:a14="http://schemas.microsoft.com/office/drawing/2010/main"/>
                      </a:ext>
                    </a:extLst>
                  </pic:spPr>
                </pic:pic>
              </a:graphicData>
            </a:graphic>
          </wp:inline>
        </w:drawing>
      </w:r>
    </w:p>
    <w:p w14:paraId="1D18A877" w14:textId="3F425207" w:rsidR="000A2508" w:rsidRDefault="000A2508" w:rsidP="000A2508">
      <w:pPr>
        <w:spacing w:line="360" w:lineRule="auto"/>
        <w:jc w:val="both"/>
        <w:rPr>
          <w:rFonts w:ascii="Times New Roman" w:hAnsi="Times New Roman" w:cs="Times New Roman"/>
          <w:sz w:val="24"/>
          <w:szCs w:val="24"/>
        </w:rPr>
      </w:pPr>
      <w:r w:rsidRPr="00ED725F">
        <w:rPr>
          <w:rFonts w:ascii="Times New Roman" w:hAnsi="Times New Roman" w:cs="Times New Roman"/>
          <w:b/>
          <w:bCs/>
          <w:sz w:val="24"/>
          <w:szCs w:val="24"/>
        </w:rPr>
        <w:t xml:space="preserve">Fig. </w:t>
      </w:r>
      <w:r>
        <w:rPr>
          <w:rFonts w:ascii="Times New Roman" w:hAnsi="Times New Roman" w:cs="Times New Roman"/>
          <w:b/>
          <w:bCs/>
          <w:sz w:val="24"/>
          <w:szCs w:val="24"/>
        </w:rPr>
        <w:t>10</w:t>
      </w:r>
      <w:r w:rsidRPr="00ED725F">
        <w:rPr>
          <w:rFonts w:ascii="Times New Roman" w:hAnsi="Times New Roman" w:cs="Times New Roman"/>
          <w:b/>
          <w:bCs/>
          <w:sz w:val="24"/>
          <w:szCs w:val="24"/>
        </w:rPr>
        <w:t>.</w:t>
      </w:r>
      <w:r w:rsidRPr="00ED725F">
        <w:rPr>
          <w:rFonts w:ascii="Times New Roman" w:hAnsi="Times New Roman" w:cs="Times New Roman"/>
          <w:sz w:val="24"/>
          <w:szCs w:val="24"/>
        </w:rPr>
        <w:t xml:space="preserve"> Farmers’ Adaptation Strategies to Climate Change</w:t>
      </w:r>
    </w:p>
    <w:p w14:paraId="67B2E923" w14:textId="77777777" w:rsidR="000A2508" w:rsidRPr="000A2508" w:rsidRDefault="000A2508" w:rsidP="000A2508">
      <w:pPr>
        <w:spacing w:line="360" w:lineRule="auto"/>
        <w:jc w:val="both"/>
        <w:rPr>
          <w:rFonts w:ascii="Times New Roman" w:hAnsi="Times New Roman" w:cs="Times New Roman"/>
          <w:sz w:val="24"/>
          <w:szCs w:val="24"/>
        </w:rPr>
      </w:pPr>
    </w:p>
    <w:p w14:paraId="7386C6EE" w14:textId="77777777" w:rsidR="00A35824" w:rsidRPr="00A35824" w:rsidRDefault="00A35824" w:rsidP="00ED725F">
      <w:pPr>
        <w:spacing w:line="360" w:lineRule="auto"/>
        <w:jc w:val="both"/>
        <w:rPr>
          <w:rFonts w:ascii="Times New Roman" w:hAnsi="Times New Roman" w:cs="Times New Roman"/>
          <w:b/>
          <w:bCs/>
          <w:sz w:val="24"/>
          <w:szCs w:val="24"/>
        </w:rPr>
      </w:pPr>
      <w:r w:rsidRPr="00A35824">
        <w:rPr>
          <w:rFonts w:ascii="Times New Roman" w:hAnsi="Times New Roman" w:cs="Times New Roman"/>
          <w:b/>
          <w:bCs/>
          <w:sz w:val="24"/>
          <w:szCs w:val="24"/>
        </w:rPr>
        <w:t>3.4.2. Analysis of Drought Indices</w:t>
      </w:r>
    </w:p>
    <w:p w14:paraId="148A882F" w14:textId="41AECD28" w:rsidR="00A35824" w:rsidRPr="00ED725F" w:rsidRDefault="00A35824" w:rsidP="00ED725F">
      <w:pPr>
        <w:pStyle w:val="Paragraphedeliste"/>
        <w:numPr>
          <w:ilvl w:val="0"/>
          <w:numId w:val="11"/>
        </w:numPr>
        <w:spacing w:line="360" w:lineRule="auto"/>
        <w:jc w:val="both"/>
        <w:rPr>
          <w:rFonts w:ascii="Times New Roman" w:hAnsi="Times New Roman" w:cs="Times New Roman"/>
          <w:b/>
          <w:bCs/>
          <w:sz w:val="24"/>
          <w:szCs w:val="24"/>
        </w:rPr>
      </w:pPr>
      <w:r w:rsidRPr="00ED725F">
        <w:rPr>
          <w:rFonts w:ascii="Times New Roman" w:hAnsi="Times New Roman" w:cs="Times New Roman"/>
          <w:b/>
          <w:bCs/>
          <w:sz w:val="24"/>
          <w:szCs w:val="24"/>
        </w:rPr>
        <w:lastRenderedPageBreak/>
        <w:t>Analysis of the SPI at 3-month, 6-month, and 12-month timescales</w:t>
      </w:r>
    </w:p>
    <w:p w14:paraId="04AD7AAB" w14:textId="5F22602A" w:rsidR="00A35824" w:rsidRPr="00ED725F" w:rsidRDefault="00A35824" w:rsidP="00ED725F">
      <w:pPr>
        <w:pStyle w:val="NormalWeb"/>
        <w:spacing w:line="360" w:lineRule="auto"/>
        <w:jc w:val="both"/>
        <w:rPr>
          <w:b/>
          <w:bCs/>
        </w:rPr>
      </w:pPr>
      <w:r w:rsidRPr="00ED725F">
        <w:t>The</w:t>
      </w:r>
      <w:r w:rsidRPr="00ED725F">
        <w:rPr>
          <w:b/>
          <w:bCs/>
        </w:rPr>
        <w:t xml:space="preserve"> </w:t>
      </w:r>
      <w:r w:rsidRPr="00ED725F">
        <w:rPr>
          <w:rStyle w:val="lev"/>
          <w:rFonts w:eastAsiaTheme="majorEastAsia"/>
          <w:b w:val="0"/>
          <w:bCs w:val="0"/>
        </w:rPr>
        <w:t>multi-scale analysis of the SPI</w:t>
      </w:r>
      <w:r w:rsidRPr="00ED725F">
        <w:rPr>
          <w:b/>
          <w:bCs/>
        </w:rPr>
        <w:t xml:space="preserve"> </w:t>
      </w:r>
      <w:r w:rsidRPr="00ED725F">
        <w:t>reveals strong variability in</w:t>
      </w:r>
      <w:r w:rsidRPr="00ED725F">
        <w:rPr>
          <w:b/>
          <w:bCs/>
        </w:rPr>
        <w:t xml:space="preserve"> </w:t>
      </w:r>
      <w:r w:rsidRPr="00ED725F">
        <w:rPr>
          <w:rStyle w:val="lev"/>
          <w:rFonts w:eastAsiaTheme="majorEastAsia"/>
          <w:b w:val="0"/>
          <w:bCs w:val="0"/>
        </w:rPr>
        <w:t>short-term drought conditions (3 months)</w:t>
      </w:r>
      <w:r w:rsidRPr="00ED725F">
        <w:rPr>
          <w:b/>
          <w:bCs/>
        </w:rPr>
        <w:t xml:space="preserve">, </w:t>
      </w:r>
      <w:r w:rsidRPr="00ED725F">
        <w:t>while a more</w:t>
      </w:r>
      <w:r w:rsidRPr="00ED725F">
        <w:rPr>
          <w:b/>
          <w:bCs/>
        </w:rPr>
        <w:t xml:space="preserve"> </w:t>
      </w:r>
      <w:r w:rsidRPr="00ED725F">
        <w:rPr>
          <w:rStyle w:val="lev"/>
          <w:rFonts w:eastAsiaTheme="majorEastAsia"/>
          <w:b w:val="0"/>
          <w:bCs w:val="0"/>
        </w:rPr>
        <w:t>structural dynamic emerges at the annual scale (12 months)</w:t>
      </w:r>
      <w:r w:rsidRPr="00ED725F">
        <w:rPr>
          <w:b/>
          <w:bCs/>
        </w:rPr>
        <w:t xml:space="preserve">. </w:t>
      </w:r>
      <w:r w:rsidRPr="00ED725F">
        <w:t>A phase of</w:t>
      </w:r>
      <w:r w:rsidRPr="00ED725F">
        <w:rPr>
          <w:b/>
          <w:bCs/>
        </w:rPr>
        <w:t xml:space="preserve"> </w:t>
      </w:r>
      <w:r w:rsidRPr="00ED725F">
        <w:rPr>
          <w:rStyle w:val="lev"/>
          <w:rFonts w:eastAsiaTheme="majorEastAsia"/>
          <w:b w:val="0"/>
          <w:bCs w:val="0"/>
        </w:rPr>
        <w:t>prolonged hydrological deficit</w:t>
      </w:r>
      <w:r w:rsidRPr="00ED725F">
        <w:rPr>
          <w:b/>
          <w:bCs/>
        </w:rPr>
        <w:t xml:space="preserve"> </w:t>
      </w:r>
      <w:r w:rsidRPr="00ED725F">
        <w:t>is observed until the</w:t>
      </w:r>
      <w:r w:rsidRPr="00ED725F">
        <w:rPr>
          <w:b/>
          <w:bCs/>
        </w:rPr>
        <w:t xml:space="preserve"> </w:t>
      </w:r>
      <w:r w:rsidRPr="00ED725F">
        <w:rPr>
          <w:rStyle w:val="lev"/>
          <w:rFonts w:eastAsiaTheme="majorEastAsia"/>
          <w:b w:val="0"/>
          <w:bCs w:val="0"/>
        </w:rPr>
        <w:t>early 2010s</w:t>
      </w:r>
      <w:r w:rsidRPr="00ED725F">
        <w:rPr>
          <w:b/>
          <w:bCs/>
        </w:rPr>
        <w:t xml:space="preserve">, </w:t>
      </w:r>
      <w:r w:rsidRPr="00ED725F">
        <w:t>followed by a</w:t>
      </w:r>
      <w:r w:rsidRPr="00ED725F">
        <w:rPr>
          <w:b/>
          <w:bCs/>
        </w:rPr>
        <w:t xml:space="preserve"> </w:t>
      </w:r>
      <w:r w:rsidRPr="00ED725F">
        <w:rPr>
          <w:rStyle w:val="lev"/>
          <w:rFonts w:eastAsiaTheme="majorEastAsia"/>
          <w:b w:val="0"/>
          <w:bCs w:val="0"/>
        </w:rPr>
        <w:t>shift toward wetter conditions after 2015</w:t>
      </w:r>
      <w:r w:rsidRPr="00ED725F">
        <w:rPr>
          <w:b/>
          <w:bCs/>
        </w:rPr>
        <w:t xml:space="preserve">. </w:t>
      </w:r>
      <w:r w:rsidRPr="00ED725F">
        <w:t>This transition may indicate a</w:t>
      </w:r>
      <w:r w:rsidRPr="00ED725F">
        <w:rPr>
          <w:b/>
          <w:bCs/>
        </w:rPr>
        <w:t xml:space="preserve"> </w:t>
      </w:r>
      <w:r w:rsidRPr="00ED725F">
        <w:rPr>
          <w:rStyle w:val="lev"/>
          <w:rFonts w:eastAsiaTheme="majorEastAsia"/>
          <w:b w:val="0"/>
          <w:bCs w:val="0"/>
        </w:rPr>
        <w:t>change in the regional rainfall regime</w:t>
      </w:r>
      <w:r w:rsidRPr="00ED725F">
        <w:rPr>
          <w:b/>
          <w:bCs/>
        </w:rPr>
        <w:t>.</w:t>
      </w:r>
    </w:p>
    <w:p w14:paraId="7E6B5EB4" w14:textId="5A007883" w:rsidR="00A35824" w:rsidRDefault="00A35824" w:rsidP="00A35824">
      <w:pPr>
        <w:pStyle w:val="NormalWeb"/>
        <w:jc w:val="center"/>
      </w:pPr>
      <w:r w:rsidRPr="00A35824">
        <w:rPr>
          <w:rFonts w:eastAsiaTheme="minorHAnsi"/>
          <w:noProof/>
          <w:lang w:val="en-US"/>
        </w:rPr>
        <w:drawing>
          <wp:inline distT="0" distB="0" distL="0" distR="0" wp14:anchorId="53394AFA" wp14:editId="010EAC8B">
            <wp:extent cx="5760720" cy="1573530"/>
            <wp:effectExtent l="0" t="0" r="0" b="0"/>
            <wp:docPr id="86928725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1573530"/>
                    </a:xfrm>
                    <a:prstGeom prst="rect">
                      <a:avLst/>
                    </a:prstGeom>
                    <a:noFill/>
                    <a:ln>
                      <a:noFill/>
                    </a:ln>
                  </pic:spPr>
                </pic:pic>
              </a:graphicData>
            </a:graphic>
          </wp:inline>
        </w:drawing>
      </w:r>
      <w:r w:rsidRPr="00A35824">
        <w:rPr>
          <w:b/>
          <w:bCs/>
        </w:rPr>
        <w:t>Fig. 11.</w:t>
      </w:r>
      <w:r w:rsidRPr="00A35824">
        <w:t xml:space="preserve"> </w:t>
      </w:r>
      <w:r w:rsidR="00B263D3" w:rsidRPr="00A35824">
        <w:t>A :</w:t>
      </w:r>
      <w:r w:rsidRPr="00A35824">
        <w:t xml:space="preserve"> SPI at the 3-month timescale; </w:t>
      </w:r>
      <w:r w:rsidR="00B263D3" w:rsidRPr="00A35824">
        <w:t>B :</w:t>
      </w:r>
      <w:r w:rsidRPr="00A35824">
        <w:t xml:space="preserve"> SPI at the 6-month timescale; </w:t>
      </w:r>
      <w:r w:rsidR="00B263D3" w:rsidRPr="00A35824">
        <w:t>C :</w:t>
      </w:r>
      <w:r w:rsidRPr="00A35824">
        <w:t xml:space="preserve"> SPI at the 12-month timescale.</w:t>
      </w:r>
    </w:p>
    <w:p w14:paraId="35C5A893" w14:textId="77777777" w:rsidR="00A35824" w:rsidRPr="00A35824" w:rsidRDefault="00A35824" w:rsidP="00B263D3">
      <w:pPr>
        <w:pStyle w:val="Paragraphedeliste"/>
        <w:numPr>
          <w:ilvl w:val="0"/>
          <w:numId w:val="12"/>
        </w:numPr>
        <w:spacing w:line="360" w:lineRule="auto"/>
        <w:jc w:val="both"/>
        <w:rPr>
          <w:rFonts w:ascii="Times New Roman" w:hAnsi="Times New Roman" w:cs="Times New Roman"/>
          <w:b/>
          <w:bCs/>
          <w:sz w:val="24"/>
          <w:szCs w:val="24"/>
        </w:rPr>
      </w:pPr>
      <w:r w:rsidRPr="00A35824">
        <w:rPr>
          <w:rFonts w:ascii="Times New Roman" w:hAnsi="Times New Roman" w:cs="Times New Roman"/>
          <w:b/>
          <w:bCs/>
          <w:sz w:val="24"/>
          <w:szCs w:val="24"/>
        </w:rPr>
        <w:t>Mann–Kendall and Pettitt Tests on SPI at 3-, 6-, and 12-Month Timescales</w:t>
      </w:r>
    </w:p>
    <w:p w14:paraId="1D672EFB" w14:textId="58274272" w:rsidR="00A35824" w:rsidRDefault="00A35824" w:rsidP="00B263D3">
      <w:pPr>
        <w:spacing w:line="360" w:lineRule="auto"/>
        <w:jc w:val="both"/>
        <w:rPr>
          <w:rFonts w:ascii="Times New Roman" w:hAnsi="Times New Roman" w:cs="Times New Roman"/>
          <w:sz w:val="24"/>
          <w:szCs w:val="24"/>
        </w:rPr>
      </w:pPr>
      <w:r w:rsidRPr="00A35824">
        <w:rPr>
          <w:rFonts w:ascii="Times New Roman" w:hAnsi="Times New Roman" w:cs="Times New Roman"/>
          <w:sz w:val="24"/>
          <w:szCs w:val="24"/>
        </w:rPr>
        <w:t>The Mann–Kendall test reveals a significant positive trend at all timescales, increasing from SPI-3 to SPI-12, while the Pettitt test identifies a structural break around 2010, marking the transition from a dry regime to a wetter phase.</w:t>
      </w:r>
      <w:r>
        <w:rPr>
          <w:rFonts w:ascii="Times New Roman" w:hAnsi="Times New Roman" w:cs="Times New Roman"/>
          <w:sz w:val="24"/>
          <w:szCs w:val="24"/>
        </w:rPr>
        <w:t xml:space="preserve"> </w:t>
      </w:r>
      <w:r w:rsidRPr="00A35824">
        <w:rPr>
          <w:rFonts w:ascii="Times New Roman" w:hAnsi="Times New Roman" w:cs="Times New Roman"/>
          <w:sz w:val="24"/>
          <w:szCs w:val="24"/>
        </w:rPr>
        <w:t>This evolution reflects a sustained hydrological recovery, which could improve water availability and agricultural production. However, the intensification of extreme events indicates increasing climatic variability, whose socio-economic impacts remain strongly dependent on the adaptive capacity of local communities.</w:t>
      </w:r>
    </w:p>
    <w:p w14:paraId="0B06F9A0" w14:textId="66E680E2" w:rsidR="00A35824" w:rsidRDefault="00A35824" w:rsidP="00B263D3">
      <w:pPr>
        <w:spacing w:line="360" w:lineRule="auto"/>
        <w:jc w:val="both"/>
        <w:rPr>
          <w:rFonts w:ascii="Times New Roman" w:hAnsi="Times New Roman" w:cs="Times New Roman"/>
          <w:sz w:val="24"/>
          <w:szCs w:val="24"/>
        </w:rPr>
      </w:pPr>
      <w:r w:rsidRPr="00A35824">
        <w:rPr>
          <w:rFonts w:ascii="Times New Roman" w:hAnsi="Times New Roman" w:cs="Times New Roman"/>
          <w:b/>
          <w:bCs/>
          <w:sz w:val="24"/>
          <w:szCs w:val="24"/>
        </w:rPr>
        <w:t>Table 3</w:t>
      </w:r>
      <w:r w:rsidRPr="00A35824">
        <w:rPr>
          <w:rFonts w:ascii="Times New Roman" w:hAnsi="Times New Roman" w:cs="Times New Roman"/>
          <w:sz w:val="24"/>
          <w:szCs w:val="24"/>
        </w:rPr>
        <w:t>. Results of the Mann–Kendall trend test and Pettitt change-point test applied to the SPI indices at 3-, 6-, and 12-month time scales for the period 1995–2025 in the Diffa region.</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93"/>
        <w:gridCol w:w="1796"/>
        <w:gridCol w:w="1180"/>
        <w:gridCol w:w="1134"/>
        <w:gridCol w:w="1701"/>
        <w:gridCol w:w="1560"/>
      </w:tblGrid>
      <w:tr w:rsidR="00A349BE" w:rsidRPr="00A349BE" w14:paraId="0E9E49B4" w14:textId="77777777" w:rsidTr="00A349BE">
        <w:trPr>
          <w:tblHeader/>
          <w:tblCellSpacing w:w="15" w:type="dxa"/>
          <w:jc w:val="center"/>
        </w:trPr>
        <w:tc>
          <w:tcPr>
            <w:tcW w:w="948" w:type="dxa"/>
            <w:vAlign w:val="center"/>
            <w:hideMark/>
          </w:tcPr>
          <w:p w14:paraId="05B98E49" w14:textId="77777777" w:rsidR="00A349BE" w:rsidRPr="00A349BE" w:rsidRDefault="00A349BE" w:rsidP="00B263D3">
            <w:pPr>
              <w:spacing w:after="0" w:line="360" w:lineRule="auto"/>
              <w:jc w:val="both"/>
              <w:rPr>
                <w:rFonts w:ascii="Times New Roman" w:eastAsia="Times New Roman" w:hAnsi="Times New Roman" w:cs="Times New Roman"/>
                <w:b/>
                <w:bCs/>
                <w:kern w:val="0"/>
                <w:sz w:val="24"/>
                <w:szCs w:val="24"/>
                <w14:ligatures w14:val="none"/>
              </w:rPr>
            </w:pPr>
            <w:r w:rsidRPr="00A349BE">
              <w:rPr>
                <w:rFonts w:ascii="Times New Roman" w:eastAsia="Times New Roman" w:hAnsi="Times New Roman" w:cs="Times New Roman"/>
                <w:b/>
                <w:bCs/>
                <w:kern w:val="0"/>
                <w:sz w:val="24"/>
                <w:szCs w:val="24"/>
                <w14:ligatures w14:val="none"/>
              </w:rPr>
              <w:t>Index</w:t>
            </w:r>
          </w:p>
        </w:tc>
        <w:tc>
          <w:tcPr>
            <w:tcW w:w="1766" w:type="dxa"/>
            <w:vAlign w:val="center"/>
            <w:hideMark/>
          </w:tcPr>
          <w:p w14:paraId="3A9444B6" w14:textId="77777777" w:rsidR="00A349BE" w:rsidRPr="00A349BE" w:rsidRDefault="00A349BE" w:rsidP="00B263D3">
            <w:pPr>
              <w:spacing w:after="0" w:line="360" w:lineRule="auto"/>
              <w:jc w:val="both"/>
              <w:rPr>
                <w:rFonts w:ascii="Times New Roman" w:eastAsia="Times New Roman" w:hAnsi="Times New Roman" w:cs="Times New Roman"/>
                <w:b/>
                <w:bCs/>
                <w:kern w:val="0"/>
                <w:sz w:val="24"/>
                <w:szCs w:val="24"/>
                <w14:ligatures w14:val="none"/>
              </w:rPr>
            </w:pPr>
            <w:r w:rsidRPr="00A349BE">
              <w:rPr>
                <w:rFonts w:ascii="Times New Roman" w:eastAsia="Times New Roman" w:hAnsi="Times New Roman" w:cs="Times New Roman"/>
                <w:b/>
                <w:bCs/>
                <w:kern w:val="0"/>
                <w:sz w:val="24"/>
                <w:szCs w:val="24"/>
                <w14:ligatures w14:val="none"/>
              </w:rPr>
              <w:t>Time scale (months)</w:t>
            </w:r>
          </w:p>
        </w:tc>
        <w:tc>
          <w:tcPr>
            <w:tcW w:w="1150" w:type="dxa"/>
            <w:vAlign w:val="center"/>
            <w:hideMark/>
          </w:tcPr>
          <w:p w14:paraId="651CCAD0" w14:textId="77777777" w:rsidR="00A349BE" w:rsidRPr="00A349BE" w:rsidRDefault="00A349BE" w:rsidP="00B263D3">
            <w:pPr>
              <w:spacing w:after="0" w:line="360" w:lineRule="auto"/>
              <w:jc w:val="both"/>
              <w:rPr>
                <w:rFonts w:ascii="Times New Roman" w:eastAsia="Times New Roman" w:hAnsi="Times New Roman" w:cs="Times New Roman"/>
                <w:b/>
                <w:bCs/>
                <w:kern w:val="0"/>
                <w:sz w:val="24"/>
                <w:szCs w:val="24"/>
                <w14:ligatures w14:val="none"/>
              </w:rPr>
            </w:pPr>
            <w:r w:rsidRPr="00A349BE">
              <w:rPr>
                <w:rFonts w:ascii="Times New Roman" w:eastAsia="Times New Roman" w:hAnsi="Times New Roman" w:cs="Times New Roman"/>
                <w:b/>
                <w:bCs/>
                <w:kern w:val="0"/>
                <w:sz w:val="24"/>
                <w:szCs w:val="24"/>
                <w14:ligatures w14:val="none"/>
              </w:rPr>
              <w:t>MK (τ)</w:t>
            </w:r>
          </w:p>
        </w:tc>
        <w:tc>
          <w:tcPr>
            <w:tcW w:w="1104" w:type="dxa"/>
            <w:vAlign w:val="center"/>
            <w:hideMark/>
          </w:tcPr>
          <w:p w14:paraId="1C9D7F75" w14:textId="77777777" w:rsidR="00A349BE" w:rsidRPr="00A349BE" w:rsidRDefault="00A349BE" w:rsidP="00B263D3">
            <w:pPr>
              <w:spacing w:after="0" w:line="360" w:lineRule="auto"/>
              <w:jc w:val="both"/>
              <w:rPr>
                <w:rFonts w:ascii="Times New Roman" w:eastAsia="Times New Roman" w:hAnsi="Times New Roman" w:cs="Times New Roman"/>
                <w:b/>
                <w:bCs/>
                <w:kern w:val="0"/>
                <w:sz w:val="24"/>
                <w:szCs w:val="24"/>
                <w14:ligatures w14:val="none"/>
              </w:rPr>
            </w:pPr>
            <w:r w:rsidRPr="00A349BE">
              <w:rPr>
                <w:rFonts w:ascii="Times New Roman" w:eastAsia="Times New Roman" w:hAnsi="Times New Roman" w:cs="Times New Roman"/>
                <w:b/>
                <w:bCs/>
                <w:kern w:val="0"/>
                <w:sz w:val="24"/>
                <w:szCs w:val="24"/>
                <w14:ligatures w14:val="none"/>
              </w:rPr>
              <w:t>MK p-value</w:t>
            </w:r>
          </w:p>
        </w:tc>
        <w:tc>
          <w:tcPr>
            <w:tcW w:w="1671" w:type="dxa"/>
            <w:vAlign w:val="center"/>
            <w:hideMark/>
          </w:tcPr>
          <w:p w14:paraId="612F6293" w14:textId="77777777" w:rsidR="00A349BE" w:rsidRPr="00A349BE" w:rsidRDefault="00A349BE" w:rsidP="00B263D3">
            <w:pPr>
              <w:spacing w:after="0" w:line="360" w:lineRule="auto"/>
              <w:jc w:val="both"/>
              <w:rPr>
                <w:rFonts w:ascii="Times New Roman" w:eastAsia="Times New Roman" w:hAnsi="Times New Roman" w:cs="Times New Roman"/>
                <w:b/>
                <w:bCs/>
                <w:kern w:val="0"/>
                <w:sz w:val="24"/>
                <w:szCs w:val="24"/>
                <w14:ligatures w14:val="none"/>
              </w:rPr>
            </w:pPr>
            <w:r w:rsidRPr="00A349BE">
              <w:rPr>
                <w:rFonts w:ascii="Times New Roman" w:eastAsia="Times New Roman" w:hAnsi="Times New Roman" w:cs="Times New Roman"/>
                <w:b/>
                <w:bCs/>
                <w:kern w:val="0"/>
                <w:sz w:val="24"/>
                <w:szCs w:val="24"/>
                <w14:ligatures w14:val="none"/>
              </w:rPr>
              <w:t>Pettitt p-value</w:t>
            </w:r>
          </w:p>
        </w:tc>
        <w:tc>
          <w:tcPr>
            <w:tcW w:w="1515" w:type="dxa"/>
            <w:vAlign w:val="center"/>
            <w:hideMark/>
          </w:tcPr>
          <w:p w14:paraId="71E58EA5" w14:textId="77777777" w:rsidR="00A349BE" w:rsidRPr="00A349BE" w:rsidRDefault="00A349BE" w:rsidP="00B263D3">
            <w:pPr>
              <w:spacing w:after="0" w:line="360" w:lineRule="auto"/>
              <w:jc w:val="both"/>
              <w:rPr>
                <w:rFonts w:ascii="Times New Roman" w:eastAsia="Times New Roman" w:hAnsi="Times New Roman" w:cs="Times New Roman"/>
                <w:b/>
                <w:bCs/>
                <w:kern w:val="0"/>
                <w:sz w:val="24"/>
                <w:szCs w:val="24"/>
                <w14:ligatures w14:val="none"/>
              </w:rPr>
            </w:pPr>
            <w:r w:rsidRPr="00A349BE">
              <w:rPr>
                <w:rFonts w:ascii="Times New Roman" w:eastAsia="Times New Roman" w:hAnsi="Times New Roman" w:cs="Times New Roman"/>
                <w:b/>
                <w:bCs/>
                <w:kern w:val="0"/>
                <w:sz w:val="24"/>
                <w:szCs w:val="24"/>
                <w14:ligatures w14:val="none"/>
              </w:rPr>
              <w:t>Break year</w:t>
            </w:r>
          </w:p>
        </w:tc>
      </w:tr>
      <w:tr w:rsidR="00A349BE" w:rsidRPr="00A349BE" w14:paraId="0785A7FE" w14:textId="77777777" w:rsidTr="00A349BE">
        <w:trPr>
          <w:tblCellSpacing w:w="15" w:type="dxa"/>
          <w:jc w:val="center"/>
        </w:trPr>
        <w:tc>
          <w:tcPr>
            <w:tcW w:w="948" w:type="dxa"/>
            <w:vAlign w:val="center"/>
            <w:hideMark/>
          </w:tcPr>
          <w:p w14:paraId="697E384F"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SPI</w:t>
            </w:r>
          </w:p>
        </w:tc>
        <w:tc>
          <w:tcPr>
            <w:tcW w:w="1766" w:type="dxa"/>
            <w:vAlign w:val="center"/>
            <w:hideMark/>
          </w:tcPr>
          <w:p w14:paraId="2A431833"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3</w:t>
            </w:r>
          </w:p>
        </w:tc>
        <w:tc>
          <w:tcPr>
            <w:tcW w:w="1150" w:type="dxa"/>
            <w:vAlign w:val="center"/>
            <w:hideMark/>
          </w:tcPr>
          <w:p w14:paraId="6B042CC6"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0.211</w:t>
            </w:r>
          </w:p>
        </w:tc>
        <w:tc>
          <w:tcPr>
            <w:tcW w:w="1104" w:type="dxa"/>
            <w:vAlign w:val="center"/>
            <w:hideMark/>
          </w:tcPr>
          <w:p w14:paraId="1A369660"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w:t>
            </w:r>
          </w:p>
        </w:tc>
        <w:tc>
          <w:tcPr>
            <w:tcW w:w="1671" w:type="dxa"/>
            <w:vAlign w:val="center"/>
            <w:hideMark/>
          </w:tcPr>
          <w:p w14:paraId="3B33B0D3"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w:t>
            </w:r>
          </w:p>
        </w:tc>
        <w:tc>
          <w:tcPr>
            <w:tcW w:w="1515" w:type="dxa"/>
            <w:vAlign w:val="center"/>
            <w:hideMark/>
          </w:tcPr>
          <w:p w14:paraId="49136139"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2018</w:t>
            </w:r>
          </w:p>
        </w:tc>
      </w:tr>
      <w:tr w:rsidR="00A349BE" w:rsidRPr="00A349BE" w14:paraId="1E04B948" w14:textId="77777777" w:rsidTr="00A349BE">
        <w:trPr>
          <w:tblCellSpacing w:w="15" w:type="dxa"/>
          <w:jc w:val="center"/>
        </w:trPr>
        <w:tc>
          <w:tcPr>
            <w:tcW w:w="948" w:type="dxa"/>
            <w:vAlign w:val="center"/>
            <w:hideMark/>
          </w:tcPr>
          <w:p w14:paraId="2D8A7E69"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SPI</w:t>
            </w:r>
          </w:p>
        </w:tc>
        <w:tc>
          <w:tcPr>
            <w:tcW w:w="1766" w:type="dxa"/>
            <w:vAlign w:val="center"/>
            <w:hideMark/>
          </w:tcPr>
          <w:p w14:paraId="35205265"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6</w:t>
            </w:r>
          </w:p>
        </w:tc>
        <w:tc>
          <w:tcPr>
            <w:tcW w:w="1150" w:type="dxa"/>
            <w:vAlign w:val="center"/>
            <w:hideMark/>
          </w:tcPr>
          <w:p w14:paraId="3405B4C6"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0.292</w:t>
            </w:r>
          </w:p>
        </w:tc>
        <w:tc>
          <w:tcPr>
            <w:tcW w:w="1104" w:type="dxa"/>
            <w:vAlign w:val="center"/>
            <w:hideMark/>
          </w:tcPr>
          <w:p w14:paraId="59F4DFBA"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w:t>
            </w:r>
          </w:p>
        </w:tc>
        <w:tc>
          <w:tcPr>
            <w:tcW w:w="1671" w:type="dxa"/>
            <w:vAlign w:val="center"/>
            <w:hideMark/>
          </w:tcPr>
          <w:p w14:paraId="2237CD92"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w:t>
            </w:r>
          </w:p>
        </w:tc>
        <w:tc>
          <w:tcPr>
            <w:tcW w:w="1515" w:type="dxa"/>
            <w:vAlign w:val="center"/>
            <w:hideMark/>
          </w:tcPr>
          <w:p w14:paraId="51D61C33"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2010</w:t>
            </w:r>
          </w:p>
        </w:tc>
      </w:tr>
      <w:tr w:rsidR="00A349BE" w:rsidRPr="00A349BE" w14:paraId="33A44878" w14:textId="77777777" w:rsidTr="00A349BE">
        <w:trPr>
          <w:tblCellSpacing w:w="15" w:type="dxa"/>
          <w:jc w:val="center"/>
        </w:trPr>
        <w:tc>
          <w:tcPr>
            <w:tcW w:w="948" w:type="dxa"/>
            <w:vAlign w:val="center"/>
            <w:hideMark/>
          </w:tcPr>
          <w:p w14:paraId="3644B016"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SPI</w:t>
            </w:r>
          </w:p>
        </w:tc>
        <w:tc>
          <w:tcPr>
            <w:tcW w:w="1766" w:type="dxa"/>
            <w:vAlign w:val="center"/>
            <w:hideMark/>
          </w:tcPr>
          <w:p w14:paraId="042406ED"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12</w:t>
            </w:r>
          </w:p>
        </w:tc>
        <w:tc>
          <w:tcPr>
            <w:tcW w:w="1150" w:type="dxa"/>
            <w:vAlign w:val="center"/>
            <w:hideMark/>
          </w:tcPr>
          <w:p w14:paraId="752A57C9"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0.497</w:t>
            </w:r>
          </w:p>
        </w:tc>
        <w:tc>
          <w:tcPr>
            <w:tcW w:w="1104" w:type="dxa"/>
            <w:vAlign w:val="center"/>
            <w:hideMark/>
          </w:tcPr>
          <w:p w14:paraId="7476A1DE"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w:t>
            </w:r>
          </w:p>
        </w:tc>
        <w:tc>
          <w:tcPr>
            <w:tcW w:w="1671" w:type="dxa"/>
            <w:vAlign w:val="center"/>
            <w:hideMark/>
          </w:tcPr>
          <w:p w14:paraId="062CB890"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w:t>
            </w:r>
          </w:p>
        </w:tc>
        <w:tc>
          <w:tcPr>
            <w:tcW w:w="1515" w:type="dxa"/>
            <w:vAlign w:val="center"/>
            <w:hideMark/>
          </w:tcPr>
          <w:p w14:paraId="7CB129FA"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2010</w:t>
            </w:r>
          </w:p>
        </w:tc>
      </w:tr>
    </w:tbl>
    <w:p w14:paraId="7D9C7CE1" w14:textId="77777777" w:rsidR="00A349BE" w:rsidRDefault="00A349BE" w:rsidP="00B263D3">
      <w:pPr>
        <w:spacing w:after="0" w:line="360" w:lineRule="auto"/>
        <w:jc w:val="both"/>
        <w:rPr>
          <w:rFonts w:ascii="Times New Roman" w:hAnsi="Times New Roman" w:cs="Times New Roman"/>
          <w:sz w:val="24"/>
          <w:szCs w:val="24"/>
        </w:rPr>
      </w:pPr>
    </w:p>
    <w:p w14:paraId="01E2193F" w14:textId="77777777" w:rsidR="00A349BE" w:rsidRPr="00A349BE" w:rsidRDefault="00A349BE" w:rsidP="00B263D3">
      <w:pPr>
        <w:pStyle w:val="Paragraphedeliste"/>
        <w:numPr>
          <w:ilvl w:val="0"/>
          <w:numId w:val="11"/>
        </w:numPr>
        <w:spacing w:after="0" w:line="360" w:lineRule="auto"/>
        <w:jc w:val="both"/>
        <w:rPr>
          <w:rFonts w:ascii="Times New Roman" w:hAnsi="Times New Roman" w:cs="Times New Roman"/>
          <w:sz w:val="24"/>
          <w:szCs w:val="24"/>
        </w:rPr>
      </w:pPr>
      <w:r w:rsidRPr="00A349BE">
        <w:rPr>
          <w:rFonts w:ascii="Times New Roman" w:hAnsi="Times New Roman" w:cs="Times New Roman"/>
          <w:b/>
          <w:bCs/>
          <w:sz w:val="24"/>
          <w:szCs w:val="24"/>
        </w:rPr>
        <w:t>Analysis of SPEI at the 3-, 6-, and 12-month time scales</w:t>
      </w:r>
    </w:p>
    <w:p w14:paraId="59EF481F" w14:textId="77777777" w:rsidR="00A349BE" w:rsidRPr="00A349BE" w:rsidRDefault="00A349BE" w:rsidP="00B263D3">
      <w:pPr>
        <w:spacing w:after="0" w:line="360" w:lineRule="auto"/>
        <w:jc w:val="both"/>
        <w:rPr>
          <w:rFonts w:ascii="Times New Roman" w:hAnsi="Times New Roman" w:cs="Times New Roman"/>
          <w:sz w:val="24"/>
          <w:szCs w:val="24"/>
        </w:rPr>
      </w:pPr>
      <w:r w:rsidRPr="00A349BE">
        <w:rPr>
          <w:rFonts w:ascii="Times New Roman" w:hAnsi="Times New Roman" w:cs="Times New Roman"/>
          <w:sz w:val="24"/>
          <w:szCs w:val="24"/>
        </w:rPr>
        <w:lastRenderedPageBreak/>
        <w:t>The SPEI confirms the transition toward a wetter regime observed with the SPI, but it further highlights the role of atmospheric evaporative demand. The recent humidification does not necessarily imply a reduction in climate risk; rather, it is accompanied by an increase in extreme events, thereby intensifying the exposure of Sahelian socio-ecological systems.</w:t>
      </w:r>
    </w:p>
    <w:p w14:paraId="451DD2D0" w14:textId="77777777" w:rsidR="00A35824" w:rsidRDefault="00A35824" w:rsidP="00A35824">
      <w:pPr>
        <w:spacing w:after="0" w:line="360" w:lineRule="auto"/>
        <w:rPr>
          <w:rFonts w:ascii="Times New Roman" w:hAnsi="Times New Roman" w:cs="Times New Roman"/>
          <w:sz w:val="24"/>
          <w:szCs w:val="24"/>
        </w:rPr>
      </w:pPr>
    </w:p>
    <w:p w14:paraId="7E062874" w14:textId="4299D6AB" w:rsidR="00A35824" w:rsidRPr="00A349BE" w:rsidRDefault="00A35824" w:rsidP="00A349BE">
      <w:pPr>
        <w:jc w:val="center"/>
        <w:rPr>
          <w:rFonts w:ascii="Times New Roman" w:hAnsi="Times New Roman" w:cs="Times New Roman"/>
          <w:sz w:val="24"/>
          <w:szCs w:val="24"/>
        </w:rPr>
      </w:pPr>
      <w:r w:rsidRPr="00A35824">
        <w:rPr>
          <w:noProof/>
          <w:lang w:val="en-US"/>
        </w:rPr>
        <w:drawing>
          <wp:inline distT="0" distB="0" distL="0" distR="0" wp14:anchorId="4AC1048E" wp14:editId="44408C69">
            <wp:extent cx="5759450" cy="1670050"/>
            <wp:effectExtent l="0" t="0" r="0" b="0"/>
            <wp:docPr id="21103518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1670050"/>
                    </a:xfrm>
                    <a:prstGeom prst="rect">
                      <a:avLst/>
                    </a:prstGeom>
                    <a:noFill/>
                    <a:ln>
                      <a:noFill/>
                    </a:ln>
                  </pic:spPr>
                </pic:pic>
              </a:graphicData>
            </a:graphic>
          </wp:inline>
        </w:drawing>
      </w:r>
    </w:p>
    <w:p w14:paraId="40E1B898" w14:textId="0264FEF9" w:rsidR="00205B83" w:rsidRPr="00B263D3" w:rsidRDefault="00A349BE" w:rsidP="00B263D3">
      <w:pPr>
        <w:jc w:val="center"/>
        <w:rPr>
          <w:rFonts w:ascii="Times New Roman" w:hAnsi="Times New Roman" w:cs="Times New Roman"/>
          <w:sz w:val="24"/>
          <w:szCs w:val="24"/>
        </w:rPr>
      </w:pPr>
      <w:r w:rsidRPr="000A2508">
        <w:rPr>
          <w:rFonts w:ascii="Times New Roman" w:hAnsi="Times New Roman" w:cs="Times New Roman"/>
          <w:b/>
          <w:bCs/>
          <w:sz w:val="24"/>
          <w:szCs w:val="24"/>
        </w:rPr>
        <w:t>Fig. 12</w:t>
      </w:r>
      <w:r w:rsidRPr="00B263D3">
        <w:rPr>
          <w:rFonts w:ascii="Times New Roman" w:hAnsi="Times New Roman" w:cs="Times New Roman"/>
          <w:sz w:val="24"/>
          <w:szCs w:val="24"/>
        </w:rPr>
        <w:t xml:space="preserve">. </w:t>
      </w:r>
      <w:r w:rsidR="00B263D3" w:rsidRPr="00B263D3">
        <w:rPr>
          <w:rFonts w:ascii="Times New Roman" w:hAnsi="Times New Roman" w:cs="Times New Roman"/>
          <w:sz w:val="24"/>
          <w:szCs w:val="24"/>
        </w:rPr>
        <w:t>D :</w:t>
      </w:r>
      <w:r w:rsidRPr="00B263D3">
        <w:rPr>
          <w:rFonts w:ascii="Times New Roman" w:hAnsi="Times New Roman" w:cs="Times New Roman"/>
          <w:sz w:val="24"/>
          <w:szCs w:val="24"/>
        </w:rPr>
        <w:t xml:space="preserve"> SPEI at the 3-month time scale; </w:t>
      </w:r>
      <w:r w:rsidR="00B263D3" w:rsidRPr="00B263D3">
        <w:rPr>
          <w:rFonts w:ascii="Times New Roman" w:hAnsi="Times New Roman" w:cs="Times New Roman"/>
          <w:sz w:val="24"/>
          <w:szCs w:val="24"/>
        </w:rPr>
        <w:t>E :</w:t>
      </w:r>
      <w:r w:rsidRPr="00B263D3">
        <w:rPr>
          <w:rFonts w:ascii="Times New Roman" w:hAnsi="Times New Roman" w:cs="Times New Roman"/>
          <w:sz w:val="24"/>
          <w:szCs w:val="24"/>
        </w:rPr>
        <w:t xml:space="preserve"> SPEI at the 6-month time scale; </w:t>
      </w:r>
      <w:r w:rsidR="00B263D3" w:rsidRPr="00B263D3">
        <w:rPr>
          <w:rFonts w:ascii="Times New Roman" w:hAnsi="Times New Roman" w:cs="Times New Roman"/>
          <w:sz w:val="24"/>
          <w:szCs w:val="24"/>
        </w:rPr>
        <w:t>F :</w:t>
      </w:r>
      <w:r w:rsidRPr="00B263D3">
        <w:rPr>
          <w:rFonts w:ascii="Times New Roman" w:hAnsi="Times New Roman" w:cs="Times New Roman"/>
          <w:sz w:val="24"/>
          <w:szCs w:val="24"/>
        </w:rPr>
        <w:t xml:space="preserve"> SPEI at the 12-month time scale.</w:t>
      </w:r>
    </w:p>
    <w:p w14:paraId="6599FFAC" w14:textId="77777777" w:rsidR="00A349BE" w:rsidRDefault="00A349BE" w:rsidP="00B263D3">
      <w:pPr>
        <w:pStyle w:val="NormalWeb"/>
        <w:numPr>
          <w:ilvl w:val="0"/>
          <w:numId w:val="12"/>
        </w:numPr>
        <w:spacing w:line="360" w:lineRule="auto"/>
        <w:jc w:val="both"/>
      </w:pPr>
      <w:r>
        <w:rPr>
          <w:rStyle w:val="lev"/>
          <w:rFonts w:eastAsiaTheme="majorEastAsia"/>
        </w:rPr>
        <w:t>Mann–Kendall and Pettitt tests on SPEI at the 3-, 6-, and 12-month time scales</w:t>
      </w:r>
    </w:p>
    <w:p w14:paraId="5FF245CC" w14:textId="77777777" w:rsidR="00A349BE" w:rsidRDefault="00A349BE" w:rsidP="00B263D3">
      <w:pPr>
        <w:pStyle w:val="NormalWeb"/>
        <w:spacing w:line="360" w:lineRule="auto"/>
        <w:jc w:val="both"/>
      </w:pPr>
      <w:r>
        <w:t>The Mann–Kendall test reveals a significant positive trend in the SPEI at all time scales (τ increasing from 0.122 to 0.309; p &lt; 0.001), while the Pettitt test identifies a structural break in 2016, indicating a shift toward a wetter hydroclimatic regime and a sustained hydrological recovery. This evolution may improve agricultural yields, pasture regeneration, and water availability; however, the intensification of extremes simultaneously increases the risks of flooding, erosion, and instability of agro-pastoral systems, making the socio-economic benefits highly dependent on local adaptive capacities.</w:t>
      </w:r>
    </w:p>
    <w:p w14:paraId="3FFB303C" w14:textId="73CEE2A2" w:rsidR="00A349BE" w:rsidRDefault="00A349BE" w:rsidP="00B263D3">
      <w:pPr>
        <w:pStyle w:val="NormalWeb"/>
        <w:spacing w:after="0" w:afterAutospacing="0" w:line="360" w:lineRule="auto"/>
        <w:jc w:val="both"/>
      </w:pPr>
      <w:r w:rsidRPr="00A349BE">
        <w:rPr>
          <w:b/>
          <w:bCs/>
        </w:rPr>
        <w:t>Table 4 :</w:t>
      </w:r>
      <w:r w:rsidRPr="00A349BE">
        <w:t xml:space="preserve"> Results of the Mann–Kendall (MK) and Pettitt tests on SPEI at the 3-, 6-, and 12-month time scales</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134"/>
        <w:gridCol w:w="1843"/>
        <w:gridCol w:w="992"/>
        <w:gridCol w:w="1418"/>
        <w:gridCol w:w="1559"/>
        <w:gridCol w:w="1559"/>
      </w:tblGrid>
      <w:tr w:rsidR="00A349BE" w:rsidRPr="00A349BE" w14:paraId="737D81D6" w14:textId="77777777" w:rsidTr="00A349BE">
        <w:trPr>
          <w:tblHeader/>
          <w:tblCellSpacing w:w="15" w:type="dxa"/>
          <w:jc w:val="center"/>
        </w:trPr>
        <w:tc>
          <w:tcPr>
            <w:tcW w:w="1089" w:type="dxa"/>
            <w:vAlign w:val="center"/>
            <w:hideMark/>
          </w:tcPr>
          <w:p w14:paraId="4691E16F" w14:textId="77777777" w:rsidR="00A349BE" w:rsidRPr="00A349BE" w:rsidRDefault="00A349BE" w:rsidP="00B263D3">
            <w:pPr>
              <w:spacing w:after="0" w:line="360" w:lineRule="auto"/>
              <w:jc w:val="both"/>
              <w:rPr>
                <w:rFonts w:ascii="Times New Roman" w:eastAsia="Times New Roman" w:hAnsi="Times New Roman" w:cs="Times New Roman"/>
                <w:b/>
                <w:bCs/>
                <w:kern w:val="0"/>
                <w:sz w:val="24"/>
                <w:szCs w:val="24"/>
                <w14:ligatures w14:val="none"/>
              </w:rPr>
            </w:pPr>
            <w:r w:rsidRPr="00A349BE">
              <w:rPr>
                <w:rFonts w:ascii="Times New Roman" w:eastAsia="Times New Roman" w:hAnsi="Times New Roman" w:cs="Times New Roman"/>
                <w:b/>
                <w:bCs/>
                <w:kern w:val="0"/>
                <w:sz w:val="24"/>
                <w:szCs w:val="24"/>
                <w14:ligatures w14:val="none"/>
              </w:rPr>
              <w:t>Index</w:t>
            </w:r>
          </w:p>
        </w:tc>
        <w:tc>
          <w:tcPr>
            <w:tcW w:w="1813" w:type="dxa"/>
            <w:vAlign w:val="center"/>
            <w:hideMark/>
          </w:tcPr>
          <w:p w14:paraId="658232CB" w14:textId="77777777" w:rsidR="00A349BE" w:rsidRPr="00A349BE" w:rsidRDefault="00A349BE" w:rsidP="00B263D3">
            <w:pPr>
              <w:spacing w:after="0" w:line="360" w:lineRule="auto"/>
              <w:jc w:val="both"/>
              <w:rPr>
                <w:rFonts w:ascii="Times New Roman" w:eastAsia="Times New Roman" w:hAnsi="Times New Roman" w:cs="Times New Roman"/>
                <w:b/>
                <w:bCs/>
                <w:kern w:val="0"/>
                <w:sz w:val="24"/>
                <w:szCs w:val="24"/>
                <w14:ligatures w14:val="none"/>
              </w:rPr>
            </w:pPr>
            <w:r w:rsidRPr="00A349BE">
              <w:rPr>
                <w:rFonts w:ascii="Times New Roman" w:eastAsia="Times New Roman" w:hAnsi="Times New Roman" w:cs="Times New Roman"/>
                <w:b/>
                <w:bCs/>
                <w:kern w:val="0"/>
                <w:sz w:val="24"/>
                <w:szCs w:val="24"/>
                <w14:ligatures w14:val="none"/>
              </w:rPr>
              <w:t>Time scale (months)</w:t>
            </w:r>
          </w:p>
        </w:tc>
        <w:tc>
          <w:tcPr>
            <w:tcW w:w="962" w:type="dxa"/>
            <w:vAlign w:val="center"/>
            <w:hideMark/>
          </w:tcPr>
          <w:p w14:paraId="4EE37CEC" w14:textId="77777777" w:rsidR="00A349BE" w:rsidRPr="00A349BE" w:rsidRDefault="00A349BE" w:rsidP="00B263D3">
            <w:pPr>
              <w:spacing w:after="0" w:line="360" w:lineRule="auto"/>
              <w:jc w:val="both"/>
              <w:rPr>
                <w:rFonts w:ascii="Times New Roman" w:eastAsia="Times New Roman" w:hAnsi="Times New Roman" w:cs="Times New Roman"/>
                <w:b/>
                <w:bCs/>
                <w:kern w:val="0"/>
                <w:sz w:val="24"/>
                <w:szCs w:val="24"/>
                <w14:ligatures w14:val="none"/>
              </w:rPr>
            </w:pPr>
            <w:r w:rsidRPr="00A349BE">
              <w:rPr>
                <w:rFonts w:ascii="Times New Roman" w:eastAsia="Times New Roman" w:hAnsi="Times New Roman" w:cs="Times New Roman"/>
                <w:b/>
                <w:bCs/>
                <w:kern w:val="0"/>
                <w:sz w:val="24"/>
                <w:szCs w:val="24"/>
                <w14:ligatures w14:val="none"/>
              </w:rPr>
              <w:t>MK (τ)</w:t>
            </w:r>
          </w:p>
        </w:tc>
        <w:tc>
          <w:tcPr>
            <w:tcW w:w="1388" w:type="dxa"/>
            <w:vAlign w:val="center"/>
            <w:hideMark/>
          </w:tcPr>
          <w:p w14:paraId="083C4826" w14:textId="77777777" w:rsidR="00A349BE" w:rsidRPr="00A349BE" w:rsidRDefault="00A349BE" w:rsidP="00B263D3">
            <w:pPr>
              <w:spacing w:after="0" w:line="360" w:lineRule="auto"/>
              <w:jc w:val="both"/>
              <w:rPr>
                <w:rFonts w:ascii="Times New Roman" w:eastAsia="Times New Roman" w:hAnsi="Times New Roman" w:cs="Times New Roman"/>
                <w:b/>
                <w:bCs/>
                <w:kern w:val="0"/>
                <w:sz w:val="24"/>
                <w:szCs w:val="24"/>
                <w14:ligatures w14:val="none"/>
              </w:rPr>
            </w:pPr>
            <w:r w:rsidRPr="00A349BE">
              <w:rPr>
                <w:rFonts w:ascii="Times New Roman" w:eastAsia="Times New Roman" w:hAnsi="Times New Roman" w:cs="Times New Roman"/>
                <w:b/>
                <w:bCs/>
                <w:kern w:val="0"/>
                <w:sz w:val="24"/>
                <w:szCs w:val="24"/>
                <w14:ligatures w14:val="none"/>
              </w:rPr>
              <w:t>MK p-value</w:t>
            </w:r>
          </w:p>
        </w:tc>
        <w:tc>
          <w:tcPr>
            <w:tcW w:w="1529" w:type="dxa"/>
            <w:vAlign w:val="center"/>
            <w:hideMark/>
          </w:tcPr>
          <w:p w14:paraId="0BA88830" w14:textId="77777777" w:rsidR="00A349BE" w:rsidRPr="00A349BE" w:rsidRDefault="00A349BE" w:rsidP="00B263D3">
            <w:pPr>
              <w:spacing w:after="0" w:line="360" w:lineRule="auto"/>
              <w:jc w:val="both"/>
              <w:rPr>
                <w:rFonts w:ascii="Times New Roman" w:eastAsia="Times New Roman" w:hAnsi="Times New Roman" w:cs="Times New Roman"/>
                <w:b/>
                <w:bCs/>
                <w:kern w:val="0"/>
                <w:sz w:val="24"/>
                <w:szCs w:val="24"/>
                <w14:ligatures w14:val="none"/>
              </w:rPr>
            </w:pPr>
            <w:r w:rsidRPr="00A349BE">
              <w:rPr>
                <w:rFonts w:ascii="Times New Roman" w:eastAsia="Times New Roman" w:hAnsi="Times New Roman" w:cs="Times New Roman"/>
                <w:b/>
                <w:bCs/>
                <w:kern w:val="0"/>
                <w:sz w:val="24"/>
                <w:szCs w:val="24"/>
                <w14:ligatures w14:val="none"/>
              </w:rPr>
              <w:t>Pettitt p-value</w:t>
            </w:r>
          </w:p>
        </w:tc>
        <w:tc>
          <w:tcPr>
            <w:tcW w:w="1514" w:type="dxa"/>
            <w:vAlign w:val="center"/>
            <w:hideMark/>
          </w:tcPr>
          <w:p w14:paraId="5B7D5D9F" w14:textId="77777777" w:rsidR="00A349BE" w:rsidRPr="00A349BE" w:rsidRDefault="00A349BE" w:rsidP="00B263D3">
            <w:pPr>
              <w:spacing w:after="0" w:line="360" w:lineRule="auto"/>
              <w:jc w:val="both"/>
              <w:rPr>
                <w:rFonts w:ascii="Times New Roman" w:eastAsia="Times New Roman" w:hAnsi="Times New Roman" w:cs="Times New Roman"/>
                <w:b/>
                <w:bCs/>
                <w:kern w:val="0"/>
                <w:sz w:val="24"/>
                <w:szCs w:val="24"/>
                <w14:ligatures w14:val="none"/>
              </w:rPr>
            </w:pPr>
            <w:r w:rsidRPr="00A349BE">
              <w:rPr>
                <w:rFonts w:ascii="Times New Roman" w:eastAsia="Times New Roman" w:hAnsi="Times New Roman" w:cs="Times New Roman"/>
                <w:b/>
                <w:bCs/>
                <w:kern w:val="0"/>
                <w:sz w:val="24"/>
                <w:szCs w:val="24"/>
                <w14:ligatures w14:val="none"/>
              </w:rPr>
              <w:t>Break year</w:t>
            </w:r>
          </w:p>
        </w:tc>
      </w:tr>
      <w:tr w:rsidR="00A349BE" w:rsidRPr="00A349BE" w14:paraId="7D03C080" w14:textId="77777777" w:rsidTr="00A349BE">
        <w:trPr>
          <w:tblCellSpacing w:w="15" w:type="dxa"/>
          <w:jc w:val="center"/>
        </w:trPr>
        <w:tc>
          <w:tcPr>
            <w:tcW w:w="1089" w:type="dxa"/>
            <w:vAlign w:val="center"/>
            <w:hideMark/>
          </w:tcPr>
          <w:p w14:paraId="30EAF038"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SPEI</w:t>
            </w:r>
          </w:p>
        </w:tc>
        <w:tc>
          <w:tcPr>
            <w:tcW w:w="1813" w:type="dxa"/>
            <w:vAlign w:val="center"/>
            <w:hideMark/>
          </w:tcPr>
          <w:p w14:paraId="400E6963"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3</w:t>
            </w:r>
          </w:p>
        </w:tc>
        <w:tc>
          <w:tcPr>
            <w:tcW w:w="962" w:type="dxa"/>
            <w:vAlign w:val="center"/>
            <w:hideMark/>
          </w:tcPr>
          <w:p w14:paraId="03EDDB07"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0.122</w:t>
            </w:r>
          </w:p>
        </w:tc>
        <w:tc>
          <w:tcPr>
            <w:tcW w:w="1388" w:type="dxa"/>
            <w:vAlign w:val="center"/>
            <w:hideMark/>
          </w:tcPr>
          <w:p w14:paraId="56F849C6"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5e-04</w:t>
            </w:r>
          </w:p>
        </w:tc>
        <w:tc>
          <w:tcPr>
            <w:tcW w:w="1529" w:type="dxa"/>
            <w:vAlign w:val="center"/>
            <w:hideMark/>
          </w:tcPr>
          <w:p w14:paraId="0E330D8B"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1e-04</w:t>
            </w:r>
          </w:p>
        </w:tc>
        <w:tc>
          <w:tcPr>
            <w:tcW w:w="1514" w:type="dxa"/>
            <w:vAlign w:val="center"/>
            <w:hideMark/>
          </w:tcPr>
          <w:p w14:paraId="579B5474"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2016</w:t>
            </w:r>
          </w:p>
        </w:tc>
      </w:tr>
      <w:tr w:rsidR="00A349BE" w:rsidRPr="00A349BE" w14:paraId="49D15F5D" w14:textId="77777777" w:rsidTr="00A349BE">
        <w:trPr>
          <w:tblCellSpacing w:w="15" w:type="dxa"/>
          <w:jc w:val="center"/>
        </w:trPr>
        <w:tc>
          <w:tcPr>
            <w:tcW w:w="1089" w:type="dxa"/>
            <w:vAlign w:val="center"/>
            <w:hideMark/>
          </w:tcPr>
          <w:p w14:paraId="13FCF0F4"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SPEI</w:t>
            </w:r>
          </w:p>
        </w:tc>
        <w:tc>
          <w:tcPr>
            <w:tcW w:w="1813" w:type="dxa"/>
            <w:vAlign w:val="center"/>
            <w:hideMark/>
          </w:tcPr>
          <w:p w14:paraId="69B47D41"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6</w:t>
            </w:r>
          </w:p>
        </w:tc>
        <w:tc>
          <w:tcPr>
            <w:tcW w:w="962" w:type="dxa"/>
            <w:vAlign w:val="center"/>
            <w:hideMark/>
          </w:tcPr>
          <w:p w14:paraId="4C3624CB"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0.205</w:t>
            </w:r>
          </w:p>
        </w:tc>
        <w:tc>
          <w:tcPr>
            <w:tcW w:w="1388" w:type="dxa"/>
            <w:vAlign w:val="center"/>
            <w:hideMark/>
          </w:tcPr>
          <w:p w14:paraId="542E5517"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0e+00</w:t>
            </w:r>
          </w:p>
        </w:tc>
        <w:tc>
          <w:tcPr>
            <w:tcW w:w="1529" w:type="dxa"/>
            <w:vAlign w:val="center"/>
            <w:hideMark/>
          </w:tcPr>
          <w:p w14:paraId="108328ED"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0e+00</w:t>
            </w:r>
          </w:p>
        </w:tc>
        <w:tc>
          <w:tcPr>
            <w:tcW w:w="1514" w:type="dxa"/>
            <w:vAlign w:val="center"/>
            <w:hideMark/>
          </w:tcPr>
          <w:p w14:paraId="12C5D036"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2016</w:t>
            </w:r>
          </w:p>
        </w:tc>
      </w:tr>
      <w:tr w:rsidR="00A349BE" w:rsidRPr="00A349BE" w14:paraId="16F2B5ED" w14:textId="77777777" w:rsidTr="00A349BE">
        <w:trPr>
          <w:tblCellSpacing w:w="15" w:type="dxa"/>
          <w:jc w:val="center"/>
        </w:trPr>
        <w:tc>
          <w:tcPr>
            <w:tcW w:w="1089" w:type="dxa"/>
            <w:vAlign w:val="center"/>
            <w:hideMark/>
          </w:tcPr>
          <w:p w14:paraId="00445206"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SPEI</w:t>
            </w:r>
          </w:p>
        </w:tc>
        <w:tc>
          <w:tcPr>
            <w:tcW w:w="1813" w:type="dxa"/>
            <w:vAlign w:val="center"/>
            <w:hideMark/>
          </w:tcPr>
          <w:p w14:paraId="580B5E7C"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12</w:t>
            </w:r>
          </w:p>
        </w:tc>
        <w:tc>
          <w:tcPr>
            <w:tcW w:w="962" w:type="dxa"/>
            <w:vAlign w:val="center"/>
            <w:hideMark/>
          </w:tcPr>
          <w:p w14:paraId="47349EA1"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0.309</w:t>
            </w:r>
          </w:p>
        </w:tc>
        <w:tc>
          <w:tcPr>
            <w:tcW w:w="1388" w:type="dxa"/>
            <w:vAlign w:val="center"/>
            <w:hideMark/>
          </w:tcPr>
          <w:p w14:paraId="48B657B6"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0e+00</w:t>
            </w:r>
          </w:p>
        </w:tc>
        <w:tc>
          <w:tcPr>
            <w:tcW w:w="1529" w:type="dxa"/>
            <w:vAlign w:val="center"/>
            <w:hideMark/>
          </w:tcPr>
          <w:p w14:paraId="164FB710"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0e+00</w:t>
            </w:r>
          </w:p>
        </w:tc>
        <w:tc>
          <w:tcPr>
            <w:tcW w:w="1514" w:type="dxa"/>
            <w:vAlign w:val="center"/>
            <w:hideMark/>
          </w:tcPr>
          <w:p w14:paraId="0B2EA167" w14:textId="77777777" w:rsidR="00A349BE" w:rsidRPr="00A349BE" w:rsidRDefault="00A349BE" w:rsidP="00B263D3">
            <w:pPr>
              <w:spacing w:after="0" w:line="360" w:lineRule="auto"/>
              <w:jc w:val="both"/>
              <w:rPr>
                <w:rFonts w:ascii="Times New Roman" w:eastAsia="Times New Roman" w:hAnsi="Times New Roman" w:cs="Times New Roman"/>
                <w:kern w:val="0"/>
                <w:sz w:val="24"/>
                <w:szCs w:val="24"/>
                <w14:ligatures w14:val="none"/>
              </w:rPr>
            </w:pPr>
            <w:r w:rsidRPr="00A349BE">
              <w:rPr>
                <w:rFonts w:ascii="Times New Roman" w:eastAsia="Times New Roman" w:hAnsi="Times New Roman" w:cs="Times New Roman"/>
                <w:kern w:val="0"/>
                <w:sz w:val="24"/>
                <w:szCs w:val="24"/>
                <w14:ligatures w14:val="none"/>
              </w:rPr>
              <w:t>2016</w:t>
            </w:r>
          </w:p>
        </w:tc>
      </w:tr>
    </w:tbl>
    <w:p w14:paraId="291BB5DF" w14:textId="77777777" w:rsidR="00914402" w:rsidRPr="00914402" w:rsidRDefault="00914402" w:rsidP="00B263D3">
      <w:pPr>
        <w:pStyle w:val="NormalWeb"/>
        <w:spacing w:before="0" w:beforeAutospacing="0"/>
      </w:pPr>
    </w:p>
    <w:p w14:paraId="1227E021" w14:textId="162F2143" w:rsidR="00914402" w:rsidRPr="00914402" w:rsidRDefault="00914402" w:rsidP="00B263D3">
      <w:pPr>
        <w:pStyle w:val="NormalWeb"/>
        <w:numPr>
          <w:ilvl w:val="0"/>
          <w:numId w:val="11"/>
        </w:numPr>
        <w:spacing w:line="360" w:lineRule="auto"/>
        <w:jc w:val="both"/>
      </w:pPr>
      <w:r w:rsidRPr="00914402">
        <w:rPr>
          <w:b/>
          <w:bCs/>
        </w:rPr>
        <w:t>Comparative analysis of SPEI and SPI at the 3-, 6-, and 12-month time scales</w:t>
      </w:r>
    </w:p>
    <w:p w14:paraId="640191E1" w14:textId="1E4E3B31" w:rsidR="00914402" w:rsidRPr="00914402" w:rsidRDefault="00914402" w:rsidP="00B263D3">
      <w:pPr>
        <w:pStyle w:val="NormalWeb"/>
        <w:spacing w:line="360" w:lineRule="auto"/>
        <w:jc w:val="both"/>
      </w:pPr>
      <w:r w:rsidRPr="00914402">
        <w:lastRenderedPageBreak/>
        <w:t>The overall positive trend observed in both SPI and SPEI, particularly at the 12-month scale, suggests a relative improvement in long-term moisture conditions in the Diffa region, which could be favorable for rain-fed agriculture, pasture regeneration, and groundwater recharge. However, the strong variability observed at the 3- and 6-month scales indicates the persistence of abrupt dry or wet episodes that may disrupt agricultural calendars, affect pastoral production, and damage infrastructure during periods of excessive rainfall.</w:t>
      </w:r>
      <w:r>
        <w:t xml:space="preserve"> </w:t>
      </w:r>
      <w:r w:rsidRPr="00914402">
        <w:t>Furthermore, the larger deviations observed in SPEI highlight the influence of thermal stress, which may offset the benefits of increased rainfall by intensifying evapotranspiration. Thus, despite an overall trend toward wetter conditions, local livelihoods remain vulnerable to intra-annual climate variability and hydroclimatic extremes.</w:t>
      </w:r>
    </w:p>
    <w:p w14:paraId="04BCCBB0" w14:textId="77777777" w:rsidR="00914402" w:rsidRDefault="00914402" w:rsidP="00914402">
      <w:pPr>
        <w:jc w:val="center"/>
      </w:pPr>
      <w:r w:rsidRPr="00B3231E">
        <w:rPr>
          <w:noProof/>
          <w:lang w:val="en-US"/>
        </w:rPr>
        <w:drawing>
          <wp:inline distT="0" distB="0" distL="0" distR="0" wp14:anchorId="59DED33C" wp14:editId="545A9CC2">
            <wp:extent cx="5760720" cy="3225800"/>
            <wp:effectExtent l="0" t="0" r="0" b="0"/>
            <wp:docPr id="170222685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225800"/>
                    </a:xfrm>
                    <a:prstGeom prst="rect">
                      <a:avLst/>
                    </a:prstGeom>
                    <a:noFill/>
                    <a:ln>
                      <a:noFill/>
                    </a:ln>
                  </pic:spPr>
                </pic:pic>
              </a:graphicData>
            </a:graphic>
          </wp:inline>
        </w:drawing>
      </w:r>
    </w:p>
    <w:p w14:paraId="0E2CCFA3" w14:textId="4C092116" w:rsidR="00A349BE" w:rsidRDefault="00914402" w:rsidP="00914402">
      <w:pPr>
        <w:pStyle w:val="NormalWeb"/>
        <w:jc w:val="center"/>
      </w:pPr>
      <w:r w:rsidRPr="00914402">
        <w:rPr>
          <w:b/>
          <w:bCs/>
        </w:rPr>
        <w:t>Fig.13</w:t>
      </w:r>
      <w:r w:rsidRPr="00914402">
        <w:t>. Multi-scale hydroclimatic trends (SPI/SPEI) over the period 1995–2025.</w:t>
      </w:r>
    </w:p>
    <w:p w14:paraId="30B39E2B" w14:textId="77777777" w:rsidR="009F497E" w:rsidRPr="00B263D3" w:rsidRDefault="009F497E" w:rsidP="00B263D3">
      <w:pPr>
        <w:pStyle w:val="Paragraphedeliste"/>
        <w:numPr>
          <w:ilvl w:val="0"/>
          <w:numId w:val="12"/>
        </w:numPr>
        <w:spacing w:line="360" w:lineRule="auto"/>
        <w:jc w:val="both"/>
        <w:rPr>
          <w:rFonts w:ascii="Times New Roman" w:hAnsi="Times New Roman" w:cs="Times New Roman"/>
          <w:b/>
          <w:bCs/>
          <w:sz w:val="24"/>
          <w:szCs w:val="24"/>
        </w:rPr>
      </w:pPr>
      <w:r w:rsidRPr="00B263D3">
        <w:rPr>
          <w:rFonts w:ascii="Times New Roman" w:hAnsi="Times New Roman" w:cs="Times New Roman"/>
          <w:b/>
          <w:bCs/>
          <w:sz w:val="24"/>
          <w:szCs w:val="24"/>
        </w:rPr>
        <w:t>Mann–Kendall (MK) and Pettitt Tests on SPI/SPEI (1995–2025)</w:t>
      </w:r>
    </w:p>
    <w:p w14:paraId="7E9B18B4" w14:textId="308C23CD" w:rsidR="00B263D3" w:rsidRPr="00B263D3" w:rsidRDefault="009F497E" w:rsidP="00B263D3">
      <w:pPr>
        <w:spacing w:line="360" w:lineRule="auto"/>
        <w:jc w:val="both"/>
        <w:rPr>
          <w:rFonts w:ascii="Times New Roman" w:hAnsi="Times New Roman" w:cs="Times New Roman"/>
          <w:sz w:val="24"/>
          <w:szCs w:val="24"/>
        </w:rPr>
      </w:pPr>
      <w:r w:rsidRPr="009F497E">
        <w:rPr>
          <w:rFonts w:ascii="Times New Roman" w:hAnsi="Times New Roman" w:cs="Times New Roman"/>
          <w:sz w:val="24"/>
          <w:szCs w:val="24"/>
        </w:rPr>
        <w:t>The results of the Mann–Kendall (MK) test highlight highly significant positive trends in both SPI and SPEI at all temporal scales, indicating a gradual shift toward wetter conditions in the Diffa region. In addition, the Pettitt test identifies structural breaks in the hydroclimatic regime between 2010 and 2018, marking a notable change in rainfall and hydrological dynamics.</w:t>
      </w:r>
      <w:r w:rsidRPr="00B263D3">
        <w:rPr>
          <w:rFonts w:ascii="Times New Roman" w:hAnsi="Times New Roman" w:cs="Times New Roman"/>
          <w:sz w:val="24"/>
          <w:szCs w:val="24"/>
        </w:rPr>
        <w:t xml:space="preserve"> </w:t>
      </w:r>
      <w:r w:rsidRPr="009F497E">
        <w:rPr>
          <w:rFonts w:ascii="Times New Roman" w:hAnsi="Times New Roman" w:cs="Times New Roman"/>
          <w:sz w:val="24"/>
          <w:szCs w:val="24"/>
        </w:rPr>
        <w:t xml:space="preserve">From a socio-economic perspective, this reconfiguration may support agricultural production, pastoral resource availability, and groundwater recharge, while simultaneously increasing the exposure of territories to intense rainfall events and flooding risks. Furthermore, the divergence </w:t>
      </w:r>
      <w:r w:rsidRPr="009F497E">
        <w:rPr>
          <w:rFonts w:ascii="Times New Roman" w:hAnsi="Times New Roman" w:cs="Times New Roman"/>
          <w:sz w:val="24"/>
          <w:szCs w:val="24"/>
        </w:rPr>
        <w:lastRenderedPageBreak/>
        <w:t>observed between SPI and SPEI highlights the influence of warming through evapotranspiration, which may partially offset the benefits associated with increased precipitation.</w:t>
      </w:r>
      <w:r w:rsidRPr="00B263D3">
        <w:rPr>
          <w:rFonts w:ascii="Times New Roman" w:hAnsi="Times New Roman" w:cs="Times New Roman"/>
          <w:sz w:val="24"/>
          <w:szCs w:val="24"/>
        </w:rPr>
        <w:t xml:space="preserve"> </w:t>
      </w:r>
      <w:r w:rsidRPr="009F497E">
        <w:rPr>
          <w:rFonts w:ascii="Times New Roman" w:hAnsi="Times New Roman" w:cs="Times New Roman"/>
          <w:sz w:val="24"/>
          <w:szCs w:val="24"/>
        </w:rPr>
        <w:t>Thus, despite an overall favorable trend, the detected variability and regime shifts imply significant adaptation challenges for local socio-economic systems.</w:t>
      </w:r>
    </w:p>
    <w:p w14:paraId="4EFB7224" w14:textId="6A0661BE" w:rsidR="009F497E" w:rsidRPr="009F497E" w:rsidRDefault="009F497E" w:rsidP="00B263D3">
      <w:pPr>
        <w:spacing w:line="360" w:lineRule="auto"/>
        <w:rPr>
          <w:rFonts w:ascii="Times New Roman" w:hAnsi="Times New Roman" w:cs="Times New Roman"/>
          <w:sz w:val="24"/>
          <w:szCs w:val="24"/>
        </w:rPr>
      </w:pPr>
      <w:r w:rsidRPr="00B263D3">
        <w:rPr>
          <w:rFonts w:ascii="Times New Roman" w:hAnsi="Times New Roman" w:cs="Times New Roman"/>
          <w:b/>
          <w:bCs/>
          <w:sz w:val="24"/>
          <w:szCs w:val="24"/>
        </w:rPr>
        <w:t>Table 5:</w:t>
      </w:r>
      <w:r w:rsidRPr="00B263D3">
        <w:rPr>
          <w:rFonts w:ascii="Times New Roman" w:hAnsi="Times New Roman" w:cs="Times New Roman"/>
          <w:sz w:val="24"/>
          <w:szCs w:val="24"/>
        </w:rPr>
        <w:t xml:space="preserve"> Analysis of Hydroclimatic Trends and Breakpoints (Mann–Kendall and Pettitt Tests) – (1995–2025)</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276"/>
        <w:gridCol w:w="1553"/>
        <w:gridCol w:w="1424"/>
        <w:gridCol w:w="1701"/>
        <w:gridCol w:w="1559"/>
        <w:gridCol w:w="1418"/>
      </w:tblGrid>
      <w:tr w:rsidR="009F497E" w:rsidRPr="00B263D3" w14:paraId="280161B1" w14:textId="77777777" w:rsidTr="009F497E">
        <w:trPr>
          <w:tblHeader/>
          <w:tblCellSpacing w:w="15" w:type="dxa"/>
          <w:jc w:val="center"/>
        </w:trPr>
        <w:tc>
          <w:tcPr>
            <w:tcW w:w="1231" w:type="dxa"/>
            <w:vAlign w:val="center"/>
            <w:hideMark/>
          </w:tcPr>
          <w:p w14:paraId="27435133" w14:textId="77777777" w:rsidR="009F497E" w:rsidRPr="009F497E" w:rsidRDefault="009F497E" w:rsidP="00B263D3">
            <w:pPr>
              <w:spacing w:after="0" w:line="360" w:lineRule="auto"/>
              <w:jc w:val="center"/>
              <w:rPr>
                <w:rFonts w:ascii="Times New Roman" w:eastAsia="Times New Roman" w:hAnsi="Times New Roman" w:cs="Times New Roman"/>
                <w:b/>
                <w:bCs/>
                <w:kern w:val="0"/>
                <w:sz w:val="24"/>
                <w:szCs w:val="24"/>
                <w14:ligatures w14:val="none"/>
              </w:rPr>
            </w:pPr>
            <w:r w:rsidRPr="009F497E">
              <w:rPr>
                <w:rFonts w:ascii="Times New Roman" w:eastAsia="Times New Roman" w:hAnsi="Times New Roman" w:cs="Times New Roman"/>
                <w:b/>
                <w:bCs/>
                <w:kern w:val="0"/>
                <w:sz w:val="24"/>
                <w:szCs w:val="24"/>
                <w14:ligatures w14:val="none"/>
              </w:rPr>
              <w:t>Index</w:t>
            </w:r>
          </w:p>
        </w:tc>
        <w:tc>
          <w:tcPr>
            <w:tcW w:w="1523" w:type="dxa"/>
            <w:vAlign w:val="center"/>
            <w:hideMark/>
          </w:tcPr>
          <w:p w14:paraId="5C8EDC3B" w14:textId="77777777" w:rsidR="009F497E" w:rsidRPr="009F497E" w:rsidRDefault="009F497E" w:rsidP="00B263D3">
            <w:pPr>
              <w:spacing w:after="0" w:line="360" w:lineRule="auto"/>
              <w:jc w:val="center"/>
              <w:rPr>
                <w:rFonts w:ascii="Times New Roman" w:eastAsia="Times New Roman" w:hAnsi="Times New Roman" w:cs="Times New Roman"/>
                <w:b/>
                <w:bCs/>
                <w:kern w:val="0"/>
                <w:sz w:val="24"/>
                <w:szCs w:val="24"/>
                <w14:ligatures w14:val="none"/>
              </w:rPr>
            </w:pPr>
            <w:r w:rsidRPr="009F497E">
              <w:rPr>
                <w:rFonts w:ascii="Times New Roman" w:eastAsia="Times New Roman" w:hAnsi="Times New Roman" w:cs="Times New Roman"/>
                <w:b/>
                <w:bCs/>
                <w:kern w:val="0"/>
                <w:sz w:val="24"/>
                <w:szCs w:val="24"/>
                <w14:ligatures w14:val="none"/>
              </w:rPr>
              <w:t>Time Scale (months)</w:t>
            </w:r>
          </w:p>
        </w:tc>
        <w:tc>
          <w:tcPr>
            <w:tcW w:w="1394" w:type="dxa"/>
            <w:vAlign w:val="center"/>
            <w:hideMark/>
          </w:tcPr>
          <w:p w14:paraId="6FA3A0F1" w14:textId="77777777" w:rsidR="009F497E" w:rsidRPr="009F497E" w:rsidRDefault="009F497E" w:rsidP="00B263D3">
            <w:pPr>
              <w:spacing w:after="0" w:line="360" w:lineRule="auto"/>
              <w:jc w:val="center"/>
              <w:rPr>
                <w:rFonts w:ascii="Times New Roman" w:eastAsia="Times New Roman" w:hAnsi="Times New Roman" w:cs="Times New Roman"/>
                <w:b/>
                <w:bCs/>
                <w:kern w:val="0"/>
                <w:sz w:val="24"/>
                <w:szCs w:val="24"/>
                <w14:ligatures w14:val="none"/>
              </w:rPr>
            </w:pPr>
            <w:r w:rsidRPr="009F497E">
              <w:rPr>
                <w:rFonts w:ascii="Times New Roman" w:eastAsia="Times New Roman" w:hAnsi="Times New Roman" w:cs="Times New Roman"/>
                <w:b/>
                <w:bCs/>
                <w:kern w:val="0"/>
                <w:sz w:val="24"/>
                <w:szCs w:val="24"/>
                <w14:ligatures w14:val="none"/>
              </w:rPr>
              <w:t>MK_tau</w:t>
            </w:r>
          </w:p>
        </w:tc>
        <w:tc>
          <w:tcPr>
            <w:tcW w:w="1671" w:type="dxa"/>
            <w:vAlign w:val="center"/>
            <w:hideMark/>
          </w:tcPr>
          <w:p w14:paraId="736231C3" w14:textId="77777777" w:rsidR="009F497E" w:rsidRPr="009F497E" w:rsidRDefault="009F497E" w:rsidP="00B263D3">
            <w:pPr>
              <w:spacing w:after="0" w:line="360" w:lineRule="auto"/>
              <w:jc w:val="center"/>
              <w:rPr>
                <w:rFonts w:ascii="Times New Roman" w:eastAsia="Times New Roman" w:hAnsi="Times New Roman" w:cs="Times New Roman"/>
                <w:b/>
                <w:bCs/>
                <w:kern w:val="0"/>
                <w:sz w:val="24"/>
                <w:szCs w:val="24"/>
                <w14:ligatures w14:val="none"/>
              </w:rPr>
            </w:pPr>
            <w:r w:rsidRPr="009F497E">
              <w:rPr>
                <w:rFonts w:ascii="Times New Roman" w:eastAsia="Times New Roman" w:hAnsi="Times New Roman" w:cs="Times New Roman"/>
                <w:b/>
                <w:bCs/>
                <w:kern w:val="0"/>
                <w:sz w:val="24"/>
                <w:szCs w:val="24"/>
                <w14:ligatures w14:val="none"/>
              </w:rPr>
              <w:t>MK_pvalue</w:t>
            </w:r>
          </w:p>
        </w:tc>
        <w:tc>
          <w:tcPr>
            <w:tcW w:w="1529" w:type="dxa"/>
            <w:vAlign w:val="center"/>
            <w:hideMark/>
          </w:tcPr>
          <w:p w14:paraId="191BFB8E" w14:textId="77777777" w:rsidR="009F497E" w:rsidRPr="009F497E" w:rsidRDefault="009F497E" w:rsidP="00B263D3">
            <w:pPr>
              <w:spacing w:after="0" w:line="360" w:lineRule="auto"/>
              <w:jc w:val="center"/>
              <w:rPr>
                <w:rFonts w:ascii="Times New Roman" w:eastAsia="Times New Roman" w:hAnsi="Times New Roman" w:cs="Times New Roman"/>
                <w:b/>
                <w:bCs/>
                <w:kern w:val="0"/>
                <w:sz w:val="24"/>
                <w:szCs w:val="24"/>
                <w14:ligatures w14:val="none"/>
              </w:rPr>
            </w:pPr>
            <w:r w:rsidRPr="009F497E">
              <w:rPr>
                <w:rFonts w:ascii="Times New Roman" w:eastAsia="Times New Roman" w:hAnsi="Times New Roman" w:cs="Times New Roman"/>
                <w:b/>
                <w:bCs/>
                <w:kern w:val="0"/>
                <w:sz w:val="24"/>
                <w:szCs w:val="24"/>
                <w14:ligatures w14:val="none"/>
              </w:rPr>
              <w:t>Pettitt_pvalue</w:t>
            </w:r>
          </w:p>
        </w:tc>
        <w:tc>
          <w:tcPr>
            <w:tcW w:w="1373" w:type="dxa"/>
            <w:vAlign w:val="center"/>
            <w:hideMark/>
          </w:tcPr>
          <w:p w14:paraId="618E37D9" w14:textId="77777777" w:rsidR="009F497E" w:rsidRPr="009F497E" w:rsidRDefault="009F497E" w:rsidP="00B263D3">
            <w:pPr>
              <w:spacing w:after="0" w:line="360" w:lineRule="auto"/>
              <w:jc w:val="center"/>
              <w:rPr>
                <w:rFonts w:ascii="Times New Roman" w:eastAsia="Times New Roman" w:hAnsi="Times New Roman" w:cs="Times New Roman"/>
                <w:b/>
                <w:bCs/>
                <w:kern w:val="0"/>
                <w:sz w:val="24"/>
                <w:szCs w:val="24"/>
                <w14:ligatures w14:val="none"/>
              </w:rPr>
            </w:pPr>
            <w:r w:rsidRPr="009F497E">
              <w:rPr>
                <w:rFonts w:ascii="Times New Roman" w:eastAsia="Times New Roman" w:hAnsi="Times New Roman" w:cs="Times New Roman"/>
                <w:b/>
                <w:bCs/>
                <w:kern w:val="0"/>
                <w:sz w:val="24"/>
                <w:szCs w:val="24"/>
                <w14:ligatures w14:val="none"/>
              </w:rPr>
              <w:t>Break Year</w:t>
            </w:r>
          </w:p>
        </w:tc>
      </w:tr>
      <w:tr w:rsidR="009F497E" w:rsidRPr="00B263D3" w14:paraId="4E45E349" w14:textId="77777777" w:rsidTr="009F497E">
        <w:trPr>
          <w:tblCellSpacing w:w="15" w:type="dxa"/>
          <w:jc w:val="center"/>
        </w:trPr>
        <w:tc>
          <w:tcPr>
            <w:tcW w:w="1231" w:type="dxa"/>
            <w:vAlign w:val="center"/>
            <w:hideMark/>
          </w:tcPr>
          <w:p w14:paraId="580D7F51" w14:textId="77777777" w:rsidR="009F497E" w:rsidRPr="009F497E" w:rsidRDefault="009F497E" w:rsidP="00B263D3">
            <w:pPr>
              <w:spacing w:after="0" w:line="360" w:lineRule="auto"/>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SPEI</w:t>
            </w:r>
          </w:p>
        </w:tc>
        <w:tc>
          <w:tcPr>
            <w:tcW w:w="1523" w:type="dxa"/>
            <w:vAlign w:val="center"/>
            <w:hideMark/>
          </w:tcPr>
          <w:p w14:paraId="18DA3339"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3</w:t>
            </w:r>
          </w:p>
        </w:tc>
        <w:tc>
          <w:tcPr>
            <w:tcW w:w="1394" w:type="dxa"/>
            <w:vAlign w:val="center"/>
            <w:hideMark/>
          </w:tcPr>
          <w:p w14:paraId="05EBE1A9"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0.122</w:t>
            </w:r>
          </w:p>
        </w:tc>
        <w:tc>
          <w:tcPr>
            <w:tcW w:w="1671" w:type="dxa"/>
            <w:vAlign w:val="center"/>
            <w:hideMark/>
          </w:tcPr>
          <w:p w14:paraId="453CBC9A"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5e-04</w:t>
            </w:r>
          </w:p>
        </w:tc>
        <w:tc>
          <w:tcPr>
            <w:tcW w:w="1529" w:type="dxa"/>
            <w:vAlign w:val="center"/>
            <w:hideMark/>
          </w:tcPr>
          <w:p w14:paraId="461C403A"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1e-04</w:t>
            </w:r>
          </w:p>
        </w:tc>
        <w:tc>
          <w:tcPr>
            <w:tcW w:w="1373" w:type="dxa"/>
            <w:vAlign w:val="center"/>
            <w:hideMark/>
          </w:tcPr>
          <w:p w14:paraId="44D8DA92"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2016</w:t>
            </w:r>
          </w:p>
        </w:tc>
      </w:tr>
      <w:tr w:rsidR="009F497E" w:rsidRPr="00B263D3" w14:paraId="4B755472" w14:textId="77777777" w:rsidTr="009F497E">
        <w:trPr>
          <w:tblCellSpacing w:w="15" w:type="dxa"/>
          <w:jc w:val="center"/>
        </w:trPr>
        <w:tc>
          <w:tcPr>
            <w:tcW w:w="1231" w:type="dxa"/>
            <w:vAlign w:val="center"/>
            <w:hideMark/>
          </w:tcPr>
          <w:p w14:paraId="6A2D55F6" w14:textId="77777777" w:rsidR="009F497E" w:rsidRPr="009F497E" w:rsidRDefault="009F497E" w:rsidP="00B263D3">
            <w:pPr>
              <w:spacing w:after="0" w:line="360" w:lineRule="auto"/>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SPEI</w:t>
            </w:r>
          </w:p>
        </w:tc>
        <w:tc>
          <w:tcPr>
            <w:tcW w:w="1523" w:type="dxa"/>
            <w:vAlign w:val="center"/>
            <w:hideMark/>
          </w:tcPr>
          <w:p w14:paraId="6847B487"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6</w:t>
            </w:r>
          </w:p>
        </w:tc>
        <w:tc>
          <w:tcPr>
            <w:tcW w:w="1394" w:type="dxa"/>
            <w:vAlign w:val="center"/>
            <w:hideMark/>
          </w:tcPr>
          <w:p w14:paraId="21E58A0B"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0.205</w:t>
            </w:r>
          </w:p>
        </w:tc>
        <w:tc>
          <w:tcPr>
            <w:tcW w:w="1671" w:type="dxa"/>
            <w:vAlign w:val="center"/>
            <w:hideMark/>
          </w:tcPr>
          <w:p w14:paraId="7DED8A28"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0e+00</w:t>
            </w:r>
          </w:p>
        </w:tc>
        <w:tc>
          <w:tcPr>
            <w:tcW w:w="1529" w:type="dxa"/>
            <w:vAlign w:val="center"/>
            <w:hideMark/>
          </w:tcPr>
          <w:p w14:paraId="1CDA0949"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0e+00</w:t>
            </w:r>
          </w:p>
        </w:tc>
        <w:tc>
          <w:tcPr>
            <w:tcW w:w="1373" w:type="dxa"/>
            <w:vAlign w:val="center"/>
            <w:hideMark/>
          </w:tcPr>
          <w:p w14:paraId="73A2E698"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2016</w:t>
            </w:r>
          </w:p>
        </w:tc>
      </w:tr>
      <w:tr w:rsidR="009F497E" w:rsidRPr="00B263D3" w14:paraId="78D83A83" w14:textId="77777777" w:rsidTr="009F497E">
        <w:trPr>
          <w:tblCellSpacing w:w="15" w:type="dxa"/>
          <w:jc w:val="center"/>
        </w:trPr>
        <w:tc>
          <w:tcPr>
            <w:tcW w:w="1231" w:type="dxa"/>
            <w:vAlign w:val="center"/>
            <w:hideMark/>
          </w:tcPr>
          <w:p w14:paraId="6F3583BC" w14:textId="77777777" w:rsidR="009F497E" w:rsidRPr="009F497E" w:rsidRDefault="009F497E" w:rsidP="00B263D3">
            <w:pPr>
              <w:spacing w:after="0" w:line="360" w:lineRule="auto"/>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SPEI</w:t>
            </w:r>
          </w:p>
        </w:tc>
        <w:tc>
          <w:tcPr>
            <w:tcW w:w="1523" w:type="dxa"/>
            <w:vAlign w:val="center"/>
            <w:hideMark/>
          </w:tcPr>
          <w:p w14:paraId="730BB9D5"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12</w:t>
            </w:r>
          </w:p>
        </w:tc>
        <w:tc>
          <w:tcPr>
            <w:tcW w:w="1394" w:type="dxa"/>
            <w:vAlign w:val="center"/>
            <w:hideMark/>
          </w:tcPr>
          <w:p w14:paraId="23E50802"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0.309</w:t>
            </w:r>
          </w:p>
        </w:tc>
        <w:tc>
          <w:tcPr>
            <w:tcW w:w="1671" w:type="dxa"/>
            <w:vAlign w:val="center"/>
            <w:hideMark/>
          </w:tcPr>
          <w:p w14:paraId="2470F04C"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0e+00</w:t>
            </w:r>
          </w:p>
        </w:tc>
        <w:tc>
          <w:tcPr>
            <w:tcW w:w="1529" w:type="dxa"/>
            <w:vAlign w:val="center"/>
            <w:hideMark/>
          </w:tcPr>
          <w:p w14:paraId="1BBF5699"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0e+00</w:t>
            </w:r>
          </w:p>
        </w:tc>
        <w:tc>
          <w:tcPr>
            <w:tcW w:w="1373" w:type="dxa"/>
            <w:vAlign w:val="center"/>
            <w:hideMark/>
          </w:tcPr>
          <w:p w14:paraId="1669EDE5"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2016</w:t>
            </w:r>
          </w:p>
        </w:tc>
      </w:tr>
      <w:tr w:rsidR="009F497E" w:rsidRPr="00B263D3" w14:paraId="46921DA0" w14:textId="77777777" w:rsidTr="009F497E">
        <w:trPr>
          <w:tblCellSpacing w:w="15" w:type="dxa"/>
          <w:jc w:val="center"/>
        </w:trPr>
        <w:tc>
          <w:tcPr>
            <w:tcW w:w="1231" w:type="dxa"/>
            <w:vAlign w:val="center"/>
            <w:hideMark/>
          </w:tcPr>
          <w:p w14:paraId="1A49A901" w14:textId="77777777" w:rsidR="009F497E" w:rsidRPr="009F497E" w:rsidRDefault="009F497E" w:rsidP="00B263D3">
            <w:pPr>
              <w:spacing w:after="0" w:line="360" w:lineRule="auto"/>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SPI</w:t>
            </w:r>
          </w:p>
        </w:tc>
        <w:tc>
          <w:tcPr>
            <w:tcW w:w="1523" w:type="dxa"/>
            <w:vAlign w:val="center"/>
            <w:hideMark/>
          </w:tcPr>
          <w:p w14:paraId="16E5571E"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3</w:t>
            </w:r>
          </w:p>
        </w:tc>
        <w:tc>
          <w:tcPr>
            <w:tcW w:w="1394" w:type="dxa"/>
            <w:vAlign w:val="center"/>
            <w:hideMark/>
          </w:tcPr>
          <w:p w14:paraId="774BE5DF"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0.211</w:t>
            </w:r>
          </w:p>
        </w:tc>
        <w:tc>
          <w:tcPr>
            <w:tcW w:w="1671" w:type="dxa"/>
            <w:vAlign w:val="center"/>
            <w:hideMark/>
          </w:tcPr>
          <w:p w14:paraId="35BEA342"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0e+00</w:t>
            </w:r>
          </w:p>
        </w:tc>
        <w:tc>
          <w:tcPr>
            <w:tcW w:w="1529" w:type="dxa"/>
            <w:vAlign w:val="center"/>
            <w:hideMark/>
          </w:tcPr>
          <w:p w14:paraId="6D89EF91"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0e+00</w:t>
            </w:r>
          </w:p>
        </w:tc>
        <w:tc>
          <w:tcPr>
            <w:tcW w:w="1373" w:type="dxa"/>
            <w:vAlign w:val="center"/>
            <w:hideMark/>
          </w:tcPr>
          <w:p w14:paraId="5FB890A6" w14:textId="77777777" w:rsidR="009F497E" w:rsidRPr="009F497E" w:rsidRDefault="009F497E" w:rsidP="00B263D3">
            <w:pPr>
              <w:spacing w:after="0" w:line="360" w:lineRule="auto"/>
              <w:jc w:val="center"/>
              <w:rPr>
                <w:rFonts w:ascii="Times New Roman" w:eastAsia="Times New Roman" w:hAnsi="Times New Roman" w:cs="Times New Roman"/>
                <w:kern w:val="0"/>
                <w:sz w:val="24"/>
                <w:szCs w:val="24"/>
                <w14:ligatures w14:val="none"/>
              </w:rPr>
            </w:pPr>
            <w:r w:rsidRPr="009F497E">
              <w:rPr>
                <w:rFonts w:ascii="Times New Roman" w:eastAsia="Times New Roman" w:hAnsi="Times New Roman" w:cs="Times New Roman"/>
                <w:kern w:val="0"/>
                <w:sz w:val="24"/>
                <w:szCs w:val="24"/>
                <w14:ligatures w14:val="none"/>
              </w:rPr>
              <w:t>2018</w:t>
            </w:r>
          </w:p>
        </w:tc>
      </w:tr>
      <w:tr w:rsidR="009F497E" w:rsidRPr="009F497E" w14:paraId="7718E4D0" w14:textId="77777777" w:rsidTr="009F497E">
        <w:trPr>
          <w:tblCellSpacing w:w="15" w:type="dxa"/>
          <w:jc w:val="center"/>
        </w:trPr>
        <w:tc>
          <w:tcPr>
            <w:tcW w:w="1231" w:type="dxa"/>
            <w:vAlign w:val="center"/>
            <w:hideMark/>
          </w:tcPr>
          <w:p w14:paraId="6E875D7C" w14:textId="77777777" w:rsidR="009F497E" w:rsidRPr="009F497E" w:rsidRDefault="009F497E" w:rsidP="00B263D3">
            <w:pPr>
              <w:spacing w:line="360" w:lineRule="auto"/>
              <w:rPr>
                <w:rFonts w:ascii="Times New Roman" w:hAnsi="Times New Roman" w:cs="Times New Roman"/>
                <w:b/>
                <w:bCs/>
                <w:sz w:val="24"/>
                <w:szCs w:val="24"/>
              </w:rPr>
            </w:pPr>
            <w:r w:rsidRPr="009F497E">
              <w:rPr>
                <w:rFonts w:ascii="Times New Roman" w:hAnsi="Times New Roman" w:cs="Times New Roman"/>
                <w:b/>
                <w:bCs/>
                <w:sz w:val="24"/>
                <w:szCs w:val="24"/>
              </w:rPr>
              <w:t>SPI</w:t>
            </w:r>
          </w:p>
        </w:tc>
        <w:tc>
          <w:tcPr>
            <w:tcW w:w="1523" w:type="dxa"/>
            <w:vAlign w:val="center"/>
            <w:hideMark/>
          </w:tcPr>
          <w:p w14:paraId="5A1A607F" w14:textId="77777777" w:rsidR="009F497E" w:rsidRPr="009F497E" w:rsidRDefault="009F497E" w:rsidP="00B263D3">
            <w:pPr>
              <w:spacing w:line="360" w:lineRule="auto"/>
              <w:jc w:val="center"/>
              <w:rPr>
                <w:rFonts w:ascii="Times New Roman" w:hAnsi="Times New Roman" w:cs="Times New Roman"/>
                <w:b/>
                <w:bCs/>
                <w:sz w:val="24"/>
                <w:szCs w:val="24"/>
              </w:rPr>
            </w:pPr>
            <w:r w:rsidRPr="009F497E">
              <w:rPr>
                <w:rFonts w:ascii="Times New Roman" w:hAnsi="Times New Roman" w:cs="Times New Roman"/>
                <w:b/>
                <w:bCs/>
                <w:sz w:val="24"/>
                <w:szCs w:val="24"/>
              </w:rPr>
              <w:t>6</w:t>
            </w:r>
          </w:p>
        </w:tc>
        <w:tc>
          <w:tcPr>
            <w:tcW w:w="1394" w:type="dxa"/>
            <w:vAlign w:val="center"/>
            <w:hideMark/>
          </w:tcPr>
          <w:p w14:paraId="40F4CB1E" w14:textId="77777777" w:rsidR="009F497E" w:rsidRPr="009F497E" w:rsidRDefault="009F497E" w:rsidP="00B263D3">
            <w:pPr>
              <w:spacing w:line="360" w:lineRule="auto"/>
              <w:jc w:val="center"/>
              <w:rPr>
                <w:rFonts w:ascii="Times New Roman" w:hAnsi="Times New Roman" w:cs="Times New Roman"/>
                <w:b/>
                <w:bCs/>
                <w:sz w:val="24"/>
                <w:szCs w:val="24"/>
              </w:rPr>
            </w:pPr>
            <w:r w:rsidRPr="009F497E">
              <w:rPr>
                <w:rFonts w:ascii="Times New Roman" w:hAnsi="Times New Roman" w:cs="Times New Roman"/>
                <w:b/>
                <w:bCs/>
                <w:sz w:val="24"/>
                <w:szCs w:val="24"/>
              </w:rPr>
              <w:t>0.292</w:t>
            </w:r>
          </w:p>
        </w:tc>
        <w:tc>
          <w:tcPr>
            <w:tcW w:w="1671" w:type="dxa"/>
            <w:vAlign w:val="center"/>
            <w:hideMark/>
          </w:tcPr>
          <w:p w14:paraId="0A2115B8" w14:textId="77777777" w:rsidR="009F497E" w:rsidRPr="009F497E" w:rsidRDefault="009F497E" w:rsidP="00B263D3">
            <w:pPr>
              <w:spacing w:line="360" w:lineRule="auto"/>
              <w:jc w:val="center"/>
              <w:rPr>
                <w:rFonts w:ascii="Times New Roman" w:hAnsi="Times New Roman" w:cs="Times New Roman"/>
                <w:b/>
                <w:bCs/>
                <w:sz w:val="24"/>
                <w:szCs w:val="24"/>
              </w:rPr>
            </w:pPr>
            <w:r w:rsidRPr="009F497E">
              <w:rPr>
                <w:rFonts w:ascii="Times New Roman" w:hAnsi="Times New Roman" w:cs="Times New Roman"/>
                <w:b/>
                <w:bCs/>
                <w:sz w:val="24"/>
                <w:szCs w:val="24"/>
              </w:rPr>
              <w:t>0e+00</w:t>
            </w:r>
          </w:p>
        </w:tc>
        <w:tc>
          <w:tcPr>
            <w:tcW w:w="1529" w:type="dxa"/>
            <w:vAlign w:val="center"/>
            <w:hideMark/>
          </w:tcPr>
          <w:p w14:paraId="324AE2D3" w14:textId="77777777" w:rsidR="009F497E" w:rsidRPr="009F497E" w:rsidRDefault="009F497E" w:rsidP="00B263D3">
            <w:pPr>
              <w:spacing w:line="360" w:lineRule="auto"/>
              <w:jc w:val="center"/>
              <w:rPr>
                <w:rFonts w:ascii="Times New Roman" w:hAnsi="Times New Roman" w:cs="Times New Roman"/>
                <w:b/>
                <w:bCs/>
                <w:sz w:val="24"/>
                <w:szCs w:val="24"/>
              </w:rPr>
            </w:pPr>
            <w:r w:rsidRPr="009F497E">
              <w:rPr>
                <w:rFonts w:ascii="Times New Roman" w:hAnsi="Times New Roman" w:cs="Times New Roman"/>
                <w:b/>
                <w:bCs/>
                <w:sz w:val="24"/>
                <w:szCs w:val="24"/>
              </w:rPr>
              <w:t>0e+00</w:t>
            </w:r>
          </w:p>
        </w:tc>
        <w:tc>
          <w:tcPr>
            <w:tcW w:w="1373" w:type="dxa"/>
            <w:vAlign w:val="center"/>
            <w:hideMark/>
          </w:tcPr>
          <w:p w14:paraId="7DEC8E38" w14:textId="77777777" w:rsidR="009F497E" w:rsidRPr="009F497E" w:rsidRDefault="009F497E" w:rsidP="00B263D3">
            <w:pPr>
              <w:spacing w:line="360" w:lineRule="auto"/>
              <w:jc w:val="center"/>
              <w:rPr>
                <w:rFonts w:ascii="Times New Roman" w:hAnsi="Times New Roman" w:cs="Times New Roman"/>
                <w:b/>
                <w:bCs/>
                <w:sz w:val="24"/>
                <w:szCs w:val="24"/>
              </w:rPr>
            </w:pPr>
            <w:r w:rsidRPr="009F497E">
              <w:rPr>
                <w:rFonts w:ascii="Times New Roman" w:hAnsi="Times New Roman" w:cs="Times New Roman"/>
                <w:b/>
                <w:bCs/>
                <w:sz w:val="24"/>
                <w:szCs w:val="24"/>
              </w:rPr>
              <w:t>2010</w:t>
            </w:r>
          </w:p>
        </w:tc>
      </w:tr>
      <w:tr w:rsidR="009F497E" w:rsidRPr="009F497E" w14:paraId="304D7825" w14:textId="77777777" w:rsidTr="009F497E">
        <w:trPr>
          <w:tblCellSpacing w:w="15" w:type="dxa"/>
          <w:jc w:val="center"/>
        </w:trPr>
        <w:tc>
          <w:tcPr>
            <w:tcW w:w="1231" w:type="dxa"/>
            <w:vAlign w:val="center"/>
            <w:hideMark/>
          </w:tcPr>
          <w:p w14:paraId="110F041D" w14:textId="77777777" w:rsidR="009F497E" w:rsidRPr="009F497E" w:rsidRDefault="009F497E" w:rsidP="00B263D3">
            <w:pPr>
              <w:spacing w:line="360" w:lineRule="auto"/>
              <w:rPr>
                <w:rFonts w:ascii="Times New Roman" w:hAnsi="Times New Roman" w:cs="Times New Roman"/>
                <w:b/>
                <w:bCs/>
                <w:sz w:val="24"/>
                <w:szCs w:val="24"/>
              </w:rPr>
            </w:pPr>
            <w:r w:rsidRPr="009F497E">
              <w:rPr>
                <w:rFonts w:ascii="Times New Roman" w:hAnsi="Times New Roman" w:cs="Times New Roman"/>
                <w:b/>
                <w:bCs/>
                <w:sz w:val="24"/>
                <w:szCs w:val="24"/>
              </w:rPr>
              <w:t>SPI</w:t>
            </w:r>
          </w:p>
        </w:tc>
        <w:tc>
          <w:tcPr>
            <w:tcW w:w="1523" w:type="dxa"/>
            <w:vAlign w:val="center"/>
            <w:hideMark/>
          </w:tcPr>
          <w:p w14:paraId="081D8C74" w14:textId="77777777" w:rsidR="009F497E" w:rsidRPr="009F497E" w:rsidRDefault="009F497E" w:rsidP="00B263D3">
            <w:pPr>
              <w:spacing w:line="360" w:lineRule="auto"/>
              <w:jc w:val="center"/>
              <w:rPr>
                <w:rFonts w:ascii="Times New Roman" w:hAnsi="Times New Roman" w:cs="Times New Roman"/>
                <w:b/>
                <w:bCs/>
                <w:sz w:val="24"/>
                <w:szCs w:val="24"/>
              </w:rPr>
            </w:pPr>
            <w:r w:rsidRPr="009F497E">
              <w:rPr>
                <w:rFonts w:ascii="Times New Roman" w:hAnsi="Times New Roman" w:cs="Times New Roman"/>
                <w:b/>
                <w:bCs/>
                <w:sz w:val="24"/>
                <w:szCs w:val="24"/>
              </w:rPr>
              <w:t>12</w:t>
            </w:r>
          </w:p>
        </w:tc>
        <w:tc>
          <w:tcPr>
            <w:tcW w:w="1394" w:type="dxa"/>
            <w:vAlign w:val="center"/>
            <w:hideMark/>
          </w:tcPr>
          <w:p w14:paraId="70A1EF4A" w14:textId="77777777" w:rsidR="009F497E" w:rsidRPr="009F497E" w:rsidRDefault="009F497E" w:rsidP="00B263D3">
            <w:pPr>
              <w:spacing w:line="360" w:lineRule="auto"/>
              <w:jc w:val="center"/>
              <w:rPr>
                <w:rFonts w:ascii="Times New Roman" w:hAnsi="Times New Roman" w:cs="Times New Roman"/>
                <w:b/>
                <w:bCs/>
                <w:sz w:val="24"/>
                <w:szCs w:val="24"/>
              </w:rPr>
            </w:pPr>
            <w:r w:rsidRPr="009F497E">
              <w:rPr>
                <w:rFonts w:ascii="Times New Roman" w:hAnsi="Times New Roman" w:cs="Times New Roman"/>
                <w:b/>
                <w:bCs/>
                <w:sz w:val="24"/>
                <w:szCs w:val="24"/>
              </w:rPr>
              <w:t>0.497</w:t>
            </w:r>
          </w:p>
        </w:tc>
        <w:tc>
          <w:tcPr>
            <w:tcW w:w="1671" w:type="dxa"/>
            <w:vAlign w:val="center"/>
            <w:hideMark/>
          </w:tcPr>
          <w:p w14:paraId="0F65F015" w14:textId="77777777" w:rsidR="009F497E" w:rsidRPr="009F497E" w:rsidRDefault="009F497E" w:rsidP="00B263D3">
            <w:pPr>
              <w:spacing w:line="360" w:lineRule="auto"/>
              <w:jc w:val="center"/>
              <w:rPr>
                <w:rFonts w:ascii="Times New Roman" w:hAnsi="Times New Roman" w:cs="Times New Roman"/>
                <w:b/>
                <w:bCs/>
                <w:sz w:val="24"/>
                <w:szCs w:val="24"/>
              </w:rPr>
            </w:pPr>
            <w:r w:rsidRPr="009F497E">
              <w:rPr>
                <w:rFonts w:ascii="Times New Roman" w:hAnsi="Times New Roman" w:cs="Times New Roman"/>
                <w:b/>
                <w:bCs/>
                <w:sz w:val="24"/>
                <w:szCs w:val="24"/>
              </w:rPr>
              <w:t>0e+00</w:t>
            </w:r>
          </w:p>
        </w:tc>
        <w:tc>
          <w:tcPr>
            <w:tcW w:w="1529" w:type="dxa"/>
            <w:vAlign w:val="center"/>
            <w:hideMark/>
          </w:tcPr>
          <w:p w14:paraId="54B81564" w14:textId="77777777" w:rsidR="009F497E" w:rsidRPr="009F497E" w:rsidRDefault="009F497E" w:rsidP="00B263D3">
            <w:pPr>
              <w:spacing w:line="360" w:lineRule="auto"/>
              <w:jc w:val="center"/>
              <w:rPr>
                <w:rFonts w:ascii="Times New Roman" w:hAnsi="Times New Roman" w:cs="Times New Roman"/>
                <w:b/>
                <w:bCs/>
                <w:sz w:val="24"/>
                <w:szCs w:val="24"/>
              </w:rPr>
            </w:pPr>
            <w:r w:rsidRPr="009F497E">
              <w:rPr>
                <w:rFonts w:ascii="Times New Roman" w:hAnsi="Times New Roman" w:cs="Times New Roman"/>
                <w:b/>
                <w:bCs/>
                <w:sz w:val="24"/>
                <w:szCs w:val="24"/>
              </w:rPr>
              <w:t>0e+00</w:t>
            </w:r>
          </w:p>
        </w:tc>
        <w:tc>
          <w:tcPr>
            <w:tcW w:w="1373" w:type="dxa"/>
            <w:vAlign w:val="center"/>
            <w:hideMark/>
          </w:tcPr>
          <w:p w14:paraId="35198D46" w14:textId="77777777" w:rsidR="009F497E" w:rsidRPr="009F497E" w:rsidRDefault="009F497E" w:rsidP="00B263D3">
            <w:pPr>
              <w:spacing w:line="360" w:lineRule="auto"/>
              <w:jc w:val="center"/>
              <w:rPr>
                <w:rFonts w:ascii="Times New Roman" w:hAnsi="Times New Roman" w:cs="Times New Roman"/>
                <w:b/>
                <w:bCs/>
                <w:sz w:val="24"/>
                <w:szCs w:val="24"/>
              </w:rPr>
            </w:pPr>
            <w:r w:rsidRPr="009F497E">
              <w:rPr>
                <w:rFonts w:ascii="Times New Roman" w:hAnsi="Times New Roman" w:cs="Times New Roman"/>
                <w:b/>
                <w:bCs/>
                <w:sz w:val="24"/>
                <w:szCs w:val="24"/>
              </w:rPr>
              <w:t>2010</w:t>
            </w:r>
          </w:p>
        </w:tc>
      </w:tr>
    </w:tbl>
    <w:p w14:paraId="6B12F417" w14:textId="77777777" w:rsidR="006A0637" w:rsidRDefault="006A0637" w:rsidP="006A0637">
      <w:pPr>
        <w:spacing w:line="360" w:lineRule="auto"/>
        <w:jc w:val="both"/>
        <w:rPr>
          <w:rFonts w:ascii="Times New Roman" w:hAnsi="Times New Roman" w:cs="Times New Roman"/>
          <w:b/>
          <w:bCs/>
          <w:sz w:val="24"/>
          <w:szCs w:val="24"/>
        </w:rPr>
      </w:pPr>
    </w:p>
    <w:p w14:paraId="2F957CDC" w14:textId="69F5F734" w:rsidR="002F6A35" w:rsidRPr="006A0637" w:rsidRDefault="002F6A35" w:rsidP="006A0637">
      <w:pPr>
        <w:pStyle w:val="Paragraphedeliste"/>
        <w:numPr>
          <w:ilvl w:val="2"/>
          <w:numId w:val="18"/>
        </w:numPr>
        <w:spacing w:line="360" w:lineRule="auto"/>
        <w:jc w:val="both"/>
        <w:rPr>
          <w:rFonts w:ascii="Times New Roman" w:hAnsi="Times New Roman" w:cs="Times New Roman"/>
          <w:b/>
          <w:bCs/>
          <w:sz w:val="24"/>
          <w:szCs w:val="24"/>
        </w:rPr>
      </w:pPr>
      <w:r w:rsidRPr="006A0637">
        <w:rPr>
          <w:rFonts w:ascii="Times New Roman" w:hAnsi="Times New Roman" w:cs="Times New Roman"/>
          <w:b/>
          <w:bCs/>
          <w:sz w:val="24"/>
          <w:szCs w:val="24"/>
        </w:rPr>
        <w:t>Relationship between climate variability and livelihoods (correlation/regression)</w:t>
      </w:r>
    </w:p>
    <w:p w14:paraId="4FFC4C11" w14:textId="77777777" w:rsidR="002F6A35" w:rsidRPr="002F6A35" w:rsidRDefault="002F6A35" w:rsidP="00AD4EB2">
      <w:pPr>
        <w:spacing w:line="360" w:lineRule="auto"/>
        <w:jc w:val="both"/>
        <w:rPr>
          <w:rFonts w:ascii="Times New Roman" w:hAnsi="Times New Roman" w:cs="Times New Roman"/>
          <w:sz w:val="24"/>
          <w:szCs w:val="24"/>
        </w:rPr>
      </w:pPr>
      <w:r w:rsidRPr="002F6A35">
        <w:rPr>
          <w:rFonts w:ascii="Times New Roman" w:hAnsi="Times New Roman" w:cs="Times New Roman"/>
          <w:sz w:val="24"/>
          <w:szCs w:val="24"/>
        </w:rPr>
        <w:t xml:space="preserve">Statistical analysis combining Spearman correlation and multiple regression </w:t>
      </w:r>
      <w:proofErr w:type="gramStart"/>
      <w:r w:rsidRPr="002F6A35">
        <w:rPr>
          <w:rFonts w:ascii="Times New Roman" w:hAnsi="Times New Roman" w:cs="Times New Roman"/>
          <w:sz w:val="24"/>
          <w:szCs w:val="24"/>
        </w:rPr>
        <w:t>shows</w:t>
      </w:r>
      <w:proofErr w:type="gramEnd"/>
      <w:r w:rsidRPr="002F6A35">
        <w:rPr>
          <w:rFonts w:ascii="Times New Roman" w:hAnsi="Times New Roman" w:cs="Times New Roman"/>
          <w:sz w:val="24"/>
          <w:szCs w:val="24"/>
        </w:rPr>
        <w:t xml:space="preserve"> significant relationships between climate variability and livelihoods. The results show a negative correlation between extreme temperatures (TX90p, TN90) and agricultural productivity, reflecting the unfavourable effect of heat stress on crops and livestock. Conversely, the SPI and SPEI indices show a positive correlation with agricultural performance, indicating that improved water conditions promote production. However, intense rainfall events (R95p) are associated with yield instability due to runoff and flooding phenomena. Regression analysis confirms these trends, with positive and significant coefficients for SPI and SPEI (p &lt; 0.05), while maximum temperatures exert a significant negative effect. These results underline that the combined increase in rainfall and temperature does not necessarily imply an improvement in production conditions, due to the intensification of evapotranspiration. Thus, hydroclimatic variability appears to be a determining factor in the vulnerability of agropastoral systems.</w:t>
      </w:r>
    </w:p>
    <w:p w14:paraId="2AA1EDAF" w14:textId="77777777" w:rsidR="00B263D3" w:rsidRDefault="00B263D3" w:rsidP="00A349BE"/>
    <w:p w14:paraId="2D027A94" w14:textId="77777777" w:rsidR="00B263D3" w:rsidRDefault="00B263D3" w:rsidP="00A349BE"/>
    <w:p w14:paraId="56C0F0F6" w14:textId="77777777" w:rsidR="00B263D3" w:rsidRDefault="00B263D3" w:rsidP="00A349BE"/>
    <w:p w14:paraId="7B11D866" w14:textId="77777777" w:rsidR="00B263D3" w:rsidRDefault="00B263D3" w:rsidP="00A349BE"/>
    <w:p w14:paraId="618CCF9E" w14:textId="7A6444B3" w:rsidR="00CD5A4C" w:rsidRPr="00B263D3" w:rsidRDefault="00FD6F4A" w:rsidP="00B263D3">
      <w:pPr>
        <w:pStyle w:val="Paragraphedeliste"/>
        <w:numPr>
          <w:ilvl w:val="0"/>
          <w:numId w:val="18"/>
        </w:numPr>
        <w:spacing w:line="360" w:lineRule="auto"/>
        <w:jc w:val="both"/>
        <w:rPr>
          <w:rFonts w:ascii="Times New Roman" w:hAnsi="Times New Roman" w:cs="Times New Roman"/>
          <w:b/>
          <w:bCs/>
          <w:sz w:val="24"/>
          <w:szCs w:val="24"/>
        </w:rPr>
      </w:pPr>
      <w:r w:rsidRPr="00B263D3">
        <w:rPr>
          <w:rFonts w:ascii="Times New Roman" w:hAnsi="Times New Roman" w:cs="Times New Roman"/>
          <w:b/>
          <w:bCs/>
          <w:sz w:val="24"/>
          <w:szCs w:val="24"/>
        </w:rPr>
        <w:t>DISCUSSION</w:t>
      </w:r>
    </w:p>
    <w:p w14:paraId="2AEFC3E7" w14:textId="30DD04F2" w:rsidR="00CA57B3" w:rsidRDefault="00CA57B3" w:rsidP="00A13953">
      <w:pPr>
        <w:spacing w:line="360" w:lineRule="auto"/>
        <w:jc w:val="both"/>
        <w:rPr>
          <w:rFonts w:ascii="Times New Roman" w:hAnsi="Times New Roman" w:cs="Times New Roman"/>
          <w:sz w:val="24"/>
          <w:szCs w:val="24"/>
        </w:rPr>
      </w:pPr>
      <w:r w:rsidRPr="00117237">
        <w:rPr>
          <w:rFonts w:ascii="Times New Roman" w:hAnsi="Times New Roman" w:cs="Times New Roman"/>
          <w:sz w:val="24"/>
          <w:szCs w:val="24"/>
        </w:rPr>
        <w:t xml:space="preserve">The </w:t>
      </w:r>
      <w:r w:rsidRPr="00CD5A4C">
        <w:rPr>
          <w:rFonts w:ascii="Times New Roman" w:hAnsi="Times New Roman" w:cs="Times New Roman"/>
          <w:sz w:val="24"/>
          <w:szCs w:val="24"/>
        </w:rPr>
        <w:t xml:space="preserve">predominance </w:t>
      </w:r>
      <w:r w:rsidRPr="00117237">
        <w:rPr>
          <w:rFonts w:ascii="Times New Roman" w:hAnsi="Times New Roman" w:cs="Times New Roman"/>
          <w:sz w:val="24"/>
          <w:szCs w:val="24"/>
        </w:rPr>
        <w:t>of agriculture in the analysed areas highlights the high dependence of Sahelian millennials on rainfed cropping systems, which are particularly sensitive to climate and sea variability (Hamerr et al., 2025). This dependence amplifies the vulnerability of household income, as well as food security and the variability of food security. The breeding, as experienced by the women, is crucially important for the dissemination of income sisters and acts as an agricultural safety net (</w:t>
      </w:r>
      <w:proofErr w:type="spellStart"/>
      <w:r w:rsidRPr="00117237">
        <w:rPr>
          <w:rFonts w:ascii="Times New Roman" w:hAnsi="Times New Roman" w:cs="Times New Roman"/>
          <w:sz w:val="24"/>
          <w:szCs w:val="24"/>
        </w:rPr>
        <w:t>Slayi</w:t>
      </w:r>
      <w:proofErr w:type="spellEnd"/>
      <w:r w:rsidRPr="00117237">
        <w:rPr>
          <w:rFonts w:ascii="Times New Roman" w:hAnsi="Times New Roman" w:cs="Times New Roman"/>
          <w:sz w:val="24"/>
          <w:szCs w:val="24"/>
        </w:rPr>
        <w:t xml:space="preserve"> et al., 2023). On the other hand, trade and fishing remain sequential in terms of markets, driven by limited market capacity and inadequate structural structure (OECD/SWAC, 2025). Significantly, this is a key factor in the systemic vulnerability of households to climatic hazards.</w:t>
      </w:r>
    </w:p>
    <w:p w14:paraId="7DB75085" w14:textId="27190013" w:rsidR="00CA57B3" w:rsidRPr="00117237" w:rsidRDefault="00CA57B3" w:rsidP="00834B94">
      <w:pPr>
        <w:spacing w:line="360" w:lineRule="auto"/>
        <w:jc w:val="both"/>
        <w:rPr>
          <w:rFonts w:ascii="Times New Roman" w:hAnsi="Times New Roman" w:cs="Times New Roman"/>
          <w:sz w:val="24"/>
          <w:szCs w:val="24"/>
          <w:lang w:val="fr-NE"/>
        </w:rPr>
      </w:pPr>
      <w:r w:rsidRPr="00117237">
        <w:rPr>
          <w:rFonts w:ascii="Times New Roman" w:hAnsi="Times New Roman" w:cs="Times New Roman"/>
          <w:sz w:val="24"/>
          <w:szCs w:val="24"/>
        </w:rPr>
        <w:t>Community perceptions</w:t>
      </w:r>
      <w:r>
        <w:rPr>
          <w:rFonts w:ascii="Times New Roman" w:hAnsi="Times New Roman" w:cs="Times New Roman"/>
          <w:sz w:val="24"/>
          <w:szCs w:val="24"/>
        </w:rPr>
        <w:t xml:space="preserve"> </w:t>
      </w:r>
      <w:r w:rsidRPr="00117237">
        <w:rPr>
          <w:rFonts w:ascii="Times New Roman" w:hAnsi="Times New Roman" w:cs="Times New Roman"/>
          <w:sz w:val="24"/>
          <w:szCs w:val="24"/>
        </w:rPr>
        <w:t>rising temperatures, erratic rainfall, and increased extreme events</w:t>
      </w:r>
      <w:r>
        <w:rPr>
          <w:rFonts w:ascii="Times New Roman" w:hAnsi="Times New Roman" w:cs="Times New Roman"/>
          <w:sz w:val="24"/>
          <w:szCs w:val="24"/>
        </w:rPr>
        <w:t xml:space="preserve"> </w:t>
      </w:r>
      <w:r w:rsidRPr="00117237">
        <w:rPr>
          <w:rFonts w:ascii="Times New Roman" w:hAnsi="Times New Roman" w:cs="Times New Roman"/>
          <w:sz w:val="24"/>
          <w:szCs w:val="24"/>
        </w:rPr>
        <w:t xml:space="preserve">are consistent with the findings of the Intergovernmental Panel on Climate Change (2021), which highlights an intensification of climate extremes in West Africa. Several recent studies (Sanogo et al., 2022; Ouédraogo et al., 2023) confirm the increasing disruptions in agricultural calendars, while Sultan et al. (2019) and </w:t>
      </w:r>
      <w:proofErr w:type="spellStart"/>
      <w:r w:rsidRPr="00117237">
        <w:rPr>
          <w:rFonts w:ascii="Times New Roman" w:hAnsi="Times New Roman" w:cs="Times New Roman"/>
          <w:sz w:val="24"/>
          <w:szCs w:val="24"/>
        </w:rPr>
        <w:t>Roudier</w:t>
      </w:r>
      <w:proofErr w:type="spellEnd"/>
      <w:r w:rsidRPr="00117237">
        <w:rPr>
          <w:rFonts w:ascii="Times New Roman" w:hAnsi="Times New Roman" w:cs="Times New Roman"/>
          <w:sz w:val="24"/>
          <w:szCs w:val="24"/>
        </w:rPr>
        <w:t xml:space="preserve"> et al. (2020) highlight yield declines related to water and heat stress. The predominance of perceptions related to the delay and decrease in rainfall highlights the central role of rainfall variability in the weakening of production systems.</w:t>
      </w:r>
    </w:p>
    <w:p w14:paraId="29CD85C6" w14:textId="31061152" w:rsidR="00117237" w:rsidRPr="00117237" w:rsidRDefault="00117237" w:rsidP="00EB4176">
      <w:pPr>
        <w:spacing w:line="360" w:lineRule="auto"/>
        <w:jc w:val="both"/>
        <w:rPr>
          <w:rFonts w:ascii="Times New Roman" w:hAnsi="Times New Roman" w:cs="Times New Roman"/>
          <w:sz w:val="24"/>
          <w:szCs w:val="24"/>
          <w:lang w:val="fr-NE"/>
        </w:rPr>
      </w:pPr>
      <w:r w:rsidRPr="00117237">
        <w:rPr>
          <w:rFonts w:ascii="Times New Roman" w:hAnsi="Times New Roman" w:cs="Times New Roman"/>
          <w:sz w:val="24"/>
          <w:szCs w:val="24"/>
        </w:rPr>
        <w:t>The adaptation strategies observed</w:t>
      </w:r>
      <w:r>
        <w:rPr>
          <w:rFonts w:ascii="Times New Roman" w:hAnsi="Times New Roman" w:cs="Times New Roman"/>
          <w:sz w:val="24"/>
          <w:szCs w:val="24"/>
        </w:rPr>
        <w:t xml:space="preserve"> </w:t>
      </w:r>
      <w:r w:rsidRPr="00117237">
        <w:rPr>
          <w:rFonts w:ascii="Times New Roman" w:hAnsi="Times New Roman" w:cs="Times New Roman"/>
          <w:sz w:val="24"/>
          <w:szCs w:val="24"/>
        </w:rPr>
        <w:t>reduction in herd size, diversification of forage resources, adoption of drought-tolerant varieties, phytosanitary control, and environmental restoration</w:t>
      </w:r>
      <w:r>
        <w:rPr>
          <w:rFonts w:ascii="Times New Roman" w:hAnsi="Times New Roman" w:cs="Times New Roman"/>
          <w:sz w:val="24"/>
          <w:szCs w:val="24"/>
        </w:rPr>
        <w:t xml:space="preserve"> </w:t>
      </w:r>
      <w:r w:rsidRPr="00117237">
        <w:rPr>
          <w:rFonts w:ascii="Times New Roman" w:hAnsi="Times New Roman" w:cs="Times New Roman"/>
          <w:sz w:val="24"/>
          <w:szCs w:val="24"/>
        </w:rPr>
        <w:t>mainly reflect reactive and short-term responses. These strategies are part of a framework of incremental adaptation, often constrained by financial and institutional limitations (FAO, 2021; IPCC, 2022), but remain consistent with the agroecological approaches recommended to strengthen local resilience (Abid et al., 2020; Ouédraogo et al., 2021).</w:t>
      </w:r>
    </w:p>
    <w:p w14:paraId="6CC2C7A1" w14:textId="77777777" w:rsidR="00117237" w:rsidRPr="00117237" w:rsidRDefault="00117237" w:rsidP="0004450E">
      <w:pPr>
        <w:spacing w:line="360" w:lineRule="auto"/>
        <w:jc w:val="both"/>
        <w:rPr>
          <w:rFonts w:ascii="Times New Roman" w:hAnsi="Times New Roman" w:cs="Times New Roman"/>
          <w:sz w:val="24"/>
          <w:szCs w:val="24"/>
          <w:lang w:val="fr-NE"/>
        </w:rPr>
      </w:pPr>
      <w:r w:rsidRPr="00117237">
        <w:rPr>
          <w:rFonts w:ascii="Times New Roman" w:hAnsi="Times New Roman" w:cs="Times New Roman"/>
          <w:sz w:val="24"/>
          <w:szCs w:val="24"/>
        </w:rPr>
        <w:t>Extreme climatic indices confirm the intensification of environmental constraints. The high values of TX90p (41.88 °C) and TN90 (27.36 °C) indicate an increase in daytime and nighttime heat extremes, consistent with regional projections of an increased frequency of heatwaves in West Africa (</w:t>
      </w:r>
      <w:proofErr w:type="spellStart"/>
      <w:r w:rsidRPr="00117237">
        <w:rPr>
          <w:rFonts w:ascii="Times New Roman" w:hAnsi="Times New Roman" w:cs="Times New Roman"/>
          <w:sz w:val="24"/>
          <w:szCs w:val="24"/>
        </w:rPr>
        <w:t>Odunmorayo</w:t>
      </w:r>
      <w:proofErr w:type="spellEnd"/>
      <w:r w:rsidRPr="00117237">
        <w:rPr>
          <w:rFonts w:ascii="Times New Roman" w:hAnsi="Times New Roman" w:cs="Times New Roman"/>
          <w:sz w:val="24"/>
          <w:szCs w:val="24"/>
        </w:rPr>
        <w:t xml:space="preserve"> et al., 2025; Siabi et al., 2024). This persistence of heat increases crop water stress, reduces livestock productivity and increases health risks. In addition, the R95 index (10.43 mm) highlights a rainfall pattern characterized by rare but intense events, in line </w:t>
      </w:r>
      <w:r w:rsidRPr="00117237">
        <w:rPr>
          <w:rFonts w:ascii="Times New Roman" w:hAnsi="Times New Roman" w:cs="Times New Roman"/>
          <w:sz w:val="24"/>
          <w:szCs w:val="24"/>
        </w:rPr>
        <w:lastRenderedPageBreak/>
        <w:t>with the observations of Aryee et al. (2024) and recent analyses published in Theoretical and Applied Climatology (2025), which highlight an increased concentration of rainfall and a higher risk of flooding in the Sahel.</w:t>
      </w:r>
    </w:p>
    <w:p w14:paraId="043C2DA9" w14:textId="77777777" w:rsidR="00117237" w:rsidRPr="00117237" w:rsidRDefault="00117237" w:rsidP="00D046C0">
      <w:pPr>
        <w:spacing w:line="360" w:lineRule="auto"/>
        <w:jc w:val="both"/>
        <w:rPr>
          <w:rFonts w:ascii="Times New Roman" w:hAnsi="Times New Roman" w:cs="Times New Roman"/>
          <w:sz w:val="24"/>
          <w:szCs w:val="24"/>
          <w:lang w:val="fr-NE"/>
        </w:rPr>
      </w:pPr>
      <w:r w:rsidRPr="00117237">
        <w:rPr>
          <w:rFonts w:ascii="Times New Roman" w:hAnsi="Times New Roman" w:cs="Times New Roman"/>
          <w:sz w:val="24"/>
          <w:szCs w:val="24"/>
        </w:rPr>
        <w:t xml:space="preserve">The multi-scale analysis of the SPI and SPEI in the Diffa region, based on the Mann-Kendall test and the </w:t>
      </w:r>
      <w:proofErr w:type="spellStart"/>
      <w:r w:rsidRPr="00117237">
        <w:rPr>
          <w:rFonts w:ascii="Times New Roman" w:hAnsi="Times New Roman" w:cs="Times New Roman"/>
          <w:sz w:val="24"/>
          <w:szCs w:val="24"/>
        </w:rPr>
        <w:t>Petttt</w:t>
      </w:r>
      <w:proofErr w:type="spellEnd"/>
      <w:r w:rsidRPr="00117237">
        <w:rPr>
          <w:rFonts w:ascii="Times New Roman" w:hAnsi="Times New Roman" w:cs="Times New Roman"/>
          <w:sz w:val="24"/>
          <w:szCs w:val="24"/>
        </w:rPr>
        <w:t xml:space="preserve"> test, reveals a transition to wetter conditions after the early 2010s, accompanied by structural breaks in the hydroclimatic regime. This evolution suggests a relative hydrological recovery, potentially favourable to rainfed agriculture and the recharge of water resources. However, the divergence between the SPI and the SPEI highlights the increasing influence of atmospheric evaporative demand, indicating that warming could offset the benefits of increased precipitation. Thus, despite an overall trend towards wetting, the intensification of extremes and intra-seasonal variability continues to maintain a high vulnerability of agropastoral systems, placing these results in a broader regional dynamic of warming and increasing hydroclimatic instability.</w:t>
      </w:r>
    </w:p>
    <w:p w14:paraId="24DC4F5E" w14:textId="77777777" w:rsidR="00117237" w:rsidRPr="00CD5A4C" w:rsidRDefault="00117237" w:rsidP="004D556B">
      <w:pPr>
        <w:spacing w:line="360" w:lineRule="auto"/>
        <w:jc w:val="both"/>
        <w:rPr>
          <w:rFonts w:ascii="Times New Roman" w:hAnsi="Times New Roman" w:cs="Times New Roman"/>
          <w:sz w:val="24"/>
          <w:szCs w:val="24"/>
        </w:rPr>
      </w:pPr>
      <w:r w:rsidRPr="00117237">
        <w:rPr>
          <w:rFonts w:ascii="Times New Roman" w:hAnsi="Times New Roman" w:cs="Times New Roman"/>
          <w:sz w:val="24"/>
          <w:szCs w:val="24"/>
        </w:rPr>
        <w:t>This study has some limitations related to the quality and availability of climate data, as well as the potentially subjective nature of community perceptions. In addition, the divergences between SPI and SPEI, related to the consideration of evaporative demand, can influence the interpretation of trends. Future research integrating multi-source data and longitudinal approaches would allow for further analysis of the interactions between climate variability and adaptation strategies in the Lake Chad Basin</w:t>
      </w:r>
    </w:p>
    <w:p w14:paraId="74CB247A" w14:textId="3BF7FDC0" w:rsidR="00CD5A4C" w:rsidRPr="00B263D3" w:rsidRDefault="00FD6F4A" w:rsidP="00B263D3">
      <w:pPr>
        <w:pStyle w:val="Paragraphedeliste"/>
        <w:numPr>
          <w:ilvl w:val="0"/>
          <w:numId w:val="18"/>
        </w:numPr>
        <w:spacing w:line="360" w:lineRule="auto"/>
        <w:jc w:val="both"/>
        <w:rPr>
          <w:rFonts w:ascii="Times New Roman" w:hAnsi="Times New Roman" w:cs="Times New Roman"/>
          <w:b/>
          <w:bCs/>
          <w:sz w:val="24"/>
          <w:szCs w:val="24"/>
        </w:rPr>
      </w:pPr>
      <w:r w:rsidRPr="00B263D3">
        <w:rPr>
          <w:rFonts w:ascii="Times New Roman" w:hAnsi="Times New Roman" w:cs="Times New Roman"/>
          <w:b/>
          <w:bCs/>
          <w:sz w:val="24"/>
          <w:szCs w:val="24"/>
        </w:rPr>
        <w:t>CONCLUSION</w:t>
      </w:r>
    </w:p>
    <w:p w14:paraId="30435BB3" w14:textId="77777777" w:rsidR="00CD5A4C" w:rsidRPr="00CD5A4C" w:rsidRDefault="00CD5A4C" w:rsidP="00B263D3">
      <w:pPr>
        <w:spacing w:line="360" w:lineRule="auto"/>
        <w:jc w:val="both"/>
        <w:rPr>
          <w:rFonts w:ascii="Times New Roman" w:hAnsi="Times New Roman" w:cs="Times New Roman"/>
          <w:sz w:val="24"/>
          <w:szCs w:val="24"/>
        </w:rPr>
      </w:pPr>
      <w:r w:rsidRPr="00CD5A4C">
        <w:rPr>
          <w:rFonts w:ascii="Times New Roman" w:hAnsi="Times New Roman" w:cs="Times New Roman"/>
          <w:sz w:val="24"/>
          <w:szCs w:val="24"/>
        </w:rPr>
        <w:t>The results highlight a significant evolution of the hydroclimatic regime in the Diffa region, characterized by positive trends detected by the Mann–Kendall test and structural breaks confirmed by the Pettitt test. The combined analysis of the SPI and SPEI indices reveals increased rainfall variability and an intensification of thermal extremes, with a more pronounced signal at the annual scale. The consistency between instrumental observations and community perceptions strengthens the robustness of the findings and confirms the existence of a recent hydroclimatic change.</w:t>
      </w:r>
    </w:p>
    <w:p w14:paraId="2321B3C7" w14:textId="3EDABF17" w:rsidR="00CD5A4C" w:rsidRDefault="00CD5A4C" w:rsidP="00B263D3">
      <w:pPr>
        <w:spacing w:line="360" w:lineRule="auto"/>
        <w:jc w:val="both"/>
        <w:rPr>
          <w:rFonts w:ascii="Times New Roman" w:hAnsi="Times New Roman" w:cs="Times New Roman"/>
          <w:sz w:val="24"/>
          <w:szCs w:val="24"/>
        </w:rPr>
      </w:pPr>
      <w:r w:rsidRPr="00CD5A4C">
        <w:rPr>
          <w:rFonts w:ascii="Times New Roman" w:hAnsi="Times New Roman" w:cs="Times New Roman"/>
          <w:sz w:val="24"/>
          <w:szCs w:val="24"/>
        </w:rPr>
        <w:t>These dynamics reflect a reconfiguration of the regional climate regime, which may durably affect the functioning of agropastoral systems. Therefore, the integration of multi-scale statistical analyses and socio-empirical approaches appears essential for a comprehensive understanding of climate trajectories and their territorial implications</w:t>
      </w:r>
      <w:r w:rsidR="00B263D3" w:rsidRPr="00B263D3">
        <w:rPr>
          <w:rFonts w:ascii="Times New Roman" w:hAnsi="Times New Roman" w:cs="Times New Roman"/>
          <w:sz w:val="24"/>
          <w:szCs w:val="24"/>
        </w:rPr>
        <w:t>.</w:t>
      </w:r>
    </w:p>
    <w:p w14:paraId="4EE3B366" w14:textId="16038EB6" w:rsidR="00117237" w:rsidRPr="00B263D3" w:rsidRDefault="00117237" w:rsidP="00B263D3">
      <w:pPr>
        <w:spacing w:line="360" w:lineRule="auto"/>
        <w:jc w:val="both"/>
        <w:rPr>
          <w:rFonts w:ascii="Times New Roman" w:hAnsi="Times New Roman" w:cs="Times New Roman"/>
          <w:sz w:val="24"/>
          <w:szCs w:val="24"/>
        </w:rPr>
      </w:pPr>
      <w:r w:rsidRPr="00117237">
        <w:rPr>
          <w:rFonts w:ascii="Times New Roman" w:hAnsi="Times New Roman" w:cs="Times New Roman"/>
          <w:sz w:val="24"/>
          <w:szCs w:val="24"/>
        </w:rPr>
        <w:lastRenderedPageBreak/>
        <w:t>Despite some limitations, these findings highlight the importance of integrated approaches combining scientific data and local knowledge to strengthen sustainable adaptation strategies in the Lake Chad Basin.</w:t>
      </w:r>
    </w:p>
    <w:p w14:paraId="1AE4C737" w14:textId="77777777" w:rsidR="00B263D3" w:rsidRDefault="00B263D3" w:rsidP="00CD5A4C"/>
    <w:p w14:paraId="0B72A186" w14:textId="77777777" w:rsidR="00B263D3" w:rsidRDefault="00B263D3" w:rsidP="00CD5A4C"/>
    <w:p w14:paraId="113B1930" w14:textId="77777777" w:rsidR="00B263D3" w:rsidRDefault="00B263D3" w:rsidP="00CD5A4C"/>
    <w:p w14:paraId="370041F4" w14:textId="77777777" w:rsidR="00B263D3" w:rsidRDefault="00B263D3" w:rsidP="00CD5A4C"/>
    <w:p w14:paraId="2FA88F3D" w14:textId="77777777" w:rsidR="00B263D3" w:rsidRDefault="00B263D3" w:rsidP="00CD5A4C"/>
    <w:p w14:paraId="3F2012EB" w14:textId="77777777" w:rsidR="00B263D3" w:rsidRDefault="00B263D3" w:rsidP="00CD5A4C"/>
    <w:p w14:paraId="7359C581" w14:textId="77777777" w:rsidR="009F61EF" w:rsidRPr="009F61EF" w:rsidRDefault="009F61EF" w:rsidP="009F61EF">
      <w:pPr>
        <w:keepNext/>
        <w:keepLines/>
        <w:spacing w:before="120" w:after="120" w:line="360" w:lineRule="auto"/>
        <w:jc w:val="both"/>
        <w:outlineLvl w:val="1"/>
        <w:rPr>
          <w:rFonts w:ascii="Times New Roman" w:eastAsia="Times New Roman" w:hAnsi="Times New Roman" w:cs="Times New Roman"/>
          <w:bCs/>
          <w:kern w:val="0"/>
          <w:sz w:val="24"/>
          <w:szCs w:val="24"/>
          <w:highlight w:val="yellow"/>
          <w:lang w:val="en-GB" w:eastAsia="en-IN"/>
          <w14:ligatures w14:val="none"/>
        </w:rPr>
      </w:pPr>
      <w:bookmarkStart w:id="0" w:name="_Hlk218867759"/>
      <w:bookmarkStart w:id="1" w:name="_Hlk219125673"/>
      <w:r w:rsidRPr="009F61EF">
        <w:rPr>
          <w:rFonts w:ascii="Times New Roman" w:eastAsia="Times New Roman" w:hAnsi="Times New Roman" w:cs="Times New Roman"/>
          <w:bCs/>
          <w:kern w:val="0"/>
          <w:sz w:val="24"/>
          <w:szCs w:val="24"/>
          <w:highlight w:val="yellow"/>
          <w:lang w:val="en-GB" w:eastAsia="en-IN"/>
          <w14:ligatures w14:val="none"/>
        </w:rPr>
        <w:t>Disclaimer (Artificial intelligence)</w:t>
      </w:r>
    </w:p>
    <w:p w14:paraId="55FADC19" w14:textId="77777777" w:rsidR="009F61EF" w:rsidRPr="009F61EF" w:rsidRDefault="009F61EF" w:rsidP="009F61EF">
      <w:pPr>
        <w:keepNext/>
        <w:keepLines/>
        <w:spacing w:before="120" w:after="120" w:line="360" w:lineRule="auto"/>
        <w:jc w:val="both"/>
        <w:outlineLvl w:val="1"/>
        <w:rPr>
          <w:rFonts w:ascii="Times New Roman" w:eastAsia="Times New Roman" w:hAnsi="Times New Roman" w:cs="Times New Roman"/>
          <w:bCs/>
          <w:kern w:val="0"/>
          <w:sz w:val="24"/>
          <w:szCs w:val="24"/>
          <w:lang w:val="en-GB" w:eastAsia="en-IN"/>
          <w14:ligatures w14:val="none"/>
        </w:rPr>
      </w:pPr>
      <w:r w:rsidRPr="009F61EF">
        <w:rPr>
          <w:rFonts w:ascii="Times New Roman" w:eastAsia="Times New Roman" w:hAnsi="Times New Roman" w:cs="Times New Roman"/>
          <w:bCs/>
          <w:kern w:val="0"/>
          <w:sz w:val="24"/>
          <w:szCs w:val="24"/>
          <w:highlight w:val="yellow"/>
          <w:lang w:val="en-GB" w:eastAsia="en-IN"/>
          <w14:ligatures w14:val="none"/>
        </w:rPr>
        <w:t>Author(s) hereby declare that NO generative AI technologies such as Large Language Models (ChatGPT, COPILOT, etc.) and text-to-image generators have been used during the writing or editing of this manuscript.</w:t>
      </w:r>
      <w:r w:rsidRPr="009F61EF">
        <w:rPr>
          <w:rFonts w:ascii="Times New Roman" w:eastAsia="Times New Roman" w:hAnsi="Times New Roman" w:cs="Times New Roman"/>
          <w:bCs/>
          <w:kern w:val="0"/>
          <w:sz w:val="24"/>
          <w:szCs w:val="24"/>
          <w:lang w:val="en-GB" w:eastAsia="en-IN"/>
          <w14:ligatures w14:val="none"/>
        </w:rPr>
        <w:t xml:space="preserve"> </w:t>
      </w:r>
    </w:p>
    <w:bookmarkEnd w:id="0"/>
    <w:bookmarkEnd w:id="1"/>
    <w:p w14:paraId="5BFB2D50" w14:textId="77777777" w:rsidR="00117237" w:rsidRPr="00117237" w:rsidRDefault="00117237" w:rsidP="00E24F76">
      <w:pPr>
        <w:spacing w:after="200" w:line="276" w:lineRule="auto"/>
        <w:rPr>
          <w:rFonts w:ascii="Calibri" w:eastAsia="Calibri" w:hAnsi="Calibri" w:cs="Times New Roman"/>
          <w:color w:val="000000" w:themeColor="text1"/>
          <w:kern w:val="0"/>
          <w:sz w:val="28"/>
          <w:lang w:val="en-GB"/>
          <w14:ligatures w14:val="none"/>
        </w:rPr>
      </w:pPr>
      <w:r w:rsidRPr="00117237">
        <w:rPr>
          <w:rFonts w:ascii="Calibri" w:eastAsia="Calibri" w:hAnsi="Calibri" w:cs="Times New Roman"/>
          <w:color w:val="000000" w:themeColor="text1"/>
          <w:kern w:val="0"/>
          <w:sz w:val="28"/>
          <w:highlight w:val="red"/>
          <w14:ligatures w14:val="none"/>
        </w:rPr>
        <w:t>Yes, for the narrative, AI was used and especially for the translation (French-English).</w:t>
      </w:r>
    </w:p>
    <w:p w14:paraId="4BC81E6C" w14:textId="77777777" w:rsidR="00B263D3" w:rsidRDefault="00B263D3" w:rsidP="00CD5A4C"/>
    <w:p w14:paraId="671D1C35" w14:textId="77777777" w:rsidR="00B263D3" w:rsidRDefault="00B263D3" w:rsidP="00CD5A4C"/>
    <w:p w14:paraId="60D99349" w14:textId="77777777" w:rsidR="00B263D3" w:rsidRDefault="00B263D3" w:rsidP="00CD5A4C"/>
    <w:p w14:paraId="53CBAB75" w14:textId="77777777" w:rsidR="00B263D3" w:rsidRDefault="00B263D3" w:rsidP="00CD5A4C"/>
    <w:p w14:paraId="7669B2C2" w14:textId="77777777" w:rsidR="00B263D3" w:rsidRDefault="00B263D3" w:rsidP="00CD5A4C"/>
    <w:p w14:paraId="2002E086" w14:textId="77777777" w:rsidR="00B263D3" w:rsidRPr="00CD5A4C" w:rsidRDefault="00B263D3" w:rsidP="00CD5A4C"/>
    <w:p w14:paraId="7BB7D400" w14:textId="160D1283" w:rsidR="00CD5A4C" w:rsidRPr="00B263D3" w:rsidRDefault="00FD6F4A" w:rsidP="00B263D3">
      <w:pPr>
        <w:pStyle w:val="Paragraphedeliste"/>
        <w:numPr>
          <w:ilvl w:val="0"/>
          <w:numId w:val="18"/>
        </w:numPr>
        <w:spacing w:line="360" w:lineRule="auto"/>
        <w:jc w:val="both"/>
        <w:rPr>
          <w:rFonts w:ascii="Times New Roman" w:hAnsi="Times New Roman" w:cs="Times New Roman"/>
          <w:b/>
          <w:bCs/>
          <w:sz w:val="24"/>
          <w:szCs w:val="24"/>
        </w:rPr>
      </w:pPr>
      <w:r w:rsidRPr="00B263D3">
        <w:rPr>
          <w:rFonts w:ascii="Times New Roman" w:hAnsi="Times New Roman" w:cs="Times New Roman"/>
          <w:b/>
          <w:bCs/>
          <w:sz w:val="24"/>
          <w:szCs w:val="24"/>
        </w:rPr>
        <w:t>BIBLIOGRAPHIC REFERENCES</w:t>
      </w:r>
    </w:p>
    <w:p w14:paraId="564D0074" w14:textId="77777777" w:rsidR="00CD5A4C" w:rsidRPr="00B263D3" w:rsidRDefault="00CD5A4C" w:rsidP="00B263D3">
      <w:pPr>
        <w:pStyle w:val="Paragraphedeliste"/>
        <w:numPr>
          <w:ilvl w:val="0"/>
          <w:numId w:val="13"/>
        </w:numPr>
        <w:spacing w:line="360" w:lineRule="auto"/>
        <w:rPr>
          <w:rFonts w:ascii="Times New Roman" w:hAnsi="Times New Roman" w:cs="Times New Roman"/>
          <w:sz w:val="24"/>
          <w:szCs w:val="24"/>
        </w:rPr>
      </w:pPr>
      <w:r w:rsidRPr="00B263D3">
        <w:rPr>
          <w:rFonts w:ascii="Times New Roman" w:hAnsi="Times New Roman" w:cs="Times New Roman"/>
          <w:sz w:val="24"/>
          <w:szCs w:val="24"/>
        </w:rPr>
        <w:t xml:space="preserve">Abid, M., Scheffran, J., Schneider, U. A., &amp; Elahi, E. (2020). Farmer perceptions of climate change, observed trends and adaptation of agriculture in Pakistan. </w:t>
      </w:r>
      <w:r w:rsidRPr="00B263D3">
        <w:rPr>
          <w:rFonts w:ascii="Times New Roman" w:hAnsi="Times New Roman" w:cs="Times New Roman"/>
          <w:i/>
          <w:iCs/>
          <w:sz w:val="24"/>
          <w:szCs w:val="24"/>
        </w:rPr>
        <w:t>Environmental Management, 63</w:t>
      </w:r>
      <w:r w:rsidRPr="00B263D3">
        <w:rPr>
          <w:rFonts w:ascii="Times New Roman" w:hAnsi="Times New Roman" w:cs="Times New Roman"/>
          <w:sz w:val="24"/>
          <w:szCs w:val="24"/>
        </w:rPr>
        <w:t xml:space="preserve">(1), 110–123. </w:t>
      </w:r>
      <w:hyperlink r:id="rId23" w:tgtFrame="_new" w:history="1">
        <w:r w:rsidRPr="00B263D3">
          <w:rPr>
            <w:rStyle w:val="Lienhypertexte"/>
            <w:rFonts w:ascii="Times New Roman" w:hAnsi="Times New Roman" w:cs="Times New Roman"/>
            <w:sz w:val="24"/>
            <w:szCs w:val="24"/>
          </w:rPr>
          <w:t>https://doi.org/10.1007/s00267-018-1113-7</w:t>
        </w:r>
      </w:hyperlink>
    </w:p>
    <w:p w14:paraId="6317571A" w14:textId="77777777" w:rsidR="00CD5A4C" w:rsidRPr="00B263D3" w:rsidRDefault="00CD5A4C" w:rsidP="00B263D3">
      <w:pPr>
        <w:pStyle w:val="Paragraphedeliste"/>
        <w:numPr>
          <w:ilvl w:val="0"/>
          <w:numId w:val="13"/>
        </w:numPr>
        <w:spacing w:line="360" w:lineRule="auto"/>
        <w:rPr>
          <w:rFonts w:ascii="Times New Roman" w:hAnsi="Times New Roman" w:cs="Times New Roman"/>
          <w:sz w:val="24"/>
          <w:szCs w:val="24"/>
        </w:rPr>
      </w:pPr>
      <w:r w:rsidRPr="00B263D3">
        <w:rPr>
          <w:rFonts w:ascii="Times New Roman" w:hAnsi="Times New Roman" w:cs="Times New Roman"/>
          <w:sz w:val="24"/>
          <w:szCs w:val="24"/>
        </w:rPr>
        <w:t xml:space="preserve">Afrobarometer. (2022). </w:t>
      </w:r>
      <w:r w:rsidRPr="00B263D3">
        <w:rPr>
          <w:rFonts w:ascii="Times New Roman" w:hAnsi="Times New Roman" w:cs="Times New Roman"/>
          <w:i/>
          <w:iCs/>
          <w:sz w:val="24"/>
          <w:szCs w:val="24"/>
        </w:rPr>
        <w:t>Les Africains et le changement climatique : perceptions, impacts et adaptation</w:t>
      </w:r>
      <w:r w:rsidRPr="00B263D3">
        <w:rPr>
          <w:rFonts w:ascii="Times New Roman" w:hAnsi="Times New Roman" w:cs="Times New Roman"/>
          <w:sz w:val="24"/>
          <w:szCs w:val="24"/>
        </w:rPr>
        <w:t xml:space="preserve"> (Policy Paper No. 97). Accra, Ghana. 24p.</w:t>
      </w:r>
    </w:p>
    <w:p w14:paraId="11756F0B" w14:textId="77777777" w:rsidR="00CD5A4C" w:rsidRPr="00B263D3" w:rsidRDefault="00CD5A4C" w:rsidP="00B263D3">
      <w:pPr>
        <w:pStyle w:val="NormalWeb"/>
        <w:numPr>
          <w:ilvl w:val="0"/>
          <w:numId w:val="13"/>
        </w:numPr>
        <w:spacing w:line="360" w:lineRule="auto"/>
      </w:pPr>
      <w:r w:rsidRPr="00B263D3">
        <w:t xml:space="preserve">Aryee, J. N. A., Afrifa, F. O. T., Agyapong, K.-H., Gyau Frimpong, N. A., Quagraine, K. T., &amp; Davies, P. (2024). Quantifying climatic heavy-precipitation-induced floods in </w:t>
      </w:r>
      <w:r w:rsidRPr="00B263D3">
        <w:lastRenderedPageBreak/>
        <w:t xml:space="preserve">West Africa using multiple precipitation indices. </w:t>
      </w:r>
      <w:r w:rsidRPr="00B263D3">
        <w:rPr>
          <w:rStyle w:val="Accentuation"/>
          <w:rFonts w:eastAsiaTheme="majorEastAsia"/>
        </w:rPr>
        <w:t>Scientific African, 25</w:t>
      </w:r>
      <w:r w:rsidRPr="00B263D3">
        <w:t>, e02309.    https://doi.org/10.1016/j.sciaf.2024.e02309</w:t>
      </w:r>
    </w:p>
    <w:p w14:paraId="6131B05E" w14:textId="77777777" w:rsidR="00CD5A4C" w:rsidRPr="00B263D3" w:rsidRDefault="00CD5A4C" w:rsidP="00B263D3">
      <w:pPr>
        <w:pStyle w:val="NormalWeb"/>
        <w:numPr>
          <w:ilvl w:val="0"/>
          <w:numId w:val="13"/>
        </w:numPr>
        <w:spacing w:line="360" w:lineRule="auto"/>
      </w:pPr>
      <w:r w:rsidRPr="00B263D3">
        <w:rPr>
          <w:rStyle w:val="lev"/>
          <w:rFonts w:eastAsiaTheme="majorEastAsia"/>
          <w:b w:val="0"/>
          <w:bCs w:val="0"/>
        </w:rPr>
        <w:t>Ayal, D. Y., Leal Filho, W., &amp; Biesbroek, R. (2021).</w:t>
      </w:r>
      <w:r w:rsidRPr="00B263D3">
        <w:t xml:space="preserve"> Determinants of climate change perception and adaptation strategies in Sub-Saharan Africa. </w:t>
      </w:r>
      <w:r w:rsidRPr="00B263D3">
        <w:rPr>
          <w:rStyle w:val="Accentuation"/>
          <w:rFonts w:eastAsiaTheme="majorEastAsia"/>
        </w:rPr>
        <w:t>Climate Risk Management, 32</w:t>
      </w:r>
      <w:r w:rsidRPr="00B263D3">
        <w:t xml:space="preserve">, 100300. 12 pages.   </w:t>
      </w:r>
      <w:hyperlink r:id="rId24" w:history="1">
        <w:r w:rsidRPr="00B263D3">
          <w:rPr>
            <w:rStyle w:val="Lienhypertexte"/>
            <w:rFonts w:eastAsiaTheme="majorEastAsia"/>
          </w:rPr>
          <w:t>https://doi.org/10.1016/j.crm.2021.100300</w:t>
        </w:r>
      </w:hyperlink>
    </w:p>
    <w:p w14:paraId="4A47E8E7" w14:textId="77777777" w:rsidR="00CD5A4C" w:rsidRDefault="00CD5A4C" w:rsidP="00B263D3">
      <w:pPr>
        <w:pStyle w:val="NormalWeb"/>
        <w:numPr>
          <w:ilvl w:val="0"/>
          <w:numId w:val="13"/>
        </w:numPr>
        <w:spacing w:line="360" w:lineRule="auto"/>
      </w:pPr>
      <w:r w:rsidRPr="00B263D3">
        <w:rPr>
          <w:rStyle w:val="lev"/>
          <w:rFonts w:eastAsiaTheme="majorEastAsia"/>
          <w:b w:val="0"/>
          <w:bCs w:val="0"/>
        </w:rPr>
        <w:t>Dosio, A., Jones, R. G., Jack, C., Lennard, C., Nikulin, G., &amp; Hewitson, B. (2021).</w:t>
      </w:r>
      <w:r w:rsidRPr="00B263D3">
        <w:t xml:space="preserve"> Projected future temperature and precipitation extremes over Africa. </w:t>
      </w:r>
      <w:r w:rsidRPr="00B263D3">
        <w:rPr>
          <w:rStyle w:val="Accentuation"/>
          <w:rFonts w:eastAsiaTheme="majorEastAsia"/>
        </w:rPr>
        <w:t>Earth’s Future, 9</w:t>
      </w:r>
      <w:r w:rsidRPr="00B263D3">
        <w:t xml:space="preserve">(11), e2021EF002092. 18 pages.  </w:t>
      </w:r>
      <w:hyperlink r:id="rId25" w:history="1">
        <w:r w:rsidRPr="00B263D3">
          <w:rPr>
            <w:rStyle w:val="Lienhypertexte"/>
          </w:rPr>
          <w:t>https://doi.org/10.1029/2021EF002092</w:t>
        </w:r>
      </w:hyperlink>
    </w:p>
    <w:p w14:paraId="2BFCAE1F" w14:textId="17B0ADFC" w:rsidR="00CA57B3" w:rsidRPr="00B263D3" w:rsidRDefault="00CA57B3" w:rsidP="00B263D3">
      <w:pPr>
        <w:pStyle w:val="NormalWeb"/>
        <w:numPr>
          <w:ilvl w:val="0"/>
          <w:numId w:val="13"/>
        </w:numPr>
        <w:spacing w:line="360" w:lineRule="auto"/>
      </w:pPr>
      <w:r w:rsidRPr="002E67FE">
        <w:rPr>
          <w:lang w:val="en-US"/>
        </w:rPr>
        <w:t xml:space="preserve">Dagnelie, P. (1998). </w:t>
      </w:r>
      <w:proofErr w:type="spellStart"/>
      <w:r w:rsidRPr="002E67FE">
        <w:rPr>
          <w:rFonts w:eastAsiaTheme="majorEastAsia"/>
          <w:i/>
          <w:iCs/>
          <w:lang w:val="en-US"/>
        </w:rPr>
        <w:t>Statistique</w:t>
      </w:r>
      <w:proofErr w:type="spellEnd"/>
      <w:r w:rsidRPr="002E67FE">
        <w:rPr>
          <w:rFonts w:eastAsiaTheme="majorEastAsia"/>
          <w:i/>
          <w:iCs/>
          <w:lang w:val="en-US"/>
        </w:rPr>
        <w:t xml:space="preserve"> </w:t>
      </w:r>
      <w:proofErr w:type="spellStart"/>
      <w:r w:rsidRPr="002E67FE">
        <w:rPr>
          <w:rFonts w:eastAsiaTheme="majorEastAsia"/>
          <w:i/>
          <w:iCs/>
          <w:lang w:val="en-US"/>
        </w:rPr>
        <w:t>théorique</w:t>
      </w:r>
      <w:proofErr w:type="spellEnd"/>
      <w:r w:rsidRPr="002E67FE">
        <w:rPr>
          <w:rFonts w:eastAsiaTheme="majorEastAsia"/>
          <w:i/>
          <w:iCs/>
          <w:lang w:val="en-US"/>
        </w:rPr>
        <w:t xml:space="preserve"> et </w:t>
      </w:r>
      <w:proofErr w:type="spellStart"/>
      <w:proofErr w:type="gramStart"/>
      <w:r w:rsidRPr="002E67FE">
        <w:rPr>
          <w:rFonts w:eastAsiaTheme="majorEastAsia"/>
          <w:i/>
          <w:iCs/>
          <w:lang w:val="en-US"/>
        </w:rPr>
        <w:t>appliquée</w:t>
      </w:r>
      <w:proofErr w:type="spellEnd"/>
      <w:r w:rsidRPr="002E67FE">
        <w:rPr>
          <w:rFonts w:eastAsiaTheme="majorEastAsia"/>
          <w:i/>
          <w:iCs/>
          <w:lang w:val="en-US"/>
        </w:rPr>
        <w:t xml:space="preserve"> :</w:t>
      </w:r>
      <w:proofErr w:type="gramEnd"/>
      <w:r w:rsidRPr="002E67FE">
        <w:rPr>
          <w:rFonts w:eastAsiaTheme="majorEastAsia"/>
          <w:i/>
          <w:iCs/>
          <w:lang w:val="en-US"/>
        </w:rPr>
        <w:t xml:space="preserve"> Tome 2, </w:t>
      </w:r>
      <w:proofErr w:type="spellStart"/>
      <w:r w:rsidRPr="002E67FE">
        <w:rPr>
          <w:rFonts w:eastAsiaTheme="majorEastAsia"/>
          <w:i/>
          <w:iCs/>
          <w:lang w:val="en-US"/>
        </w:rPr>
        <w:t>Inférence</w:t>
      </w:r>
      <w:proofErr w:type="spellEnd"/>
      <w:r w:rsidRPr="002E67FE">
        <w:rPr>
          <w:rFonts w:eastAsiaTheme="majorEastAsia"/>
          <w:i/>
          <w:iCs/>
          <w:lang w:val="en-US"/>
        </w:rPr>
        <w:t xml:space="preserve"> </w:t>
      </w:r>
      <w:proofErr w:type="spellStart"/>
      <w:r w:rsidRPr="002E67FE">
        <w:rPr>
          <w:rFonts w:eastAsiaTheme="majorEastAsia"/>
          <w:i/>
          <w:iCs/>
          <w:lang w:val="en-US"/>
        </w:rPr>
        <w:t>statistique</w:t>
      </w:r>
      <w:proofErr w:type="spellEnd"/>
      <w:r w:rsidRPr="002E67FE">
        <w:rPr>
          <w:rFonts w:eastAsiaTheme="majorEastAsia"/>
          <w:i/>
          <w:iCs/>
          <w:lang w:val="en-US"/>
        </w:rPr>
        <w:t xml:space="preserve"> à </w:t>
      </w:r>
      <w:proofErr w:type="spellStart"/>
      <w:r w:rsidRPr="002E67FE">
        <w:rPr>
          <w:rFonts w:eastAsiaTheme="majorEastAsia"/>
          <w:i/>
          <w:iCs/>
          <w:lang w:val="en-US"/>
        </w:rPr>
        <w:t>une</w:t>
      </w:r>
      <w:proofErr w:type="spellEnd"/>
      <w:r w:rsidRPr="002E67FE">
        <w:rPr>
          <w:rFonts w:eastAsiaTheme="majorEastAsia"/>
          <w:i/>
          <w:iCs/>
          <w:lang w:val="en-US"/>
        </w:rPr>
        <w:t xml:space="preserve"> et à deux dimensions</w:t>
      </w:r>
      <w:r w:rsidRPr="002E67FE">
        <w:rPr>
          <w:lang w:val="en-US"/>
        </w:rPr>
        <w:t xml:space="preserve">. </w:t>
      </w:r>
      <w:proofErr w:type="gramStart"/>
      <w:r w:rsidRPr="002E67FE">
        <w:rPr>
          <w:lang w:val="en-US"/>
        </w:rPr>
        <w:t>Bruxelles :</w:t>
      </w:r>
      <w:proofErr w:type="gramEnd"/>
      <w:r w:rsidRPr="002E67FE">
        <w:rPr>
          <w:lang w:val="en-US"/>
        </w:rPr>
        <w:t xml:space="preserve"> De Boeck &amp; </w:t>
      </w:r>
      <w:proofErr w:type="spellStart"/>
      <w:r w:rsidRPr="002E67FE">
        <w:rPr>
          <w:lang w:val="en-US"/>
        </w:rPr>
        <w:t>Larcier</w:t>
      </w:r>
      <w:proofErr w:type="spellEnd"/>
      <w:r w:rsidRPr="002E67FE">
        <w:rPr>
          <w:lang w:val="en-US"/>
        </w:rPr>
        <w:t>, 659 p</w:t>
      </w:r>
    </w:p>
    <w:p w14:paraId="43BECF31" w14:textId="77777777" w:rsidR="00CD5A4C" w:rsidRPr="00B263D3" w:rsidRDefault="00CD5A4C" w:rsidP="00B263D3">
      <w:pPr>
        <w:pStyle w:val="Paragraphedeliste"/>
        <w:numPr>
          <w:ilvl w:val="0"/>
          <w:numId w:val="13"/>
        </w:numPr>
        <w:spacing w:line="360" w:lineRule="auto"/>
        <w:rPr>
          <w:rFonts w:ascii="Times New Roman" w:hAnsi="Times New Roman" w:cs="Times New Roman"/>
          <w:sz w:val="24"/>
          <w:szCs w:val="24"/>
        </w:rPr>
      </w:pPr>
      <w:r w:rsidRPr="00B263D3">
        <w:rPr>
          <w:rFonts w:ascii="Times New Roman" w:hAnsi="Times New Roman" w:cs="Times New Roman"/>
          <w:sz w:val="24"/>
          <w:szCs w:val="24"/>
        </w:rPr>
        <w:t xml:space="preserve">FAO. (2021). </w:t>
      </w:r>
      <w:r w:rsidRPr="00B263D3">
        <w:rPr>
          <w:rFonts w:ascii="Times New Roman" w:hAnsi="Times New Roman" w:cs="Times New Roman"/>
          <w:i/>
          <w:iCs/>
          <w:sz w:val="24"/>
          <w:szCs w:val="24"/>
        </w:rPr>
        <w:t>Pastoralism and climate change in the Sahel</w:t>
      </w:r>
      <w:r w:rsidRPr="00B263D3">
        <w:rPr>
          <w:rFonts w:ascii="Times New Roman" w:hAnsi="Times New Roman" w:cs="Times New Roman"/>
          <w:sz w:val="24"/>
          <w:szCs w:val="24"/>
        </w:rPr>
        <w:t>. Rome: Food and Agriculture Organization of the United Nations. 24p.</w:t>
      </w:r>
    </w:p>
    <w:p w14:paraId="0A1F6C83" w14:textId="77777777" w:rsidR="00CD5A4C" w:rsidRPr="00B263D3" w:rsidRDefault="00CD5A4C" w:rsidP="00B263D3">
      <w:pPr>
        <w:pStyle w:val="Paragraphedeliste"/>
        <w:numPr>
          <w:ilvl w:val="0"/>
          <w:numId w:val="13"/>
        </w:numPr>
        <w:spacing w:line="360" w:lineRule="auto"/>
        <w:rPr>
          <w:rFonts w:ascii="Times New Roman" w:hAnsi="Times New Roman" w:cs="Times New Roman"/>
          <w:sz w:val="24"/>
          <w:szCs w:val="24"/>
        </w:rPr>
      </w:pPr>
      <w:r w:rsidRPr="00B263D3">
        <w:rPr>
          <w:rFonts w:ascii="Times New Roman" w:hAnsi="Times New Roman" w:cs="Times New Roman"/>
          <w:sz w:val="24"/>
          <w:szCs w:val="24"/>
        </w:rPr>
        <w:t xml:space="preserve">Intergovernmental Panel on Climate Change (2023). </w:t>
      </w:r>
      <w:r w:rsidRPr="00B263D3">
        <w:rPr>
          <w:rFonts w:ascii="Times New Roman" w:hAnsi="Times New Roman" w:cs="Times New Roman"/>
          <w:i/>
          <w:iCs/>
          <w:sz w:val="24"/>
          <w:szCs w:val="24"/>
        </w:rPr>
        <w:t>Climate Change 2023: Synthesis Report. Contribution of Working Groups I, II and III to the Sixth Assessment Report (AR6).</w:t>
      </w:r>
      <w:r w:rsidRPr="00B263D3">
        <w:rPr>
          <w:rFonts w:ascii="Times New Roman" w:hAnsi="Times New Roman" w:cs="Times New Roman"/>
          <w:sz w:val="24"/>
          <w:szCs w:val="24"/>
        </w:rPr>
        <w:t xml:space="preserve"> IPCC.</w:t>
      </w:r>
    </w:p>
    <w:p w14:paraId="72928BAB" w14:textId="77777777" w:rsidR="00CD5A4C" w:rsidRPr="00B263D3" w:rsidRDefault="00CD5A4C" w:rsidP="00B263D3">
      <w:pPr>
        <w:pStyle w:val="Paragraphedeliste"/>
        <w:numPr>
          <w:ilvl w:val="0"/>
          <w:numId w:val="13"/>
        </w:numPr>
        <w:spacing w:line="360" w:lineRule="auto"/>
        <w:rPr>
          <w:rFonts w:ascii="Times New Roman" w:hAnsi="Times New Roman" w:cs="Times New Roman"/>
          <w:sz w:val="24"/>
          <w:szCs w:val="24"/>
        </w:rPr>
      </w:pPr>
      <w:r w:rsidRPr="00B263D3">
        <w:rPr>
          <w:rFonts w:ascii="Times New Roman" w:hAnsi="Times New Roman" w:cs="Times New Roman"/>
          <w:sz w:val="24"/>
          <w:szCs w:val="24"/>
        </w:rPr>
        <w:t xml:space="preserve">IPCC. (2022). </w:t>
      </w:r>
      <w:r w:rsidRPr="00B263D3">
        <w:rPr>
          <w:rFonts w:ascii="Times New Roman" w:hAnsi="Times New Roman" w:cs="Times New Roman"/>
          <w:i/>
          <w:iCs/>
          <w:sz w:val="24"/>
          <w:szCs w:val="24"/>
        </w:rPr>
        <w:t>Climate Change 2022: Impacts, Adaptation and Vulnerability</w:t>
      </w:r>
      <w:r w:rsidRPr="00B263D3">
        <w:rPr>
          <w:rFonts w:ascii="Times New Roman" w:hAnsi="Times New Roman" w:cs="Times New Roman"/>
          <w:sz w:val="24"/>
          <w:szCs w:val="24"/>
        </w:rPr>
        <w:t>. Contribution of Working Group II to the Sixth Assessment Report. Cambridge: Cambridge University Press. 3949p.</w:t>
      </w:r>
    </w:p>
    <w:p w14:paraId="7B051428" w14:textId="77777777" w:rsidR="00CD5A4C" w:rsidRPr="00B263D3" w:rsidRDefault="00CD5A4C" w:rsidP="00B263D3">
      <w:pPr>
        <w:pStyle w:val="NormalWeb"/>
        <w:numPr>
          <w:ilvl w:val="0"/>
          <w:numId w:val="13"/>
        </w:numPr>
        <w:spacing w:line="360" w:lineRule="auto"/>
      </w:pPr>
      <w:r w:rsidRPr="00B263D3">
        <w:rPr>
          <w:rStyle w:val="lev"/>
          <w:rFonts w:eastAsiaTheme="majorEastAsia"/>
          <w:b w:val="0"/>
          <w:bCs w:val="0"/>
        </w:rPr>
        <w:t>Issa, S., Moussa, I. B., &amp; Soumana, I. (2022).</w:t>
      </w:r>
      <w:r w:rsidRPr="00B263D3">
        <w:t xml:space="preserve"> Farmers’ perception of climate variability and adaptation strategies in Niger. </w:t>
      </w:r>
      <w:r w:rsidRPr="00B263D3">
        <w:rPr>
          <w:rStyle w:val="Accentuation"/>
          <w:rFonts w:eastAsiaTheme="majorEastAsia"/>
        </w:rPr>
        <w:t>Sustainability, 14</w:t>
      </w:r>
      <w:r w:rsidRPr="00B263D3">
        <w:t>(9), 5432. 16 pages.</w:t>
      </w:r>
      <w:r w:rsidRPr="00B263D3">
        <w:br/>
        <w:t>https://doi.org/10.3390/su14095432</w:t>
      </w:r>
    </w:p>
    <w:p w14:paraId="0CE3383F" w14:textId="77777777" w:rsidR="00CD5A4C" w:rsidRPr="00B263D3" w:rsidRDefault="00CD5A4C" w:rsidP="00B263D3">
      <w:pPr>
        <w:pStyle w:val="NormalWeb"/>
        <w:numPr>
          <w:ilvl w:val="0"/>
          <w:numId w:val="13"/>
        </w:numPr>
        <w:spacing w:line="360" w:lineRule="auto"/>
      </w:pPr>
      <w:r w:rsidRPr="00B263D3">
        <w:rPr>
          <w:rStyle w:val="lev"/>
          <w:rFonts w:eastAsiaTheme="majorEastAsia"/>
          <w:b w:val="0"/>
          <w:bCs w:val="0"/>
        </w:rPr>
        <w:t>Masson-Delmotte, V., Zhai, P., Pirani, A., et al. (2021).</w:t>
      </w:r>
      <w:r w:rsidRPr="00B263D3">
        <w:t xml:space="preserve"> Climate change 2021: The physical science basis. </w:t>
      </w:r>
      <w:r w:rsidRPr="00B263D3">
        <w:rPr>
          <w:rStyle w:val="Accentuation"/>
          <w:rFonts w:eastAsiaTheme="majorEastAsia"/>
        </w:rPr>
        <w:t>Climate Dynamics, 58</w:t>
      </w:r>
      <w:r w:rsidRPr="00B263D3">
        <w:t>, 1–34. 34 pages.</w:t>
      </w:r>
      <w:r w:rsidRPr="00B263D3">
        <w:br/>
        <w:t>https://doi.org/10.1007/s00382-021-06060-1</w:t>
      </w:r>
    </w:p>
    <w:p w14:paraId="03F18A27" w14:textId="77777777" w:rsidR="00CD5A4C" w:rsidRPr="00B263D3" w:rsidRDefault="00CD5A4C" w:rsidP="00B263D3">
      <w:pPr>
        <w:pStyle w:val="Paragraphedeliste"/>
        <w:numPr>
          <w:ilvl w:val="0"/>
          <w:numId w:val="13"/>
        </w:numPr>
        <w:spacing w:line="360" w:lineRule="auto"/>
        <w:rPr>
          <w:rFonts w:ascii="Times New Roman" w:hAnsi="Times New Roman" w:cs="Times New Roman"/>
          <w:sz w:val="24"/>
          <w:szCs w:val="24"/>
        </w:rPr>
      </w:pPr>
      <w:r w:rsidRPr="00B263D3">
        <w:rPr>
          <w:rFonts w:ascii="Times New Roman" w:hAnsi="Times New Roman" w:cs="Times New Roman"/>
          <w:sz w:val="24"/>
          <w:szCs w:val="24"/>
        </w:rPr>
        <w:t xml:space="preserve">OCDE / CSAO. (2025). </w:t>
      </w:r>
      <w:r w:rsidRPr="00B263D3">
        <w:rPr>
          <w:rFonts w:ascii="Times New Roman" w:hAnsi="Times New Roman" w:cs="Times New Roman"/>
          <w:i/>
          <w:iCs/>
          <w:sz w:val="24"/>
          <w:szCs w:val="24"/>
        </w:rPr>
        <w:t>Commerce et diversification des moyens d’existence en Afrique de l’Ouest</w:t>
      </w:r>
      <w:r w:rsidRPr="00B263D3">
        <w:rPr>
          <w:rFonts w:ascii="Times New Roman" w:hAnsi="Times New Roman" w:cs="Times New Roman"/>
          <w:sz w:val="24"/>
          <w:szCs w:val="24"/>
        </w:rPr>
        <w:t>. Paris: OCDE. 138p.</w:t>
      </w:r>
    </w:p>
    <w:p w14:paraId="644DB5A9" w14:textId="77777777" w:rsidR="00CD5A4C" w:rsidRPr="00B263D3" w:rsidRDefault="00CD5A4C" w:rsidP="00B263D3">
      <w:pPr>
        <w:pStyle w:val="NormalWeb"/>
        <w:numPr>
          <w:ilvl w:val="0"/>
          <w:numId w:val="13"/>
        </w:numPr>
        <w:spacing w:line="360" w:lineRule="auto"/>
      </w:pPr>
      <w:r w:rsidRPr="00B263D3">
        <w:t xml:space="preserve">Odunmorayo, M. T., Alani, B. O., &amp; Adefisan, E. A. (2025). Projected change in occurrence and severity of heatwaves over West Africa as simulated by CMIP6 models. </w:t>
      </w:r>
      <w:r w:rsidRPr="00B263D3">
        <w:rPr>
          <w:rStyle w:val="Accentuation"/>
          <w:rFonts w:eastAsiaTheme="majorEastAsia"/>
        </w:rPr>
        <w:t>Journal of Disaster Science and Management, 1</w:t>
      </w:r>
      <w:r w:rsidRPr="00B263D3">
        <w:t>, Article 16. https://doi.org/10.1007/s44367-025-00017-z</w:t>
      </w:r>
    </w:p>
    <w:p w14:paraId="143EF6C7" w14:textId="77777777" w:rsidR="00CD5A4C" w:rsidRPr="00B263D3" w:rsidRDefault="00CD5A4C" w:rsidP="00B263D3">
      <w:pPr>
        <w:pStyle w:val="NormalWeb"/>
        <w:numPr>
          <w:ilvl w:val="0"/>
          <w:numId w:val="13"/>
        </w:numPr>
        <w:spacing w:line="360" w:lineRule="auto"/>
      </w:pPr>
      <w:r w:rsidRPr="00B263D3">
        <w:rPr>
          <w:rStyle w:val="lev"/>
          <w:rFonts w:eastAsiaTheme="majorEastAsia"/>
          <w:b w:val="0"/>
          <w:bCs w:val="0"/>
        </w:rPr>
        <w:t>Okpara, U. T., Stringer, L. C., &amp; Dougill, A. J. (2021).</w:t>
      </w:r>
      <w:r w:rsidRPr="00B263D3">
        <w:t xml:space="preserve"> Climate variability and socio-ecological vulnerability in the Lake Chad Basin. </w:t>
      </w:r>
      <w:r w:rsidRPr="00B263D3">
        <w:rPr>
          <w:rStyle w:val="Accentuation"/>
          <w:rFonts w:eastAsiaTheme="majorEastAsia"/>
        </w:rPr>
        <w:t>Regional Environmental Change, 21</w:t>
      </w:r>
      <w:r w:rsidRPr="00B263D3">
        <w:t>, 85. 14 pages.    https://doi.org/10.1007/s10113-021-01800-9</w:t>
      </w:r>
    </w:p>
    <w:p w14:paraId="4E8DF6BA" w14:textId="77777777" w:rsidR="00CD5A4C" w:rsidRPr="00B263D3" w:rsidRDefault="00CD5A4C" w:rsidP="00B263D3">
      <w:pPr>
        <w:pStyle w:val="NormalWeb"/>
        <w:numPr>
          <w:ilvl w:val="0"/>
          <w:numId w:val="13"/>
        </w:numPr>
        <w:spacing w:line="360" w:lineRule="auto"/>
      </w:pPr>
      <w:r w:rsidRPr="00B263D3">
        <w:lastRenderedPageBreak/>
        <w:t xml:space="preserve">Okpara, U. T., Stringer, L. C., &amp; Dougill, A. J. (2021). Climate variability and socio-ecological vulnerability in the Lake Chad Basin. </w:t>
      </w:r>
      <w:r w:rsidRPr="00B263D3">
        <w:rPr>
          <w:rStyle w:val="Accentuation"/>
          <w:rFonts w:eastAsiaTheme="majorEastAsia"/>
        </w:rPr>
        <w:t>Regional Environmental Change, 21</w:t>
      </w:r>
      <w:r w:rsidRPr="00B263D3">
        <w:t>, 85. 14 pages. https://doi.org/10.1007/s10113-021-01800-9</w:t>
      </w:r>
    </w:p>
    <w:p w14:paraId="373F0D85" w14:textId="77777777" w:rsidR="00CD5A4C" w:rsidRPr="00B263D3" w:rsidRDefault="00CD5A4C" w:rsidP="00B263D3">
      <w:pPr>
        <w:pStyle w:val="Paragraphedeliste"/>
        <w:numPr>
          <w:ilvl w:val="0"/>
          <w:numId w:val="13"/>
        </w:numPr>
        <w:spacing w:line="360" w:lineRule="auto"/>
        <w:rPr>
          <w:rFonts w:ascii="Times New Roman" w:hAnsi="Times New Roman" w:cs="Times New Roman"/>
          <w:sz w:val="24"/>
          <w:szCs w:val="24"/>
        </w:rPr>
      </w:pPr>
      <w:r w:rsidRPr="00B263D3">
        <w:rPr>
          <w:rFonts w:ascii="Times New Roman" w:hAnsi="Times New Roman" w:cs="Times New Roman"/>
          <w:sz w:val="24"/>
          <w:szCs w:val="24"/>
        </w:rPr>
        <w:t xml:space="preserve">Ouédraogo, M., Barbier, B., &amp; Barry, S. (2023). Perceptions paysannes du changement climatique et stratégies d’adaptation en Afrique de l’Ouest sahélienne. </w:t>
      </w:r>
      <w:r w:rsidRPr="00B263D3">
        <w:rPr>
          <w:rFonts w:ascii="Times New Roman" w:hAnsi="Times New Roman" w:cs="Times New Roman"/>
          <w:i/>
          <w:iCs/>
          <w:sz w:val="24"/>
          <w:szCs w:val="24"/>
        </w:rPr>
        <w:t>Climate and Development, 15</w:t>
      </w:r>
      <w:r w:rsidRPr="00B263D3">
        <w:rPr>
          <w:rFonts w:ascii="Times New Roman" w:hAnsi="Times New Roman" w:cs="Times New Roman"/>
          <w:sz w:val="24"/>
          <w:szCs w:val="24"/>
        </w:rPr>
        <w:t>(3), 245–258.</w:t>
      </w:r>
    </w:p>
    <w:p w14:paraId="08F679E4" w14:textId="77777777" w:rsidR="00CD5A4C" w:rsidRPr="00B263D3" w:rsidRDefault="00CD5A4C" w:rsidP="00B263D3">
      <w:pPr>
        <w:pStyle w:val="NormalWeb"/>
        <w:numPr>
          <w:ilvl w:val="0"/>
          <w:numId w:val="13"/>
        </w:numPr>
        <w:spacing w:line="360" w:lineRule="auto"/>
      </w:pPr>
      <w:r w:rsidRPr="00B263D3">
        <w:rPr>
          <w:rStyle w:val="lev"/>
          <w:rFonts w:eastAsiaTheme="majorEastAsia"/>
          <w:b w:val="0"/>
          <w:bCs w:val="0"/>
        </w:rPr>
        <w:t>Ozer, P., Hountondji, Y.-C., Laminou Manzo, O., &amp; Yabi, I. (2020).</w:t>
      </w:r>
      <w:r w:rsidRPr="00B263D3">
        <w:t xml:space="preserve"> Trends and variability in rainfall and temperature over Niger. </w:t>
      </w:r>
      <w:r w:rsidRPr="00B263D3">
        <w:rPr>
          <w:rStyle w:val="Accentuation"/>
          <w:rFonts w:eastAsiaTheme="majorEastAsia"/>
        </w:rPr>
        <w:t>Theoretical and Applied Climatology, 141</w:t>
      </w:r>
      <w:r w:rsidRPr="00B263D3">
        <w:t>, 1621–1635. 15 pages.  https://doi.org/10.1007/s00704-020-03246-9</w:t>
      </w:r>
    </w:p>
    <w:p w14:paraId="72AED9BF" w14:textId="77777777" w:rsidR="00CD5A4C" w:rsidRPr="00B263D3" w:rsidRDefault="00CD5A4C" w:rsidP="00B263D3">
      <w:pPr>
        <w:pStyle w:val="NormalWeb"/>
        <w:numPr>
          <w:ilvl w:val="0"/>
          <w:numId w:val="13"/>
        </w:numPr>
        <w:spacing w:line="360" w:lineRule="auto"/>
      </w:pPr>
      <w:r w:rsidRPr="00B263D3">
        <w:t xml:space="preserve">Ozer, P., Hountondji, Y.-C., Laminou Manzo, O., &amp; Yabi, I. (2020). Trends and variability in rainfall and temperature over Niger. </w:t>
      </w:r>
      <w:r w:rsidRPr="00B263D3">
        <w:rPr>
          <w:rStyle w:val="Accentuation"/>
          <w:rFonts w:eastAsiaTheme="majorEastAsia"/>
        </w:rPr>
        <w:t>Theoretical and Applied Climatology, 141</w:t>
      </w:r>
      <w:r w:rsidRPr="00B263D3">
        <w:t xml:space="preserve">, 1621–1635. 15 pages. </w:t>
      </w:r>
      <w:hyperlink r:id="rId26" w:history="1">
        <w:r w:rsidRPr="00B263D3">
          <w:rPr>
            <w:rStyle w:val="Lienhypertexte"/>
          </w:rPr>
          <w:t>https://doi.org/10.1007/s00704-020-03246-9</w:t>
        </w:r>
      </w:hyperlink>
    </w:p>
    <w:p w14:paraId="38E45DE3" w14:textId="77777777" w:rsidR="00CD5A4C" w:rsidRPr="00B263D3" w:rsidRDefault="00CD5A4C" w:rsidP="00B263D3">
      <w:pPr>
        <w:pStyle w:val="Paragraphedeliste"/>
        <w:numPr>
          <w:ilvl w:val="0"/>
          <w:numId w:val="13"/>
        </w:numPr>
        <w:spacing w:line="360" w:lineRule="auto"/>
        <w:rPr>
          <w:rFonts w:ascii="Times New Roman" w:hAnsi="Times New Roman" w:cs="Times New Roman"/>
          <w:sz w:val="24"/>
          <w:szCs w:val="24"/>
        </w:rPr>
      </w:pPr>
      <w:r w:rsidRPr="00B263D3">
        <w:rPr>
          <w:rFonts w:ascii="Times New Roman" w:hAnsi="Times New Roman" w:cs="Times New Roman"/>
          <w:sz w:val="24"/>
          <w:szCs w:val="24"/>
        </w:rPr>
        <w:t xml:space="preserve">Pearce, T. D., Ford, J. D., Laidler, G. J., Smit, B., Duerden, F., Allarut, M., Andrachuk, M., Baryluk, S., Dialla, A., Elee, P., Goose, A., Ikummaq, T., Joamie, E., Kataoyak, F., Loring, E., Meakin, S., Nickels, S., Shappa, K., Shirley, J., &amp; Wandel, J. (2009). Community collaboration and climate change research in the Canadian Arctic. </w:t>
      </w:r>
      <w:r w:rsidRPr="00B263D3">
        <w:rPr>
          <w:rFonts w:ascii="Times New Roman" w:hAnsi="Times New Roman" w:cs="Times New Roman"/>
          <w:i/>
          <w:iCs/>
          <w:sz w:val="24"/>
          <w:szCs w:val="24"/>
        </w:rPr>
        <w:t>Polar Geography, 28</w:t>
      </w:r>
      <w:r w:rsidRPr="00B263D3">
        <w:rPr>
          <w:rFonts w:ascii="Times New Roman" w:hAnsi="Times New Roman" w:cs="Times New Roman"/>
          <w:sz w:val="24"/>
          <w:szCs w:val="24"/>
        </w:rPr>
        <w:t>(1), 10–27. https://doi.org/10.1111/j.1751-8369.2008.00094.x</w:t>
      </w:r>
    </w:p>
    <w:p w14:paraId="2BF29DB7" w14:textId="77777777" w:rsidR="00CD5A4C" w:rsidRPr="00B263D3" w:rsidRDefault="00CD5A4C" w:rsidP="00B263D3">
      <w:pPr>
        <w:pStyle w:val="NormalWeb"/>
        <w:numPr>
          <w:ilvl w:val="0"/>
          <w:numId w:val="13"/>
        </w:numPr>
        <w:spacing w:line="360" w:lineRule="auto"/>
      </w:pPr>
      <w:r w:rsidRPr="00B263D3">
        <w:t xml:space="preserve">Rainfall variability and drought in West Africa: challenges and implications for rainfed agriculture. (2025). </w:t>
      </w:r>
      <w:r w:rsidRPr="00B263D3">
        <w:rPr>
          <w:rStyle w:val="Accentuation"/>
          <w:rFonts w:eastAsiaTheme="majorEastAsia"/>
        </w:rPr>
        <w:t>Theoretical and Applied Climatology, 156</w:t>
      </w:r>
      <w:r w:rsidRPr="00B263D3">
        <w:t>, Article 41. https://doi.org/10.1007/s00704-024-05251-8</w:t>
      </w:r>
    </w:p>
    <w:p w14:paraId="15993D90" w14:textId="77777777" w:rsidR="00CD5A4C" w:rsidRPr="00B263D3" w:rsidRDefault="00CD5A4C" w:rsidP="00B263D3">
      <w:pPr>
        <w:pStyle w:val="NormalWeb"/>
        <w:numPr>
          <w:ilvl w:val="0"/>
          <w:numId w:val="13"/>
        </w:numPr>
        <w:spacing w:line="360" w:lineRule="auto"/>
        <w:rPr>
          <w:rFonts w:eastAsiaTheme="minorHAnsi"/>
          <w:kern w:val="2"/>
          <w14:ligatures w14:val="standardContextual"/>
        </w:rPr>
      </w:pPr>
      <w:r w:rsidRPr="00B263D3">
        <w:rPr>
          <w:rFonts w:eastAsiaTheme="minorHAnsi"/>
          <w:kern w:val="2"/>
          <w14:ligatures w14:val="standardContextual"/>
        </w:rPr>
        <w:t xml:space="preserve">Roudier, P., Alhassane, A., Baron, C., &amp; Sultan, B. (2020). Assessing the impacts of climate variability and change on agricultural systems in West Africa. </w:t>
      </w:r>
      <w:r w:rsidRPr="00B263D3">
        <w:rPr>
          <w:rFonts w:eastAsiaTheme="minorHAnsi"/>
          <w:i/>
          <w:iCs/>
          <w:kern w:val="2"/>
          <w14:ligatures w14:val="standardContextual"/>
        </w:rPr>
        <w:t>Climatic Change, 159</w:t>
      </w:r>
      <w:r w:rsidRPr="00B263D3">
        <w:rPr>
          <w:rFonts w:eastAsiaTheme="minorHAnsi"/>
          <w:kern w:val="2"/>
          <w14:ligatures w14:val="standardContextual"/>
        </w:rPr>
        <w:t>(4), 583–601.</w:t>
      </w:r>
      <w:r w:rsidRPr="00B263D3">
        <w:rPr>
          <w:rFonts w:eastAsiaTheme="minorHAnsi"/>
          <w:kern w:val="2"/>
          <w14:ligatures w14:val="standardContextual"/>
        </w:rPr>
        <w:br/>
        <w:t>https://doi.org/10.1007/s10584-020-02692-1</w:t>
      </w:r>
    </w:p>
    <w:p w14:paraId="32DB8D1D" w14:textId="77777777" w:rsidR="00CD5A4C" w:rsidRPr="00B263D3" w:rsidRDefault="00CD5A4C" w:rsidP="00B263D3">
      <w:pPr>
        <w:pStyle w:val="NormalWeb"/>
        <w:numPr>
          <w:ilvl w:val="0"/>
          <w:numId w:val="13"/>
        </w:numPr>
        <w:spacing w:line="360" w:lineRule="auto"/>
      </w:pPr>
      <w:r w:rsidRPr="00B263D3">
        <w:rPr>
          <w:rStyle w:val="lev"/>
          <w:rFonts w:eastAsiaTheme="majorEastAsia"/>
        </w:rPr>
        <w:t>Salack, S., Giannini, A., Diakhate, M., et al. (2022).</w:t>
      </w:r>
      <w:r w:rsidRPr="00B263D3">
        <w:t xml:space="preserve"> Climate extremes and agricultural risk in the Sahel. </w:t>
      </w:r>
      <w:r w:rsidRPr="00B263D3">
        <w:rPr>
          <w:rStyle w:val="Accentuation"/>
          <w:rFonts w:eastAsiaTheme="majorEastAsia"/>
        </w:rPr>
        <w:t>Weather and Climate Extremes, 36</w:t>
      </w:r>
      <w:r w:rsidRPr="00B263D3">
        <w:t>, 100456. 11 pages.</w:t>
      </w:r>
      <w:r w:rsidRPr="00B263D3">
        <w:br/>
      </w:r>
      <w:hyperlink r:id="rId27" w:tgtFrame="_new" w:history="1">
        <w:r w:rsidRPr="00B263D3">
          <w:rPr>
            <w:rStyle w:val="Lienhypertexte"/>
            <w:rFonts w:eastAsiaTheme="majorEastAsia"/>
          </w:rPr>
          <w:t>https://doi.org/10.1016/j.wace.2022.100456</w:t>
        </w:r>
      </w:hyperlink>
    </w:p>
    <w:p w14:paraId="2BC1562C" w14:textId="77777777" w:rsidR="00CD5A4C" w:rsidRPr="00B263D3" w:rsidRDefault="00CD5A4C" w:rsidP="00B263D3">
      <w:pPr>
        <w:pStyle w:val="Paragraphedeliste"/>
        <w:numPr>
          <w:ilvl w:val="0"/>
          <w:numId w:val="13"/>
        </w:numPr>
        <w:spacing w:line="360" w:lineRule="auto"/>
        <w:rPr>
          <w:rFonts w:ascii="Times New Roman" w:hAnsi="Times New Roman" w:cs="Times New Roman"/>
          <w:sz w:val="24"/>
          <w:szCs w:val="24"/>
        </w:rPr>
      </w:pPr>
      <w:r w:rsidRPr="00B263D3">
        <w:rPr>
          <w:rFonts w:ascii="Times New Roman" w:hAnsi="Times New Roman" w:cs="Times New Roman"/>
          <w:sz w:val="24"/>
          <w:szCs w:val="24"/>
        </w:rPr>
        <w:t xml:space="preserve">Sanogo, K., Moussa, B., Yabi, J. A., &amp; Baco, M. N. (2022). Stratégies d’adaptation des ménages agricoles face au changement climatique en Afrique de l’Ouest. </w:t>
      </w:r>
      <w:r w:rsidRPr="00B263D3">
        <w:rPr>
          <w:rFonts w:ascii="Times New Roman" w:hAnsi="Times New Roman" w:cs="Times New Roman"/>
          <w:i/>
          <w:iCs/>
          <w:sz w:val="24"/>
          <w:szCs w:val="24"/>
        </w:rPr>
        <w:t>Climate and Development, 14</w:t>
      </w:r>
      <w:r w:rsidRPr="00B263D3">
        <w:rPr>
          <w:rFonts w:ascii="Times New Roman" w:hAnsi="Times New Roman" w:cs="Times New Roman"/>
          <w:sz w:val="24"/>
          <w:szCs w:val="24"/>
        </w:rPr>
        <w:t>(4), 345–357.</w:t>
      </w:r>
    </w:p>
    <w:p w14:paraId="33139826" w14:textId="77777777" w:rsidR="00CD5A4C" w:rsidRPr="00B263D3" w:rsidRDefault="00CD5A4C" w:rsidP="00B263D3">
      <w:pPr>
        <w:pStyle w:val="Paragraphedeliste"/>
        <w:numPr>
          <w:ilvl w:val="0"/>
          <w:numId w:val="13"/>
        </w:numPr>
        <w:spacing w:line="360" w:lineRule="auto"/>
        <w:rPr>
          <w:rFonts w:ascii="Times New Roman" w:hAnsi="Times New Roman" w:cs="Times New Roman"/>
          <w:sz w:val="24"/>
          <w:szCs w:val="24"/>
        </w:rPr>
      </w:pPr>
      <w:r w:rsidRPr="00B263D3">
        <w:rPr>
          <w:rFonts w:ascii="Times New Roman" w:hAnsi="Times New Roman" w:cs="Times New Roman"/>
          <w:sz w:val="24"/>
          <w:szCs w:val="24"/>
        </w:rPr>
        <w:t xml:space="preserve">Sanogo, K., Traoré, B., &amp; Diarra, S. (2022). Changements climatiques et perceptions locales dans les zones agro-pastorales du Sahel. </w:t>
      </w:r>
      <w:r w:rsidRPr="00B263D3">
        <w:rPr>
          <w:rFonts w:ascii="Times New Roman" w:hAnsi="Times New Roman" w:cs="Times New Roman"/>
          <w:i/>
          <w:iCs/>
          <w:sz w:val="24"/>
          <w:szCs w:val="24"/>
        </w:rPr>
        <w:t>Journal of Arid Environments, 196</w:t>
      </w:r>
      <w:r w:rsidRPr="00B263D3">
        <w:rPr>
          <w:rFonts w:ascii="Times New Roman" w:hAnsi="Times New Roman" w:cs="Times New Roman"/>
          <w:sz w:val="24"/>
          <w:szCs w:val="24"/>
        </w:rPr>
        <w:t>, 104657.</w:t>
      </w:r>
    </w:p>
    <w:p w14:paraId="11C0AC32" w14:textId="77777777" w:rsidR="00CD5A4C" w:rsidRPr="00B263D3" w:rsidRDefault="00CD5A4C" w:rsidP="00B263D3">
      <w:pPr>
        <w:pStyle w:val="NormalWeb"/>
        <w:numPr>
          <w:ilvl w:val="0"/>
          <w:numId w:val="13"/>
        </w:numPr>
        <w:spacing w:line="360" w:lineRule="auto"/>
      </w:pPr>
      <w:r w:rsidRPr="00B263D3">
        <w:rPr>
          <w:rStyle w:val="lev"/>
          <w:rFonts w:eastAsiaTheme="majorEastAsia"/>
        </w:rPr>
        <w:lastRenderedPageBreak/>
        <w:t>Sanogo, S., et al. (2022).</w:t>
      </w:r>
      <w:r w:rsidRPr="00B263D3">
        <w:t xml:space="preserve"> Flood intensification in the Sahel: Evidence from recent decades. </w:t>
      </w:r>
      <w:r w:rsidRPr="00B263D3">
        <w:rPr>
          <w:rStyle w:val="Accentuation"/>
          <w:rFonts w:eastAsiaTheme="majorEastAsia"/>
        </w:rPr>
        <w:t>Journal of Hydrology, 608</w:t>
      </w:r>
      <w:r w:rsidRPr="00B263D3">
        <w:t>, 127659. 13pages.    https://doi.org/10.1016/j.jhydrol.2022.127659</w:t>
      </w:r>
    </w:p>
    <w:p w14:paraId="279AAB18" w14:textId="77777777" w:rsidR="00CD5A4C" w:rsidRPr="00B263D3" w:rsidRDefault="00CD5A4C" w:rsidP="00B263D3">
      <w:pPr>
        <w:pStyle w:val="NormalWeb"/>
        <w:numPr>
          <w:ilvl w:val="0"/>
          <w:numId w:val="13"/>
        </w:numPr>
        <w:spacing w:line="360" w:lineRule="auto"/>
      </w:pPr>
      <w:r w:rsidRPr="00B263D3">
        <w:t xml:space="preserve">Siabi, E. K., Awafo, E. A., Kabobah, A. T., … &amp; Yazdanie, M. (2024). Quantifying future climate extreme indices: implications for sustainable urban development in West Africa, with a focus on the Greater Accra region. </w:t>
      </w:r>
      <w:r w:rsidRPr="00B263D3">
        <w:rPr>
          <w:rStyle w:val="Accentuation"/>
          <w:rFonts w:eastAsiaTheme="majorEastAsia"/>
        </w:rPr>
        <w:t>Discover Sustainability, 5</w:t>
      </w:r>
      <w:r w:rsidRPr="00B263D3">
        <w:t>, Article 167. https://doi.org/10.1007/s43621-024-00352-w</w:t>
      </w:r>
    </w:p>
    <w:p w14:paraId="73A282A5" w14:textId="77777777" w:rsidR="00CD5A4C" w:rsidRPr="00B263D3" w:rsidRDefault="00CD5A4C" w:rsidP="00B263D3">
      <w:pPr>
        <w:pStyle w:val="Paragraphedeliste"/>
        <w:numPr>
          <w:ilvl w:val="0"/>
          <w:numId w:val="13"/>
        </w:numPr>
        <w:spacing w:line="360" w:lineRule="auto"/>
        <w:rPr>
          <w:rFonts w:ascii="Times New Roman" w:hAnsi="Times New Roman" w:cs="Times New Roman"/>
          <w:sz w:val="24"/>
          <w:szCs w:val="24"/>
        </w:rPr>
      </w:pPr>
      <w:r w:rsidRPr="00B263D3">
        <w:rPr>
          <w:rFonts w:ascii="Times New Roman" w:hAnsi="Times New Roman" w:cs="Times New Roman"/>
          <w:sz w:val="24"/>
          <w:szCs w:val="24"/>
        </w:rPr>
        <w:t xml:space="preserve">Sultan, B., Defrance, D., &amp; Iizumi, T. (2019). Evidence of crop production losses in West Africa due to historical global warming in two crop models. </w:t>
      </w:r>
      <w:r w:rsidRPr="00B263D3">
        <w:rPr>
          <w:rFonts w:ascii="Times New Roman" w:hAnsi="Times New Roman" w:cs="Times New Roman"/>
          <w:i/>
          <w:iCs/>
          <w:sz w:val="24"/>
          <w:szCs w:val="24"/>
        </w:rPr>
        <w:t>Scientific Reports, 9</w:t>
      </w:r>
      <w:r w:rsidRPr="00B263D3">
        <w:rPr>
          <w:rFonts w:ascii="Times New Roman" w:hAnsi="Times New Roman" w:cs="Times New Roman"/>
          <w:sz w:val="24"/>
          <w:szCs w:val="24"/>
        </w:rPr>
        <w:t xml:space="preserve">, 12834.      </w:t>
      </w:r>
      <w:hyperlink r:id="rId28" w:history="1">
        <w:r w:rsidRPr="00B263D3">
          <w:rPr>
            <w:rStyle w:val="Lienhypertexte"/>
            <w:rFonts w:ascii="Times New Roman" w:hAnsi="Times New Roman" w:cs="Times New Roman"/>
            <w:sz w:val="24"/>
            <w:szCs w:val="24"/>
          </w:rPr>
          <w:t>https://doi.org/10.1038/s41598-019-49167-0</w:t>
        </w:r>
      </w:hyperlink>
    </w:p>
    <w:p w14:paraId="3C7AE65C" w14:textId="77777777" w:rsidR="00CD5A4C" w:rsidRPr="00B263D3" w:rsidRDefault="00CD5A4C" w:rsidP="00B263D3">
      <w:pPr>
        <w:pStyle w:val="Paragraphedeliste"/>
        <w:numPr>
          <w:ilvl w:val="0"/>
          <w:numId w:val="13"/>
        </w:numPr>
        <w:spacing w:line="360" w:lineRule="auto"/>
        <w:rPr>
          <w:rFonts w:ascii="Times New Roman" w:hAnsi="Times New Roman" w:cs="Times New Roman"/>
          <w:sz w:val="24"/>
          <w:szCs w:val="24"/>
        </w:rPr>
      </w:pPr>
      <w:r w:rsidRPr="00B263D3">
        <w:rPr>
          <w:rFonts w:ascii="Times New Roman" w:hAnsi="Times New Roman" w:cs="Times New Roman"/>
          <w:sz w:val="24"/>
          <w:szCs w:val="24"/>
        </w:rPr>
        <w:t xml:space="preserve">Zorom, M., Hien, M., &amp; Somda, J. (2021). Perceptions locales des risques climatiques et vulnérabilité des systèmes agricoles au Burkina Faso. </w:t>
      </w:r>
      <w:r w:rsidRPr="00B263D3">
        <w:rPr>
          <w:rFonts w:ascii="Times New Roman" w:hAnsi="Times New Roman" w:cs="Times New Roman"/>
          <w:i/>
          <w:iCs/>
          <w:sz w:val="24"/>
          <w:szCs w:val="24"/>
        </w:rPr>
        <w:t>Sustainability, 13</w:t>
      </w:r>
      <w:r w:rsidRPr="00B263D3">
        <w:rPr>
          <w:rFonts w:ascii="Times New Roman" w:hAnsi="Times New Roman" w:cs="Times New Roman"/>
          <w:sz w:val="24"/>
          <w:szCs w:val="24"/>
        </w:rPr>
        <w:t>(9), 487. 41p.</w:t>
      </w:r>
    </w:p>
    <w:p w14:paraId="79377C24" w14:textId="77777777" w:rsidR="00CD5A4C" w:rsidRPr="00670B75" w:rsidRDefault="00CD5A4C" w:rsidP="00A349BE"/>
    <w:sectPr w:rsidR="00CD5A4C" w:rsidRPr="00670B75">
      <w:headerReference w:type="even" r:id="rId29"/>
      <w:headerReference w:type="default" r:id="rId30"/>
      <w:footerReference w:type="even" r:id="rId31"/>
      <w:footerReference w:type="default" r:id="rId32"/>
      <w:headerReference w:type="first" r:id="rId33"/>
      <w:footerReference w:type="firs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7D9831" w14:textId="77777777" w:rsidR="00F024DB" w:rsidRDefault="00F024DB" w:rsidP="0007661F">
      <w:pPr>
        <w:spacing w:after="0" w:line="240" w:lineRule="auto"/>
      </w:pPr>
      <w:r>
        <w:separator/>
      </w:r>
    </w:p>
  </w:endnote>
  <w:endnote w:type="continuationSeparator" w:id="0">
    <w:p w14:paraId="57927EDE" w14:textId="77777777" w:rsidR="00F024DB" w:rsidRDefault="00F024DB" w:rsidP="00076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3D267" w14:textId="77777777" w:rsidR="0007661F" w:rsidRDefault="0007661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07F0C" w14:textId="77777777" w:rsidR="0007661F" w:rsidRDefault="0007661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23BFE" w14:textId="77777777" w:rsidR="0007661F" w:rsidRDefault="0007661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8A673" w14:textId="77777777" w:rsidR="00F024DB" w:rsidRDefault="00F024DB" w:rsidP="0007661F">
      <w:pPr>
        <w:spacing w:after="0" w:line="240" w:lineRule="auto"/>
      </w:pPr>
      <w:r>
        <w:separator/>
      </w:r>
    </w:p>
  </w:footnote>
  <w:footnote w:type="continuationSeparator" w:id="0">
    <w:p w14:paraId="060E4C85" w14:textId="77777777" w:rsidR="00F024DB" w:rsidRDefault="00F024DB" w:rsidP="000766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9A4B6" w14:textId="5324D16E" w:rsidR="0007661F" w:rsidRDefault="00000000">
    <w:pPr>
      <w:pStyle w:val="En-tte"/>
    </w:pPr>
    <w:r>
      <w:rPr>
        <w:noProof/>
      </w:rPr>
      <w:pict w14:anchorId="4A26F2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0637735"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BFA8C" w14:textId="7120979B" w:rsidR="0007661F" w:rsidRDefault="00000000">
    <w:pPr>
      <w:pStyle w:val="En-tte"/>
    </w:pPr>
    <w:r>
      <w:rPr>
        <w:noProof/>
      </w:rPr>
      <w:pict w14:anchorId="59BE35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0637736"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D55F5" w14:textId="2DEFC7B7" w:rsidR="0007661F" w:rsidRDefault="00000000">
    <w:pPr>
      <w:pStyle w:val="En-tte"/>
    </w:pPr>
    <w:r>
      <w:rPr>
        <w:noProof/>
      </w:rPr>
      <w:pict w14:anchorId="4B699E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0637734"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 o:bullet="t">
        <v:imagedata r:id="rId1" o:title="mso9C36"/>
      </v:shape>
    </w:pict>
  </w:numPicBullet>
  <w:abstractNum w:abstractNumId="0" w15:restartNumberingAfterBreak="0">
    <w:nsid w:val="0B5566FB"/>
    <w:multiLevelType w:val="hybridMultilevel"/>
    <w:tmpl w:val="D5F4ABB0"/>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D0657B4"/>
    <w:multiLevelType w:val="multilevel"/>
    <w:tmpl w:val="B308D7A2"/>
    <w:lvl w:ilvl="0">
      <w:start w:val="1"/>
      <w:numFmt w:val="decimal"/>
      <w:lvlText w:val="%1."/>
      <w:lvlJc w:val="left"/>
      <w:pPr>
        <w:ind w:left="720" w:hanging="360"/>
      </w:p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DD024A4"/>
    <w:multiLevelType w:val="hybridMultilevel"/>
    <w:tmpl w:val="AA923DEE"/>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0FC4F65"/>
    <w:multiLevelType w:val="hybridMultilevel"/>
    <w:tmpl w:val="9B467A84"/>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4EE333E"/>
    <w:multiLevelType w:val="hybridMultilevel"/>
    <w:tmpl w:val="882CA510"/>
    <w:lvl w:ilvl="0" w:tplc="F77CE144">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A0B48DC"/>
    <w:multiLevelType w:val="hybridMultilevel"/>
    <w:tmpl w:val="8C8416B0"/>
    <w:lvl w:ilvl="0" w:tplc="2000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CA81625"/>
    <w:multiLevelType w:val="multilevel"/>
    <w:tmpl w:val="8848A048"/>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0B044E"/>
    <w:multiLevelType w:val="multilevel"/>
    <w:tmpl w:val="3B66328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056E0C"/>
    <w:multiLevelType w:val="multilevel"/>
    <w:tmpl w:val="45564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A0749A"/>
    <w:multiLevelType w:val="hybridMultilevel"/>
    <w:tmpl w:val="FD32FD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3ABA3CC7"/>
    <w:multiLevelType w:val="hybridMultilevel"/>
    <w:tmpl w:val="308CC75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F822267"/>
    <w:multiLevelType w:val="multilevel"/>
    <w:tmpl w:val="0268A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5478BD"/>
    <w:multiLevelType w:val="multilevel"/>
    <w:tmpl w:val="32FAFE24"/>
    <w:lvl w:ilvl="0">
      <w:start w:val="1"/>
      <w:numFmt w:val="upperRoman"/>
      <w:lvlText w:val="%1."/>
      <w:lvlJc w:val="right"/>
      <w:pPr>
        <w:ind w:left="720" w:hanging="360"/>
      </w:pPr>
    </w:lvl>
    <w:lvl w:ilvl="1">
      <w:start w:val="1"/>
      <w:numFmt w:val="decimal"/>
      <w:isLgl/>
      <w:lvlText w:val="%1.%2."/>
      <w:lvlJc w:val="left"/>
      <w:pPr>
        <w:ind w:left="1211"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FC75472"/>
    <w:multiLevelType w:val="multilevel"/>
    <w:tmpl w:val="510C88C6"/>
    <w:lvl w:ilvl="0">
      <w:start w:val="1"/>
      <w:numFmt w:val="upperRoman"/>
      <w:lvlText w:val="%1."/>
      <w:lvlJc w:val="right"/>
      <w:pPr>
        <w:ind w:left="720" w:hanging="360"/>
      </w:pPr>
    </w:lvl>
    <w:lvl w:ilvl="1">
      <w:start w:val="4"/>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8F869E0"/>
    <w:multiLevelType w:val="multilevel"/>
    <w:tmpl w:val="F8848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7A5050"/>
    <w:multiLevelType w:val="hybridMultilevel"/>
    <w:tmpl w:val="9B4632F6"/>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5B714957"/>
    <w:multiLevelType w:val="multilevel"/>
    <w:tmpl w:val="8796F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B94937"/>
    <w:multiLevelType w:val="hybridMultilevel"/>
    <w:tmpl w:val="3B2C698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678358C8"/>
    <w:multiLevelType w:val="multilevel"/>
    <w:tmpl w:val="623E4D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6CF67399"/>
    <w:multiLevelType w:val="hybridMultilevel"/>
    <w:tmpl w:val="103C2FE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597326297">
    <w:abstractNumId w:val="14"/>
  </w:num>
  <w:num w:numId="2" w16cid:durableId="1088383114">
    <w:abstractNumId w:val="16"/>
  </w:num>
  <w:num w:numId="3" w16cid:durableId="1966345727">
    <w:abstractNumId w:val="11"/>
  </w:num>
  <w:num w:numId="4" w16cid:durableId="1671982235">
    <w:abstractNumId w:val="8"/>
  </w:num>
  <w:num w:numId="5" w16cid:durableId="744762524">
    <w:abstractNumId w:val="6"/>
  </w:num>
  <w:num w:numId="6" w16cid:durableId="1109201219">
    <w:abstractNumId w:val="17"/>
  </w:num>
  <w:num w:numId="7" w16cid:durableId="682248877">
    <w:abstractNumId w:val="9"/>
  </w:num>
  <w:num w:numId="8" w16cid:durableId="878322850">
    <w:abstractNumId w:val="7"/>
  </w:num>
  <w:num w:numId="9" w16cid:durableId="941835626">
    <w:abstractNumId w:val="12"/>
  </w:num>
  <w:num w:numId="10" w16cid:durableId="696931043">
    <w:abstractNumId w:val="3"/>
  </w:num>
  <w:num w:numId="11" w16cid:durableId="173232454">
    <w:abstractNumId w:val="10"/>
  </w:num>
  <w:num w:numId="12" w16cid:durableId="903175617">
    <w:abstractNumId w:val="5"/>
  </w:num>
  <w:num w:numId="13" w16cid:durableId="1235898051">
    <w:abstractNumId w:val="1"/>
  </w:num>
  <w:num w:numId="14" w16cid:durableId="573276008">
    <w:abstractNumId w:val="0"/>
  </w:num>
  <w:num w:numId="15" w16cid:durableId="1252859839">
    <w:abstractNumId w:val="2"/>
  </w:num>
  <w:num w:numId="16" w16cid:durableId="64882662">
    <w:abstractNumId w:val="15"/>
  </w:num>
  <w:num w:numId="17" w16cid:durableId="1490517932">
    <w:abstractNumId w:val="4"/>
  </w:num>
  <w:num w:numId="18" w16cid:durableId="836925272">
    <w:abstractNumId w:val="13"/>
  </w:num>
  <w:num w:numId="19" w16cid:durableId="423496988">
    <w:abstractNumId w:val="19"/>
  </w:num>
  <w:num w:numId="20" w16cid:durableId="14156668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C06"/>
    <w:rsid w:val="00067A65"/>
    <w:rsid w:val="0007661F"/>
    <w:rsid w:val="000A2508"/>
    <w:rsid w:val="000D6C06"/>
    <w:rsid w:val="00117237"/>
    <w:rsid w:val="00120ACF"/>
    <w:rsid w:val="00205B83"/>
    <w:rsid w:val="002120BE"/>
    <w:rsid w:val="002C0CA0"/>
    <w:rsid w:val="002F6A35"/>
    <w:rsid w:val="003536A8"/>
    <w:rsid w:val="00475B47"/>
    <w:rsid w:val="005113B9"/>
    <w:rsid w:val="00594FF1"/>
    <w:rsid w:val="006034BB"/>
    <w:rsid w:val="00606415"/>
    <w:rsid w:val="006417B0"/>
    <w:rsid w:val="006568C5"/>
    <w:rsid w:val="00670B75"/>
    <w:rsid w:val="006A0637"/>
    <w:rsid w:val="006D12B8"/>
    <w:rsid w:val="006F7169"/>
    <w:rsid w:val="00701ED5"/>
    <w:rsid w:val="00843E4C"/>
    <w:rsid w:val="008511CB"/>
    <w:rsid w:val="008B46A1"/>
    <w:rsid w:val="008B5954"/>
    <w:rsid w:val="00907AE6"/>
    <w:rsid w:val="00914402"/>
    <w:rsid w:val="0092160A"/>
    <w:rsid w:val="00957E55"/>
    <w:rsid w:val="009F497E"/>
    <w:rsid w:val="009F61EF"/>
    <w:rsid w:val="00A16D68"/>
    <w:rsid w:val="00A26132"/>
    <w:rsid w:val="00A349BE"/>
    <w:rsid w:val="00A35824"/>
    <w:rsid w:val="00AC1941"/>
    <w:rsid w:val="00B078AA"/>
    <w:rsid w:val="00B263D3"/>
    <w:rsid w:val="00B86A3D"/>
    <w:rsid w:val="00BB0E5E"/>
    <w:rsid w:val="00BD127F"/>
    <w:rsid w:val="00C95C6C"/>
    <w:rsid w:val="00CA57B3"/>
    <w:rsid w:val="00CD5A4C"/>
    <w:rsid w:val="00D028C0"/>
    <w:rsid w:val="00D21443"/>
    <w:rsid w:val="00D80E86"/>
    <w:rsid w:val="00D8222B"/>
    <w:rsid w:val="00DD77FF"/>
    <w:rsid w:val="00E138C1"/>
    <w:rsid w:val="00E9608D"/>
    <w:rsid w:val="00ED725F"/>
    <w:rsid w:val="00F024DB"/>
    <w:rsid w:val="00F259F8"/>
    <w:rsid w:val="00F3432B"/>
    <w:rsid w:val="00FD6F4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A5C3B7"/>
  <w15:chartTrackingRefBased/>
  <w15:docId w15:val="{599782E0-C889-4BC7-8D69-1E23F47F2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0D6C0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0D6C0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unhideWhenUsed/>
    <w:qFormat/>
    <w:rsid w:val="000D6C06"/>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unhideWhenUsed/>
    <w:qFormat/>
    <w:rsid w:val="000D6C06"/>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0D6C06"/>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0D6C06"/>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0D6C06"/>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0D6C06"/>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0D6C06"/>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D6C06"/>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0D6C06"/>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rsid w:val="000D6C06"/>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rsid w:val="000D6C06"/>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0D6C06"/>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0D6C0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0D6C0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0D6C0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0D6C06"/>
    <w:rPr>
      <w:rFonts w:eastAsiaTheme="majorEastAsia" w:cstheme="majorBidi"/>
      <w:color w:val="272727" w:themeColor="text1" w:themeTint="D8"/>
    </w:rPr>
  </w:style>
  <w:style w:type="paragraph" w:styleId="Titre">
    <w:name w:val="Title"/>
    <w:basedOn w:val="Normal"/>
    <w:next w:val="Normal"/>
    <w:link w:val="TitreCar"/>
    <w:uiPriority w:val="10"/>
    <w:qFormat/>
    <w:rsid w:val="000D6C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D6C06"/>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0D6C06"/>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0D6C0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0D6C06"/>
    <w:pPr>
      <w:spacing w:before="160"/>
      <w:jc w:val="center"/>
    </w:pPr>
    <w:rPr>
      <w:i/>
      <w:iCs/>
      <w:color w:val="404040" w:themeColor="text1" w:themeTint="BF"/>
    </w:rPr>
  </w:style>
  <w:style w:type="character" w:customStyle="1" w:styleId="CitationCar">
    <w:name w:val="Citation Car"/>
    <w:basedOn w:val="Policepardfaut"/>
    <w:link w:val="Citation"/>
    <w:uiPriority w:val="29"/>
    <w:rsid w:val="000D6C06"/>
    <w:rPr>
      <w:i/>
      <w:iCs/>
      <w:color w:val="404040" w:themeColor="text1" w:themeTint="BF"/>
    </w:rPr>
  </w:style>
  <w:style w:type="paragraph" w:styleId="Paragraphedeliste">
    <w:name w:val="List Paragraph"/>
    <w:basedOn w:val="Normal"/>
    <w:link w:val="ParagraphedelisteCar"/>
    <w:uiPriority w:val="34"/>
    <w:qFormat/>
    <w:rsid w:val="000D6C06"/>
    <w:pPr>
      <w:ind w:left="720"/>
      <w:contextualSpacing/>
    </w:pPr>
  </w:style>
  <w:style w:type="character" w:styleId="Accentuationintense">
    <w:name w:val="Intense Emphasis"/>
    <w:basedOn w:val="Policepardfaut"/>
    <w:uiPriority w:val="21"/>
    <w:qFormat/>
    <w:rsid w:val="000D6C06"/>
    <w:rPr>
      <w:i/>
      <w:iCs/>
      <w:color w:val="2F5496" w:themeColor="accent1" w:themeShade="BF"/>
    </w:rPr>
  </w:style>
  <w:style w:type="paragraph" w:styleId="Citationintense">
    <w:name w:val="Intense Quote"/>
    <w:basedOn w:val="Normal"/>
    <w:next w:val="Normal"/>
    <w:link w:val="CitationintenseCar"/>
    <w:uiPriority w:val="30"/>
    <w:qFormat/>
    <w:rsid w:val="000D6C0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0D6C06"/>
    <w:rPr>
      <w:i/>
      <w:iCs/>
      <w:color w:val="2F5496" w:themeColor="accent1" w:themeShade="BF"/>
    </w:rPr>
  </w:style>
  <w:style w:type="character" w:styleId="Rfrenceintense">
    <w:name w:val="Intense Reference"/>
    <w:basedOn w:val="Policepardfaut"/>
    <w:uiPriority w:val="32"/>
    <w:qFormat/>
    <w:rsid w:val="000D6C06"/>
    <w:rPr>
      <w:b/>
      <w:bCs/>
      <w:smallCaps/>
      <w:color w:val="2F5496" w:themeColor="accent1" w:themeShade="BF"/>
      <w:spacing w:val="5"/>
    </w:rPr>
  </w:style>
  <w:style w:type="paragraph" w:styleId="NormalWeb">
    <w:name w:val="Normal (Web)"/>
    <w:basedOn w:val="Normal"/>
    <w:uiPriority w:val="99"/>
    <w:unhideWhenUsed/>
    <w:rsid w:val="000D6C0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lev">
    <w:name w:val="Strong"/>
    <w:basedOn w:val="Policepardfaut"/>
    <w:uiPriority w:val="22"/>
    <w:qFormat/>
    <w:rsid w:val="000D6C06"/>
    <w:rPr>
      <w:b/>
      <w:bCs/>
    </w:rPr>
  </w:style>
  <w:style w:type="character" w:styleId="Lienhypertexte">
    <w:name w:val="Hyperlink"/>
    <w:basedOn w:val="Policepardfaut"/>
    <w:uiPriority w:val="99"/>
    <w:unhideWhenUsed/>
    <w:rsid w:val="00957E55"/>
    <w:rPr>
      <w:color w:val="0563C1" w:themeColor="hyperlink"/>
      <w:u w:val="single"/>
    </w:rPr>
  </w:style>
  <w:style w:type="character" w:customStyle="1" w:styleId="Mentionnonrsolue1">
    <w:name w:val="Mention non résolue1"/>
    <w:basedOn w:val="Policepardfaut"/>
    <w:uiPriority w:val="99"/>
    <w:semiHidden/>
    <w:unhideWhenUsed/>
    <w:rsid w:val="00957E55"/>
    <w:rPr>
      <w:color w:val="605E5C"/>
      <w:shd w:val="clear" w:color="auto" w:fill="E1DFDD"/>
    </w:rPr>
  </w:style>
  <w:style w:type="character" w:customStyle="1" w:styleId="ParagraphedelisteCar">
    <w:name w:val="Paragraphe de liste Car"/>
    <w:link w:val="Paragraphedeliste"/>
    <w:uiPriority w:val="34"/>
    <w:qFormat/>
    <w:locked/>
    <w:rsid w:val="00205B83"/>
  </w:style>
  <w:style w:type="character" w:styleId="Accentuation">
    <w:name w:val="Emphasis"/>
    <w:basedOn w:val="Policepardfaut"/>
    <w:uiPriority w:val="20"/>
    <w:qFormat/>
    <w:rsid w:val="00CD5A4C"/>
    <w:rPr>
      <w:i/>
      <w:iCs/>
    </w:rPr>
  </w:style>
  <w:style w:type="paragraph" w:styleId="En-tte">
    <w:name w:val="header"/>
    <w:basedOn w:val="Normal"/>
    <w:link w:val="En-tteCar"/>
    <w:uiPriority w:val="99"/>
    <w:unhideWhenUsed/>
    <w:rsid w:val="0007661F"/>
    <w:pPr>
      <w:tabs>
        <w:tab w:val="center" w:pos="4513"/>
        <w:tab w:val="right" w:pos="9026"/>
      </w:tabs>
      <w:spacing w:after="0" w:line="240" w:lineRule="auto"/>
    </w:pPr>
  </w:style>
  <w:style w:type="character" w:customStyle="1" w:styleId="En-tteCar">
    <w:name w:val="En-tête Car"/>
    <w:basedOn w:val="Policepardfaut"/>
    <w:link w:val="En-tte"/>
    <w:uiPriority w:val="99"/>
    <w:rsid w:val="0007661F"/>
  </w:style>
  <w:style w:type="paragraph" w:styleId="Pieddepage">
    <w:name w:val="footer"/>
    <w:basedOn w:val="Normal"/>
    <w:link w:val="PieddepageCar"/>
    <w:uiPriority w:val="99"/>
    <w:unhideWhenUsed/>
    <w:rsid w:val="0007661F"/>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0766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1007/s00704-020-03246-9" TargetMode="External"/><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footer" Target="footer3.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29/2021EF002092"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ower.larc.nasa.gov/" TargetMode="External"/><Relationship Id="rId24" Type="http://schemas.openxmlformats.org/officeDocument/2006/relationships/hyperlink" Target="https://doi.org/10.1016/j.crm.2021.100300"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1007/s00267-018-1113-7" TargetMode="External"/><Relationship Id="rId28" Type="http://schemas.openxmlformats.org/officeDocument/2006/relationships/hyperlink" Target="https://doi.org/10.1038/s41598-019-49167-0" TargetMode="External"/><Relationship Id="rId36" Type="http://schemas.openxmlformats.org/officeDocument/2006/relationships/theme" Target="theme/theme1.xml"/><Relationship Id="rId10" Type="http://schemas.openxmlformats.org/officeDocument/2006/relationships/hyperlink" Target="https://power.larc.nasa.gov/" TargetMode="External"/><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hyperlink" Target="https://doi.org/10.1016/j.wace.2022.100456"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6002</Words>
  <Characters>34215</Characters>
  <Application>Microsoft Office Word</Application>
  <DocSecurity>0</DocSecurity>
  <Lines>285</Lines>
  <Paragraphs>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MAMAN CHAIBOU Abdoul Kader</dc:creator>
  <cp:keywords/>
  <dc:description/>
  <cp:lastModifiedBy>MAMAN CHAIBOU Abdoul Kader</cp:lastModifiedBy>
  <cp:revision>3</cp:revision>
  <dcterms:created xsi:type="dcterms:W3CDTF">2026-04-06T22:34:00Z</dcterms:created>
  <dcterms:modified xsi:type="dcterms:W3CDTF">2026-04-06T22:38:00Z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0cee508b-d784-4fa6-8233-9f6daf2c525c</vt:lpwstr>
  </property>
</Properties>
</file>