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DAE5C" w14:textId="77777777" w:rsidR="007124D9" w:rsidRPr="007124D9" w:rsidRDefault="007124D9" w:rsidP="007124D9">
      <w:pPr>
        <w:pStyle w:val="Author"/>
        <w:jc w:val="both"/>
        <w:rPr>
          <w:rFonts w:ascii="Arial" w:hAnsi="Arial" w:cs="Arial"/>
          <w:bCs/>
          <w:iCs/>
          <w:kern w:val="28"/>
          <w:sz w:val="36"/>
        </w:rPr>
      </w:pPr>
      <w:bookmarkStart w:id="0" w:name="_GoBack"/>
      <w:bookmarkEnd w:id="0"/>
    </w:p>
    <w:p w14:paraId="1F06D4B1" w14:textId="77777777" w:rsidR="007124D9" w:rsidRPr="007124D9" w:rsidRDefault="007124D9" w:rsidP="007124D9">
      <w:pPr>
        <w:pStyle w:val="Author"/>
        <w:jc w:val="both"/>
        <w:rPr>
          <w:rFonts w:ascii="Arial" w:hAnsi="Arial" w:cs="Arial"/>
          <w:bCs/>
          <w:iCs/>
          <w:kern w:val="28"/>
          <w:sz w:val="36"/>
        </w:rPr>
      </w:pPr>
    </w:p>
    <w:p w14:paraId="3D672F5C" w14:textId="77777777" w:rsidR="007124D9" w:rsidRPr="00C25E2F" w:rsidRDefault="007124D9" w:rsidP="007124D9">
      <w:pPr>
        <w:pStyle w:val="Author"/>
        <w:spacing w:line="240" w:lineRule="auto"/>
        <w:jc w:val="both"/>
        <w:rPr>
          <w:rFonts w:ascii="Arial" w:hAnsi="Arial" w:cs="Arial"/>
          <w:bCs/>
          <w:iCs/>
          <w:kern w:val="28"/>
          <w:sz w:val="36"/>
        </w:rPr>
      </w:pPr>
      <w:r w:rsidRPr="00C25E2F">
        <w:rPr>
          <w:rFonts w:ascii="Arial" w:hAnsi="Arial" w:cs="Arial"/>
          <w:bCs/>
          <w:iCs/>
          <w:kern w:val="28"/>
          <w:sz w:val="36"/>
        </w:rPr>
        <w:t>Original Research Article</w:t>
      </w:r>
    </w:p>
    <w:p w14:paraId="14F5D90D" w14:textId="77777777" w:rsidR="007124D9" w:rsidRPr="00C25E2F" w:rsidRDefault="007124D9" w:rsidP="007124D9">
      <w:pPr>
        <w:pStyle w:val="Author"/>
        <w:spacing w:line="240" w:lineRule="auto"/>
        <w:jc w:val="both"/>
        <w:rPr>
          <w:rFonts w:ascii="Arial" w:hAnsi="Arial" w:cs="Arial"/>
          <w:bCs/>
          <w:iCs/>
          <w:kern w:val="28"/>
          <w:sz w:val="36"/>
        </w:rPr>
      </w:pPr>
    </w:p>
    <w:p w14:paraId="20866CE6" w14:textId="77777777" w:rsidR="007124D9" w:rsidRPr="00C25E2F" w:rsidRDefault="007124D9" w:rsidP="007124D9">
      <w:pPr>
        <w:pStyle w:val="Author"/>
        <w:spacing w:line="240" w:lineRule="auto"/>
        <w:jc w:val="both"/>
        <w:rPr>
          <w:rFonts w:ascii="Arial" w:hAnsi="Arial" w:cs="Arial"/>
          <w:bCs/>
          <w:iCs/>
          <w:kern w:val="28"/>
          <w:sz w:val="36"/>
        </w:rPr>
      </w:pPr>
    </w:p>
    <w:p w14:paraId="065E426B" w14:textId="1EAAFBB1" w:rsidR="00A258C3" w:rsidRPr="00C25E2F" w:rsidRDefault="008066B8" w:rsidP="007124D9">
      <w:pPr>
        <w:pStyle w:val="Author"/>
        <w:spacing w:line="240" w:lineRule="auto"/>
        <w:jc w:val="both"/>
        <w:rPr>
          <w:rFonts w:ascii="Arial" w:hAnsi="Arial" w:cs="Arial"/>
          <w:bCs/>
          <w:iCs/>
          <w:kern w:val="28"/>
          <w:sz w:val="36"/>
        </w:rPr>
      </w:pPr>
      <w:r w:rsidRPr="00C25E2F">
        <w:rPr>
          <w:rFonts w:ascii="Arial" w:hAnsi="Arial" w:cs="Arial"/>
          <w:bCs/>
          <w:iCs/>
          <w:kern w:val="28"/>
          <w:sz w:val="36"/>
        </w:rPr>
        <w:t>EDUCATION IN MEXICO AS AN INSTRUMENT OF CHANGE, IN THE FACE OF CLIMATE CHANGE</w:t>
      </w:r>
    </w:p>
    <w:p w14:paraId="681EF8A8" w14:textId="77777777" w:rsidR="0079433F" w:rsidRPr="00C25E2F" w:rsidRDefault="0079433F" w:rsidP="008066B8">
      <w:pPr>
        <w:pStyle w:val="Author"/>
        <w:spacing w:line="240" w:lineRule="auto"/>
        <w:jc w:val="both"/>
        <w:rPr>
          <w:rFonts w:ascii="Arial" w:hAnsi="Arial" w:cs="Arial"/>
          <w:sz w:val="36"/>
        </w:rPr>
      </w:pPr>
    </w:p>
    <w:p w14:paraId="4BA3247B" w14:textId="60094398" w:rsidR="00790ADA" w:rsidRPr="00C25E2F" w:rsidRDefault="00790ADA" w:rsidP="00401ADA">
      <w:pPr>
        <w:pStyle w:val="Default"/>
        <w:jc w:val="right"/>
        <w:rPr>
          <w:lang w:val="en-US"/>
        </w:rPr>
      </w:pPr>
    </w:p>
    <w:p w14:paraId="4CBB5CE6" w14:textId="77777777" w:rsidR="002C57D2" w:rsidRPr="00C25E2F" w:rsidRDefault="002C57D2" w:rsidP="00441B6F">
      <w:pPr>
        <w:pStyle w:val="Affiliation"/>
        <w:spacing w:after="0" w:line="240" w:lineRule="auto"/>
        <w:jc w:val="both"/>
        <w:rPr>
          <w:rFonts w:ascii="Arial" w:hAnsi="Arial" w:cs="Arial"/>
        </w:rPr>
      </w:pPr>
    </w:p>
    <w:p w14:paraId="4AE7B1B4" w14:textId="68735694" w:rsidR="00B01FCD" w:rsidRPr="00C25E2F" w:rsidRDefault="001001E3" w:rsidP="00441B6F">
      <w:pPr>
        <w:pStyle w:val="Copyright"/>
        <w:spacing w:after="0" w:line="240" w:lineRule="auto"/>
        <w:jc w:val="both"/>
        <w:rPr>
          <w:rFonts w:ascii="Arial" w:hAnsi="Arial" w:cs="Arial"/>
        </w:rPr>
        <w:sectPr w:rsidR="00B01FCD" w:rsidRPr="00C25E2F" w:rsidSect="007D133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C25E2F">
        <w:rPr>
          <w:rFonts w:ascii="Arial" w:hAnsi="Arial" w:cs="Arial"/>
          <w:noProof/>
        </w:rPr>
        <mc:AlternateContent>
          <mc:Choice Requires="wps">
            <w:drawing>
              <wp:inline distT="0" distB="0" distL="0" distR="0" wp14:anchorId="43513050" wp14:editId="729F685B">
                <wp:extent cx="5303520" cy="635"/>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7604EC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C25E2F">
        <w:rPr>
          <w:rFonts w:ascii="Arial" w:hAnsi="Arial" w:cs="Arial"/>
        </w:rPr>
        <w:t>.</w:t>
      </w:r>
    </w:p>
    <w:p w14:paraId="3599318A" w14:textId="24F0F4F2" w:rsidR="00B01FCD" w:rsidRPr="00C25E2F" w:rsidRDefault="00B01FCD" w:rsidP="00441B6F">
      <w:pPr>
        <w:pStyle w:val="AbstHead"/>
        <w:spacing w:after="0"/>
        <w:jc w:val="both"/>
        <w:rPr>
          <w:rFonts w:ascii="Arial" w:hAnsi="Arial" w:cs="Arial"/>
        </w:rPr>
      </w:pPr>
      <w:r w:rsidRPr="00C25E2F">
        <w:rPr>
          <w:rFonts w:ascii="Arial" w:hAnsi="Arial" w:cs="Arial"/>
        </w:rPr>
        <w:t>ABSTRACT</w:t>
      </w:r>
      <w:r w:rsidR="0066510A" w:rsidRPr="00C25E2F">
        <w:rPr>
          <w:rFonts w:ascii="Arial" w:hAnsi="Arial" w:cs="Arial"/>
        </w:rPr>
        <w:t xml:space="preserve"> </w:t>
      </w:r>
    </w:p>
    <w:p w14:paraId="510E4B3B" w14:textId="77777777" w:rsidR="00790ADA" w:rsidRPr="00C25E2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25E2F" w14:paraId="5937B730" w14:textId="77777777" w:rsidTr="001E44FE">
        <w:tc>
          <w:tcPr>
            <w:tcW w:w="9576" w:type="dxa"/>
            <w:shd w:val="clear" w:color="auto" w:fill="F2F2F2"/>
          </w:tcPr>
          <w:p w14:paraId="6329E4B4" w14:textId="42AB4B52" w:rsidR="00505F06" w:rsidRPr="00C25E2F" w:rsidRDefault="008066B8" w:rsidP="00441B6F">
            <w:pPr>
              <w:pStyle w:val="Body"/>
              <w:spacing w:after="0"/>
              <w:rPr>
                <w:rFonts w:ascii="Arial" w:eastAsia="Calibri" w:hAnsi="Arial" w:cs="Arial"/>
                <w:szCs w:val="22"/>
              </w:rPr>
            </w:pPr>
            <w:r w:rsidRPr="00C25E2F">
              <w:rPr>
                <w:rFonts w:ascii="Arial" w:eastAsia="Calibri" w:hAnsi="Arial" w:cs="Arial"/>
                <w:szCs w:val="22"/>
              </w:rPr>
              <w:t>Climate change is one of the greatest socio-environmental challenges of the 21st century, with significant impacts on ecological, economic and social systems. In this context, education has established itself as a fundamental tool to promote cultural, social and political changes oriented towards sustainability. This article analyzes the role of education as an instrument of transformation in the face of climate change in Mexico, considering its evolution from the international arena to its implementation in the national education system. The research was developed with a qualitative methodology based on documentary analysis, bibliographic review and analysis of public policies related to environmental education and education for sustainable development. International instruments such as the 2030 Agenda, the Paris Agreement and UNESCO recommendations were examined, as well as national regulatory frameworks such as the General Law on Climate Change and the General Law on Education. The results show that Mexico has made progress in incorporating climate education into its institutional and curricular framework; however, challenges remain related to the effective mainstreaming of environmental education, teacher training, and social participation. The results were compared with previous research findings, highlighting the need to strengthen interdisciplinary and community-based approaches to climate education. Finally, it is concluded that education is a strategic instrument to build an informed, resilient climate citizenship committed to adaptation and mitigation to climate change, being essential to strengthen educational policies, scientific research and social participation to face the country's environmental challenges.</w:t>
            </w:r>
          </w:p>
        </w:tc>
      </w:tr>
    </w:tbl>
    <w:p w14:paraId="497B988F" w14:textId="77777777" w:rsidR="00636EB2" w:rsidRPr="00C25E2F" w:rsidRDefault="00636EB2" w:rsidP="00441B6F">
      <w:pPr>
        <w:pStyle w:val="Body"/>
        <w:spacing w:after="0"/>
        <w:rPr>
          <w:rFonts w:ascii="Arial" w:hAnsi="Arial" w:cs="Arial"/>
          <w:i/>
        </w:rPr>
      </w:pPr>
    </w:p>
    <w:p w14:paraId="259883E9" w14:textId="383A0A85" w:rsidR="00A24E7E" w:rsidRPr="00C25E2F" w:rsidRDefault="00A24E7E" w:rsidP="00441B6F">
      <w:pPr>
        <w:pStyle w:val="Body"/>
        <w:spacing w:after="0"/>
        <w:rPr>
          <w:rFonts w:ascii="Arial" w:hAnsi="Arial" w:cs="Arial"/>
          <w:i/>
        </w:rPr>
      </w:pPr>
      <w:r w:rsidRPr="00C25E2F">
        <w:rPr>
          <w:rFonts w:ascii="Arial" w:hAnsi="Arial" w:cs="Arial"/>
          <w:i/>
        </w:rPr>
        <w:t xml:space="preserve">Keywords: </w:t>
      </w:r>
      <w:r w:rsidR="008066B8" w:rsidRPr="00C25E2F">
        <w:rPr>
          <w:rFonts w:ascii="Arial" w:hAnsi="Arial" w:cs="Arial"/>
          <w:i/>
        </w:rPr>
        <w:t>Environmental education, climate change, sustainability, public policies, México.</w:t>
      </w:r>
    </w:p>
    <w:p w14:paraId="7B39555B" w14:textId="77777777" w:rsidR="00505F06" w:rsidRPr="00C25E2F" w:rsidRDefault="00505F06" w:rsidP="00441B6F">
      <w:pPr>
        <w:pStyle w:val="Body"/>
        <w:spacing w:after="0"/>
        <w:rPr>
          <w:rFonts w:ascii="Arial" w:hAnsi="Arial" w:cs="Arial"/>
          <w:i/>
        </w:rPr>
      </w:pPr>
    </w:p>
    <w:p w14:paraId="618C75F3" w14:textId="6AED5867" w:rsidR="007F7B32" w:rsidRPr="00C25E2F" w:rsidRDefault="00902823" w:rsidP="0083691F">
      <w:pPr>
        <w:pStyle w:val="AbstHead"/>
        <w:spacing w:after="160"/>
        <w:jc w:val="both"/>
        <w:rPr>
          <w:rFonts w:ascii="Arial" w:hAnsi="Arial" w:cs="Arial"/>
        </w:rPr>
      </w:pPr>
      <w:r w:rsidRPr="00C25E2F">
        <w:rPr>
          <w:rFonts w:ascii="Arial" w:hAnsi="Arial" w:cs="Arial"/>
        </w:rPr>
        <w:t xml:space="preserve">1. </w:t>
      </w:r>
      <w:r w:rsidR="00B01FCD" w:rsidRPr="00C25E2F">
        <w:rPr>
          <w:rFonts w:ascii="Arial" w:hAnsi="Arial" w:cs="Arial"/>
        </w:rPr>
        <w:t>INTRODUCTION</w:t>
      </w:r>
    </w:p>
    <w:p w14:paraId="4BCE421A" w14:textId="79CA0FD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Climate change (CC) threatens the economic growth and development of Mexico and the world. Over the past few decades, greenhouse gas (GHG) emissions have led to an unprecedented rise in temperatures, leading to climate change, increased extreme events, and devastating socioeconomic impacts. With the Paris Agreement (2015), countries committed to curbing the increase in the global average temperature by 2 °C – and if possible no more than 1.5 °C – compared to pre-industrial levels. The commitment includes reducing GHG emissions by strengthening resilience to fight the impacts of climate change, and actions </w:t>
      </w:r>
      <w:r w:rsidRPr="00C25E2F">
        <w:rPr>
          <w:rFonts w:ascii="Arial" w:hAnsi="Arial" w:cs="Arial"/>
          <w:b w:val="0"/>
          <w:caps w:val="0"/>
          <w:sz w:val="20"/>
        </w:rPr>
        <w:lastRenderedPageBreak/>
        <w:t>that protect people, communities, the economy, and the environment from its consequences (</w:t>
      </w:r>
      <w:r w:rsidR="0083691F" w:rsidRPr="00C25E2F">
        <w:rPr>
          <w:rFonts w:ascii="Arial" w:hAnsi="Arial" w:cs="Arial"/>
          <w:b w:val="0"/>
          <w:caps w:val="0"/>
          <w:sz w:val="20"/>
        </w:rPr>
        <w:t>Bos &amp; Schwartz, 2023</w:t>
      </w:r>
      <w:r w:rsidRPr="00C25E2F">
        <w:rPr>
          <w:rFonts w:ascii="Arial" w:hAnsi="Arial" w:cs="Arial"/>
          <w:b w:val="0"/>
          <w:caps w:val="0"/>
          <w:sz w:val="20"/>
        </w:rPr>
        <w:t>).</w:t>
      </w:r>
    </w:p>
    <w:p w14:paraId="42CAC56C"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Climate change is a challenge that affects all of humanity, albeit in an asymmetrical way. The scientific consensus points out that the Earth's climate system is in a process of global warming and climate change, caused by human activities. It is a global phenomenon that is not only affecting the present, but also threatens the future. Sustainable development efforts have been made over the past few decades, but the measures taken so far have not been able to curb ecological and social problems. There are various impacts of the ecological crisis that combine with pre-existing crises such as poverty and inequality, multiplying and amplifying tensions and conflicts in the world where the effects are already evident (OEI, 2023). </w:t>
      </w:r>
    </w:p>
    <w:p w14:paraId="7804A23D"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The scientific community recognizes that the effective adoption of policies and strategies for mitigation and adaptation to climate change is extremely difficult without citizen support. The changes to be made affect the models of production, distribution and consumption, the subjectivity of well-being or progress, and coexistence. Therefore, these changes cannot be made without participation, dialogue, and social consensus that leads to the achievement of dynamics of co-responsibility in daily life and in individual and collective practices (OEI, 2023).</w:t>
      </w:r>
    </w:p>
    <w:p w14:paraId="64D0EE7A"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For the aforementioned reasons, education plays an essential role; educating means "guiding the destiny of a community and each of its members" (Garcés, 2020). As times and history change, so is education and becomes a space in permanent tension and conflict. Education has enormous power; not to structurally transform societies in crisis, but it can open paths, illuminate the invisible, tackle inequalities and unveil unforeseen routes. That is why the United Nations has urged governments to prioritize education and empower the social fabric in their public policies, so that the population is aware of the problems and challenges, co-responsible and active in the search for solutions, aimed at building a common future on sustainability and human rights (OEI,  2023).</w:t>
      </w:r>
    </w:p>
    <w:p w14:paraId="3E59A2F3" w14:textId="25CEC0A9"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Climate change presents serious challenges for education systems, so climate change education projects</w:t>
      </w:r>
      <w:r w:rsidR="00742096">
        <w:rPr>
          <w:rFonts w:ascii="Arial" w:hAnsi="Arial" w:cs="Arial"/>
          <w:b w:val="0"/>
          <w:caps w:val="0"/>
          <w:sz w:val="20"/>
        </w:rPr>
        <w:t xml:space="preserve"> (Table 1)</w:t>
      </w:r>
      <w:r w:rsidRPr="00C25E2F">
        <w:rPr>
          <w:rFonts w:ascii="Arial" w:hAnsi="Arial" w:cs="Arial"/>
          <w:b w:val="0"/>
          <w:caps w:val="0"/>
          <w:sz w:val="20"/>
        </w:rPr>
        <w:t xml:space="preserve"> must be related to the daily lives of individuals, in order to make them part of it and show them that they are an essential element in its approach and in the construction of alternatives for mitigation, adaptation and vulnerability reduction. Hence the importance of teachers and students having the necessary tools and skills to search for information on climate change; this allows generating processes of analysis and reflection that improve the understanding of the problem and the ways in which they are linked to their daily activities (García, 2023).</w:t>
      </w:r>
    </w:p>
    <w:p w14:paraId="4AB5DA52" w14:textId="0F5141DF"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Education has three roles that give value to countries agenda in decarbonization and resilience to climate change: (</w:t>
      </w:r>
      <w:proofErr w:type="spellStart"/>
      <w:r w:rsidRPr="00C25E2F">
        <w:rPr>
          <w:rFonts w:ascii="Arial" w:hAnsi="Arial" w:cs="Arial"/>
          <w:b w:val="0"/>
          <w:caps w:val="0"/>
          <w:sz w:val="20"/>
        </w:rPr>
        <w:t>i</w:t>
      </w:r>
      <w:proofErr w:type="spellEnd"/>
      <w:r w:rsidRPr="00C25E2F">
        <w:rPr>
          <w:rFonts w:ascii="Arial" w:hAnsi="Arial" w:cs="Arial"/>
          <w:b w:val="0"/>
          <w:caps w:val="0"/>
          <w:sz w:val="20"/>
        </w:rPr>
        <w:t>) providing children and young people with knowledge, values and capacities in favor of the environment, and skills to succeed in green work; (ii) to ensure the educational process in the face of more frequent extreme weather events and to ensure comfortable conditions in the classroom suitable for learning in the face of extreme temperatures; and (iii) implement climate sustainability practices in school infrastructure and the operation of the educational service to reduce GHG emissions (</w:t>
      </w:r>
      <w:r w:rsidR="0083691F" w:rsidRPr="00C25E2F">
        <w:rPr>
          <w:rFonts w:ascii="Arial" w:hAnsi="Arial" w:cs="Arial"/>
          <w:b w:val="0"/>
          <w:caps w:val="0"/>
          <w:sz w:val="20"/>
        </w:rPr>
        <w:t>Bos &amp; Schwartz, 2023</w:t>
      </w:r>
      <w:r w:rsidRPr="00C25E2F">
        <w:rPr>
          <w:rFonts w:ascii="Arial" w:hAnsi="Arial" w:cs="Arial"/>
          <w:b w:val="0"/>
          <w:caps w:val="0"/>
          <w:sz w:val="20"/>
        </w:rPr>
        <w:t>).</w:t>
      </w:r>
    </w:p>
    <w:p w14:paraId="3D85599A" w14:textId="5D7B94A4"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In the face of global climate change, education plays a key role in promoting environmental awareness, training committed citizens who empower present and future generations. Thus, recognizing the relevance of CC in the educational system and </w:t>
      </w:r>
      <w:r w:rsidR="00283B67" w:rsidRPr="00C25E2F">
        <w:rPr>
          <w:rFonts w:ascii="Arial" w:hAnsi="Arial" w:cs="Arial"/>
          <w:b w:val="0"/>
          <w:caps w:val="0"/>
          <w:sz w:val="20"/>
        </w:rPr>
        <w:t>vice versa</w:t>
      </w:r>
      <w:r w:rsidRPr="00C25E2F">
        <w:rPr>
          <w:rFonts w:ascii="Arial" w:hAnsi="Arial" w:cs="Arial"/>
          <w:b w:val="0"/>
          <w:caps w:val="0"/>
          <w:sz w:val="20"/>
        </w:rPr>
        <w:t xml:space="preserve"> encourages strengthening teacher training in these issues; the transversal incorporation of CC contents in basic and higher education curricula; the development of skills and aptitudes to cope with climate challenges; inspire and motivate individual and collective action to reduce GHG emissions and adapt to CC; with innovation and technology to provide tools and resources; </w:t>
      </w:r>
      <w:r w:rsidRPr="00C25E2F">
        <w:rPr>
          <w:rFonts w:ascii="Arial" w:hAnsi="Arial" w:cs="Arial"/>
          <w:b w:val="0"/>
          <w:caps w:val="0"/>
          <w:sz w:val="20"/>
        </w:rPr>
        <w:lastRenderedPageBreak/>
        <w:t>and take a multidisciplinary approach to give students a comprehensive understanding of CC and foster collaborative solutions (Calisaya et al., 2023).</w:t>
      </w:r>
    </w:p>
    <w:p w14:paraId="3FCB2C4E"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In climate matters, Article 6 of the United Nations Framework Convention on Climate Change (UNFCCC) and Article 12 of the Paris Agreement establish Action for Climate Empowerment (ACS) as a step to increase the resilience of countries to climate change. The ACS is a cross-cutting instrument that involves all levels of society in the creation of the elements of climate action that make the commitments made viable. In 2015, world leaders adopted an agreement to eradicate poverty, protect the planet and ensure prosperity for all human beings as part of the sustainable development agenda. The Sustainable Development Goals (SDGs) are a call to action to eradicate poverty, protect the planet, address mitigation and adaptation to climate change, and improve people's lives, with goals for 2030 (OEI, 2023). </w:t>
      </w:r>
    </w:p>
    <w:p w14:paraId="706F917D"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Target 4.7 commits that by 2030, it will be ensured that students acquire the knowledge and skills necessary to promote sustainable development, including education for sustainable development, sustainable lifestyles, human rights, gender equality, promotion of the culture of peace and non-violence, citizenship and appreciation of cultural diversity and contribution of culture to sustainable development. Target 12.8 talks about understanding sustainable lifestyles: and the commitment is that citizens have the information and knowledge for sustainable development and lifestyles in harmony with nature. In addition, target 13.3 proposes to improve education, awareness, and human and institutional capacity regarding climate change adaptation and mitigation, reduction of its effects, and early warning (OEI, 2023).</w:t>
      </w:r>
    </w:p>
    <w:p w14:paraId="032D4A7F" w14:textId="6E604815"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Recommendation 96 of the (UN, 1972) charged the United Nations Educational, Scientific and Cultural Organization (UNESCO) with the promotion of policies and measures necessary to develop an International </w:t>
      </w:r>
      <w:r w:rsidR="00283B67" w:rsidRPr="00C25E2F">
        <w:rPr>
          <w:rFonts w:ascii="Arial" w:hAnsi="Arial" w:cs="Arial"/>
          <w:b w:val="0"/>
          <w:caps w:val="0"/>
          <w:sz w:val="20"/>
        </w:rPr>
        <w:t>Program</w:t>
      </w:r>
      <w:r w:rsidRPr="00C25E2F">
        <w:rPr>
          <w:rFonts w:ascii="Arial" w:hAnsi="Arial" w:cs="Arial"/>
          <w:b w:val="0"/>
          <w:caps w:val="0"/>
          <w:sz w:val="20"/>
        </w:rPr>
        <w:t xml:space="preserve"> in Environmental Education (IPAP), transdisciplinary, intra- and extracurricular, covering all levels of education and the general public</w:t>
      </w:r>
      <w:r w:rsidR="00283B67" w:rsidRPr="00C25E2F">
        <w:rPr>
          <w:rFonts w:ascii="Arial" w:hAnsi="Arial" w:cs="Arial"/>
          <w:b w:val="0"/>
          <w:caps w:val="0"/>
          <w:sz w:val="20"/>
        </w:rPr>
        <w:t>,</w:t>
      </w:r>
      <w:r w:rsidRPr="00C25E2F">
        <w:rPr>
          <w:rFonts w:ascii="Arial" w:hAnsi="Arial" w:cs="Arial"/>
          <w:b w:val="0"/>
          <w:caps w:val="0"/>
          <w:sz w:val="20"/>
        </w:rPr>
        <w:t xml:space="preserve"> to promote learning that would allow a better relationship with the environment, environmental education arises here, to achieve an awareness and understanding of the magnitude of environmental problems, to induce responsible action by citizens in the prevention and solution of these problems (Novo, 2007; 2009).</w:t>
      </w:r>
    </w:p>
    <w:p w14:paraId="7B8F94C5"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Objectives were set for environmental education to be integrated into the school system and non-formal education; and programs will be developed for decision-makers from the public and private sectors; to collaborate with governments to include the environmental dimension in public policies; that teacher training be prioritized; the development of teaching materials and audio-visual media; that research, experimentation and evaluation be promoted, as well as the exchange and dissemination of information (UN, 1972).</w:t>
      </w:r>
    </w:p>
    <w:p w14:paraId="4E4B30F8" w14:textId="57F524E5"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At the International Seminar in Belgrade (1974-1975), the International Environmental Education Program was developed. The Belgrade Charter provided the framework for the Tbilisi Environmental Education Conference (1977), where the ecological crisis was related to the economic models of rich countries. It was highlighted that it is vital that citizens take measures for growth that does not have harmful repercussions on the population, that does not deteriorate their environment or their living conditions (UNESCO, 1976, OEI, 2023).</w:t>
      </w:r>
    </w:p>
    <w:p w14:paraId="35A27E20" w14:textId="084873F6"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During the 1st Intergovernmental Conference on Environmental Education (</w:t>
      </w:r>
      <w:proofErr w:type="spellStart"/>
      <w:r w:rsidRPr="00C25E2F">
        <w:rPr>
          <w:rFonts w:ascii="Arial" w:hAnsi="Arial" w:cs="Arial"/>
          <w:b w:val="0"/>
          <w:caps w:val="0"/>
          <w:sz w:val="20"/>
        </w:rPr>
        <w:t>Tblisi</w:t>
      </w:r>
      <w:proofErr w:type="spellEnd"/>
      <w:r w:rsidRPr="00C25E2F">
        <w:rPr>
          <w:rFonts w:ascii="Arial" w:hAnsi="Arial" w:cs="Arial"/>
          <w:b w:val="0"/>
          <w:caps w:val="0"/>
          <w:sz w:val="20"/>
        </w:rPr>
        <w:t xml:space="preserve">, 1977), it was stated that the development process must consider the environment and serve to meet the fundamental needs of the population. Economic growth that benefits a privileged sector of the population is criticized. It was urged to avoid the abusive exploitation of ecosystems and damage to others by pollution, demanding the search for new ways of organizing the territory, through social appropriation (UNESCO, 1980). In 1987, the World Commission on Environment and Development, belonging to the UN, published the Brundtland Report, and established the concept of sustainable development (Brundtland, 1988). Education's commitment to sustainable development is reiterated at the congress organized by UNESCO </w:t>
      </w:r>
      <w:r w:rsidRPr="00C25E2F">
        <w:rPr>
          <w:rFonts w:ascii="Arial" w:hAnsi="Arial" w:cs="Arial"/>
          <w:b w:val="0"/>
          <w:caps w:val="0"/>
          <w:sz w:val="20"/>
        </w:rPr>
        <w:lastRenderedPageBreak/>
        <w:t>and the United Nations Development Program (UNEP) on environmental education and training (OEI, 2023).</w:t>
      </w:r>
    </w:p>
    <w:p w14:paraId="35CD57E9"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At the Earth Summit in Rio de Janeiro (1992), the priority of education for sustainable development was set out in the Treaty on Environmental Education for Sustainable Societies and Global Responsibility: the transformation of environmental education into an education for sustainable development. Agenda 21 establishes education as a decisive factor for sustainable development and the capacity of people to manage development and the environment. Thus, Agenda 21 mentions in "Rethinking education. Towards a global common good?" (UNESCO, 2015), the concern for sustainable human and social development predominates over the purpose of education as a common good. Thus, sustainability is the responsible action of individuals and societies with a view to a better future at the local and global levels, in which socio-economic development responds to the imperatives of social justice and environmental management (UNESCO, 2015; OEI, 2023).</w:t>
      </w:r>
    </w:p>
    <w:p w14:paraId="21B247A9"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The UN declared the period 2005-2014 as the Decade of Education for Sustainable Development, replacing the discourse of environmental education with that of education for sustainable development, which was endorsed with the Sustainable Development Goals (2015-2030). Here, concepts linked to the developmentalist theory of "human capital" are incorporated and the environment tends to be represented as a resource base for economic development (Caride &amp; Meira, 2018).</w:t>
      </w:r>
    </w:p>
    <w:p w14:paraId="4F73D2D8" w14:textId="0CE1E82E"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On the other hand, Article 6 of the UNFCCC establishes "to commit to education, training and public awareness, through promotion and facilitation at the national, subregional and regional levels", and to this end it proposes the development and implementation of education and awareness program on CC and its effects; access to information on CC and its effects; public participation in the study of CC and its effects; development of appropriate responses; and training of scientific, technical and managerial staff (OEI, 2023).</w:t>
      </w:r>
    </w:p>
    <w:p w14:paraId="296C8801"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The Paris Agreement defines the public policies of Action for Climate Empowerment (2015) as a step to increase the resilience of countries with respect to climate change, and a key cross-cutting instrument that involves all levels of society in the creation and support of the elements of climate action that make the commitments of the Nationally Determined Contributions viable. Article 12 of the Paris Agreement states: The parties shall cooperate in the adoption of necessary measures to improve education, training, public awareness and participation and public access to information on climate change (UN, 2015). In the 2030 Agenda for Sustainable Development, 17 Sustainable Development Goals were included, which aim to provide a blueprint for achieving a sustainable future for humanity (OEI, 2023). </w:t>
      </w:r>
    </w:p>
    <w:p w14:paraId="6BC324F8" w14:textId="17936E2F"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In the case of climate change, the objective of environmental education is the commitment to the construction of capacities, competencies and knowledge that allow citizens to be able to face the challenges it poses. Climate change education requires revising the curriculum and mainstreaming </w:t>
      </w:r>
      <w:r w:rsidR="00E578B7" w:rsidRPr="00C25E2F">
        <w:rPr>
          <w:rFonts w:ascii="Arial" w:hAnsi="Arial" w:cs="Arial"/>
          <w:b w:val="0"/>
          <w:caps w:val="0"/>
          <w:sz w:val="20"/>
        </w:rPr>
        <w:t>e</w:t>
      </w:r>
      <w:r w:rsidR="001001E3" w:rsidRPr="00C25E2F">
        <w:rPr>
          <w:rFonts w:ascii="Arial" w:hAnsi="Arial" w:cs="Arial"/>
          <w:b w:val="0"/>
          <w:caps w:val="0"/>
          <w:sz w:val="20"/>
        </w:rPr>
        <w:t>co social</w:t>
      </w:r>
      <w:r w:rsidRPr="00C25E2F">
        <w:rPr>
          <w:rFonts w:ascii="Arial" w:hAnsi="Arial" w:cs="Arial"/>
          <w:b w:val="0"/>
          <w:caps w:val="0"/>
          <w:sz w:val="20"/>
        </w:rPr>
        <w:t xml:space="preserve"> visions of the culture of peace, education for global citizenship and transformative education throughout the curriculum, both in formal and non-formal education. This mainstreaming affects all areas of knowledge and requires specific training. Thus, seven axes are proposed (1. Placing life at the center of reflection and experience; 2. To be linked to the nearby territory; 3. Encourage diversity; 4. Weaving community and community power; 5. Recover knowledge that brings sustainability closer; 6. Question and point out proposals that constitute false solutions; and 7. Experiment with interconnected alternatives) that could contribute to the construction of a curriculum that, combined with ethical principles, lead transition processes to an education focused on peace and sustainability (OEI, 2023).</w:t>
      </w:r>
    </w:p>
    <w:p w14:paraId="1315AF98" w14:textId="39ECF8C5" w:rsidR="00790ADA" w:rsidRPr="00C25E2F" w:rsidRDefault="00902823" w:rsidP="0083691F">
      <w:pPr>
        <w:pStyle w:val="AbstHead"/>
        <w:spacing w:after="160"/>
        <w:jc w:val="both"/>
        <w:rPr>
          <w:rFonts w:ascii="Arial" w:hAnsi="Arial" w:cs="Arial"/>
        </w:rPr>
      </w:pPr>
      <w:r w:rsidRPr="00C25E2F">
        <w:rPr>
          <w:rFonts w:ascii="Arial" w:hAnsi="Arial" w:cs="Arial"/>
        </w:rPr>
        <w:t xml:space="preserve">2. </w:t>
      </w:r>
      <w:r w:rsidR="006B57D0" w:rsidRPr="00C25E2F">
        <w:rPr>
          <w:rFonts w:ascii="Arial" w:hAnsi="Arial" w:cs="Arial"/>
        </w:rPr>
        <w:t>methodology</w:t>
      </w:r>
      <w:r w:rsidR="007F7B32" w:rsidRPr="00C25E2F">
        <w:rPr>
          <w:rFonts w:ascii="Arial" w:hAnsi="Arial" w:cs="Arial"/>
        </w:rPr>
        <w:t xml:space="preserve"> </w:t>
      </w:r>
    </w:p>
    <w:p w14:paraId="3E043DB7" w14:textId="77777777" w:rsidR="008066B8" w:rsidRPr="009B011F" w:rsidRDefault="008066B8" w:rsidP="0083691F">
      <w:pPr>
        <w:pStyle w:val="Body"/>
        <w:spacing w:after="160"/>
        <w:rPr>
          <w:rFonts w:ascii="Arial" w:hAnsi="Arial" w:cs="Arial"/>
          <w:highlight w:val="yellow"/>
        </w:rPr>
      </w:pPr>
      <w:r w:rsidRPr="009B011F">
        <w:rPr>
          <w:rFonts w:ascii="Arial" w:hAnsi="Arial" w:cs="Arial"/>
          <w:highlight w:val="yellow"/>
        </w:rPr>
        <w:t>The research was developed with a qualitative approach of a descriptive-analytical nature. Document analysis and literature review techniques were used to examine the development of environmental and climate change education in Mexico.</w:t>
      </w:r>
    </w:p>
    <w:p w14:paraId="4CCF435D" w14:textId="4CAA0459" w:rsidR="00E578B7" w:rsidRDefault="008066B8" w:rsidP="0083691F">
      <w:pPr>
        <w:pStyle w:val="Body"/>
        <w:spacing w:after="160"/>
        <w:rPr>
          <w:rFonts w:ascii="Arial" w:hAnsi="Arial" w:cs="Arial"/>
        </w:rPr>
      </w:pPr>
      <w:r w:rsidRPr="009B011F">
        <w:rPr>
          <w:rFonts w:ascii="Arial" w:hAnsi="Arial" w:cs="Arial"/>
          <w:highlight w:val="yellow"/>
        </w:rPr>
        <w:lastRenderedPageBreak/>
        <w:t>Sources of information included international agreements, national regulatory frameworks, scientific literature, and institutional reports. The bibliographic review allowed the identification of conceptual trends, methodological approaches and research results related to environmental education and climate change. The documentary analysis focused on examining public policies, educational strategies, and institutional programs implemented in Mexico to strengthen climate education.</w:t>
      </w:r>
    </w:p>
    <w:p w14:paraId="08503691" w14:textId="77777777" w:rsidR="007A7F32" w:rsidRDefault="007A7F32" w:rsidP="00742096">
      <w:pPr>
        <w:pStyle w:val="Body"/>
        <w:spacing w:after="0"/>
        <w:jc w:val="center"/>
        <w:rPr>
          <w:rFonts w:ascii="Arial" w:hAnsi="Arial" w:cs="Arial"/>
        </w:rPr>
      </w:pPr>
      <w:r>
        <w:rPr>
          <w:rFonts w:ascii="Arial" w:hAnsi="Arial" w:cs="Arial"/>
        </w:rPr>
        <w:t>Table 1 Education and climate change – key elements</w:t>
      </w:r>
    </w:p>
    <w:tbl>
      <w:tblPr>
        <w:tblStyle w:val="TableGrid"/>
        <w:tblW w:w="8789" w:type="dxa"/>
        <w:tblInd w:w="-147" w:type="dxa"/>
        <w:tblLook w:val="04A0" w:firstRow="1" w:lastRow="0" w:firstColumn="1" w:lastColumn="0" w:noHBand="0" w:noVBand="1"/>
      </w:tblPr>
      <w:tblGrid>
        <w:gridCol w:w="1618"/>
        <w:gridCol w:w="1487"/>
        <w:gridCol w:w="4040"/>
        <w:gridCol w:w="1644"/>
      </w:tblGrid>
      <w:tr w:rsidR="00742096" w:rsidRPr="00742096" w14:paraId="4ADB808B" w14:textId="77777777" w:rsidTr="00742096">
        <w:trPr>
          <w:trHeight w:val="288"/>
        </w:trPr>
        <w:tc>
          <w:tcPr>
            <w:tcW w:w="1618" w:type="dxa"/>
            <w:noWrap/>
            <w:hideMark/>
          </w:tcPr>
          <w:p w14:paraId="3C8012A7"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Category</w:t>
            </w:r>
          </w:p>
        </w:tc>
        <w:tc>
          <w:tcPr>
            <w:tcW w:w="1487" w:type="dxa"/>
            <w:noWrap/>
            <w:hideMark/>
          </w:tcPr>
          <w:p w14:paraId="18586AA9"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Key Aspect</w:t>
            </w:r>
          </w:p>
        </w:tc>
        <w:tc>
          <w:tcPr>
            <w:tcW w:w="4040" w:type="dxa"/>
            <w:noWrap/>
            <w:hideMark/>
          </w:tcPr>
          <w:p w14:paraId="13008EA5"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Synthesized Description</w:t>
            </w:r>
          </w:p>
        </w:tc>
        <w:tc>
          <w:tcPr>
            <w:tcW w:w="1644" w:type="dxa"/>
            <w:noWrap/>
            <w:hideMark/>
          </w:tcPr>
          <w:p w14:paraId="176CFABA"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Reference</w:t>
            </w:r>
          </w:p>
        </w:tc>
      </w:tr>
      <w:tr w:rsidR="00742096" w:rsidRPr="00742096" w14:paraId="4D6F3BC7" w14:textId="77777777" w:rsidTr="00742096">
        <w:trPr>
          <w:trHeight w:val="288"/>
        </w:trPr>
        <w:tc>
          <w:tcPr>
            <w:tcW w:w="1618" w:type="dxa"/>
            <w:noWrap/>
            <w:hideMark/>
          </w:tcPr>
          <w:p w14:paraId="61DF3F91"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Society–Climate Relationship</w:t>
            </w:r>
          </w:p>
        </w:tc>
        <w:tc>
          <w:tcPr>
            <w:tcW w:w="1487" w:type="dxa"/>
            <w:noWrap/>
            <w:hideMark/>
          </w:tcPr>
          <w:p w14:paraId="4C968D2B"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Social participation</w:t>
            </w:r>
          </w:p>
        </w:tc>
        <w:tc>
          <w:tcPr>
            <w:tcW w:w="4040" w:type="dxa"/>
            <w:noWrap/>
            <w:hideMark/>
          </w:tcPr>
          <w:p w14:paraId="46B28F40"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Mitigation and adaptation require citizen support, dialogue, and shared responsibility.</w:t>
            </w:r>
          </w:p>
        </w:tc>
        <w:tc>
          <w:tcPr>
            <w:tcW w:w="1644" w:type="dxa"/>
            <w:noWrap/>
            <w:hideMark/>
          </w:tcPr>
          <w:p w14:paraId="4B2E61EA"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OEI, 2023</w:t>
            </w:r>
          </w:p>
        </w:tc>
      </w:tr>
      <w:tr w:rsidR="00742096" w:rsidRPr="00742096" w14:paraId="1746BA04" w14:textId="77777777" w:rsidTr="00742096">
        <w:trPr>
          <w:trHeight w:val="288"/>
        </w:trPr>
        <w:tc>
          <w:tcPr>
            <w:tcW w:w="1618" w:type="dxa"/>
            <w:noWrap/>
            <w:hideMark/>
          </w:tcPr>
          <w:p w14:paraId="3F551F1B"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Role of Education</w:t>
            </w:r>
          </w:p>
        </w:tc>
        <w:tc>
          <w:tcPr>
            <w:tcW w:w="1487" w:type="dxa"/>
            <w:noWrap/>
            <w:hideMark/>
          </w:tcPr>
          <w:p w14:paraId="3F97122B"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Transformative function</w:t>
            </w:r>
          </w:p>
        </w:tc>
        <w:tc>
          <w:tcPr>
            <w:tcW w:w="4040" w:type="dxa"/>
            <w:noWrap/>
            <w:hideMark/>
          </w:tcPr>
          <w:p w14:paraId="21A0E0C7"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Education guides social development, reveals problems, and reduces inequalities.</w:t>
            </w:r>
          </w:p>
        </w:tc>
        <w:tc>
          <w:tcPr>
            <w:tcW w:w="1644" w:type="dxa"/>
            <w:noWrap/>
            <w:hideMark/>
          </w:tcPr>
          <w:p w14:paraId="33DBEE03" w14:textId="77777777" w:rsidR="00742096" w:rsidRPr="00742096" w:rsidRDefault="00742096" w:rsidP="00742096">
            <w:pPr>
              <w:pStyle w:val="Body"/>
              <w:spacing w:after="0"/>
              <w:rPr>
                <w:rFonts w:ascii="Arial" w:hAnsi="Arial" w:cs="Arial"/>
                <w:sz w:val="18"/>
                <w:szCs w:val="18"/>
              </w:rPr>
            </w:pPr>
            <w:proofErr w:type="spellStart"/>
            <w:r w:rsidRPr="00742096">
              <w:rPr>
                <w:rFonts w:ascii="Arial" w:hAnsi="Arial" w:cs="Arial"/>
                <w:sz w:val="18"/>
                <w:szCs w:val="18"/>
              </w:rPr>
              <w:t>Garcés</w:t>
            </w:r>
            <w:proofErr w:type="spellEnd"/>
            <w:r w:rsidRPr="00742096">
              <w:rPr>
                <w:rFonts w:ascii="Arial" w:hAnsi="Arial" w:cs="Arial"/>
                <w:sz w:val="18"/>
                <w:szCs w:val="18"/>
              </w:rPr>
              <w:t>, 2020; OEI, 2023</w:t>
            </w:r>
          </w:p>
        </w:tc>
      </w:tr>
      <w:tr w:rsidR="00742096" w:rsidRPr="00742096" w14:paraId="2540197A" w14:textId="77777777" w:rsidTr="00742096">
        <w:trPr>
          <w:trHeight w:val="288"/>
        </w:trPr>
        <w:tc>
          <w:tcPr>
            <w:tcW w:w="1618" w:type="dxa"/>
            <w:noWrap/>
            <w:hideMark/>
          </w:tcPr>
          <w:p w14:paraId="0F5AE587"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Public Policy</w:t>
            </w:r>
          </w:p>
        </w:tc>
        <w:tc>
          <w:tcPr>
            <w:tcW w:w="1487" w:type="dxa"/>
            <w:noWrap/>
            <w:hideMark/>
          </w:tcPr>
          <w:p w14:paraId="2D2416C1"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Educational priority</w:t>
            </w:r>
          </w:p>
        </w:tc>
        <w:tc>
          <w:tcPr>
            <w:tcW w:w="4040" w:type="dxa"/>
            <w:noWrap/>
            <w:hideMark/>
          </w:tcPr>
          <w:p w14:paraId="5C89B21E"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UN promotes integrating education into public policies to build aware citizens.</w:t>
            </w:r>
          </w:p>
        </w:tc>
        <w:tc>
          <w:tcPr>
            <w:tcW w:w="1644" w:type="dxa"/>
            <w:noWrap/>
            <w:hideMark/>
          </w:tcPr>
          <w:p w14:paraId="29831818"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OEI, 2023</w:t>
            </w:r>
          </w:p>
        </w:tc>
      </w:tr>
      <w:tr w:rsidR="00742096" w:rsidRPr="00742096" w14:paraId="3A22C8B9" w14:textId="77777777" w:rsidTr="00742096">
        <w:trPr>
          <w:trHeight w:val="288"/>
        </w:trPr>
        <w:tc>
          <w:tcPr>
            <w:tcW w:w="1618" w:type="dxa"/>
            <w:noWrap/>
            <w:hideMark/>
          </w:tcPr>
          <w:p w14:paraId="271E1F1C"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Contextualized Education</w:t>
            </w:r>
          </w:p>
        </w:tc>
        <w:tc>
          <w:tcPr>
            <w:tcW w:w="1487" w:type="dxa"/>
            <w:noWrap/>
            <w:hideMark/>
          </w:tcPr>
          <w:p w14:paraId="499C3B14"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Link to daily life</w:t>
            </w:r>
          </w:p>
        </w:tc>
        <w:tc>
          <w:tcPr>
            <w:tcW w:w="4040" w:type="dxa"/>
            <w:noWrap/>
            <w:hideMark/>
          </w:tcPr>
          <w:p w14:paraId="09935A2A"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Educational projects must connect with everyday life.</w:t>
            </w:r>
          </w:p>
        </w:tc>
        <w:tc>
          <w:tcPr>
            <w:tcW w:w="1644" w:type="dxa"/>
            <w:noWrap/>
            <w:hideMark/>
          </w:tcPr>
          <w:p w14:paraId="74F6C64F"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García, 2023</w:t>
            </w:r>
          </w:p>
        </w:tc>
      </w:tr>
      <w:tr w:rsidR="00742096" w:rsidRPr="00742096" w14:paraId="2DC8E5D4" w14:textId="77777777" w:rsidTr="00742096">
        <w:trPr>
          <w:trHeight w:val="288"/>
        </w:trPr>
        <w:tc>
          <w:tcPr>
            <w:tcW w:w="1618" w:type="dxa"/>
            <w:noWrap/>
            <w:hideMark/>
          </w:tcPr>
          <w:p w14:paraId="637B3D24"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Educational Capacities</w:t>
            </w:r>
          </w:p>
        </w:tc>
        <w:tc>
          <w:tcPr>
            <w:tcW w:w="1487" w:type="dxa"/>
            <w:noWrap/>
            <w:hideMark/>
          </w:tcPr>
          <w:p w14:paraId="09E5896A"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Skills development</w:t>
            </w:r>
          </w:p>
        </w:tc>
        <w:tc>
          <w:tcPr>
            <w:tcW w:w="4040" w:type="dxa"/>
            <w:noWrap/>
            <w:hideMark/>
          </w:tcPr>
          <w:p w14:paraId="45D55A3C"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Training competencies to analyze and act on climate change.</w:t>
            </w:r>
          </w:p>
        </w:tc>
        <w:tc>
          <w:tcPr>
            <w:tcW w:w="1644" w:type="dxa"/>
            <w:noWrap/>
            <w:hideMark/>
          </w:tcPr>
          <w:p w14:paraId="24F38884"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García, 2023</w:t>
            </w:r>
          </w:p>
        </w:tc>
      </w:tr>
      <w:tr w:rsidR="00742096" w:rsidRPr="00742096" w14:paraId="56E7A6D8" w14:textId="77777777" w:rsidTr="00742096">
        <w:trPr>
          <w:trHeight w:val="288"/>
        </w:trPr>
        <w:tc>
          <w:tcPr>
            <w:tcW w:w="1618" w:type="dxa"/>
            <w:noWrap/>
            <w:hideMark/>
          </w:tcPr>
          <w:p w14:paraId="0F25C07F"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Strategic Functions</w:t>
            </w:r>
          </w:p>
        </w:tc>
        <w:tc>
          <w:tcPr>
            <w:tcW w:w="1487" w:type="dxa"/>
            <w:noWrap/>
            <w:hideMark/>
          </w:tcPr>
          <w:p w14:paraId="365690BE"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Three key roles</w:t>
            </w:r>
          </w:p>
        </w:tc>
        <w:tc>
          <w:tcPr>
            <w:tcW w:w="4040" w:type="dxa"/>
            <w:noWrap/>
            <w:hideMark/>
          </w:tcPr>
          <w:p w14:paraId="31FBA33D"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Environmental education, system resilience, and emission reduction in schools.</w:t>
            </w:r>
          </w:p>
        </w:tc>
        <w:tc>
          <w:tcPr>
            <w:tcW w:w="1644" w:type="dxa"/>
            <w:noWrap/>
            <w:hideMark/>
          </w:tcPr>
          <w:p w14:paraId="1DB22950" w14:textId="2C83226D"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Bos</w:t>
            </w:r>
            <w:r>
              <w:rPr>
                <w:rFonts w:ascii="Arial" w:hAnsi="Arial" w:cs="Arial"/>
                <w:sz w:val="18"/>
                <w:szCs w:val="18"/>
              </w:rPr>
              <w:t xml:space="preserve"> </w:t>
            </w:r>
            <w:r w:rsidRPr="00742096">
              <w:rPr>
                <w:rFonts w:ascii="Arial" w:hAnsi="Arial" w:cs="Arial"/>
                <w:sz w:val="18"/>
                <w:szCs w:val="18"/>
              </w:rPr>
              <w:t>&amp;</w:t>
            </w:r>
            <w:r>
              <w:rPr>
                <w:rFonts w:ascii="Arial" w:hAnsi="Arial" w:cs="Arial"/>
                <w:sz w:val="18"/>
                <w:szCs w:val="18"/>
              </w:rPr>
              <w:t xml:space="preserve"> </w:t>
            </w:r>
            <w:r w:rsidRPr="00742096">
              <w:rPr>
                <w:rFonts w:ascii="Arial" w:hAnsi="Arial" w:cs="Arial"/>
                <w:sz w:val="18"/>
                <w:szCs w:val="18"/>
              </w:rPr>
              <w:t>Schwartz, 2023</w:t>
            </w:r>
          </w:p>
        </w:tc>
      </w:tr>
      <w:tr w:rsidR="00742096" w:rsidRPr="00742096" w14:paraId="65A51D26" w14:textId="77777777" w:rsidTr="00742096">
        <w:trPr>
          <w:trHeight w:val="288"/>
        </w:trPr>
        <w:tc>
          <w:tcPr>
            <w:tcW w:w="1618" w:type="dxa"/>
            <w:noWrap/>
            <w:hideMark/>
          </w:tcPr>
          <w:p w14:paraId="0FF8A2EF"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Integral Training</w:t>
            </w:r>
          </w:p>
        </w:tc>
        <w:tc>
          <w:tcPr>
            <w:tcW w:w="1487" w:type="dxa"/>
            <w:noWrap/>
            <w:hideMark/>
          </w:tcPr>
          <w:p w14:paraId="508F64F8"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Multidisciplinary approach</w:t>
            </w:r>
          </w:p>
        </w:tc>
        <w:tc>
          <w:tcPr>
            <w:tcW w:w="4040" w:type="dxa"/>
            <w:noWrap/>
            <w:hideMark/>
          </w:tcPr>
          <w:p w14:paraId="28215623"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Mainstreaming climate change across curricula.</w:t>
            </w:r>
          </w:p>
        </w:tc>
        <w:tc>
          <w:tcPr>
            <w:tcW w:w="1644" w:type="dxa"/>
            <w:noWrap/>
            <w:hideMark/>
          </w:tcPr>
          <w:p w14:paraId="21F2409A"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Calisaya et al., 2023</w:t>
            </w:r>
          </w:p>
        </w:tc>
      </w:tr>
      <w:tr w:rsidR="00742096" w:rsidRPr="00742096" w14:paraId="23D6EEDC" w14:textId="77777777" w:rsidTr="00742096">
        <w:trPr>
          <w:trHeight w:val="288"/>
        </w:trPr>
        <w:tc>
          <w:tcPr>
            <w:tcW w:w="1618" w:type="dxa"/>
            <w:noWrap/>
            <w:hideMark/>
          </w:tcPr>
          <w:p w14:paraId="0A5C2668"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Climate Action</w:t>
            </w:r>
          </w:p>
        </w:tc>
        <w:tc>
          <w:tcPr>
            <w:tcW w:w="1487" w:type="dxa"/>
            <w:noWrap/>
            <w:hideMark/>
          </w:tcPr>
          <w:p w14:paraId="0C3A10F7"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Climate empowerment</w:t>
            </w:r>
          </w:p>
        </w:tc>
        <w:tc>
          <w:tcPr>
            <w:tcW w:w="4040" w:type="dxa"/>
            <w:noWrap/>
            <w:hideMark/>
          </w:tcPr>
          <w:p w14:paraId="2AA99B83"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Instrument involving society in climate action.</w:t>
            </w:r>
          </w:p>
        </w:tc>
        <w:tc>
          <w:tcPr>
            <w:tcW w:w="1644" w:type="dxa"/>
            <w:noWrap/>
            <w:hideMark/>
          </w:tcPr>
          <w:p w14:paraId="47BFCAE1"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UNFCCC; Paris Agreement</w:t>
            </w:r>
          </w:p>
        </w:tc>
      </w:tr>
      <w:tr w:rsidR="00742096" w:rsidRPr="00742096" w14:paraId="37A9ADEA" w14:textId="77777777" w:rsidTr="00742096">
        <w:trPr>
          <w:trHeight w:val="288"/>
        </w:trPr>
        <w:tc>
          <w:tcPr>
            <w:tcW w:w="1618" w:type="dxa"/>
            <w:noWrap/>
            <w:hideMark/>
          </w:tcPr>
          <w:p w14:paraId="07962E97"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Global Agenda</w:t>
            </w:r>
          </w:p>
        </w:tc>
        <w:tc>
          <w:tcPr>
            <w:tcW w:w="1487" w:type="dxa"/>
            <w:noWrap/>
            <w:hideMark/>
          </w:tcPr>
          <w:p w14:paraId="278600F8"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SDGs</w:t>
            </w:r>
          </w:p>
        </w:tc>
        <w:tc>
          <w:tcPr>
            <w:tcW w:w="4040" w:type="dxa"/>
            <w:noWrap/>
            <w:hideMark/>
          </w:tcPr>
          <w:p w14:paraId="5ADFE0B7"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Targets 4.7, 12.8, and 13.3 promote education and sustainability.</w:t>
            </w:r>
          </w:p>
        </w:tc>
        <w:tc>
          <w:tcPr>
            <w:tcW w:w="1644" w:type="dxa"/>
            <w:noWrap/>
            <w:hideMark/>
          </w:tcPr>
          <w:p w14:paraId="59BCB647"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OEI, 2023</w:t>
            </w:r>
          </w:p>
        </w:tc>
      </w:tr>
      <w:tr w:rsidR="00742096" w:rsidRPr="00742096" w14:paraId="5F3FC73A" w14:textId="77777777" w:rsidTr="00742096">
        <w:trPr>
          <w:trHeight w:val="288"/>
        </w:trPr>
        <w:tc>
          <w:tcPr>
            <w:tcW w:w="1618" w:type="dxa"/>
            <w:noWrap/>
            <w:hideMark/>
          </w:tcPr>
          <w:p w14:paraId="0381C7F9"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Environmental Education</w:t>
            </w:r>
          </w:p>
        </w:tc>
        <w:tc>
          <w:tcPr>
            <w:tcW w:w="1487" w:type="dxa"/>
            <w:noWrap/>
            <w:hideMark/>
          </w:tcPr>
          <w:p w14:paraId="24E14665"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Institutional origin</w:t>
            </w:r>
          </w:p>
        </w:tc>
        <w:tc>
          <w:tcPr>
            <w:tcW w:w="4040" w:type="dxa"/>
            <w:noWrap/>
            <w:hideMark/>
          </w:tcPr>
          <w:p w14:paraId="7156473D"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Emerges in 1972 with an interdisciplinary approach.</w:t>
            </w:r>
          </w:p>
        </w:tc>
        <w:tc>
          <w:tcPr>
            <w:tcW w:w="1644" w:type="dxa"/>
            <w:noWrap/>
            <w:hideMark/>
          </w:tcPr>
          <w:p w14:paraId="15F7D1FE"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UN, 1972; Novo</w:t>
            </w:r>
          </w:p>
        </w:tc>
      </w:tr>
      <w:tr w:rsidR="00742096" w:rsidRPr="00742096" w14:paraId="0B75FEB1" w14:textId="77777777" w:rsidTr="00742096">
        <w:trPr>
          <w:trHeight w:val="288"/>
        </w:trPr>
        <w:tc>
          <w:tcPr>
            <w:tcW w:w="1618" w:type="dxa"/>
            <w:noWrap/>
            <w:hideMark/>
          </w:tcPr>
          <w:p w14:paraId="2CCAE0A0"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Historical Development</w:t>
            </w:r>
          </w:p>
        </w:tc>
        <w:tc>
          <w:tcPr>
            <w:tcW w:w="1487" w:type="dxa"/>
            <w:noWrap/>
            <w:hideMark/>
          </w:tcPr>
          <w:p w14:paraId="7E182AD2"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Key conferences</w:t>
            </w:r>
          </w:p>
        </w:tc>
        <w:tc>
          <w:tcPr>
            <w:tcW w:w="4040" w:type="dxa"/>
            <w:noWrap/>
            <w:hideMark/>
          </w:tcPr>
          <w:p w14:paraId="002FAC2F"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Belgrade and Tbilisi established environmental education foundations.</w:t>
            </w:r>
          </w:p>
        </w:tc>
        <w:tc>
          <w:tcPr>
            <w:tcW w:w="1644" w:type="dxa"/>
            <w:noWrap/>
            <w:hideMark/>
          </w:tcPr>
          <w:p w14:paraId="3FED3E26"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UNESCO</w:t>
            </w:r>
          </w:p>
        </w:tc>
      </w:tr>
      <w:tr w:rsidR="00742096" w:rsidRPr="00742096" w14:paraId="7D56DE46" w14:textId="77777777" w:rsidTr="00742096">
        <w:trPr>
          <w:trHeight w:val="288"/>
        </w:trPr>
        <w:tc>
          <w:tcPr>
            <w:tcW w:w="1618" w:type="dxa"/>
            <w:noWrap/>
            <w:hideMark/>
          </w:tcPr>
          <w:p w14:paraId="48B887B8"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Sustainability</w:t>
            </w:r>
          </w:p>
        </w:tc>
        <w:tc>
          <w:tcPr>
            <w:tcW w:w="1487" w:type="dxa"/>
            <w:noWrap/>
            <w:hideMark/>
          </w:tcPr>
          <w:p w14:paraId="6A3B7941"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Core concept</w:t>
            </w:r>
          </w:p>
        </w:tc>
        <w:tc>
          <w:tcPr>
            <w:tcW w:w="4040" w:type="dxa"/>
            <w:noWrap/>
            <w:hideMark/>
          </w:tcPr>
          <w:p w14:paraId="06A7A389"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Brundtland Report introduces sustainable development.</w:t>
            </w:r>
          </w:p>
        </w:tc>
        <w:tc>
          <w:tcPr>
            <w:tcW w:w="1644" w:type="dxa"/>
            <w:noWrap/>
            <w:hideMark/>
          </w:tcPr>
          <w:p w14:paraId="683967FA"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Brundtland, 1988</w:t>
            </w:r>
          </w:p>
        </w:tc>
      </w:tr>
      <w:tr w:rsidR="00742096" w:rsidRPr="00742096" w14:paraId="36E28B3D" w14:textId="77777777" w:rsidTr="00742096">
        <w:trPr>
          <w:trHeight w:val="288"/>
        </w:trPr>
        <w:tc>
          <w:tcPr>
            <w:tcW w:w="1618" w:type="dxa"/>
            <w:noWrap/>
            <w:hideMark/>
          </w:tcPr>
          <w:p w14:paraId="089A1852"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ESD</w:t>
            </w:r>
          </w:p>
        </w:tc>
        <w:tc>
          <w:tcPr>
            <w:tcW w:w="1487" w:type="dxa"/>
            <w:noWrap/>
            <w:hideMark/>
          </w:tcPr>
          <w:p w14:paraId="1AA3C30E"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Conceptual evolution</w:t>
            </w:r>
          </w:p>
        </w:tc>
        <w:tc>
          <w:tcPr>
            <w:tcW w:w="4040" w:type="dxa"/>
            <w:noWrap/>
            <w:hideMark/>
          </w:tcPr>
          <w:p w14:paraId="177EAB95"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Shift to Education for Sustainable Development.</w:t>
            </w:r>
          </w:p>
        </w:tc>
        <w:tc>
          <w:tcPr>
            <w:tcW w:w="1644" w:type="dxa"/>
            <w:noWrap/>
            <w:hideMark/>
          </w:tcPr>
          <w:p w14:paraId="71892F25"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 xml:space="preserve">UNESCO; </w:t>
            </w:r>
            <w:proofErr w:type="spellStart"/>
            <w:r w:rsidRPr="00742096">
              <w:rPr>
                <w:rFonts w:ascii="Arial" w:hAnsi="Arial" w:cs="Arial"/>
                <w:sz w:val="18"/>
                <w:szCs w:val="18"/>
              </w:rPr>
              <w:t>Caride</w:t>
            </w:r>
            <w:proofErr w:type="spellEnd"/>
            <w:r w:rsidRPr="00742096">
              <w:rPr>
                <w:rFonts w:ascii="Arial" w:hAnsi="Arial" w:cs="Arial"/>
                <w:sz w:val="18"/>
                <w:szCs w:val="18"/>
              </w:rPr>
              <w:t xml:space="preserve"> &amp; </w:t>
            </w:r>
            <w:proofErr w:type="spellStart"/>
            <w:r w:rsidRPr="00742096">
              <w:rPr>
                <w:rFonts w:ascii="Arial" w:hAnsi="Arial" w:cs="Arial"/>
                <w:sz w:val="18"/>
                <w:szCs w:val="18"/>
              </w:rPr>
              <w:t>Meira</w:t>
            </w:r>
            <w:proofErr w:type="spellEnd"/>
          </w:p>
        </w:tc>
      </w:tr>
      <w:tr w:rsidR="00742096" w:rsidRPr="00742096" w14:paraId="135A4EFE" w14:textId="77777777" w:rsidTr="00742096">
        <w:trPr>
          <w:trHeight w:val="288"/>
        </w:trPr>
        <w:tc>
          <w:tcPr>
            <w:tcW w:w="1618" w:type="dxa"/>
            <w:noWrap/>
            <w:hideMark/>
          </w:tcPr>
          <w:p w14:paraId="2C04731C"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International Framework</w:t>
            </w:r>
          </w:p>
        </w:tc>
        <w:tc>
          <w:tcPr>
            <w:tcW w:w="1487" w:type="dxa"/>
            <w:noWrap/>
            <w:hideMark/>
          </w:tcPr>
          <w:p w14:paraId="41C0CBBE"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UNFCCC &amp; Paris</w:t>
            </w:r>
          </w:p>
        </w:tc>
        <w:tc>
          <w:tcPr>
            <w:tcW w:w="4040" w:type="dxa"/>
            <w:noWrap/>
            <w:hideMark/>
          </w:tcPr>
          <w:p w14:paraId="1C55184F"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Promote education, information access, and participation.</w:t>
            </w:r>
          </w:p>
        </w:tc>
        <w:tc>
          <w:tcPr>
            <w:tcW w:w="1644" w:type="dxa"/>
            <w:noWrap/>
            <w:hideMark/>
          </w:tcPr>
          <w:p w14:paraId="079251D7"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UN, 2015</w:t>
            </w:r>
          </w:p>
        </w:tc>
      </w:tr>
      <w:tr w:rsidR="00742096" w:rsidRPr="00742096" w14:paraId="7831EEEB" w14:textId="77777777" w:rsidTr="00742096">
        <w:trPr>
          <w:trHeight w:val="288"/>
        </w:trPr>
        <w:tc>
          <w:tcPr>
            <w:tcW w:w="1618" w:type="dxa"/>
            <w:noWrap/>
            <w:hideMark/>
          </w:tcPr>
          <w:p w14:paraId="0A952E5C"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Curriculum</w:t>
            </w:r>
          </w:p>
        </w:tc>
        <w:tc>
          <w:tcPr>
            <w:tcW w:w="1487" w:type="dxa"/>
            <w:noWrap/>
            <w:hideMark/>
          </w:tcPr>
          <w:p w14:paraId="182028DC"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Mainstreaming</w:t>
            </w:r>
          </w:p>
        </w:tc>
        <w:tc>
          <w:tcPr>
            <w:tcW w:w="4040" w:type="dxa"/>
            <w:noWrap/>
            <w:hideMark/>
          </w:tcPr>
          <w:p w14:paraId="24CC448F"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Integration across all education levels.</w:t>
            </w:r>
          </w:p>
        </w:tc>
        <w:tc>
          <w:tcPr>
            <w:tcW w:w="1644" w:type="dxa"/>
            <w:noWrap/>
            <w:hideMark/>
          </w:tcPr>
          <w:p w14:paraId="4B6EE41C"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OEI, 2023</w:t>
            </w:r>
          </w:p>
        </w:tc>
      </w:tr>
      <w:tr w:rsidR="00742096" w:rsidRPr="00742096" w14:paraId="13DEDE72" w14:textId="77777777" w:rsidTr="00742096">
        <w:trPr>
          <w:trHeight w:val="288"/>
        </w:trPr>
        <w:tc>
          <w:tcPr>
            <w:tcW w:w="1618" w:type="dxa"/>
            <w:noWrap/>
            <w:hideMark/>
          </w:tcPr>
          <w:p w14:paraId="2EA7AB07"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Educational Goal</w:t>
            </w:r>
          </w:p>
        </w:tc>
        <w:tc>
          <w:tcPr>
            <w:tcW w:w="1487" w:type="dxa"/>
            <w:noWrap/>
            <w:hideMark/>
          </w:tcPr>
          <w:p w14:paraId="7158F68B"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Capacity building</w:t>
            </w:r>
          </w:p>
        </w:tc>
        <w:tc>
          <w:tcPr>
            <w:tcW w:w="4040" w:type="dxa"/>
            <w:noWrap/>
            <w:hideMark/>
          </w:tcPr>
          <w:p w14:paraId="7CF72BE0"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Train citizens to face climate challenges.</w:t>
            </w:r>
          </w:p>
        </w:tc>
        <w:tc>
          <w:tcPr>
            <w:tcW w:w="1644" w:type="dxa"/>
            <w:noWrap/>
            <w:hideMark/>
          </w:tcPr>
          <w:p w14:paraId="315B3A78"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OEI, 2023</w:t>
            </w:r>
          </w:p>
        </w:tc>
      </w:tr>
      <w:tr w:rsidR="00742096" w:rsidRPr="00742096" w14:paraId="01305DFF" w14:textId="77777777" w:rsidTr="00742096">
        <w:trPr>
          <w:trHeight w:val="288"/>
        </w:trPr>
        <w:tc>
          <w:tcPr>
            <w:tcW w:w="1618" w:type="dxa"/>
            <w:noWrap/>
            <w:hideMark/>
          </w:tcPr>
          <w:p w14:paraId="68086E83"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Pedagogical Axes</w:t>
            </w:r>
          </w:p>
        </w:tc>
        <w:tc>
          <w:tcPr>
            <w:tcW w:w="1487" w:type="dxa"/>
            <w:noWrap/>
            <w:hideMark/>
          </w:tcPr>
          <w:p w14:paraId="26849326"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Seven lines</w:t>
            </w:r>
          </w:p>
        </w:tc>
        <w:tc>
          <w:tcPr>
            <w:tcW w:w="4040" w:type="dxa"/>
            <w:noWrap/>
            <w:hideMark/>
          </w:tcPr>
          <w:p w14:paraId="470DE070"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Life, territory, diversity, community, knowledge, critique, alternatives.</w:t>
            </w:r>
          </w:p>
        </w:tc>
        <w:tc>
          <w:tcPr>
            <w:tcW w:w="1644" w:type="dxa"/>
            <w:noWrap/>
            <w:hideMark/>
          </w:tcPr>
          <w:p w14:paraId="7A67F509" w14:textId="77777777" w:rsidR="00742096" w:rsidRPr="00742096" w:rsidRDefault="00742096" w:rsidP="00742096">
            <w:pPr>
              <w:pStyle w:val="Body"/>
              <w:spacing w:after="0"/>
              <w:rPr>
                <w:rFonts w:ascii="Arial" w:hAnsi="Arial" w:cs="Arial"/>
                <w:sz w:val="18"/>
                <w:szCs w:val="18"/>
              </w:rPr>
            </w:pPr>
            <w:r w:rsidRPr="00742096">
              <w:rPr>
                <w:rFonts w:ascii="Arial" w:hAnsi="Arial" w:cs="Arial"/>
                <w:sz w:val="18"/>
                <w:szCs w:val="18"/>
              </w:rPr>
              <w:t>OEI, 2023</w:t>
            </w:r>
          </w:p>
        </w:tc>
      </w:tr>
    </w:tbl>
    <w:p w14:paraId="16A48EDD" w14:textId="6C3E099E" w:rsidR="007A7F32" w:rsidRPr="00C25E2F" w:rsidRDefault="007A7F32" w:rsidP="0083691F">
      <w:pPr>
        <w:pStyle w:val="Body"/>
        <w:spacing w:after="160"/>
        <w:rPr>
          <w:rFonts w:ascii="Arial" w:hAnsi="Arial" w:cs="Arial"/>
        </w:rPr>
      </w:pPr>
    </w:p>
    <w:p w14:paraId="46DD8115" w14:textId="77777777" w:rsidR="008066B8" w:rsidRPr="00C25E2F" w:rsidRDefault="008066B8" w:rsidP="0083691F">
      <w:pPr>
        <w:pStyle w:val="Body"/>
        <w:spacing w:after="160"/>
        <w:rPr>
          <w:rFonts w:ascii="Arial" w:hAnsi="Arial" w:cs="Arial"/>
          <w:b/>
          <w:bCs/>
        </w:rPr>
      </w:pPr>
      <w:r w:rsidRPr="00C25E2F">
        <w:rPr>
          <w:rFonts w:ascii="Arial" w:hAnsi="Arial" w:cs="Arial"/>
          <w:b/>
          <w:bCs/>
        </w:rPr>
        <w:t>Study Site</w:t>
      </w:r>
    </w:p>
    <w:p w14:paraId="3AADEE00" w14:textId="333D9A61" w:rsidR="008066B8" w:rsidRPr="00C25E2F" w:rsidRDefault="008066B8" w:rsidP="0083691F">
      <w:pPr>
        <w:pStyle w:val="Body"/>
        <w:spacing w:after="160"/>
        <w:rPr>
          <w:rFonts w:ascii="Arial" w:hAnsi="Arial" w:cs="Arial"/>
        </w:rPr>
      </w:pPr>
      <w:r w:rsidRPr="00C25E2F">
        <w:rPr>
          <w:rFonts w:ascii="Arial" w:hAnsi="Arial" w:cs="Arial"/>
        </w:rPr>
        <w:t>Mexico is located in the intertropical zone, with a diverse climate, which makes it very vulnerable to climate change. It covers an area of almost 2 million km</w:t>
      </w:r>
      <w:r w:rsidRPr="00C25E2F">
        <w:rPr>
          <w:rFonts w:ascii="Arial" w:hAnsi="Arial" w:cs="Arial"/>
          <w:vertAlign w:val="superscript"/>
        </w:rPr>
        <w:t>2</w:t>
      </w:r>
      <w:r w:rsidRPr="00C25E2F">
        <w:rPr>
          <w:rFonts w:ascii="Arial" w:hAnsi="Arial" w:cs="Arial"/>
        </w:rPr>
        <w:t>, and a population of 130 million people (2021) with annual population growth of 1.1%</w:t>
      </w:r>
      <w:r w:rsidR="0057336C">
        <w:rPr>
          <w:rFonts w:ascii="Arial" w:hAnsi="Arial" w:cs="Arial"/>
        </w:rPr>
        <w:t xml:space="preserve"> (Fig. 1)</w:t>
      </w:r>
      <w:r w:rsidRPr="00C25E2F">
        <w:rPr>
          <w:rFonts w:ascii="Arial" w:hAnsi="Arial" w:cs="Arial"/>
        </w:rPr>
        <w:t xml:space="preserve">. The World Bank places Mexico as a country highly exposed to extreme hydrometeorological phenomena. In the "Sixth National Communication and Second Biennial Update Report to the United Nations Framework Convention on Climate Change" (2018), droughts and forest fires that affect agriculture, livestock and the economy during the dry season were evidenced, while in autumn and winter, low temperatures can cause cold fronts and cold waves that have different meteorological effects (SEMARNAT &amp; INECC,  2018; SEMARNAT, 2017). </w:t>
      </w:r>
    </w:p>
    <w:p w14:paraId="52E8BD4B" w14:textId="5D989263" w:rsidR="00790ADA" w:rsidRDefault="008066B8" w:rsidP="0083691F">
      <w:pPr>
        <w:pStyle w:val="Body"/>
        <w:spacing w:after="160"/>
        <w:rPr>
          <w:rFonts w:ascii="Arial" w:hAnsi="Arial" w:cs="Arial"/>
        </w:rPr>
      </w:pPr>
      <w:r w:rsidRPr="00C25E2F">
        <w:rPr>
          <w:rFonts w:ascii="Arial" w:hAnsi="Arial" w:cs="Arial"/>
        </w:rPr>
        <w:t xml:space="preserve">Mexico is the 13th largest economy in the world and the second most important in Latin America and according to the Global Carbon Atlas, it is considered to have medium levels of </w:t>
      </w:r>
      <w:r w:rsidRPr="00C25E2F">
        <w:rPr>
          <w:rFonts w:ascii="Arial" w:hAnsi="Arial" w:cs="Arial"/>
        </w:rPr>
        <w:lastRenderedPageBreak/>
        <w:t>emissions; in 2020 it emitted 2.8 tons of CO</w:t>
      </w:r>
      <w:r w:rsidRPr="00C25E2F">
        <w:rPr>
          <w:rFonts w:ascii="Arial" w:hAnsi="Arial" w:cs="Arial"/>
          <w:vertAlign w:val="subscript"/>
        </w:rPr>
        <w:t>2</w:t>
      </w:r>
      <w:r w:rsidRPr="00C25E2F">
        <w:rPr>
          <w:rFonts w:ascii="Arial" w:hAnsi="Arial" w:cs="Arial"/>
        </w:rPr>
        <w:t xml:space="preserve"> eq/person. Emissions come from agriculture (47%), waste (30%) and energy (22%). In 1992, Mexico acceded to the United Nations Framework Convention on Climate Change (UNFCCC) as  a non-Annex I country, in 2000 it signed and ratified the Kyoto Protocol; in 2014, the Doha Amendment, in 2016, the Paris Agreement, and in 2020, it ratified the Regional Agreement on Access to Information, Public Participation and Access to Justice in Environmental Matters in Latin America and the Caribbean (Escazú Agreement), which guarantees access to environmental information and has an impact on improving awareness, education, capacity building and public cooperation on climate change (SEMARNAT,  2017).</w:t>
      </w:r>
    </w:p>
    <w:p w14:paraId="4134D4B4" w14:textId="684DC292" w:rsidR="0057336C" w:rsidRDefault="0057336C" w:rsidP="00786F4C">
      <w:pPr>
        <w:pStyle w:val="Body"/>
        <w:spacing w:after="0"/>
        <w:jc w:val="center"/>
        <w:rPr>
          <w:rFonts w:ascii="Arial" w:hAnsi="Arial" w:cs="Arial"/>
        </w:rPr>
      </w:pPr>
      <w:r>
        <w:rPr>
          <w:rFonts w:ascii="Arial" w:hAnsi="Arial" w:cs="Arial"/>
          <w:noProof/>
        </w:rPr>
        <w:drawing>
          <wp:inline distT="0" distB="0" distL="0" distR="0" wp14:anchorId="413EC24B" wp14:editId="46079E4B">
            <wp:extent cx="4860000" cy="3420225"/>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0000" cy="3420225"/>
                    </a:xfrm>
                    <a:prstGeom prst="rect">
                      <a:avLst/>
                    </a:prstGeom>
                    <a:noFill/>
                  </pic:spPr>
                </pic:pic>
              </a:graphicData>
            </a:graphic>
          </wp:inline>
        </w:drawing>
      </w:r>
    </w:p>
    <w:p w14:paraId="5867BFD2" w14:textId="77777777" w:rsidR="007A7F32" w:rsidRPr="00C25E2F" w:rsidRDefault="007A7F32" w:rsidP="007A7F32">
      <w:pPr>
        <w:pStyle w:val="Body"/>
        <w:spacing w:after="160"/>
        <w:jc w:val="center"/>
        <w:rPr>
          <w:rFonts w:ascii="Arial" w:hAnsi="Arial" w:cs="Arial"/>
        </w:rPr>
      </w:pPr>
      <w:r>
        <w:rPr>
          <w:rFonts w:ascii="Arial" w:hAnsi="Arial" w:cs="Arial"/>
        </w:rPr>
        <w:t>Figure 1. Map of Mexico with information about its population</w:t>
      </w:r>
    </w:p>
    <w:p w14:paraId="78CFD782" w14:textId="49DA820D" w:rsidR="00790ADA" w:rsidRPr="00C25E2F" w:rsidRDefault="00000F8F" w:rsidP="0083691F">
      <w:pPr>
        <w:pStyle w:val="Head1"/>
        <w:spacing w:after="160"/>
        <w:jc w:val="both"/>
        <w:rPr>
          <w:rFonts w:ascii="Arial" w:hAnsi="Arial" w:cs="Arial"/>
        </w:rPr>
      </w:pPr>
      <w:r w:rsidRPr="00C25E2F">
        <w:rPr>
          <w:rFonts w:ascii="Arial" w:hAnsi="Arial" w:cs="Arial"/>
        </w:rPr>
        <w:t>3</w:t>
      </w:r>
      <w:r w:rsidR="00902823" w:rsidRPr="00C25E2F">
        <w:rPr>
          <w:rFonts w:ascii="Arial" w:hAnsi="Arial" w:cs="Arial"/>
        </w:rPr>
        <w:t xml:space="preserve">. </w:t>
      </w:r>
      <w:r w:rsidRPr="00C25E2F">
        <w:rPr>
          <w:rFonts w:ascii="Arial" w:hAnsi="Arial" w:cs="Arial"/>
        </w:rPr>
        <w:t>results and discussion</w:t>
      </w:r>
    </w:p>
    <w:p w14:paraId="131B92F8" w14:textId="77777777" w:rsidR="008066B8" w:rsidRPr="00C25E2F" w:rsidRDefault="008066B8" w:rsidP="0083691F">
      <w:pPr>
        <w:pStyle w:val="Body"/>
        <w:spacing w:after="160"/>
        <w:rPr>
          <w:rFonts w:ascii="Arial" w:hAnsi="Arial" w:cs="Arial"/>
        </w:rPr>
      </w:pPr>
      <w:r w:rsidRPr="00C25E2F">
        <w:rPr>
          <w:rFonts w:ascii="Arial" w:hAnsi="Arial" w:cs="Arial"/>
        </w:rPr>
        <w:t>A first approach to the studies carried out on the subject of the school curriculum of basic education in Mexico, reveals that climate change is an issue scarcely incorporated explicitly in institutional curricula and that teachers work on it as a peripheral and superficial topic; contrary to how it is suggested to approach it; that is, as a mandatory cross-cutting theme for all subjects and as a nodal point of learning and educational activities that are carried out within the school; in order to ensure that students assume a personal and social commitment, in relation to those actions – individual and collective – that seek to address their causes and consequences in the place where they occur and with the social group or groups that are most affected.</w:t>
      </w:r>
    </w:p>
    <w:p w14:paraId="23E1EBC4" w14:textId="77777777" w:rsidR="008066B8" w:rsidRPr="00C25E2F" w:rsidRDefault="008066B8" w:rsidP="0083691F">
      <w:pPr>
        <w:pStyle w:val="Body"/>
        <w:spacing w:after="160"/>
        <w:rPr>
          <w:rFonts w:ascii="Arial" w:hAnsi="Arial" w:cs="Arial"/>
        </w:rPr>
      </w:pPr>
      <w:r w:rsidRPr="00C25E2F">
        <w:rPr>
          <w:rFonts w:ascii="Arial" w:hAnsi="Arial" w:cs="Arial"/>
        </w:rPr>
        <w:t xml:space="preserve">Mexico boasts a comprehensive government system to fight climate change. The Ministry of Foreign Affairs is responsible for international relations and establishes the connections between the different secretariats and the rest of the world. In collaboration with the Ministry of Finance and Public Credit (SHCP), the UNDP Biodiversity Finance Initiative and the Ministry of Environment and Natural Resources administer the Climate Change Fund. The SHCP manages sustainable projects focused on climate change mitigation. The Congress of the Union supports climate change mitigation, and state and municipal governments also collaborate (SEMARNAT, 2017). </w:t>
      </w:r>
    </w:p>
    <w:p w14:paraId="2D1E9678" w14:textId="248BE8D2" w:rsidR="008066B8" w:rsidRPr="00C25E2F" w:rsidRDefault="008066B8" w:rsidP="0083691F">
      <w:pPr>
        <w:pStyle w:val="Body"/>
        <w:spacing w:after="160"/>
        <w:rPr>
          <w:rFonts w:ascii="Arial" w:hAnsi="Arial" w:cs="Arial"/>
        </w:rPr>
      </w:pPr>
      <w:r w:rsidRPr="00C25E2F">
        <w:rPr>
          <w:rFonts w:ascii="Arial" w:hAnsi="Arial" w:cs="Arial"/>
        </w:rPr>
        <w:lastRenderedPageBreak/>
        <w:t>Mexico developed a National Climate Change System (SNCC), based on the General Law on Climate Change (2012), to generate synergies and address the vulnerability and risks faced by the country, as well as to determine public policies for mitigation and adaptation to climate change. The system is a mechanism for competition, communication, collaboration, coordination and consultation on climate change in the country, as well as an overall coordinator of climate change initiatives. The SNCC is part of the Inter-Ministerial Commission on Climate Change, made up of 14 secretaries of State, including the Ministry of Public Education. The commission is responsible for multiple tasks, such as approving national climate change strategies. It is responsible for 1) coordinating the actions of federal government agencies in the field of climate change; 2) formulating and implementing policies for mitigation and adaptation to climate change, and 3) incorporating policies into sectoral programs and actions. It is composed of members of the social, private, and academic sectors with experience in CC (SEMARNAT, 2017).</w:t>
      </w:r>
    </w:p>
    <w:p w14:paraId="097F5263" w14:textId="0F757D64" w:rsidR="008066B8" w:rsidRPr="00C25E2F" w:rsidRDefault="008066B8" w:rsidP="0083691F">
      <w:pPr>
        <w:pStyle w:val="Body"/>
        <w:spacing w:after="160"/>
        <w:rPr>
          <w:rFonts w:ascii="Arial" w:hAnsi="Arial" w:cs="Arial"/>
        </w:rPr>
      </w:pPr>
      <w:r w:rsidRPr="00C25E2F">
        <w:rPr>
          <w:rFonts w:ascii="Arial" w:hAnsi="Arial" w:cs="Arial"/>
        </w:rPr>
        <w:t>The SNCC is attached to the National Institute of Ecology and Climate Change (INECC), which is responsible for technical and ecological research related to climate change that contributes to policy-making.</w:t>
      </w:r>
      <w:r w:rsidR="00220558" w:rsidRPr="00C25E2F">
        <w:rPr>
          <w:rFonts w:ascii="Arial" w:hAnsi="Arial" w:cs="Arial"/>
        </w:rPr>
        <w:t xml:space="preserve"> </w:t>
      </w:r>
      <w:r w:rsidRPr="00C25E2F">
        <w:rPr>
          <w:rFonts w:ascii="Arial" w:hAnsi="Arial" w:cs="Arial"/>
        </w:rPr>
        <w:t xml:space="preserve">Together with the Ministry of Environment and Natural Resources (SEMARNAT), it is responsible for preparing Mexico's national communications to the UNFCCC. The SNCC was created based on the General Law on Climate Change and is under the direction of the National Institute of Statistics and Geography (INEGI). It is responsible for providing citizens and government entities with information about the CC (SEMARNAT, 2017). </w:t>
      </w:r>
    </w:p>
    <w:p w14:paraId="74885CCE" w14:textId="0C5D9A39" w:rsidR="008066B8" w:rsidRPr="00C25E2F" w:rsidRDefault="008066B8" w:rsidP="0083691F">
      <w:pPr>
        <w:pStyle w:val="Body"/>
        <w:spacing w:after="160"/>
        <w:rPr>
          <w:rFonts w:ascii="Arial" w:hAnsi="Arial" w:cs="Arial"/>
        </w:rPr>
      </w:pPr>
      <w:r w:rsidRPr="00C25E2F">
        <w:rPr>
          <w:rFonts w:ascii="Arial" w:hAnsi="Arial" w:cs="Arial"/>
        </w:rPr>
        <w:t xml:space="preserve">SEMARNAT is in charge of the planning, execution and coordination of environmental policies, including those on climate change. It is the main body responsible for climate change issues. SEMARNAT collaborates with the Ministry of Public Education (SEP) to define environmental education and reach the majority of the Mexican population (SEMARNAT, 2017). </w:t>
      </w:r>
    </w:p>
    <w:p w14:paraId="2E5D378F" w14:textId="77777777" w:rsidR="008066B8" w:rsidRPr="00C25E2F" w:rsidRDefault="008066B8" w:rsidP="0083691F">
      <w:pPr>
        <w:pStyle w:val="Body"/>
        <w:spacing w:after="160"/>
        <w:rPr>
          <w:rFonts w:ascii="Arial" w:hAnsi="Arial" w:cs="Arial"/>
        </w:rPr>
      </w:pPr>
      <w:r w:rsidRPr="00C25E2F">
        <w:rPr>
          <w:rFonts w:ascii="Arial" w:hAnsi="Arial" w:cs="Arial"/>
        </w:rPr>
        <w:t>The SEP is responsible for the Mexican education system, from preschool to higher education, and is responsible for integrating all social groups, including indigenous peoples, into the education system, as well as implementing educational plans and materials for all. It also collaborates with numerous government agencies to promote education on climate change and other related national issues. The National Council for Educational Development (CONAFE) collaborates with the Secretariat of Urban Development and Environment of the state governments to combat climate change and promote the culture of reforestation among children and rural communities. In 1994, SEMARNAT created the Center for Education and Training for Sustainable Development, which provides training and education on sustainable development, including climate change. It is responsible for integrating environmental education at all levels of the education system, both in formal and non-formal education. In addition, it participates in the promotion of environmental management of schools and the development of school educational materials (SEMARNAT, 2017).</w:t>
      </w:r>
    </w:p>
    <w:p w14:paraId="49293201" w14:textId="77777777" w:rsidR="008066B8" w:rsidRPr="00C25E2F" w:rsidRDefault="008066B8" w:rsidP="0083691F">
      <w:pPr>
        <w:pStyle w:val="Body"/>
        <w:spacing w:after="160"/>
        <w:rPr>
          <w:rFonts w:ascii="Arial" w:hAnsi="Arial" w:cs="Arial"/>
        </w:rPr>
      </w:pPr>
      <w:r w:rsidRPr="00C25E2F">
        <w:rPr>
          <w:rFonts w:ascii="Arial" w:hAnsi="Arial" w:cs="Arial"/>
        </w:rPr>
        <w:t>The National Commission for the Knowledge and Use of Biodiversity implements policies for primary school personnel. The objective is to improve its performance in the face of national and global challenges. In 2019, the National Institute for Education Evaluation  was dissolved and the National Commission for the Continuous Improvement of Education was created, which evaluates the quality, performance and results of the national education system and aims to improve basic education, upper secondary education, inclusive and adult education. It develops research, evaluations, indicators, guidelines, and actions that contribute to the achievement of educational objectives. Some data refer to communication and education on climate change (SEMARNAT, 2017).</w:t>
      </w:r>
    </w:p>
    <w:p w14:paraId="4C702E06" w14:textId="77777777" w:rsidR="008066B8" w:rsidRPr="00C25E2F" w:rsidRDefault="008066B8" w:rsidP="0083691F">
      <w:pPr>
        <w:pStyle w:val="Body"/>
        <w:spacing w:after="160"/>
        <w:rPr>
          <w:rFonts w:ascii="Arial" w:hAnsi="Arial" w:cs="Arial"/>
        </w:rPr>
      </w:pPr>
      <w:r w:rsidRPr="00C25E2F">
        <w:rPr>
          <w:rFonts w:ascii="Arial" w:hAnsi="Arial" w:cs="Arial"/>
        </w:rPr>
        <w:t xml:space="preserve">In addition, some non-governmental organizations (NGOs) and civil society are involved in climate change education in Mexico. For example, the National Academy of Environmental Education strengthens academic plans, research projects, programs and training structures in environmental education and climate change. As of 2018, </w:t>
      </w:r>
      <w:proofErr w:type="spellStart"/>
      <w:r w:rsidRPr="00C25E2F">
        <w:rPr>
          <w:rFonts w:ascii="Arial" w:hAnsi="Arial" w:cs="Arial"/>
        </w:rPr>
        <w:t>Educación</w:t>
      </w:r>
      <w:proofErr w:type="spellEnd"/>
      <w:r w:rsidRPr="00C25E2F">
        <w:rPr>
          <w:rFonts w:ascii="Arial" w:hAnsi="Arial" w:cs="Arial"/>
        </w:rPr>
        <w:t xml:space="preserve"> Ambiental México was created, a network of 15 NGOs (</w:t>
      </w:r>
      <w:proofErr w:type="spellStart"/>
      <w:r w:rsidRPr="00C25E2F">
        <w:rPr>
          <w:rFonts w:ascii="Arial" w:hAnsi="Arial" w:cs="Arial"/>
        </w:rPr>
        <w:t>EarthxMexico</w:t>
      </w:r>
      <w:proofErr w:type="spellEnd"/>
      <w:r w:rsidRPr="00C25E2F">
        <w:rPr>
          <w:rFonts w:ascii="Arial" w:hAnsi="Arial" w:cs="Arial"/>
        </w:rPr>
        <w:t xml:space="preserve">, </w:t>
      </w:r>
      <w:proofErr w:type="spellStart"/>
      <w:r w:rsidRPr="00C25E2F">
        <w:rPr>
          <w:rFonts w:ascii="Arial" w:hAnsi="Arial" w:cs="Arial"/>
        </w:rPr>
        <w:t>Telar</w:t>
      </w:r>
      <w:proofErr w:type="spellEnd"/>
      <w:r w:rsidRPr="00C25E2F">
        <w:rPr>
          <w:rFonts w:ascii="Arial" w:hAnsi="Arial" w:cs="Arial"/>
        </w:rPr>
        <w:t xml:space="preserve"> Social and Fundación EDUCA, among </w:t>
      </w:r>
      <w:r w:rsidRPr="00C25E2F">
        <w:rPr>
          <w:rFonts w:ascii="Arial" w:hAnsi="Arial" w:cs="Arial"/>
        </w:rPr>
        <w:lastRenderedPageBreak/>
        <w:t>others), which collaborates in the design and implementation of reforms in the country's educational systems. The North American Center for Environmental Information and Communication promotes climate change education through specific educational materials for school students and teaching staff in training. The Mario Molina Center collaborates in environmental protection, energy management and climate change, which contributes to sustainable development; relating scientific knowledge with public policies, collaborates in the formulation of policies, conducts research, and works together with universities and public institutions, to develop educational initiatives and teacher training programs on climate change (SEMARNAT,  2017).</w:t>
      </w:r>
    </w:p>
    <w:p w14:paraId="06A277F8" w14:textId="77777777" w:rsidR="008066B8" w:rsidRPr="00C25E2F" w:rsidRDefault="008066B8" w:rsidP="0083691F">
      <w:pPr>
        <w:pStyle w:val="Body"/>
        <w:spacing w:after="160"/>
        <w:rPr>
          <w:rFonts w:ascii="Arial" w:hAnsi="Arial" w:cs="Arial"/>
        </w:rPr>
      </w:pPr>
      <w:r w:rsidRPr="00C25E2F">
        <w:rPr>
          <w:rFonts w:ascii="Arial" w:hAnsi="Arial" w:cs="Arial"/>
        </w:rPr>
        <w:t xml:space="preserve">In 2012, the Government of Mexico approved the General Law on Climate Change (LGCC), which is the main legal framework for the coordination, supervision and planning of national policies on adaptation and mitigation to climate change. The Law has been amended to comply with international agreements such as the Paris Agreement and to improve transparency on climate change measures and to facilitate the evaluation and communication of national progress. The Law supports the incorporation of climate change education, sustainable consumption, awareness campaigns, and adaptation and mitigation strategies. The LGCC lays the foundations for the National Climate Change Strategy (2013), which establishes medium and long-term strategies. The strategy covers three areas of work: national climate change policies, climate change adaptation, and low-emission development (mitigation). Implement policies for progressive improvements for the next 10, 20, and 40 years. It focuses on environmental education in order to raise awareness among current and future generations, reduce vulnerability and improve resilience to climate change. It also proposes to strengthen communication and education on climate change and to promote, through communication and education, a culture sensitive to climate issues (SEMARNAT, 2017). </w:t>
      </w:r>
    </w:p>
    <w:p w14:paraId="21E12C21" w14:textId="77777777" w:rsidR="008066B8" w:rsidRPr="00C25E2F" w:rsidRDefault="008066B8" w:rsidP="0083691F">
      <w:pPr>
        <w:pStyle w:val="Body"/>
        <w:spacing w:after="160"/>
        <w:rPr>
          <w:rFonts w:ascii="Arial" w:hAnsi="Arial" w:cs="Arial"/>
        </w:rPr>
      </w:pPr>
      <w:r w:rsidRPr="00C25E2F">
        <w:rPr>
          <w:rFonts w:ascii="Arial" w:hAnsi="Arial" w:cs="Arial"/>
        </w:rPr>
        <w:t>The LGCC also lays the foundations for the Special Climate Change Program (2021-2024) for short-term strategies. The program follows the guidelines of the National Development Plan 2019-2024, which aims to collaborate in the sectoral plans of the different secretariats. Among the main goals are the reduction of vulnerability to CC, protection of biodiversity and the productive sector, reduction of GHGs and the strengthening of political coordination of measures on climate change. Communication and education on climate change are an important part of the program (SEMARNAT, 2017).</w:t>
      </w:r>
    </w:p>
    <w:p w14:paraId="5666A8F5" w14:textId="77777777" w:rsidR="008066B8" w:rsidRPr="00C25E2F" w:rsidRDefault="008066B8" w:rsidP="0083691F">
      <w:pPr>
        <w:pStyle w:val="Body"/>
        <w:spacing w:after="160"/>
        <w:rPr>
          <w:rFonts w:ascii="Arial" w:hAnsi="Arial" w:cs="Arial"/>
          <w:b/>
          <w:bCs/>
        </w:rPr>
      </w:pPr>
      <w:r w:rsidRPr="00C25E2F">
        <w:rPr>
          <w:rFonts w:ascii="Arial" w:hAnsi="Arial" w:cs="Arial"/>
          <w:b/>
          <w:bCs/>
        </w:rPr>
        <w:t>Climate Change Education and Communication in Mexico</w:t>
      </w:r>
    </w:p>
    <w:p w14:paraId="3B6C96F8" w14:textId="77777777" w:rsidR="008066B8" w:rsidRPr="00C25E2F" w:rsidRDefault="008066B8" w:rsidP="0083691F">
      <w:pPr>
        <w:pStyle w:val="Body"/>
        <w:spacing w:after="160"/>
        <w:rPr>
          <w:rFonts w:ascii="Arial" w:hAnsi="Arial" w:cs="Arial"/>
        </w:rPr>
      </w:pPr>
      <w:r w:rsidRPr="00C25E2F">
        <w:rPr>
          <w:rFonts w:ascii="Arial" w:hAnsi="Arial" w:cs="Arial"/>
        </w:rPr>
        <w:t xml:space="preserve">In Mexico, the Political Constitution of the United Mexican States guarantees the right to education and makes the State responsible for compulsory education up to upper secondary education. In 2019, the Constitution was reformed and incorporated knowledge and respect for the environment as basic requirements of education and environmental protection is a central element of the curricula. </w:t>
      </w:r>
    </w:p>
    <w:p w14:paraId="4FE88B60" w14:textId="77777777" w:rsidR="008066B8" w:rsidRPr="00C25E2F" w:rsidRDefault="008066B8" w:rsidP="0083691F">
      <w:pPr>
        <w:pStyle w:val="Body"/>
        <w:spacing w:after="160"/>
        <w:rPr>
          <w:rFonts w:ascii="Arial" w:hAnsi="Arial" w:cs="Arial"/>
        </w:rPr>
      </w:pPr>
      <w:r w:rsidRPr="00C25E2F">
        <w:rPr>
          <w:rFonts w:ascii="Arial" w:hAnsi="Arial" w:cs="Arial"/>
        </w:rPr>
        <w:t xml:space="preserve">The General Education Law (1993) guarantees a legal framework for climate change education; and establishes as a priority the inclusion in formal education of environmental sciences, sustainable development, respect for the environment and the prevention of CC. The constitutional reform of Article 3 on education included sustainable development in the requirements of national curricula. Thus, the General Education Law was reformed, which now requires educational programs whose objective is the development of capacities for resource management, sustainable development and climate resilience. It also requires the SEP to examine all educational programs and related materials to ensure the application of the law. In 2020, Provisions of the General Law on Education on the Environment and Climate Change were reformed, which modifies or adds new guidelines to the General Law on Education. The Decree strengthened the legislation, in order to empower citizens and promote sustainable development, environmental protection and awareness of climate change, as well as the adoption of adaptation and mitigation measures. The new General Education Law (2019) </w:t>
      </w:r>
      <w:r w:rsidRPr="00C25E2F">
        <w:rPr>
          <w:rFonts w:ascii="Arial" w:hAnsi="Arial" w:cs="Arial"/>
        </w:rPr>
        <w:lastRenderedPageBreak/>
        <w:t>refers to climate change: in section VIII of article 15 ("On the purposes of education"), in section V of article 16 ("On the criteria of education") and in sections XVI and XVII of article 30 ("On curricula and programs"). Article 15 mentions "instilling respect for nature, through the [...] resilience to climate change". Article 16 focuses on the reduction and prevention of climate change (SEMARNAT, 2017).</w:t>
      </w:r>
    </w:p>
    <w:p w14:paraId="2737AF34" w14:textId="36DA4317" w:rsidR="008066B8" w:rsidRPr="00C25E2F" w:rsidRDefault="008066B8" w:rsidP="0083691F">
      <w:pPr>
        <w:pStyle w:val="Body"/>
        <w:spacing w:after="160"/>
        <w:rPr>
          <w:rFonts w:ascii="Arial" w:hAnsi="Arial" w:cs="Arial"/>
        </w:rPr>
      </w:pPr>
      <w:r w:rsidRPr="00C25E2F">
        <w:rPr>
          <w:rFonts w:ascii="Arial" w:hAnsi="Arial" w:cs="Arial"/>
        </w:rPr>
        <w:t>On the other hand, the national curriculum framework for Basic Education (2011) establishes the lines of the learning processes, curriculum, graduation and learning profiles expected of primary school students. It highlights access to education and considers environmental education to be relevant to society. The new national curriculum framework for Basic Education (2022) attempts to include guidelines to improve and strengthen the skills and knowledge that students will acquire and put into practice in the country, for a better world. It also details the educational levels in planning, cognitive learning and capacity building. The objective is to improve reflections, understanding and development of thinking criteria to provide solutions to global problems such as climate change and environmental protection. Thus, after a process of practical and cognitive learning, Basic Education graduates are encouraged to participate in environmental actions for a society more resilient to climate change. The new curriculum framework for Upper Secondary Education (2017) takes into account the Sustainable Development Goals (SDGs). Where the training of students with knowledge and skills to develop in the academic, professional and daily life fields, oriented to results, is sought. The National Climate Change Strategy (2013) mentions the importance of knowledge acquisition as a key element of sustainable development. An important issue in the face of climate change is the generation of formal knowledge and its application in techniques, procedures, and technologies through the use of science, technological innovation, and education as means for sustainable development (SEMARNAT, 2017)</w:t>
      </w:r>
    </w:p>
    <w:p w14:paraId="1E4922C1" w14:textId="568C18F8" w:rsidR="008066B8" w:rsidRPr="00C25E2F" w:rsidRDefault="008066B8" w:rsidP="0083691F">
      <w:pPr>
        <w:pStyle w:val="Body"/>
        <w:spacing w:after="160"/>
        <w:rPr>
          <w:rFonts w:ascii="Arial" w:hAnsi="Arial" w:cs="Arial"/>
        </w:rPr>
      </w:pPr>
      <w:r w:rsidRPr="00C25E2F">
        <w:rPr>
          <w:rFonts w:ascii="Arial" w:hAnsi="Arial" w:cs="Arial"/>
        </w:rPr>
        <w:t>The Special Climate Change Program (2021) consists of "disseminating and communicating knowledge and contributing to the education and awareness of the population in an inclusive way on climate change, to strengthen social awareness and the development of a climate culture." The Sixth National Communication (2018) mentions the challenge of incorporating climate change and environmental dimensions into all curricula. Climate change is included in environmental education with the aim of preventing future climate phenomena and becoming a transversal axis with the intention of promoting knowledge, values, attitudes and skills so that students participate in the analysis, prevention and reduction of environmental problems, and favor the quality of life of present and future generations. The contributions at the national level (2020) mention climate change education and include the Action for Climate Empowerment measures that will be applied in Mexico (SEMARNAT, 2017).</w:t>
      </w:r>
    </w:p>
    <w:p w14:paraId="76C6F6D0" w14:textId="77777777" w:rsidR="008066B8" w:rsidRPr="00C25E2F" w:rsidRDefault="008066B8" w:rsidP="0083691F">
      <w:pPr>
        <w:pStyle w:val="Body"/>
        <w:spacing w:after="160"/>
        <w:rPr>
          <w:rFonts w:ascii="Arial" w:hAnsi="Arial" w:cs="Arial"/>
        </w:rPr>
      </w:pPr>
      <w:r w:rsidRPr="00C25E2F">
        <w:rPr>
          <w:rFonts w:ascii="Arial" w:hAnsi="Arial" w:cs="Arial"/>
        </w:rPr>
        <w:t>It is of vital importance to strengthen the means of implementation to meet the objectives of science and technology development, promotion of research, education, training, social awareness, access to information and citizen participation in a framework of constant technological innovation to achieve territorialization and full appropriation of adaptation and mitigation actions. Some of the free public education textbooks address climate change, sustainable development and global warming, in the Natural Sciences. For example, the 6th grade Natural Science textbook includes a section titled "Relationship of Air Pollution to Global Warming and Climate Change." The Sixth National Communication mentions the implementation of the Action for Climate Empowerment in public education: "since 2011, the SEP's free textbooks address issues related to climate change in primary education" (SEMARNAT, 2017).</w:t>
      </w:r>
    </w:p>
    <w:p w14:paraId="49F78C50" w14:textId="77777777" w:rsidR="008066B8" w:rsidRPr="00C25E2F" w:rsidRDefault="008066B8" w:rsidP="0083691F">
      <w:pPr>
        <w:pStyle w:val="Body"/>
        <w:spacing w:after="160"/>
        <w:rPr>
          <w:rFonts w:ascii="Arial" w:hAnsi="Arial" w:cs="Arial"/>
          <w:b/>
          <w:bCs/>
        </w:rPr>
      </w:pPr>
      <w:r w:rsidRPr="00C25E2F">
        <w:rPr>
          <w:rFonts w:ascii="Arial" w:hAnsi="Arial" w:cs="Arial"/>
          <w:b/>
          <w:bCs/>
        </w:rPr>
        <w:t>Budget for climate change education and communication</w:t>
      </w:r>
    </w:p>
    <w:p w14:paraId="38CEB18E" w14:textId="77777777" w:rsidR="008066B8" w:rsidRPr="00C25E2F" w:rsidRDefault="008066B8" w:rsidP="0083691F">
      <w:pPr>
        <w:pStyle w:val="Body"/>
        <w:spacing w:after="160"/>
        <w:rPr>
          <w:rFonts w:ascii="Arial" w:hAnsi="Arial" w:cs="Arial"/>
        </w:rPr>
      </w:pPr>
      <w:r w:rsidRPr="00C25E2F">
        <w:rPr>
          <w:rFonts w:ascii="Arial" w:hAnsi="Arial" w:cs="Arial"/>
        </w:rPr>
        <w:t xml:space="preserve">In 2022, a budget of 8.7 million dollars (176 million Mexican pesos)  was assigned to INECC. Of this budget, the expenditure to combat climate change was 3.3 million dollars (67 million pesos). 4.4 million dollars (90 million pesos) are allocated to public education on climate change. Article 80 of the General Law on Climate Change talks about the Climate Change </w:t>
      </w:r>
      <w:r w:rsidRPr="00C25E2F">
        <w:rPr>
          <w:rFonts w:ascii="Arial" w:hAnsi="Arial" w:cs="Arial"/>
        </w:rPr>
        <w:lastRenderedPageBreak/>
        <w:t>Fund, which is a financial body that collects and manages public, private and international monetary resources for matters related to climate change. According to the Sixth National Communication, between 2013 and 2018 the Fund approved 3.79 million dollars (68 million pesos) for projects including education (SEMARNAT, 2017).</w:t>
      </w:r>
    </w:p>
    <w:p w14:paraId="6C7E5BEA" w14:textId="77777777" w:rsidR="008066B8" w:rsidRPr="00C25E2F" w:rsidRDefault="008066B8" w:rsidP="0083691F">
      <w:pPr>
        <w:pStyle w:val="Body"/>
        <w:spacing w:after="160"/>
        <w:rPr>
          <w:rFonts w:ascii="Arial" w:hAnsi="Arial" w:cs="Arial"/>
        </w:rPr>
      </w:pPr>
      <w:r w:rsidRPr="00C25E2F">
        <w:rPr>
          <w:rFonts w:ascii="Arial" w:hAnsi="Arial" w:cs="Arial"/>
        </w:rPr>
        <w:t xml:space="preserve">Mexico's national contributions (2020) highlight the need to find better financing, and advocate for the creation of a national climate change strategy. The National Climate Change Strategy (2013) aims to "establish the necessary mechanisms to turn the Climate Change Fund into an efficient and effective platform for channeling resources from other funds, including international funds." The Special Climate Change Program (2021-2024) has as a possible source of resources the Green Climate Fund, "through which the mobilization of financial resources is sought through accredited entities to promote a change towards low-carbon and climate-resilient development trajectories" (SEMARNAT, 2017). </w:t>
      </w:r>
    </w:p>
    <w:p w14:paraId="46991D37" w14:textId="77777777" w:rsidR="008066B8" w:rsidRPr="00C25E2F" w:rsidRDefault="008066B8" w:rsidP="0083691F">
      <w:pPr>
        <w:pStyle w:val="Body"/>
        <w:spacing w:after="160"/>
        <w:rPr>
          <w:rFonts w:ascii="Arial" w:hAnsi="Arial" w:cs="Arial"/>
          <w:b/>
          <w:bCs/>
        </w:rPr>
      </w:pPr>
      <w:r w:rsidRPr="00C25E2F">
        <w:rPr>
          <w:rFonts w:ascii="Arial" w:hAnsi="Arial" w:cs="Arial"/>
          <w:b/>
          <w:bCs/>
        </w:rPr>
        <w:t>Climate change education and training in the country</w:t>
      </w:r>
    </w:p>
    <w:p w14:paraId="7B028E89" w14:textId="77777777" w:rsidR="008066B8" w:rsidRPr="00C25E2F" w:rsidRDefault="008066B8" w:rsidP="0083691F">
      <w:pPr>
        <w:pStyle w:val="Body"/>
        <w:spacing w:after="160"/>
        <w:rPr>
          <w:rFonts w:ascii="Arial" w:hAnsi="Arial" w:cs="Arial"/>
          <w:b/>
          <w:bCs/>
        </w:rPr>
      </w:pPr>
      <w:r w:rsidRPr="00C25E2F">
        <w:rPr>
          <w:rFonts w:ascii="Arial" w:hAnsi="Arial" w:cs="Arial"/>
          <w:b/>
          <w:bCs/>
        </w:rPr>
        <w:t>(a) Climate change in primary and secondary education</w:t>
      </w:r>
    </w:p>
    <w:p w14:paraId="2C230985" w14:textId="77777777" w:rsidR="008066B8" w:rsidRPr="00C25E2F" w:rsidRDefault="008066B8" w:rsidP="0083691F">
      <w:pPr>
        <w:pStyle w:val="Body"/>
        <w:spacing w:after="160"/>
        <w:rPr>
          <w:rFonts w:ascii="Arial" w:hAnsi="Arial" w:cs="Arial"/>
        </w:rPr>
      </w:pPr>
      <w:r w:rsidRPr="00C25E2F">
        <w:rPr>
          <w:rFonts w:ascii="Arial" w:hAnsi="Arial" w:cs="Arial"/>
        </w:rPr>
        <w:t xml:space="preserve">In Mexico, public education is compulsory until the last year of secondary education. Article  3 of the Political Constitution of the United States of Mexico protects the right to education. The General Education Law determines the contents of environmental education. Article 30 includes curricula that integrate environmental education for sustainability through concepts integrated into the natural sciences and sustainable development. </w:t>
      </w:r>
    </w:p>
    <w:p w14:paraId="5730EE95" w14:textId="2AC8AED8" w:rsidR="008066B8" w:rsidRPr="00C25E2F" w:rsidRDefault="008066B8" w:rsidP="0083691F">
      <w:pPr>
        <w:pStyle w:val="Body"/>
        <w:spacing w:after="160"/>
        <w:rPr>
          <w:rFonts w:ascii="Arial" w:hAnsi="Arial" w:cs="Arial"/>
        </w:rPr>
      </w:pPr>
      <w:r w:rsidRPr="00C25E2F">
        <w:rPr>
          <w:rFonts w:ascii="Arial" w:hAnsi="Arial" w:cs="Arial"/>
        </w:rPr>
        <w:t>More than 20% of Mexico's population is indigenous, and 6% speaks indigenous languages, which is why Mexico, through the General Directorate of Indigenous, Intercultural and Bilingual Education, is committed to equality in education and the production of books in indigenous languages that address issues of climate change. In 2017, the country, with the new educational model, proposes the perspective of autonomy that gives schools more autonomy to adapt educational materials to the needs, environment and specific characteristics of the students.</w:t>
      </w:r>
      <w:r w:rsidR="00644200" w:rsidRPr="00C25E2F">
        <w:rPr>
          <w:rFonts w:ascii="Arial" w:hAnsi="Arial" w:cs="Arial"/>
        </w:rPr>
        <w:t xml:space="preserve"> </w:t>
      </w:r>
      <w:r w:rsidRPr="00C25E2F">
        <w:rPr>
          <w:rFonts w:ascii="Arial" w:hAnsi="Arial" w:cs="Arial"/>
        </w:rPr>
        <w:t>Through the SEMARNAT-SEP Collaboration Agreement (2021), these entities collaborate to improve environmental and climate change education, including the learning process for teachers. The agreement proposes the objectives of including environmental dimensions in the curriculum, promoting educational forestry projects in schools and strengthening school environmental management. In addition, it offers current sources, both national and international, so that teachers and schools have updated information on issues related to climate change. In the early years, most preschool children learn about climate change through subjects such as Exploration and Knowledge of the World, in which they develop skills to participate in environmental protection activities and are made aware of the issue (SEMARNAT, 2017).</w:t>
      </w:r>
    </w:p>
    <w:p w14:paraId="0B3DBDF9" w14:textId="55610DC9" w:rsidR="008066B8" w:rsidRPr="00C25E2F" w:rsidRDefault="008066B8" w:rsidP="0083691F">
      <w:pPr>
        <w:pStyle w:val="Body"/>
        <w:spacing w:after="160"/>
        <w:rPr>
          <w:rFonts w:ascii="Arial" w:hAnsi="Arial" w:cs="Arial"/>
        </w:rPr>
      </w:pPr>
      <w:r w:rsidRPr="00C25E2F">
        <w:rPr>
          <w:rFonts w:ascii="Arial" w:hAnsi="Arial" w:cs="Arial"/>
        </w:rPr>
        <w:t xml:space="preserve">According to the SEP, the curricular standards are established in the national curricular framework for Basic Education (2011), whose objective is to educate citizens and provide them with adequate competencies for national and global demands. The curriculum framework contains guidelines for educational programs and highlights the need to strengthen environmental education, although it does not indicate how to do this. Topics  related to climate change are addressed in primary education textbooks. The term climate change is mentioned in Natural Sciences and Geography, along with other terms such as energy consumption, air pollution, global warming and vulnerability. Students learn about climate change by acquiring cognitive knowledge. And they are motivated to modify their behavior to minimize vulnerability to climate change, the ecological footprint is addressed to raise awareness. In addition, ideas of climate justice and Mexico's role in emissions are used (SEMARNAT, 2017). </w:t>
      </w:r>
    </w:p>
    <w:p w14:paraId="5AADA5E3" w14:textId="77777777" w:rsidR="008066B8" w:rsidRPr="00C25E2F" w:rsidRDefault="008066B8" w:rsidP="0083691F">
      <w:pPr>
        <w:pStyle w:val="Body"/>
        <w:spacing w:after="160"/>
        <w:rPr>
          <w:rFonts w:ascii="Arial" w:hAnsi="Arial" w:cs="Arial"/>
        </w:rPr>
      </w:pPr>
      <w:r w:rsidRPr="00C25E2F">
        <w:rPr>
          <w:rFonts w:ascii="Arial" w:hAnsi="Arial" w:cs="Arial"/>
        </w:rPr>
        <w:t xml:space="preserve">The textbooks currently used in lower secondary education in Mexico address climate change in Physics, Biology, and Chemistry. According to the Sixth National Communication (2018), the subjects are designed to raise awareness among students about human actions in the environment and propose solutions for the future. The curriculum for Upper Secondary </w:t>
      </w:r>
      <w:r w:rsidRPr="00C25E2F">
        <w:rPr>
          <w:rFonts w:ascii="Arial" w:hAnsi="Arial" w:cs="Arial"/>
        </w:rPr>
        <w:lastRenderedPageBreak/>
        <w:t xml:space="preserve">Education (2017) includes the formation of citizenship suitable for higher education and work, as well as awareness of national and global affairs. The goal is to incorporate environmental education and sustainable development. The curriculum is structured around outcomes and encourages students to learn about the negative effects of their behaviors and how to modify them. In environmental protection, an upper secondary education student must prepare to "understand the importance of sustainability and assume a proactive attitude to find sustainable solutions. Think globally, act locally, value the social and environmental impact of scientific innovations and impacts." The main contents of the study programs are based on the Sustainable Development Goals (SDGs, 2030 Agenda). In the subjects of natural sciences, such as Ecology, Biology, Chemistry and Physics, climate change topics such as causes, prevention and solutions are addressed. In the social sciences subjects, content on contemporary problems is addressed, where students are motivated to analyze elements of today's society, such as citizen participation, human rights, inequality, sustainable development and the environment, with a global perspective of social responsibility and  climate justice (SEMARNAT, 2017). </w:t>
      </w:r>
    </w:p>
    <w:p w14:paraId="52C1EAA7" w14:textId="3CCAD604" w:rsidR="008066B8" w:rsidRPr="00C25E2F" w:rsidRDefault="008066B8" w:rsidP="0083691F">
      <w:pPr>
        <w:pStyle w:val="Body"/>
        <w:spacing w:after="160"/>
        <w:rPr>
          <w:rFonts w:ascii="Arial" w:hAnsi="Arial" w:cs="Arial"/>
        </w:rPr>
      </w:pPr>
      <w:r w:rsidRPr="00C25E2F">
        <w:rPr>
          <w:rFonts w:ascii="Arial" w:hAnsi="Arial" w:cs="Arial"/>
        </w:rPr>
        <w:t>By virtue of the fact that teachers are fundamental actors in the educational process, and in order to guarantee an education of excellence and in accordance with national guidelines, in 2021 the Rules of Operation of the Program for Teacher Professional Development were presented. The program aimed to strengthen teacher development through continuous training in line with the SDGs, and includes targets on the quality of education, gender equality and climate change. Through the program, people committed to society and respectful of the environment are trained. The National Pedagogical University pursues the objective of educating the teaching staff of Mexico, offering research programs, postgraduate training and updated materials on teaching, as well as a Master's Degree in Environmental Education, in which a global vision of the prevention, adaptation and mitigation of environmental problems is acquired.</w:t>
      </w:r>
      <w:r w:rsidR="00B52EC6" w:rsidRPr="00C25E2F">
        <w:rPr>
          <w:rFonts w:ascii="Arial" w:hAnsi="Arial" w:cs="Arial"/>
        </w:rPr>
        <w:t xml:space="preserve"> </w:t>
      </w:r>
      <w:r w:rsidRPr="00C25E2F">
        <w:rPr>
          <w:rFonts w:ascii="Arial" w:hAnsi="Arial" w:cs="Arial"/>
        </w:rPr>
        <w:t>The Environmental Education for Sustainability</w:t>
      </w:r>
      <w:r w:rsidR="00B52EC6" w:rsidRPr="00C25E2F">
        <w:rPr>
          <w:rFonts w:ascii="Arial" w:hAnsi="Arial" w:cs="Arial"/>
        </w:rPr>
        <w:t xml:space="preserve"> </w:t>
      </w:r>
      <w:r w:rsidRPr="00C25E2F">
        <w:rPr>
          <w:rFonts w:ascii="Arial" w:hAnsi="Arial" w:cs="Arial"/>
        </w:rPr>
        <w:t xml:space="preserve">research program is offered to Pedagogy students interested in deepening environmental education for sustainability in the face of climate change (SEMARNAT, 2017). </w:t>
      </w:r>
    </w:p>
    <w:p w14:paraId="7453E5CD" w14:textId="59F07A41" w:rsidR="008066B8" w:rsidRPr="00C25E2F" w:rsidRDefault="008066B8" w:rsidP="0083691F">
      <w:pPr>
        <w:pStyle w:val="Body"/>
        <w:spacing w:after="160"/>
        <w:rPr>
          <w:rFonts w:ascii="Arial" w:hAnsi="Arial" w:cs="Arial"/>
        </w:rPr>
      </w:pPr>
      <w:r w:rsidRPr="00C25E2F">
        <w:rPr>
          <w:rFonts w:ascii="Arial" w:hAnsi="Arial" w:cs="Arial"/>
        </w:rPr>
        <w:t xml:space="preserve">The National Academy of Environmental Education is a group of environmental teachers and researchers, from public universities, that organizes congresses, forums, workshops and activities on a national scale for teachers to implement, promote and reinforce environmental education and research. The SEP's digital library offers didactic support material to teachers that helps them bring new areas of knowledge to the classroom. The materials and research of the Mario Molina Center allow teachers to expand their knowledge about climate change. Teachers can access digital resources such as "Introduction to Climate Change, Teacher Manuals" free of charge. They have also organized training courses on climate change (SEMARNAT, 2017). </w:t>
      </w:r>
    </w:p>
    <w:p w14:paraId="51A3E135" w14:textId="6105ACFE" w:rsidR="008066B8" w:rsidRPr="00C25E2F" w:rsidRDefault="008066B8" w:rsidP="0083691F">
      <w:pPr>
        <w:pStyle w:val="Body"/>
        <w:spacing w:after="160"/>
        <w:rPr>
          <w:rFonts w:ascii="Arial" w:hAnsi="Arial" w:cs="Arial"/>
        </w:rPr>
      </w:pPr>
      <w:r w:rsidRPr="00C25E2F">
        <w:rPr>
          <w:rFonts w:ascii="Arial" w:hAnsi="Arial" w:cs="Arial"/>
        </w:rPr>
        <w:t>Among other initiatives, the Office for Climate Education has launched a pilot project, Latin America for Climate Education, to promote climate change education in Latin America around three goals: the professional development of teachers, the creation of a community of practice and the adaptation of pedagogical resources to the local context. It focuses on primary and secondary teachers, as well as trainers and teachers. Another offer for teacher training on climate change is the Workshop Course on Climate Change and Water Resources, from the North American Center for Environmental Information and Communication.</w:t>
      </w:r>
      <w:r w:rsidR="00B52EC6" w:rsidRPr="00C25E2F">
        <w:rPr>
          <w:rFonts w:ascii="Arial" w:hAnsi="Arial" w:cs="Arial"/>
        </w:rPr>
        <w:t xml:space="preserve"> </w:t>
      </w:r>
      <w:r w:rsidRPr="00C25E2F">
        <w:rPr>
          <w:rFonts w:ascii="Arial" w:hAnsi="Arial" w:cs="Arial"/>
        </w:rPr>
        <w:t>It develops general topics on climate change and didactic material that teachers will be able to use in the future (SEMARNAT, 2017).</w:t>
      </w:r>
    </w:p>
    <w:p w14:paraId="7F0FC0CC" w14:textId="053CA2EB" w:rsidR="008066B8" w:rsidRPr="00C25E2F" w:rsidRDefault="008066B8" w:rsidP="0083691F">
      <w:pPr>
        <w:pStyle w:val="Body"/>
        <w:spacing w:after="160"/>
        <w:rPr>
          <w:rFonts w:ascii="Arial" w:hAnsi="Arial" w:cs="Arial"/>
        </w:rPr>
      </w:pPr>
      <w:r w:rsidRPr="00C25E2F">
        <w:rPr>
          <w:rFonts w:ascii="Arial" w:hAnsi="Arial" w:cs="Arial"/>
        </w:rPr>
        <w:t xml:space="preserve">Despite efforts in environmental education, children and young people perform poorly in science, reflecting low knowledge about the environment, biodiversity, and climate change. Thus, 30.5% of 15-year-olds in Mexico answered correctly environmental issues, compared to the OECD average of 41.5%, while 22% of students answered correctly about the effects of temperature on sea level rise and 30% about clothing production and its effects on water </w:t>
      </w:r>
      <w:r w:rsidRPr="00C25E2F">
        <w:rPr>
          <w:rFonts w:ascii="Arial" w:hAnsi="Arial" w:cs="Arial"/>
        </w:rPr>
        <w:lastRenderedPageBreak/>
        <w:t>use and pollution</w:t>
      </w:r>
      <w:r w:rsidR="00B52EC6" w:rsidRPr="00C25E2F">
        <w:rPr>
          <w:rFonts w:ascii="Arial" w:hAnsi="Arial" w:cs="Arial"/>
        </w:rPr>
        <w:t xml:space="preserve">, </w:t>
      </w:r>
      <w:r w:rsidRPr="00C25E2F">
        <w:rPr>
          <w:rFonts w:ascii="Arial" w:hAnsi="Arial" w:cs="Arial"/>
        </w:rPr>
        <w:t>percentages lower than the average for OECD countries (</w:t>
      </w:r>
      <w:r w:rsidR="0083691F" w:rsidRPr="00C25E2F">
        <w:rPr>
          <w:rFonts w:ascii="Arial" w:hAnsi="Arial" w:cs="Arial"/>
        </w:rPr>
        <w:t>Bos &amp; Schwartz, 2023</w:t>
      </w:r>
      <w:r w:rsidRPr="00C25E2F">
        <w:rPr>
          <w:rFonts w:ascii="Arial" w:hAnsi="Arial" w:cs="Arial"/>
        </w:rPr>
        <w:t>).</w:t>
      </w:r>
    </w:p>
    <w:p w14:paraId="17E43FB9" w14:textId="418B8EFE" w:rsidR="008066B8" w:rsidRPr="00C25E2F" w:rsidRDefault="008066B8" w:rsidP="0083691F">
      <w:pPr>
        <w:pStyle w:val="Body"/>
        <w:spacing w:after="160"/>
        <w:rPr>
          <w:rFonts w:ascii="Arial" w:hAnsi="Arial" w:cs="Arial"/>
        </w:rPr>
      </w:pPr>
      <w:r w:rsidRPr="00C25E2F">
        <w:rPr>
          <w:rFonts w:ascii="Arial" w:hAnsi="Arial" w:cs="Arial"/>
        </w:rPr>
        <w:t>In the PISA 2018 survey, 69% of 15-year-olds say they know about climate change and global warming, although this is lower than the OECD average of 78.5% (2019). 61% of respondents under 29 years of age report that environmental protection should be prioritized, even with slower economic growth and job losses (</w:t>
      </w:r>
      <w:proofErr w:type="spellStart"/>
      <w:r w:rsidRPr="00C25E2F">
        <w:rPr>
          <w:rFonts w:ascii="Arial" w:hAnsi="Arial" w:cs="Arial"/>
        </w:rPr>
        <w:t>Haerpfer</w:t>
      </w:r>
      <w:proofErr w:type="spellEnd"/>
      <w:r w:rsidRPr="00C25E2F">
        <w:rPr>
          <w:rFonts w:ascii="Arial" w:hAnsi="Arial" w:cs="Arial"/>
        </w:rPr>
        <w:t xml:space="preserve"> et al., 2022), a higher percentage than that reported by those over 30 years of age (55%) (</w:t>
      </w:r>
      <w:r w:rsidR="0083691F" w:rsidRPr="00C25E2F">
        <w:rPr>
          <w:rFonts w:ascii="Arial" w:hAnsi="Arial" w:cs="Arial"/>
        </w:rPr>
        <w:t>Bos &amp; Schwartz, 2023</w:t>
      </w:r>
      <w:r w:rsidRPr="00C25E2F">
        <w:rPr>
          <w:rFonts w:ascii="Arial" w:hAnsi="Arial" w:cs="Arial"/>
        </w:rPr>
        <w:t>).</w:t>
      </w:r>
    </w:p>
    <w:p w14:paraId="407C8864" w14:textId="7D0327CA" w:rsidR="008066B8" w:rsidRPr="00C25E2F" w:rsidRDefault="008066B8" w:rsidP="0083691F">
      <w:pPr>
        <w:pStyle w:val="Body"/>
        <w:spacing w:after="160"/>
        <w:rPr>
          <w:rFonts w:ascii="Arial" w:hAnsi="Arial" w:cs="Arial"/>
        </w:rPr>
      </w:pPr>
      <w:r w:rsidRPr="00C25E2F">
        <w:rPr>
          <w:rFonts w:ascii="Arial" w:hAnsi="Arial" w:cs="Arial"/>
        </w:rPr>
        <w:t>The 78% of 15-year-olds said that they reduce the energy they consume at home by turning off the heating or air conditioning, 49%</w:t>
      </w:r>
      <w:r w:rsidR="00B52EC6" w:rsidRPr="00C25E2F">
        <w:rPr>
          <w:rFonts w:ascii="Arial" w:hAnsi="Arial" w:cs="Arial"/>
        </w:rPr>
        <w:t xml:space="preserve"> </w:t>
      </w:r>
      <w:r w:rsidRPr="00C25E2F">
        <w:rPr>
          <w:rFonts w:ascii="Arial" w:hAnsi="Arial" w:cs="Arial"/>
        </w:rPr>
        <w:t xml:space="preserve">participate in activities in favor of environmental protection, 48% choose products for ethical or environmental reasons even if they are more expensive and 31% sign environmental or social petitions (OECD,  2019). However, despite being active and vocal in their demands against climate change, young people report having little capacity to influence climate change policies. According to UNICEF, 70% of activists mention not being included in public policies against climate change and environmental protection, more than 50% believe that their actions would impact decision-making on climate change and the environment, and there is a gap between the desire of young people to participate in climate policy and the little space for real participation (Restrepo and Méndez,  2021). </w:t>
      </w:r>
    </w:p>
    <w:p w14:paraId="048937CD" w14:textId="6D0ACA6D" w:rsidR="008066B8" w:rsidRPr="00C25E2F" w:rsidRDefault="008066B8" w:rsidP="0083691F">
      <w:pPr>
        <w:pStyle w:val="Body"/>
        <w:spacing w:after="160"/>
        <w:rPr>
          <w:rFonts w:ascii="Arial" w:hAnsi="Arial" w:cs="Arial"/>
        </w:rPr>
      </w:pPr>
      <w:r w:rsidRPr="00C25E2F">
        <w:rPr>
          <w:rFonts w:ascii="Arial" w:hAnsi="Arial" w:cs="Arial"/>
        </w:rPr>
        <w:t>The low skills of children and young people on climate change issues are due, in part, to the low capacity of education systems to develop these skills in students, to the lack of inclusion of the climate agenda in primary, secondary and higher education policies and curricula, the low preparation of teachers to develop these skills in their students,</w:t>
      </w:r>
      <w:r w:rsidR="00B52EC6" w:rsidRPr="00C25E2F">
        <w:rPr>
          <w:rFonts w:ascii="Arial" w:hAnsi="Arial" w:cs="Arial"/>
        </w:rPr>
        <w:t xml:space="preserve"> </w:t>
      </w:r>
      <w:r w:rsidRPr="00C25E2F">
        <w:rPr>
          <w:rFonts w:ascii="Arial" w:hAnsi="Arial" w:cs="Arial"/>
        </w:rPr>
        <w:t>to pedagogical practices without effective learning and to the lack of information to determine the level of skills. Thus, despite the incipient progress that education systems are making to develop green citizenship, students already show certain levels of knowledge, behaviors, and valuation in favor of the environment, suggesting that other channels of information and awareness of climate change are reaching these young people (</w:t>
      </w:r>
      <w:r w:rsidR="0083691F" w:rsidRPr="00C25E2F">
        <w:rPr>
          <w:rFonts w:ascii="Arial" w:hAnsi="Arial" w:cs="Arial"/>
        </w:rPr>
        <w:t>Bos &amp; Schwartz, 2023</w:t>
      </w:r>
      <w:r w:rsidRPr="00C25E2F">
        <w:rPr>
          <w:rFonts w:ascii="Arial" w:hAnsi="Arial" w:cs="Arial"/>
        </w:rPr>
        <w:t>).</w:t>
      </w:r>
    </w:p>
    <w:p w14:paraId="1F2E744A" w14:textId="77777777" w:rsidR="008066B8" w:rsidRPr="00C25E2F" w:rsidRDefault="008066B8" w:rsidP="0083691F">
      <w:pPr>
        <w:pStyle w:val="Body"/>
        <w:spacing w:after="160"/>
        <w:rPr>
          <w:rFonts w:ascii="Arial" w:hAnsi="Arial" w:cs="Arial"/>
          <w:b/>
          <w:bCs/>
        </w:rPr>
      </w:pPr>
      <w:r w:rsidRPr="00C25E2F">
        <w:rPr>
          <w:rFonts w:ascii="Arial" w:hAnsi="Arial" w:cs="Arial"/>
          <w:b/>
          <w:bCs/>
        </w:rPr>
        <w:t>(b) Climate change in higher education</w:t>
      </w:r>
    </w:p>
    <w:p w14:paraId="542FF2EE" w14:textId="77777777" w:rsidR="008066B8" w:rsidRPr="00C25E2F" w:rsidRDefault="008066B8" w:rsidP="0083691F">
      <w:pPr>
        <w:pStyle w:val="Body"/>
        <w:spacing w:after="160"/>
        <w:rPr>
          <w:rFonts w:ascii="Arial" w:hAnsi="Arial" w:cs="Arial"/>
        </w:rPr>
      </w:pPr>
      <w:r w:rsidRPr="00C25E2F">
        <w:rPr>
          <w:rFonts w:ascii="Arial" w:hAnsi="Arial" w:cs="Arial"/>
        </w:rPr>
        <w:t xml:space="preserve">The General Law on Climate Change (2012) mentions that the Government of Mexico must collaborate with higher education institutions to improve capacities in science, technology and innovation related to sustainable development, the environment and climate change. The General Law of Higher Education (2021) establishes that higher education creates and disseminates knowledge to generate national and international solutions to climate change, preserve the environment and promote sustainable development. The law promotes the integral human development of students in the generation of knowledge, in aspects such as "respect for and care for the environment, with a constant orientation towards sustainability, in order to understand and assimilate the interrelationship of nature with social and economic issues, to guarantee its preservation and promote sustainable lifestyles" (SEMARNAT,  2017). </w:t>
      </w:r>
    </w:p>
    <w:p w14:paraId="4E876934" w14:textId="5FEA44B0" w:rsidR="008066B8" w:rsidRPr="00C25E2F" w:rsidRDefault="008066B8" w:rsidP="0083691F">
      <w:pPr>
        <w:pStyle w:val="Body"/>
        <w:spacing w:after="160"/>
        <w:rPr>
          <w:rFonts w:ascii="Arial" w:hAnsi="Arial" w:cs="Arial"/>
        </w:rPr>
      </w:pPr>
      <w:r w:rsidRPr="00C25E2F">
        <w:rPr>
          <w:rFonts w:ascii="Arial" w:hAnsi="Arial" w:cs="Arial"/>
        </w:rPr>
        <w:t>In 2005, different institutions of higher education formed the National Network of Institutional Environmental Programs for Sustainability to promote academic cooperation with respect to the environment and sustainability.</w:t>
      </w:r>
      <w:r w:rsidR="00B52EC6" w:rsidRPr="00C25E2F">
        <w:rPr>
          <w:rFonts w:ascii="Arial" w:hAnsi="Arial" w:cs="Arial"/>
        </w:rPr>
        <w:t xml:space="preserve"> </w:t>
      </w:r>
      <w:r w:rsidRPr="00C25E2F">
        <w:rPr>
          <w:rFonts w:ascii="Arial" w:hAnsi="Arial" w:cs="Arial"/>
        </w:rPr>
        <w:t xml:space="preserve">The Southeast region is very active in promoting workshops, trainings, awareness initiatives, risk management, climate change, and inclusion of environmental issues in the curriculum. Some universities offer graduate programs in subjects related to climate change. The Universidad </w:t>
      </w:r>
      <w:proofErr w:type="spellStart"/>
      <w:r w:rsidRPr="00C25E2F">
        <w:rPr>
          <w:rFonts w:ascii="Arial" w:hAnsi="Arial" w:cs="Arial"/>
        </w:rPr>
        <w:t>Autónoma</w:t>
      </w:r>
      <w:proofErr w:type="spellEnd"/>
      <w:r w:rsidRPr="00C25E2F">
        <w:rPr>
          <w:rFonts w:ascii="Arial" w:hAnsi="Arial" w:cs="Arial"/>
        </w:rPr>
        <w:t xml:space="preserve"> </w:t>
      </w:r>
      <w:proofErr w:type="spellStart"/>
      <w:r w:rsidRPr="00C25E2F">
        <w:rPr>
          <w:rFonts w:ascii="Arial" w:hAnsi="Arial" w:cs="Arial"/>
        </w:rPr>
        <w:t>Metropolitana</w:t>
      </w:r>
      <w:proofErr w:type="spellEnd"/>
      <w:r w:rsidRPr="00C25E2F">
        <w:rPr>
          <w:rFonts w:ascii="Arial" w:hAnsi="Arial" w:cs="Arial"/>
        </w:rPr>
        <w:t xml:space="preserve"> offers a master's degree in Energy and Environment to train professionals with the ability to address energy consumption and environmental problems. The University of Guadalajara offers postgraduate degrees in Water and Energy, Environmental Sustainability, among others. FUNIBRES offers a postgraduate degree in climate change. The Research Center for Sustainable Development (CIDES) promotes scientific and technological research for sustainable development, as well as diplomas in areas related to sustainability, such as sustainable tourism, education, and economics (SEMARNAT, 2017). </w:t>
      </w:r>
    </w:p>
    <w:p w14:paraId="3BDBDA70" w14:textId="77777777" w:rsidR="008066B8" w:rsidRPr="00C25E2F" w:rsidRDefault="008066B8" w:rsidP="0083691F">
      <w:pPr>
        <w:pStyle w:val="Body"/>
        <w:spacing w:after="160"/>
        <w:rPr>
          <w:rFonts w:ascii="Arial" w:hAnsi="Arial" w:cs="Arial"/>
        </w:rPr>
      </w:pPr>
      <w:r w:rsidRPr="00C25E2F">
        <w:rPr>
          <w:rFonts w:ascii="Arial" w:hAnsi="Arial" w:cs="Arial"/>
        </w:rPr>
        <w:lastRenderedPageBreak/>
        <w:t>In 2000, the Mexican Consortium of Higher Education Institutions for Sustainability (</w:t>
      </w:r>
      <w:proofErr w:type="spellStart"/>
      <w:r w:rsidRPr="00C25E2F">
        <w:rPr>
          <w:rFonts w:ascii="Arial" w:hAnsi="Arial" w:cs="Arial"/>
        </w:rPr>
        <w:t>Complexas</w:t>
      </w:r>
      <w:proofErr w:type="spellEnd"/>
      <w:r w:rsidRPr="00C25E2F">
        <w:rPr>
          <w:rFonts w:ascii="Arial" w:hAnsi="Arial" w:cs="Arial"/>
        </w:rPr>
        <w:t xml:space="preserve">) was created, a group of universities that activate projects, such as sustainability indicators in higher education institutions. In 2019, the German Society for International Cooperation (GIZ) of Mexico, the National Autonomous University of Mexico and the Monterrey Institute of Technology and Higher Education constitute the Network of Solutions for Sustainable Development of Mexico. Its objective is to collaborate at the national and global level with specialized knowledge in science and technology in favor of sustainable development, and to undertake environmental initiatives related to climate change in universities (SEMARNAT, 2017). </w:t>
      </w:r>
    </w:p>
    <w:p w14:paraId="7C57DFC3" w14:textId="77777777" w:rsidR="008066B8" w:rsidRPr="00C25E2F" w:rsidRDefault="008066B8" w:rsidP="0083691F">
      <w:pPr>
        <w:pStyle w:val="Body"/>
        <w:spacing w:after="160"/>
        <w:rPr>
          <w:rFonts w:ascii="Arial" w:hAnsi="Arial" w:cs="Arial"/>
        </w:rPr>
      </w:pPr>
      <w:r w:rsidRPr="00C25E2F">
        <w:rPr>
          <w:rFonts w:ascii="Arial" w:hAnsi="Arial" w:cs="Arial"/>
        </w:rPr>
        <w:t xml:space="preserve">The National Autonomous University of Mexico (UNAM) is committed to the SDGs through research projects, educational programs, social services and sustainable development actions in which higher education students participate. The website "UNAM and the Sustainable Development Goals" contains academic activities on SDG 13, related to climate action. The integration of climate change education at different levels is reflected in student initiatives. The University Network on Climate Change is a multidisciplinary space that has the support of UNAM and in which students learn and expand their knowledge about climate change, with the aim of collaborating in learning and raising awareness about climate change. Climate change issues are part of the curriculum of UNAM programs, such as the bachelor's degree in Sustainable Management of Coastal Zones, the bachelor's degrees in Environmental Sciences and Biology, among others (SEMARNAT, 2017). </w:t>
      </w:r>
    </w:p>
    <w:p w14:paraId="1FAD2179" w14:textId="2384C02A" w:rsidR="008066B8" w:rsidRPr="00C25E2F" w:rsidRDefault="008066B8" w:rsidP="0083691F">
      <w:pPr>
        <w:pStyle w:val="Body"/>
        <w:spacing w:after="160"/>
        <w:rPr>
          <w:rFonts w:ascii="Arial" w:hAnsi="Arial" w:cs="Arial"/>
        </w:rPr>
      </w:pPr>
      <w:r w:rsidRPr="00C25E2F">
        <w:rPr>
          <w:rFonts w:ascii="Arial" w:hAnsi="Arial" w:cs="Arial"/>
        </w:rPr>
        <w:t>Despite these efforts in higher education, they focus on teaching scientific knowledge and valuing the environment without developing skills to act on climate change (UNESCO, 2019). The low inclusion of skills development in green work is repeated in technical-professional and university education. Most countries do not include the development of skills for transitioning to green economies in technical-vocational and university education programs (</w:t>
      </w:r>
      <w:r w:rsidR="00F37223" w:rsidRPr="00C25E2F">
        <w:rPr>
          <w:rFonts w:ascii="Arial" w:hAnsi="Arial" w:cs="Arial"/>
        </w:rPr>
        <w:t>OIT</w:t>
      </w:r>
      <w:r w:rsidRPr="00C25E2F">
        <w:rPr>
          <w:rFonts w:ascii="Arial" w:hAnsi="Arial" w:cs="Arial"/>
        </w:rPr>
        <w:t xml:space="preserve">, 2018). </w:t>
      </w:r>
    </w:p>
    <w:p w14:paraId="4FE9D8A7" w14:textId="3D6AA251" w:rsidR="008066B8" w:rsidRPr="00C25E2F" w:rsidRDefault="008066B8" w:rsidP="0083691F">
      <w:pPr>
        <w:pStyle w:val="Body"/>
        <w:spacing w:after="160"/>
        <w:rPr>
          <w:rFonts w:ascii="Arial" w:hAnsi="Arial" w:cs="Arial"/>
        </w:rPr>
      </w:pPr>
      <w:r w:rsidRPr="00C25E2F">
        <w:rPr>
          <w:rFonts w:ascii="Arial" w:hAnsi="Arial" w:cs="Arial"/>
        </w:rPr>
        <w:t>Teacher training does not adequately prepare teachers on environmental and climate change issues. According to UNESCO, teachers report having few spaces to expand their knowledge regarding the environment and climate change; 36% of teachers declare that environmental issues, climate change and biodiversity were never included in their initial or continuing training (UNESCO, 2022) and 93% consider that teaching on climate change is very important (UNESCO and Education International, 2021), only 40% declare that they are able to teach knowledge on the subject,  20% believe that they can explain how to act in the face of climate change and 30% say they are not familiar with correct pedagogies to teach climate change (UNESCO, 2021). Teachers generally use outdated, ineffective pedagogies to develop knowledge, values, and capacities for climate action (</w:t>
      </w:r>
      <w:r w:rsidR="0083691F" w:rsidRPr="00C25E2F">
        <w:rPr>
          <w:rFonts w:ascii="Arial" w:hAnsi="Arial" w:cs="Arial"/>
        </w:rPr>
        <w:t>Bos &amp; Schwartz, 2023</w:t>
      </w:r>
      <w:r w:rsidRPr="00C25E2F">
        <w:rPr>
          <w:rFonts w:ascii="Arial" w:hAnsi="Arial" w:cs="Arial"/>
        </w:rPr>
        <w:t>).</w:t>
      </w:r>
    </w:p>
    <w:p w14:paraId="59295343" w14:textId="77777777" w:rsidR="008066B8" w:rsidRPr="00C25E2F" w:rsidRDefault="008066B8" w:rsidP="0083691F">
      <w:pPr>
        <w:pStyle w:val="Body"/>
        <w:spacing w:after="160"/>
        <w:rPr>
          <w:rFonts w:ascii="Arial" w:hAnsi="Arial" w:cs="Arial"/>
          <w:b/>
          <w:bCs/>
        </w:rPr>
      </w:pPr>
      <w:r w:rsidRPr="00C25E2F">
        <w:rPr>
          <w:rFonts w:ascii="Arial" w:hAnsi="Arial" w:cs="Arial"/>
          <w:b/>
          <w:bCs/>
        </w:rPr>
        <w:t>(c) Climate change in adult training and learning</w:t>
      </w:r>
    </w:p>
    <w:p w14:paraId="216C0DF4" w14:textId="7DF814FE" w:rsidR="008066B8" w:rsidRPr="00C25E2F" w:rsidRDefault="008066B8" w:rsidP="0083691F">
      <w:pPr>
        <w:pStyle w:val="Body"/>
        <w:spacing w:after="160"/>
        <w:rPr>
          <w:rFonts w:ascii="Arial" w:hAnsi="Arial" w:cs="Arial"/>
        </w:rPr>
      </w:pPr>
      <w:r w:rsidRPr="00C25E2F">
        <w:rPr>
          <w:rFonts w:ascii="Arial" w:hAnsi="Arial" w:cs="Arial"/>
        </w:rPr>
        <w:t xml:space="preserve">The General Law on Climate Change (2013) lays the foundations for incorporating climate change into institutions and developing their capacities, as it establishes that it is up to municipalities to "promote the strengthening of institutional and sectoral capacities for adaptation and mitigation." Capacity building for climate change is a theme of the National Climate Change Strategy (2013) and the Special Climate Change Program (2021-2024). The policies advocate for the development of the capacities of public employees with regard to issues related to climate change (SEMARNAT, 2017). </w:t>
      </w:r>
    </w:p>
    <w:p w14:paraId="49601099" w14:textId="77777777" w:rsidR="008066B8" w:rsidRPr="00C25E2F" w:rsidRDefault="008066B8" w:rsidP="0083691F">
      <w:pPr>
        <w:pStyle w:val="Body"/>
        <w:spacing w:after="160"/>
        <w:rPr>
          <w:rFonts w:ascii="Arial" w:hAnsi="Arial" w:cs="Arial"/>
        </w:rPr>
      </w:pPr>
      <w:r w:rsidRPr="00C25E2F">
        <w:rPr>
          <w:rFonts w:ascii="Arial" w:hAnsi="Arial" w:cs="Arial"/>
        </w:rPr>
        <w:t xml:space="preserve">A key element of the Center for Education and Training for Sustainable Development are the Centers for Environmental Education and Culture; these are public centers (zoos, parks, and museums), which promote environmental education for citizens. According to the Sixth National Communication, the Education Center has certified nearly 400 Environmental Education and Culture Centers. Nine of them work on climate change and provide access to education, scientific information and rules. The Sixth National Communication (2018) mentions training activities on climate change for officials and citizens, such as online courses, diplomas, videos, lectures and seminars. Some public institutions have created initiatives to </w:t>
      </w:r>
      <w:r w:rsidRPr="00C25E2F">
        <w:rPr>
          <w:rFonts w:ascii="Arial" w:hAnsi="Arial" w:cs="Arial"/>
        </w:rPr>
        <w:lastRenderedPageBreak/>
        <w:t xml:space="preserve">train their staff in environmental issues such as climate change, such activities include talks, conferences, training, and consultations on energy consumption, effects of climate change, reforestation, among others (SEMARNAT, 2017). </w:t>
      </w:r>
    </w:p>
    <w:p w14:paraId="056997F3" w14:textId="77777777" w:rsidR="008066B8" w:rsidRPr="00C25E2F" w:rsidRDefault="008066B8" w:rsidP="0083691F">
      <w:pPr>
        <w:pStyle w:val="Body"/>
        <w:spacing w:after="160"/>
        <w:rPr>
          <w:rFonts w:ascii="Arial" w:hAnsi="Arial" w:cs="Arial"/>
          <w:b/>
          <w:bCs/>
        </w:rPr>
      </w:pPr>
      <w:r w:rsidRPr="00C25E2F">
        <w:rPr>
          <w:rFonts w:ascii="Arial" w:hAnsi="Arial" w:cs="Arial"/>
          <w:b/>
          <w:bCs/>
        </w:rPr>
        <w:t>Communication on climate change in Mexico</w:t>
      </w:r>
    </w:p>
    <w:p w14:paraId="3EF6FB00" w14:textId="77777777" w:rsidR="008066B8" w:rsidRPr="00C25E2F" w:rsidRDefault="008066B8" w:rsidP="0083691F">
      <w:pPr>
        <w:pStyle w:val="Body"/>
        <w:spacing w:after="160"/>
        <w:rPr>
          <w:rFonts w:ascii="Arial" w:hAnsi="Arial" w:cs="Arial"/>
          <w:b/>
          <w:bCs/>
        </w:rPr>
      </w:pPr>
      <w:r w:rsidRPr="00C25E2F">
        <w:rPr>
          <w:rFonts w:ascii="Arial" w:hAnsi="Arial" w:cs="Arial"/>
          <w:b/>
          <w:bCs/>
        </w:rPr>
        <w:t>(a) Climate change and public awareness</w:t>
      </w:r>
    </w:p>
    <w:p w14:paraId="240811E8" w14:textId="77777777" w:rsidR="008066B8" w:rsidRPr="00C25E2F" w:rsidRDefault="008066B8" w:rsidP="0083691F">
      <w:pPr>
        <w:pStyle w:val="Body"/>
        <w:spacing w:after="160"/>
        <w:rPr>
          <w:rFonts w:ascii="Arial" w:hAnsi="Arial" w:cs="Arial"/>
        </w:rPr>
      </w:pPr>
      <w:r w:rsidRPr="00C25E2F">
        <w:rPr>
          <w:rFonts w:ascii="Arial" w:hAnsi="Arial" w:cs="Arial"/>
        </w:rPr>
        <w:t xml:space="preserve">The Ministry of Environment and Natural Resources (SEMARNAT) is a key institution that collaborates directly and indirectly with independent agencies on climate change. This secretariat implements activities such as Environment: Alternatives towards a Sustainable Future, a series of talks or forums organized regularly through Facebook and aims to improve knowledge of the current climate situation and raise awareness about adaptation and mitigation to climate change. </w:t>
      </w:r>
    </w:p>
    <w:p w14:paraId="64A3C221" w14:textId="77777777" w:rsidR="008066B8" w:rsidRPr="00C25E2F" w:rsidRDefault="008066B8" w:rsidP="0083691F">
      <w:pPr>
        <w:pStyle w:val="Body"/>
        <w:spacing w:after="160"/>
        <w:rPr>
          <w:rFonts w:ascii="Arial" w:hAnsi="Arial" w:cs="Arial"/>
        </w:rPr>
      </w:pPr>
      <w:r w:rsidRPr="00C25E2F">
        <w:rPr>
          <w:rFonts w:ascii="Arial" w:hAnsi="Arial" w:cs="Arial"/>
        </w:rPr>
        <w:t xml:space="preserve">The report on Action for Climate Empowerment (2020), mentions that the first national public opinion survey of citizen awareness of climate change (2017), showed that 89% of people have heard of climate change, but only 39% understand it in depth. Out of every 10 people, 7 believe that climate change affects the population of Mexico, but only 3 believe that stopping it is everyone's responsibility. The most educated and the youngest are the ones who consider climate change as a priority for Mexico (SEMARNAT, 2017). </w:t>
      </w:r>
    </w:p>
    <w:p w14:paraId="795B4573" w14:textId="7C7F312A" w:rsidR="008066B8" w:rsidRPr="00C25E2F" w:rsidRDefault="008066B8" w:rsidP="0083691F">
      <w:pPr>
        <w:pStyle w:val="Body"/>
        <w:spacing w:after="160"/>
        <w:rPr>
          <w:rFonts w:ascii="Arial" w:hAnsi="Arial" w:cs="Arial"/>
        </w:rPr>
      </w:pPr>
      <w:r w:rsidRPr="00C25E2F">
        <w:rPr>
          <w:rFonts w:ascii="Arial" w:hAnsi="Arial" w:cs="Arial"/>
        </w:rPr>
        <w:t xml:space="preserve">In 2020, the General Directorate of Educational Television and the National Institute of Ecology and Climate Change broadcast the series Climate Change Touches Us, composed of capsules for children and adolescents to have more knowledge of the environment and transform the collective consciousness to face climate change. The series focuses on education with values, awareness, knowledge and </w:t>
      </w:r>
      <w:r w:rsidR="00F37223" w:rsidRPr="00C25E2F">
        <w:rPr>
          <w:rFonts w:ascii="Arial" w:hAnsi="Arial" w:cs="Arial"/>
        </w:rPr>
        <w:t>behavioral</w:t>
      </w:r>
      <w:r w:rsidRPr="00C25E2F">
        <w:rPr>
          <w:rFonts w:ascii="Arial" w:hAnsi="Arial" w:cs="Arial"/>
        </w:rPr>
        <w:t xml:space="preserve"> changes that increase climate resilience. Topics such as biodiversity, cities, land, habits, inequality, energy and their relationship with climate change are addressed. Another initiative is Cinema Planeta, which since 2009 has been working to attract public attention, offering films, open-air film screenings, concerts, workshops and other activities around the environment. It uses environmental communication and education for the sake of citizen awareness (SEMARNAT, 2017).</w:t>
      </w:r>
    </w:p>
    <w:p w14:paraId="3D844856" w14:textId="77777777" w:rsidR="008066B8" w:rsidRPr="00C25E2F" w:rsidRDefault="008066B8" w:rsidP="0083691F">
      <w:pPr>
        <w:pStyle w:val="Body"/>
        <w:spacing w:after="160"/>
        <w:rPr>
          <w:rFonts w:ascii="Arial" w:hAnsi="Arial" w:cs="Arial"/>
        </w:rPr>
      </w:pPr>
      <w:r w:rsidRPr="00C25E2F">
        <w:rPr>
          <w:rFonts w:ascii="Arial" w:hAnsi="Arial" w:cs="Arial"/>
        </w:rPr>
        <w:t xml:space="preserve">The INECC develops national campaigns such as, "I change, you change, change everything. Climate change touches us" (2017), which was disseminated in the traditional media and through environmental awareness materials to highlight the importance of tackling climate change. Likewise, actions to raise awareness about pollution and protection of wetlands, as well as actions against climate change  by INECC and other institutions (SEMARNAT, 2017) are highlighted. </w:t>
      </w:r>
    </w:p>
    <w:p w14:paraId="16D7D2F4" w14:textId="77777777" w:rsidR="008066B8" w:rsidRPr="00C25E2F" w:rsidRDefault="008066B8" w:rsidP="0083691F">
      <w:pPr>
        <w:pStyle w:val="Body"/>
        <w:spacing w:after="160"/>
        <w:rPr>
          <w:rFonts w:ascii="Arial" w:hAnsi="Arial" w:cs="Arial"/>
          <w:b/>
          <w:bCs/>
        </w:rPr>
      </w:pPr>
      <w:r w:rsidRPr="00C25E2F">
        <w:rPr>
          <w:rFonts w:ascii="Arial" w:hAnsi="Arial" w:cs="Arial"/>
          <w:b/>
          <w:bCs/>
        </w:rPr>
        <w:t>(b) Climate change and public access to information</w:t>
      </w:r>
    </w:p>
    <w:p w14:paraId="70C48798" w14:textId="77777777" w:rsidR="008066B8" w:rsidRPr="00C25E2F" w:rsidRDefault="008066B8" w:rsidP="0083691F">
      <w:pPr>
        <w:pStyle w:val="Body"/>
        <w:spacing w:after="160"/>
        <w:rPr>
          <w:rFonts w:ascii="Arial" w:hAnsi="Arial" w:cs="Arial"/>
        </w:rPr>
      </w:pPr>
      <w:r w:rsidRPr="00C25E2F">
        <w:rPr>
          <w:rFonts w:ascii="Arial" w:hAnsi="Arial" w:cs="Arial"/>
        </w:rPr>
        <w:t xml:space="preserve">The National Institute of Transparency, Access to Information and Protection of Personal Data guarantees two fundamental rights: access to information and the protection of personal data. In 2020, Mexico ratified the Escazú Agreement, which guarantees access to environmental information and has an impact on improving awareness, education, capacity building, and public cooperation on climate change. </w:t>
      </w:r>
    </w:p>
    <w:p w14:paraId="3E92D1D2" w14:textId="77777777" w:rsidR="008066B8" w:rsidRPr="00C25E2F" w:rsidRDefault="008066B8" w:rsidP="0083691F">
      <w:pPr>
        <w:pStyle w:val="Body"/>
        <w:spacing w:after="160"/>
        <w:rPr>
          <w:rFonts w:ascii="Arial" w:hAnsi="Arial" w:cs="Arial"/>
        </w:rPr>
      </w:pPr>
      <w:r w:rsidRPr="00C25E2F">
        <w:rPr>
          <w:rFonts w:ascii="Arial" w:hAnsi="Arial" w:cs="Arial"/>
        </w:rPr>
        <w:t xml:space="preserve">The National Climate Change System website provides information on climate change indicators, greenhouse gas emissions, statistics, geography, vulnerability and adaptation through interactive maps, videos and documents. The Mexico in the Face of Climate Change  website is an important contribution of government agencies aimed at citizens, academia and decision-makers, where documentation, research, news, educational material, on international and legal cooperation on climate change are compiled (SEMARNAT, 2017). </w:t>
      </w:r>
    </w:p>
    <w:p w14:paraId="21884C05" w14:textId="7A1CB9D4" w:rsidR="008066B8" w:rsidRPr="00C25E2F" w:rsidRDefault="008066B8" w:rsidP="0083691F">
      <w:pPr>
        <w:pStyle w:val="Body"/>
        <w:spacing w:after="160"/>
        <w:rPr>
          <w:rFonts w:ascii="Arial" w:hAnsi="Arial" w:cs="Arial"/>
        </w:rPr>
      </w:pPr>
      <w:r w:rsidRPr="00C25E2F">
        <w:rPr>
          <w:rFonts w:ascii="Arial" w:hAnsi="Arial" w:cs="Arial"/>
        </w:rPr>
        <w:t xml:space="preserve">The Government of Mexico also offers information for practical learning and encourages citizens to improve their habits to cope with climate change. SEMARNAT offers freely accessible information through documents such as: "Third Work Report" (2020-2021) and the </w:t>
      </w:r>
      <w:r w:rsidRPr="00C25E2F">
        <w:rPr>
          <w:rFonts w:ascii="Arial" w:hAnsi="Arial" w:cs="Arial"/>
        </w:rPr>
        <w:lastRenderedPageBreak/>
        <w:t xml:space="preserve">Environment and Natural Resources Sectoral Program (2020-2024), which include data, gaps, future goals, ongoing projects and links to official documents on climate change, as well as reports for interested persons. In 2016, SEMARNAT consolidated its publications into a central system that allows access to information on climate change through a national website that promotes education, training, and communication. The website is regularly updated and advertised on the Government's social media. It includes information on climate culture, skills and tools related to the government's response and aspects of climate policies in Mexico. The Government also collaborated with the Spanish Agency for International Development Cooperation in the development of the website De </w:t>
      </w:r>
      <w:proofErr w:type="spellStart"/>
      <w:r w:rsidRPr="00C25E2F">
        <w:rPr>
          <w:rFonts w:ascii="Arial" w:hAnsi="Arial" w:cs="Arial"/>
        </w:rPr>
        <w:t>Frente</w:t>
      </w:r>
      <w:proofErr w:type="spellEnd"/>
      <w:r w:rsidRPr="00C25E2F">
        <w:rPr>
          <w:rFonts w:ascii="Arial" w:hAnsi="Arial" w:cs="Arial"/>
        </w:rPr>
        <w:t xml:space="preserve"> al Cambio </w:t>
      </w:r>
      <w:proofErr w:type="spellStart"/>
      <w:r w:rsidRPr="00C25E2F">
        <w:rPr>
          <w:rFonts w:ascii="Arial" w:hAnsi="Arial" w:cs="Arial"/>
        </w:rPr>
        <w:t>Climático</w:t>
      </w:r>
      <w:proofErr w:type="spellEnd"/>
      <w:r w:rsidRPr="00C25E2F">
        <w:rPr>
          <w:rFonts w:ascii="Arial" w:hAnsi="Arial" w:cs="Arial"/>
        </w:rPr>
        <w:t>, which offers simplified information on climate change and its effects in Mexico. The INECC offers an official newspaper on climate change news "</w:t>
      </w:r>
      <w:proofErr w:type="spellStart"/>
      <w:r w:rsidRPr="00C25E2F">
        <w:rPr>
          <w:rFonts w:ascii="Arial" w:hAnsi="Arial" w:cs="Arial"/>
        </w:rPr>
        <w:t>Gaceta</w:t>
      </w:r>
      <w:proofErr w:type="spellEnd"/>
      <w:r w:rsidRPr="00C25E2F">
        <w:rPr>
          <w:rFonts w:ascii="Arial" w:hAnsi="Arial" w:cs="Arial"/>
        </w:rPr>
        <w:t xml:space="preserve"> </w:t>
      </w:r>
      <w:proofErr w:type="spellStart"/>
      <w:r w:rsidRPr="00C25E2F">
        <w:rPr>
          <w:rFonts w:ascii="Arial" w:hAnsi="Arial" w:cs="Arial"/>
        </w:rPr>
        <w:t>Climátic</w:t>
      </w:r>
      <w:r w:rsidR="00F37223" w:rsidRPr="00C25E2F">
        <w:rPr>
          <w:rFonts w:ascii="Arial" w:hAnsi="Arial" w:cs="Arial"/>
        </w:rPr>
        <w:t>a</w:t>
      </w:r>
      <w:proofErr w:type="spellEnd"/>
      <w:r w:rsidRPr="00C25E2F">
        <w:rPr>
          <w:rFonts w:ascii="Arial" w:hAnsi="Arial" w:cs="Arial"/>
        </w:rPr>
        <w:t xml:space="preserve">", where information is obtained on national progress, environmental and climate change issues, world news, governmental or non-governmental decisions and agreements on climate change (SEMARNAT, 2017). </w:t>
      </w:r>
    </w:p>
    <w:p w14:paraId="04D9106C" w14:textId="77777777" w:rsidR="008066B8" w:rsidRPr="00C25E2F" w:rsidRDefault="008066B8" w:rsidP="0083691F">
      <w:pPr>
        <w:pStyle w:val="Body"/>
        <w:spacing w:after="160"/>
        <w:rPr>
          <w:rFonts w:ascii="Arial" w:hAnsi="Arial" w:cs="Arial"/>
          <w:b/>
          <w:bCs/>
        </w:rPr>
      </w:pPr>
      <w:r w:rsidRPr="00C25E2F">
        <w:rPr>
          <w:rFonts w:ascii="Arial" w:hAnsi="Arial" w:cs="Arial"/>
          <w:b/>
          <w:bCs/>
        </w:rPr>
        <w:t>(c) Climate change and public participation</w:t>
      </w:r>
    </w:p>
    <w:p w14:paraId="16579FFB" w14:textId="2BB55FE3" w:rsidR="008066B8" w:rsidRPr="00C25E2F" w:rsidRDefault="008066B8" w:rsidP="0083691F">
      <w:pPr>
        <w:pStyle w:val="Body"/>
        <w:spacing w:after="160"/>
        <w:rPr>
          <w:rFonts w:ascii="Arial" w:hAnsi="Arial" w:cs="Arial"/>
        </w:rPr>
      </w:pPr>
      <w:r w:rsidRPr="00C25E2F">
        <w:rPr>
          <w:rFonts w:ascii="Arial" w:hAnsi="Arial" w:cs="Arial"/>
        </w:rPr>
        <w:t>The General Law on Climate Change (2012) in articles 7, 8 and 68, establishes that the bodies responsible for strategies and programs on climate change must involve society. The Escazú Agreement (2018) was incorporated into Mexico's legal framework to highlight the right of citizens to participate in environmental decisions, sustainable development, and decisions that affect citizens. The Special Climate Change Program (2020-2024) is aimed at different social groups, especially those most vulnerable to climate change from an inclusive perspective. The Program contributes to gender equality with empowerment measures that aim to reduce social gaps. The National Women's Institute participated in the development of the program by promoting gender perspectives in climate change policies. In a 2020 survey, the Special Climate Change Program examined citizen participation in order to improve government priorities and policymaking.</w:t>
      </w:r>
      <w:r w:rsidR="0099740E" w:rsidRPr="00C25E2F">
        <w:rPr>
          <w:rFonts w:ascii="Arial" w:hAnsi="Arial" w:cs="Arial"/>
        </w:rPr>
        <w:t xml:space="preserve"> </w:t>
      </w:r>
      <w:r w:rsidRPr="00C25E2F">
        <w:rPr>
          <w:rFonts w:ascii="Arial" w:hAnsi="Arial" w:cs="Arial"/>
        </w:rPr>
        <w:t xml:space="preserve">The results suggest that citizens want to see increased and improved communication and education about climate change. </w:t>
      </w:r>
    </w:p>
    <w:p w14:paraId="3AA1221F" w14:textId="21A8A92D" w:rsidR="008066B8" w:rsidRPr="00C25E2F" w:rsidRDefault="008066B8" w:rsidP="0083691F">
      <w:pPr>
        <w:pStyle w:val="Body"/>
        <w:spacing w:after="160"/>
        <w:rPr>
          <w:rFonts w:ascii="Arial" w:hAnsi="Arial" w:cs="Arial"/>
        </w:rPr>
      </w:pPr>
      <w:r w:rsidRPr="00C25E2F">
        <w:rPr>
          <w:rFonts w:ascii="Arial" w:hAnsi="Arial" w:cs="Arial"/>
        </w:rPr>
        <w:t xml:space="preserve">SEMARNAT organized </w:t>
      </w:r>
      <w:r w:rsidR="0099740E" w:rsidRPr="00C25E2F">
        <w:rPr>
          <w:rFonts w:ascii="Arial" w:hAnsi="Arial" w:cs="Arial"/>
        </w:rPr>
        <w:t>“</w:t>
      </w:r>
      <w:proofErr w:type="spellStart"/>
      <w:r w:rsidR="0099740E" w:rsidRPr="00C25E2F">
        <w:rPr>
          <w:rFonts w:ascii="Arial" w:hAnsi="Arial" w:cs="Arial"/>
        </w:rPr>
        <w:t>Rompe</w:t>
      </w:r>
      <w:proofErr w:type="spellEnd"/>
      <w:r w:rsidR="0099740E" w:rsidRPr="00C25E2F">
        <w:rPr>
          <w:rFonts w:ascii="Arial" w:hAnsi="Arial" w:cs="Arial"/>
        </w:rPr>
        <w:t xml:space="preserve"> con el Cambio </w:t>
      </w:r>
      <w:proofErr w:type="spellStart"/>
      <w:r w:rsidR="0099740E" w:rsidRPr="00C25E2F">
        <w:rPr>
          <w:rFonts w:ascii="Arial" w:hAnsi="Arial" w:cs="Arial"/>
        </w:rPr>
        <w:t>Climático</w:t>
      </w:r>
      <w:proofErr w:type="spellEnd"/>
      <w:r w:rsidR="0099740E" w:rsidRPr="00C25E2F">
        <w:rPr>
          <w:rFonts w:ascii="Arial" w:hAnsi="Arial" w:cs="Arial"/>
        </w:rPr>
        <w:t>”</w:t>
      </w:r>
      <w:r w:rsidRPr="00C25E2F">
        <w:rPr>
          <w:rFonts w:ascii="Arial" w:hAnsi="Arial" w:cs="Arial"/>
        </w:rPr>
        <w:t>, an annual contest that ran until 2015 and invited youth groups and organizations to take action against climate change, where they were tasked with developing ideas on what youth can do against climate change. In the Sixth National Communication (2018), social participation is highlighted as the key to ensuring that society understands vulnerability to climate change, which will facilitate adaptation and mitigation. One of the lessons learned is to "use the 'learning by doing' method that facilitates the acquisition of new skills, social learning, the empowerment of communities, the collective construction of knowledge and the appropriation of measures". In addition, it is reported that 26 states involve citizens in climate change through committees, however, only 17 states have initiatives that involve citizens in climate change issues (SEMARNAT, 2017).</w:t>
      </w:r>
    </w:p>
    <w:p w14:paraId="52A6D31B" w14:textId="77777777" w:rsidR="008066B8" w:rsidRPr="00C25E2F" w:rsidRDefault="008066B8" w:rsidP="0083691F">
      <w:pPr>
        <w:pStyle w:val="Body"/>
        <w:spacing w:after="160"/>
        <w:rPr>
          <w:rFonts w:ascii="Arial" w:hAnsi="Arial" w:cs="Arial"/>
        </w:rPr>
      </w:pPr>
      <w:r w:rsidRPr="00C25E2F">
        <w:rPr>
          <w:rFonts w:ascii="Arial" w:hAnsi="Arial" w:cs="Arial"/>
        </w:rPr>
        <w:t xml:space="preserve">The National Atlas of Vulnerability to Climate Change, prepared by SEMARNAT and INECC, uses national indicators to assess vulnerability to climate change on specific issues and collects information for policymaking. SEMARNAT's "Third Work Report" (2020-2021) tracks collaborations, conferences, plans, and research projects led by SEMARNAT and independent institutions on the environment, climate change, education, and Action for Climate Empowerment. </w:t>
      </w:r>
    </w:p>
    <w:p w14:paraId="1F64F39F" w14:textId="73910C19" w:rsidR="00E053D0" w:rsidRPr="00C25E2F" w:rsidRDefault="008066B8" w:rsidP="0083691F">
      <w:pPr>
        <w:pStyle w:val="Body"/>
        <w:spacing w:after="160"/>
        <w:rPr>
          <w:rFonts w:ascii="Arial" w:hAnsi="Arial" w:cs="Arial"/>
        </w:rPr>
      </w:pPr>
      <w:r w:rsidRPr="00C25E2F">
        <w:rPr>
          <w:rFonts w:ascii="Arial" w:hAnsi="Arial" w:cs="Arial"/>
        </w:rPr>
        <w:t>The Government of Mexico is constantly working to improve daily contributions to sustainable development. The contributions at the national level (2020) mention the implementation of an Information System and Transparency Actions to render accounts and monitor actions, particularly the Special Climate Change Program and contributions.</w:t>
      </w:r>
    </w:p>
    <w:p w14:paraId="5E694673" w14:textId="77777777" w:rsidR="008066B8" w:rsidRPr="00C25E2F" w:rsidRDefault="008066B8" w:rsidP="0083691F">
      <w:pPr>
        <w:pStyle w:val="Body"/>
        <w:spacing w:after="160"/>
        <w:rPr>
          <w:rFonts w:ascii="Arial" w:hAnsi="Arial" w:cs="Arial"/>
        </w:rPr>
      </w:pPr>
      <w:r w:rsidRPr="00C25E2F">
        <w:rPr>
          <w:rFonts w:ascii="Arial" w:hAnsi="Arial" w:cs="Arial"/>
        </w:rPr>
        <w:t>The results obtained coincide with international research that highlights the role of education in the construction of sustainable societies. Various studies indicate that environmental education can significantly contribute to modifying behaviors and promoting collective actions in the face of climate change.</w:t>
      </w:r>
    </w:p>
    <w:p w14:paraId="07C08591" w14:textId="77777777" w:rsidR="008066B8" w:rsidRPr="00C25E2F" w:rsidRDefault="008066B8" w:rsidP="0083691F">
      <w:pPr>
        <w:pStyle w:val="Body"/>
        <w:spacing w:after="160"/>
        <w:rPr>
          <w:rFonts w:ascii="Arial" w:hAnsi="Arial" w:cs="Arial"/>
        </w:rPr>
      </w:pPr>
      <w:r w:rsidRPr="00C25E2F">
        <w:rPr>
          <w:rFonts w:ascii="Arial" w:hAnsi="Arial" w:cs="Arial"/>
        </w:rPr>
        <w:lastRenderedPageBreak/>
        <w:t>However, the literature also points out that climate education faces various challenges, including a lack of curricular transversality, insufficient teacher training, and limited community participation.</w:t>
      </w:r>
    </w:p>
    <w:p w14:paraId="7FD0D2B4" w14:textId="77777777" w:rsidR="008066B8" w:rsidRPr="00C25E2F" w:rsidRDefault="008066B8" w:rsidP="0083691F">
      <w:pPr>
        <w:pStyle w:val="Body"/>
        <w:spacing w:after="160"/>
        <w:rPr>
          <w:rFonts w:ascii="Arial" w:hAnsi="Arial" w:cs="Arial"/>
        </w:rPr>
      </w:pPr>
      <w:r w:rsidRPr="00C25E2F">
        <w:rPr>
          <w:rFonts w:ascii="Arial" w:hAnsi="Arial" w:cs="Arial"/>
        </w:rPr>
        <w:t xml:space="preserve">In the Latin American context, several studies have highlighted the need to promote interdisciplinary educational approaches that integrate scientific knowledge, local knowledge, and social participation. </w:t>
      </w:r>
    </w:p>
    <w:p w14:paraId="09304B17" w14:textId="780C48E2" w:rsidR="008066B8" w:rsidRPr="00C25E2F" w:rsidRDefault="008066B8" w:rsidP="0083691F">
      <w:pPr>
        <w:pStyle w:val="Body"/>
        <w:spacing w:after="160"/>
        <w:rPr>
          <w:rFonts w:ascii="Arial" w:hAnsi="Arial" w:cs="Arial"/>
        </w:rPr>
      </w:pPr>
      <w:r w:rsidRPr="00C25E2F">
        <w:rPr>
          <w:rFonts w:ascii="Arial" w:hAnsi="Arial" w:cs="Arial"/>
        </w:rPr>
        <w:t>Currently, the issues of education and climate change are being positioned more strongly on the climate agenda, particularly at meetings of the Conference of the Parties on Climate Change (COP). Highlighting the Alliance for Ecological Education coordinated by UNESCO, which seeks to provide students with the knowledge, skills, values and attitudes to face climate change and promote sustainable development (</w:t>
      </w:r>
      <w:r w:rsidR="0083691F" w:rsidRPr="00C25E2F">
        <w:rPr>
          <w:rFonts w:ascii="Arial" w:hAnsi="Arial" w:cs="Arial"/>
        </w:rPr>
        <w:t>Bos &amp; Schwartz, 2023</w:t>
      </w:r>
      <w:r w:rsidRPr="00C25E2F">
        <w:rPr>
          <w:rFonts w:ascii="Arial" w:hAnsi="Arial" w:cs="Arial"/>
        </w:rPr>
        <w:t>).</w:t>
      </w:r>
    </w:p>
    <w:p w14:paraId="1CBD6309" w14:textId="7847ADE1" w:rsidR="008066B8" w:rsidRPr="00C25E2F" w:rsidRDefault="008066B8" w:rsidP="0083691F">
      <w:pPr>
        <w:pStyle w:val="Body"/>
        <w:spacing w:after="160"/>
        <w:rPr>
          <w:rFonts w:ascii="Arial" w:hAnsi="Arial" w:cs="Arial"/>
        </w:rPr>
      </w:pPr>
      <w:r w:rsidRPr="00C25E2F">
        <w:rPr>
          <w:rFonts w:ascii="Arial" w:hAnsi="Arial" w:cs="Arial"/>
        </w:rPr>
        <w:t>Taking into account the challenges of Latin American education systems in the face of climate change, and the roles of education in decarbonization and resilience to climate change, a series of interventions that the countries of the region, including Mexico, can carry out to ensure that students are empowered and agents of change to take care of the environment and combat climate change with knowledge,  values and behaviors, and ensure that education systems can continue to operate in the face of climate emergencies with sustainability strategies. In Mexico, it is necessary to reform national curricula and curricula to incorporate throughout the school year the development of (</w:t>
      </w:r>
      <w:proofErr w:type="spellStart"/>
      <w:r w:rsidRPr="00C25E2F">
        <w:rPr>
          <w:rFonts w:ascii="Arial" w:hAnsi="Arial" w:cs="Arial"/>
        </w:rPr>
        <w:t>i</w:t>
      </w:r>
      <w:proofErr w:type="spellEnd"/>
      <w:r w:rsidRPr="00C25E2F">
        <w:rPr>
          <w:rFonts w:ascii="Arial" w:hAnsi="Arial" w:cs="Arial"/>
        </w:rPr>
        <w:t>) knowledge about the environment, biodiversity and climate change; (ii) appreciation and respect for nature, the environment and biodiversity; and (iii) behaviors in favor of the environment (</w:t>
      </w:r>
      <w:r w:rsidR="0083691F" w:rsidRPr="00C25E2F">
        <w:rPr>
          <w:rFonts w:ascii="Arial" w:hAnsi="Arial" w:cs="Arial"/>
        </w:rPr>
        <w:t>Bos &amp; Schwartz, 2023</w:t>
      </w:r>
      <w:r w:rsidRPr="00C25E2F">
        <w:rPr>
          <w:rFonts w:ascii="Arial" w:hAnsi="Arial" w:cs="Arial"/>
        </w:rPr>
        <w:t>).</w:t>
      </w:r>
    </w:p>
    <w:p w14:paraId="288D1428" w14:textId="5730EC6F" w:rsidR="008066B8" w:rsidRPr="00C25E2F" w:rsidRDefault="008066B8" w:rsidP="0083691F">
      <w:pPr>
        <w:pStyle w:val="Body"/>
        <w:spacing w:after="160"/>
        <w:rPr>
          <w:rFonts w:ascii="Arial" w:hAnsi="Arial" w:cs="Arial"/>
        </w:rPr>
      </w:pPr>
      <w:r w:rsidRPr="00C25E2F">
        <w:rPr>
          <w:rFonts w:ascii="Arial" w:hAnsi="Arial" w:cs="Arial"/>
        </w:rPr>
        <w:t>Expand the offer of technical-professional and higher education programs that develop skills for green jobs, coordinated with growth and decarbonization strategies of the productive sector and job training. Train teachers (initial training and professional development) to have the knowledge and skills to deliver climate change education and implement climate change education (</w:t>
      </w:r>
      <w:r w:rsidR="0083691F" w:rsidRPr="00C25E2F">
        <w:rPr>
          <w:rFonts w:ascii="Arial" w:hAnsi="Arial" w:cs="Arial"/>
        </w:rPr>
        <w:t>Bos &amp; Schwartz, 2023</w:t>
      </w:r>
      <w:r w:rsidRPr="00C25E2F">
        <w:rPr>
          <w:rFonts w:ascii="Arial" w:hAnsi="Arial" w:cs="Arial"/>
        </w:rPr>
        <w:t>).</w:t>
      </w:r>
    </w:p>
    <w:p w14:paraId="474B0BBC" w14:textId="190F79FD" w:rsidR="008066B8" w:rsidRPr="00C25E2F" w:rsidRDefault="008066B8" w:rsidP="0083691F">
      <w:pPr>
        <w:pStyle w:val="Body"/>
        <w:spacing w:after="160"/>
        <w:rPr>
          <w:rFonts w:ascii="Arial" w:hAnsi="Arial" w:cs="Arial"/>
        </w:rPr>
      </w:pPr>
      <w:r w:rsidRPr="00C25E2F">
        <w:rPr>
          <w:rFonts w:ascii="Arial" w:hAnsi="Arial" w:cs="Arial"/>
        </w:rPr>
        <w:t xml:space="preserve">Encourage the use of effective, project-based and problem-solving pedagogical practices that foster lifelong learning. Climate change education should be based on pedagogies that translate knowledge into action and </w:t>
      </w:r>
      <w:r w:rsidR="0099740E" w:rsidRPr="00C25E2F">
        <w:rPr>
          <w:rFonts w:ascii="Arial" w:hAnsi="Arial" w:cs="Arial"/>
        </w:rPr>
        <w:t>behavioral</w:t>
      </w:r>
      <w:r w:rsidRPr="00C25E2F">
        <w:rPr>
          <w:rFonts w:ascii="Arial" w:hAnsi="Arial" w:cs="Arial"/>
        </w:rPr>
        <w:t xml:space="preserve"> change, and foster lifelong skills acquisition; with participatory, project-based and problem-solving methods that create spaces for discussion so that students can carry out a critical and productive analysis of scientific knowledge on climate change and its possible solutions. Likewise, to promote extracurricular programs that allow students to complement, deepen and contextualize education for climate change. Basing climate change education on students' lived experiences can increase their civic engagement and encourage climate change behaviors (K12 Climate Action Commission, 2021). Leverage the sustainability practices and strategies of educational institutions to foster learning about sustainability and the environment (</w:t>
      </w:r>
      <w:r w:rsidR="0083691F" w:rsidRPr="00C25E2F">
        <w:rPr>
          <w:rFonts w:ascii="Arial" w:hAnsi="Arial" w:cs="Arial"/>
        </w:rPr>
        <w:t>Bos &amp; Schwartz, 2023</w:t>
      </w:r>
      <w:r w:rsidRPr="00C25E2F">
        <w:rPr>
          <w:rFonts w:ascii="Arial" w:hAnsi="Arial" w:cs="Arial"/>
        </w:rPr>
        <w:t xml:space="preserve">). </w:t>
      </w:r>
    </w:p>
    <w:p w14:paraId="250E16E5" w14:textId="3AC6BCA1" w:rsidR="008066B8" w:rsidRPr="00C25E2F" w:rsidRDefault="008066B8" w:rsidP="0083691F">
      <w:pPr>
        <w:pStyle w:val="Body"/>
        <w:spacing w:after="160"/>
        <w:rPr>
          <w:rFonts w:ascii="Arial" w:hAnsi="Arial" w:cs="Arial"/>
        </w:rPr>
      </w:pPr>
      <w:r w:rsidRPr="00C25E2F">
        <w:rPr>
          <w:rFonts w:ascii="Arial" w:hAnsi="Arial" w:cs="Arial"/>
        </w:rPr>
        <w:t>To ensure the quality of climate change education teaching, it is key to have measurement instruments that have to be developed and adapted to provide green citizenship skills to monitor student learning and inform climate change education (</w:t>
      </w:r>
      <w:r w:rsidR="0083691F" w:rsidRPr="00C25E2F">
        <w:rPr>
          <w:rFonts w:ascii="Arial" w:hAnsi="Arial" w:cs="Arial"/>
        </w:rPr>
        <w:t>Bos &amp; Schwartz, 2023</w:t>
      </w:r>
      <w:r w:rsidRPr="00C25E2F">
        <w:rPr>
          <w:rFonts w:ascii="Arial" w:hAnsi="Arial" w:cs="Arial"/>
        </w:rPr>
        <w:t xml:space="preserve">). </w:t>
      </w:r>
    </w:p>
    <w:p w14:paraId="289122BD" w14:textId="5244670D" w:rsidR="008066B8" w:rsidRPr="00C25E2F" w:rsidRDefault="008066B8" w:rsidP="0083691F">
      <w:pPr>
        <w:pStyle w:val="Body"/>
        <w:spacing w:after="160"/>
        <w:rPr>
          <w:rFonts w:ascii="Arial" w:hAnsi="Arial" w:cs="Arial"/>
        </w:rPr>
      </w:pPr>
      <w:r w:rsidRPr="00C25E2F">
        <w:rPr>
          <w:rFonts w:ascii="Arial" w:hAnsi="Arial" w:cs="Arial"/>
        </w:rPr>
        <w:t>Strengthen the resilience of education systems to face the impacts of climate change, both the resilience of school buildings to extreme weather events, and ensure comfort conditions in the classroom conducive to learning. Additionally, schools must be prepared to be used as a refuge for the community in the face of extreme weather events. Have emergency plans in place to prepare the education system for climatic eventualities and implement distance education models to provide continuity of educational service during climate emergencies and increase socio-emotional support for students before, during, and after extreme weather events in complement with the efforts of the health sector (</w:t>
      </w:r>
      <w:r w:rsidR="0083691F" w:rsidRPr="00C25E2F">
        <w:rPr>
          <w:rFonts w:ascii="Arial" w:hAnsi="Arial" w:cs="Arial"/>
        </w:rPr>
        <w:t>Bos &amp; Schwartz, 2023</w:t>
      </w:r>
      <w:r w:rsidRPr="00C25E2F">
        <w:rPr>
          <w:rFonts w:ascii="Arial" w:hAnsi="Arial" w:cs="Arial"/>
        </w:rPr>
        <w:t>).</w:t>
      </w:r>
    </w:p>
    <w:p w14:paraId="7EE2E23D" w14:textId="1BF055C9" w:rsidR="00790ADA" w:rsidRDefault="00790ADA" w:rsidP="0083691F">
      <w:pPr>
        <w:pStyle w:val="Body"/>
        <w:spacing w:after="160"/>
        <w:rPr>
          <w:rFonts w:ascii="Arial" w:hAnsi="Arial" w:cs="Arial"/>
        </w:rPr>
      </w:pPr>
    </w:p>
    <w:p w14:paraId="4388EB90" w14:textId="40278599" w:rsidR="004B5CA3" w:rsidRDefault="004B5CA3" w:rsidP="004B5CA3">
      <w:pPr>
        <w:pStyle w:val="Body"/>
        <w:spacing w:after="0"/>
        <w:rPr>
          <w:rFonts w:ascii="Arial" w:hAnsi="Arial" w:cs="Arial"/>
        </w:rPr>
      </w:pPr>
      <w:r w:rsidRPr="004B5CA3">
        <w:rPr>
          <w:rFonts w:ascii="Arial" w:hAnsi="Arial" w:cs="Arial"/>
        </w:rPr>
        <w:lastRenderedPageBreak/>
        <w:t>Table 2 Strategies and policies that contribute to Climate Change Education in Mexico</w:t>
      </w:r>
    </w:p>
    <w:tbl>
      <w:tblPr>
        <w:tblStyle w:val="TableGrid"/>
        <w:tblW w:w="9214" w:type="dxa"/>
        <w:tblInd w:w="-714" w:type="dxa"/>
        <w:tblLook w:val="04A0" w:firstRow="1" w:lastRow="0" w:firstColumn="1" w:lastColumn="0" w:noHBand="0" w:noVBand="1"/>
      </w:tblPr>
      <w:tblGrid>
        <w:gridCol w:w="1892"/>
        <w:gridCol w:w="1794"/>
        <w:gridCol w:w="3686"/>
        <w:gridCol w:w="1842"/>
      </w:tblGrid>
      <w:tr w:rsidR="004B5CA3" w:rsidRPr="004B5CA3" w14:paraId="6389391A" w14:textId="77777777" w:rsidTr="004B5CA3">
        <w:trPr>
          <w:trHeight w:val="288"/>
        </w:trPr>
        <w:tc>
          <w:tcPr>
            <w:tcW w:w="1892" w:type="dxa"/>
            <w:noWrap/>
            <w:hideMark/>
          </w:tcPr>
          <w:p w14:paraId="0D127602"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Category</w:t>
            </w:r>
          </w:p>
        </w:tc>
        <w:tc>
          <w:tcPr>
            <w:tcW w:w="1794" w:type="dxa"/>
            <w:noWrap/>
            <w:hideMark/>
          </w:tcPr>
          <w:p w14:paraId="1845E09A"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Key Aspect</w:t>
            </w:r>
          </w:p>
        </w:tc>
        <w:tc>
          <w:tcPr>
            <w:tcW w:w="3686" w:type="dxa"/>
            <w:noWrap/>
            <w:hideMark/>
          </w:tcPr>
          <w:p w14:paraId="4BC63E6C"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Synthesized Description</w:t>
            </w:r>
          </w:p>
        </w:tc>
        <w:tc>
          <w:tcPr>
            <w:tcW w:w="1842" w:type="dxa"/>
            <w:noWrap/>
            <w:hideMark/>
          </w:tcPr>
          <w:p w14:paraId="0F55A435"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Reference</w:t>
            </w:r>
          </w:p>
        </w:tc>
      </w:tr>
      <w:tr w:rsidR="004B5CA3" w:rsidRPr="004B5CA3" w14:paraId="3D2AFC87" w14:textId="77777777" w:rsidTr="004B5CA3">
        <w:trPr>
          <w:trHeight w:val="288"/>
        </w:trPr>
        <w:tc>
          <w:tcPr>
            <w:tcW w:w="1892" w:type="dxa"/>
            <w:noWrap/>
            <w:hideMark/>
          </w:tcPr>
          <w:p w14:paraId="22608EF6"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Curriculum Integration</w:t>
            </w:r>
          </w:p>
        </w:tc>
        <w:tc>
          <w:tcPr>
            <w:tcW w:w="1794" w:type="dxa"/>
            <w:noWrap/>
            <w:hideMark/>
          </w:tcPr>
          <w:p w14:paraId="6D593826"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Limited incorporation</w:t>
            </w:r>
          </w:p>
        </w:tc>
        <w:tc>
          <w:tcPr>
            <w:tcW w:w="3686" w:type="dxa"/>
            <w:noWrap/>
            <w:hideMark/>
          </w:tcPr>
          <w:p w14:paraId="12CC0045"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Climate change is weakly and superficially integrated into basic education curricula.</w:t>
            </w:r>
          </w:p>
        </w:tc>
        <w:tc>
          <w:tcPr>
            <w:tcW w:w="1842" w:type="dxa"/>
            <w:noWrap/>
            <w:hideMark/>
          </w:tcPr>
          <w:p w14:paraId="37331149"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0BE28DB9" w14:textId="77777777" w:rsidTr="004B5CA3">
        <w:trPr>
          <w:trHeight w:val="288"/>
        </w:trPr>
        <w:tc>
          <w:tcPr>
            <w:tcW w:w="1892" w:type="dxa"/>
            <w:noWrap/>
            <w:hideMark/>
          </w:tcPr>
          <w:p w14:paraId="3526AD2C"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Educational Approach</w:t>
            </w:r>
          </w:p>
        </w:tc>
        <w:tc>
          <w:tcPr>
            <w:tcW w:w="1794" w:type="dxa"/>
            <w:noWrap/>
            <w:hideMark/>
          </w:tcPr>
          <w:p w14:paraId="27CE3A91"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Transversal integration</w:t>
            </w:r>
          </w:p>
        </w:tc>
        <w:tc>
          <w:tcPr>
            <w:tcW w:w="3686" w:type="dxa"/>
            <w:noWrap/>
            <w:hideMark/>
          </w:tcPr>
          <w:p w14:paraId="2DA98E64"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Should be a cross-cutting theme to foster responsibility and action.</w:t>
            </w:r>
          </w:p>
        </w:tc>
        <w:tc>
          <w:tcPr>
            <w:tcW w:w="1842" w:type="dxa"/>
            <w:noWrap/>
            <w:hideMark/>
          </w:tcPr>
          <w:p w14:paraId="5CC85144"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6F8610FE" w14:textId="77777777" w:rsidTr="004B5CA3">
        <w:trPr>
          <w:trHeight w:val="288"/>
        </w:trPr>
        <w:tc>
          <w:tcPr>
            <w:tcW w:w="1892" w:type="dxa"/>
            <w:noWrap/>
            <w:hideMark/>
          </w:tcPr>
          <w:p w14:paraId="0D63BAE4"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Governance System</w:t>
            </w:r>
          </w:p>
        </w:tc>
        <w:tc>
          <w:tcPr>
            <w:tcW w:w="1794" w:type="dxa"/>
            <w:noWrap/>
            <w:hideMark/>
          </w:tcPr>
          <w:p w14:paraId="460577A6"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Institutional framework</w:t>
            </w:r>
          </w:p>
        </w:tc>
        <w:tc>
          <w:tcPr>
            <w:tcW w:w="3686" w:type="dxa"/>
            <w:noWrap/>
            <w:hideMark/>
          </w:tcPr>
          <w:p w14:paraId="5ACBE555"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Multi-level governance system addressing climate change.</w:t>
            </w:r>
          </w:p>
        </w:tc>
        <w:tc>
          <w:tcPr>
            <w:tcW w:w="1842" w:type="dxa"/>
            <w:noWrap/>
            <w:hideMark/>
          </w:tcPr>
          <w:p w14:paraId="5B29D966"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62327DDE" w14:textId="77777777" w:rsidTr="004B5CA3">
        <w:trPr>
          <w:trHeight w:val="288"/>
        </w:trPr>
        <w:tc>
          <w:tcPr>
            <w:tcW w:w="1892" w:type="dxa"/>
            <w:noWrap/>
            <w:hideMark/>
          </w:tcPr>
          <w:p w14:paraId="0546D28B"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National Climate Policy</w:t>
            </w:r>
          </w:p>
        </w:tc>
        <w:tc>
          <w:tcPr>
            <w:tcW w:w="1794" w:type="dxa"/>
            <w:noWrap/>
            <w:hideMark/>
          </w:tcPr>
          <w:p w14:paraId="0907D220"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SNCC</w:t>
            </w:r>
          </w:p>
        </w:tc>
        <w:tc>
          <w:tcPr>
            <w:tcW w:w="3686" w:type="dxa"/>
            <w:noWrap/>
            <w:hideMark/>
          </w:tcPr>
          <w:p w14:paraId="0C14CEE0"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Coordinates mitigation and adaptation policies.</w:t>
            </w:r>
          </w:p>
        </w:tc>
        <w:tc>
          <w:tcPr>
            <w:tcW w:w="1842" w:type="dxa"/>
            <w:noWrap/>
            <w:hideMark/>
          </w:tcPr>
          <w:p w14:paraId="15511229"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0C6D957E" w14:textId="77777777" w:rsidTr="004B5CA3">
        <w:trPr>
          <w:trHeight w:val="288"/>
        </w:trPr>
        <w:tc>
          <w:tcPr>
            <w:tcW w:w="1892" w:type="dxa"/>
            <w:noWrap/>
            <w:hideMark/>
          </w:tcPr>
          <w:p w14:paraId="461398B9"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Key Institutions</w:t>
            </w:r>
          </w:p>
        </w:tc>
        <w:tc>
          <w:tcPr>
            <w:tcW w:w="1794" w:type="dxa"/>
            <w:noWrap/>
            <w:hideMark/>
          </w:tcPr>
          <w:p w14:paraId="78D6BA55"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&amp; SEP</w:t>
            </w:r>
          </w:p>
        </w:tc>
        <w:tc>
          <w:tcPr>
            <w:tcW w:w="3686" w:type="dxa"/>
            <w:noWrap/>
            <w:hideMark/>
          </w:tcPr>
          <w:p w14:paraId="60B759DF"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Collaboration to integrate climate education.</w:t>
            </w:r>
          </w:p>
        </w:tc>
        <w:tc>
          <w:tcPr>
            <w:tcW w:w="1842" w:type="dxa"/>
            <w:noWrap/>
            <w:hideMark/>
          </w:tcPr>
          <w:p w14:paraId="74FF97C0"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030BB8D3" w14:textId="77777777" w:rsidTr="004B5CA3">
        <w:trPr>
          <w:trHeight w:val="288"/>
        </w:trPr>
        <w:tc>
          <w:tcPr>
            <w:tcW w:w="1892" w:type="dxa"/>
            <w:noWrap/>
            <w:hideMark/>
          </w:tcPr>
          <w:p w14:paraId="630CB63F"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Legal Framework</w:t>
            </w:r>
          </w:p>
        </w:tc>
        <w:tc>
          <w:tcPr>
            <w:tcW w:w="1794" w:type="dxa"/>
            <w:noWrap/>
            <w:hideMark/>
          </w:tcPr>
          <w:p w14:paraId="79B886EB"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Climate Change Law 2012</w:t>
            </w:r>
          </w:p>
        </w:tc>
        <w:tc>
          <w:tcPr>
            <w:tcW w:w="3686" w:type="dxa"/>
            <w:noWrap/>
            <w:hideMark/>
          </w:tcPr>
          <w:p w14:paraId="371CE520"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Promotes education, awareness, and sustainability.</w:t>
            </w:r>
          </w:p>
        </w:tc>
        <w:tc>
          <w:tcPr>
            <w:tcW w:w="1842" w:type="dxa"/>
            <w:noWrap/>
            <w:hideMark/>
          </w:tcPr>
          <w:p w14:paraId="6A8ECAEC"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04157869" w14:textId="77777777" w:rsidTr="004B5CA3">
        <w:trPr>
          <w:trHeight w:val="288"/>
        </w:trPr>
        <w:tc>
          <w:tcPr>
            <w:tcW w:w="1892" w:type="dxa"/>
            <w:noWrap/>
            <w:hideMark/>
          </w:tcPr>
          <w:p w14:paraId="73BE1824"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Educational Law</w:t>
            </w:r>
          </w:p>
        </w:tc>
        <w:tc>
          <w:tcPr>
            <w:tcW w:w="1794" w:type="dxa"/>
            <w:noWrap/>
            <w:hideMark/>
          </w:tcPr>
          <w:p w14:paraId="5EB124B3"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General Education Law</w:t>
            </w:r>
          </w:p>
        </w:tc>
        <w:tc>
          <w:tcPr>
            <w:tcW w:w="3686" w:type="dxa"/>
            <w:noWrap/>
            <w:hideMark/>
          </w:tcPr>
          <w:p w14:paraId="4CD9CF1A"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Mandates environmental and climate education.</w:t>
            </w:r>
          </w:p>
        </w:tc>
        <w:tc>
          <w:tcPr>
            <w:tcW w:w="1842" w:type="dxa"/>
            <w:noWrap/>
            <w:hideMark/>
          </w:tcPr>
          <w:p w14:paraId="5AEAFDBF"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0CF3D903" w14:textId="77777777" w:rsidTr="004B5CA3">
        <w:trPr>
          <w:trHeight w:val="288"/>
        </w:trPr>
        <w:tc>
          <w:tcPr>
            <w:tcW w:w="1892" w:type="dxa"/>
            <w:noWrap/>
            <w:hideMark/>
          </w:tcPr>
          <w:p w14:paraId="46B8F676"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Curriculum Policy</w:t>
            </w:r>
          </w:p>
        </w:tc>
        <w:tc>
          <w:tcPr>
            <w:tcW w:w="1794" w:type="dxa"/>
            <w:noWrap/>
            <w:hideMark/>
          </w:tcPr>
          <w:p w14:paraId="40D3EE0D"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Frameworks</w:t>
            </w:r>
          </w:p>
        </w:tc>
        <w:tc>
          <w:tcPr>
            <w:tcW w:w="3686" w:type="dxa"/>
            <w:noWrap/>
            <w:hideMark/>
          </w:tcPr>
          <w:p w14:paraId="1D6032C1"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Climate content in science and geography.</w:t>
            </w:r>
          </w:p>
        </w:tc>
        <w:tc>
          <w:tcPr>
            <w:tcW w:w="1842" w:type="dxa"/>
            <w:noWrap/>
            <w:hideMark/>
          </w:tcPr>
          <w:p w14:paraId="0E87DB47"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74E704BD" w14:textId="77777777" w:rsidTr="004B5CA3">
        <w:trPr>
          <w:trHeight w:val="288"/>
        </w:trPr>
        <w:tc>
          <w:tcPr>
            <w:tcW w:w="1892" w:type="dxa"/>
            <w:noWrap/>
            <w:hideMark/>
          </w:tcPr>
          <w:p w14:paraId="01D8EDA2"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Educational Reform</w:t>
            </w:r>
          </w:p>
        </w:tc>
        <w:tc>
          <w:tcPr>
            <w:tcW w:w="1794" w:type="dxa"/>
            <w:noWrap/>
            <w:hideMark/>
          </w:tcPr>
          <w:p w14:paraId="7A211366"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2019 Reform</w:t>
            </w:r>
          </w:p>
        </w:tc>
        <w:tc>
          <w:tcPr>
            <w:tcW w:w="3686" w:type="dxa"/>
            <w:noWrap/>
            <w:hideMark/>
          </w:tcPr>
          <w:p w14:paraId="61F22F0F"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Adds sustainability to education.</w:t>
            </w:r>
          </w:p>
        </w:tc>
        <w:tc>
          <w:tcPr>
            <w:tcW w:w="1842" w:type="dxa"/>
            <w:noWrap/>
            <w:hideMark/>
          </w:tcPr>
          <w:p w14:paraId="23043EB9"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3EEC316A" w14:textId="77777777" w:rsidTr="004B5CA3">
        <w:trPr>
          <w:trHeight w:val="288"/>
        </w:trPr>
        <w:tc>
          <w:tcPr>
            <w:tcW w:w="1892" w:type="dxa"/>
            <w:noWrap/>
            <w:hideMark/>
          </w:tcPr>
          <w:p w14:paraId="5DADB614"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Programs</w:t>
            </w:r>
          </w:p>
        </w:tc>
        <w:tc>
          <w:tcPr>
            <w:tcW w:w="1794" w:type="dxa"/>
            <w:noWrap/>
            <w:hideMark/>
          </w:tcPr>
          <w:p w14:paraId="6C2EFB00"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Special CC Program</w:t>
            </w:r>
          </w:p>
        </w:tc>
        <w:tc>
          <w:tcPr>
            <w:tcW w:w="3686" w:type="dxa"/>
            <w:noWrap/>
            <w:hideMark/>
          </w:tcPr>
          <w:p w14:paraId="616011C1"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Promotes awareness and communication.</w:t>
            </w:r>
          </w:p>
        </w:tc>
        <w:tc>
          <w:tcPr>
            <w:tcW w:w="1842" w:type="dxa"/>
            <w:noWrap/>
            <w:hideMark/>
          </w:tcPr>
          <w:p w14:paraId="3D96028A"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2E7E2234" w14:textId="77777777" w:rsidTr="004B5CA3">
        <w:trPr>
          <w:trHeight w:val="288"/>
        </w:trPr>
        <w:tc>
          <w:tcPr>
            <w:tcW w:w="1892" w:type="dxa"/>
            <w:noWrap/>
            <w:hideMark/>
          </w:tcPr>
          <w:p w14:paraId="06307BB7"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Teaching Materials</w:t>
            </w:r>
          </w:p>
        </w:tc>
        <w:tc>
          <w:tcPr>
            <w:tcW w:w="1794" w:type="dxa"/>
            <w:noWrap/>
            <w:hideMark/>
          </w:tcPr>
          <w:p w14:paraId="0D06C48B"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Textbooks</w:t>
            </w:r>
          </w:p>
        </w:tc>
        <w:tc>
          <w:tcPr>
            <w:tcW w:w="3686" w:type="dxa"/>
            <w:noWrap/>
            <w:hideMark/>
          </w:tcPr>
          <w:p w14:paraId="57AED0A7"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Include CC topics in science subjects.</w:t>
            </w:r>
          </w:p>
        </w:tc>
        <w:tc>
          <w:tcPr>
            <w:tcW w:w="1842" w:type="dxa"/>
            <w:noWrap/>
            <w:hideMark/>
          </w:tcPr>
          <w:p w14:paraId="68876D6F"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41B39E5A" w14:textId="77777777" w:rsidTr="004B5CA3">
        <w:trPr>
          <w:trHeight w:val="288"/>
        </w:trPr>
        <w:tc>
          <w:tcPr>
            <w:tcW w:w="1892" w:type="dxa"/>
            <w:noWrap/>
            <w:hideMark/>
          </w:tcPr>
          <w:p w14:paraId="37F2E76E"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Teacher Training</w:t>
            </w:r>
          </w:p>
        </w:tc>
        <w:tc>
          <w:tcPr>
            <w:tcW w:w="1794" w:type="dxa"/>
            <w:noWrap/>
            <w:hideMark/>
          </w:tcPr>
          <w:p w14:paraId="7CA525D3"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Limited capacity</w:t>
            </w:r>
          </w:p>
        </w:tc>
        <w:tc>
          <w:tcPr>
            <w:tcW w:w="3686" w:type="dxa"/>
            <w:noWrap/>
            <w:hideMark/>
          </w:tcPr>
          <w:p w14:paraId="66A8F8B3"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Teachers lack preparation and tools.</w:t>
            </w:r>
          </w:p>
        </w:tc>
        <w:tc>
          <w:tcPr>
            <w:tcW w:w="1842" w:type="dxa"/>
            <w:noWrap/>
            <w:hideMark/>
          </w:tcPr>
          <w:p w14:paraId="7B59DE57"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UNESCO</w:t>
            </w:r>
          </w:p>
        </w:tc>
      </w:tr>
      <w:tr w:rsidR="004B5CA3" w:rsidRPr="004B5CA3" w14:paraId="5BB5651F" w14:textId="77777777" w:rsidTr="004B5CA3">
        <w:trPr>
          <w:trHeight w:val="288"/>
        </w:trPr>
        <w:tc>
          <w:tcPr>
            <w:tcW w:w="1892" w:type="dxa"/>
            <w:noWrap/>
            <w:hideMark/>
          </w:tcPr>
          <w:p w14:paraId="22CEA828"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Higher Education</w:t>
            </w:r>
          </w:p>
        </w:tc>
        <w:tc>
          <w:tcPr>
            <w:tcW w:w="1794" w:type="dxa"/>
            <w:noWrap/>
            <w:hideMark/>
          </w:tcPr>
          <w:p w14:paraId="6D15C89E"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Programs</w:t>
            </w:r>
          </w:p>
        </w:tc>
        <w:tc>
          <w:tcPr>
            <w:tcW w:w="3686" w:type="dxa"/>
            <w:noWrap/>
            <w:hideMark/>
          </w:tcPr>
          <w:p w14:paraId="77BE372D"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Universities offer CC-related degrees.</w:t>
            </w:r>
          </w:p>
        </w:tc>
        <w:tc>
          <w:tcPr>
            <w:tcW w:w="1842" w:type="dxa"/>
            <w:noWrap/>
            <w:hideMark/>
          </w:tcPr>
          <w:p w14:paraId="5757BB33"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18967D66" w14:textId="77777777" w:rsidTr="004B5CA3">
        <w:trPr>
          <w:trHeight w:val="288"/>
        </w:trPr>
        <w:tc>
          <w:tcPr>
            <w:tcW w:w="1892" w:type="dxa"/>
            <w:noWrap/>
            <w:hideMark/>
          </w:tcPr>
          <w:p w14:paraId="58F54F0C"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Research</w:t>
            </w:r>
          </w:p>
        </w:tc>
        <w:tc>
          <w:tcPr>
            <w:tcW w:w="1794" w:type="dxa"/>
            <w:noWrap/>
            <w:hideMark/>
          </w:tcPr>
          <w:p w14:paraId="55E651B4"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Universities role</w:t>
            </w:r>
          </w:p>
        </w:tc>
        <w:tc>
          <w:tcPr>
            <w:tcW w:w="3686" w:type="dxa"/>
            <w:noWrap/>
            <w:hideMark/>
          </w:tcPr>
          <w:p w14:paraId="7FD95821"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Support policy and innovation.</w:t>
            </w:r>
          </w:p>
        </w:tc>
        <w:tc>
          <w:tcPr>
            <w:tcW w:w="1842" w:type="dxa"/>
            <w:noWrap/>
            <w:hideMark/>
          </w:tcPr>
          <w:p w14:paraId="5016DFDA"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4303649F" w14:textId="77777777" w:rsidTr="004B5CA3">
        <w:trPr>
          <w:trHeight w:val="288"/>
        </w:trPr>
        <w:tc>
          <w:tcPr>
            <w:tcW w:w="1892" w:type="dxa"/>
            <w:noWrap/>
            <w:hideMark/>
          </w:tcPr>
          <w:p w14:paraId="6055654E"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Civil Society</w:t>
            </w:r>
          </w:p>
        </w:tc>
        <w:tc>
          <w:tcPr>
            <w:tcW w:w="1794" w:type="dxa"/>
            <w:noWrap/>
            <w:hideMark/>
          </w:tcPr>
          <w:p w14:paraId="471C4477"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NGOs</w:t>
            </w:r>
          </w:p>
        </w:tc>
        <w:tc>
          <w:tcPr>
            <w:tcW w:w="3686" w:type="dxa"/>
            <w:noWrap/>
            <w:hideMark/>
          </w:tcPr>
          <w:p w14:paraId="227B6EFC"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Support education and training.</w:t>
            </w:r>
          </w:p>
        </w:tc>
        <w:tc>
          <w:tcPr>
            <w:tcW w:w="1842" w:type="dxa"/>
            <w:noWrap/>
            <w:hideMark/>
          </w:tcPr>
          <w:p w14:paraId="745D86A5"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27EB1670" w14:textId="77777777" w:rsidTr="004B5CA3">
        <w:trPr>
          <w:trHeight w:val="288"/>
        </w:trPr>
        <w:tc>
          <w:tcPr>
            <w:tcW w:w="1892" w:type="dxa"/>
            <w:noWrap/>
            <w:hideMark/>
          </w:tcPr>
          <w:p w14:paraId="74380B30"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Public Awareness</w:t>
            </w:r>
          </w:p>
        </w:tc>
        <w:tc>
          <w:tcPr>
            <w:tcW w:w="1794" w:type="dxa"/>
            <w:noWrap/>
            <w:hideMark/>
          </w:tcPr>
          <w:p w14:paraId="25123211"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Knowledge gap</w:t>
            </w:r>
          </w:p>
        </w:tc>
        <w:tc>
          <w:tcPr>
            <w:tcW w:w="3686" w:type="dxa"/>
            <w:noWrap/>
            <w:hideMark/>
          </w:tcPr>
          <w:p w14:paraId="461772F1"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High awareness, low deep understanding.</w:t>
            </w:r>
          </w:p>
        </w:tc>
        <w:tc>
          <w:tcPr>
            <w:tcW w:w="1842" w:type="dxa"/>
            <w:noWrap/>
            <w:hideMark/>
          </w:tcPr>
          <w:p w14:paraId="0CA16D4F"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43475FC2" w14:textId="77777777" w:rsidTr="004B5CA3">
        <w:trPr>
          <w:trHeight w:val="288"/>
        </w:trPr>
        <w:tc>
          <w:tcPr>
            <w:tcW w:w="1892" w:type="dxa"/>
            <w:noWrap/>
            <w:hideMark/>
          </w:tcPr>
          <w:p w14:paraId="00C89D02"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Student Performance</w:t>
            </w:r>
          </w:p>
        </w:tc>
        <w:tc>
          <w:tcPr>
            <w:tcW w:w="1794" w:type="dxa"/>
            <w:noWrap/>
            <w:hideMark/>
          </w:tcPr>
          <w:p w14:paraId="2B3C12CB"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Low outcomes</w:t>
            </w:r>
          </w:p>
        </w:tc>
        <w:tc>
          <w:tcPr>
            <w:tcW w:w="3686" w:type="dxa"/>
            <w:noWrap/>
            <w:hideMark/>
          </w:tcPr>
          <w:p w14:paraId="3AA9D103"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Below OECD averages.</w:t>
            </w:r>
          </w:p>
        </w:tc>
        <w:tc>
          <w:tcPr>
            <w:tcW w:w="1842" w:type="dxa"/>
            <w:noWrap/>
            <w:hideMark/>
          </w:tcPr>
          <w:p w14:paraId="1FC42836"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OECD; Bos &amp; Schwartz</w:t>
            </w:r>
          </w:p>
        </w:tc>
      </w:tr>
      <w:tr w:rsidR="004B5CA3" w:rsidRPr="004B5CA3" w14:paraId="653BAD69" w14:textId="77777777" w:rsidTr="004B5CA3">
        <w:trPr>
          <w:trHeight w:val="288"/>
        </w:trPr>
        <w:tc>
          <w:tcPr>
            <w:tcW w:w="1892" w:type="dxa"/>
            <w:noWrap/>
            <w:hideMark/>
          </w:tcPr>
          <w:p w14:paraId="24315B89"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Youth Engagement</w:t>
            </w:r>
          </w:p>
        </w:tc>
        <w:tc>
          <w:tcPr>
            <w:tcW w:w="1794" w:type="dxa"/>
            <w:noWrap/>
            <w:hideMark/>
          </w:tcPr>
          <w:p w14:paraId="14916A3E"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Participation gap</w:t>
            </w:r>
          </w:p>
        </w:tc>
        <w:tc>
          <w:tcPr>
            <w:tcW w:w="3686" w:type="dxa"/>
            <w:noWrap/>
            <w:hideMark/>
          </w:tcPr>
          <w:p w14:paraId="29A58D57"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Limited policy influence.</w:t>
            </w:r>
          </w:p>
        </w:tc>
        <w:tc>
          <w:tcPr>
            <w:tcW w:w="1842" w:type="dxa"/>
            <w:noWrap/>
            <w:hideMark/>
          </w:tcPr>
          <w:p w14:paraId="4F2BFAA7"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UNICEF</w:t>
            </w:r>
          </w:p>
        </w:tc>
      </w:tr>
      <w:tr w:rsidR="004B5CA3" w:rsidRPr="004B5CA3" w14:paraId="07E9E9B9" w14:textId="77777777" w:rsidTr="004B5CA3">
        <w:trPr>
          <w:trHeight w:val="288"/>
        </w:trPr>
        <w:tc>
          <w:tcPr>
            <w:tcW w:w="1892" w:type="dxa"/>
            <w:noWrap/>
            <w:hideMark/>
          </w:tcPr>
          <w:p w14:paraId="3D787FB1"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Indigenous Education</w:t>
            </w:r>
          </w:p>
        </w:tc>
        <w:tc>
          <w:tcPr>
            <w:tcW w:w="1794" w:type="dxa"/>
            <w:noWrap/>
            <w:hideMark/>
          </w:tcPr>
          <w:p w14:paraId="52C78E61"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Inclusion</w:t>
            </w:r>
          </w:p>
        </w:tc>
        <w:tc>
          <w:tcPr>
            <w:tcW w:w="3686" w:type="dxa"/>
            <w:noWrap/>
            <w:hideMark/>
          </w:tcPr>
          <w:p w14:paraId="4CADFA5A"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Materials in indigenous languages.</w:t>
            </w:r>
          </w:p>
        </w:tc>
        <w:tc>
          <w:tcPr>
            <w:tcW w:w="1842" w:type="dxa"/>
            <w:noWrap/>
            <w:hideMark/>
          </w:tcPr>
          <w:p w14:paraId="496A23BD"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0E1D43BE" w14:textId="77777777" w:rsidTr="004B5CA3">
        <w:trPr>
          <w:trHeight w:val="288"/>
        </w:trPr>
        <w:tc>
          <w:tcPr>
            <w:tcW w:w="1892" w:type="dxa"/>
            <w:noWrap/>
            <w:hideMark/>
          </w:tcPr>
          <w:p w14:paraId="33B80C70"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Adult Education</w:t>
            </w:r>
          </w:p>
        </w:tc>
        <w:tc>
          <w:tcPr>
            <w:tcW w:w="1794" w:type="dxa"/>
            <w:noWrap/>
            <w:hideMark/>
          </w:tcPr>
          <w:p w14:paraId="36C2014D"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Capacity building</w:t>
            </w:r>
          </w:p>
        </w:tc>
        <w:tc>
          <w:tcPr>
            <w:tcW w:w="3686" w:type="dxa"/>
            <w:noWrap/>
            <w:hideMark/>
          </w:tcPr>
          <w:p w14:paraId="4BB8ADEE"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Training for citizens and officials.</w:t>
            </w:r>
          </w:p>
        </w:tc>
        <w:tc>
          <w:tcPr>
            <w:tcW w:w="1842" w:type="dxa"/>
            <w:noWrap/>
            <w:hideMark/>
          </w:tcPr>
          <w:p w14:paraId="06F55DD4"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6829F5D8" w14:textId="77777777" w:rsidTr="004B5CA3">
        <w:trPr>
          <w:trHeight w:val="288"/>
        </w:trPr>
        <w:tc>
          <w:tcPr>
            <w:tcW w:w="1892" w:type="dxa"/>
            <w:noWrap/>
            <w:hideMark/>
          </w:tcPr>
          <w:p w14:paraId="13BC8C92"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Communication</w:t>
            </w:r>
          </w:p>
        </w:tc>
        <w:tc>
          <w:tcPr>
            <w:tcW w:w="1794" w:type="dxa"/>
            <w:noWrap/>
            <w:hideMark/>
          </w:tcPr>
          <w:p w14:paraId="43696786"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Campaigns</w:t>
            </w:r>
          </w:p>
        </w:tc>
        <w:tc>
          <w:tcPr>
            <w:tcW w:w="3686" w:type="dxa"/>
            <w:noWrap/>
            <w:hideMark/>
          </w:tcPr>
          <w:p w14:paraId="3DB55925"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Media and awareness initiatives.</w:t>
            </w:r>
          </w:p>
        </w:tc>
        <w:tc>
          <w:tcPr>
            <w:tcW w:w="1842" w:type="dxa"/>
            <w:noWrap/>
            <w:hideMark/>
          </w:tcPr>
          <w:p w14:paraId="7129B5A2"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78A22FB3" w14:textId="77777777" w:rsidTr="004B5CA3">
        <w:trPr>
          <w:trHeight w:val="288"/>
        </w:trPr>
        <w:tc>
          <w:tcPr>
            <w:tcW w:w="1892" w:type="dxa"/>
            <w:noWrap/>
            <w:hideMark/>
          </w:tcPr>
          <w:p w14:paraId="2CC9522F"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Information Access</w:t>
            </w:r>
          </w:p>
        </w:tc>
        <w:tc>
          <w:tcPr>
            <w:tcW w:w="1794" w:type="dxa"/>
            <w:noWrap/>
            <w:hideMark/>
          </w:tcPr>
          <w:p w14:paraId="4262B26F"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Transparency</w:t>
            </w:r>
          </w:p>
        </w:tc>
        <w:tc>
          <w:tcPr>
            <w:tcW w:w="3686" w:type="dxa"/>
            <w:noWrap/>
            <w:hideMark/>
          </w:tcPr>
          <w:p w14:paraId="5F64329A"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Platforms for CC data.</w:t>
            </w:r>
          </w:p>
        </w:tc>
        <w:tc>
          <w:tcPr>
            <w:tcW w:w="1842" w:type="dxa"/>
            <w:noWrap/>
            <w:hideMark/>
          </w:tcPr>
          <w:p w14:paraId="21F61577"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1868D2B5" w14:textId="77777777" w:rsidTr="004B5CA3">
        <w:trPr>
          <w:trHeight w:val="288"/>
        </w:trPr>
        <w:tc>
          <w:tcPr>
            <w:tcW w:w="1892" w:type="dxa"/>
            <w:noWrap/>
            <w:hideMark/>
          </w:tcPr>
          <w:p w14:paraId="010CCC15"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Participation</w:t>
            </w:r>
          </w:p>
        </w:tc>
        <w:tc>
          <w:tcPr>
            <w:tcW w:w="1794" w:type="dxa"/>
            <w:noWrap/>
            <w:hideMark/>
          </w:tcPr>
          <w:p w14:paraId="62FE0463"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Citizen role</w:t>
            </w:r>
          </w:p>
        </w:tc>
        <w:tc>
          <w:tcPr>
            <w:tcW w:w="3686" w:type="dxa"/>
            <w:noWrap/>
            <w:hideMark/>
          </w:tcPr>
          <w:p w14:paraId="45FB4419"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Legal support for participation.</w:t>
            </w:r>
          </w:p>
        </w:tc>
        <w:tc>
          <w:tcPr>
            <w:tcW w:w="1842" w:type="dxa"/>
            <w:noWrap/>
            <w:hideMark/>
          </w:tcPr>
          <w:p w14:paraId="53705B3B"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6B61A8CB" w14:textId="77777777" w:rsidTr="004B5CA3">
        <w:trPr>
          <w:trHeight w:val="288"/>
        </w:trPr>
        <w:tc>
          <w:tcPr>
            <w:tcW w:w="1892" w:type="dxa"/>
            <w:noWrap/>
            <w:hideMark/>
          </w:tcPr>
          <w:p w14:paraId="08682F4B"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Funding</w:t>
            </w:r>
          </w:p>
        </w:tc>
        <w:tc>
          <w:tcPr>
            <w:tcW w:w="1794" w:type="dxa"/>
            <w:noWrap/>
            <w:hideMark/>
          </w:tcPr>
          <w:p w14:paraId="1FEAF2F1"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Budget</w:t>
            </w:r>
          </w:p>
        </w:tc>
        <w:tc>
          <w:tcPr>
            <w:tcW w:w="3686" w:type="dxa"/>
            <w:noWrap/>
            <w:hideMark/>
          </w:tcPr>
          <w:p w14:paraId="1376BEDA"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Resources allocated to CC education.</w:t>
            </w:r>
          </w:p>
        </w:tc>
        <w:tc>
          <w:tcPr>
            <w:tcW w:w="1842" w:type="dxa"/>
            <w:noWrap/>
            <w:hideMark/>
          </w:tcPr>
          <w:p w14:paraId="4D84669E"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SEMARNAT, 2017</w:t>
            </w:r>
          </w:p>
        </w:tc>
      </w:tr>
      <w:tr w:rsidR="004B5CA3" w:rsidRPr="004B5CA3" w14:paraId="30507143" w14:textId="77777777" w:rsidTr="004B5CA3">
        <w:trPr>
          <w:trHeight w:val="288"/>
        </w:trPr>
        <w:tc>
          <w:tcPr>
            <w:tcW w:w="1892" w:type="dxa"/>
            <w:noWrap/>
            <w:hideMark/>
          </w:tcPr>
          <w:p w14:paraId="1C955515"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Challenges</w:t>
            </w:r>
          </w:p>
        </w:tc>
        <w:tc>
          <w:tcPr>
            <w:tcW w:w="1794" w:type="dxa"/>
            <w:noWrap/>
            <w:hideMark/>
          </w:tcPr>
          <w:p w14:paraId="27EDB84F"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System gaps</w:t>
            </w:r>
          </w:p>
        </w:tc>
        <w:tc>
          <w:tcPr>
            <w:tcW w:w="3686" w:type="dxa"/>
            <w:noWrap/>
            <w:hideMark/>
          </w:tcPr>
          <w:p w14:paraId="65C47295"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Weak integration and training.</w:t>
            </w:r>
          </w:p>
        </w:tc>
        <w:tc>
          <w:tcPr>
            <w:tcW w:w="1842" w:type="dxa"/>
            <w:noWrap/>
            <w:hideMark/>
          </w:tcPr>
          <w:p w14:paraId="3C6CADB3"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Bos &amp; Schwartz</w:t>
            </w:r>
          </w:p>
        </w:tc>
      </w:tr>
      <w:tr w:rsidR="004B5CA3" w:rsidRPr="004B5CA3" w14:paraId="4F43EC20" w14:textId="77777777" w:rsidTr="004B5CA3">
        <w:trPr>
          <w:trHeight w:val="288"/>
        </w:trPr>
        <w:tc>
          <w:tcPr>
            <w:tcW w:w="1892" w:type="dxa"/>
            <w:noWrap/>
            <w:hideMark/>
          </w:tcPr>
          <w:p w14:paraId="1915EAE3"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Opportunities</w:t>
            </w:r>
          </w:p>
        </w:tc>
        <w:tc>
          <w:tcPr>
            <w:tcW w:w="1794" w:type="dxa"/>
            <w:noWrap/>
            <w:hideMark/>
          </w:tcPr>
          <w:p w14:paraId="78E0CE3E"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Policy improvement</w:t>
            </w:r>
          </w:p>
        </w:tc>
        <w:tc>
          <w:tcPr>
            <w:tcW w:w="3686" w:type="dxa"/>
            <w:noWrap/>
            <w:hideMark/>
          </w:tcPr>
          <w:p w14:paraId="6355212C"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Strengthen skills and curricula.</w:t>
            </w:r>
          </w:p>
        </w:tc>
        <w:tc>
          <w:tcPr>
            <w:tcW w:w="1842" w:type="dxa"/>
            <w:noWrap/>
            <w:hideMark/>
          </w:tcPr>
          <w:p w14:paraId="53E6908A"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Bos &amp; Schwartz</w:t>
            </w:r>
          </w:p>
        </w:tc>
      </w:tr>
      <w:tr w:rsidR="004B5CA3" w:rsidRPr="004B5CA3" w14:paraId="0604E424" w14:textId="77777777" w:rsidTr="004B5CA3">
        <w:trPr>
          <w:trHeight w:val="288"/>
        </w:trPr>
        <w:tc>
          <w:tcPr>
            <w:tcW w:w="1892" w:type="dxa"/>
            <w:noWrap/>
            <w:hideMark/>
          </w:tcPr>
          <w:p w14:paraId="7BC67A56"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Pedagogy</w:t>
            </w:r>
          </w:p>
        </w:tc>
        <w:tc>
          <w:tcPr>
            <w:tcW w:w="1794" w:type="dxa"/>
            <w:noWrap/>
            <w:hideMark/>
          </w:tcPr>
          <w:p w14:paraId="085038F8"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Active learning</w:t>
            </w:r>
          </w:p>
        </w:tc>
        <w:tc>
          <w:tcPr>
            <w:tcW w:w="3686" w:type="dxa"/>
            <w:noWrap/>
            <w:hideMark/>
          </w:tcPr>
          <w:p w14:paraId="08A64229"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Project-based approaches.</w:t>
            </w:r>
          </w:p>
        </w:tc>
        <w:tc>
          <w:tcPr>
            <w:tcW w:w="1842" w:type="dxa"/>
            <w:noWrap/>
            <w:hideMark/>
          </w:tcPr>
          <w:p w14:paraId="6D44DDFB"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K12 Commission</w:t>
            </w:r>
          </w:p>
        </w:tc>
      </w:tr>
      <w:tr w:rsidR="004B5CA3" w:rsidRPr="004B5CA3" w14:paraId="4E04F2D5" w14:textId="77777777" w:rsidTr="004B5CA3">
        <w:trPr>
          <w:trHeight w:val="288"/>
        </w:trPr>
        <w:tc>
          <w:tcPr>
            <w:tcW w:w="1892" w:type="dxa"/>
            <w:noWrap/>
            <w:hideMark/>
          </w:tcPr>
          <w:p w14:paraId="04B0F998"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Resilience</w:t>
            </w:r>
          </w:p>
        </w:tc>
        <w:tc>
          <w:tcPr>
            <w:tcW w:w="1794" w:type="dxa"/>
            <w:noWrap/>
            <w:hideMark/>
          </w:tcPr>
          <w:p w14:paraId="1463FEC2"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Adaptation</w:t>
            </w:r>
          </w:p>
        </w:tc>
        <w:tc>
          <w:tcPr>
            <w:tcW w:w="3686" w:type="dxa"/>
            <w:noWrap/>
            <w:hideMark/>
          </w:tcPr>
          <w:p w14:paraId="5B311757"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Schools must adapt to climate impacts.</w:t>
            </w:r>
          </w:p>
        </w:tc>
        <w:tc>
          <w:tcPr>
            <w:tcW w:w="1842" w:type="dxa"/>
            <w:noWrap/>
            <w:hideMark/>
          </w:tcPr>
          <w:p w14:paraId="05594DA9"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Bos &amp; Schwartz</w:t>
            </w:r>
          </w:p>
        </w:tc>
      </w:tr>
      <w:tr w:rsidR="004B5CA3" w:rsidRPr="004B5CA3" w14:paraId="16F520BC" w14:textId="77777777" w:rsidTr="004B5CA3">
        <w:trPr>
          <w:trHeight w:val="288"/>
        </w:trPr>
        <w:tc>
          <w:tcPr>
            <w:tcW w:w="1892" w:type="dxa"/>
            <w:noWrap/>
            <w:hideMark/>
          </w:tcPr>
          <w:p w14:paraId="2EE4B630"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Sustainability</w:t>
            </w:r>
          </w:p>
        </w:tc>
        <w:tc>
          <w:tcPr>
            <w:tcW w:w="1794" w:type="dxa"/>
            <w:noWrap/>
            <w:hideMark/>
          </w:tcPr>
          <w:p w14:paraId="172E1CFE"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School practices</w:t>
            </w:r>
          </w:p>
        </w:tc>
        <w:tc>
          <w:tcPr>
            <w:tcW w:w="3686" w:type="dxa"/>
            <w:noWrap/>
            <w:hideMark/>
          </w:tcPr>
          <w:p w14:paraId="5F1AEFAC"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Sustainable infrastructure and management.</w:t>
            </w:r>
          </w:p>
        </w:tc>
        <w:tc>
          <w:tcPr>
            <w:tcW w:w="1842" w:type="dxa"/>
            <w:noWrap/>
            <w:hideMark/>
          </w:tcPr>
          <w:p w14:paraId="27698A8E" w14:textId="77777777" w:rsidR="00742096" w:rsidRPr="004B5CA3" w:rsidRDefault="00742096" w:rsidP="004B5CA3">
            <w:pPr>
              <w:pStyle w:val="Body"/>
              <w:spacing w:after="0"/>
              <w:rPr>
                <w:rFonts w:ascii="Arial" w:hAnsi="Arial" w:cs="Arial"/>
                <w:sz w:val="18"/>
                <w:szCs w:val="18"/>
              </w:rPr>
            </w:pPr>
            <w:r w:rsidRPr="004B5CA3">
              <w:rPr>
                <w:rFonts w:ascii="Arial" w:hAnsi="Arial" w:cs="Arial"/>
                <w:sz w:val="18"/>
                <w:szCs w:val="18"/>
              </w:rPr>
              <w:t>Bos &amp; Schwartz</w:t>
            </w:r>
          </w:p>
        </w:tc>
      </w:tr>
    </w:tbl>
    <w:p w14:paraId="151FF2B8" w14:textId="77777777" w:rsidR="004B5CA3" w:rsidRDefault="004B5CA3" w:rsidP="004B5CA3">
      <w:pPr>
        <w:pStyle w:val="Body"/>
        <w:spacing w:after="120"/>
        <w:rPr>
          <w:rFonts w:ascii="Arial" w:hAnsi="Arial" w:cs="Arial"/>
        </w:rPr>
      </w:pPr>
    </w:p>
    <w:p w14:paraId="2F86CCD0" w14:textId="6E17D1FD" w:rsidR="004B5CA3" w:rsidRDefault="004B5CA3" w:rsidP="0083691F">
      <w:pPr>
        <w:pStyle w:val="Body"/>
        <w:spacing w:after="160"/>
        <w:rPr>
          <w:rFonts w:ascii="Arial" w:hAnsi="Arial" w:cs="Arial"/>
        </w:rPr>
      </w:pPr>
      <w:r w:rsidRPr="00C25E2F">
        <w:rPr>
          <w:rFonts w:ascii="Arial" w:hAnsi="Arial" w:cs="Arial"/>
        </w:rPr>
        <w:t>Incorporate climate sustainability strategies in the design, construction, operation, maintenance, rehabilitation and demolition of school infrastructure, measures that must be taken into account throughout the life cycle of school buildings (</w:t>
      </w:r>
      <w:proofErr w:type="spellStart"/>
      <w:r w:rsidRPr="00C25E2F">
        <w:rPr>
          <w:rFonts w:ascii="Arial" w:hAnsi="Arial" w:cs="Arial"/>
        </w:rPr>
        <w:t>Minoja</w:t>
      </w:r>
      <w:proofErr w:type="spellEnd"/>
      <w:r w:rsidRPr="00C25E2F">
        <w:rPr>
          <w:rFonts w:ascii="Arial" w:hAnsi="Arial" w:cs="Arial"/>
        </w:rPr>
        <w:t xml:space="preserve">, Hernández, &amp; </w:t>
      </w:r>
      <w:proofErr w:type="spellStart"/>
      <w:r w:rsidRPr="00C25E2F">
        <w:rPr>
          <w:rFonts w:ascii="Arial" w:hAnsi="Arial" w:cs="Arial"/>
        </w:rPr>
        <w:t>Yurivilca</w:t>
      </w:r>
      <w:proofErr w:type="spellEnd"/>
      <w:r w:rsidRPr="00C25E2F">
        <w:rPr>
          <w:rFonts w:ascii="Arial" w:hAnsi="Arial" w:cs="Arial"/>
        </w:rPr>
        <w:t>, 2018). Use passive strategies to take advantage of the climate and environment; active strategies to minimize the demand for energy and water; expand the use of technology and digital educational management systems, use the packaging of electronic devices, their recycling and final disposal in an environmentally friendly manner; as well as reduce the environmental impact of transportation and school feeding programs (Bos &amp; Schwartz, 2023).</w:t>
      </w:r>
    </w:p>
    <w:p w14:paraId="10D783ED" w14:textId="05AF4215" w:rsidR="00742096" w:rsidRPr="00C25E2F" w:rsidRDefault="004B5CA3" w:rsidP="0083691F">
      <w:pPr>
        <w:pStyle w:val="Body"/>
        <w:spacing w:after="160"/>
        <w:rPr>
          <w:rFonts w:ascii="Arial" w:hAnsi="Arial" w:cs="Arial"/>
        </w:rPr>
      </w:pPr>
      <w:r w:rsidRPr="00C25E2F">
        <w:rPr>
          <w:rFonts w:ascii="Arial" w:hAnsi="Arial" w:cs="Arial"/>
        </w:rPr>
        <w:lastRenderedPageBreak/>
        <w:t xml:space="preserve">At the same time, the challenges and strategies to combat climate change must also be included in the strategic plans of the education sector. This is to facilitate collaboration between the education and environmental sectors, as well as allocate budget, personnel, set goals, monitor results, and mobilize action so that education systems advance actions in favor of the environment (UNESCO, 2022 and 2020b; UNICEF, 2019 and 2019b; </w:t>
      </w:r>
      <w:proofErr w:type="spellStart"/>
      <w:r w:rsidRPr="00C25E2F">
        <w:rPr>
          <w:rFonts w:ascii="Arial" w:hAnsi="Arial" w:cs="Arial"/>
        </w:rPr>
        <w:t>Kwauk</w:t>
      </w:r>
      <w:proofErr w:type="spellEnd"/>
      <w:r w:rsidRPr="00C25E2F">
        <w:rPr>
          <w:rFonts w:ascii="Arial" w:hAnsi="Arial" w:cs="Arial"/>
        </w:rPr>
        <w:t>, 2021a).</w:t>
      </w:r>
    </w:p>
    <w:p w14:paraId="7C1EF4A6" w14:textId="2C3DEF1F" w:rsidR="00790ADA" w:rsidRPr="00C25E2F" w:rsidRDefault="00000F8F" w:rsidP="0083691F">
      <w:pPr>
        <w:pStyle w:val="ConcHead"/>
        <w:spacing w:after="160"/>
        <w:jc w:val="both"/>
        <w:rPr>
          <w:rFonts w:ascii="Arial" w:hAnsi="Arial" w:cs="Arial"/>
        </w:rPr>
      </w:pPr>
      <w:r w:rsidRPr="00C25E2F">
        <w:rPr>
          <w:rFonts w:ascii="Arial" w:hAnsi="Arial" w:cs="Arial"/>
        </w:rPr>
        <w:t xml:space="preserve">4. </w:t>
      </w:r>
      <w:r w:rsidR="00B01FCD" w:rsidRPr="00C25E2F">
        <w:rPr>
          <w:rFonts w:ascii="Arial" w:hAnsi="Arial" w:cs="Arial"/>
        </w:rPr>
        <w:t>Conclusion</w:t>
      </w:r>
    </w:p>
    <w:p w14:paraId="330DE59B" w14:textId="77777777" w:rsidR="008066B8" w:rsidRPr="00C25E2F" w:rsidRDefault="008066B8" w:rsidP="0083691F">
      <w:pPr>
        <w:pStyle w:val="Body"/>
        <w:spacing w:after="160"/>
        <w:rPr>
          <w:rFonts w:ascii="Arial" w:hAnsi="Arial" w:cs="Arial"/>
        </w:rPr>
      </w:pPr>
      <w:r w:rsidRPr="00C25E2F">
        <w:rPr>
          <w:rFonts w:ascii="Arial" w:hAnsi="Arial" w:cs="Arial"/>
        </w:rPr>
        <w:t>Education indisputably plays a central role in the fight against CC and in building a sustainable future. However, the integration of environmental issues into the education system is still restricted due to the lack of resources, teacher training, and curricular integration to ensure equitable access to environmental education, the strengthening of practical approaches, student participation, and the overcoming of cultural and socioeconomic barriers. For this reason, a change in the educational paradigm is necessary, with a more participatory approach, with critical thinking, problem solving and active participation of the school in the fight against CC. Thus, breaking and overcoming traditional teaching methods and promoting environmental education based on action and community participation is invaluable in addressing environmental issues.</w:t>
      </w:r>
    </w:p>
    <w:p w14:paraId="372E423A" w14:textId="77777777" w:rsidR="008066B8" w:rsidRPr="00C25E2F" w:rsidRDefault="008066B8" w:rsidP="0083691F">
      <w:pPr>
        <w:pStyle w:val="Body"/>
        <w:spacing w:after="160"/>
        <w:rPr>
          <w:rFonts w:ascii="Arial" w:hAnsi="Arial" w:cs="Arial"/>
        </w:rPr>
      </w:pPr>
      <w:r w:rsidRPr="00C25E2F">
        <w:rPr>
          <w:rFonts w:ascii="Arial" w:hAnsi="Arial" w:cs="Arial"/>
        </w:rPr>
        <w:t>Thus, education is one of the most important instruments to face climate change. Through educational processes, it is possible to generate knowledge, values and skills that allow people to understand environmental challenges and actively participate in the construction of sustainable solutions.</w:t>
      </w:r>
    </w:p>
    <w:p w14:paraId="401D1F2B" w14:textId="30CF15F2" w:rsidR="008066B8" w:rsidRPr="00C25E2F" w:rsidRDefault="008066B8" w:rsidP="0083691F">
      <w:pPr>
        <w:pStyle w:val="Body"/>
        <w:spacing w:after="160"/>
        <w:rPr>
          <w:rFonts w:ascii="Arial" w:hAnsi="Arial" w:cs="Arial"/>
        </w:rPr>
      </w:pPr>
      <w:r w:rsidRPr="00C25E2F">
        <w:rPr>
          <w:rFonts w:ascii="Arial" w:hAnsi="Arial" w:cs="Arial"/>
        </w:rPr>
        <w:t>In Mexico, environmental education has experienced significant advances in recent decades. However, there is a need to strengthen the integration of climate education into curricula, improve teacher training and promote greater social participation. The strengthening of climate education will make it possible to build an informed, critical citizenry committed to environmental sustainability.</w:t>
      </w:r>
    </w:p>
    <w:p w14:paraId="32FBB376" w14:textId="77777777" w:rsidR="007124D9" w:rsidRPr="00C25E2F" w:rsidRDefault="007124D9" w:rsidP="007124D9"/>
    <w:p w14:paraId="7D208B95" w14:textId="77777777" w:rsidR="007124D9" w:rsidRPr="00C25E2F" w:rsidRDefault="007124D9" w:rsidP="007124D9">
      <w:pPr>
        <w:rPr>
          <w:sz w:val="22"/>
          <w:szCs w:val="22"/>
        </w:rPr>
      </w:pPr>
      <w:r w:rsidRPr="00C25E2F">
        <w:rPr>
          <w:b/>
          <w:bCs/>
          <w:sz w:val="22"/>
          <w:szCs w:val="22"/>
        </w:rPr>
        <w:t xml:space="preserve">Competing Interests </w:t>
      </w:r>
    </w:p>
    <w:p w14:paraId="6497CB89" w14:textId="5A82E343" w:rsidR="007124D9" w:rsidRDefault="007124D9" w:rsidP="007124D9">
      <w:pPr>
        <w:rPr>
          <w:bCs/>
        </w:rPr>
      </w:pPr>
      <w:r w:rsidRPr="00C25E2F">
        <w:rPr>
          <w:bCs/>
        </w:rPr>
        <w:t>Authors have declared that no competing interests exist.</w:t>
      </w:r>
    </w:p>
    <w:p w14:paraId="6A557241" w14:textId="6B0D1D8C" w:rsidR="003E6F9E" w:rsidRDefault="003E6F9E" w:rsidP="007124D9">
      <w:pPr>
        <w:rPr>
          <w:b/>
          <w:bCs/>
          <w:caps/>
        </w:rPr>
      </w:pPr>
    </w:p>
    <w:p w14:paraId="184FD0D9" w14:textId="490BDAF7" w:rsidR="003E6F9E" w:rsidRDefault="003E6F9E" w:rsidP="007124D9">
      <w:pPr>
        <w:rPr>
          <w:b/>
          <w:bCs/>
          <w:caps/>
        </w:rPr>
      </w:pPr>
    </w:p>
    <w:p w14:paraId="6FCB7BC5" w14:textId="77777777" w:rsidR="003E6F9E" w:rsidRPr="00005ED1" w:rsidRDefault="003E6F9E" w:rsidP="003E6F9E">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6C58178B" w14:textId="77777777" w:rsidR="003E6F9E" w:rsidRPr="00005ED1" w:rsidRDefault="003E6F9E" w:rsidP="003E6F9E">
      <w:pPr>
        <w:pStyle w:val="NoSpacing"/>
        <w:rPr>
          <w:rFonts w:ascii="Arial" w:hAnsi="Arial" w:cs="Arial"/>
          <w:highlight w:val="yellow"/>
        </w:rPr>
      </w:pPr>
    </w:p>
    <w:p w14:paraId="0A8C2DC1" w14:textId="77777777" w:rsidR="003E6F9E" w:rsidRPr="00005ED1" w:rsidRDefault="003E6F9E" w:rsidP="003E6F9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EC3FB23" w14:textId="77777777" w:rsidR="003E6F9E" w:rsidRDefault="003E6F9E" w:rsidP="003E6F9E">
      <w:pPr>
        <w:pStyle w:val="NoSpacing"/>
        <w:rPr>
          <w:rFonts w:ascii="Arial" w:hAnsi="Arial" w:cs="Arial"/>
        </w:rPr>
      </w:pPr>
    </w:p>
    <w:p w14:paraId="3EDD370E" w14:textId="77777777" w:rsidR="004519EB" w:rsidRPr="00C25E2F" w:rsidRDefault="004519EB" w:rsidP="00441B6F">
      <w:pPr>
        <w:pStyle w:val="ReferHead"/>
        <w:spacing w:after="0"/>
        <w:jc w:val="both"/>
        <w:rPr>
          <w:rFonts w:ascii="Arial" w:hAnsi="Arial" w:cs="Arial"/>
        </w:rPr>
      </w:pPr>
    </w:p>
    <w:p w14:paraId="1DD11BBB" w14:textId="086FF523" w:rsidR="00790ADA" w:rsidRPr="00C25E2F" w:rsidRDefault="00B01FCD" w:rsidP="00016BBA">
      <w:pPr>
        <w:pStyle w:val="ReferHead"/>
        <w:spacing w:after="120"/>
        <w:jc w:val="both"/>
        <w:rPr>
          <w:rFonts w:ascii="Arial" w:hAnsi="Arial" w:cs="Arial"/>
        </w:rPr>
      </w:pPr>
      <w:r w:rsidRPr="00C25E2F">
        <w:rPr>
          <w:rFonts w:ascii="Arial" w:hAnsi="Arial" w:cs="Arial"/>
        </w:rPr>
        <w:t>References</w:t>
      </w:r>
    </w:p>
    <w:p w14:paraId="229AECD2"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Cs w:val="22"/>
        </w:rPr>
        <w:t>1.</w:t>
      </w:r>
      <w:r w:rsidRPr="00C25E2F">
        <w:rPr>
          <w:rFonts w:ascii="Arial" w:hAnsi="Arial" w:cs="Arial"/>
          <w:b w:val="0"/>
          <w:caps w:val="0"/>
          <w:szCs w:val="22"/>
        </w:rPr>
        <w:tab/>
      </w:r>
      <w:r w:rsidRPr="00C25E2F">
        <w:rPr>
          <w:rFonts w:ascii="Arial" w:hAnsi="Arial" w:cs="Arial"/>
          <w:b w:val="0"/>
          <w:caps w:val="0"/>
          <w:sz w:val="20"/>
        </w:rPr>
        <w:t xml:space="preserve">Brundtland, Gro (1988). Our Common Future, </w:t>
      </w:r>
      <w:proofErr w:type="spellStart"/>
      <w:r w:rsidRPr="00C25E2F">
        <w:rPr>
          <w:rFonts w:ascii="Arial" w:hAnsi="Arial" w:cs="Arial"/>
          <w:b w:val="0"/>
          <w:caps w:val="0"/>
          <w:sz w:val="20"/>
        </w:rPr>
        <w:t>Alianza</w:t>
      </w:r>
      <w:proofErr w:type="spellEnd"/>
      <w:r w:rsidRPr="00C25E2F">
        <w:rPr>
          <w:rFonts w:ascii="Arial" w:hAnsi="Arial" w:cs="Arial"/>
          <w:b w:val="0"/>
          <w:caps w:val="0"/>
          <w:sz w:val="20"/>
        </w:rPr>
        <w:t>, Madrid.</w:t>
      </w:r>
    </w:p>
    <w:p w14:paraId="2C7BF687"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2.</w:t>
      </w:r>
      <w:r w:rsidRPr="00C25E2F">
        <w:rPr>
          <w:rFonts w:ascii="Arial" w:hAnsi="Arial" w:cs="Arial"/>
          <w:b w:val="0"/>
          <w:caps w:val="0"/>
          <w:sz w:val="20"/>
        </w:rPr>
        <w:tab/>
        <w:t xml:space="preserve">Calisaya Huanchi, D. O., Llantoy-Quispe, F., Condori Palomino, J. A., Condori Alvarez, F. L., &amp; </w:t>
      </w:r>
      <w:proofErr w:type="spellStart"/>
      <w:r w:rsidRPr="00C25E2F">
        <w:rPr>
          <w:rFonts w:ascii="Arial" w:hAnsi="Arial" w:cs="Arial"/>
          <w:b w:val="0"/>
          <w:caps w:val="0"/>
          <w:sz w:val="20"/>
        </w:rPr>
        <w:t>Maihua</w:t>
      </w:r>
      <w:proofErr w:type="spellEnd"/>
      <w:r w:rsidRPr="00C25E2F">
        <w:rPr>
          <w:rFonts w:ascii="Arial" w:hAnsi="Arial" w:cs="Arial"/>
          <w:b w:val="0"/>
          <w:caps w:val="0"/>
          <w:sz w:val="20"/>
        </w:rPr>
        <w:t xml:space="preserve"> </w:t>
      </w:r>
      <w:proofErr w:type="spellStart"/>
      <w:r w:rsidRPr="00C25E2F">
        <w:rPr>
          <w:rFonts w:ascii="Arial" w:hAnsi="Arial" w:cs="Arial"/>
          <w:b w:val="0"/>
          <w:caps w:val="0"/>
          <w:sz w:val="20"/>
        </w:rPr>
        <w:t>Ccarita</w:t>
      </w:r>
      <w:proofErr w:type="spellEnd"/>
      <w:r w:rsidRPr="00C25E2F">
        <w:rPr>
          <w:rFonts w:ascii="Arial" w:hAnsi="Arial" w:cs="Arial"/>
          <w:b w:val="0"/>
          <w:caps w:val="0"/>
          <w:sz w:val="20"/>
        </w:rPr>
        <w:t xml:space="preserve">, E. (2023). Education and Climate Change: Responses and </w:t>
      </w:r>
      <w:r w:rsidRPr="00C25E2F">
        <w:rPr>
          <w:rFonts w:ascii="Arial" w:hAnsi="Arial" w:cs="Arial"/>
          <w:b w:val="0"/>
          <w:caps w:val="0"/>
          <w:sz w:val="20"/>
        </w:rPr>
        <w:lastRenderedPageBreak/>
        <w:t xml:space="preserve">Challenges to the Turbulence of the 21st Century. </w:t>
      </w:r>
      <w:proofErr w:type="spellStart"/>
      <w:r w:rsidRPr="00C25E2F">
        <w:rPr>
          <w:rFonts w:ascii="Arial" w:hAnsi="Arial" w:cs="Arial"/>
          <w:b w:val="0"/>
          <w:caps w:val="0"/>
          <w:sz w:val="20"/>
        </w:rPr>
        <w:t>Revista</w:t>
      </w:r>
      <w:proofErr w:type="spellEnd"/>
      <w:r w:rsidRPr="00C25E2F">
        <w:rPr>
          <w:rFonts w:ascii="Arial" w:hAnsi="Arial" w:cs="Arial"/>
          <w:b w:val="0"/>
          <w:caps w:val="0"/>
          <w:sz w:val="20"/>
        </w:rPr>
        <w:t xml:space="preserve"> </w:t>
      </w:r>
      <w:proofErr w:type="spellStart"/>
      <w:r w:rsidRPr="00C25E2F">
        <w:rPr>
          <w:rFonts w:ascii="Arial" w:hAnsi="Arial" w:cs="Arial"/>
          <w:b w:val="0"/>
          <w:caps w:val="0"/>
          <w:sz w:val="20"/>
        </w:rPr>
        <w:t>Revoluciones</w:t>
      </w:r>
      <w:proofErr w:type="spellEnd"/>
      <w:r w:rsidRPr="00C25E2F">
        <w:rPr>
          <w:rFonts w:ascii="Arial" w:hAnsi="Arial" w:cs="Arial"/>
          <w:b w:val="0"/>
          <w:caps w:val="0"/>
          <w:sz w:val="20"/>
        </w:rPr>
        <w:t>, 5(12), 134-147. https://doi.org/10.35622/j.rr.2023.012.007</w:t>
      </w:r>
    </w:p>
    <w:p w14:paraId="2AAD6266"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3.</w:t>
      </w:r>
      <w:r w:rsidRPr="00C25E2F">
        <w:rPr>
          <w:rFonts w:ascii="Arial" w:hAnsi="Arial" w:cs="Arial"/>
          <w:b w:val="0"/>
          <w:caps w:val="0"/>
          <w:sz w:val="20"/>
        </w:rPr>
        <w:tab/>
        <w:t xml:space="preserve">Caride, José Antonio, &amp; Meira, Pablo (2018). «From environmentalism as a social movement to environmental education as a historical construction», History of Education. </w:t>
      </w:r>
      <w:proofErr w:type="spellStart"/>
      <w:r w:rsidRPr="00C25E2F">
        <w:rPr>
          <w:rFonts w:ascii="Arial" w:hAnsi="Arial" w:cs="Arial"/>
          <w:b w:val="0"/>
          <w:caps w:val="0"/>
          <w:sz w:val="20"/>
        </w:rPr>
        <w:t>Revista</w:t>
      </w:r>
      <w:proofErr w:type="spellEnd"/>
      <w:r w:rsidRPr="00C25E2F">
        <w:rPr>
          <w:rFonts w:ascii="Arial" w:hAnsi="Arial" w:cs="Arial"/>
          <w:b w:val="0"/>
          <w:caps w:val="0"/>
          <w:sz w:val="20"/>
        </w:rPr>
        <w:t xml:space="preserve"> </w:t>
      </w:r>
      <w:proofErr w:type="spellStart"/>
      <w:r w:rsidRPr="00C25E2F">
        <w:rPr>
          <w:rFonts w:ascii="Arial" w:hAnsi="Arial" w:cs="Arial"/>
          <w:b w:val="0"/>
          <w:caps w:val="0"/>
          <w:sz w:val="20"/>
        </w:rPr>
        <w:t>Interuniversitaria</w:t>
      </w:r>
      <w:proofErr w:type="spellEnd"/>
      <w:r w:rsidRPr="00C25E2F">
        <w:rPr>
          <w:rFonts w:ascii="Arial" w:hAnsi="Arial" w:cs="Arial"/>
          <w:b w:val="0"/>
          <w:caps w:val="0"/>
          <w:sz w:val="20"/>
        </w:rPr>
        <w:t>, nº 37, pp. 165-197, Santiago de Compostela.</w:t>
      </w:r>
    </w:p>
    <w:p w14:paraId="58A4B639"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4.</w:t>
      </w:r>
      <w:r w:rsidRPr="00C25E2F">
        <w:rPr>
          <w:rFonts w:ascii="Arial" w:hAnsi="Arial" w:cs="Arial"/>
          <w:b w:val="0"/>
          <w:caps w:val="0"/>
          <w:sz w:val="20"/>
        </w:rPr>
        <w:tab/>
        <w:t>DOF (2012) General Law on Climate Change. (2012). Official Gazette of the Federation, June 6, 2012. Mexico City, Mexico.</w:t>
      </w:r>
    </w:p>
    <w:p w14:paraId="41EF9A60"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5.</w:t>
      </w:r>
      <w:r w:rsidRPr="00C25E2F">
        <w:rPr>
          <w:rFonts w:ascii="Arial" w:hAnsi="Arial" w:cs="Arial"/>
          <w:b w:val="0"/>
          <w:caps w:val="0"/>
          <w:sz w:val="20"/>
        </w:rPr>
        <w:tab/>
        <w:t>García et al. (2023) Climate change and nature care. University of Manizales Retrieved from: https://ridum.umanizales.edu.co/handle/20.500.12746/6297</w:t>
      </w:r>
    </w:p>
    <w:p w14:paraId="20021D68"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6.</w:t>
      </w:r>
      <w:r w:rsidRPr="00C25E2F">
        <w:rPr>
          <w:rFonts w:ascii="Arial" w:hAnsi="Arial" w:cs="Arial"/>
          <w:b w:val="0"/>
          <w:caps w:val="0"/>
          <w:sz w:val="20"/>
        </w:rPr>
        <w:tab/>
        <w:t>Garcés, Marina (2020). Apprentice School, Galaxia Gutenberg, Barcelona.</w:t>
      </w:r>
    </w:p>
    <w:p w14:paraId="0C2EF208" w14:textId="07EEF11E"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7.</w:t>
      </w:r>
      <w:r w:rsidRPr="00C25E2F">
        <w:rPr>
          <w:rFonts w:ascii="Arial" w:hAnsi="Arial" w:cs="Arial"/>
          <w:b w:val="0"/>
          <w:caps w:val="0"/>
          <w:sz w:val="20"/>
        </w:rPr>
        <w:tab/>
      </w:r>
      <w:proofErr w:type="spellStart"/>
      <w:r w:rsidRPr="00C25E2F">
        <w:rPr>
          <w:rFonts w:ascii="Arial" w:hAnsi="Arial" w:cs="Arial"/>
          <w:b w:val="0"/>
          <w:caps w:val="0"/>
          <w:sz w:val="20"/>
        </w:rPr>
        <w:t>Haerpfer</w:t>
      </w:r>
      <w:proofErr w:type="spellEnd"/>
      <w:r w:rsidRPr="00C25E2F">
        <w:rPr>
          <w:rFonts w:ascii="Arial" w:hAnsi="Arial" w:cs="Arial"/>
          <w:b w:val="0"/>
          <w:caps w:val="0"/>
          <w:sz w:val="20"/>
        </w:rPr>
        <w:t xml:space="preserve">, C., R. Inglehart, A. Moreno, C. Welzel, K. Kizilova, J. Diez-Medrano, M. Lagos, P. Norris, E. </w:t>
      </w:r>
      <w:proofErr w:type="spellStart"/>
      <w:r w:rsidRPr="00C25E2F">
        <w:rPr>
          <w:rFonts w:ascii="Arial" w:hAnsi="Arial" w:cs="Arial"/>
          <w:b w:val="0"/>
          <w:caps w:val="0"/>
          <w:sz w:val="20"/>
        </w:rPr>
        <w:t>Ponarin</w:t>
      </w:r>
      <w:proofErr w:type="spellEnd"/>
      <w:r w:rsidRPr="00C25E2F">
        <w:rPr>
          <w:rFonts w:ascii="Arial" w:hAnsi="Arial" w:cs="Arial"/>
          <w:b w:val="0"/>
          <w:caps w:val="0"/>
          <w:sz w:val="20"/>
        </w:rPr>
        <w:t xml:space="preserve"> and B. Puranen. </w:t>
      </w:r>
      <w:r w:rsidR="004519EB" w:rsidRPr="00C25E2F">
        <w:rPr>
          <w:rFonts w:ascii="Arial" w:hAnsi="Arial" w:cs="Arial"/>
          <w:b w:val="0"/>
          <w:caps w:val="0"/>
          <w:sz w:val="20"/>
        </w:rPr>
        <w:t>(</w:t>
      </w:r>
      <w:r w:rsidRPr="00C25E2F">
        <w:rPr>
          <w:rFonts w:ascii="Arial" w:hAnsi="Arial" w:cs="Arial"/>
          <w:b w:val="0"/>
          <w:caps w:val="0"/>
          <w:sz w:val="20"/>
        </w:rPr>
        <w:t>2022</w:t>
      </w:r>
      <w:r w:rsidR="004519EB" w:rsidRPr="00C25E2F">
        <w:rPr>
          <w:rFonts w:ascii="Arial" w:hAnsi="Arial" w:cs="Arial"/>
          <w:b w:val="0"/>
          <w:caps w:val="0"/>
          <w:sz w:val="20"/>
        </w:rPr>
        <w:t>)</w:t>
      </w:r>
      <w:r w:rsidRPr="00C25E2F">
        <w:rPr>
          <w:rFonts w:ascii="Arial" w:hAnsi="Arial" w:cs="Arial"/>
          <w:b w:val="0"/>
          <w:caps w:val="0"/>
          <w:sz w:val="20"/>
        </w:rPr>
        <w:t>. "World Values Survey: Round Seven - Country-Pooled Datafile Version 4.0". Madrid and Vienna: JD Systems Institute &amp; WVSA Secretariat.</w:t>
      </w:r>
    </w:p>
    <w:p w14:paraId="0007C8D2" w14:textId="77DBF1EF"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8.</w:t>
      </w:r>
      <w:r w:rsidRPr="00C25E2F">
        <w:rPr>
          <w:rFonts w:ascii="Arial" w:hAnsi="Arial" w:cs="Arial"/>
          <w:b w:val="0"/>
          <w:caps w:val="0"/>
          <w:sz w:val="20"/>
        </w:rPr>
        <w:tab/>
      </w:r>
      <w:proofErr w:type="spellStart"/>
      <w:r w:rsidRPr="00C25E2F">
        <w:rPr>
          <w:rFonts w:ascii="Arial" w:hAnsi="Arial" w:cs="Arial"/>
          <w:b w:val="0"/>
          <w:caps w:val="0"/>
          <w:sz w:val="20"/>
        </w:rPr>
        <w:t>Kwauk</w:t>
      </w:r>
      <w:proofErr w:type="spellEnd"/>
      <w:r w:rsidRPr="00C25E2F">
        <w:rPr>
          <w:rFonts w:ascii="Arial" w:hAnsi="Arial" w:cs="Arial"/>
          <w:b w:val="0"/>
          <w:caps w:val="0"/>
          <w:sz w:val="20"/>
        </w:rPr>
        <w:t xml:space="preserve">, C. and O. Casey. </w:t>
      </w:r>
      <w:r w:rsidR="004519EB" w:rsidRPr="00C25E2F">
        <w:rPr>
          <w:rFonts w:ascii="Arial" w:hAnsi="Arial" w:cs="Arial"/>
          <w:b w:val="0"/>
          <w:caps w:val="0"/>
          <w:sz w:val="20"/>
        </w:rPr>
        <w:t>(</w:t>
      </w:r>
      <w:r w:rsidRPr="00C25E2F">
        <w:rPr>
          <w:rFonts w:ascii="Arial" w:hAnsi="Arial" w:cs="Arial"/>
          <w:b w:val="0"/>
          <w:caps w:val="0"/>
          <w:sz w:val="20"/>
        </w:rPr>
        <w:t>2021</w:t>
      </w:r>
      <w:r w:rsidR="004519EB" w:rsidRPr="00C25E2F">
        <w:rPr>
          <w:rFonts w:ascii="Arial" w:hAnsi="Arial" w:cs="Arial"/>
          <w:b w:val="0"/>
          <w:caps w:val="0"/>
          <w:sz w:val="20"/>
        </w:rPr>
        <w:t>)</w:t>
      </w:r>
      <w:r w:rsidRPr="00C25E2F">
        <w:rPr>
          <w:rFonts w:ascii="Arial" w:hAnsi="Arial" w:cs="Arial"/>
          <w:b w:val="0"/>
          <w:caps w:val="0"/>
          <w:sz w:val="20"/>
        </w:rPr>
        <w:t>. "A New Green Learning Agenda: Approaches to Quality Education for Climate Action". Brookings. https://www.brookings.edu/research/a-new-green-learning- agenda-approaches-to-quality-education-for-climate-action.</w:t>
      </w:r>
    </w:p>
    <w:p w14:paraId="45AFBE56" w14:textId="47F48DDC"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9.</w:t>
      </w:r>
      <w:r w:rsidRPr="00C25E2F">
        <w:rPr>
          <w:rFonts w:ascii="Arial" w:hAnsi="Arial" w:cs="Arial"/>
          <w:b w:val="0"/>
          <w:caps w:val="0"/>
          <w:sz w:val="20"/>
        </w:rPr>
        <w:tab/>
        <w:t xml:space="preserve">K12 Climate Action Commission. </w:t>
      </w:r>
      <w:r w:rsidR="004519EB" w:rsidRPr="00C25E2F">
        <w:rPr>
          <w:rFonts w:ascii="Arial" w:hAnsi="Arial" w:cs="Arial"/>
          <w:b w:val="0"/>
          <w:caps w:val="0"/>
          <w:sz w:val="20"/>
        </w:rPr>
        <w:t>(</w:t>
      </w:r>
      <w:r w:rsidRPr="00C25E2F">
        <w:rPr>
          <w:rFonts w:ascii="Arial" w:hAnsi="Arial" w:cs="Arial"/>
          <w:b w:val="0"/>
          <w:caps w:val="0"/>
          <w:sz w:val="20"/>
        </w:rPr>
        <w:t>2021</w:t>
      </w:r>
      <w:r w:rsidR="004519EB" w:rsidRPr="00C25E2F">
        <w:rPr>
          <w:rFonts w:ascii="Arial" w:hAnsi="Arial" w:cs="Arial"/>
          <w:b w:val="0"/>
          <w:caps w:val="0"/>
          <w:sz w:val="20"/>
        </w:rPr>
        <w:t>)</w:t>
      </w:r>
      <w:r w:rsidRPr="00C25E2F">
        <w:rPr>
          <w:rFonts w:ascii="Arial" w:hAnsi="Arial" w:cs="Arial"/>
          <w:b w:val="0"/>
          <w:caps w:val="0"/>
          <w:sz w:val="20"/>
        </w:rPr>
        <w:t>. "K12 Climate Action Plan 2021". Washington, DC: The Aspen Institute. https://www.k12climateaction.org/blog/climate-action-plan-2021.</w:t>
      </w:r>
    </w:p>
    <w:p w14:paraId="0225BCDE"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10.</w:t>
      </w:r>
      <w:r w:rsidRPr="00C25E2F">
        <w:rPr>
          <w:rFonts w:ascii="Arial" w:hAnsi="Arial" w:cs="Arial"/>
          <w:b w:val="0"/>
          <w:caps w:val="0"/>
          <w:sz w:val="20"/>
        </w:rPr>
        <w:tab/>
        <w:t>María Soledad Bos, &amp; Liora Schwartz. (2023). Education and climate change: How to develop skills for climate action at school age? Inter-American Development Bank.</w:t>
      </w:r>
    </w:p>
    <w:p w14:paraId="7CCB46AB" w14:textId="7DC0BD38"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11.</w:t>
      </w:r>
      <w:r w:rsidRPr="00C25E2F">
        <w:rPr>
          <w:rFonts w:ascii="Arial" w:hAnsi="Arial" w:cs="Arial"/>
          <w:b w:val="0"/>
          <w:caps w:val="0"/>
          <w:sz w:val="20"/>
        </w:rPr>
        <w:tab/>
      </w:r>
      <w:proofErr w:type="spellStart"/>
      <w:r w:rsidRPr="00C25E2F">
        <w:rPr>
          <w:rFonts w:ascii="Arial" w:hAnsi="Arial" w:cs="Arial"/>
          <w:b w:val="0"/>
          <w:caps w:val="0"/>
          <w:sz w:val="20"/>
        </w:rPr>
        <w:t>Minoja</w:t>
      </w:r>
      <w:proofErr w:type="spellEnd"/>
      <w:r w:rsidRPr="00C25E2F">
        <w:rPr>
          <w:rFonts w:ascii="Arial" w:hAnsi="Arial" w:cs="Arial"/>
          <w:b w:val="0"/>
          <w:caps w:val="0"/>
          <w:sz w:val="20"/>
        </w:rPr>
        <w:t xml:space="preserve">, L., L. Fernández and R. </w:t>
      </w:r>
      <w:proofErr w:type="spellStart"/>
      <w:r w:rsidRPr="00C25E2F">
        <w:rPr>
          <w:rFonts w:ascii="Arial" w:hAnsi="Arial" w:cs="Arial"/>
          <w:b w:val="0"/>
          <w:caps w:val="0"/>
          <w:sz w:val="20"/>
        </w:rPr>
        <w:t>Yurivilca</w:t>
      </w:r>
      <w:proofErr w:type="spellEnd"/>
      <w:r w:rsidRPr="00C25E2F">
        <w:rPr>
          <w:rFonts w:ascii="Arial" w:hAnsi="Arial" w:cs="Arial"/>
          <w:b w:val="0"/>
          <w:caps w:val="0"/>
          <w:sz w:val="20"/>
        </w:rPr>
        <w:t xml:space="preserve">. </w:t>
      </w:r>
      <w:r w:rsidR="004519EB" w:rsidRPr="00C25E2F">
        <w:rPr>
          <w:rFonts w:ascii="Arial" w:hAnsi="Arial" w:cs="Arial"/>
          <w:b w:val="0"/>
          <w:caps w:val="0"/>
          <w:sz w:val="20"/>
        </w:rPr>
        <w:t>(</w:t>
      </w:r>
      <w:r w:rsidRPr="00C25E2F">
        <w:rPr>
          <w:rFonts w:ascii="Arial" w:hAnsi="Arial" w:cs="Arial"/>
          <w:b w:val="0"/>
          <w:caps w:val="0"/>
          <w:sz w:val="20"/>
        </w:rPr>
        <w:t>2018</w:t>
      </w:r>
      <w:r w:rsidR="004519EB" w:rsidRPr="00C25E2F">
        <w:rPr>
          <w:rFonts w:ascii="Arial" w:hAnsi="Arial" w:cs="Arial"/>
          <w:b w:val="0"/>
          <w:caps w:val="0"/>
          <w:sz w:val="20"/>
        </w:rPr>
        <w:t>)</w:t>
      </w:r>
      <w:r w:rsidRPr="00C25E2F">
        <w:rPr>
          <w:rFonts w:ascii="Arial" w:hAnsi="Arial" w:cs="Arial"/>
          <w:b w:val="0"/>
          <w:caps w:val="0"/>
          <w:sz w:val="20"/>
        </w:rPr>
        <w:t>. "Towards 30% Climate Finance: How Can Buildings Contribute? Guidelines for the incorporation and accounting of climate change mitigation and adaptation measures". IDB Technical Note No. IDB-TN-1458. Washington, DC: Inter-American Development Bank (IDB). http://dx.doi.org/10.18235/0001458.</w:t>
      </w:r>
    </w:p>
    <w:p w14:paraId="1D630CE8"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12.</w:t>
      </w:r>
      <w:r w:rsidRPr="00C25E2F">
        <w:rPr>
          <w:rFonts w:ascii="Arial" w:hAnsi="Arial" w:cs="Arial"/>
          <w:b w:val="0"/>
          <w:caps w:val="0"/>
          <w:sz w:val="20"/>
        </w:rPr>
        <w:tab/>
        <w:t xml:space="preserve">Novo, María (coord.) (2007). Women and the Environment: The Paths of Visibility. Utopias, Education and New Paradigm, Los </w:t>
      </w:r>
      <w:proofErr w:type="spellStart"/>
      <w:r w:rsidRPr="00C25E2F">
        <w:rPr>
          <w:rFonts w:ascii="Arial" w:hAnsi="Arial" w:cs="Arial"/>
          <w:b w:val="0"/>
          <w:caps w:val="0"/>
          <w:sz w:val="20"/>
        </w:rPr>
        <w:t>Libros</w:t>
      </w:r>
      <w:proofErr w:type="spellEnd"/>
      <w:r w:rsidRPr="00C25E2F">
        <w:rPr>
          <w:rFonts w:ascii="Arial" w:hAnsi="Arial" w:cs="Arial"/>
          <w:b w:val="0"/>
          <w:caps w:val="0"/>
          <w:sz w:val="20"/>
        </w:rPr>
        <w:t xml:space="preserve"> de la </w:t>
      </w:r>
      <w:proofErr w:type="spellStart"/>
      <w:r w:rsidRPr="00C25E2F">
        <w:rPr>
          <w:rFonts w:ascii="Arial" w:hAnsi="Arial" w:cs="Arial"/>
          <w:b w:val="0"/>
          <w:caps w:val="0"/>
          <w:sz w:val="20"/>
        </w:rPr>
        <w:t>Catarata</w:t>
      </w:r>
      <w:proofErr w:type="spellEnd"/>
      <w:r w:rsidRPr="00C25E2F">
        <w:rPr>
          <w:rFonts w:ascii="Arial" w:hAnsi="Arial" w:cs="Arial"/>
          <w:b w:val="0"/>
          <w:caps w:val="0"/>
          <w:sz w:val="20"/>
        </w:rPr>
        <w:t>, Madrid.</w:t>
      </w:r>
    </w:p>
    <w:p w14:paraId="7BF2D15B" w14:textId="4EB5B21A"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13.</w:t>
      </w:r>
      <w:r w:rsidRPr="00C25E2F">
        <w:rPr>
          <w:rFonts w:ascii="Arial" w:hAnsi="Arial" w:cs="Arial"/>
          <w:b w:val="0"/>
          <w:caps w:val="0"/>
          <w:sz w:val="20"/>
        </w:rPr>
        <w:tab/>
        <w:t xml:space="preserve">OECD (Organization for Economic Cooperation and Development). </w:t>
      </w:r>
      <w:r w:rsidR="004519EB" w:rsidRPr="00C25E2F">
        <w:rPr>
          <w:rFonts w:ascii="Arial" w:hAnsi="Arial" w:cs="Arial"/>
          <w:b w:val="0"/>
          <w:caps w:val="0"/>
          <w:sz w:val="20"/>
        </w:rPr>
        <w:t>(</w:t>
      </w:r>
      <w:r w:rsidRPr="00C25E2F">
        <w:rPr>
          <w:rFonts w:ascii="Arial" w:hAnsi="Arial" w:cs="Arial"/>
          <w:b w:val="0"/>
          <w:caps w:val="0"/>
          <w:sz w:val="20"/>
        </w:rPr>
        <w:t>2019</w:t>
      </w:r>
      <w:r w:rsidR="004519EB" w:rsidRPr="00C25E2F">
        <w:rPr>
          <w:rFonts w:ascii="Arial" w:hAnsi="Arial" w:cs="Arial"/>
          <w:b w:val="0"/>
          <w:caps w:val="0"/>
          <w:sz w:val="20"/>
        </w:rPr>
        <w:t>)</w:t>
      </w:r>
      <w:r w:rsidRPr="00C25E2F">
        <w:rPr>
          <w:rFonts w:ascii="Arial" w:hAnsi="Arial" w:cs="Arial"/>
          <w:b w:val="0"/>
          <w:caps w:val="0"/>
          <w:sz w:val="20"/>
        </w:rPr>
        <w:t>. "PISA 2018 Science Framework". In "PISA 2018 Assessment and Analytical Framework". Paris: OECD Editions. https://doi.org/10.1787/f30da688-en.</w:t>
      </w:r>
    </w:p>
    <w:p w14:paraId="2D568F4A"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14.</w:t>
      </w:r>
      <w:r w:rsidRPr="00C25E2F">
        <w:rPr>
          <w:rFonts w:ascii="Arial" w:hAnsi="Arial" w:cs="Arial"/>
          <w:b w:val="0"/>
          <w:caps w:val="0"/>
          <w:sz w:val="20"/>
        </w:rPr>
        <w:tab/>
        <w:t>Organization of Ibero-American States for Education, Science and Culture. (2023). Climate change education with an impact on Ibero-America. OEI.</w:t>
      </w:r>
    </w:p>
    <w:p w14:paraId="6CC3CDD7" w14:textId="0A18D194"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15.</w:t>
      </w:r>
      <w:r w:rsidR="004519EB" w:rsidRPr="00C25E2F">
        <w:rPr>
          <w:rFonts w:ascii="Arial" w:hAnsi="Arial" w:cs="Arial"/>
          <w:b w:val="0"/>
          <w:caps w:val="0"/>
          <w:sz w:val="20"/>
        </w:rPr>
        <w:t>OIT</w:t>
      </w:r>
      <w:r w:rsidRPr="00C25E2F">
        <w:rPr>
          <w:rFonts w:ascii="Arial" w:hAnsi="Arial" w:cs="Arial"/>
          <w:b w:val="0"/>
          <w:caps w:val="0"/>
          <w:sz w:val="20"/>
        </w:rPr>
        <w:t xml:space="preserve"> (International </w:t>
      </w:r>
      <w:proofErr w:type="spellStart"/>
      <w:r w:rsidRPr="00C25E2F">
        <w:rPr>
          <w:rFonts w:ascii="Arial" w:hAnsi="Arial" w:cs="Arial"/>
          <w:b w:val="0"/>
          <w:caps w:val="0"/>
          <w:sz w:val="20"/>
        </w:rPr>
        <w:t>Labour</w:t>
      </w:r>
      <w:proofErr w:type="spellEnd"/>
      <w:r w:rsidRPr="00C25E2F">
        <w:rPr>
          <w:rFonts w:ascii="Arial" w:hAnsi="Arial" w:cs="Arial"/>
          <w:b w:val="0"/>
          <w:caps w:val="0"/>
          <w:sz w:val="20"/>
        </w:rPr>
        <w:t xml:space="preserve"> Organization). </w:t>
      </w:r>
      <w:r w:rsidR="004519EB" w:rsidRPr="00C25E2F">
        <w:rPr>
          <w:rFonts w:ascii="Arial" w:hAnsi="Arial" w:cs="Arial"/>
          <w:b w:val="0"/>
          <w:caps w:val="0"/>
          <w:sz w:val="20"/>
        </w:rPr>
        <w:t>(</w:t>
      </w:r>
      <w:r w:rsidRPr="00C25E2F">
        <w:rPr>
          <w:rFonts w:ascii="Arial" w:hAnsi="Arial" w:cs="Arial"/>
          <w:b w:val="0"/>
          <w:caps w:val="0"/>
          <w:sz w:val="20"/>
        </w:rPr>
        <w:t>2018a</w:t>
      </w:r>
      <w:r w:rsidR="004519EB" w:rsidRPr="00C25E2F">
        <w:rPr>
          <w:rFonts w:ascii="Arial" w:hAnsi="Arial" w:cs="Arial"/>
          <w:b w:val="0"/>
          <w:caps w:val="0"/>
          <w:sz w:val="20"/>
        </w:rPr>
        <w:t>)</w:t>
      </w:r>
      <w:r w:rsidRPr="00C25E2F">
        <w:rPr>
          <w:rFonts w:ascii="Arial" w:hAnsi="Arial" w:cs="Arial"/>
          <w:b w:val="0"/>
          <w:caps w:val="0"/>
          <w:sz w:val="20"/>
        </w:rPr>
        <w:t xml:space="preserve">. "World Employment and Social Outlook2018: Greening with jobs (Report)". Geneva: </w:t>
      </w:r>
      <w:r w:rsidR="004519EB" w:rsidRPr="00C25E2F">
        <w:rPr>
          <w:rFonts w:ascii="Arial" w:hAnsi="Arial" w:cs="Arial"/>
          <w:b w:val="0"/>
          <w:caps w:val="0"/>
          <w:sz w:val="20"/>
        </w:rPr>
        <w:t>OIT</w:t>
      </w:r>
      <w:r w:rsidRPr="00C25E2F">
        <w:rPr>
          <w:rFonts w:ascii="Arial" w:hAnsi="Arial" w:cs="Arial"/>
          <w:b w:val="0"/>
          <w:caps w:val="0"/>
          <w:sz w:val="20"/>
        </w:rPr>
        <w:t>.</w:t>
      </w:r>
    </w:p>
    <w:p w14:paraId="2EBCA7A5"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16.</w:t>
      </w:r>
      <w:r w:rsidRPr="00C25E2F">
        <w:rPr>
          <w:rFonts w:ascii="Arial" w:hAnsi="Arial" w:cs="Arial"/>
          <w:b w:val="0"/>
          <w:caps w:val="0"/>
          <w:sz w:val="20"/>
        </w:rPr>
        <w:tab/>
        <w:t>United Nations (2015). Paris Agreement, downloadable in https://unfccc.int/sites/default/files/ spanish_paris_agreement.pdf</w:t>
      </w:r>
    </w:p>
    <w:p w14:paraId="16782635"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17.</w:t>
      </w:r>
      <w:r w:rsidRPr="00C25E2F">
        <w:rPr>
          <w:rFonts w:ascii="Arial" w:hAnsi="Arial" w:cs="Arial"/>
          <w:b w:val="0"/>
          <w:caps w:val="0"/>
          <w:sz w:val="20"/>
        </w:rPr>
        <w:tab/>
        <w:t xml:space="preserve">United Nations Organization (1972). Report and Declaration of the Stockholm Conference on the Human Environment, downloadable at https://documents-dds-ny.un.org/ doc/UNDOC/GEN/N73/039/07/PDF/N7303907. pdf? </w:t>
      </w:r>
      <w:proofErr w:type="spellStart"/>
      <w:r w:rsidRPr="00C25E2F">
        <w:rPr>
          <w:rFonts w:ascii="Arial" w:hAnsi="Arial" w:cs="Arial"/>
          <w:b w:val="0"/>
          <w:caps w:val="0"/>
          <w:sz w:val="20"/>
        </w:rPr>
        <w:t>OpenElement</w:t>
      </w:r>
      <w:proofErr w:type="spellEnd"/>
    </w:p>
    <w:p w14:paraId="1A5E7AC0" w14:textId="7F9D5E0F"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18.</w:t>
      </w:r>
      <w:r w:rsidRPr="00C25E2F">
        <w:rPr>
          <w:rFonts w:ascii="Arial" w:hAnsi="Arial" w:cs="Arial"/>
          <w:b w:val="0"/>
          <w:caps w:val="0"/>
          <w:sz w:val="20"/>
        </w:rPr>
        <w:tab/>
        <w:t xml:space="preserve">Restrepo, A. M. and B. Méndez. </w:t>
      </w:r>
      <w:r w:rsidR="004519EB" w:rsidRPr="00C25E2F">
        <w:rPr>
          <w:rFonts w:ascii="Arial" w:hAnsi="Arial" w:cs="Arial"/>
          <w:b w:val="0"/>
          <w:caps w:val="0"/>
          <w:sz w:val="20"/>
        </w:rPr>
        <w:t>(</w:t>
      </w:r>
      <w:r w:rsidRPr="00C25E2F">
        <w:rPr>
          <w:rFonts w:ascii="Arial" w:hAnsi="Arial" w:cs="Arial"/>
          <w:b w:val="0"/>
          <w:caps w:val="0"/>
          <w:sz w:val="20"/>
        </w:rPr>
        <w:t>2021</w:t>
      </w:r>
      <w:r w:rsidR="004519EB" w:rsidRPr="00C25E2F">
        <w:rPr>
          <w:rFonts w:ascii="Arial" w:hAnsi="Arial" w:cs="Arial"/>
          <w:b w:val="0"/>
          <w:caps w:val="0"/>
          <w:sz w:val="20"/>
        </w:rPr>
        <w:t>)</w:t>
      </w:r>
      <w:r w:rsidRPr="00C25E2F">
        <w:rPr>
          <w:rFonts w:ascii="Arial" w:hAnsi="Arial" w:cs="Arial"/>
          <w:b w:val="0"/>
          <w:caps w:val="0"/>
          <w:sz w:val="20"/>
        </w:rPr>
        <w:t xml:space="preserve">. "Try harder!: How Young Advocates Advise on Climate Action in Latin America and the Caribbean". UNICEF Regional Office for Latin </w:t>
      </w:r>
      <w:r w:rsidRPr="00C25E2F">
        <w:rPr>
          <w:rFonts w:ascii="Arial" w:hAnsi="Arial" w:cs="Arial"/>
          <w:b w:val="0"/>
          <w:caps w:val="0"/>
          <w:sz w:val="20"/>
        </w:rPr>
        <w:lastRenderedPageBreak/>
        <w:t xml:space="preserve">America and the Caribbean (United Nations Children's Fund). Panama: UNICEF. </w:t>
      </w:r>
      <w:hyperlink r:id="rId13" w:history="1">
        <w:r w:rsidR="00016BBA" w:rsidRPr="00C25E2F">
          <w:rPr>
            <w:rStyle w:val="Hyperlink"/>
            <w:rFonts w:ascii="Arial" w:hAnsi="Arial" w:cs="Arial"/>
            <w:b w:val="0"/>
            <w:caps w:val="0"/>
            <w:sz w:val="20"/>
          </w:rPr>
          <w:t>https://www.unicef.org/lac/media/29266/file/U-Report-try-harder.pdf</w:t>
        </w:r>
      </w:hyperlink>
      <w:r w:rsidRPr="00C25E2F">
        <w:rPr>
          <w:rFonts w:ascii="Arial" w:hAnsi="Arial" w:cs="Arial"/>
          <w:b w:val="0"/>
          <w:caps w:val="0"/>
          <w:sz w:val="20"/>
        </w:rPr>
        <w:t>.</w:t>
      </w:r>
    </w:p>
    <w:p w14:paraId="3597D3C5" w14:textId="060C3684" w:rsidR="0083691F" w:rsidRPr="00C25E2F" w:rsidRDefault="0083691F" w:rsidP="00016BBA">
      <w:pPr>
        <w:spacing w:after="120"/>
        <w:ind w:left="567" w:hanging="425"/>
        <w:jc w:val="both"/>
        <w:rPr>
          <w:rFonts w:ascii="Arial" w:hAnsi="Arial" w:cs="Arial"/>
          <w:b/>
          <w:caps/>
        </w:rPr>
      </w:pPr>
      <w:r w:rsidRPr="00C25E2F">
        <w:rPr>
          <w:rFonts w:ascii="Arial" w:hAnsi="Arial" w:cs="Arial"/>
        </w:rPr>
        <w:t>19.</w:t>
      </w:r>
      <w:r w:rsidRPr="00C25E2F">
        <w:rPr>
          <w:rFonts w:ascii="Arial" w:hAnsi="Arial" w:cs="Arial"/>
        </w:rPr>
        <w:tab/>
        <w:t>Ministry of Environment and Natural Resources (SEMARNAT) &amp; National Institute of Ecology and Climate Change (INECC). (2018). Sixth National Communication and</w:t>
      </w:r>
      <w:r w:rsidR="00016BBA" w:rsidRPr="00C25E2F">
        <w:rPr>
          <w:rFonts w:ascii="Arial" w:hAnsi="Arial" w:cs="Arial"/>
          <w:b/>
          <w:caps/>
        </w:rPr>
        <w:t xml:space="preserve"> </w:t>
      </w:r>
      <w:r w:rsidRPr="00C25E2F">
        <w:rPr>
          <w:rFonts w:ascii="Arial" w:hAnsi="Arial" w:cs="Arial"/>
        </w:rPr>
        <w:t>Second Biennial Update Report to the United Nations Framework Convention on Climate Change. Mexico City, Mexico.</w:t>
      </w:r>
    </w:p>
    <w:p w14:paraId="1CA3F300" w14:textId="77777777" w:rsidR="0083691F" w:rsidRPr="00C25E2F" w:rsidRDefault="0083691F" w:rsidP="00016BBA">
      <w:pPr>
        <w:spacing w:after="120"/>
        <w:ind w:left="567" w:hanging="425"/>
        <w:jc w:val="both"/>
        <w:rPr>
          <w:rFonts w:ascii="Arial" w:hAnsi="Arial" w:cs="Arial"/>
          <w:b/>
          <w:caps/>
        </w:rPr>
      </w:pPr>
      <w:r w:rsidRPr="00C25E2F">
        <w:rPr>
          <w:rFonts w:ascii="Arial" w:hAnsi="Arial" w:cs="Arial"/>
        </w:rPr>
        <w:t>20.</w:t>
      </w:r>
      <w:r w:rsidRPr="00C25E2F">
        <w:rPr>
          <w:rFonts w:ascii="Arial" w:hAnsi="Arial" w:cs="Arial"/>
        </w:rPr>
        <w:tab/>
        <w:t xml:space="preserve">UNESCO (United Nations Educational, Scientific and Cultural Organization). (1976). International Seminar on Environmental Education. Final report. Doc. ED-76/WS/95, </w:t>
      </w:r>
      <w:proofErr w:type="spellStart"/>
      <w:r w:rsidRPr="00C25E2F">
        <w:rPr>
          <w:rFonts w:ascii="Arial" w:hAnsi="Arial" w:cs="Arial"/>
        </w:rPr>
        <w:t>Unesco</w:t>
      </w:r>
      <w:proofErr w:type="spellEnd"/>
      <w:r w:rsidRPr="00C25E2F">
        <w:rPr>
          <w:rFonts w:ascii="Arial" w:hAnsi="Arial" w:cs="Arial"/>
        </w:rPr>
        <w:t>, Paris.</w:t>
      </w:r>
    </w:p>
    <w:p w14:paraId="58AE16F3" w14:textId="77777777" w:rsidR="0083691F" w:rsidRPr="00C25E2F" w:rsidRDefault="0083691F" w:rsidP="00016BBA">
      <w:pPr>
        <w:spacing w:after="120"/>
        <w:ind w:left="567" w:hanging="425"/>
        <w:jc w:val="both"/>
        <w:rPr>
          <w:rFonts w:ascii="Arial" w:hAnsi="Arial" w:cs="Arial"/>
          <w:b/>
          <w:caps/>
        </w:rPr>
      </w:pPr>
      <w:r w:rsidRPr="00C25E2F">
        <w:rPr>
          <w:rFonts w:ascii="Arial" w:hAnsi="Arial" w:cs="Arial"/>
        </w:rPr>
        <w:t>21.</w:t>
      </w:r>
      <w:r w:rsidRPr="00C25E2F">
        <w:rPr>
          <w:rFonts w:ascii="Arial" w:hAnsi="Arial" w:cs="Arial"/>
        </w:rPr>
        <w:tab/>
        <w:t xml:space="preserve">UNESCO (United Nations Educational, Scientific and Cultural Organization). (1980). Environmental education. The main orientations of the Tbilisi Conference, </w:t>
      </w:r>
      <w:proofErr w:type="spellStart"/>
      <w:r w:rsidRPr="00C25E2F">
        <w:rPr>
          <w:rFonts w:ascii="Arial" w:hAnsi="Arial" w:cs="Arial"/>
        </w:rPr>
        <w:t>Unesco</w:t>
      </w:r>
      <w:proofErr w:type="spellEnd"/>
      <w:r w:rsidRPr="00C25E2F">
        <w:rPr>
          <w:rFonts w:ascii="Arial" w:hAnsi="Arial" w:cs="Arial"/>
        </w:rPr>
        <w:t>, Paris.</w:t>
      </w:r>
    </w:p>
    <w:p w14:paraId="29B33ADA" w14:textId="77777777" w:rsidR="0083691F" w:rsidRPr="00C25E2F" w:rsidRDefault="0083691F" w:rsidP="00016BBA">
      <w:pPr>
        <w:spacing w:after="120"/>
        <w:ind w:left="567" w:hanging="425"/>
        <w:jc w:val="both"/>
        <w:rPr>
          <w:rFonts w:ascii="Arial" w:hAnsi="Arial" w:cs="Arial"/>
          <w:b/>
          <w:caps/>
        </w:rPr>
      </w:pPr>
      <w:r w:rsidRPr="00C25E2F">
        <w:rPr>
          <w:rFonts w:ascii="Arial" w:hAnsi="Arial" w:cs="Arial"/>
        </w:rPr>
        <w:t>22.</w:t>
      </w:r>
      <w:r w:rsidRPr="00C25E2F">
        <w:rPr>
          <w:rFonts w:ascii="Arial" w:hAnsi="Arial" w:cs="Arial"/>
        </w:rPr>
        <w:tab/>
        <w:t>UNESCO (United Nations Educational, Scientific and Cultural Organization). (2015). Rethinking Education: Towards a Global Common Good? Paris: UNESCO.</w:t>
      </w:r>
    </w:p>
    <w:p w14:paraId="5BE5771D" w14:textId="25306015" w:rsidR="0083691F" w:rsidRPr="00C25E2F" w:rsidRDefault="0083691F" w:rsidP="00016BBA">
      <w:pPr>
        <w:spacing w:after="120"/>
        <w:ind w:left="567" w:hanging="425"/>
        <w:jc w:val="both"/>
        <w:rPr>
          <w:rFonts w:ascii="Arial" w:hAnsi="Arial" w:cs="Arial"/>
          <w:b/>
          <w:caps/>
        </w:rPr>
      </w:pPr>
      <w:r w:rsidRPr="00C25E2F">
        <w:rPr>
          <w:rFonts w:ascii="Arial" w:hAnsi="Arial" w:cs="Arial"/>
        </w:rPr>
        <w:t>23.</w:t>
      </w:r>
      <w:r w:rsidRPr="00C25E2F">
        <w:rPr>
          <w:rFonts w:ascii="Arial" w:hAnsi="Arial" w:cs="Arial"/>
        </w:rPr>
        <w:tab/>
        <w:t xml:space="preserve">UNESCO (United Nations Educational, Scientific and Cultural Organization) and Education International. </w:t>
      </w:r>
      <w:r w:rsidR="004519EB" w:rsidRPr="00C25E2F">
        <w:rPr>
          <w:rFonts w:ascii="Arial" w:hAnsi="Arial" w:cs="Arial"/>
        </w:rPr>
        <w:t>(</w:t>
      </w:r>
      <w:r w:rsidRPr="00C25E2F">
        <w:rPr>
          <w:rFonts w:ascii="Arial" w:hAnsi="Arial" w:cs="Arial"/>
        </w:rPr>
        <w:t>2021</w:t>
      </w:r>
      <w:r w:rsidR="004519EB" w:rsidRPr="00C25E2F">
        <w:rPr>
          <w:rFonts w:ascii="Arial" w:hAnsi="Arial" w:cs="Arial"/>
        </w:rPr>
        <w:t>)</w:t>
      </w:r>
      <w:r w:rsidRPr="00C25E2F">
        <w:rPr>
          <w:rFonts w:ascii="Arial" w:hAnsi="Arial" w:cs="Arial"/>
        </w:rPr>
        <w:t>. "Teachers have their say: Motivation, skills and opportunities to teach education for sustainable development and global citizenship". https://unesdoc.unesco.org/in/documentViewer.</w:t>
      </w:r>
    </w:p>
    <w:p w14:paraId="0D177D0A" w14:textId="078AC1FF" w:rsidR="0083691F" w:rsidRPr="00C25E2F" w:rsidRDefault="0083691F" w:rsidP="00016BBA">
      <w:pPr>
        <w:spacing w:after="120"/>
        <w:ind w:left="567" w:hanging="425"/>
        <w:jc w:val="both"/>
        <w:rPr>
          <w:rFonts w:ascii="Arial" w:hAnsi="Arial" w:cs="Arial"/>
          <w:b/>
          <w:caps/>
        </w:rPr>
      </w:pPr>
      <w:r w:rsidRPr="00C25E2F">
        <w:rPr>
          <w:rFonts w:ascii="Arial" w:hAnsi="Arial" w:cs="Arial"/>
        </w:rPr>
        <w:t>24.</w:t>
      </w:r>
      <w:r w:rsidRPr="00C25E2F">
        <w:rPr>
          <w:rFonts w:ascii="Arial" w:hAnsi="Arial" w:cs="Arial"/>
        </w:rPr>
        <w:tab/>
        <w:t xml:space="preserve">UNESCO (United Nations Educational, Scientific and Cultural Organization). </w:t>
      </w:r>
      <w:r w:rsidR="004519EB" w:rsidRPr="00C25E2F">
        <w:rPr>
          <w:rFonts w:ascii="Arial" w:hAnsi="Arial" w:cs="Arial"/>
        </w:rPr>
        <w:t>(</w:t>
      </w:r>
      <w:r w:rsidRPr="00C25E2F">
        <w:rPr>
          <w:rFonts w:ascii="Arial" w:hAnsi="Arial" w:cs="Arial"/>
        </w:rPr>
        <w:t>2021</w:t>
      </w:r>
      <w:r w:rsidR="004519EB" w:rsidRPr="00C25E2F">
        <w:rPr>
          <w:rFonts w:ascii="Arial" w:hAnsi="Arial" w:cs="Arial"/>
        </w:rPr>
        <w:t>)</w:t>
      </w:r>
      <w:r w:rsidRPr="00C25E2F">
        <w:rPr>
          <w:rFonts w:ascii="Arial" w:hAnsi="Arial" w:cs="Arial"/>
        </w:rPr>
        <w:t>. "Getting every school climate-ready. How countries are integrating climate change issues in education". Paris: UNESCO. https://unesdoc.unesco.org/ark:/48223/pf0000379591</w:t>
      </w:r>
    </w:p>
    <w:p w14:paraId="59249284" w14:textId="7FF47D64" w:rsidR="0083691F" w:rsidRPr="00C25E2F" w:rsidRDefault="0083691F" w:rsidP="00016BBA">
      <w:pPr>
        <w:spacing w:after="120"/>
        <w:ind w:left="567" w:hanging="425"/>
        <w:jc w:val="both"/>
        <w:rPr>
          <w:rFonts w:ascii="Arial" w:hAnsi="Arial" w:cs="Arial"/>
          <w:b/>
          <w:caps/>
        </w:rPr>
      </w:pPr>
      <w:r w:rsidRPr="00C25E2F">
        <w:rPr>
          <w:rFonts w:ascii="Arial" w:hAnsi="Arial" w:cs="Arial"/>
        </w:rPr>
        <w:t>25.</w:t>
      </w:r>
      <w:r w:rsidRPr="00C25E2F">
        <w:rPr>
          <w:rFonts w:ascii="Arial" w:hAnsi="Arial" w:cs="Arial"/>
        </w:rPr>
        <w:tab/>
        <w:t>UNESCO (United Nations Educational, Scientific and Cultural Organization).</w:t>
      </w:r>
      <w:r w:rsidR="004519EB" w:rsidRPr="00C25E2F">
        <w:rPr>
          <w:rFonts w:ascii="Arial" w:hAnsi="Arial" w:cs="Arial"/>
        </w:rPr>
        <w:t xml:space="preserve"> (</w:t>
      </w:r>
      <w:r w:rsidRPr="00C25E2F">
        <w:rPr>
          <w:rFonts w:ascii="Arial" w:hAnsi="Arial" w:cs="Arial"/>
        </w:rPr>
        <w:t>2022</w:t>
      </w:r>
      <w:r w:rsidR="004519EB" w:rsidRPr="00C25E2F">
        <w:rPr>
          <w:rFonts w:ascii="Arial" w:hAnsi="Arial" w:cs="Arial"/>
        </w:rPr>
        <w:t>)</w:t>
      </w:r>
      <w:r w:rsidRPr="00C25E2F">
        <w:rPr>
          <w:rFonts w:ascii="Arial" w:hAnsi="Arial" w:cs="Arial"/>
        </w:rPr>
        <w:t xml:space="preserve">. "Learning for the Planet: A Global Review of How Environmental Issues Are Embedded in Education." Paris: UNESCO. https://unesdoc.unesco.org/in/documentViewer. </w:t>
      </w:r>
    </w:p>
    <w:p w14:paraId="6B15C065" w14:textId="183D0E87" w:rsidR="0083691F" w:rsidRPr="00C25E2F" w:rsidRDefault="0083691F" w:rsidP="00016BBA">
      <w:pPr>
        <w:spacing w:after="120"/>
        <w:ind w:left="567" w:hanging="425"/>
        <w:jc w:val="both"/>
        <w:rPr>
          <w:rFonts w:ascii="Arial" w:hAnsi="Arial" w:cs="Arial"/>
          <w:b/>
          <w:caps/>
        </w:rPr>
      </w:pPr>
      <w:r w:rsidRPr="00C25E2F">
        <w:rPr>
          <w:rFonts w:ascii="Arial" w:hAnsi="Arial" w:cs="Arial"/>
        </w:rPr>
        <w:t>26.</w:t>
      </w:r>
      <w:r w:rsidRPr="00C25E2F">
        <w:rPr>
          <w:rFonts w:ascii="Arial" w:hAnsi="Arial" w:cs="Arial"/>
        </w:rPr>
        <w:tab/>
        <w:t>UNESCO (United Nations Educational, Scientific and Cultural Organization).</w:t>
      </w:r>
      <w:r w:rsidR="004519EB" w:rsidRPr="00C25E2F">
        <w:rPr>
          <w:rFonts w:ascii="Arial" w:hAnsi="Arial" w:cs="Arial"/>
        </w:rPr>
        <w:t xml:space="preserve"> (</w:t>
      </w:r>
      <w:r w:rsidRPr="00C25E2F">
        <w:rPr>
          <w:rFonts w:ascii="Arial" w:hAnsi="Arial" w:cs="Arial"/>
        </w:rPr>
        <w:t>2022b</w:t>
      </w:r>
      <w:r w:rsidR="004519EB" w:rsidRPr="00C25E2F">
        <w:rPr>
          <w:rFonts w:ascii="Arial" w:hAnsi="Arial" w:cs="Arial"/>
        </w:rPr>
        <w:t>)</w:t>
      </w:r>
      <w:r w:rsidRPr="00C25E2F">
        <w:rPr>
          <w:rFonts w:ascii="Arial" w:hAnsi="Arial" w:cs="Arial"/>
        </w:rPr>
        <w:t>. "Youth demands for quality climate change education". Paris: UNESCO. https:// unesdoc.unesco.org/ark:/48223/pf0000383615.</w:t>
      </w:r>
    </w:p>
    <w:p w14:paraId="3C82D8DB" w14:textId="7FFA79BD" w:rsidR="0083691F" w:rsidRPr="00C25E2F" w:rsidRDefault="0083691F" w:rsidP="00016BBA">
      <w:pPr>
        <w:spacing w:after="120"/>
        <w:ind w:left="567" w:hanging="425"/>
        <w:jc w:val="both"/>
        <w:rPr>
          <w:rFonts w:ascii="Arial" w:hAnsi="Arial" w:cs="Arial"/>
          <w:b/>
          <w:caps/>
        </w:rPr>
      </w:pPr>
      <w:r w:rsidRPr="00C25E2F">
        <w:rPr>
          <w:rFonts w:ascii="Arial" w:hAnsi="Arial" w:cs="Arial"/>
        </w:rPr>
        <w:t>27.</w:t>
      </w:r>
      <w:r w:rsidRPr="00C25E2F">
        <w:rPr>
          <w:rFonts w:ascii="Arial" w:hAnsi="Arial" w:cs="Arial"/>
        </w:rPr>
        <w:tab/>
        <w:t xml:space="preserve">UNICEF (United Nations Children's Fund). </w:t>
      </w:r>
      <w:r w:rsidR="004519EB" w:rsidRPr="00C25E2F">
        <w:rPr>
          <w:rFonts w:ascii="Arial" w:hAnsi="Arial" w:cs="Arial"/>
        </w:rPr>
        <w:t>(</w:t>
      </w:r>
      <w:r w:rsidRPr="00C25E2F">
        <w:rPr>
          <w:rFonts w:ascii="Arial" w:hAnsi="Arial" w:cs="Arial"/>
        </w:rPr>
        <w:t>2019</w:t>
      </w:r>
      <w:r w:rsidR="004519EB" w:rsidRPr="00C25E2F">
        <w:rPr>
          <w:rFonts w:ascii="Arial" w:hAnsi="Arial" w:cs="Arial"/>
        </w:rPr>
        <w:t>)</w:t>
      </w:r>
      <w:r w:rsidRPr="00C25E2F">
        <w:rPr>
          <w:rFonts w:ascii="Arial" w:hAnsi="Arial" w:cs="Arial"/>
        </w:rPr>
        <w:t>. "Are climate change policies child-sensitive?". New York, NY: UNICEF. https:// www.unicef.org/documents/are-climate-change-policies-child-sensitive.</w:t>
      </w:r>
    </w:p>
    <w:p w14:paraId="47CCE1D9" w14:textId="1ED3917E" w:rsidR="0083691F" w:rsidRPr="00016BBA" w:rsidRDefault="0083691F" w:rsidP="00016BBA">
      <w:pPr>
        <w:spacing w:after="120"/>
        <w:ind w:left="567" w:hanging="425"/>
        <w:jc w:val="both"/>
        <w:rPr>
          <w:rFonts w:ascii="Arial" w:hAnsi="Arial" w:cs="Arial"/>
          <w:b/>
          <w:caps/>
        </w:rPr>
      </w:pPr>
      <w:r w:rsidRPr="00C25E2F">
        <w:rPr>
          <w:rFonts w:ascii="Arial" w:hAnsi="Arial" w:cs="Arial"/>
        </w:rPr>
        <w:t>28.</w:t>
      </w:r>
      <w:r w:rsidRPr="00C25E2F">
        <w:rPr>
          <w:rFonts w:ascii="Arial" w:hAnsi="Arial" w:cs="Arial"/>
        </w:rPr>
        <w:tab/>
        <w:t xml:space="preserve">UNICEF (United Nations Children's Fund). </w:t>
      </w:r>
      <w:r w:rsidR="004519EB" w:rsidRPr="00C25E2F">
        <w:rPr>
          <w:rFonts w:ascii="Arial" w:hAnsi="Arial" w:cs="Arial"/>
        </w:rPr>
        <w:t>(</w:t>
      </w:r>
      <w:r w:rsidRPr="00C25E2F">
        <w:rPr>
          <w:rFonts w:ascii="Arial" w:hAnsi="Arial" w:cs="Arial"/>
        </w:rPr>
        <w:t>2019b</w:t>
      </w:r>
      <w:r w:rsidR="004519EB" w:rsidRPr="00C25E2F">
        <w:rPr>
          <w:rFonts w:ascii="Arial" w:hAnsi="Arial" w:cs="Arial"/>
        </w:rPr>
        <w:t>)</w:t>
      </w:r>
      <w:r w:rsidRPr="00C25E2F">
        <w:rPr>
          <w:rFonts w:ascii="Arial" w:hAnsi="Arial" w:cs="Arial"/>
        </w:rPr>
        <w:t>. "It is getting hot. Call for education systems to respond to the climate crisis". New York, NY: UNICEF.</w:t>
      </w:r>
    </w:p>
    <w:p w14:paraId="3FFB4C6A" w14:textId="77777777" w:rsidR="000C3E80" w:rsidRPr="000C3E80" w:rsidRDefault="000C3E80" w:rsidP="00016BBA">
      <w:pPr>
        <w:rPr>
          <w:b/>
          <w:bCs/>
        </w:rPr>
      </w:pPr>
    </w:p>
    <w:p w14:paraId="35206A0B" w14:textId="77777777" w:rsidR="00790ADA" w:rsidRPr="00FB3A86" w:rsidRDefault="00790ADA" w:rsidP="00441B6F">
      <w:pPr>
        <w:pStyle w:val="Body"/>
        <w:spacing w:after="0"/>
        <w:rPr>
          <w:rFonts w:ascii="Arial" w:hAnsi="Arial" w:cs="Arial"/>
        </w:rPr>
      </w:pPr>
    </w:p>
    <w:p w14:paraId="3790F27A" w14:textId="4545D474" w:rsidR="004D4277" w:rsidRPr="00FB3A86" w:rsidRDefault="004D4277" w:rsidP="00441B6F">
      <w:pPr>
        <w:pStyle w:val="Appendix"/>
        <w:spacing w:after="0"/>
        <w:jc w:val="both"/>
        <w:rPr>
          <w:rFonts w:ascii="Arial" w:hAnsi="Arial" w:cs="Arial"/>
          <w:b w:val="0"/>
        </w:rPr>
        <w:sectPr w:rsidR="004D4277" w:rsidRPr="00FB3A86" w:rsidSect="007D1333">
          <w:headerReference w:type="even" r:id="rId14"/>
          <w:headerReference w:type="default" r:id="rId15"/>
          <w:footerReference w:type="default" r:id="rId16"/>
          <w:headerReference w:type="first" r:id="rId17"/>
          <w:type w:val="continuous"/>
          <w:pgSz w:w="12240" w:h="15840"/>
          <w:pgMar w:top="1440" w:right="2016" w:bottom="1701" w:left="2016" w:header="720" w:footer="1123" w:gutter="0"/>
          <w:cols w:space="720"/>
          <w:docGrid w:linePitch="272"/>
        </w:sectPr>
      </w:pPr>
    </w:p>
    <w:p w14:paraId="4EB2FAED" w14:textId="77777777" w:rsidR="00B01FCD" w:rsidRPr="00FB3A86" w:rsidRDefault="00B01FCD" w:rsidP="00441B6F">
      <w:pPr>
        <w:pStyle w:val="Appendix"/>
        <w:spacing w:after="0"/>
        <w:jc w:val="both"/>
        <w:rPr>
          <w:rFonts w:ascii="Arial" w:hAnsi="Arial" w:cs="Arial"/>
          <w:b w:val="0"/>
        </w:rPr>
      </w:pPr>
    </w:p>
    <w:sectPr w:rsidR="00B01FCD" w:rsidRPr="00FB3A86" w:rsidSect="007D13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0EFE1" w14:textId="77777777" w:rsidR="00DF1EEF" w:rsidRDefault="00DF1EEF" w:rsidP="00C37E61">
      <w:r>
        <w:separator/>
      </w:r>
    </w:p>
  </w:endnote>
  <w:endnote w:type="continuationSeparator" w:id="0">
    <w:p w14:paraId="270F3181" w14:textId="77777777" w:rsidR="00DF1EEF" w:rsidRDefault="00DF1E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C812" w14:textId="77777777" w:rsidR="009E048A" w:rsidRDefault="009E048A">
    <w:pPr>
      <w:pStyle w:val="Footer"/>
      <w:rPr>
        <w:rFonts w:ascii="Arial" w:hAnsi="Arial" w:cs="Arial"/>
        <w:sz w:val="16"/>
      </w:rPr>
    </w:pPr>
  </w:p>
  <w:p w14:paraId="07360D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BBE183" w14:textId="77777777" w:rsidR="009E048A" w:rsidRDefault="009E048A">
    <w:pPr>
      <w:pStyle w:val="Footer"/>
      <w:rPr>
        <w:rFonts w:ascii="Arial" w:hAnsi="Arial" w:cs="Arial"/>
        <w:sz w:val="16"/>
      </w:rPr>
    </w:pPr>
  </w:p>
  <w:p w14:paraId="25C7445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D5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AF93D" w14:textId="77777777" w:rsidR="00DF1EEF" w:rsidRDefault="00DF1EEF" w:rsidP="00C37E61">
      <w:r>
        <w:separator/>
      </w:r>
    </w:p>
  </w:footnote>
  <w:footnote w:type="continuationSeparator" w:id="0">
    <w:p w14:paraId="67E7BD12" w14:textId="77777777" w:rsidR="00DF1EEF" w:rsidRDefault="00DF1E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EC336" w14:textId="4BA0ADFF" w:rsidR="007D1333" w:rsidRDefault="00DF1EEF">
    <w:pPr>
      <w:pStyle w:val="Header"/>
    </w:pPr>
    <w:r>
      <w:rPr>
        <w:noProof/>
      </w:rPr>
      <w:pict w14:anchorId="1758F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48B3" w14:textId="4A5F857D" w:rsidR="007D1333" w:rsidRDefault="00DF1EEF">
    <w:pPr>
      <w:pStyle w:val="Header"/>
    </w:pPr>
    <w:r>
      <w:rPr>
        <w:noProof/>
      </w:rPr>
      <w:pict w14:anchorId="27037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DA32" w14:textId="20F5AC34" w:rsidR="00296529" w:rsidRPr="00296529" w:rsidRDefault="00DF1EEF" w:rsidP="00296529">
    <w:pPr>
      <w:ind w:left="2160"/>
      <w:jc w:val="center"/>
      <w:rPr>
        <w:rFonts w:ascii="Times New Roman" w:eastAsia="Calibri" w:hAnsi="Times New Roman"/>
        <w:i/>
        <w:sz w:val="18"/>
        <w:szCs w:val="22"/>
      </w:rPr>
    </w:pPr>
    <w:r>
      <w:rPr>
        <w:noProof/>
      </w:rPr>
      <w:pict w14:anchorId="091C6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5C5E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92A5D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F04F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1805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A9CD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3B33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1DC4" w14:textId="74BE7371" w:rsidR="007D1333" w:rsidRDefault="00DF1EEF">
    <w:pPr>
      <w:pStyle w:val="Header"/>
    </w:pPr>
    <w:r>
      <w:rPr>
        <w:noProof/>
      </w:rPr>
      <w:pict w14:anchorId="5CB3B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DD6DF" w14:textId="41D1E79D" w:rsidR="007D1333" w:rsidRDefault="00DF1EEF">
    <w:pPr>
      <w:pStyle w:val="Header"/>
    </w:pPr>
    <w:r>
      <w:rPr>
        <w:noProof/>
      </w:rPr>
      <w:pict w14:anchorId="450A9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9697" w14:textId="00C6F698" w:rsidR="007D1333" w:rsidRDefault="00DF1EEF">
    <w:pPr>
      <w:pStyle w:val="Header"/>
    </w:pPr>
    <w:r>
      <w:rPr>
        <w:noProof/>
      </w:rPr>
      <w:pict w14:anchorId="1CABA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6BBA"/>
    <w:rsid w:val="00030174"/>
    <w:rsid w:val="0004579C"/>
    <w:rsid w:val="000A47FA"/>
    <w:rsid w:val="000A65D3"/>
    <w:rsid w:val="000B1E33"/>
    <w:rsid w:val="000C3E80"/>
    <w:rsid w:val="000D689F"/>
    <w:rsid w:val="000E7B7B"/>
    <w:rsid w:val="000E7D62"/>
    <w:rsid w:val="001001E3"/>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558"/>
    <w:rsid w:val="00231920"/>
    <w:rsid w:val="0023195C"/>
    <w:rsid w:val="0024282C"/>
    <w:rsid w:val="002460DC"/>
    <w:rsid w:val="00250985"/>
    <w:rsid w:val="002556F6"/>
    <w:rsid w:val="00276121"/>
    <w:rsid w:val="00283105"/>
    <w:rsid w:val="00283B67"/>
    <w:rsid w:val="00284C4C"/>
    <w:rsid w:val="00287E68"/>
    <w:rsid w:val="00296529"/>
    <w:rsid w:val="002B27FB"/>
    <w:rsid w:val="002B685A"/>
    <w:rsid w:val="002C57D2"/>
    <w:rsid w:val="002E0D56"/>
    <w:rsid w:val="00312431"/>
    <w:rsid w:val="00315186"/>
    <w:rsid w:val="0033343E"/>
    <w:rsid w:val="003512C2"/>
    <w:rsid w:val="00371FB6"/>
    <w:rsid w:val="003763C1"/>
    <w:rsid w:val="00376BBE"/>
    <w:rsid w:val="0039224F"/>
    <w:rsid w:val="003A43A4"/>
    <w:rsid w:val="003A7E18"/>
    <w:rsid w:val="003C4C86"/>
    <w:rsid w:val="003C6258"/>
    <w:rsid w:val="003E2904"/>
    <w:rsid w:val="003E6F9E"/>
    <w:rsid w:val="003F4C1C"/>
    <w:rsid w:val="00401927"/>
    <w:rsid w:val="00401ADA"/>
    <w:rsid w:val="0041027F"/>
    <w:rsid w:val="00412475"/>
    <w:rsid w:val="00423789"/>
    <w:rsid w:val="00440F43"/>
    <w:rsid w:val="00441B6F"/>
    <w:rsid w:val="00446221"/>
    <w:rsid w:val="004466C8"/>
    <w:rsid w:val="00450E62"/>
    <w:rsid w:val="004519EB"/>
    <w:rsid w:val="004539DB"/>
    <w:rsid w:val="00471A80"/>
    <w:rsid w:val="004B5CA3"/>
    <w:rsid w:val="004D305E"/>
    <w:rsid w:val="004D4277"/>
    <w:rsid w:val="004E3A99"/>
    <w:rsid w:val="00502516"/>
    <w:rsid w:val="00505F06"/>
    <w:rsid w:val="00506828"/>
    <w:rsid w:val="0053056E"/>
    <w:rsid w:val="00554FDA"/>
    <w:rsid w:val="0057336C"/>
    <w:rsid w:val="005C784C"/>
    <w:rsid w:val="005D1751"/>
    <w:rsid w:val="005D17F6"/>
    <w:rsid w:val="005E5539"/>
    <w:rsid w:val="00602BF5"/>
    <w:rsid w:val="00617FDD"/>
    <w:rsid w:val="00633614"/>
    <w:rsid w:val="00633F68"/>
    <w:rsid w:val="00636EB2"/>
    <w:rsid w:val="006375B8"/>
    <w:rsid w:val="00644200"/>
    <w:rsid w:val="0066510A"/>
    <w:rsid w:val="00673F9F"/>
    <w:rsid w:val="00686953"/>
    <w:rsid w:val="00687DEA"/>
    <w:rsid w:val="00687E67"/>
    <w:rsid w:val="006967F7"/>
    <w:rsid w:val="006A250C"/>
    <w:rsid w:val="006B21D3"/>
    <w:rsid w:val="006B57D0"/>
    <w:rsid w:val="006D30FF"/>
    <w:rsid w:val="006D6940"/>
    <w:rsid w:val="006F11EC"/>
    <w:rsid w:val="0070082C"/>
    <w:rsid w:val="007124D9"/>
    <w:rsid w:val="007369E6"/>
    <w:rsid w:val="00742096"/>
    <w:rsid w:val="00746E59"/>
    <w:rsid w:val="00754C9A"/>
    <w:rsid w:val="0075599A"/>
    <w:rsid w:val="00761D52"/>
    <w:rsid w:val="0077749E"/>
    <w:rsid w:val="00786F4C"/>
    <w:rsid w:val="00790ADA"/>
    <w:rsid w:val="0079433F"/>
    <w:rsid w:val="007A70D0"/>
    <w:rsid w:val="007A7F32"/>
    <w:rsid w:val="007B1DC8"/>
    <w:rsid w:val="007D1333"/>
    <w:rsid w:val="007D2288"/>
    <w:rsid w:val="007E088F"/>
    <w:rsid w:val="007F7B32"/>
    <w:rsid w:val="00804BC2"/>
    <w:rsid w:val="008066B8"/>
    <w:rsid w:val="0081431A"/>
    <w:rsid w:val="00821171"/>
    <w:rsid w:val="0083216F"/>
    <w:rsid w:val="0083691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740E"/>
    <w:rsid w:val="009B011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F42"/>
    <w:rsid w:val="00A94063"/>
    <w:rsid w:val="00AA6219"/>
    <w:rsid w:val="00AA74E0"/>
    <w:rsid w:val="00AB703F"/>
    <w:rsid w:val="00AC45BD"/>
    <w:rsid w:val="00AC6BB8"/>
    <w:rsid w:val="00AE008F"/>
    <w:rsid w:val="00B01FCD"/>
    <w:rsid w:val="00B1776C"/>
    <w:rsid w:val="00B52583"/>
    <w:rsid w:val="00B52896"/>
    <w:rsid w:val="00B52EC6"/>
    <w:rsid w:val="00B847E5"/>
    <w:rsid w:val="00B95236"/>
    <w:rsid w:val="00B96BD9"/>
    <w:rsid w:val="00BA1B01"/>
    <w:rsid w:val="00BA2641"/>
    <w:rsid w:val="00BB37AA"/>
    <w:rsid w:val="00BC53A0"/>
    <w:rsid w:val="00BE62AD"/>
    <w:rsid w:val="00BF121F"/>
    <w:rsid w:val="00BF1F80"/>
    <w:rsid w:val="00C166EF"/>
    <w:rsid w:val="00C17EB0"/>
    <w:rsid w:val="00C25E2F"/>
    <w:rsid w:val="00C27F5F"/>
    <w:rsid w:val="00C30A0F"/>
    <w:rsid w:val="00C37E61"/>
    <w:rsid w:val="00C70F1B"/>
    <w:rsid w:val="00C71A47"/>
    <w:rsid w:val="00C7464C"/>
    <w:rsid w:val="00C85588"/>
    <w:rsid w:val="00C93AAC"/>
    <w:rsid w:val="00CD6755"/>
    <w:rsid w:val="00CD6856"/>
    <w:rsid w:val="00CE0089"/>
    <w:rsid w:val="00CE793C"/>
    <w:rsid w:val="00CF193C"/>
    <w:rsid w:val="00D173F1"/>
    <w:rsid w:val="00D74CB0"/>
    <w:rsid w:val="00D808C8"/>
    <w:rsid w:val="00D8295D"/>
    <w:rsid w:val="00DC2A65"/>
    <w:rsid w:val="00DE15F0"/>
    <w:rsid w:val="00DE5663"/>
    <w:rsid w:val="00DE78AA"/>
    <w:rsid w:val="00DF1EEF"/>
    <w:rsid w:val="00E053D0"/>
    <w:rsid w:val="00E15994"/>
    <w:rsid w:val="00E3114E"/>
    <w:rsid w:val="00E31A70"/>
    <w:rsid w:val="00E35B02"/>
    <w:rsid w:val="00E36240"/>
    <w:rsid w:val="00E555D3"/>
    <w:rsid w:val="00E578B7"/>
    <w:rsid w:val="00E66496"/>
    <w:rsid w:val="00E66B35"/>
    <w:rsid w:val="00E66E10"/>
    <w:rsid w:val="00E769F6"/>
    <w:rsid w:val="00E8407C"/>
    <w:rsid w:val="00E84F3C"/>
    <w:rsid w:val="00EA012C"/>
    <w:rsid w:val="00EC6A55"/>
    <w:rsid w:val="00ED0288"/>
    <w:rsid w:val="00EE52CB"/>
    <w:rsid w:val="00EF581D"/>
    <w:rsid w:val="00EF7B44"/>
    <w:rsid w:val="00EF7FD8"/>
    <w:rsid w:val="00F06F59"/>
    <w:rsid w:val="00F17988"/>
    <w:rsid w:val="00F37223"/>
    <w:rsid w:val="00F469F0"/>
    <w:rsid w:val="00F53273"/>
    <w:rsid w:val="00F755E4"/>
    <w:rsid w:val="00F77D02"/>
    <w:rsid w:val="00F87DA5"/>
    <w:rsid w:val="00FB3A86"/>
    <w:rsid w:val="00FC2306"/>
    <w:rsid w:val="00FD36C8"/>
    <w:rsid w:val="00FE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30034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401ADA"/>
    <w:pPr>
      <w:autoSpaceDE w:val="0"/>
      <w:autoSpaceDN w:val="0"/>
      <w:adjustRightInd w:val="0"/>
    </w:pPr>
    <w:rPr>
      <w:rFonts w:ascii="Arial" w:hAnsi="Arial" w:cs="Arial"/>
      <w:color w:val="000000"/>
      <w:sz w:val="24"/>
      <w:szCs w:val="24"/>
      <w:lang w:val="es-MX"/>
    </w:rPr>
  </w:style>
  <w:style w:type="paragraph" w:styleId="NoSpacing">
    <w:name w:val="No Spacing"/>
    <w:uiPriority w:val="1"/>
    <w:qFormat/>
    <w:rsid w:val="003E6F9E"/>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367181">
      <w:bodyDiv w:val="1"/>
      <w:marLeft w:val="0"/>
      <w:marRight w:val="0"/>
      <w:marTop w:val="0"/>
      <w:marBottom w:val="0"/>
      <w:divBdr>
        <w:top w:val="none" w:sz="0" w:space="0" w:color="auto"/>
        <w:left w:val="none" w:sz="0" w:space="0" w:color="auto"/>
        <w:bottom w:val="none" w:sz="0" w:space="0" w:color="auto"/>
        <w:right w:val="none" w:sz="0" w:space="0" w:color="auto"/>
      </w:divBdr>
    </w:div>
    <w:div w:id="720447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380884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icef.org/lac/media/29266/file/U-Report-try-harde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3746-3930-4C35-A7FF-D4A4C2C6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20</Pages>
  <Words>11224</Words>
  <Characters>63977</Characters>
  <Application>Microsoft Office Word</Application>
  <DocSecurity>0</DocSecurity>
  <Lines>533</Lines>
  <Paragraphs>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75051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cp:revision>
  <cp:lastPrinted>1999-07-06T11:00:00Z</cp:lastPrinted>
  <dcterms:created xsi:type="dcterms:W3CDTF">2026-04-01T14:44:00Z</dcterms:created>
  <dcterms:modified xsi:type="dcterms:W3CDTF">2026-04-02T08:27:00Z</dcterms:modified>
</cp:coreProperties>
</file>