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F4F" w:rsidRDefault="0084219A" w:rsidP="005F144F">
      <w:pPr>
        <w:tabs>
          <w:tab w:val="left" w:pos="6621"/>
        </w:tabs>
        <w:spacing w:after="240" w:line="360" w:lineRule="auto"/>
        <w:jc w:val="both"/>
        <w:rPr>
          <w:rFonts w:ascii="Arial" w:hAnsi="Arial" w:cs="Arial"/>
          <w:b/>
        </w:rPr>
      </w:pPr>
      <w:r>
        <w:rPr>
          <w:rFonts w:ascii="Arial" w:hAnsi="Arial" w:cs="Arial"/>
          <w:b/>
        </w:rPr>
        <w:t xml:space="preserve">Effects of </w:t>
      </w:r>
      <w:r w:rsidRPr="00B11422">
        <w:rPr>
          <w:rFonts w:ascii="Arial" w:hAnsi="Arial" w:cs="Arial"/>
          <w:b/>
        </w:rPr>
        <w:t>Artisan Work Practices</w:t>
      </w:r>
      <w:r>
        <w:rPr>
          <w:rFonts w:ascii="Arial" w:hAnsi="Arial" w:cs="Arial"/>
          <w:b/>
        </w:rPr>
        <w:t xml:space="preserve"> on Health a</w:t>
      </w:r>
      <w:r w:rsidRPr="00B11422">
        <w:rPr>
          <w:rFonts w:ascii="Arial" w:hAnsi="Arial" w:cs="Arial"/>
          <w:b/>
        </w:rPr>
        <w:t>nd</w:t>
      </w:r>
      <w:r>
        <w:rPr>
          <w:rFonts w:ascii="Arial" w:hAnsi="Arial" w:cs="Arial"/>
          <w:b/>
        </w:rPr>
        <w:t xml:space="preserve"> Environment</w:t>
      </w:r>
      <w:r w:rsidRPr="00B11422">
        <w:rPr>
          <w:rFonts w:ascii="Arial" w:hAnsi="Arial" w:cs="Arial"/>
          <w:b/>
        </w:rPr>
        <w:t xml:space="preserve">: A Case Study </w:t>
      </w:r>
      <w:r>
        <w:rPr>
          <w:rFonts w:ascii="Arial" w:hAnsi="Arial" w:cs="Arial"/>
          <w:b/>
        </w:rPr>
        <w:t>o</w:t>
      </w:r>
      <w:r w:rsidRPr="00B11422">
        <w:rPr>
          <w:rFonts w:ascii="Arial" w:hAnsi="Arial" w:cs="Arial"/>
          <w:b/>
        </w:rPr>
        <w:t xml:space="preserve">f </w:t>
      </w:r>
      <w:proofErr w:type="spellStart"/>
      <w:r w:rsidRPr="00B11422">
        <w:rPr>
          <w:rFonts w:ascii="Arial" w:hAnsi="Arial" w:cs="Arial"/>
          <w:b/>
        </w:rPr>
        <w:t>Festac</w:t>
      </w:r>
      <w:proofErr w:type="spellEnd"/>
      <w:r w:rsidRPr="00B11422">
        <w:rPr>
          <w:rFonts w:ascii="Arial" w:hAnsi="Arial" w:cs="Arial"/>
          <w:b/>
        </w:rPr>
        <w:t xml:space="preserve"> Town</w:t>
      </w:r>
      <w:r>
        <w:rPr>
          <w:rFonts w:ascii="Arial" w:hAnsi="Arial" w:cs="Arial"/>
          <w:b/>
        </w:rPr>
        <w:t>, Lagos</w:t>
      </w:r>
    </w:p>
    <w:p w:rsidR="005422B7" w:rsidRDefault="005422B7" w:rsidP="005F144F">
      <w:pPr>
        <w:tabs>
          <w:tab w:val="left" w:pos="6621"/>
        </w:tabs>
        <w:spacing w:after="240" w:line="360" w:lineRule="auto"/>
        <w:jc w:val="both"/>
        <w:rPr>
          <w:rFonts w:ascii="Arial" w:hAnsi="Arial" w:cs="Arial"/>
          <w:b/>
        </w:rPr>
      </w:pPr>
    </w:p>
    <w:p w:rsidR="005422B7" w:rsidRPr="00B11422" w:rsidRDefault="005422B7" w:rsidP="005422B7">
      <w:pPr>
        <w:spacing w:after="240" w:line="360" w:lineRule="auto"/>
        <w:ind w:left="720"/>
        <w:jc w:val="both"/>
        <w:rPr>
          <w:rFonts w:ascii="Arial" w:hAnsi="Arial" w:cs="Arial"/>
          <w:i/>
        </w:rPr>
      </w:pPr>
    </w:p>
    <w:p w:rsidR="005422B7" w:rsidRPr="00B11422" w:rsidRDefault="005422B7" w:rsidP="004B43E9">
      <w:pPr>
        <w:spacing w:after="240" w:line="360" w:lineRule="auto"/>
        <w:ind w:left="720"/>
        <w:jc w:val="both"/>
        <w:rPr>
          <w:rFonts w:ascii="Arial" w:hAnsi="Arial" w:cs="Arial"/>
          <w:i/>
        </w:rPr>
      </w:pPr>
      <w:r w:rsidRPr="00B11422">
        <w:rPr>
          <w:rFonts w:ascii="Arial" w:hAnsi="Arial" w:cs="Arial"/>
          <w:i/>
        </w:rPr>
        <w:t xml:space="preserve">                                                                   </w:t>
      </w:r>
    </w:p>
    <w:p w:rsidR="005422B7" w:rsidRPr="00B11422" w:rsidRDefault="005422B7" w:rsidP="005F144F">
      <w:pPr>
        <w:tabs>
          <w:tab w:val="left" w:pos="6621"/>
        </w:tabs>
        <w:spacing w:after="240" w:line="360" w:lineRule="auto"/>
        <w:jc w:val="both"/>
        <w:rPr>
          <w:rFonts w:ascii="Arial" w:hAnsi="Arial" w:cs="Arial"/>
          <w:b/>
        </w:rPr>
      </w:pPr>
    </w:p>
    <w:p w:rsidR="00711CA5" w:rsidRDefault="00711CA5" w:rsidP="005F144F">
      <w:pPr>
        <w:spacing w:after="240" w:line="360" w:lineRule="auto"/>
        <w:jc w:val="both"/>
        <w:rPr>
          <w:rFonts w:ascii="Arial" w:hAnsi="Arial" w:cs="Arial"/>
          <w:b/>
        </w:rPr>
      </w:pPr>
    </w:p>
    <w:p w:rsidR="005422B7" w:rsidRDefault="005422B7" w:rsidP="005F144F">
      <w:pPr>
        <w:spacing w:after="240" w:line="360" w:lineRule="auto"/>
        <w:jc w:val="both"/>
        <w:rPr>
          <w:rFonts w:ascii="Arial" w:hAnsi="Arial" w:cs="Arial"/>
          <w:b/>
        </w:rPr>
      </w:pPr>
      <w:r>
        <w:rPr>
          <w:rFonts w:ascii="Arial" w:hAnsi="Arial" w:cs="Arial"/>
          <w:b/>
        </w:rPr>
        <w:t xml:space="preserve"> </w:t>
      </w:r>
    </w:p>
    <w:p w:rsidR="005422B7" w:rsidRDefault="005422B7" w:rsidP="005F144F">
      <w:pPr>
        <w:spacing w:after="240" w:line="360" w:lineRule="auto"/>
        <w:jc w:val="both"/>
        <w:rPr>
          <w:rFonts w:ascii="Arial" w:hAnsi="Arial" w:cs="Arial"/>
          <w:b/>
        </w:rPr>
      </w:pPr>
    </w:p>
    <w:p w:rsidR="002D7CC3" w:rsidRPr="00B11422" w:rsidRDefault="002D7CC3" w:rsidP="005F144F">
      <w:pPr>
        <w:spacing w:after="240" w:line="360" w:lineRule="auto"/>
        <w:jc w:val="both"/>
        <w:rPr>
          <w:rFonts w:ascii="Arial" w:hAnsi="Arial" w:cs="Arial"/>
          <w:b/>
        </w:rPr>
      </w:pPr>
    </w:p>
    <w:p w:rsidR="002D7CC3" w:rsidRPr="005422B7" w:rsidRDefault="00761F7F" w:rsidP="005F144F">
      <w:pPr>
        <w:spacing w:after="240" w:line="360" w:lineRule="auto"/>
        <w:jc w:val="both"/>
        <w:rPr>
          <w:rFonts w:ascii="Arial" w:hAnsi="Arial" w:cs="Arial"/>
          <w:b/>
          <w:sz w:val="22"/>
          <w:szCs w:val="22"/>
        </w:rPr>
      </w:pPr>
      <w:r>
        <w:rPr>
          <w:rFonts w:ascii="Arial" w:hAnsi="Arial" w:cs="Arial"/>
          <w:b/>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46"/>
      </w:tblGrid>
      <w:tr w:rsidR="002D7CC3" w:rsidRPr="009562AC" w:rsidTr="00C75DDB">
        <w:trPr>
          <w:trHeight w:val="6123"/>
        </w:trPr>
        <w:tc>
          <w:tcPr>
            <w:tcW w:w="9546" w:type="dxa"/>
            <w:shd w:val="clear" w:color="auto" w:fill="F2F2F2"/>
          </w:tcPr>
          <w:p w:rsidR="00C75DDB" w:rsidRDefault="00C75DDB" w:rsidP="00C75DDB">
            <w:pPr>
              <w:jc w:val="both"/>
              <w:rPr>
                <w:rFonts w:ascii="Arial" w:hAnsi="Arial" w:cs="Arial"/>
              </w:rPr>
            </w:pPr>
            <w:r w:rsidRPr="00295048">
              <w:rPr>
                <w:rFonts w:ascii="Arial" w:hAnsi="Arial" w:cs="Arial"/>
              </w:rPr>
              <w:t>Artisan work practices constitute significant contributors to occupational health hazards and environment</w:t>
            </w:r>
            <w:r w:rsidR="00856337">
              <w:rPr>
                <w:rFonts w:ascii="Arial" w:hAnsi="Arial" w:cs="Arial"/>
              </w:rPr>
              <w:t>al degradation in urban areas. T</w:t>
            </w:r>
            <w:r w:rsidRPr="00295048">
              <w:rPr>
                <w:rFonts w:ascii="Arial" w:hAnsi="Arial" w:cs="Arial"/>
              </w:rPr>
              <w:t>his study investigated the health and environmental im</w:t>
            </w:r>
            <w:r>
              <w:rPr>
                <w:rFonts w:ascii="Arial" w:hAnsi="Arial" w:cs="Arial"/>
              </w:rPr>
              <w:t xml:space="preserve">pacts of artisan activities in </w:t>
            </w:r>
            <w:proofErr w:type="spellStart"/>
            <w:r>
              <w:rPr>
                <w:rFonts w:ascii="Arial" w:hAnsi="Arial" w:cs="Arial"/>
              </w:rPr>
              <w:t>Festac</w:t>
            </w:r>
            <w:proofErr w:type="spellEnd"/>
            <w:r>
              <w:rPr>
                <w:rFonts w:ascii="Arial" w:hAnsi="Arial" w:cs="Arial"/>
              </w:rPr>
              <w:t xml:space="preserve"> Town, L</w:t>
            </w:r>
            <w:r w:rsidRPr="00295048">
              <w:rPr>
                <w:rFonts w:ascii="Arial" w:hAnsi="Arial" w:cs="Arial"/>
              </w:rPr>
              <w:t>agos, with the objectives of identifying work-related hazards, documenting associated health effects, and assessing environmental consequences.</w:t>
            </w:r>
            <w:r w:rsidR="00856337">
              <w:rPr>
                <w:rFonts w:ascii="Arial" w:hAnsi="Arial" w:cs="Arial"/>
              </w:rPr>
              <w:t xml:space="preserve"> Then research was conducted </w:t>
            </w:r>
            <w:r w:rsidR="00D44F84">
              <w:rPr>
                <w:rFonts w:ascii="Arial" w:hAnsi="Arial" w:cs="Arial"/>
              </w:rPr>
              <w:t>from</w:t>
            </w:r>
            <w:r w:rsidR="00856337">
              <w:rPr>
                <w:rFonts w:ascii="Arial" w:hAnsi="Arial" w:cs="Arial"/>
              </w:rPr>
              <w:t xml:space="preserve"> </w:t>
            </w:r>
            <w:r w:rsidR="00722E4C">
              <w:rPr>
                <w:rFonts w:ascii="Arial" w:hAnsi="Arial" w:cs="Arial"/>
              </w:rPr>
              <w:t>October</w:t>
            </w:r>
            <w:r w:rsidR="00856337">
              <w:rPr>
                <w:rFonts w:ascii="Arial" w:hAnsi="Arial" w:cs="Arial"/>
              </w:rPr>
              <w:t xml:space="preserve"> 2022 to October 2024</w:t>
            </w:r>
            <w:r w:rsidR="00D55E4F">
              <w:rPr>
                <w:rFonts w:ascii="Arial" w:hAnsi="Arial" w:cs="Arial"/>
              </w:rPr>
              <w:t>.</w:t>
            </w:r>
            <w:r w:rsidR="00856337">
              <w:rPr>
                <w:rFonts w:ascii="Arial" w:hAnsi="Arial" w:cs="Arial"/>
              </w:rPr>
              <w:t xml:space="preserve"> A</w:t>
            </w:r>
            <w:r>
              <w:rPr>
                <w:rFonts w:ascii="Arial" w:hAnsi="Arial" w:cs="Arial"/>
              </w:rPr>
              <w:t xml:space="preserve"> cross-sectional survey of 95 artisans revealed that 46</w:t>
            </w:r>
            <w:r w:rsidRPr="00295048">
              <w:rPr>
                <w:rFonts w:ascii="Arial" w:hAnsi="Arial" w:cs="Arial"/>
              </w:rPr>
              <w:t xml:space="preserve"> </w:t>
            </w:r>
            <w:r w:rsidR="00D55E4F">
              <w:rPr>
                <w:rFonts w:ascii="Arial" w:hAnsi="Arial" w:cs="Arial"/>
              </w:rPr>
              <w:t xml:space="preserve">artisans </w:t>
            </w:r>
            <w:r w:rsidRPr="00295048">
              <w:rPr>
                <w:rFonts w:ascii="Arial" w:hAnsi="Arial" w:cs="Arial"/>
              </w:rPr>
              <w:t>conf</w:t>
            </w:r>
            <w:r>
              <w:rPr>
                <w:rFonts w:ascii="Arial" w:hAnsi="Arial" w:cs="Arial"/>
              </w:rPr>
              <w:t>irmed work-related ailments, 35</w:t>
            </w:r>
            <w:r w:rsidRPr="00295048">
              <w:rPr>
                <w:rFonts w:ascii="Arial" w:hAnsi="Arial" w:cs="Arial"/>
              </w:rPr>
              <w:t xml:space="preserve"> presented possible symptom</w:t>
            </w:r>
            <w:r>
              <w:rPr>
                <w:rFonts w:ascii="Arial" w:hAnsi="Arial" w:cs="Arial"/>
              </w:rPr>
              <w:t>s, and 14</w:t>
            </w:r>
            <w:r w:rsidRPr="00295048">
              <w:rPr>
                <w:rFonts w:ascii="Arial" w:hAnsi="Arial" w:cs="Arial"/>
              </w:rPr>
              <w:t xml:space="preserve"> showed no noticeab</w:t>
            </w:r>
            <w:r>
              <w:rPr>
                <w:rFonts w:ascii="Arial" w:hAnsi="Arial" w:cs="Arial"/>
              </w:rPr>
              <w:t>le ill health from exposures.</w:t>
            </w:r>
          </w:p>
          <w:p w:rsidR="00AF4C5D" w:rsidRDefault="00C75DDB" w:rsidP="00C75DDB">
            <w:pPr>
              <w:jc w:val="both"/>
              <w:rPr>
                <w:rFonts w:ascii="Arial" w:hAnsi="Arial" w:cs="Arial"/>
              </w:rPr>
            </w:pPr>
            <w:r>
              <w:rPr>
                <w:rFonts w:ascii="Arial" w:hAnsi="Arial" w:cs="Arial"/>
              </w:rPr>
              <w:t>A</w:t>
            </w:r>
            <w:r w:rsidRPr="00295048">
              <w:rPr>
                <w:rFonts w:ascii="Arial" w:hAnsi="Arial" w:cs="Arial"/>
              </w:rPr>
              <w:t>ssessments indicated that</w:t>
            </w:r>
            <w:r w:rsidR="00D55E4F">
              <w:rPr>
                <w:rFonts w:ascii="Arial" w:hAnsi="Arial" w:cs="Arial"/>
              </w:rPr>
              <w:t xml:space="preserve"> 32 artisans confirmed acquiring noticeable ailments caused directly by their work ma</w:t>
            </w:r>
            <w:r w:rsidR="00D44F84">
              <w:rPr>
                <w:rFonts w:ascii="Arial" w:hAnsi="Arial" w:cs="Arial"/>
              </w:rPr>
              <w:t>terials and or work environment, and</w:t>
            </w:r>
            <w:r w:rsidR="00D55E4F">
              <w:rPr>
                <w:rFonts w:ascii="Arial" w:hAnsi="Arial" w:cs="Arial"/>
              </w:rPr>
              <w:t xml:space="preserve"> 41</w:t>
            </w:r>
            <w:r w:rsidR="00AF4C5D">
              <w:rPr>
                <w:rFonts w:ascii="Arial" w:hAnsi="Arial" w:cs="Arial"/>
              </w:rPr>
              <w:t xml:space="preserve"> confirmed </w:t>
            </w:r>
            <w:r w:rsidR="00D55E4F">
              <w:rPr>
                <w:rFonts w:ascii="Arial" w:hAnsi="Arial" w:cs="Arial"/>
              </w:rPr>
              <w:t>indirectly being impacted by</w:t>
            </w:r>
            <w:r w:rsidR="00A40BC7">
              <w:rPr>
                <w:rFonts w:ascii="Arial" w:hAnsi="Arial" w:cs="Arial"/>
              </w:rPr>
              <w:t xml:space="preserve"> their</w:t>
            </w:r>
            <w:r w:rsidR="00D55E4F">
              <w:rPr>
                <w:rFonts w:ascii="Arial" w:hAnsi="Arial" w:cs="Arial"/>
              </w:rPr>
              <w:t xml:space="preserve"> work.</w:t>
            </w:r>
            <w:r w:rsidR="00D44F84">
              <w:rPr>
                <w:rFonts w:ascii="Arial" w:hAnsi="Arial" w:cs="Arial"/>
              </w:rPr>
              <w:t xml:space="preserve"> </w:t>
            </w:r>
            <w:r w:rsidR="00D55E4F">
              <w:rPr>
                <w:rFonts w:ascii="Arial" w:hAnsi="Arial" w:cs="Arial"/>
              </w:rPr>
              <w:t xml:space="preserve">20 </w:t>
            </w:r>
            <w:r w:rsidR="00D44F84">
              <w:rPr>
                <w:rFonts w:ascii="Arial" w:hAnsi="Arial" w:cs="Arial"/>
              </w:rPr>
              <w:t xml:space="preserve">artisans were doubtful </w:t>
            </w:r>
            <w:r w:rsidR="00A40BC7">
              <w:rPr>
                <w:rFonts w:ascii="Arial" w:hAnsi="Arial" w:cs="Arial"/>
              </w:rPr>
              <w:t>as to whether they were impacted directly while</w:t>
            </w:r>
            <w:r w:rsidR="00D44F84">
              <w:rPr>
                <w:rFonts w:ascii="Arial" w:hAnsi="Arial" w:cs="Arial"/>
              </w:rPr>
              <w:t xml:space="preserve">,                                                                                                                                                                                                                                                                                                                                                                                                                                                                                                                                                                                                                                                                                                                                                                                                                                                                                                                                                                                   </w:t>
            </w:r>
            <w:r w:rsidR="00A40BC7">
              <w:rPr>
                <w:rFonts w:ascii="Arial" w:hAnsi="Arial" w:cs="Arial"/>
              </w:rPr>
              <w:t>31 were doubtful as to whether they were impacted indirectly.</w:t>
            </w:r>
            <w:r w:rsidR="00722E4C">
              <w:rPr>
                <w:rFonts w:ascii="Arial" w:hAnsi="Arial" w:cs="Arial"/>
              </w:rPr>
              <w:t xml:space="preserve"> </w:t>
            </w:r>
            <w:r w:rsidR="00D44F84">
              <w:rPr>
                <w:rFonts w:ascii="Arial" w:hAnsi="Arial" w:cs="Arial"/>
              </w:rPr>
              <w:t>43 did not agree that</w:t>
            </w:r>
            <w:r w:rsidR="00A40BC7">
              <w:rPr>
                <w:rFonts w:ascii="Arial" w:hAnsi="Arial" w:cs="Arial"/>
              </w:rPr>
              <w:t xml:space="preserve"> they were directly impacted</w:t>
            </w:r>
            <w:r w:rsidR="00D44F84">
              <w:rPr>
                <w:rFonts w:ascii="Arial" w:hAnsi="Arial" w:cs="Arial"/>
              </w:rPr>
              <w:t>,</w:t>
            </w:r>
            <w:r w:rsidR="00A40BC7">
              <w:rPr>
                <w:rFonts w:ascii="Arial" w:hAnsi="Arial" w:cs="Arial"/>
              </w:rPr>
              <w:t xml:space="preserve"> and 23 did not agree that they were indirectly impacted at all.</w:t>
            </w:r>
          </w:p>
          <w:p w:rsidR="00C75DDB" w:rsidRDefault="00D44F84" w:rsidP="00C75DDB">
            <w:pPr>
              <w:jc w:val="both"/>
              <w:rPr>
                <w:rFonts w:ascii="Arial" w:hAnsi="Arial" w:cs="Arial"/>
              </w:rPr>
            </w:pPr>
            <w:r>
              <w:rPr>
                <w:rFonts w:ascii="Arial" w:hAnsi="Arial" w:cs="Arial"/>
              </w:rPr>
              <w:t>R</w:t>
            </w:r>
            <w:r w:rsidR="00C75DDB" w:rsidRPr="00295048">
              <w:rPr>
                <w:rFonts w:ascii="Arial" w:hAnsi="Arial" w:cs="Arial"/>
              </w:rPr>
              <w:t>eflecting var</w:t>
            </w:r>
            <w:r>
              <w:rPr>
                <w:rFonts w:ascii="Arial" w:hAnsi="Arial" w:cs="Arial"/>
              </w:rPr>
              <w:t>iability in occupational risk, o</w:t>
            </w:r>
            <w:r w:rsidR="00C75DDB" w:rsidRPr="00295048">
              <w:rPr>
                <w:rFonts w:ascii="Arial" w:hAnsi="Arial" w:cs="Arial"/>
              </w:rPr>
              <w:t xml:space="preserve">bserved health effects </w:t>
            </w:r>
            <w:r w:rsidR="00C62CC0">
              <w:rPr>
                <w:rFonts w:ascii="Arial" w:hAnsi="Arial" w:cs="Arial"/>
              </w:rPr>
              <w:t>i</w:t>
            </w:r>
            <w:r w:rsidR="00C75DDB" w:rsidRPr="00295048">
              <w:rPr>
                <w:rFonts w:ascii="Arial" w:hAnsi="Arial" w:cs="Arial"/>
              </w:rPr>
              <w:t>ncluded excessive skin darkening due to prolonged exposure to</w:t>
            </w:r>
            <w:r w:rsidR="00C62CC0">
              <w:rPr>
                <w:rFonts w:ascii="Arial" w:hAnsi="Arial" w:cs="Arial"/>
              </w:rPr>
              <w:t xml:space="preserve"> direct sunlight. S</w:t>
            </w:r>
            <w:r w:rsidR="00C75DDB">
              <w:rPr>
                <w:rFonts w:ascii="Arial" w:hAnsi="Arial" w:cs="Arial"/>
              </w:rPr>
              <w:t>kin lesions</w:t>
            </w:r>
            <w:r w:rsidR="00AF4C5D">
              <w:rPr>
                <w:rFonts w:ascii="Arial" w:hAnsi="Arial" w:cs="Arial"/>
              </w:rPr>
              <w:t>,</w:t>
            </w:r>
            <w:r w:rsidR="00C75DDB" w:rsidRPr="00295048">
              <w:rPr>
                <w:rFonts w:ascii="Arial" w:hAnsi="Arial" w:cs="Arial"/>
              </w:rPr>
              <w:t xml:space="preserve"> ocular</w:t>
            </w:r>
            <w:r w:rsidR="00C75DDB">
              <w:rPr>
                <w:rFonts w:ascii="Arial" w:hAnsi="Arial" w:cs="Arial"/>
              </w:rPr>
              <w:t xml:space="preserve"> defects such as</w:t>
            </w:r>
            <w:r w:rsidR="00C62CC0">
              <w:rPr>
                <w:rFonts w:ascii="Arial" w:hAnsi="Arial" w:cs="Arial"/>
              </w:rPr>
              <w:t xml:space="preserve"> cataracts, swollen fingertips,</w:t>
            </w:r>
            <w:r w:rsidR="007A06C4">
              <w:rPr>
                <w:rFonts w:ascii="Arial" w:hAnsi="Arial" w:cs="Arial"/>
              </w:rPr>
              <w:t xml:space="preserve"> </w:t>
            </w:r>
            <w:r w:rsidR="00C75DDB" w:rsidRPr="00295048">
              <w:rPr>
                <w:rFonts w:ascii="Arial" w:hAnsi="Arial" w:cs="Arial"/>
              </w:rPr>
              <w:t>al</w:t>
            </w:r>
            <w:r w:rsidR="00C75DDB">
              <w:rPr>
                <w:rFonts w:ascii="Arial" w:hAnsi="Arial" w:cs="Arial"/>
              </w:rPr>
              <w:t>terations in voice quality</w:t>
            </w:r>
            <w:r w:rsidR="00C62CC0">
              <w:rPr>
                <w:rFonts w:ascii="Arial" w:hAnsi="Arial" w:cs="Arial"/>
              </w:rPr>
              <w:t xml:space="preserve">, </w:t>
            </w:r>
            <w:r w:rsidR="00C75DDB" w:rsidRPr="00295048">
              <w:rPr>
                <w:rFonts w:ascii="Arial" w:hAnsi="Arial" w:cs="Arial"/>
              </w:rPr>
              <w:t>musculoskeletal c</w:t>
            </w:r>
            <w:r w:rsidR="00C62CC0">
              <w:rPr>
                <w:rFonts w:ascii="Arial" w:hAnsi="Arial" w:cs="Arial"/>
              </w:rPr>
              <w:t>omplaints, coughs</w:t>
            </w:r>
            <w:r w:rsidR="00C75DDB" w:rsidRPr="00295048">
              <w:rPr>
                <w:rFonts w:ascii="Arial" w:hAnsi="Arial" w:cs="Arial"/>
              </w:rPr>
              <w:t xml:space="preserve"> and dermatological c</w:t>
            </w:r>
            <w:r w:rsidR="00C75DDB">
              <w:rPr>
                <w:rFonts w:ascii="Arial" w:hAnsi="Arial" w:cs="Arial"/>
              </w:rPr>
              <w:t xml:space="preserve">onditions were also prevalent. </w:t>
            </w:r>
          </w:p>
          <w:p w:rsidR="00C75DDB" w:rsidRDefault="00C75DDB" w:rsidP="00C75DDB">
            <w:pPr>
              <w:jc w:val="both"/>
              <w:rPr>
                <w:rFonts w:ascii="Arial" w:hAnsi="Arial" w:cs="Arial"/>
              </w:rPr>
            </w:pPr>
            <w:r>
              <w:rPr>
                <w:rFonts w:ascii="Arial" w:hAnsi="Arial" w:cs="Arial"/>
              </w:rPr>
              <w:t>E</w:t>
            </w:r>
            <w:r w:rsidRPr="00295048">
              <w:rPr>
                <w:rFonts w:ascii="Arial" w:hAnsi="Arial" w:cs="Arial"/>
              </w:rPr>
              <w:t>nvironmental assessments revealed notable a</w:t>
            </w:r>
            <w:r w:rsidR="00C62CC0">
              <w:rPr>
                <w:rFonts w:ascii="Arial" w:hAnsi="Arial" w:cs="Arial"/>
              </w:rPr>
              <w:t xml:space="preserve">nthropogenic impacts such as </w:t>
            </w:r>
            <w:r w:rsidRPr="00295048">
              <w:rPr>
                <w:rFonts w:ascii="Arial" w:hAnsi="Arial" w:cs="Arial"/>
              </w:rPr>
              <w:t xml:space="preserve">localized disappearance of flora and fauna in areas </w:t>
            </w:r>
            <w:r w:rsidR="00C62CC0">
              <w:rPr>
                <w:rFonts w:ascii="Arial" w:hAnsi="Arial" w:cs="Arial"/>
              </w:rPr>
              <w:t xml:space="preserve">where fuel, grease, </w:t>
            </w:r>
            <w:r w:rsidR="007A06C4">
              <w:rPr>
                <w:rFonts w:ascii="Arial" w:hAnsi="Arial" w:cs="Arial"/>
              </w:rPr>
              <w:t>Various</w:t>
            </w:r>
            <w:r w:rsidR="00C62CC0">
              <w:rPr>
                <w:rFonts w:ascii="Arial" w:hAnsi="Arial" w:cs="Arial"/>
              </w:rPr>
              <w:t xml:space="preserve"> types of</w:t>
            </w:r>
            <w:r w:rsidR="007A06C4">
              <w:rPr>
                <w:rFonts w:ascii="Arial" w:hAnsi="Arial" w:cs="Arial"/>
              </w:rPr>
              <w:t xml:space="preserve"> liquid and solid</w:t>
            </w:r>
            <w:r w:rsidRPr="00295048">
              <w:rPr>
                <w:rFonts w:ascii="Arial" w:hAnsi="Arial" w:cs="Arial"/>
              </w:rPr>
              <w:t xml:space="preserve"> wastes were indis</w:t>
            </w:r>
            <w:r w:rsidR="00C62CC0">
              <w:rPr>
                <w:rFonts w:ascii="Arial" w:hAnsi="Arial" w:cs="Arial"/>
              </w:rPr>
              <w:t>criminately disposed</w:t>
            </w:r>
            <w:r w:rsidR="007A06C4">
              <w:rPr>
                <w:rFonts w:ascii="Arial" w:hAnsi="Arial" w:cs="Arial"/>
              </w:rPr>
              <w:t xml:space="preserve"> on</w:t>
            </w:r>
            <w:r w:rsidR="00C62CC0">
              <w:rPr>
                <w:rFonts w:ascii="Arial" w:hAnsi="Arial" w:cs="Arial"/>
              </w:rPr>
              <w:t xml:space="preserve"> swampy</w:t>
            </w:r>
            <w:r w:rsidR="007A06C4">
              <w:rPr>
                <w:rFonts w:ascii="Arial" w:hAnsi="Arial" w:cs="Arial"/>
              </w:rPr>
              <w:t xml:space="preserve"> areas. These</w:t>
            </w:r>
            <w:r w:rsidRPr="00295048">
              <w:rPr>
                <w:rFonts w:ascii="Arial" w:hAnsi="Arial" w:cs="Arial"/>
              </w:rPr>
              <w:t xml:space="preserve"> findings highlight the dual burden of occupational and environmental hazards associ</w:t>
            </w:r>
            <w:r>
              <w:rPr>
                <w:rFonts w:ascii="Arial" w:hAnsi="Arial" w:cs="Arial"/>
              </w:rPr>
              <w:t xml:space="preserve">ated with artisanal practices. </w:t>
            </w:r>
          </w:p>
          <w:p w:rsidR="002D7CC3" w:rsidRPr="00B11422" w:rsidRDefault="00C75DDB" w:rsidP="00404458">
            <w:pPr>
              <w:jc w:val="both"/>
              <w:rPr>
                <w:rFonts w:ascii="Arial" w:eastAsia="Calibri" w:hAnsi="Arial" w:cs="Arial"/>
              </w:rPr>
            </w:pPr>
            <w:r>
              <w:rPr>
                <w:rFonts w:ascii="Arial" w:hAnsi="Arial" w:cs="Arial"/>
              </w:rPr>
              <w:t>T</w:t>
            </w:r>
            <w:r w:rsidRPr="00295048">
              <w:rPr>
                <w:rFonts w:ascii="Arial" w:hAnsi="Arial" w:cs="Arial"/>
              </w:rPr>
              <w:t>h</w:t>
            </w:r>
            <w:r w:rsidR="007A06C4">
              <w:rPr>
                <w:rFonts w:ascii="Arial" w:hAnsi="Arial" w:cs="Arial"/>
              </w:rPr>
              <w:t xml:space="preserve">e study </w:t>
            </w:r>
            <w:r w:rsidRPr="00295048">
              <w:rPr>
                <w:rFonts w:ascii="Arial" w:hAnsi="Arial" w:cs="Arial"/>
              </w:rPr>
              <w:t>the urgent ne</w:t>
            </w:r>
            <w:r w:rsidR="007A06C4">
              <w:rPr>
                <w:rFonts w:ascii="Arial" w:hAnsi="Arial" w:cs="Arial"/>
              </w:rPr>
              <w:t>ed for integrated interventions. O</w:t>
            </w:r>
            <w:r w:rsidRPr="00295048">
              <w:rPr>
                <w:rFonts w:ascii="Arial" w:hAnsi="Arial" w:cs="Arial"/>
              </w:rPr>
              <w:t>ccupational</w:t>
            </w:r>
            <w:r w:rsidR="007A06C4">
              <w:rPr>
                <w:rFonts w:ascii="Arial" w:hAnsi="Arial" w:cs="Arial"/>
              </w:rPr>
              <w:t xml:space="preserve"> health and safety awareness. P</w:t>
            </w:r>
            <w:r w:rsidRPr="00295048">
              <w:rPr>
                <w:rFonts w:ascii="Arial" w:hAnsi="Arial" w:cs="Arial"/>
              </w:rPr>
              <w:t>rovision of personal protective equipment, enforcement of environmental regulations</w:t>
            </w:r>
            <w:r w:rsidR="00D44F84">
              <w:rPr>
                <w:rFonts w:ascii="Arial" w:hAnsi="Arial" w:cs="Arial"/>
              </w:rPr>
              <w:t xml:space="preserve">, proper waste management, and </w:t>
            </w:r>
            <w:r w:rsidRPr="00295048">
              <w:rPr>
                <w:rFonts w:ascii="Arial" w:hAnsi="Arial" w:cs="Arial"/>
              </w:rPr>
              <w:t>adoption of sustainable work practices is essential to mitigate health risks, preserve ecological integrity, and promote long-term occupational and environmental sustainability in urban artisan settings. the research provides empirical evidence to inform policy and public health strategies aimed at reducing the adverse effects of artisanal work on both human health and the surrounding environment, ultimately enhancing worker safety and urban ecosystem resilience.</w:t>
            </w:r>
          </w:p>
        </w:tc>
      </w:tr>
    </w:tbl>
    <w:p w:rsidR="002D7CC3" w:rsidRPr="00B11422" w:rsidRDefault="002D7CC3" w:rsidP="005F144F">
      <w:pPr>
        <w:pStyle w:val="Body"/>
        <w:spacing w:line="360" w:lineRule="auto"/>
        <w:rPr>
          <w:rFonts w:ascii="Arial" w:hAnsi="Arial" w:cs="Arial"/>
          <w:i/>
        </w:rPr>
      </w:pPr>
    </w:p>
    <w:p w:rsidR="00B36D74" w:rsidRPr="0096435D" w:rsidRDefault="002D7CC3" w:rsidP="003D4AC5">
      <w:pPr>
        <w:pStyle w:val="Body"/>
        <w:spacing w:line="360" w:lineRule="auto"/>
        <w:jc w:val="left"/>
        <w:rPr>
          <w:rFonts w:ascii="Arial" w:hAnsi="Arial" w:cs="Arial"/>
          <w:i/>
        </w:rPr>
      </w:pPr>
      <w:r w:rsidRPr="00B11422">
        <w:rPr>
          <w:rFonts w:ascii="Arial" w:hAnsi="Arial" w:cs="Arial"/>
          <w:b/>
          <w:i/>
        </w:rPr>
        <w:lastRenderedPageBreak/>
        <w:t>Keywords:</w:t>
      </w:r>
      <w:r w:rsidR="003D4AC5">
        <w:rPr>
          <w:rFonts w:ascii="Arial" w:hAnsi="Arial" w:cs="Arial"/>
          <w:b/>
          <w:i/>
        </w:rPr>
        <w:t xml:space="preserve"> </w:t>
      </w:r>
      <w:r w:rsidR="00657381">
        <w:rPr>
          <w:rFonts w:ascii="Arial" w:hAnsi="Arial" w:cs="Arial"/>
          <w:bCs/>
          <w:i/>
        </w:rPr>
        <w:t>Artisans,</w:t>
      </w:r>
      <w:r w:rsidR="00837E91">
        <w:rPr>
          <w:rFonts w:ascii="Arial" w:hAnsi="Arial" w:cs="Arial"/>
          <w:bCs/>
          <w:i/>
        </w:rPr>
        <w:t xml:space="preserve"> </w:t>
      </w:r>
      <w:r w:rsidR="00657381">
        <w:rPr>
          <w:rFonts w:ascii="Arial" w:hAnsi="Arial" w:cs="Arial"/>
          <w:bCs/>
          <w:i/>
        </w:rPr>
        <w:t xml:space="preserve">Pollution, </w:t>
      </w:r>
      <w:r w:rsidRPr="00B11422">
        <w:rPr>
          <w:rFonts w:ascii="Arial" w:hAnsi="Arial" w:cs="Arial"/>
          <w:bCs/>
          <w:i/>
        </w:rPr>
        <w:t xml:space="preserve">Sustainable Development, </w:t>
      </w:r>
      <w:r w:rsidR="00657381">
        <w:rPr>
          <w:rFonts w:ascii="Arial" w:hAnsi="Arial" w:cs="Arial"/>
          <w:bCs/>
          <w:i/>
        </w:rPr>
        <w:t>Global warming, Safety,</w:t>
      </w:r>
      <w:r w:rsidRPr="00B11422">
        <w:rPr>
          <w:rFonts w:ascii="Arial" w:hAnsi="Arial" w:cs="Arial"/>
          <w:bCs/>
          <w:i/>
        </w:rPr>
        <w:t xml:space="preserve"> Chemic</w:t>
      </w:r>
      <w:r w:rsidR="002079ED">
        <w:rPr>
          <w:rFonts w:ascii="Arial" w:hAnsi="Arial" w:cs="Arial"/>
          <w:bCs/>
          <w:i/>
        </w:rPr>
        <w:t>al Exposure, Respiratory</w:t>
      </w:r>
      <w:r w:rsidR="00D44F84">
        <w:rPr>
          <w:rFonts w:ascii="Arial" w:hAnsi="Arial" w:cs="Arial"/>
          <w:bCs/>
          <w:i/>
        </w:rPr>
        <w:t xml:space="preserve"> </w:t>
      </w:r>
      <w:r w:rsidR="002079ED">
        <w:rPr>
          <w:rFonts w:ascii="Arial" w:hAnsi="Arial" w:cs="Arial"/>
          <w:bCs/>
          <w:i/>
        </w:rPr>
        <w:t>Diseases</w:t>
      </w:r>
      <w:r w:rsidRPr="00B11422">
        <w:rPr>
          <w:rFonts w:ascii="Arial" w:hAnsi="Arial" w:cs="Arial"/>
          <w:bCs/>
          <w:i/>
        </w:rPr>
        <w:t>, Environmental Awareness</w:t>
      </w:r>
      <w:r w:rsidR="0039005F">
        <w:rPr>
          <w:rFonts w:ascii="Arial" w:hAnsi="Arial" w:cs="Arial"/>
          <w:bCs/>
          <w:i/>
        </w:rPr>
        <w:t>.</w:t>
      </w:r>
    </w:p>
    <w:p w:rsidR="003D4AC5" w:rsidRDefault="003D4AC5" w:rsidP="005F144F">
      <w:pPr>
        <w:spacing w:after="240" w:line="360" w:lineRule="auto"/>
        <w:jc w:val="both"/>
        <w:rPr>
          <w:rFonts w:ascii="Arial" w:hAnsi="Arial" w:cs="Arial"/>
          <w:b/>
        </w:rPr>
      </w:pPr>
    </w:p>
    <w:p w:rsidR="00F246F2" w:rsidRDefault="00F246F2" w:rsidP="005F144F">
      <w:pPr>
        <w:spacing w:after="240" w:line="360" w:lineRule="auto"/>
        <w:jc w:val="both"/>
        <w:rPr>
          <w:rFonts w:ascii="Arial" w:hAnsi="Arial" w:cs="Arial"/>
          <w:b/>
        </w:rPr>
      </w:pPr>
    </w:p>
    <w:p w:rsidR="00F246F2" w:rsidRDefault="00F246F2" w:rsidP="005F144F">
      <w:pPr>
        <w:spacing w:after="240" w:line="360" w:lineRule="auto"/>
        <w:jc w:val="both"/>
        <w:rPr>
          <w:rFonts w:ascii="Arial" w:hAnsi="Arial" w:cs="Arial"/>
          <w:b/>
        </w:rPr>
      </w:pPr>
    </w:p>
    <w:p w:rsidR="0005421A" w:rsidRDefault="0005421A" w:rsidP="00484942">
      <w:pPr>
        <w:jc w:val="both"/>
        <w:rPr>
          <w:rFonts w:ascii="Arial" w:hAnsi="Arial" w:cs="Arial"/>
          <w:b/>
        </w:rPr>
      </w:pPr>
    </w:p>
    <w:p w:rsidR="00722E4C" w:rsidRDefault="00722E4C" w:rsidP="00484942">
      <w:pPr>
        <w:jc w:val="both"/>
        <w:rPr>
          <w:rFonts w:ascii="Arial" w:hAnsi="Arial" w:cs="Arial"/>
          <w:b/>
        </w:rPr>
      </w:pPr>
    </w:p>
    <w:p w:rsidR="00722E4C" w:rsidRDefault="00722E4C" w:rsidP="00484942">
      <w:pPr>
        <w:jc w:val="both"/>
        <w:rPr>
          <w:rFonts w:ascii="Arial" w:hAnsi="Arial" w:cs="Arial"/>
          <w:b/>
        </w:rPr>
      </w:pPr>
    </w:p>
    <w:p w:rsidR="00722E4C" w:rsidRDefault="00722E4C" w:rsidP="00484942">
      <w:pPr>
        <w:jc w:val="both"/>
        <w:rPr>
          <w:rFonts w:ascii="Arial" w:hAnsi="Arial" w:cs="Arial"/>
          <w:b/>
        </w:rPr>
      </w:pPr>
    </w:p>
    <w:p w:rsidR="007A06C4" w:rsidRDefault="007A06C4" w:rsidP="00484942">
      <w:pPr>
        <w:jc w:val="both"/>
        <w:rPr>
          <w:rFonts w:ascii="Arial" w:hAnsi="Arial" w:cs="Arial"/>
          <w:b/>
          <w:bCs/>
        </w:rPr>
      </w:pPr>
    </w:p>
    <w:p w:rsidR="00E65434" w:rsidRPr="00484942" w:rsidRDefault="00C75DDB" w:rsidP="00484942">
      <w:pPr>
        <w:jc w:val="both"/>
        <w:rPr>
          <w:rFonts w:ascii="Arial" w:hAnsi="Arial" w:cs="Arial"/>
          <w:b/>
          <w:bCs/>
        </w:rPr>
      </w:pPr>
      <w:r w:rsidRPr="00C75DDB">
        <w:rPr>
          <w:rFonts w:ascii="Arial" w:hAnsi="Arial" w:cs="Arial"/>
          <w:b/>
          <w:bCs/>
        </w:rPr>
        <w:t>1.</w:t>
      </w:r>
      <w:r>
        <w:rPr>
          <w:rFonts w:ascii="Arial" w:hAnsi="Arial" w:cs="Arial"/>
          <w:b/>
          <w:bCs/>
        </w:rPr>
        <w:t xml:space="preserve"> </w:t>
      </w:r>
      <w:r w:rsidRPr="00C75DDB">
        <w:rPr>
          <w:rFonts w:ascii="Arial" w:hAnsi="Arial" w:cs="Arial"/>
          <w:b/>
          <w:bCs/>
        </w:rPr>
        <w:t>INTROCUCTION</w:t>
      </w:r>
    </w:p>
    <w:p w:rsidR="00E65434" w:rsidRPr="006701D6" w:rsidRDefault="00F560D1" w:rsidP="00E65434">
      <w:pPr>
        <w:pStyle w:val="NormalWeb"/>
        <w:jc w:val="both"/>
        <w:rPr>
          <w:rFonts w:ascii="Arial" w:hAnsi="Arial" w:cs="Arial"/>
          <w:sz w:val="20"/>
          <w:szCs w:val="20"/>
        </w:rPr>
      </w:pPr>
      <w:r w:rsidRPr="00F560D1">
        <w:rPr>
          <w:rFonts w:ascii="Arial" w:hAnsi="Arial" w:cs="Arial"/>
          <w:sz w:val="20"/>
          <w:szCs w:val="20"/>
        </w:rPr>
        <w:t xml:space="preserve">Established in </w:t>
      </w:r>
      <w:r w:rsidRPr="00F560D1">
        <w:rPr>
          <w:rFonts w:ascii="Arial" w:hAnsi="Arial" w:cs="Arial"/>
          <w:bCs/>
          <w:sz w:val="20"/>
          <w:szCs w:val="20"/>
        </w:rPr>
        <w:t xml:space="preserve">1977, </w:t>
      </w:r>
      <w:proofErr w:type="spellStart"/>
      <w:r w:rsidRPr="00F560D1">
        <w:rPr>
          <w:rFonts w:ascii="Arial" w:hAnsi="Arial" w:cs="Arial"/>
          <w:bCs/>
          <w:sz w:val="20"/>
          <w:szCs w:val="20"/>
        </w:rPr>
        <w:t>Festac</w:t>
      </w:r>
      <w:proofErr w:type="spellEnd"/>
      <w:r w:rsidRPr="00F560D1">
        <w:rPr>
          <w:rFonts w:ascii="Arial" w:hAnsi="Arial" w:cs="Arial"/>
          <w:bCs/>
          <w:sz w:val="20"/>
          <w:szCs w:val="20"/>
        </w:rPr>
        <w:t xml:space="preserve"> Town</w:t>
      </w:r>
      <w:r w:rsidRPr="00F560D1">
        <w:rPr>
          <w:rFonts w:ascii="Arial" w:hAnsi="Arial" w:cs="Arial"/>
          <w:sz w:val="20"/>
          <w:szCs w:val="20"/>
        </w:rPr>
        <w:t xml:space="preserve"> is </w:t>
      </w:r>
      <w:r w:rsidR="002079ED">
        <w:rPr>
          <w:rFonts w:ascii="Arial" w:hAnsi="Arial" w:cs="Arial"/>
          <w:sz w:val="20"/>
          <w:szCs w:val="20"/>
        </w:rPr>
        <w:t xml:space="preserve">a place </w:t>
      </w:r>
      <w:r w:rsidRPr="00F560D1">
        <w:rPr>
          <w:rFonts w:ascii="Arial" w:hAnsi="Arial" w:cs="Arial"/>
          <w:sz w:val="20"/>
          <w:szCs w:val="20"/>
        </w:rPr>
        <w:t xml:space="preserve">renowned for its cultural heritage, structured urban planning, and provision of housing facilities </w:t>
      </w:r>
      <w:r w:rsidRPr="00F560D1">
        <w:rPr>
          <w:rFonts w:ascii="Arial" w:hAnsi="Arial" w:cs="Arial"/>
          <w:bCs/>
          <w:sz w:val="20"/>
          <w:szCs w:val="20"/>
        </w:rPr>
        <w:t xml:space="preserve">(Okunola et al., 2025; </w:t>
      </w:r>
      <w:proofErr w:type="spellStart"/>
      <w:r w:rsidRPr="00F560D1">
        <w:rPr>
          <w:rFonts w:ascii="Arial" w:hAnsi="Arial" w:cs="Arial"/>
          <w:bCs/>
          <w:sz w:val="20"/>
          <w:szCs w:val="20"/>
        </w:rPr>
        <w:t>Bantful</w:t>
      </w:r>
      <w:proofErr w:type="spellEnd"/>
      <w:r w:rsidRPr="00F560D1">
        <w:rPr>
          <w:rFonts w:ascii="Arial" w:hAnsi="Arial" w:cs="Arial"/>
          <w:bCs/>
          <w:sz w:val="20"/>
          <w:szCs w:val="20"/>
        </w:rPr>
        <w:t>, 2024).</w:t>
      </w:r>
      <w:r w:rsidRPr="00F560D1">
        <w:rPr>
          <w:rFonts w:ascii="Arial" w:hAnsi="Arial" w:cs="Arial"/>
          <w:sz w:val="20"/>
          <w:szCs w:val="20"/>
        </w:rPr>
        <w:t xml:space="preserve"> </w:t>
      </w:r>
      <w:proofErr w:type="spellStart"/>
      <w:r w:rsidRPr="00F560D1">
        <w:rPr>
          <w:rFonts w:ascii="Arial" w:hAnsi="Arial" w:cs="Arial"/>
          <w:sz w:val="20"/>
          <w:szCs w:val="20"/>
        </w:rPr>
        <w:t>Festac</w:t>
      </w:r>
      <w:proofErr w:type="spellEnd"/>
      <w:r w:rsidRPr="00F560D1">
        <w:rPr>
          <w:rFonts w:ascii="Arial" w:hAnsi="Arial" w:cs="Arial"/>
          <w:sz w:val="20"/>
          <w:szCs w:val="20"/>
        </w:rPr>
        <w:t xml:space="preserve"> Town is also a hub for economic growth, as it now houses businesses, companies, banks, schools, churches, mosques, shopping malls, workshops, water provision facilities, etc. Over the years, the housing facilities </w:t>
      </w:r>
      <w:r w:rsidRPr="00F560D1">
        <w:rPr>
          <w:rFonts w:ascii="Arial" w:hAnsi="Arial" w:cs="Arial"/>
          <w:bCs/>
          <w:sz w:val="20"/>
          <w:szCs w:val="20"/>
        </w:rPr>
        <w:t>have come to</w:t>
      </w:r>
      <w:r w:rsidRPr="00F560D1">
        <w:rPr>
          <w:rFonts w:ascii="Arial" w:hAnsi="Arial" w:cs="Arial"/>
          <w:sz w:val="20"/>
          <w:szCs w:val="20"/>
        </w:rPr>
        <w:t xml:space="preserve"> require remodeling and renovations. To meet growing economic needs, there is a local reliance on artisans for construction and maintenance; this inadvertently exposes both unskilled workers and the community to severe occupational and environmental hazards </w:t>
      </w:r>
      <w:r w:rsidRPr="00F560D1">
        <w:rPr>
          <w:rFonts w:ascii="Arial" w:hAnsi="Arial" w:cs="Arial"/>
          <w:bCs/>
          <w:sz w:val="20"/>
          <w:szCs w:val="20"/>
        </w:rPr>
        <w:t>(Saxena, 2025).</w:t>
      </w:r>
      <w:r w:rsidR="00D44F84">
        <w:rPr>
          <w:rFonts w:ascii="Arial" w:hAnsi="Arial" w:cs="Arial"/>
          <w:sz w:val="20"/>
          <w:szCs w:val="20"/>
        </w:rPr>
        <w:t xml:space="preserve"> </w:t>
      </w:r>
      <w:r w:rsidR="00E65434" w:rsidRPr="006701D6">
        <w:rPr>
          <w:rFonts w:ascii="Arial" w:hAnsi="Arial" w:cs="Arial"/>
          <w:sz w:val="20"/>
          <w:szCs w:val="20"/>
        </w:rPr>
        <w:t xml:space="preserve">The chemicals utilized </w:t>
      </w:r>
      <w:proofErr w:type="gramStart"/>
      <w:r w:rsidR="00E65434" w:rsidRPr="006701D6">
        <w:rPr>
          <w:rFonts w:ascii="Arial" w:hAnsi="Arial" w:cs="Arial"/>
          <w:sz w:val="20"/>
          <w:szCs w:val="20"/>
        </w:rPr>
        <w:t>by  artisan</w:t>
      </w:r>
      <w:proofErr w:type="gramEnd"/>
      <w:r w:rsidR="00E65434" w:rsidRPr="006701D6">
        <w:rPr>
          <w:rFonts w:ascii="Arial" w:hAnsi="Arial" w:cs="Arial"/>
          <w:sz w:val="20"/>
          <w:szCs w:val="20"/>
        </w:rPr>
        <w:t xml:space="preserve"> jobs often release ozone-depleting substances, exacerbating heat waves and contributing to global clima</w:t>
      </w:r>
      <w:r w:rsidR="002079ED">
        <w:rPr>
          <w:rFonts w:ascii="Arial" w:hAnsi="Arial" w:cs="Arial"/>
          <w:sz w:val="20"/>
          <w:szCs w:val="20"/>
        </w:rPr>
        <w:t>te change</w:t>
      </w:r>
      <w:r w:rsidR="00E65434">
        <w:rPr>
          <w:rFonts w:ascii="Arial" w:hAnsi="Arial" w:cs="Arial"/>
          <w:sz w:val="20"/>
          <w:szCs w:val="20"/>
        </w:rPr>
        <w:t xml:space="preserve"> (Cheney et al</w:t>
      </w:r>
      <w:r w:rsidR="00D44F84">
        <w:rPr>
          <w:rFonts w:ascii="Arial" w:hAnsi="Arial" w:cs="Arial"/>
          <w:sz w:val="20"/>
          <w:szCs w:val="20"/>
        </w:rPr>
        <w:t>.,</w:t>
      </w:r>
      <w:r w:rsidR="00E65434">
        <w:rPr>
          <w:rFonts w:ascii="Arial" w:hAnsi="Arial" w:cs="Arial"/>
          <w:sz w:val="20"/>
          <w:szCs w:val="20"/>
        </w:rPr>
        <w:t xml:space="preserve"> 2022</w:t>
      </w:r>
      <w:r w:rsidR="002079ED">
        <w:rPr>
          <w:rFonts w:ascii="Arial" w:hAnsi="Arial" w:cs="Arial"/>
          <w:sz w:val="20"/>
          <w:szCs w:val="20"/>
        </w:rPr>
        <w:t xml:space="preserve">; </w:t>
      </w:r>
      <w:r w:rsidR="00E65434">
        <w:rPr>
          <w:rFonts w:ascii="Arial" w:hAnsi="Arial" w:cs="Arial"/>
          <w:sz w:val="20"/>
          <w:szCs w:val="20"/>
        </w:rPr>
        <w:t>N</w:t>
      </w:r>
      <w:r w:rsidR="002079ED">
        <w:rPr>
          <w:rFonts w:ascii="Arial" w:hAnsi="Arial" w:cs="Arial"/>
          <w:sz w:val="20"/>
          <w:szCs w:val="20"/>
        </w:rPr>
        <w:t xml:space="preserve">dubisi, </w:t>
      </w:r>
      <w:r w:rsidR="00E65434" w:rsidRPr="006701D6">
        <w:rPr>
          <w:rFonts w:ascii="Arial" w:hAnsi="Arial" w:cs="Arial"/>
          <w:sz w:val="20"/>
          <w:szCs w:val="20"/>
        </w:rPr>
        <w:t>2025).</w:t>
      </w:r>
    </w:p>
    <w:p w:rsidR="00E65434" w:rsidRPr="006701D6" w:rsidRDefault="00E65434" w:rsidP="00E65434">
      <w:pPr>
        <w:pStyle w:val="NormalWeb"/>
        <w:jc w:val="both"/>
        <w:rPr>
          <w:rFonts w:ascii="Arial" w:hAnsi="Arial" w:cs="Arial"/>
          <w:sz w:val="20"/>
          <w:szCs w:val="20"/>
        </w:rPr>
      </w:pPr>
      <w:r w:rsidRPr="006701D6">
        <w:rPr>
          <w:rFonts w:ascii="Arial" w:hAnsi="Arial" w:cs="Arial"/>
          <w:sz w:val="20"/>
          <w:szCs w:val="20"/>
        </w:rPr>
        <w:t>Scientific evidence suggests that environmental degradation facilitates heat-related morbidity, biodiversity loss, and eco</w:t>
      </w:r>
      <w:r>
        <w:rPr>
          <w:rFonts w:ascii="Arial" w:hAnsi="Arial" w:cs="Arial"/>
          <w:sz w:val="20"/>
          <w:szCs w:val="20"/>
        </w:rPr>
        <w:t>logical disruption (M</w:t>
      </w:r>
      <w:r w:rsidRPr="006701D6">
        <w:rPr>
          <w:rFonts w:ascii="Arial" w:hAnsi="Arial" w:cs="Arial"/>
          <w:sz w:val="20"/>
          <w:szCs w:val="20"/>
        </w:rPr>
        <w:t>ani, 2025). Climate change and global warming have resulted to heat related morbidity over the years w</w:t>
      </w:r>
      <w:r w:rsidR="002079ED">
        <w:rPr>
          <w:rFonts w:ascii="Arial" w:hAnsi="Arial" w:cs="Arial"/>
          <w:sz w:val="20"/>
          <w:szCs w:val="20"/>
        </w:rPr>
        <w:t xml:space="preserve">ith growing global population </w:t>
      </w:r>
      <w:r>
        <w:rPr>
          <w:rFonts w:ascii="Arial" w:hAnsi="Arial" w:cs="Arial"/>
          <w:sz w:val="20"/>
          <w:szCs w:val="20"/>
        </w:rPr>
        <w:t>(N</w:t>
      </w:r>
      <w:r w:rsidRPr="006701D6">
        <w:rPr>
          <w:rFonts w:ascii="Arial" w:hAnsi="Arial" w:cs="Arial"/>
          <w:sz w:val="20"/>
          <w:szCs w:val="20"/>
        </w:rPr>
        <w:t>avas et al.,2024).</w:t>
      </w:r>
      <w:r>
        <w:rPr>
          <w:rFonts w:ascii="Arial" w:hAnsi="Arial" w:cs="Arial"/>
          <w:sz w:val="20"/>
          <w:szCs w:val="20"/>
        </w:rPr>
        <w:t xml:space="preserve"> Declining human sperm counts</w:t>
      </w:r>
      <w:r w:rsidRPr="006701D6">
        <w:rPr>
          <w:rFonts w:ascii="Arial" w:hAnsi="Arial" w:cs="Arial"/>
          <w:sz w:val="20"/>
          <w:szCs w:val="20"/>
        </w:rPr>
        <w:t xml:space="preserve">, and various respiratory, neurological, </w:t>
      </w:r>
      <w:r>
        <w:rPr>
          <w:rFonts w:ascii="Arial" w:hAnsi="Arial" w:cs="Arial"/>
          <w:sz w:val="20"/>
          <w:szCs w:val="20"/>
        </w:rPr>
        <w:t>and gastrointestinal diseases</w:t>
      </w:r>
      <w:r w:rsidR="002079ED">
        <w:rPr>
          <w:rFonts w:ascii="Arial" w:hAnsi="Arial" w:cs="Arial"/>
          <w:sz w:val="20"/>
          <w:szCs w:val="20"/>
        </w:rPr>
        <w:t>, are some of the environmental health is</w:t>
      </w:r>
      <w:r w:rsidR="00F456C0">
        <w:rPr>
          <w:rFonts w:ascii="Arial" w:hAnsi="Arial" w:cs="Arial"/>
          <w:sz w:val="20"/>
          <w:szCs w:val="20"/>
        </w:rPr>
        <w:t>s</w:t>
      </w:r>
      <w:r w:rsidR="002079ED">
        <w:rPr>
          <w:rFonts w:ascii="Arial" w:hAnsi="Arial" w:cs="Arial"/>
          <w:sz w:val="20"/>
          <w:szCs w:val="20"/>
        </w:rPr>
        <w:t>ues faced by artisans in the workplace (Levine et al., 2023; Hulshof et al.,</w:t>
      </w:r>
      <w:r w:rsidR="00F456C0">
        <w:rPr>
          <w:rFonts w:ascii="Arial" w:hAnsi="Arial" w:cs="Arial"/>
          <w:sz w:val="20"/>
          <w:szCs w:val="20"/>
        </w:rPr>
        <w:t xml:space="preserve"> </w:t>
      </w:r>
      <w:r w:rsidR="002079ED">
        <w:rPr>
          <w:rFonts w:ascii="Arial" w:hAnsi="Arial" w:cs="Arial"/>
          <w:sz w:val="20"/>
          <w:szCs w:val="20"/>
        </w:rPr>
        <w:t xml:space="preserve">2021; </w:t>
      </w:r>
      <w:proofErr w:type="spellStart"/>
      <w:r>
        <w:rPr>
          <w:rFonts w:ascii="Arial" w:hAnsi="Arial" w:cs="Arial"/>
          <w:sz w:val="20"/>
          <w:szCs w:val="20"/>
        </w:rPr>
        <w:t>P</w:t>
      </w:r>
      <w:r w:rsidRPr="006701D6">
        <w:rPr>
          <w:rFonts w:ascii="Arial" w:hAnsi="Arial" w:cs="Arial"/>
          <w:sz w:val="20"/>
          <w:szCs w:val="20"/>
        </w:rPr>
        <w:t>enumantra</w:t>
      </w:r>
      <w:proofErr w:type="spellEnd"/>
      <w:r w:rsidRPr="006701D6">
        <w:rPr>
          <w:rFonts w:ascii="Arial" w:hAnsi="Arial" w:cs="Arial"/>
          <w:sz w:val="20"/>
          <w:szCs w:val="20"/>
        </w:rPr>
        <w:t xml:space="preserve"> et al., 2024).</w:t>
      </w:r>
    </w:p>
    <w:p w:rsidR="00E65434" w:rsidRPr="006701D6" w:rsidRDefault="00E65434" w:rsidP="00E65434">
      <w:pPr>
        <w:pStyle w:val="NormalWeb"/>
        <w:jc w:val="both"/>
        <w:rPr>
          <w:rFonts w:ascii="Arial" w:hAnsi="Arial" w:cs="Arial"/>
          <w:sz w:val="20"/>
          <w:szCs w:val="20"/>
        </w:rPr>
      </w:pPr>
      <w:r w:rsidRPr="006701D6">
        <w:rPr>
          <w:rFonts w:ascii="Arial" w:hAnsi="Arial" w:cs="Arial"/>
          <w:sz w:val="20"/>
          <w:szCs w:val="20"/>
        </w:rPr>
        <w:t>In developing economies, industries such as cement, textiles, and metalwork frequently discharge pollutants into drai</w:t>
      </w:r>
      <w:r w:rsidR="00F456C0">
        <w:rPr>
          <w:rFonts w:ascii="Arial" w:hAnsi="Arial" w:cs="Arial"/>
          <w:sz w:val="20"/>
          <w:szCs w:val="20"/>
        </w:rPr>
        <w:t xml:space="preserve">nage systems and the atmosphere </w:t>
      </w:r>
      <w:r>
        <w:rPr>
          <w:rFonts w:ascii="Arial" w:hAnsi="Arial" w:cs="Arial"/>
          <w:sz w:val="20"/>
          <w:szCs w:val="20"/>
        </w:rPr>
        <w:t>(Habibu et al.,</w:t>
      </w:r>
      <w:r w:rsidR="00D44F84">
        <w:rPr>
          <w:rFonts w:ascii="Arial" w:hAnsi="Arial" w:cs="Arial"/>
          <w:sz w:val="20"/>
          <w:szCs w:val="20"/>
        </w:rPr>
        <w:t xml:space="preserve"> </w:t>
      </w:r>
      <w:r>
        <w:rPr>
          <w:rFonts w:ascii="Arial" w:hAnsi="Arial" w:cs="Arial"/>
          <w:sz w:val="20"/>
          <w:szCs w:val="20"/>
        </w:rPr>
        <w:t>2025)</w:t>
      </w:r>
      <w:r w:rsidR="00F456C0">
        <w:rPr>
          <w:rFonts w:ascii="Arial" w:hAnsi="Arial" w:cs="Arial"/>
          <w:sz w:val="20"/>
          <w:szCs w:val="20"/>
        </w:rPr>
        <w:t>. T</w:t>
      </w:r>
      <w:r>
        <w:rPr>
          <w:rFonts w:ascii="Arial" w:hAnsi="Arial" w:cs="Arial"/>
          <w:sz w:val="20"/>
          <w:szCs w:val="20"/>
        </w:rPr>
        <w:t>his reduces</w:t>
      </w:r>
      <w:r w:rsidR="00F456C0">
        <w:rPr>
          <w:rFonts w:ascii="Arial" w:hAnsi="Arial" w:cs="Arial"/>
          <w:sz w:val="20"/>
          <w:szCs w:val="20"/>
        </w:rPr>
        <w:t xml:space="preserve"> oxygen availability, </w:t>
      </w:r>
      <w:r w:rsidRPr="006701D6">
        <w:rPr>
          <w:rFonts w:ascii="Arial" w:hAnsi="Arial" w:cs="Arial"/>
          <w:sz w:val="20"/>
          <w:szCs w:val="20"/>
        </w:rPr>
        <w:t>causing lifelong health consequences</w:t>
      </w:r>
      <w:r>
        <w:rPr>
          <w:rFonts w:ascii="Arial" w:hAnsi="Arial" w:cs="Arial"/>
          <w:sz w:val="20"/>
          <w:szCs w:val="20"/>
        </w:rPr>
        <w:t>. The</w:t>
      </w:r>
      <w:r w:rsidRPr="006701D6">
        <w:rPr>
          <w:rFonts w:ascii="Arial" w:hAnsi="Arial" w:cs="Arial"/>
          <w:sz w:val="20"/>
          <w:szCs w:val="20"/>
        </w:rPr>
        <w:t xml:space="preserve"> effects range from acute poisoning and chronic diseases to endocrine disruption an</w:t>
      </w:r>
      <w:r>
        <w:rPr>
          <w:rFonts w:ascii="Arial" w:hAnsi="Arial" w:cs="Arial"/>
          <w:sz w:val="20"/>
          <w:szCs w:val="20"/>
        </w:rPr>
        <w:t>d long-term social impairment (C</w:t>
      </w:r>
      <w:r w:rsidRPr="006701D6">
        <w:rPr>
          <w:rFonts w:ascii="Arial" w:hAnsi="Arial" w:cs="Arial"/>
          <w:sz w:val="20"/>
          <w:szCs w:val="20"/>
        </w:rPr>
        <w:t>hika, 2021). Specific occupational exposures are also associated with noise-induced hearing loss, asbestos-related cancers, and lead poisoning</w:t>
      </w:r>
      <w:r>
        <w:rPr>
          <w:rFonts w:ascii="Arial" w:hAnsi="Arial" w:cs="Arial"/>
          <w:sz w:val="20"/>
          <w:szCs w:val="20"/>
        </w:rPr>
        <w:t xml:space="preserve"> (</w:t>
      </w:r>
      <w:r>
        <w:rPr>
          <w:rFonts w:ascii="Arial" w:hAnsi="Arial" w:cs="Arial"/>
          <w:color w:val="222222"/>
          <w:sz w:val="20"/>
          <w:szCs w:val="20"/>
          <w:shd w:val="clear" w:color="auto" w:fill="FFFFFF"/>
        </w:rPr>
        <w:t>B</w:t>
      </w:r>
      <w:r w:rsidRPr="00F37015">
        <w:rPr>
          <w:rFonts w:ascii="Arial" w:hAnsi="Arial" w:cs="Arial"/>
          <w:color w:val="222222"/>
          <w:sz w:val="20"/>
          <w:szCs w:val="20"/>
          <w:shd w:val="clear" w:color="auto" w:fill="FFFFFF"/>
        </w:rPr>
        <w:t>hardwaj et al.,</w:t>
      </w:r>
      <w:r w:rsidR="00F456C0">
        <w:rPr>
          <w:rFonts w:ascii="Arial" w:hAnsi="Arial" w:cs="Arial"/>
          <w:color w:val="222222"/>
          <w:sz w:val="20"/>
          <w:szCs w:val="20"/>
          <w:shd w:val="clear" w:color="auto" w:fill="FFFFFF"/>
        </w:rPr>
        <w:t xml:space="preserve"> </w:t>
      </w:r>
      <w:r w:rsidRPr="00F37015">
        <w:rPr>
          <w:rFonts w:ascii="Arial" w:hAnsi="Arial" w:cs="Arial"/>
          <w:color w:val="222222"/>
          <w:sz w:val="20"/>
          <w:szCs w:val="20"/>
          <w:shd w:val="clear" w:color="auto" w:fill="FFFFFF"/>
        </w:rPr>
        <w:t>2026)</w:t>
      </w:r>
      <w:r w:rsidR="00F456C0">
        <w:rPr>
          <w:rFonts w:ascii="Arial" w:hAnsi="Arial" w:cs="Arial"/>
          <w:color w:val="222222"/>
          <w:sz w:val="20"/>
          <w:szCs w:val="20"/>
          <w:shd w:val="clear" w:color="auto" w:fill="FFFFFF"/>
        </w:rPr>
        <w:t>.</w:t>
      </w:r>
    </w:p>
    <w:p w:rsidR="00E65434" w:rsidRPr="006701D6" w:rsidRDefault="00E65434" w:rsidP="00E65434">
      <w:pPr>
        <w:pStyle w:val="NormalWeb"/>
        <w:jc w:val="both"/>
        <w:rPr>
          <w:rFonts w:ascii="Arial" w:hAnsi="Arial" w:cs="Arial"/>
          <w:sz w:val="20"/>
          <w:szCs w:val="20"/>
        </w:rPr>
      </w:pPr>
      <w:r w:rsidRPr="006701D6">
        <w:rPr>
          <w:rFonts w:ascii="Arial" w:hAnsi="Arial" w:cs="Arial"/>
          <w:sz w:val="20"/>
          <w:szCs w:val="20"/>
        </w:rPr>
        <w:t>Research indicates a strong correlation between unstructured occupational environments and height</w:t>
      </w:r>
      <w:r w:rsidR="00F456C0">
        <w:rPr>
          <w:rFonts w:ascii="Arial" w:hAnsi="Arial" w:cs="Arial"/>
          <w:sz w:val="20"/>
          <w:szCs w:val="20"/>
        </w:rPr>
        <w:t>ened environmental health risks</w:t>
      </w:r>
      <w:r w:rsidRPr="006701D6">
        <w:rPr>
          <w:rFonts w:ascii="Arial" w:hAnsi="Arial" w:cs="Arial"/>
          <w:sz w:val="20"/>
          <w:szCs w:val="20"/>
        </w:rPr>
        <w:t xml:space="preserve"> (Imam et al.,</w:t>
      </w:r>
      <w:r w:rsidR="00D44F84">
        <w:rPr>
          <w:rFonts w:ascii="Arial" w:hAnsi="Arial" w:cs="Arial"/>
          <w:sz w:val="20"/>
          <w:szCs w:val="20"/>
        </w:rPr>
        <w:t xml:space="preserve"> </w:t>
      </w:r>
      <w:r w:rsidRPr="006701D6">
        <w:rPr>
          <w:rFonts w:ascii="Arial" w:hAnsi="Arial" w:cs="Arial"/>
          <w:sz w:val="20"/>
          <w:szCs w:val="20"/>
        </w:rPr>
        <w:t>2025)</w:t>
      </w:r>
      <w:r w:rsidR="00F456C0">
        <w:rPr>
          <w:rFonts w:ascii="Arial" w:hAnsi="Arial" w:cs="Arial"/>
          <w:sz w:val="20"/>
          <w:szCs w:val="20"/>
        </w:rPr>
        <w:t xml:space="preserve">. </w:t>
      </w:r>
      <w:r w:rsidRPr="006701D6">
        <w:rPr>
          <w:rFonts w:ascii="Arial" w:hAnsi="Arial" w:cs="Arial"/>
          <w:sz w:val="20"/>
          <w:szCs w:val="20"/>
        </w:rPr>
        <w:t xml:space="preserve">Prolonged exposure in these settings is significantly associated with an increased incidence of </w:t>
      </w:r>
      <w:r w:rsidRPr="006701D6">
        <w:rPr>
          <w:rFonts w:ascii="Arial" w:hAnsi="Arial" w:cs="Arial"/>
          <w:bCs/>
          <w:sz w:val="20"/>
          <w:szCs w:val="20"/>
        </w:rPr>
        <w:t>respiratory, dermatological, and reproductive health disorders</w:t>
      </w:r>
      <w:r w:rsidR="00F456C0">
        <w:rPr>
          <w:rFonts w:ascii="Arial" w:hAnsi="Arial" w:cs="Arial"/>
          <w:sz w:val="20"/>
          <w:szCs w:val="20"/>
        </w:rPr>
        <w:t xml:space="preserve"> among low-income workers </w:t>
      </w:r>
      <w:r w:rsidRPr="006701D6">
        <w:rPr>
          <w:rFonts w:ascii="Arial" w:hAnsi="Arial" w:cs="Arial"/>
          <w:sz w:val="20"/>
          <w:szCs w:val="20"/>
        </w:rPr>
        <w:t>such as artisans (</w:t>
      </w:r>
      <w:proofErr w:type="spellStart"/>
      <w:r w:rsidRPr="006701D6">
        <w:rPr>
          <w:rFonts w:ascii="Arial" w:hAnsi="Arial" w:cs="Arial"/>
          <w:sz w:val="20"/>
          <w:szCs w:val="20"/>
        </w:rPr>
        <w:t>Eitah</w:t>
      </w:r>
      <w:proofErr w:type="spellEnd"/>
      <w:r w:rsidRPr="006701D6">
        <w:rPr>
          <w:rFonts w:ascii="Arial" w:hAnsi="Arial" w:cs="Arial"/>
          <w:sz w:val="20"/>
          <w:szCs w:val="20"/>
        </w:rPr>
        <w:t xml:space="preserve"> et al., 2023)</w:t>
      </w:r>
      <w:r w:rsidRPr="006701D6">
        <w:rPr>
          <w:rFonts w:ascii="Arial" w:hAnsi="Arial" w:cs="Arial"/>
          <w:color w:val="1F1F1F"/>
          <w:sz w:val="20"/>
          <w:szCs w:val="20"/>
        </w:rPr>
        <w:t>.</w:t>
      </w:r>
    </w:p>
    <w:p w:rsidR="00E65434" w:rsidRDefault="00722E4C" w:rsidP="00E65434">
      <w:pPr>
        <w:pStyle w:val="NormalWeb"/>
        <w:jc w:val="both"/>
        <w:rPr>
          <w:rFonts w:ascii="Arial" w:hAnsi="Arial" w:cs="Arial"/>
          <w:sz w:val="20"/>
          <w:szCs w:val="20"/>
        </w:rPr>
      </w:pPr>
      <w:r>
        <w:rPr>
          <w:rFonts w:ascii="Arial" w:hAnsi="Arial" w:cs="Arial"/>
          <w:sz w:val="20"/>
          <w:szCs w:val="20"/>
        </w:rPr>
        <w:t xml:space="preserve">Furthermore, </w:t>
      </w:r>
      <w:r w:rsidR="00E65434" w:rsidRPr="006701D6">
        <w:rPr>
          <w:rFonts w:ascii="Arial" w:hAnsi="Arial" w:cs="Arial"/>
          <w:sz w:val="20"/>
          <w:szCs w:val="20"/>
        </w:rPr>
        <w:t xml:space="preserve">anthropogenic activities within these sectors </w:t>
      </w:r>
      <w:r w:rsidR="00D44F84">
        <w:rPr>
          <w:rFonts w:ascii="Arial" w:hAnsi="Arial" w:cs="Arial"/>
          <w:sz w:val="20"/>
          <w:szCs w:val="20"/>
        </w:rPr>
        <w:t>send</w:t>
      </w:r>
      <w:r w:rsidR="00E65434" w:rsidRPr="006701D6">
        <w:rPr>
          <w:rFonts w:ascii="Arial" w:hAnsi="Arial" w:cs="Arial"/>
          <w:sz w:val="20"/>
          <w:szCs w:val="20"/>
        </w:rPr>
        <w:t xml:space="preserve"> greenhouse gases into the atmosphere (Priyadarshini et al., 2025). </w:t>
      </w:r>
      <w:r w:rsidR="00E65434" w:rsidRPr="006701D6">
        <w:rPr>
          <w:rFonts w:ascii="Arial" w:hAnsi="Arial" w:cs="Arial"/>
          <w:bCs/>
          <w:sz w:val="20"/>
          <w:szCs w:val="20"/>
        </w:rPr>
        <w:t>Carbon dioxide, water vapor, and methane</w:t>
      </w:r>
      <w:r w:rsidR="00E65434" w:rsidRPr="006701D6">
        <w:rPr>
          <w:rFonts w:ascii="Arial" w:hAnsi="Arial" w:cs="Arial"/>
          <w:sz w:val="20"/>
          <w:szCs w:val="20"/>
        </w:rPr>
        <w:t>—alongside man-made hydrofluorocarbons and chlorofluorocarbons trap solar radiation, directly contributing to global warming and climate change (Kariuki et al., 2023). These findings emphasize the urgent need for robust workplace safety standards and environmental regulations to protect worker health and enhance productivity within the informal sector.</w:t>
      </w:r>
    </w:p>
    <w:p w:rsidR="0005421A" w:rsidRDefault="0005421A" w:rsidP="00E65434">
      <w:pPr>
        <w:pStyle w:val="NormalWeb"/>
        <w:jc w:val="both"/>
        <w:rPr>
          <w:rFonts w:ascii="Arial" w:hAnsi="Arial" w:cs="Arial"/>
          <w:sz w:val="20"/>
          <w:szCs w:val="20"/>
        </w:rPr>
      </w:pPr>
    </w:p>
    <w:p w:rsidR="00C255B0" w:rsidRDefault="00C255B0" w:rsidP="00C255B0">
      <w:pPr>
        <w:spacing w:after="240" w:line="360" w:lineRule="auto"/>
        <w:rPr>
          <w:rFonts w:ascii="Arial" w:hAnsi="Arial" w:cs="Arial"/>
          <w:b/>
          <w:i/>
          <w:sz w:val="22"/>
          <w:szCs w:val="22"/>
        </w:rPr>
      </w:pPr>
      <w:r w:rsidRPr="00C255B0">
        <w:rPr>
          <w:rFonts w:ascii="Arial" w:hAnsi="Arial" w:cs="Arial"/>
          <w:noProof/>
        </w:rPr>
        <w:drawing>
          <wp:inline distT="0" distB="0" distL="0" distR="0">
            <wp:extent cx="4832475" cy="2530698"/>
            <wp:effectExtent l="19050" t="0" r="6225" b="0"/>
            <wp:docPr id="8" name="Picture 1" descr="Map of Fest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Festac.png"/>
                    <pic:cNvPicPr/>
                  </pic:nvPicPr>
                  <pic:blipFill>
                    <a:blip r:embed="rId8"/>
                    <a:stretch>
                      <a:fillRect/>
                    </a:stretch>
                  </pic:blipFill>
                  <pic:spPr>
                    <a:xfrm>
                      <a:off x="0" y="0"/>
                      <a:ext cx="4836335" cy="2532719"/>
                    </a:xfrm>
                    <a:prstGeom prst="rect">
                      <a:avLst/>
                    </a:prstGeom>
                  </pic:spPr>
                </pic:pic>
              </a:graphicData>
            </a:graphic>
          </wp:inline>
        </w:drawing>
      </w:r>
      <w:r w:rsidRPr="00C255B0">
        <w:rPr>
          <w:rFonts w:ascii="Arial" w:hAnsi="Arial" w:cs="Arial"/>
          <w:b/>
          <w:i/>
          <w:sz w:val="22"/>
          <w:szCs w:val="22"/>
        </w:rPr>
        <w:t xml:space="preserve"> </w:t>
      </w:r>
    </w:p>
    <w:p w:rsidR="0084219A" w:rsidRDefault="00C255B0" w:rsidP="0005421A">
      <w:pPr>
        <w:spacing w:after="240" w:line="360" w:lineRule="auto"/>
        <w:rPr>
          <w:rFonts w:ascii="Arial" w:hAnsi="Arial" w:cs="Arial"/>
          <w:i/>
        </w:rPr>
      </w:pPr>
      <w:r w:rsidRPr="003D4AC5">
        <w:rPr>
          <w:rFonts w:ascii="Arial" w:hAnsi="Arial" w:cs="Arial"/>
          <w:b/>
          <w:i/>
          <w:sz w:val="22"/>
          <w:szCs w:val="22"/>
        </w:rPr>
        <w:t>FIGURE 1</w:t>
      </w:r>
      <w:r w:rsidR="0084219A">
        <w:rPr>
          <w:rFonts w:ascii="Arial" w:hAnsi="Arial" w:cs="Arial"/>
          <w:b/>
          <w:i/>
          <w:sz w:val="22"/>
          <w:szCs w:val="22"/>
        </w:rPr>
        <w:t xml:space="preserve">. </w:t>
      </w:r>
      <w:r w:rsidRPr="00C75DDB">
        <w:rPr>
          <w:rFonts w:ascii="Arial" w:hAnsi="Arial" w:cs="Arial"/>
          <w:i/>
        </w:rPr>
        <w:t xml:space="preserve">MAP OF FESTAC TOWN, </w:t>
      </w:r>
    </w:p>
    <w:p w:rsidR="0005421A" w:rsidRPr="00F456C0" w:rsidRDefault="00C255B0" w:rsidP="0005421A">
      <w:pPr>
        <w:spacing w:after="240" w:line="360" w:lineRule="auto"/>
        <w:rPr>
          <w:rFonts w:ascii="Arial" w:hAnsi="Arial" w:cs="Arial"/>
          <w:i/>
        </w:rPr>
      </w:pPr>
      <w:r w:rsidRPr="00C75DDB">
        <w:rPr>
          <w:rFonts w:ascii="Arial" w:hAnsi="Arial" w:cs="Arial"/>
          <w:i/>
        </w:rPr>
        <w:t xml:space="preserve">SOURCE: </w:t>
      </w:r>
      <w:hyperlink r:id="rId9" w:history="1">
        <w:r w:rsidR="0084219A" w:rsidRPr="003A2E74">
          <w:rPr>
            <w:rStyle w:val="Hyperlink"/>
            <w:rFonts w:ascii="Arial" w:hAnsi="Arial" w:cs="Arial"/>
            <w:i/>
          </w:rPr>
          <w:t>HTTPS://WWW.RESEARCHGATE.NET/FIGURE/THE-LAND-USE-ZONES-OF-THE-FESTAC-ACQUISITIONS_FIG2_242707704</w:t>
        </w:r>
      </w:hyperlink>
    </w:p>
    <w:p w:rsidR="00272741" w:rsidRPr="0005421A" w:rsidRDefault="00272741" w:rsidP="0005421A">
      <w:pPr>
        <w:spacing w:after="240" w:line="360" w:lineRule="auto"/>
        <w:rPr>
          <w:rFonts w:ascii="Arial" w:hAnsi="Arial" w:cs="Arial"/>
          <w:b/>
          <w:i/>
          <w:sz w:val="22"/>
          <w:szCs w:val="22"/>
        </w:rPr>
      </w:pPr>
      <w:r>
        <w:rPr>
          <w:rFonts w:ascii="Arial" w:hAnsi="Arial" w:cs="Arial"/>
          <w:b/>
        </w:rPr>
        <w:t>2. METHODOLOGY</w:t>
      </w:r>
    </w:p>
    <w:p w:rsidR="00272741" w:rsidRPr="00272741" w:rsidRDefault="00536BFF" w:rsidP="00272741">
      <w:pPr>
        <w:pStyle w:val="Heading3"/>
        <w:jc w:val="both"/>
        <w:rPr>
          <w:rFonts w:ascii="Arial" w:hAnsi="Arial" w:cs="Arial"/>
          <w:color w:val="auto"/>
        </w:rPr>
      </w:pPr>
      <w:r>
        <w:rPr>
          <w:rFonts w:ascii="Arial" w:hAnsi="Arial" w:cs="Arial"/>
          <w:color w:val="auto"/>
        </w:rPr>
        <w:t xml:space="preserve">2.1 STUDY AREA </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 xml:space="preserve">The study was conducted in </w:t>
      </w:r>
      <w:proofErr w:type="spellStart"/>
      <w:r w:rsidRPr="00272741">
        <w:rPr>
          <w:rFonts w:ascii="Arial" w:hAnsi="Arial" w:cs="Arial"/>
          <w:sz w:val="20"/>
          <w:szCs w:val="20"/>
        </w:rPr>
        <w:t>Festac</w:t>
      </w:r>
      <w:proofErr w:type="spellEnd"/>
      <w:r w:rsidRPr="00272741">
        <w:rPr>
          <w:rFonts w:ascii="Arial" w:hAnsi="Arial" w:cs="Arial"/>
          <w:sz w:val="20"/>
          <w:szCs w:val="20"/>
        </w:rPr>
        <w:t xml:space="preserve"> Town, Lagos State, Nigeria, an urban settlement characterized by a mix of residential, commercial, and informal economic activities. The population consisted of low-income, skilled, and semi-skilled workers including artisans, factory hands, masons and drivers. To ensure a meaningful assessment of long-term occupational exposure and environmental health risks, the inclusion criteria were limited to participants aged 20 years and above.</w:t>
      </w:r>
    </w:p>
    <w:p w:rsidR="00272741" w:rsidRPr="00272741" w:rsidRDefault="00272741" w:rsidP="00272741">
      <w:pPr>
        <w:pStyle w:val="Heading3"/>
        <w:jc w:val="both"/>
        <w:rPr>
          <w:rFonts w:ascii="Arial" w:hAnsi="Arial" w:cs="Arial"/>
          <w:color w:val="auto"/>
        </w:rPr>
      </w:pPr>
      <w:r w:rsidRPr="00272741">
        <w:rPr>
          <w:rFonts w:ascii="Arial" w:hAnsi="Arial" w:cs="Arial"/>
          <w:color w:val="auto"/>
        </w:rPr>
        <w:t>2.2   RESEARCH DESIGN</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This study utilized an ex-post facto, cross-sectional survey design. This approach was selected because the independent variables</w:t>
      </w:r>
      <w:r w:rsidR="00F456C0">
        <w:rPr>
          <w:rFonts w:ascii="Arial" w:hAnsi="Arial" w:cs="Arial"/>
          <w:sz w:val="20"/>
          <w:szCs w:val="20"/>
        </w:rPr>
        <w:t xml:space="preserve"> contribute to a safe working environment, and so, cannot be manipulated to affect the dependent variables, that is, the respondents.</w:t>
      </w:r>
      <w:r w:rsidRPr="00272741">
        <w:rPr>
          <w:rFonts w:ascii="Arial" w:hAnsi="Arial" w:cs="Arial"/>
          <w:sz w:val="20"/>
          <w:szCs w:val="20"/>
        </w:rPr>
        <w:t xml:space="preserve"> </w:t>
      </w:r>
      <w:r w:rsidR="00F456C0">
        <w:rPr>
          <w:rFonts w:ascii="Arial" w:hAnsi="Arial" w:cs="Arial"/>
          <w:sz w:val="20"/>
          <w:szCs w:val="20"/>
        </w:rPr>
        <w:t>W</w:t>
      </w:r>
      <w:r w:rsidRPr="00272741">
        <w:rPr>
          <w:rFonts w:ascii="Arial" w:hAnsi="Arial" w:cs="Arial"/>
          <w:sz w:val="20"/>
          <w:szCs w:val="20"/>
        </w:rPr>
        <w:t>orkplace safety and environmental exposure were pre-existing and not manipulated. The design allowed for the simultaneous collection of exposure and outcome data across a heterogeneous population of informal workers.</w:t>
      </w:r>
    </w:p>
    <w:p w:rsidR="00272741" w:rsidRPr="00272741" w:rsidRDefault="00272741" w:rsidP="00272741">
      <w:pPr>
        <w:pStyle w:val="Heading3"/>
        <w:jc w:val="both"/>
        <w:rPr>
          <w:rFonts w:ascii="Arial" w:hAnsi="Arial" w:cs="Arial"/>
          <w:color w:val="auto"/>
        </w:rPr>
      </w:pPr>
      <w:r w:rsidRPr="00272741">
        <w:rPr>
          <w:rFonts w:ascii="Arial" w:hAnsi="Arial" w:cs="Arial"/>
          <w:color w:val="auto"/>
        </w:rPr>
        <w:t>2.3 SAMP</w:t>
      </w:r>
      <w:r w:rsidR="00CC700B">
        <w:rPr>
          <w:rFonts w:ascii="Arial" w:hAnsi="Arial" w:cs="Arial"/>
          <w:color w:val="auto"/>
        </w:rPr>
        <w:t>LING TECHNIQUE</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A simple random sampling tech</w:t>
      </w:r>
      <w:r w:rsidR="00CC700B">
        <w:rPr>
          <w:rFonts w:ascii="Arial" w:hAnsi="Arial" w:cs="Arial"/>
          <w:sz w:val="20"/>
          <w:szCs w:val="20"/>
        </w:rPr>
        <w:t>nique was employed to select 95</w:t>
      </w:r>
      <w:r w:rsidRPr="00272741">
        <w:rPr>
          <w:rFonts w:ascii="Arial" w:hAnsi="Arial" w:cs="Arial"/>
          <w:sz w:val="20"/>
          <w:szCs w:val="20"/>
        </w:rPr>
        <w:t xml:space="preserve"> participants across six occupational categories. After a multi-stage filtering process for data reliability and in</w:t>
      </w:r>
      <w:r w:rsidR="00CC700B">
        <w:rPr>
          <w:rFonts w:ascii="Arial" w:hAnsi="Arial" w:cs="Arial"/>
          <w:sz w:val="20"/>
          <w:szCs w:val="20"/>
        </w:rPr>
        <w:t>ternal consis</w:t>
      </w:r>
      <w:r w:rsidR="000E7FB1">
        <w:rPr>
          <w:rFonts w:ascii="Arial" w:hAnsi="Arial" w:cs="Arial"/>
          <w:sz w:val="20"/>
          <w:szCs w:val="20"/>
        </w:rPr>
        <w:t xml:space="preserve">tency, </w:t>
      </w:r>
      <w:r w:rsidRPr="00272741">
        <w:rPr>
          <w:rFonts w:ascii="Arial" w:hAnsi="Arial" w:cs="Arial"/>
          <w:sz w:val="20"/>
          <w:szCs w:val="20"/>
        </w:rPr>
        <w:t>responses were retained for final analys</w:t>
      </w:r>
      <w:r w:rsidR="00E779CE">
        <w:rPr>
          <w:rFonts w:ascii="Arial" w:hAnsi="Arial" w:cs="Arial"/>
          <w:sz w:val="20"/>
          <w:szCs w:val="20"/>
        </w:rPr>
        <w:t>is. Participation was voluntary,</w:t>
      </w:r>
      <w:r w:rsidRPr="00272741">
        <w:rPr>
          <w:rFonts w:ascii="Arial" w:hAnsi="Arial" w:cs="Arial"/>
          <w:sz w:val="20"/>
          <w:szCs w:val="20"/>
        </w:rPr>
        <w:t xml:space="preserve"> respondents were briefed on the study’s purpose, and verbal consent was obtained while maintaining strict confidentiality</w:t>
      </w:r>
      <w:r w:rsidR="00E779CE">
        <w:rPr>
          <w:rFonts w:ascii="Arial" w:hAnsi="Arial" w:cs="Arial"/>
          <w:sz w:val="20"/>
          <w:szCs w:val="20"/>
        </w:rPr>
        <w:t xml:space="preserve"> of identity</w:t>
      </w:r>
      <w:r w:rsidRPr="00272741">
        <w:rPr>
          <w:rFonts w:ascii="Arial" w:hAnsi="Arial" w:cs="Arial"/>
          <w:sz w:val="20"/>
          <w:szCs w:val="20"/>
        </w:rPr>
        <w:t>.</w:t>
      </w:r>
    </w:p>
    <w:p w:rsidR="00272741" w:rsidRPr="00272741" w:rsidRDefault="00272741" w:rsidP="00272741">
      <w:pPr>
        <w:pStyle w:val="Heading3"/>
        <w:jc w:val="both"/>
        <w:rPr>
          <w:rFonts w:ascii="Arial" w:hAnsi="Arial" w:cs="Arial"/>
          <w:color w:val="auto"/>
        </w:rPr>
      </w:pPr>
      <w:r w:rsidRPr="00272741">
        <w:rPr>
          <w:rFonts w:ascii="Arial" w:hAnsi="Arial" w:cs="Arial"/>
          <w:color w:val="auto"/>
        </w:rPr>
        <w:lastRenderedPageBreak/>
        <w:t>2.4   DATA COLLECTION</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Primary data were gathered through a combination of structured oral interviews and direct field observations.</w:t>
      </w:r>
    </w:p>
    <w:p w:rsidR="00272741" w:rsidRPr="00272741" w:rsidRDefault="00272741" w:rsidP="00272741">
      <w:pPr>
        <w:pStyle w:val="NormalWeb"/>
        <w:jc w:val="both"/>
        <w:rPr>
          <w:rFonts w:ascii="Arial" w:hAnsi="Arial" w:cs="Arial"/>
          <w:sz w:val="20"/>
          <w:szCs w:val="20"/>
        </w:rPr>
      </w:pPr>
      <w:r w:rsidRPr="00272741">
        <w:rPr>
          <w:rFonts w:ascii="Arial" w:hAnsi="Arial" w:cs="Arial"/>
          <w:bCs/>
          <w:sz w:val="20"/>
          <w:szCs w:val="20"/>
        </w:rPr>
        <w:t>a. Structured Oral Interviews</w:t>
      </w:r>
      <w:r w:rsidRPr="00272741">
        <w:rPr>
          <w:rFonts w:ascii="Arial" w:hAnsi="Arial" w:cs="Arial"/>
          <w:b/>
          <w:bCs/>
          <w:sz w:val="20"/>
          <w:szCs w:val="20"/>
        </w:rPr>
        <w:t>:</w:t>
      </w:r>
      <w:r w:rsidRPr="00272741">
        <w:rPr>
          <w:rFonts w:ascii="Arial" w:hAnsi="Arial" w:cs="Arial"/>
          <w:sz w:val="20"/>
          <w:szCs w:val="20"/>
        </w:rPr>
        <w:t xml:space="preserve"> To overcome literacy barriers, interviews were conducted face-to-face in "Broken English" (Pidgin). The interview guide covered the nature of work, work-home environmental relationships, specific stressors (e.g., odors and waste), and self-reported health conditions.</w:t>
      </w:r>
    </w:p>
    <w:p w:rsidR="00272741" w:rsidRPr="00272741" w:rsidRDefault="00272741" w:rsidP="00272741">
      <w:pPr>
        <w:pStyle w:val="NormalWeb"/>
        <w:jc w:val="both"/>
        <w:rPr>
          <w:rFonts w:ascii="Arial" w:hAnsi="Arial" w:cs="Arial"/>
          <w:sz w:val="20"/>
          <w:szCs w:val="20"/>
        </w:rPr>
      </w:pPr>
      <w:r w:rsidRPr="00272741">
        <w:rPr>
          <w:rFonts w:ascii="Arial" w:hAnsi="Arial" w:cs="Arial"/>
          <w:bCs/>
          <w:sz w:val="20"/>
          <w:szCs w:val="20"/>
        </w:rPr>
        <w:t>b. Direct Observation:</w:t>
      </w:r>
      <w:r w:rsidRPr="00272741">
        <w:rPr>
          <w:rFonts w:ascii="Arial" w:hAnsi="Arial" w:cs="Arial"/>
          <w:sz w:val="20"/>
          <w:szCs w:val="20"/>
        </w:rPr>
        <w:t xml:space="preserve"> Physical inspections of the flora, fauna, and soil at work sites were conducted to document waste disposal methods and visible environmental degradation.</w:t>
      </w:r>
    </w:p>
    <w:p w:rsidR="00272741" w:rsidRPr="00272741" w:rsidRDefault="00272741" w:rsidP="00272741">
      <w:pPr>
        <w:pStyle w:val="Heading3"/>
        <w:jc w:val="both"/>
        <w:rPr>
          <w:rFonts w:ascii="Arial" w:hAnsi="Arial" w:cs="Arial"/>
          <w:color w:val="auto"/>
        </w:rPr>
      </w:pPr>
      <w:r w:rsidRPr="00272741">
        <w:rPr>
          <w:rFonts w:ascii="Arial" w:hAnsi="Arial" w:cs="Arial"/>
          <w:color w:val="auto"/>
        </w:rPr>
        <w:t>2.5 STUDY LIMITATIONS</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Limitations of this research study were</w:t>
      </w:r>
      <w:r w:rsidR="00160E7F">
        <w:rPr>
          <w:rFonts w:ascii="Arial" w:hAnsi="Arial" w:cs="Arial"/>
          <w:sz w:val="20"/>
          <w:szCs w:val="20"/>
        </w:rPr>
        <w:t>:</w:t>
      </w:r>
    </w:p>
    <w:p w:rsidR="00272741" w:rsidRPr="00272741" w:rsidRDefault="00B62240" w:rsidP="00272741">
      <w:pPr>
        <w:pStyle w:val="NormalWeb"/>
        <w:jc w:val="both"/>
        <w:rPr>
          <w:rFonts w:ascii="Arial" w:hAnsi="Arial" w:cs="Arial"/>
          <w:sz w:val="20"/>
          <w:szCs w:val="20"/>
        </w:rPr>
      </w:pPr>
      <w:r>
        <w:rPr>
          <w:rFonts w:ascii="Arial" w:hAnsi="Arial" w:cs="Arial"/>
          <w:bCs/>
          <w:sz w:val="20"/>
          <w:szCs w:val="20"/>
        </w:rPr>
        <w:t xml:space="preserve">a. </w:t>
      </w:r>
      <w:r w:rsidR="00272741" w:rsidRPr="00272741">
        <w:rPr>
          <w:rFonts w:ascii="Arial" w:hAnsi="Arial" w:cs="Arial"/>
          <w:bCs/>
          <w:sz w:val="20"/>
          <w:szCs w:val="20"/>
        </w:rPr>
        <w:t>Diagnostic Constraints</w:t>
      </w:r>
      <w:r w:rsidR="00272741" w:rsidRPr="00272741">
        <w:rPr>
          <w:rFonts w:ascii="Arial" w:hAnsi="Arial" w:cs="Arial"/>
          <w:b/>
          <w:bCs/>
          <w:sz w:val="20"/>
          <w:szCs w:val="20"/>
        </w:rPr>
        <w:t>:</w:t>
      </w:r>
      <w:r w:rsidR="00F456C0">
        <w:rPr>
          <w:rFonts w:ascii="Arial" w:hAnsi="Arial" w:cs="Arial"/>
          <w:sz w:val="20"/>
          <w:szCs w:val="20"/>
        </w:rPr>
        <w:t xml:space="preserve"> Due to a lack of funds, </w:t>
      </w:r>
      <w:r w:rsidR="00160E7F">
        <w:rPr>
          <w:rFonts w:ascii="Arial" w:hAnsi="Arial" w:cs="Arial"/>
          <w:sz w:val="20"/>
          <w:szCs w:val="20"/>
        </w:rPr>
        <w:t xml:space="preserve">high-cost laboratory analyses </w:t>
      </w:r>
      <w:r w:rsidR="00272741" w:rsidRPr="00272741">
        <w:rPr>
          <w:rFonts w:ascii="Arial" w:hAnsi="Arial" w:cs="Arial"/>
          <w:sz w:val="20"/>
          <w:szCs w:val="20"/>
        </w:rPr>
        <w:t>such as heavy</w:t>
      </w:r>
      <w:r w:rsidR="00160E7F">
        <w:rPr>
          <w:rFonts w:ascii="Arial" w:hAnsi="Arial" w:cs="Arial"/>
          <w:sz w:val="20"/>
          <w:szCs w:val="20"/>
        </w:rPr>
        <w:t xml:space="preserve"> metal testing, pH assays, and microbial analysis </w:t>
      </w:r>
      <w:r w:rsidR="00272741" w:rsidRPr="00272741">
        <w:rPr>
          <w:rFonts w:ascii="Arial" w:hAnsi="Arial" w:cs="Arial"/>
          <w:sz w:val="20"/>
          <w:szCs w:val="20"/>
        </w:rPr>
        <w:t>wer</w:t>
      </w:r>
      <w:r w:rsidR="00160E7F">
        <w:rPr>
          <w:rFonts w:ascii="Arial" w:hAnsi="Arial" w:cs="Arial"/>
          <w:sz w:val="20"/>
          <w:szCs w:val="20"/>
        </w:rPr>
        <w:t>e not feasible. The study relied</w:t>
      </w:r>
      <w:r w:rsidR="00272741" w:rsidRPr="00272741">
        <w:rPr>
          <w:rFonts w:ascii="Arial" w:hAnsi="Arial" w:cs="Arial"/>
          <w:sz w:val="20"/>
          <w:szCs w:val="20"/>
        </w:rPr>
        <w:t xml:space="preserve"> on qualitative observations and participant reports.</w:t>
      </w:r>
    </w:p>
    <w:p w:rsidR="00272741" w:rsidRPr="00272741" w:rsidRDefault="00272741" w:rsidP="00272741">
      <w:pPr>
        <w:pStyle w:val="NormalWeb"/>
        <w:jc w:val="both"/>
        <w:rPr>
          <w:rFonts w:ascii="Arial" w:hAnsi="Arial" w:cs="Arial"/>
          <w:sz w:val="20"/>
          <w:szCs w:val="20"/>
        </w:rPr>
      </w:pPr>
      <w:r w:rsidRPr="00272741">
        <w:rPr>
          <w:rFonts w:ascii="Arial" w:hAnsi="Arial" w:cs="Arial"/>
          <w:sz w:val="20"/>
          <w:szCs w:val="20"/>
        </w:rPr>
        <w:t>b. Funding for Transportation</w:t>
      </w:r>
      <w:r w:rsidR="00160E7F">
        <w:rPr>
          <w:rFonts w:ascii="Arial" w:hAnsi="Arial" w:cs="Arial"/>
          <w:sz w:val="20"/>
          <w:szCs w:val="20"/>
        </w:rPr>
        <w:t xml:space="preserve">: Transportation to sites was on personal provision hence the limited numbers. </w:t>
      </w:r>
    </w:p>
    <w:p w:rsidR="00B62240" w:rsidRDefault="00272741" w:rsidP="00B62240">
      <w:pPr>
        <w:pStyle w:val="NormalWeb"/>
        <w:jc w:val="both"/>
        <w:rPr>
          <w:rFonts w:ascii="Arial" w:hAnsi="Arial" w:cs="Arial"/>
          <w:sz w:val="20"/>
          <w:szCs w:val="20"/>
        </w:rPr>
      </w:pPr>
      <w:r w:rsidRPr="00272741">
        <w:rPr>
          <w:rFonts w:ascii="Arial" w:hAnsi="Arial" w:cs="Arial"/>
          <w:bCs/>
          <w:sz w:val="20"/>
          <w:szCs w:val="20"/>
        </w:rPr>
        <w:t>c. Documentation</w:t>
      </w:r>
      <w:r w:rsidRPr="00272741">
        <w:rPr>
          <w:rFonts w:ascii="Arial" w:hAnsi="Arial" w:cs="Arial"/>
          <w:b/>
          <w:bCs/>
          <w:sz w:val="20"/>
          <w:szCs w:val="20"/>
        </w:rPr>
        <w:t>:</w:t>
      </w:r>
      <w:r w:rsidRPr="00272741">
        <w:rPr>
          <w:rFonts w:ascii="Arial" w:hAnsi="Arial" w:cs="Arial"/>
          <w:sz w:val="20"/>
          <w:szCs w:val="20"/>
        </w:rPr>
        <w:t xml:space="preserve"> Data collection was restricted by a general reluctance among artisans to be photographed at their work sites. The study lacked pre-exposure medic</w:t>
      </w:r>
      <w:r w:rsidR="00722E4C">
        <w:rPr>
          <w:rFonts w:ascii="Arial" w:hAnsi="Arial" w:cs="Arial"/>
          <w:sz w:val="20"/>
          <w:szCs w:val="20"/>
        </w:rPr>
        <w:t>al records for the participants, therefore</w:t>
      </w:r>
      <w:r w:rsidRPr="00272741">
        <w:rPr>
          <w:rFonts w:ascii="Arial" w:hAnsi="Arial" w:cs="Arial"/>
          <w:sz w:val="20"/>
          <w:szCs w:val="20"/>
        </w:rPr>
        <w:t xml:space="preserve"> findings are limited to the current prevalence of work-related health issues observed during the study period.</w:t>
      </w:r>
    </w:p>
    <w:p w:rsidR="00501B5C" w:rsidRPr="00B62240" w:rsidRDefault="00015EEF" w:rsidP="00B62240">
      <w:pPr>
        <w:pStyle w:val="NormalWeb"/>
        <w:jc w:val="both"/>
        <w:rPr>
          <w:rFonts w:ascii="Arial" w:hAnsi="Arial" w:cs="Arial"/>
          <w:sz w:val="20"/>
          <w:szCs w:val="20"/>
        </w:rPr>
      </w:pPr>
      <w:r w:rsidRPr="00F84776">
        <w:rPr>
          <w:rFonts w:ascii="Arial" w:hAnsi="Arial" w:cs="Arial"/>
          <w:b/>
        </w:rPr>
        <w:t>3</w:t>
      </w:r>
      <w:r w:rsidR="00980D1E" w:rsidRPr="00F84776">
        <w:rPr>
          <w:rFonts w:ascii="Arial" w:hAnsi="Arial" w:cs="Arial"/>
          <w:b/>
        </w:rPr>
        <w:t xml:space="preserve">. </w:t>
      </w:r>
      <w:r w:rsidRPr="00F84776">
        <w:rPr>
          <w:rFonts w:ascii="Arial" w:hAnsi="Arial" w:cs="Arial"/>
          <w:b/>
        </w:rPr>
        <w:t>RESULTS</w:t>
      </w:r>
    </w:p>
    <w:p w:rsidR="00980D1E" w:rsidRPr="00722E4C" w:rsidRDefault="00980D1E" w:rsidP="00722E4C">
      <w:pPr>
        <w:pStyle w:val="NormalWeb"/>
        <w:jc w:val="both"/>
        <w:rPr>
          <w:rFonts w:ascii="Arial" w:hAnsi="Arial" w:cs="Arial"/>
          <w:sz w:val="20"/>
          <w:szCs w:val="20"/>
        </w:rPr>
      </w:pPr>
      <w:r w:rsidRPr="00722E4C">
        <w:rPr>
          <w:rFonts w:ascii="Arial" w:hAnsi="Arial" w:cs="Arial"/>
          <w:sz w:val="20"/>
          <w:szCs w:val="20"/>
        </w:rPr>
        <w:t xml:space="preserve">Table 1 outlines the distribution of artisans across three distinct urban density zones in </w:t>
      </w:r>
      <w:proofErr w:type="spellStart"/>
      <w:r w:rsidRPr="00722E4C">
        <w:rPr>
          <w:rFonts w:ascii="Arial" w:hAnsi="Arial" w:cs="Arial"/>
          <w:sz w:val="20"/>
          <w:szCs w:val="20"/>
        </w:rPr>
        <w:t>Festac</w:t>
      </w:r>
      <w:proofErr w:type="spellEnd"/>
      <w:r w:rsidRPr="00722E4C">
        <w:rPr>
          <w:rFonts w:ascii="Arial" w:hAnsi="Arial" w:cs="Arial"/>
          <w:sz w:val="20"/>
          <w:szCs w:val="20"/>
        </w:rPr>
        <w:t xml:space="preserve"> Town, categorized by their current construction status. The data reveals a strategic concentration of skill sets based on the lifecycle of the built environment:</w:t>
      </w:r>
    </w:p>
    <w:p w:rsidR="00980D1E" w:rsidRPr="00980D1E" w:rsidRDefault="00980D1E" w:rsidP="00722E4C">
      <w:pPr>
        <w:pStyle w:val="NormalWeb"/>
        <w:jc w:val="both"/>
        <w:rPr>
          <w:rFonts w:ascii="Arial" w:hAnsi="Arial" w:cs="Arial"/>
          <w:sz w:val="20"/>
          <w:szCs w:val="20"/>
        </w:rPr>
      </w:pPr>
      <w:r w:rsidRPr="00980D1E">
        <w:rPr>
          <w:rFonts w:ascii="Arial" w:hAnsi="Arial" w:cs="Arial"/>
          <w:bCs/>
          <w:sz w:val="20"/>
          <w:szCs w:val="20"/>
        </w:rPr>
        <w:t>High-Density Zones (Established Sites):</w:t>
      </w:r>
      <w:r w:rsidRPr="00980D1E">
        <w:rPr>
          <w:rFonts w:ascii="Arial" w:hAnsi="Arial" w:cs="Arial"/>
          <w:sz w:val="20"/>
          <w:szCs w:val="20"/>
        </w:rPr>
        <w:t xml:space="preserve"> These areas show a predominance of </w:t>
      </w:r>
      <w:r w:rsidRPr="00980D1E">
        <w:rPr>
          <w:rFonts w:ascii="Arial" w:hAnsi="Arial" w:cs="Arial"/>
          <w:bCs/>
          <w:sz w:val="20"/>
          <w:szCs w:val="20"/>
        </w:rPr>
        <w:t>mechanics (20)</w:t>
      </w:r>
      <w:r w:rsidRPr="00980D1E">
        <w:rPr>
          <w:rFonts w:ascii="Arial" w:hAnsi="Arial" w:cs="Arial"/>
          <w:sz w:val="20"/>
          <w:szCs w:val="20"/>
        </w:rPr>
        <w:t xml:space="preserve"> and </w:t>
      </w:r>
      <w:r w:rsidRPr="00980D1E">
        <w:rPr>
          <w:rFonts w:ascii="Arial" w:hAnsi="Arial" w:cs="Arial"/>
          <w:bCs/>
          <w:sz w:val="20"/>
          <w:szCs w:val="20"/>
        </w:rPr>
        <w:t>electricians (8)</w:t>
      </w:r>
      <w:r w:rsidRPr="00980D1E">
        <w:rPr>
          <w:rFonts w:ascii="Arial" w:hAnsi="Arial" w:cs="Arial"/>
          <w:sz w:val="20"/>
          <w:szCs w:val="20"/>
        </w:rPr>
        <w:t>. This concentration suggests that established residential zones generate a higher demand for ongoing maintenance and vehicular repair services rather than structural development.</w:t>
      </w:r>
    </w:p>
    <w:p w:rsidR="00980D1E" w:rsidRPr="00980D1E" w:rsidRDefault="00980D1E" w:rsidP="00722E4C">
      <w:pPr>
        <w:pStyle w:val="NormalWeb"/>
        <w:jc w:val="both"/>
        <w:rPr>
          <w:rFonts w:ascii="Arial" w:hAnsi="Arial" w:cs="Arial"/>
          <w:sz w:val="20"/>
          <w:szCs w:val="20"/>
        </w:rPr>
      </w:pPr>
      <w:r w:rsidRPr="00980D1E">
        <w:rPr>
          <w:rFonts w:ascii="Arial" w:hAnsi="Arial" w:cs="Arial"/>
          <w:bCs/>
          <w:sz w:val="20"/>
          <w:szCs w:val="20"/>
        </w:rPr>
        <w:t>Low-Density Zones (Under Construction):</w:t>
      </w:r>
      <w:r w:rsidRPr="00980D1E">
        <w:rPr>
          <w:rFonts w:ascii="Arial" w:hAnsi="Arial" w:cs="Arial"/>
          <w:sz w:val="20"/>
          <w:szCs w:val="20"/>
        </w:rPr>
        <w:t xml:space="preserve"> Conversely, areas under active construction are dominated by </w:t>
      </w:r>
      <w:r w:rsidRPr="00980D1E">
        <w:rPr>
          <w:rFonts w:ascii="Arial" w:hAnsi="Arial" w:cs="Arial"/>
          <w:bCs/>
          <w:sz w:val="20"/>
          <w:szCs w:val="20"/>
        </w:rPr>
        <w:t>plumbers (10)</w:t>
      </w:r>
      <w:r w:rsidRPr="00980D1E">
        <w:rPr>
          <w:rFonts w:ascii="Arial" w:hAnsi="Arial" w:cs="Arial"/>
          <w:sz w:val="20"/>
          <w:szCs w:val="20"/>
        </w:rPr>
        <w:t xml:space="preserve">, </w:t>
      </w:r>
      <w:r w:rsidRPr="00980D1E">
        <w:rPr>
          <w:rFonts w:ascii="Arial" w:hAnsi="Arial" w:cs="Arial"/>
          <w:bCs/>
          <w:sz w:val="20"/>
          <w:szCs w:val="20"/>
        </w:rPr>
        <w:t>painters (10)</w:t>
      </w:r>
      <w:r w:rsidRPr="00980D1E">
        <w:rPr>
          <w:rFonts w:ascii="Arial" w:hAnsi="Arial" w:cs="Arial"/>
          <w:sz w:val="20"/>
          <w:szCs w:val="20"/>
        </w:rPr>
        <w:t xml:space="preserve">, and </w:t>
      </w:r>
      <w:r w:rsidRPr="00980D1E">
        <w:rPr>
          <w:rFonts w:ascii="Arial" w:hAnsi="Arial" w:cs="Arial"/>
          <w:bCs/>
          <w:sz w:val="20"/>
          <w:szCs w:val="20"/>
        </w:rPr>
        <w:t>welders (7)</w:t>
      </w:r>
      <w:r w:rsidRPr="00980D1E">
        <w:rPr>
          <w:rFonts w:ascii="Arial" w:hAnsi="Arial" w:cs="Arial"/>
          <w:sz w:val="20"/>
          <w:szCs w:val="20"/>
        </w:rPr>
        <w:t>. This aligns with the intensive labor requirements of the finishing and structural phases of new building projects.</w:t>
      </w:r>
    </w:p>
    <w:p w:rsidR="00980D1E" w:rsidRPr="00980D1E" w:rsidRDefault="00980D1E" w:rsidP="00722E4C">
      <w:pPr>
        <w:pStyle w:val="NormalWeb"/>
        <w:jc w:val="both"/>
        <w:rPr>
          <w:rFonts w:ascii="Arial" w:hAnsi="Arial" w:cs="Arial"/>
          <w:sz w:val="20"/>
          <w:szCs w:val="20"/>
        </w:rPr>
      </w:pPr>
      <w:r w:rsidRPr="00980D1E">
        <w:rPr>
          <w:rFonts w:ascii="Arial" w:hAnsi="Arial" w:cs="Arial"/>
          <w:bCs/>
          <w:sz w:val="20"/>
          <w:szCs w:val="20"/>
        </w:rPr>
        <w:t>Medium-Density Zones (Under Reconstruction):</w:t>
      </w:r>
      <w:r w:rsidRPr="00980D1E">
        <w:rPr>
          <w:rFonts w:ascii="Arial" w:hAnsi="Arial" w:cs="Arial"/>
          <w:sz w:val="20"/>
          <w:szCs w:val="20"/>
        </w:rPr>
        <w:t xml:space="preserve"> These zones show a more even, albeit lower, distribution across trades. The presence of </w:t>
      </w:r>
      <w:r w:rsidRPr="00980D1E">
        <w:rPr>
          <w:rFonts w:ascii="Arial" w:hAnsi="Arial" w:cs="Arial"/>
          <w:bCs/>
          <w:sz w:val="20"/>
          <w:szCs w:val="20"/>
        </w:rPr>
        <w:t>painters (5)</w:t>
      </w:r>
      <w:r w:rsidRPr="00980D1E">
        <w:rPr>
          <w:rFonts w:ascii="Arial" w:hAnsi="Arial" w:cs="Arial"/>
          <w:sz w:val="20"/>
          <w:szCs w:val="20"/>
        </w:rPr>
        <w:t xml:space="preserve"> and </w:t>
      </w:r>
      <w:r w:rsidRPr="00980D1E">
        <w:rPr>
          <w:rFonts w:ascii="Arial" w:hAnsi="Arial" w:cs="Arial"/>
          <w:bCs/>
          <w:sz w:val="20"/>
          <w:szCs w:val="20"/>
        </w:rPr>
        <w:t>mechanics (5)</w:t>
      </w:r>
      <w:r w:rsidRPr="00980D1E">
        <w:rPr>
          <w:rFonts w:ascii="Arial" w:hAnsi="Arial" w:cs="Arial"/>
          <w:sz w:val="20"/>
          <w:szCs w:val="20"/>
        </w:rPr>
        <w:t xml:space="preserve"> highlights a hybrid demand for both renovation and essential maintenance services.</w:t>
      </w:r>
    </w:p>
    <w:p w:rsidR="00980D1E" w:rsidRDefault="00980D1E" w:rsidP="00722E4C">
      <w:pPr>
        <w:pStyle w:val="NormalWeb"/>
        <w:jc w:val="both"/>
        <w:rPr>
          <w:rFonts w:ascii="Arial" w:hAnsi="Arial" w:cs="Arial"/>
          <w:sz w:val="20"/>
          <w:szCs w:val="20"/>
        </w:rPr>
      </w:pPr>
      <w:r w:rsidRPr="00980D1E">
        <w:rPr>
          <w:rFonts w:ascii="Arial" w:hAnsi="Arial" w:cs="Arial"/>
          <w:sz w:val="20"/>
          <w:szCs w:val="20"/>
        </w:rPr>
        <w:t>Overall, the spatial distribution indicates that artisan activity is highly sensitive to the developmental stage of the urban zone. The high concentration of mechanics in established areas, in particular, points to a potential cluster of lo</w:t>
      </w:r>
      <w:r w:rsidR="00160E7F">
        <w:rPr>
          <w:rFonts w:ascii="Arial" w:hAnsi="Arial" w:cs="Arial"/>
          <w:sz w:val="20"/>
          <w:szCs w:val="20"/>
        </w:rPr>
        <w:t xml:space="preserve">calized environmental stressors </w:t>
      </w:r>
      <w:r w:rsidRPr="00980D1E">
        <w:rPr>
          <w:rFonts w:ascii="Arial" w:hAnsi="Arial" w:cs="Arial"/>
          <w:sz w:val="20"/>
          <w:szCs w:val="20"/>
        </w:rPr>
        <w:t>such a</w:t>
      </w:r>
      <w:r w:rsidR="00160E7F">
        <w:rPr>
          <w:rFonts w:ascii="Arial" w:hAnsi="Arial" w:cs="Arial"/>
          <w:sz w:val="20"/>
          <w:szCs w:val="20"/>
        </w:rPr>
        <w:t xml:space="preserve">s waste oil and chemical runoff </w:t>
      </w:r>
      <w:r w:rsidRPr="00980D1E">
        <w:rPr>
          <w:rFonts w:ascii="Arial" w:hAnsi="Arial" w:cs="Arial"/>
          <w:sz w:val="20"/>
          <w:szCs w:val="20"/>
        </w:rPr>
        <w:t>which warrants further investigation into soil and water quality in high-density sectors.</w:t>
      </w:r>
    </w:p>
    <w:p w:rsidR="0084219A" w:rsidRDefault="0084219A" w:rsidP="00722E4C">
      <w:pPr>
        <w:pStyle w:val="NormalWeb"/>
        <w:jc w:val="both"/>
        <w:rPr>
          <w:rFonts w:ascii="Arial" w:hAnsi="Arial" w:cs="Arial"/>
          <w:sz w:val="20"/>
          <w:szCs w:val="20"/>
        </w:rPr>
      </w:pPr>
    </w:p>
    <w:p w:rsidR="0084219A" w:rsidRPr="00980D1E" w:rsidRDefault="0084219A" w:rsidP="00722E4C">
      <w:pPr>
        <w:pStyle w:val="NormalWeb"/>
        <w:jc w:val="both"/>
        <w:rPr>
          <w:rFonts w:ascii="Arial" w:hAnsi="Arial" w:cs="Arial"/>
          <w:sz w:val="20"/>
          <w:szCs w:val="20"/>
        </w:rPr>
      </w:pPr>
      <w:r w:rsidRPr="0084219A">
        <w:rPr>
          <w:rFonts w:ascii="Arial" w:hAnsi="Arial" w:cs="Arial"/>
          <w:sz w:val="20"/>
          <w:szCs w:val="20"/>
        </w:rPr>
        <w:lastRenderedPageBreak/>
        <w:t>Table 1: Distribution of Construction Workers in Area of Study (</w:t>
      </w:r>
      <w:proofErr w:type="spellStart"/>
      <w:r w:rsidRPr="0084219A">
        <w:rPr>
          <w:rFonts w:ascii="Arial" w:hAnsi="Arial" w:cs="Arial"/>
          <w:sz w:val="20"/>
          <w:szCs w:val="20"/>
        </w:rPr>
        <w:t>Festac</w:t>
      </w:r>
      <w:proofErr w:type="spellEnd"/>
      <w:r w:rsidRPr="0084219A">
        <w:rPr>
          <w:rFonts w:ascii="Arial" w:hAnsi="Arial" w:cs="Arial"/>
          <w:sz w:val="20"/>
          <w:szCs w:val="20"/>
        </w:rPr>
        <w:t xml:space="preserve"> Town)</w:t>
      </w:r>
    </w:p>
    <w:p w:rsidR="006434A1" w:rsidRPr="00980D1E" w:rsidRDefault="006434A1" w:rsidP="005F144F">
      <w:pPr>
        <w:pStyle w:val="NormalWeb"/>
        <w:spacing w:after="240" w:afterAutospacing="0" w:line="360" w:lineRule="auto"/>
        <w:jc w:val="both"/>
        <w:rPr>
          <w:rFonts w:ascii="Arial" w:hAnsi="Arial" w:cs="Arial"/>
          <w:bCs/>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9"/>
        <w:gridCol w:w="2181"/>
        <w:gridCol w:w="2369"/>
        <w:gridCol w:w="2106"/>
      </w:tblGrid>
      <w:tr w:rsidR="00501B5C" w:rsidRPr="00B11422" w:rsidTr="00404458">
        <w:trPr>
          <w:tblHeader/>
          <w:tblCellSpacing w:w="15" w:type="dxa"/>
          <w:jc w:val="center"/>
        </w:trPr>
        <w:tc>
          <w:tcPr>
            <w:tcW w:w="0" w:type="auto"/>
            <w:vAlign w:val="center"/>
            <w:hideMark/>
          </w:tcPr>
          <w:p w:rsidR="00F676D3" w:rsidRDefault="00F676D3" w:rsidP="00A67376">
            <w:pPr>
              <w:spacing w:after="240" w:line="360" w:lineRule="auto"/>
              <w:jc w:val="center"/>
              <w:rPr>
                <w:rFonts w:ascii="Arial" w:hAnsi="Arial" w:cs="Arial"/>
                <w:b/>
                <w:bCs/>
              </w:rPr>
            </w:pPr>
          </w:p>
          <w:p w:rsidR="00501B5C" w:rsidRPr="00B11422" w:rsidRDefault="00A67376" w:rsidP="00A67376">
            <w:pPr>
              <w:spacing w:after="240" w:line="360" w:lineRule="auto"/>
              <w:jc w:val="center"/>
              <w:rPr>
                <w:rFonts w:ascii="Arial" w:hAnsi="Arial" w:cs="Arial"/>
                <w:b/>
                <w:bCs/>
              </w:rPr>
            </w:pPr>
            <w:r>
              <w:rPr>
                <w:rFonts w:ascii="Arial" w:hAnsi="Arial" w:cs="Arial"/>
                <w:b/>
                <w:bCs/>
              </w:rPr>
              <w:t xml:space="preserve">Type </w:t>
            </w:r>
            <w:r w:rsidR="00501B5C" w:rsidRPr="00B11422">
              <w:rPr>
                <w:rFonts w:ascii="Arial" w:hAnsi="Arial" w:cs="Arial"/>
                <w:b/>
                <w:bCs/>
              </w:rPr>
              <w:t>of Respondents</w:t>
            </w:r>
          </w:p>
        </w:tc>
        <w:tc>
          <w:tcPr>
            <w:tcW w:w="0" w:type="auto"/>
            <w:vAlign w:val="center"/>
            <w:hideMark/>
          </w:tcPr>
          <w:p w:rsidR="00F676D3" w:rsidRDefault="00F676D3" w:rsidP="00A67376">
            <w:pPr>
              <w:spacing w:after="240" w:line="360" w:lineRule="auto"/>
              <w:jc w:val="center"/>
              <w:rPr>
                <w:rFonts w:ascii="Arial" w:hAnsi="Arial" w:cs="Arial"/>
                <w:b/>
                <w:bCs/>
              </w:rPr>
            </w:pPr>
          </w:p>
          <w:p w:rsidR="00F676D3" w:rsidRDefault="00501B5C" w:rsidP="00A67376">
            <w:pPr>
              <w:spacing w:after="240" w:line="360" w:lineRule="auto"/>
              <w:jc w:val="center"/>
              <w:rPr>
                <w:rFonts w:ascii="Arial" w:hAnsi="Arial" w:cs="Arial"/>
                <w:b/>
                <w:bCs/>
              </w:rPr>
            </w:pPr>
            <w:r w:rsidRPr="00B11422">
              <w:rPr>
                <w:rFonts w:ascii="Arial" w:hAnsi="Arial" w:cs="Arial"/>
                <w:b/>
                <w:bCs/>
              </w:rPr>
              <w:t xml:space="preserve">High Density </w:t>
            </w:r>
          </w:p>
          <w:p w:rsidR="00501B5C" w:rsidRPr="00B11422" w:rsidRDefault="00501B5C" w:rsidP="00A67376">
            <w:pPr>
              <w:spacing w:after="240" w:line="360" w:lineRule="auto"/>
              <w:jc w:val="center"/>
              <w:rPr>
                <w:rFonts w:ascii="Arial" w:hAnsi="Arial" w:cs="Arial"/>
                <w:b/>
                <w:bCs/>
              </w:rPr>
            </w:pPr>
            <w:r w:rsidRPr="00B11422">
              <w:rPr>
                <w:rFonts w:ascii="Arial" w:hAnsi="Arial" w:cs="Arial"/>
                <w:b/>
                <w:bCs/>
              </w:rPr>
              <w:t>(Already Constructed)</w:t>
            </w:r>
          </w:p>
        </w:tc>
        <w:tc>
          <w:tcPr>
            <w:tcW w:w="0" w:type="auto"/>
            <w:vAlign w:val="center"/>
            <w:hideMark/>
          </w:tcPr>
          <w:p w:rsidR="00F676D3" w:rsidRDefault="00F676D3" w:rsidP="00A67376">
            <w:pPr>
              <w:spacing w:after="240" w:line="360" w:lineRule="auto"/>
              <w:jc w:val="center"/>
              <w:rPr>
                <w:rFonts w:ascii="Arial" w:hAnsi="Arial" w:cs="Arial"/>
                <w:b/>
                <w:bCs/>
              </w:rPr>
            </w:pPr>
          </w:p>
          <w:p w:rsidR="00F676D3" w:rsidRDefault="00501B5C" w:rsidP="00A67376">
            <w:pPr>
              <w:spacing w:after="240" w:line="360" w:lineRule="auto"/>
              <w:jc w:val="center"/>
              <w:rPr>
                <w:rFonts w:ascii="Arial" w:hAnsi="Arial" w:cs="Arial"/>
                <w:b/>
                <w:bCs/>
              </w:rPr>
            </w:pPr>
            <w:r w:rsidRPr="00B11422">
              <w:rPr>
                <w:rFonts w:ascii="Arial" w:hAnsi="Arial" w:cs="Arial"/>
                <w:b/>
                <w:bCs/>
              </w:rPr>
              <w:t>Medium Density</w:t>
            </w:r>
          </w:p>
          <w:p w:rsidR="00501B5C" w:rsidRPr="00B11422" w:rsidRDefault="00501B5C" w:rsidP="00A67376">
            <w:pPr>
              <w:spacing w:after="240" w:line="360" w:lineRule="auto"/>
              <w:jc w:val="center"/>
              <w:rPr>
                <w:rFonts w:ascii="Arial" w:hAnsi="Arial" w:cs="Arial"/>
                <w:b/>
                <w:bCs/>
              </w:rPr>
            </w:pPr>
            <w:r w:rsidRPr="00B11422">
              <w:rPr>
                <w:rFonts w:ascii="Arial" w:hAnsi="Arial" w:cs="Arial"/>
                <w:b/>
                <w:bCs/>
              </w:rPr>
              <w:t xml:space="preserve"> (Under Reconstruction)</w:t>
            </w:r>
          </w:p>
        </w:tc>
        <w:tc>
          <w:tcPr>
            <w:tcW w:w="0" w:type="auto"/>
            <w:vAlign w:val="center"/>
            <w:hideMark/>
          </w:tcPr>
          <w:p w:rsidR="00F676D3" w:rsidRDefault="00F676D3" w:rsidP="00A67376">
            <w:pPr>
              <w:spacing w:after="240" w:line="360" w:lineRule="auto"/>
              <w:jc w:val="center"/>
              <w:rPr>
                <w:rFonts w:ascii="Arial" w:hAnsi="Arial" w:cs="Arial"/>
                <w:b/>
                <w:bCs/>
              </w:rPr>
            </w:pPr>
          </w:p>
          <w:p w:rsidR="00F676D3" w:rsidRDefault="00501B5C" w:rsidP="00A67376">
            <w:pPr>
              <w:spacing w:after="240" w:line="360" w:lineRule="auto"/>
              <w:jc w:val="center"/>
              <w:rPr>
                <w:rFonts w:ascii="Arial" w:hAnsi="Arial" w:cs="Arial"/>
                <w:b/>
                <w:bCs/>
              </w:rPr>
            </w:pPr>
            <w:r w:rsidRPr="00B11422">
              <w:rPr>
                <w:rFonts w:ascii="Arial" w:hAnsi="Arial" w:cs="Arial"/>
                <w:b/>
                <w:bCs/>
              </w:rPr>
              <w:t xml:space="preserve">Low Density </w:t>
            </w:r>
          </w:p>
          <w:p w:rsidR="00501B5C" w:rsidRPr="00B11422" w:rsidRDefault="00501B5C" w:rsidP="00A67376">
            <w:pPr>
              <w:spacing w:after="240" w:line="360" w:lineRule="auto"/>
              <w:jc w:val="center"/>
              <w:rPr>
                <w:rFonts w:ascii="Arial" w:hAnsi="Arial" w:cs="Arial"/>
                <w:b/>
                <w:bCs/>
              </w:rPr>
            </w:pPr>
            <w:r w:rsidRPr="00B11422">
              <w:rPr>
                <w:rFonts w:ascii="Arial" w:hAnsi="Arial" w:cs="Arial"/>
                <w:b/>
                <w:bCs/>
              </w:rPr>
              <w:t>(Under Construction)</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Mechanics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20</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5</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Carpenters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3</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1</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6</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Plumbers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5</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3</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10</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Welders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6</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2</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7</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Electricians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8</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2</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w:t>
            </w:r>
          </w:p>
        </w:tc>
      </w:tr>
      <w:tr w:rsidR="00501B5C" w:rsidRPr="00B11422" w:rsidTr="00404458">
        <w:trPr>
          <w:tblCellSpacing w:w="15" w:type="dxa"/>
          <w:jc w:val="center"/>
        </w:trPr>
        <w:tc>
          <w:tcPr>
            <w:tcW w:w="0" w:type="auto"/>
            <w:vAlign w:val="center"/>
            <w:hideMark/>
          </w:tcPr>
          <w:p w:rsidR="00501B5C" w:rsidRPr="00B11422" w:rsidRDefault="00501B5C" w:rsidP="000A300D">
            <w:pPr>
              <w:spacing w:after="240" w:line="360" w:lineRule="auto"/>
              <w:jc w:val="both"/>
              <w:rPr>
                <w:rFonts w:ascii="Arial" w:hAnsi="Arial" w:cs="Arial"/>
              </w:rPr>
            </w:pPr>
            <w:r w:rsidRPr="00B11422">
              <w:rPr>
                <w:rFonts w:ascii="Arial" w:hAnsi="Arial" w:cs="Arial"/>
              </w:rPr>
              <w:t>Painters</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2</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5</w:t>
            </w:r>
          </w:p>
        </w:tc>
        <w:tc>
          <w:tcPr>
            <w:tcW w:w="0" w:type="auto"/>
            <w:vAlign w:val="center"/>
            <w:hideMark/>
          </w:tcPr>
          <w:p w:rsidR="00501B5C" w:rsidRPr="00B11422" w:rsidRDefault="00501B5C" w:rsidP="000A300D">
            <w:pPr>
              <w:spacing w:after="240" w:line="360" w:lineRule="auto"/>
              <w:jc w:val="center"/>
              <w:rPr>
                <w:rFonts w:ascii="Arial" w:hAnsi="Arial" w:cs="Arial"/>
              </w:rPr>
            </w:pPr>
            <w:r w:rsidRPr="00B11422">
              <w:rPr>
                <w:rFonts w:ascii="Arial" w:hAnsi="Arial" w:cs="Arial"/>
              </w:rPr>
              <w:t>10</w:t>
            </w:r>
          </w:p>
        </w:tc>
      </w:tr>
    </w:tbl>
    <w:p w:rsidR="00673D9B" w:rsidRDefault="00FD43D8" w:rsidP="005F144F">
      <w:pPr>
        <w:spacing w:after="240" w:line="360" w:lineRule="auto"/>
        <w:jc w:val="both"/>
        <w:rPr>
          <w:rFonts w:ascii="Arial" w:hAnsi="Arial" w:cs="Arial"/>
          <w:i/>
        </w:rPr>
      </w:pPr>
      <w:r>
        <w:rPr>
          <w:rFonts w:ascii="Arial" w:hAnsi="Arial" w:cs="Arial"/>
        </w:rPr>
        <w:t>*</w:t>
      </w:r>
      <w:r w:rsidRPr="00FD43D8">
        <w:rPr>
          <w:rFonts w:ascii="Arial" w:hAnsi="Arial" w:cs="Arial"/>
          <w:i/>
        </w:rPr>
        <w:t>Artisans in high,</w:t>
      </w:r>
      <w:r>
        <w:rPr>
          <w:rFonts w:ascii="Arial" w:hAnsi="Arial" w:cs="Arial"/>
          <w:i/>
        </w:rPr>
        <w:t xml:space="preserve"> </w:t>
      </w:r>
      <w:r w:rsidRPr="00FD43D8">
        <w:rPr>
          <w:rFonts w:ascii="Arial" w:hAnsi="Arial" w:cs="Arial"/>
          <w:i/>
        </w:rPr>
        <w:t xml:space="preserve">medium and </w:t>
      </w:r>
      <w:proofErr w:type="gramStart"/>
      <w:r w:rsidRPr="00FD43D8">
        <w:rPr>
          <w:rFonts w:ascii="Arial" w:hAnsi="Arial" w:cs="Arial"/>
          <w:i/>
        </w:rPr>
        <w:t>low density</w:t>
      </w:r>
      <w:proofErr w:type="gramEnd"/>
      <w:r w:rsidRPr="00FD43D8">
        <w:rPr>
          <w:rFonts w:ascii="Arial" w:hAnsi="Arial" w:cs="Arial"/>
          <w:i/>
        </w:rPr>
        <w:t xml:space="preserve"> are</w:t>
      </w:r>
      <w:r>
        <w:rPr>
          <w:rFonts w:ascii="Arial" w:hAnsi="Arial" w:cs="Arial"/>
          <w:i/>
        </w:rPr>
        <w:t>a</w:t>
      </w:r>
      <w:r w:rsidRPr="00FD43D8">
        <w:rPr>
          <w:rFonts w:ascii="Arial" w:hAnsi="Arial" w:cs="Arial"/>
          <w:i/>
        </w:rPr>
        <w:t>s</w:t>
      </w:r>
    </w:p>
    <w:p w:rsidR="007102F8" w:rsidRPr="006434A1" w:rsidRDefault="007102F8" w:rsidP="006434A1">
      <w:pPr>
        <w:pStyle w:val="NormalWeb"/>
        <w:jc w:val="both"/>
        <w:rPr>
          <w:rFonts w:ascii="Arial" w:hAnsi="Arial" w:cs="Arial"/>
          <w:b/>
          <w:bCs/>
          <w:sz w:val="22"/>
          <w:szCs w:val="22"/>
        </w:rPr>
      </w:pPr>
    </w:p>
    <w:p w:rsidR="006434A1" w:rsidRDefault="007102F8" w:rsidP="006434A1">
      <w:pPr>
        <w:pStyle w:val="NormalWeb"/>
        <w:rPr>
          <w:rFonts w:ascii="Arial" w:hAnsi="Arial" w:cs="Arial"/>
          <w:sz w:val="20"/>
          <w:szCs w:val="20"/>
        </w:rPr>
      </w:pPr>
      <w:r w:rsidRPr="006434A1">
        <w:rPr>
          <w:rFonts w:ascii="Arial" w:hAnsi="Arial" w:cs="Arial"/>
          <w:sz w:val="20"/>
          <w:szCs w:val="20"/>
        </w:rPr>
        <w:t>.</w:t>
      </w:r>
    </w:p>
    <w:p w:rsidR="00047EC4" w:rsidRDefault="00047EC4" w:rsidP="006434A1">
      <w:pPr>
        <w:pStyle w:val="NormalWeb"/>
        <w:rPr>
          <w:rFonts w:ascii="Arial" w:hAnsi="Arial" w:cs="Arial"/>
          <w:sz w:val="20"/>
          <w:szCs w:val="20"/>
        </w:rPr>
      </w:pPr>
    </w:p>
    <w:p w:rsidR="00047EC4" w:rsidRDefault="00047EC4" w:rsidP="006434A1">
      <w:pPr>
        <w:pStyle w:val="NormalWeb"/>
        <w:rPr>
          <w:rFonts w:ascii="Arial" w:hAnsi="Arial" w:cs="Arial"/>
          <w:sz w:val="20"/>
          <w:szCs w:val="20"/>
        </w:rPr>
      </w:pPr>
    </w:p>
    <w:p w:rsidR="00047EC4" w:rsidRDefault="00047EC4" w:rsidP="006434A1">
      <w:pPr>
        <w:pStyle w:val="NormalWeb"/>
        <w:rPr>
          <w:rFonts w:ascii="Arial" w:hAnsi="Arial" w:cs="Arial"/>
          <w:sz w:val="20"/>
          <w:szCs w:val="20"/>
        </w:rPr>
      </w:pPr>
    </w:p>
    <w:p w:rsidR="00047EC4" w:rsidRDefault="00047EC4" w:rsidP="006434A1">
      <w:pPr>
        <w:pStyle w:val="NormalWeb"/>
        <w:rPr>
          <w:rFonts w:ascii="Arial" w:hAnsi="Arial" w:cs="Arial"/>
          <w:sz w:val="20"/>
          <w:szCs w:val="20"/>
        </w:rPr>
      </w:pPr>
    </w:p>
    <w:p w:rsidR="00722E4C" w:rsidRPr="00047EC4" w:rsidRDefault="00ED04BB" w:rsidP="00047EC4">
      <w:pPr>
        <w:pStyle w:val="NormalWeb"/>
        <w:rPr>
          <w:rFonts w:ascii="Arial" w:hAnsi="Arial" w:cs="Arial"/>
          <w:sz w:val="20"/>
          <w:szCs w:val="20"/>
        </w:rPr>
      </w:pPr>
      <w:r w:rsidRPr="00ED04BB">
        <w:rPr>
          <w:rFonts w:ascii="Arial" w:hAnsi="Arial" w:cs="Arial"/>
          <w:noProof/>
          <w:sz w:val="20"/>
          <w:szCs w:val="20"/>
        </w:rPr>
        <w:lastRenderedPageBreak/>
        <w:drawing>
          <wp:inline distT="0" distB="0" distL="0" distR="0">
            <wp:extent cx="5871111" cy="2446317"/>
            <wp:effectExtent l="19050" t="0" r="1533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24E9" w:rsidRPr="006434A1" w:rsidRDefault="003C24E9" w:rsidP="003C24E9">
      <w:pPr>
        <w:pStyle w:val="NormalWeb"/>
        <w:jc w:val="both"/>
        <w:rPr>
          <w:rFonts w:ascii="Arial" w:hAnsi="Arial" w:cs="Arial"/>
          <w:b/>
          <w:bCs/>
          <w:sz w:val="22"/>
          <w:szCs w:val="22"/>
        </w:rPr>
      </w:pPr>
      <w:r w:rsidRPr="006434A1">
        <w:rPr>
          <w:rFonts w:ascii="Arial" w:hAnsi="Arial" w:cs="Arial"/>
          <w:b/>
          <w:bCs/>
          <w:sz w:val="22"/>
          <w:szCs w:val="22"/>
        </w:rPr>
        <w:t>Figure 2: Distribution of Environmental Effects Resulting from Occupational Activities</w:t>
      </w:r>
    </w:p>
    <w:p w:rsidR="00FD43D8" w:rsidRDefault="00D715E6" w:rsidP="003C24E9">
      <w:pPr>
        <w:pStyle w:val="NormalWeb"/>
        <w:rPr>
          <w:rFonts w:ascii="Arial" w:hAnsi="Arial" w:cs="Arial"/>
          <w:sz w:val="20"/>
          <w:szCs w:val="20"/>
        </w:rPr>
      </w:pPr>
      <w:r w:rsidRPr="006434A1">
        <w:rPr>
          <w:rFonts w:ascii="Arial" w:hAnsi="Arial" w:cs="Arial"/>
          <w:bCs/>
          <w:sz w:val="20"/>
          <w:szCs w:val="20"/>
        </w:rPr>
        <w:t>Figure 2</w:t>
      </w:r>
      <w:r w:rsidRPr="006434A1">
        <w:rPr>
          <w:rFonts w:ascii="Arial" w:hAnsi="Arial" w:cs="Arial"/>
          <w:sz w:val="20"/>
          <w:szCs w:val="20"/>
        </w:rPr>
        <w:t xml:space="preserve"> illustrates the diverse environmental consequences of industrial and artisanal work. </w:t>
      </w:r>
    </w:p>
    <w:p w:rsidR="00047EC4" w:rsidRDefault="00D715E6" w:rsidP="00463D69">
      <w:pPr>
        <w:pStyle w:val="NormalWeb"/>
        <w:jc w:val="both"/>
        <w:rPr>
          <w:rFonts w:ascii="Arial" w:hAnsi="Arial" w:cs="Arial"/>
          <w:sz w:val="20"/>
          <w:szCs w:val="20"/>
        </w:rPr>
      </w:pPr>
      <w:r w:rsidRPr="006434A1">
        <w:rPr>
          <w:rFonts w:ascii="Arial" w:hAnsi="Arial" w:cs="Arial"/>
          <w:bCs/>
          <w:sz w:val="20"/>
          <w:szCs w:val="20"/>
        </w:rPr>
        <w:t>(26%)</w:t>
      </w:r>
      <w:r w:rsidR="00FD43D8">
        <w:rPr>
          <w:rFonts w:ascii="Arial" w:hAnsi="Arial" w:cs="Arial"/>
          <w:bCs/>
          <w:sz w:val="20"/>
          <w:szCs w:val="20"/>
        </w:rPr>
        <w:t xml:space="preserve"> </w:t>
      </w:r>
      <w:r w:rsidR="00FD43D8" w:rsidRPr="006434A1">
        <w:rPr>
          <w:rFonts w:ascii="Arial" w:hAnsi="Arial" w:cs="Arial"/>
          <w:sz w:val="20"/>
          <w:szCs w:val="20"/>
        </w:rPr>
        <w:t xml:space="preserve">Chemical emissions represent the most significant environmental burden, with </w:t>
      </w:r>
      <w:r w:rsidR="00FD43D8" w:rsidRPr="006434A1">
        <w:rPr>
          <w:rFonts w:ascii="Arial" w:hAnsi="Arial" w:cs="Arial"/>
          <w:bCs/>
          <w:sz w:val="20"/>
          <w:szCs w:val="20"/>
        </w:rPr>
        <w:t>petroleum products and fumes</w:t>
      </w:r>
      <w:r w:rsidR="00FD43D8">
        <w:rPr>
          <w:rFonts w:ascii="Arial" w:hAnsi="Arial" w:cs="Arial"/>
          <w:sz w:val="20"/>
          <w:szCs w:val="20"/>
        </w:rPr>
        <w:t xml:space="preserve"> </w:t>
      </w:r>
      <w:r w:rsidRPr="006434A1">
        <w:rPr>
          <w:rFonts w:ascii="Arial" w:hAnsi="Arial" w:cs="Arial"/>
          <w:sz w:val="20"/>
          <w:szCs w:val="20"/>
        </w:rPr>
        <w:t>including f</w:t>
      </w:r>
      <w:r w:rsidR="00FD43D8">
        <w:rPr>
          <w:rFonts w:ascii="Arial" w:hAnsi="Arial" w:cs="Arial"/>
          <w:sz w:val="20"/>
          <w:szCs w:val="20"/>
        </w:rPr>
        <w:t xml:space="preserve">uel (PMS) and spent engine oils </w:t>
      </w:r>
      <w:r w:rsidRPr="006434A1">
        <w:rPr>
          <w:rFonts w:ascii="Arial" w:hAnsi="Arial" w:cs="Arial"/>
          <w:sz w:val="20"/>
          <w:szCs w:val="20"/>
        </w:rPr>
        <w:t>constituting</w:t>
      </w:r>
      <w:r w:rsidR="00FD43D8">
        <w:rPr>
          <w:rFonts w:ascii="Arial" w:hAnsi="Arial" w:cs="Arial"/>
          <w:sz w:val="20"/>
          <w:szCs w:val="20"/>
        </w:rPr>
        <w:t xml:space="preserve"> the largest   distribution</w:t>
      </w:r>
    </w:p>
    <w:p w:rsidR="00D715E6" w:rsidRPr="006434A1" w:rsidRDefault="00D715E6" w:rsidP="00463D69">
      <w:pPr>
        <w:pStyle w:val="NormalWeb"/>
        <w:jc w:val="both"/>
        <w:rPr>
          <w:rFonts w:ascii="Arial" w:hAnsi="Arial" w:cs="Arial"/>
          <w:sz w:val="20"/>
          <w:szCs w:val="20"/>
        </w:rPr>
      </w:pPr>
      <w:r w:rsidRPr="006434A1">
        <w:rPr>
          <w:rFonts w:ascii="Arial" w:hAnsi="Arial" w:cs="Arial"/>
          <w:bCs/>
          <w:sz w:val="20"/>
          <w:szCs w:val="20"/>
        </w:rPr>
        <w:t>(23%)</w:t>
      </w:r>
      <w:r w:rsidR="00154160">
        <w:rPr>
          <w:rFonts w:ascii="Arial" w:hAnsi="Arial" w:cs="Arial"/>
          <w:bCs/>
          <w:sz w:val="20"/>
          <w:szCs w:val="20"/>
        </w:rPr>
        <w:t xml:space="preserve"> Obnoxious gases and odors </w:t>
      </w:r>
      <w:r w:rsidRPr="006434A1">
        <w:rPr>
          <w:rFonts w:ascii="Arial" w:hAnsi="Arial" w:cs="Arial"/>
          <w:sz w:val="20"/>
          <w:szCs w:val="20"/>
        </w:rPr>
        <w:t>from</w:t>
      </w:r>
      <w:r w:rsidR="00FD43D8">
        <w:rPr>
          <w:rFonts w:ascii="Arial" w:hAnsi="Arial" w:cs="Arial"/>
          <w:sz w:val="20"/>
          <w:szCs w:val="20"/>
        </w:rPr>
        <w:t xml:space="preserve"> </w:t>
      </w:r>
      <w:r w:rsidR="00722E4C">
        <w:rPr>
          <w:rFonts w:ascii="Arial" w:hAnsi="Arial" w:cs="Arial"/>
          <w:sz w:val="20"/>
          <w:szCs w:val="20"/>
        </w:rPr>
        <w:t xml:space="preserve">sources, </w:t>
      </w:r>
      <w:r w:rsidRPr="006434A1">
        <w:rPr>
          <w:rFonts w:ascii="Arial" w:hAnsi="Arial" w:cs="Arial"/>
          <w:sz w:val="20"/>
          <w:szCs w:val="20"/>
        </w:rPr>
        <w:t>such as industrial sprays and hydraulic fluids.</w:t>
      </w:r>
    </w:p>
    <w:p w:rsidR="00FD43D8" w:rsidRDefault="00FD43D8" w:rsidP="00463D69">
      <w:pPr>
        <w:pStyle w:val="NormalWeb"/>
        <w:jc w:val="both"/>
        <w:rPr>
          <w:rFonts w:ascii="Arial" w:hAnsi="Arial" w:cs="Arial"/>
          <w:sz w:val="20"/>
          <w:szCs w:val="20"/>
        </w:rPr>
      </w:pPr>
      <w:r>
        <w:rPr>
          <w:rFonts w:ascii="Arial" w:hAnsi="Arial" w:cs="Arial"/>
          <w:bCs/>
          <w:sz w:val="20"/>
          <w:szCs w:val="20"/>
        </w:rPr>
        <w:t xml:space="preserve">(18%) </w:t>
      </w:r>
      <w:r w:rsidR="00D715E6" w:rsidRPr="006434A1">
        <w:rPr>
          <w:rFonts w:ascii="Arial" w:hAnsi="Arial" w:cs="Arial"/>
          <w:bCs/>
          <w:sz w:val="20"/>
          <w:szCs w:val="20"/>
        </w:rPr>
        <w:t>Particulates (18%)</w:t>
      </w:r>
      <w:r w:rsidR="00D715E6">
        <w:rPr>
          <w:rFonts w:ascii="Arial" w:hAnsi="Arial" w:cs="Arial"/>
          <w:bCs/>
          <w:sz w:val="20"/>
          <w:szCs w:val="20"/>
        </w:rPr>
        <w:t xml:space="preserve"> </w:t>
      </w:r>
      <w:r>
        <w:rPr>
          <w:rFonts w:ascii="Arial" w:hAnsi="Arial" w:cs="Arial"/>
          <w:sz w:val="20"/>
          <w:szCs w:val="20"/>
        </w:rPr>
        <w:t xml:space="preserve"> </w:t>
      </w:r>
    </w:p>
    <w:p w:rsidR="00047EC4" w:rsidRDefault="00FD43D8" w:rsidP="00463D69">
      <w:pPr>
        <w:pStyle w:val="NormalWeb"/>
        <w:jc w:val="both"/>
        <w:rPr>
          <w:rFonts w:ascii="Arial" w:hAnsi="Arial" w:cs="Arial"/>
          <w:sz w:val="20"/>
          <w:szCs w:val="20"/>
        </w:rPr>
      </w:pPr>
      <w:r>
        <w:rPr>
          <w:rFonts w:ascii="Arial" w:hAnsi="Arial" w:cs="Arial"/>
          <w:sz w:val="20"/>
          <w:szCs w:val="20"/>
        </w:rPr>
        <w:t xml:space="preserve">(14%) </w:t>
      </w:r>
      <w:r w:rsidR="00722E4C">
        <w:rPr>
          <w:rFonts w:ascii="Arial" w:hAnsi="Arial" w:cs="Arial"/>
          <w:bCs/>
          <w:sz w:val="20"/>
          <w:szCs w:val="20"/>
        </w:rPr>
        <w:t>Ozone-depleting substances</w:t>
      </w:r>
      <w:r w:rsidR="00154160">
        <w:rPr>
          <w:rFonts w:ascii="Arial" w:hAnsi="Arial" w:cs="Arial"/>
          <w:bCs/>
          <w:sz w:val="20"/>
          <w:szCs w:val="20"/>
        </w:rPr>
        <w:t xml:space="preserve"> </w:t>
      </w:r>
      <w:r w:rsidR="00D715E6" w:rsidRPr="006434A1">
        <w:rPr>
          <w:rFonts w:ascii="Arial" w:hAnsi="Arial" w:cs="Arial"/>
          <w:sz w:val="20"/>
          <w:szCs w:val="20"/>
        </w:rPr>
        <w:t>highlighting the respiratory and atmospheric risks of these activities.</w:t>
      </w:r>
    </w:p>
    <w:p w:rsidR="00FD43D8" w:rsidRPr="00047EC4" w:rsidRDefault="00FD43D8" w:rsidP="00463D69">
      <w:pPr>
        <w:pStyle w:val="NormalWeb"/>
        <w:jc w:val="both"/>
        <w:rPr>
          <w:rFonts w:ascii="Arial" w:hAnsi="Arial" w:cs="Arial"/>
          <w:sz w:val="20"/>
          <w:szCs w:val="20"/>
        </w:rPr>
      </w:pPr>
      <w:r>
        <w:rPr>
          <w:rFonts w:ascii="Arial" w:hAnsi="Arial" w:cs="Arial"/>
          <w:sz w:val="20"/>
          <w:szCs w:val="20"/>
        </w:rPr>
        <w:t xml:space="preserve">(12%) </w:t>
      </w:r>
      <w:r w:rsidR="00D715E6" w:rsidRPr="006434A1">
        <w:rPr>
          <w:rFonts w:ascii="Arial" w:hAnsi="Arial" w:cs="Arial"/>
          <w:bCs/>
          <w:sz w:val="20"/>
          <w:szCs w:val="20"/>
        </w:rPr>
        <w:t>Thermal and Radiation Hazards</w:t>
      </w:r>
    </w:p>
    <w:p w:rsidR="0036361C" w:rsidRDefault="00463D69" w:rsidP="00463D69">
      <w:pPr>
        <w:pStyle w:val="NormalWeb"/>
        <w:jc w:val="both"/>
        <w:rPr>
          <w:rFonts w:ascii="Arial" w:hAnsi="Arial" w:cs="Arial"/>
          <w:sz w:val="20"/>
          <w:szCs w:val="20"/>
        </w:rPr>
      </w:pPr>
      <w:r>
        <w:rPr>
          <w:rFonts w:ascii="Arial" w:hAnsi="Arial" w:cs="Arial"/>
          <w:sz w:val="20"/>
          <w:szCs w:val="20"/>
        </w:rPr>
        <w:t>(12%)</w:t>
      </w:r>
      <w:r w:rsidR="00D715E6" w:rsidRPr="006434A1">
        <w:rPr>
          <w:rFonts w:ascii="Arial" w:hAnsi="Arial" w:cs="Arial"/>
          <w:sz w:val="20"/>
          <w:szCs w:val="20"/>
        </w:rPr>
        <w:t xml:space="preserve"> </w:t>
      </w:r>
      <w:r w:rsidR="00FD43D8" w:rsidRPr="006434A1">
        <w:rPr>
          <w:rFonts w:ascii="Arial" w:hAnsi="Arial" w:cs="Arial"/>
          <w:sz w:val="20"/>
          <w:szCs w:val="20"/>
        </w:rPr>
        <w:t>H</w:t>
      </w:r>
      <w:r w:rsidR="00D715E6" w:rsidRPr="006434A1">
        <w:rPr>
          <w:rFonts w:ascii="Arial" w:hAnsi="Arial" w:cs="Arial"/>
          <w:sz w:val="20"/>
          <w:szCs w:val="20"/>
        </w:rPr>
        <w:t>eat</w:t>
      </w:r>
      <w:r>
        <w:rPr>
          <w:rFonts w:ascii="Arial" w:hAnsi="Arial" w:cs="Arial"/>
          <w:sz w:val="20"/>
          <w:szCs w:val="20"/>
        </w:rPr>
        <w:t xml:space="preserve"> </w:t>
      </w:r>
      <w:r w:rsidR="00FD43D8">
        <w:rPr>
          <w:rFonts w:ascii="Arial" w:hAnsi="Arial" w:cs="Arial"/>
          <w:sz w:val="20"/>
          <w:szCs w:val="20"/>
        </w:rPr>
        <w:t>waves</w:t>
      </w:r>
      <w:r>
        <w:rPr>
          <w:rFonts w:ascii="Arial" w:hAnsi="Arial" w:cs="Arial"/>
          <w:sz w:val="20"/>
          <w:szCs w:val="20"/>
        </w:rPr>
        <w:t xml:space="preserve">  </w:t>
      </w:r>
    </w:p>
    <w:p w:rsidR="00463D69" w:rsidRPr="00663AFA" w:rsidRDefault="00722E4C" w:rsidP="00663AFA">
      <w:pPr>
        <w:pStyle w:val="NormalWeb"/>
        <w:jc w:val="both"/>
        <w:rPr>
          <w:rFonts w:ascii="Arial" w:hAnsi="Arial" w:cs="Arial"/>
          <w:sz w:val="20"/>
          <w:szCs w:val="20"/>
        </w:rPr>
      </w:pPr>
      <w:r>
        <w:rPr>
          <w:rFonts w:ascii="Arial" w:hAnsi="Arial" w:cs="Arial"/>
          <w:sz w:val="20"/>
          <w:szCs w:val="20"/>
        </w:rPr>
        <w:t xml:space="preserve">(7%) Ultraviolet rays </w:t>
      </w:r>
      <w:r w:rsidR="00D715E6" w:rsidRPr="006434A1">
        <w:rPr>
          <w:rFonts w:ascii="Arial" w:hAnsi="Arial" w:cs="Arial"/>
          <w:sz w:val="20"/>
          <w:szCs w:val="20"/>
        </w:rPr>
        <w:t>which contribute to localized environmental degradation.</w:t>
      </w:r>
      <w:r w:rsidR="00D715E6">
        <w:rPr>
          <w:rFonts w:ascii="Arial" w:hAnsi="Arial" w:cs="Arial"/>
          <w:sz w:val="20"/>
          <w:szCs w:val="20"/>
        </w:rPr>
        <w:t xml:space="preserve"> </w:t>
      </w:r>
      <w:r w:rsidR="00D715E6" w:rsidRPr="006434A1">
        <w:rPr>
          <w:rFonts w:ascii="Arial" w:hAnsi="Arial" w:cs="Arial"/>
          <w:sz w:val="20"/>
          <w:szCs w:val="20"/>
        </w:rPr>
        <w:t>Chemical and liquid waste emissions are the primary environmental stressors associated with the study area's workforce.</w:t>
      </w:r>
    </w:p>
    <w:p w:rsidR="000228BC" w:rsidRDefault="005A51E4" w:rsidP="008811CD">
      <w:pPr>
        <w:spacing w:after="240" w:line="360" w:lineRule="auto"/>
        <w:jc w:val="both"/>
        <w:rPr>
          <w:rFonts w:ascii="Arial" w:hAnsi="Arial" w:cs="Arial"/>
        </w:rPr>
      </w:pPr>
      <w:r w:rsidRPr="00B11422">
        <w:rPr>
          <w:rFonts w:ascii="Arial" w:hAnsi="Arial" w:cs="Arial"/>
          <w:noProof/>
          <w:vertAlign w:val="superscript"/>
        </w:rPr>
        <w:lastRenderedPageBreak/>
        <w:drawing>
          <wp:inline distT="0" distB="0" distL="0" distR="0">
            <wp:extent cx="6003638" cy="2395243"/>
            <wp:effectExtent l="19050" t="0" r="16162" b="5057"/>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B70" w:rsidRPr="00D715E6" w:rsidRDefault="00B26B70" w:rsidP="00B26B70">
      <w:pPr>
        <w:spacing w:after="240" w:line="360" w:lineRule="auto"/>
        <w:jc w:val="both"/>
        <w:rPr>
          <w:rFonts w:ascii="Arial" w:hAnsi="Arial" w:cs="Arial"/>
          <w:b/>
        </w:rPr>
      </w:pPr>
      <w:r w:rsidRPr="00D715E6">
        <w:rPr>
          <w:rFonts w:ascii="Arial" w:hAnsi="Arial" w:cs="Arial"/>
          <w:b/>
        </w:rPr>
        <w:t xml:space="preserve">Figure </w:t>
      </w:r>
      <w:r>
        <w:rPr>
          <w:rFonts w:ascii="Arial" w:hAnsi="Arial" w:cs="Arial"/>
          <w:b/>
        </w:rPr>
        <w:t>3; Demographic Profile of Respondents</w:t>
      </w:r>
    </w:p>
    <w:p w:rsidR="00463D69" w:rsidRDefault="0086355F" w:rsidP="00F84776">
      <w:pPr>
        <w:pStyle w:val="NormalWeb"/>
        <w:rPr>
          <w:rFonts w:ascii="Arial" w:hAnsi="Arial" w:cs="Arial"/>
          <w:sz w:val="20"/>
          <w:szCs w:val="20"/>
        </w:rPr>
      </w:pPr>
      <w:r w:rsidRPr="008811CD">
        <w:rPr>
          <w:rFonts w:ascii="Arial" w:hAnsi="Arial" w:cs="Arial"/>
          <w:bCs/>
          <w:sz w:val="20"/>
          <w:szCs w:val="20"/>
        </w:rPr>
        <w:t>Figure 3</w:t>
      </w:r>
      <w:r w:rsidRPr="008811CD">
        <w:rPr>
          <w:rFonts w:ascii="Arial" w:hAnsi="Arial" w:cs="Arial"/>
          <w:sz w:val="20"/>
          <w:szCs w:val="20"/>
        </w:rPr>
        <w:t xml:space="preserve"> illustrates the age distribution of the study participants. The majority of respondents</w:t>
      </w:r>
    </w:p>
    <w:p w:rsidR="00463D69" w:rsidRDefault="00463D69" w:rsidP="00F84776">
      <w:pPr>
        <w:pStyle w:val="NormalWeb"/>
        <w:rPr>
          <w:rFonts w:ascii="Arial" w:hAnsi="Arial" w:cs="Arial"/>
          <w:sz w:val="20"/>
          <w:szCs w:val="20"/>
        </w:rPr>
      </w:pPr>
      <w:r>
        <w:rPr>
          <w:rFonts w:ascii="Arial" w:hAnsi="Arial" w:cs="Arial"/>
          <w:sz w:val="20"/>
          <w:szCs w:val="20"/>
        </w:rPr>
        <w:t xml:space="preserve"> n (</w:t>
      </w:r>
      <w:proofErr w:type="gramStart"/>
      <w:r>
        <w:rPr>
          <w:rFonts w:ascii="Arial" w:hAnsi="Arial" w:cs="Arial"/>
          <w:sz w:val="20"/>
          <w:szCs w:val="20"/>
        </w:rPr>
        <w:t>no .of</w:t>
      </w:r>
      <w:proofErr w:type="gramEnd"/>
      <w:r>
        <w:rPr>
          <w:rFonts w:ascii="Arial" w:hAnsi="Arial" w:cs="Arial"/>
          <w:sz w:val="20"/>
          <w:szCs w:val="20"/>
        </w:rPr>
        <w:t xml:space="preserve"> respondents by age range)</w:t>
      </w:r>
    </w:p>
    <w:p w:rsidR="00463D69" w:rsidRDefault="0086355F" w:rsidP="00F84776">
      <w:pPr>
        <w:pStyle w:val="NormalWeb"/>
        <w:rPr>
          <w:rFonts w:ascii="Arial" w:hAnsi="Arial" w:cs="Arial"/>
          <w:sz w:val="20"/>
          <w:szCs w:val="20"/>
        </w:rPr>
      </w:pPr>
      <w:r w:rsidRPr="008811CD">
        <w:rPr>
          <w:rFonts w:ascii="Arial" w:hAnsi="Arial" w:cs="Arial"/>
          <w:sz w:val="20"/>
          <w:szCs w:val="20"/>
        </w:rPr>
        <w:t xml:space="preserve"> </w:t>
      </w:r>
      <w:r w:rsidRPr="008811CD">
        <w:rPr>
          <w:rFonts w:ascii="Arial" w:hAnsi="Arial" w:cs="Arial"/>
          <w:bCs/>
          <w:sz w:val="20"/>
          <w:szCs w:val="20"/>
        </w:rPr>
        <w:t>21–30</w:t>
      </w:r>
      <w:r w:rsidR="00FA2E42">
        <w:rPr>
          <w:rFonts w:ascii="Arial" w:hAnsi="Arial" w:cs="Arial"/>
          <w:bCs/>
          <w:sz w:val="20"/>
          <w:szCs w:val="20"/>
        </w:rPr>
        <w:t xml:space="preserve"> years of age</w:t>
      </w:r>
      <w:proofErr w:type="gramStart"/>
      <w:r w:rsidR="00B26B70">
        <w:rPr>
          <w:rFonts w:ascii="Arial" w:hAnsi="Arial" w:cs="Arial"/>
          <w:bCs/>
          <w:sz w:val="20"/>
          <w:szCs w:val="20"/>
        </w:rPr>
        <w:t xml:space="preserve"> </w:t>
      </w:r>
      <w:r w:rsidR="00FA2E42">
        <w:rPr>
          <w:rFonts w:ascii="Arial" w:hAnsi="Arial" w:cs="Arial"/>
          <w:bCs/>
          <w:sz w:val="20"/>
          <w:szCs w:val="20"/>
        </w:rPr>
        <w:t xml:space="preserve"> </w:t>
      </w:r>
      <w:r w:rsidR="00463D69" w:rsidRPr="008811CD">
        <w:rPr>
          <w:rFonts w:ascii="Arial" w:hAnsi="Arial" w:cs="Arial"/>
          <w:sz w:val="20"/>
          <w:szCs w:val="20"/>
        </w:rPr>
        <w:t xml:space="preserve"> (</w:t>
      </w:r>
      <w:proofErr w:type="gramEnd"/>
      <w:r w:rsidR="00463D69" w:rsidRPr="008811CD">
        <w:rPr>
          <w:rFonts w:ascii="Arial" w:hAnsi="Arial" w:cs="Arial"/>
          <w:bCs/>
          <w:sz w:val="20"/>
          <w:szCs w:val="20"/>
        </w:rPr>
        <w:t>n=53</w:t>
      </w:r>
      <w:r w:rsidR="00463D69" w:rsidRPr="008811CD">
        <w:rPr>
          <w:rFonts w:ascii="Arial" w:hAnsi="Arial" w:cs="Arial"/>
          <w:sz w:val="20"/>
          <w:szCs w:val="20"/>
        </w:rPr>
        <w:t xml:space="preserve">) </w:t>
      </w:r>
      <w:r w:rsidR="00463D69">
        <w:rPr>
          <w:rFonts w:ascii="Arial" w:hAnsi="Arial" w:cs="Arial"/>
          <w:bCs/>
          <w:sz w:val="20"/>
          <w:szCs w:val="20"/>
        </w:rPr>
        <w:t xml:space="preserve"> </w:t>
      </w:r>
      <w:r w:rsidR="00463D69">
        <w:rPr>
          <w:rFonts w:ascii="Arial" w:hAnsi="Arial" w:cs="Arial"/>
          <w:sz w:val="20"/>
          <w:szCs w:val="20"/>
        </w:rPr>
        <w:t xml:space="preserve">  </w:t>
      </w:r>
    </w:p>
    <w:p w:rsidR="00463D69" w:rsidRDefault="0086355F" w:rsidP="00F84776">
      <w:pPr>
        <w:pStyle w:val="NormalWeb"/>
        <w:rPr>
          <w:rFonts w:ascii="Arial" w:hAnsi="Arial" w:cs="Arial"/>
          <w:sz w:val="20"/>
          <w:szCs w:val="20"/>
        </w:rPr>
      </w:pPr>
      <w:r w:rsidRPr="008811CD">
        <w:rPr>
          <w:rFonts w:ascii="Arial" w:hAnsi="Arial" w:cs="Arial"/>
          <w:sz w:val="20"/>
          <w:szCs w:val="20"/>
        </w:rPr>
        <w:t xml:space="preserve"> </w:t>
      </w:r>
      <w:r w:rsidRPr="008811CD">
        <w:rPr>
          <w:rFonts w:ascii="Arial" w:hAnsi="Arial" w:cs="Arial"/>
          <w:bCs/>
          <w:sz w:val="20"/>
          <w:szCs w:val="20"/>
        </w:rPr>
        <w:t>31–40</w:t>
      </w:r>
      <w:r w:rsidR="00FA2E42">
        <w:rPr>
          <w:rFonts w:ascii="Arial" w:hAnsi="Arial" w:cs="Arial"/>
          <w:bCs/>
          <w:sz w:val="20"/>
          <w:szCs w:val="20"/>
        </w:rPr>
        <w:t xml:space="preserve"> years of age</w:t>
      </w:r>
      <w:proofErr w:type="gramStart"/>
      <w:r w:rsidR="00FA2E42">
        <w:rPr>
          <w:rFonts w:ascii="Arial" w:hAnsi="Arial" w:cs="Arial"/>
          <w:bCs/>
          <w:sz w:val="20"/>
          <w:szCs w:val="20"/>
        </w:rPr>
        <w:t xml:space="preserve"> </w:t>
      </w:r>
      <w:r w:rsidR="00B26B70">
        <w:rPr>
          <w:rFonts w:ascii="Arial" w:hAnsi="Arial" w:cs="Arial"/>
          <w:bCs/>
          <w:sz w:val="20"/>
          <w:szCs w:val="20"/>
        </w:rPr>
        <w:t xml:space="preserve"> </w:t>
      </w:r>
      <w:r w:rsidRPr="008811CD">
        <w:rPr>
          <w:rFonts w:ascii="Arial" w:hAnsi="Arial" w:cs="Arial"/>
          <w:bCs/>
          <w:sz w:val="20"/>
          <w:szCs w:val="20"/>
        </w:rPr>
        <w:t xml:space="preserve"> (</w:t>
      </w:r>
      <w:proofErr w:type="gramEnd"/>
      <w:r w:rsidRPr="008811CD">
        <w:rPr>
          <w:rFonts w:ascii="Arial" w:hAnsi="Arial" w:cs="Arial"/>
          <w:bCs/>
          <w:sz w:val="20"/>
          <w:szCs w:val="20"/>
        </w:rPr>
        <w:t>n=29)</w:t>
      </w:r>
      <w:r w:rsidRPr="008811CD">
        <w:rPr>
          <w:rFonts w:ascii="Arial" w:hAnsi="Arial" w:cs="Arial"/>
          <w:sz w:val="20"/>
          <w:szCs w:val="20"/>
        </w:rPr>
        <w:t>,</w:t>
      </w:r>
    </w:p>
    <w:p w:rsidR="00463D69" w:rsidRDefault="0086355F" w:rsidP="00F84776">
      <w:pPr>
        <w:pStyle w:val="NormalWeb"/>
        <w:rPr>
          <w:rFonts w:ascii="Arial" w:hAnsi="Arial" w:cs="Arial"/>
          <w:sz w:val="20"/>
          <w:szCs w:val="20"/>
        </w:rPr>
      </w:pPr>
      <w:r w:rsidRPr="008811CD">
        <w:rPr>
          <w:rFonts w:ascii="Arial" w:hAnsi="Arial" w:cs="Arial"/>
          <w:sz w:val="20"/>
          <w:szCs w:val="20"/>
        </w:rPr>
        <w:t xml:space="preserve"> </w:t>
      </w:r>
      <w:r w:rsidRPr="008811CD">
        <w:rPr>
          <w:rFonts w:ascii="Arial" w:hAnsi="Arial" w:cs="Arial"/>
          <w:bCs/>
          <w:sz w:val="20"/>
          <w:szCs w:val="20"/>
        </w:rPr>
        <w:t>41–50</w:t>
      </w:r>
      <w:r w:rsidR="00FA2E42">
        <w:rPr>
          <w:rFonts w:ascii="Arial" w:hAnsi="Arial" w:cs="Arial"/>
          <w:bCs/>
          <w:sz w:val="20"/>
          <w:szCs w:val="20"/>
        </w:rPr>
        <w:t xml:space="preserve"> years of age</w:t>
      </w:r>
      <w:proofErr w:type="gramStart"/>
      <w:r w:rsidR="00FA2E42">
        <w:rPr>
          <w:rFonts w:ascii="Arial" w:hAnsi="Arial" w:cs="Arial"/>
          <w:bCs/>
          <w:sz w:val="20"/>
          <w:szCs w:val="20"/>
        </w:rPr>
        <w:t xml:space="preserve"> </w:t>
      </w:r>
      <w:r w:rsidR="00B26B70">
        <w:rPr>
          <w:rFonts w:ascii="Arial" w:hAnsi="Arial" w:cs="Arial"/>
          <w:bCs/>
          <w:sz w:val="20"/>
          <w:szCs w:val="20"/>
        </w:rPr>
        <w:t xml:space="preserve"> </w:t>
      </w:r>
      <w:r w:rsidRPr="008811CD">
        <w:rPr>
          <w:rFonts w:ascii="Arial" w:hAnsi="Arial" w:cs="Arial"/>
          <w:bCs/>
          <w:sz w:val="20"/>
          <w:szCs w:val="20"/>
        </w:rPr>
        <w:t xml:space="preserve"> (</w:t>
      </w:r>
      <w:proofErr w:type="gramEnd"/>
      <w:r w:rsidRPr="008811CD">
        <w:rPr>
          <w:rFonts w:ascii="Arial" w:hAnsi="Arial" w:cs="Arial"/>
          <w:bCs/>
          <w:sz w:val="20"/>
          <w:szCs w:val="20"/>
        </w:rPr>
        <w:t>n=9)</w:t>
      </w:r>
      <w:r w:rsidRPr="008811CD">
        <w:rPr>
          <w:rFonts w:ascii="Arial" w:hAnsi="Arial" w:cs="Arial"/>
          <w:sz w:val="20"/>
          <w:szCs w:val="20"/>
        </w:rPr>
        <w:t>, and those</w:t>
      </w:r>
    </w:p>
    <w:p w:rsidR="0086456E" w:rsidRPr="00663AFA" w:rsidRDefault="0086355F" w:rsidP="00663AFA">
      <w:pPr>
        <w:pStyle w:val="NormalWeb"/>
        <w:rPr>
          <w:rFonts w:ascii="Arial" w:hAnsi="Arial" w:cs="Arial"/>
          <w:sz w:val="20"/>
          <w:szCs w:val="20"/>
        </w:rPr>
      </w:pPr>
      <w:r w:rsidRPr="008811CD">
        <w:rPr>
          <w:rFonts w:ascii="Arial" w:hAnsi="Arial" w:cs="Arial"/>
          <w:sz w:val="20"/>
          <w:szCs w:val="20"/>
        </w:rPr>
        <w:t xml:space="preserve"> </w:t>
      </w:r>
      <w:r w:rsidRPr="008811CD">
        <w:rPr>
          <w:rFonts w:ascii="Arial" w:hAnsi="Arial" w:cs="Arial"/>
          <w:bCs/>
          <w:sz w:val="20"/>
          <w:szCs w:val="20"/>
        </w:rPr>
        <w:t>above 50</w:t>
      </w:r>
      <w:r w:rsidR="00FA2E42">
        <w:rPr>
          <w:rFonts w:ascii="Arial" w:hAnsi="Arial" w:cs="Arial"/>
          <w:bCs/>
          <w:sz w:val="20"/>
          <w:szCs w:val="20"/>
        </w:rPr>
        <w:t xml:space="preserve"> years of </w:t>
      </w:r>
      <w:proofErr w:type="gramStart"/>
      <w:r w:rsidR="00FA2E42">
        <w:rPr>
          <w:rFonts w:ascii="Arial" w:hAnsi="Arial" w:cs="Arial"/>
          <w:bCs/>
          <w:sz w:val="20"/>
          <w:szCs w:val="20"/>
        </w:rPr>
        <w:t xml:space="preserve">age </w:t>
      </w:r>
      <w:r w:rsidRPr="008811CD">
        <w:rPr>
          <w:rFonts w:ascii="Arial" w:hAnsi="Arial" w:cs="Arial"/>
          <w:bCs/>
          <w:sz w:val="20"/>
          <w:szCs w:val="20"/>
        </w:rPr>
        <w:t xml:space="preserve"> (</w:t>
      </w:r>
      <w:proofErr w:type="gramEnd"/>
      <w:r w:rsidRPr="008811CD">
        <w:rPr>
          <w:rFonts w:ascii="Arial" w:hAnsi="Arial" w:cs="Arial"/>
          <w:bCs/>
          <w:sz w:val="20"/>
          <w:szCs w:val="20"/>
        </w:rPr>
        <w:t>n=4)</w:t>
      </w:r>
      <w:r w:rsidR="00463D69">
        <w:rPr>
          <w:rFonts w:ascii="Arial" w:hAnsi="Arial" w:cs="Arial"/>
          <w:sz w:val="20"/>
          <w:szCs w:val="20"/>
        </w:rPr>
        <w:t xml:space="preserve">. </w:t>
      </w:r>
    </w:p>
    <w:p w:rsidR="00E9052E" w:rsidRDefault="005A51E4" w:rsidP="005F144F">
      <w:pPr>
        <w:spacing w:after="240" w:line="360" w:lineRule="auto"/>
        <w:jc w:val="both"/>
        <w:rPr>
          <w:rFonts w:ascii="Arial" w:hAnsi="Arial" w:cs="Arial"/>
        </w:rPr>
      </w:pPr>
      <w:r w:rsidRPr="00B11422">
        <w:rPr>
          <w:rFonts w:ascii="Arial" w:hAnsi="Arial" w:cs="Arial"/>
          <w:noProof/>
        </w:rPr>
        <w:drawing>
          <wp:inline distT="0" distB="0" distL="0" distR="0">
            <wp:extent cx="6085205" cy="2144395"/>
            <wp:effectExtent l="19050" t="0" r="10795" b="8255"/>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6B70" w:rsidRPr="008811CD" w:rsidRDefault="00B26B70" w:rsidP="00B26B70">
      <w:pPr>
        <w:spacing w:after="240" w:line="360" w:lineRule="auto"/>
        <w:jc w:val="both"/>
        <w:rPr>
          <w:rFonts w:ascii="Arial" w:hAnsi="Arial" w:cs="Arial"/>
        </w:rPr>
      </w:pPr>
      <w:r w:rsidRPr="008811CD">
        <w:rPr>
          <w:rFonts w:ascii="Arial" w:hAnsi="Arial" w:cs="Arial"/>
          <w:b/>
          <w:sz w:val="22"/>
          <w:szCs w:val="22"/>
        </w:rPr>
        <w:t>Figure 4</w:t>
      </w:r>
      <w:r w:rsidRPr="008811CD">
        <w:rPr>
          <w:rFonts w:ascii="Arial" w:hAnsi="Arial" w:cs="Arial"/>
          <w:sz w:val="22"/>
          <w:szCs w:val="22"/>
        </w:rPr>
        <w:t>:</w:t>
      </w:r>
      <w:r>
        <w:rPr>
          <w:rFonts w:ascii="Arial" w:hAnsi="Arial" w:cs="Arial"/>
          <w:sz w:val="22"/>
          <w:szCs w:val="22"/>
        </w:rPr>
        <w:t xml:space="preserve"> </w:t>
      </w:r>
      <w:r>
        <w:rPr>
          <w:rFonts w:ascii="Arial" w:hAnsi="Arial" w:cs="Arial"/>
          <w:b/>
          <w:sz w:val="22"/>
          <w:szCs w:val="22"/>
        </w:rPr>
        <w:t>Oc</w:t>
      </w:r>
      <w:r w:rsidRPr="008811CD">
        <w:rPr>
          <w:rFonts w:ascii="Arial" w:hAnsi="Arial" w:cs="Arial"/>
          <w:b/>
          <w:sz w:val="22"/>
          <w:szCs w:val="22"/>
        </w:rPr>
        <w:t>cupational Distribution of Respondents</w:t>
      </w:r>
    </w:p>
    <w:p w:rsidR="00FA2E42" w:rsidRDefault="00421BEA" w:rsidP="00F84776">
      <w:pPr>
        <w:pStyle w:val="NormalWeb"/>
        <w:rPr>
          <w:rFonts w:ascii="Arial" w:hAnsi="Arial" w:cs="Arial"/>
          <w:sz w:val="20"/>
          <w:szCs w:val="20"/>
        </w:rPr>
      </w:pPr>
      <w:r w:rsidRPr="008811CD">
        <w:rPr>
          <w:rFonts w:ascii="Arial" w:hAnsi="Arial" w:cs="Arial"/>
          <w:bCs/>
          <w:sz w:val="20"/>
          <w:szCs w:val="20"/>
        </w:rPr>
        <w:t>Figure 4</w:t>
      </w:r>
      <w:r w:rsidRPr="008811CD">
        <w:rPr>
          <w:rFonts w:ascii="Arial" w:hAnsi="Arial" w:cs="Arial"/>
          <w:sz w:val="20"/>
          <w:szCs w:val="20"/>
        </w:rPr>
        <w:t xml:space="preserve"> presents the distribution of t</w:t>
      </w:r>
      <w:r>
        <w:rPr>
          <w:rFonts w:ascii="Arial" w:hAnsi="Arial" w:cs="Arial"/>
          <w:sz w:val="20"/>
          <w:szCs w:val="20"/>
        </w:rPr>
        <w:t>he 95 artisans interview</w:t>
      </w:r>
      <w:r w:rsidR="00B62240">
        <w:rPr>
          <w:rFonts w:ascii="Arial" w:hAnsi="Arial" w:cs="Arial"/>
          <w:sz w:val="20"/>
          <w:szCs w:val="20"/>
        </w:rPr>
        <w:t>e</w:t>
      </w:r>
      <w:r>
        <w:rPr>
          <w:rFonts w:ascii="Arial" w:hAnsi="Arial" w:cs="Arial"/>
          <w:sz w:val="20"/>
          <w:szCs w:val="20"/>
        </w:rPr>
        <w:t>d.</w:t>
      </w:r>
      <w:r w:rsidRPr="008811CD">
        <w:rPr>
          <w:rFonts w:ascii="Arial" w:hAnsi="Arial" w:cs="Arial"/>
          <w:sz w:val="20"/>
          <w:szCs w:val="20"/>
        </w:rPr>
        <w:t xml:space="preserve"> </w:t>
      </w:r>
      <w:r w:rsidR="00160E7F">
        <w:rPr>
          <w:rFonts w:ascii="Arial" w:hAnsi="Arial" w:cs="Arial"/>
          <w:bCs/>
          <w:sz w:val="20"/>
          <w:szCs w:val="20"/>
        </w:rPr>
        <w:t xml:space="preserve"> M</w:t>
      </w:r>
      <w:r w:rsidRPr="008811CD">
        <w:rPr>
          <w:rFonts w:ascii="Arial" w:hAnsi="Arial" w:cs="Arial"/>
          <w:bCs/>
          <w:sz w:val="20"/>
          <w:szCs w:val="20"/>
        </w:rPr>
        <w:t>echanics</w:t>
      </w:r>
      <w:r w:rsidR="00FA2E42">
        <w:rPr>
          <w:rFonts w:ascii="Arial" w:hAnsi="Arial" w:cs="Arial"/>
          <w:sz w:val="20"/>
          <w:szCs w:val="20"/>
        </w:rPr>
        <w:t xml:space="preserve"> comprise the largest </w:t>
      </w:r>
      <w:r w:rsidR="00B62240">
        <w:rPr>
          <w:rFonts w:ascii="Arial" w:hAnsi="Arial" w:cs="Arial"/>
          <w:sz w:val="20"/>
          <w:szCs w:val="20"/>
        </w:rPr>
        <w:t xml:space="preserve"> </w:t>
      </w:r>
      <w:r w:rsidR="00FA2E42">
        <w:rPr>
          <w:rFonts w:ascii="Arial" w:hAnsi="Arial" w:cs="Arial"/>
          <w:sz w:val="20"/>
          <w:szCs w:val="20"/>
        </w:rPr>
        <w:t xml:space="preserve"> numbers </w:t>
      </w:r>
    </w:p>
    <w:p w:rsidR="00FA2E42" w:rsidRDefault="00FA2E42" w:rsidP="00F84776">
      <w:pPr>
        <w:pStyle w:val="NormalWeb"/>
        <w:rPr>
          <w:rFonts w:ascii="Arial" w:hAnsi="Arial" w:cs="Arial"/>
          <w:sz w:val="20"/>
          <w:szCs w:val="20"/>
        </w:rPr>
      </w:pPr>
      <w:r>
        <w:rPr>
          <w:rFonts w:ascii="Arial" w:hAnsi="Arial" w:cs="Arial"/>
          <w:sz w:val="20"/>
          <w:szCs w:val="20"/>
        </w:rPr>
        <w:lastRenderedPageBreak/>
        <w:t>Mechanics</w:t>
      </w:r>
      <w:r w:rsidR="00421BEA" w:rsidRPr="008811CD">
        <w:rPr>
          <w:rFonts w:ascii="Arial" w:hAnsi="Arial" w:cs="Arial"/>
          <w:sz w:val="20"/>
          <w:szCs w:val="20"/>
        </w:rPr>
        <w:t xml:space="preserve"> (</w:t>
      </w:r>
      <w:r w:rsidR="00421BEA" w:rsidRPr="008811CD">
        <w:rPr>
          <w:rFonts w:ascii="Arial" w:hAnsi="Arial" w:cs="Arial"/>
          <w:bCs/>
          <w:sz w:val="20"/>
          <w:szCs w:val="20"/>
        </w:rPr>
        <w:t>n=25</w:t>
      </w:r>
      <w:r w:rsidR="00421BEA" w:rsidRPr="008811CD">
        <w:rPr>
          <w:rFonts w:ascii="Arial" w:hAnsi="Arial" w:cs="Arial"/>
          <w:sz w:val="20"/>
          <w:szCs w:val="20"/>
        </w:rPr>
        <w:t>),</w:t>
      </w:r>
      <w:r w:rsidR="00663AFA">
        <w:rPr>
          <w:rFonts w:ascii="Arial" w:hAnsi="Arial" w:cs="Arial"/>
          <w:sz w:val="20"/>
          <w:szCs w:val="20"/>
        </w:rPr>
        <w:t xml:space="preserve"> 26%</w:t>
      </w:r>
      <w:r w:rsidR="00421BEA" w:rsidRPr="008811CD">
        <w:rPr>
          <w:rFonts w:ascii="Arial" w:hAnsi="Arial" w:cs="Arial"/>
          <w:sz w:val="20"/>
          <w:szCs w:val="20"/>
        </w:rPr>
        <w:t xml:space="preserve"> followed by</w:t>
      </w:r>
      <w:r w:rsidR="00663AFA">
        <w:rPr>
          <w:rFonts w:ascii="Arial" w:hAnsi="Arial" w:cs="Arial"/>
          <w:sz w:val="20"/>
          <w:szCs w:val="20"/>
        </w:rPr>
        <w:t>:</w:t>
      </w:r>
    </w:p>
    <w:p w:rsidR="00FA2E42" w:rsidRDefault="00421BEA" w:rsidP="00F84776">
      <w:pPr>
        <w:pStyle w:val="NormalWeb"/>
        <w:rPr>
          <w:rFonts w:ascii="Arial" w:hAnsi="Arial" w:cs="Arial"/>
          <w:sz w:val="20"/>
          <w:szCs w:val="20"/>
        </w:rPr>
      </w:pPr>
      <w:r w:rsidRPr="008811CD">
        <w:rPr>
          <w:rFonts w:ascii="Arial" w:hAnsi="Arial" w:cs="Arial"/>
          <w:sz w:val="20"/>
          <w:szCs w:val="20"/>
        </w:rPr>
        <w:t xml:space="preserve"> </w:t>
      </w:r>
      <w:r w:rsidR="00FA2E42">
        <w:rPr>
          <w:rFonts w:ascii="Arial" w:hAnsi="Arial" w:cs="Arial"/>
          <w:bCs/>
          <w:sz w:val="20"/>
          <w:szCs w:val="20"/>
        </w:rPr>
        <w:t>P</w:t>
      </w:r>
      <w:r w:rsidRPr="008811CD">
        <w:rPr>
          <w:rFonts w:ascii="Arial" w:hAnsi="Arial" w:cs="Arial"/>
          <w:bCs/>
          <w:sz w:val="20"/>
          <w:szCs w:val="20"/>
        </w:rPr>
        <w:t>lumbers (n=18)</w:t>
      </w:r>
      <w:r w:rsidR="00663AFA">
        <w:rPr>
          <w:rFonts w:ascii="Arial" w:hAnsi="Arial" w:cs="Arial"/>
          <w:bCs/>
          <w:sz w:val="20"/>
          <w:szCs w:val="20"/>
        </w:rPr>
        <w:t>, 19%</w:t>
      </w:r>
    </w:p>
    <w:p w:rsidR="00FA2E42" w:rsidRPr="00EF61EB" w:rsidRDefault="00FA2E42" w:rsidP="00F84776">
      <w:pPr>
        <w:pStyle w:val="NormalWeb"/>
        <w:rPr>
          <w:rFonts w:ascii="Arial" w:hAnsi="Arial" w:cs="Arial"/>
          <w:sz w:val="20"/>
          <w:szCs w:val="20"/>
        </w:rPr>
      </w:pPr>
      <w:r>
        <w:rPr>
          <w:rFonts w:ascii="Arial" w:hAnsi="Arial" w:cs="Arial"/>
          <w:bCs/>
          <w:sz w:val="20"/>
          <w:szCs w:val="20"/>
        </w:rPr>
        <w:t>P</w:t>
      </w:r>
      <w:r w:rsidR="00421BEA" w:rsidRPr="008811CD">
        <w:rPr>
          <w:rFonts w:ascii="Arial" w:hAnsi="Arial" w:cs="Arial"/>
          <w:bCs/>
          <w:sz w:val="20"/>
          <w:szCs w:val="20"/>
        </w:rPr>
        <w:t>ainters</w:t>
      </w:r>
      <w:r>
        <w:rPr>
          <w:rFonts w:ascii="Arial" w:hAnsi="Arial" w:cs="Arial"/>
          <w:bCs/>
          <w:sz w:val="20"/>
          <w:szCs w:val="20"/>
        </w:rPr>
        <w:t xml:space="preserve"> </w:t>
      </w:r>
      <w:r w:rsidR="00421BEA" w:rsidRPr="008811CD">
        <w:rPr>
          <w:rFonts w:ascii="Arial" w:hAnsi="Arial" w:cs="Arial"/>
          <w:bCs/>
          <w:sz w:val="20"/>
          <w:szCs w:val="20"/>
        </w:rPr>
        <w:t>(n=17)</w:t>
      </w:r>
      <w:r w:rsidR="00663AFA">
        <w:rPr>
          <w:rFonts w:ascii="Arial" w:hAnsi="Arial" w:cs="Arial"/>
          <w:sz w:val="20"/>
          <w:szCs w:val="20"/>
        </w:rPr>
        <w:t>, 18%</w:t>
      </w:r>
      <w:r w:rsidR="00421BEA" w:rsidRPr="008811CD">
        <w:rPr>
          <w:rFonts w:ascii="Arial" w:hAnsi="Arial" w:cs="Arial"/>
          <w:sz w:val="20"/>
          <w:szCs w:val="20"/>
        </w:rPr>
        <w:t xml:space="preserve"> </w:t>
      </w:r>
      <w:r>
        <w:rPr>
          <w:rFonts w:ascii="Arial" w:hAnsi="Arial" w:cs="Arial"/>
          <w:bCs/>
          <w:sz w:val="20"/>
          <w:szCs w:val="20"/>
        </w:rPr>
        <w:t>W</w:t>
      </w:r>
      <w:r w:rsidR="00421BEA" w:rsidRPr="008811CD">
        <w:rPr>
          <w:rFonts w:ascii="Arial" w:hAnsi="Arial" w:cs="Arial"/>
          <w:bCs/>
          <w:sz w:val="20"/>
          <w:szCs w:val="20"/>
        </w:rPr>
        <w:t>elders (n=15)</w:t>
      </w:r>
      <w:r w:rsidR="00663AFA">
        <w:rPr>
          <w:rFonts w:ascii="Arial" w:hAnsi="Arial" w:cs="Arial"/>
          <w:bCs/>
          <w:sz w:val="20"/>
          <w:szCs w:val="20"/>
        </w:rPr>
        <w:t>, 16%</w:t>
      </w:r>
    </w:p>
    <w:p w:rsidR="00FA2E42" w:rsidRDefault="00FA2E42" w:rsidP="00F84776">
      <w:pPr>
        <w:pStyle w:val="NormalWeb"/>
        <w:rPr>
          <w:rFonts w:ascii="Arial" w:hAnsi="Arial" w:cs="Arial"/>
          <w:bCs/>
          <w:sz w:val="20"/>
          <w:szCs w:val="20"/>
        </w:rPr>
      </w:pPr>
      <w:r>
        <w:rPr>
          <w:rFonts w:ascii="Arial" w:hAnsi="Arial" w:cs="Arial"/>
          <w:bCs/>
          <w:sz w:val="20"/>
          <w:szCs w:val="20"/>
        </w:rPr>
        <w:t>C</w:t>
      </w:r>
      <w:r w:rsidR="00421BEA" w:rsidRPr="008811CD">
        <w:rPr>
          <w:rFonts w:ascii="Arial" w:hAnsi="Arial" w:cs="Arial"/>
          <w:bCs/>
          <w:sz w:val="20"/>
          <w:szCs w:val="20"/>
        </w:rPr>
        <w:t>arpenters (n=10)</w:t>
      </w:r>
      <w:r w:rsidR="00663AFA">
        <w:rPr>
          <w:rFonts w:ascii="Arial" w:hAnsi="Arial" w:cs="Arial"/>
          <w:bCs/>
          <w:sz w:val="20"/>
          <w:szCs w:val="20"/>
        </w:rPr>
        <w:t>, 11%</w:t>
      </w:r>
    </w:p>
    <w:p w:rsidR="00663AFA" w:rsidRPr="00663AFA" w:rsidRDefault="00FA2E42" w:rsidP="008811CD">
      <w:pPr>
        <w:pStyle w:val="NormalWeb"/>
        <w:rPr>
          <w:rFonts w:ascii="Arial" w:hAnsi="Arial" w:cs="Arial"/>
          <w:sz w:val="20"/>
          <w:szCs w:val="20"/>
        </w:rPr>
      </w:pPr>
      <w:r>
        <w:rPr>
          <w:rFonts w:ascii="Arial" w:hAnsi="Arial" w:cs="Arial"/>
          <w:bCs/>
          <w:sz w:val="20"/>
          <w:szCs w:val="20"/>
        </w:rPr>
        <w:t>E</w:t>
      </w:r>
      <w:r w:rsidR="00421BEA" w:rsidRPr="008811CD">
        <w:rPr>
          <w:rFonts w:ascii="Arial" w:hAnsi="Arial" w:cs="Arial"/>
          <w:bCs/>
          <w:sz w:val="20"/>
          <w:szCs w:val="20"/>
        </w:rPr>
        <w:t>lectricians (n=10)</w:t>
      </w:r>
      <w:r w:rsidR="00663AFA">
        <w:rPr>
          <w:rFonts w:ascii="Arial" w:hAnsi="Arial" w:cs="Arial"/>
          <w:bCs/>
          <w:sz w:val="20"/>
          <w:szCs w:val="20"/>
        </w:rPr>
        <w:t>, 10%</w:t>
      </w:r>
    </w:p>
    <w:p w:rsidR="00B350CF" w:rsidRDefault="007F6B01" w:rsidP="008811CD">
      <w:pPr>
        <w:pStyle w:val="NormalWeb"/>
        <w:jc w:val="both"/>
        <w:rPr>
          <w:rFonts w:ascii="Arial" w:hAnsi="Arial" w:cs="Arial"/>
          <w:sz w:val="20"/>
          <w:szCs w:val="20"/>
        </w:rPr>
      </w:pPr>
      <w:r w:rsidRPr="008811CD">
        <w:rPr>
          <w:rFonts w:ascii="Arial" w:hAnsi="Arial" w:cs="Arial"/>
          <w:bCs/>
          <w:sz w:val="20"/>
          <w:szCs w:val="20"/>
        </w:rPr>
        <w:t>Table 2</w:t>
      </w:r>
      <w:r w:rsidRPr="008811CD">
        <w:rPr>
          <w:rFonts w:ascii="Arial" w:hAnsi="Arial" w:cs="Arial"/>
          <w:sz w:val="20"/>
          <w:szCs w:val="20"/>
        </w:rPr>
        <w:t xml:space="preserve"> details the cross-tabulation of age groups and specific trades among the respondents.</w:t>
      </w:r>
    </w:p>
    <w:p w:rsidR="007F6B01" w:rsidRPr="008811CD" w:rsidRDefault="007F6B01" w:rsidP="008811CD">
      <w:pPr>
        <w:pStyle w:val="NormalWeb"/>
        <w:jc w:val="both"/>
        <w:rPr>
          <w:rFonts w:ascii="Arial" w:hAnsi="Arial" w:cs="Arial"/>
          <w:sz w:val="20"/>
          <w:szCs w:val="20"/>
        </w:rPr>
      </w:pPr>
      <w:r w:rsidRPr="008811CD">
        <w:rPr>
          <w:rFonts w:ascii="Arial" w:hAnsi="Arial" w:cs="Arial"/>
          <w:sz w:val="20"/>
          <w:szCs w:val="20"/>
        </w:rPr>
        <w:t xml:space="preserve">The </w:t>
      </w:r>
      <w:r w:rsidR="00160E7F">
        <w:rPr>
          <w:rFonts w:ascii="Arial" w:hAnsi="Arial" w:cs="Arial"/>
          <w:bCs/>
          <w:sz w:val="20"/>
          <w:szCs w:val="20"/>
        </w:rPr>
        <w:t>21–30 age group</w:t>
      </w:r>
      <w:r w:rsidR="00B350CF">
        <w:rPr>
          <w:rFonts w:ascii="Arial" w:hAnsi="Arial" w:cs="Arial"/>
          <w:bCs/>
          <w:sz w:val="20"/>
          <w:szCs w:val="20"/>
        </w:rPr>
        <w:t xml:space="preserve"> </w:t>
      </w:r>
      <w:r w:rsidRPr="008811CD">
        <w:rPr>
          <w:rFonts w:ascii="Arial" w:hAnsi="Arial" w:cs="Arial"/>
          <w:sz w:val="20"/>
          <w:szCs w:val="20"/>
        </w:rPr>
        <w:t xml:space="preserve">is the most populous across several technical trades, including </w:t>
      </w:r>
      <w:r w:rsidRPr="008811CD">
        <w:rPr>
          <w:rFonts w:ascii="Arial" w:hAnsi="Arial" w:cs="Arial"/>
          <w:bCs/>
          <w:sz w:val="20"/>
          <w:szCs w:val="20"/>
        </w:rPr>
        <w:t>mechanics (n=20)</w:t>
      </w:r>
      <w:r w:rsidRPr="008811CD">
        <w:rPr>
          <w:rFonts w:ascii="Arial" w:hAnsi="Arial" w:cs="Arial"/>
          <w:sz w:val="20"/>
          <w:szCs w:val="20"/>
        </w:rPr>
        <w:t xml:space="preserve">, </w:t>
      </w:r>
      <w:r w:rsidRPr="008811CD">
        <w:rPr>
          <w:rFonts w:ascii="Arial" w:hAnsi="Arial" w:cs="Arial"/>
          <w:bCs/>
          <w:sz w:val="20"/>
          <w:szCs w:val="20"/>
        </w:rPr>
        <w:t>welders (n=10)</w:t>
      </w:r>
      <w:r w:rsidRPr="008811CD">
        <w:rPr>
          <w:rFonts w:ascii="Arial" w:hAnsi="Arial" w:cs="Arial"/>
          <w:sz w:val="20"/>
          <w:szCs w:val="20"/>
        </w:rPr>
        <w:t xml:space="preserve">, and </w:t>
      </w:r>
      <w:r w:rsidRPr="008811CD">
        <w:rPr>
          <w:rFonts w:ascii="Arial" w:hAnsi="Arial" w:cs="Arial"/>
          <w:bCs/>
          <w:sz w:val="20"/>
          <w:szCs w:val="20"/>
        </w:rPr>
        <w:t>painters (n=10)</w:t>
      </w:r>
      <w:r w:rsidRPr="008811CD">
        <w:rPr>
          <w:rFonts w:ascii="Arial" w:hAnsi="Arial" w:cs="Arial"/>
          <w:sz w:val="20"/>
          <w:szCs w:val="20"/>
        </w:rPr>
        <w:t>.</w:t>
      </w:r>
    </w:p>
    <w:p w:rsidR="008811CD" w:rsidRDefault="007F6B01" w:rsidP="00F84776">
      <w:pPr>
        <w:pStyle w:val="NormalWeb"/>
        <w:jc w:val="both"/>
        <w:rPr>
          <w:rFonts w:ascii="Arial" w:hAnsi="Arial" w:cs="Arial"/>
          <w:sz w:val="20"/>
          <w:szCs w:val="20"/>
        </w:rPr>
      </w:pPr>
      <w:r w:rsidRPr="008811CD">
        <w:rPr>
          <w:rFonts w:ascii="Arial" w:hAnsi="Arial" w:cs="Arial"/>
          <w:sz w:val="20"/>
          <w:szCs w:val="20"/>
        </w:rPr>
        <w:t xml:space="preserve">In contrast, the </w:t>
      </w:r>
      <w:r w:rsidRPr="008811CD">
        <w:rPr>
          <w:rFonts w:ascii="Arial" w:hAnsi="Arial" w:cs="Arial"/>
          <w:bCs/>
          <w:sz w:val="20"/>
          <w:szCs w:val="20"/>
        </w:rPr>
        <w:t>31–40 age group</w:t>
      </w:r>
      <w:r w:rsidRPr="008811CD">
        <w:rPr>
          <w:rFonts w:ascii="Arial" w:hAnsi="Arial" w:cs="Arial"/>
          <w:sz w:val="20"/>
          <w:szCs w:val="20"/>
        </w:rPr>
        <w:t xml:space="preserve"> contains the highest concentration of </w:t>
      </w:r>
      <w:r w:rsidRPr="008811CD">
        <w:rPr>
          <w:rFonts w:ascii="Arial" w:hAnsi="Arial" w:cs="Arial"/>
          <w:bCs/>
          <w:sz w:val="20"/>
          <w:szCs w:val="20"/>
        </w:rPr>
        <w:t>plumbers (n=10)</w:t>
      </w:r>
      <w:r w:rsidRPr="008811CD">
        <w:rPr>
          <w:rFonts w:ascii="Arial" w:hAnsi="Arial" w:cs="Arial"/>
          <w:sz w:val="20"/>
          <w:szCs w:val="20"/>
        </w:rPr>
        <w:t xml:space="preserve"> and </w:t>
      </w:r>
      <w:r w:rsidRPr="008811CD">
        <w:rPr>
          <w:rFonts w:ascii="Arial" w:hAnsi="Arial" w:cs="Arial"/>
          <w:bCs/>
          <w:sz w:val="20"/>
          <w:szCs w:val="20"/>
        </w:rPr>
        <w:t>carpenters (n=7)</w:t>
      </w:r>
      <w:r w:rsidRPr="008811CD">
        <w:rPr>
          <w:rFonts w:ascii="Arial" w:hAnsi="Arial" w:cs="Arial"/>
          <w:sz w:val="20"/>
          <w:szCs w:val="20"/>
        </w:rPr>
        <w:t xml:space="preserve">. Participation significantly declines in older cohorts; for example, no carpenters, electricians, or mechanics were recorded in the </w:t>
      </w:r>
      <w:r w:rsidRPr="008811CD">
        <w:rPr>
          <w:rFonts w:ascii="Arial" w:hAnsi="Arial" w:cs="Arial"/>
          <w:bCs/>
          <w:sz w:val="20"/>
          <w:szCs w:val="20"/>
        </w:rPr>
        <w:t>41–50 bracket</w:t>
      </w:r>
      <w:r w:rsidRPr="008811CD">
        <w:rPr>
          <w:rFonts w:ascii="Arial" w:hAnsi="Arial" w:cs="Arial"/>
          <w:sz w:val="20"/>
          <w:szCs w:val="20"/>
        </w:rPr>
        <w:t xml:space="preserve">, and </w:t>
      </w:r>
      <w:r w:rsidR="001D5CA1">
        <w:rPr>
          <w:rFonts w:ascii="Arial" w:hAnsi="Arial" w:cs="Arial"/>
          <w:sz w:val="20"/>
          <w:szCs w:val="20"/>
        </w:rPr>
        <w:t>(</w:t>
      </w:r>
      <w:r w:rsidRPr="008811CD">
        <w:rPr>
          <w:rFonts w:ascii="Arial" w:hAnsi="Arial" w:cs="Arial"/>
          <w:sz w:val="20"/>
          <w:szCs w:val="20"/>
        </w:rPr>
        <w:t xml:space="preserve">only </w:t>
      </w:r>
      <w:r w:rsidR="001D5CA1">
        <w:rPr>
          <w:rFonts w:ascii="Arial" w:hAnsi="Arial" w:cs="Arial"/>
          <w:bCs/>
          <w:sz w:val="20"/>
          <w:szCs w:val="20"/>
        </w:rPr>
        <w:t>n=2)</w:t>
      </w:r>
      <w:r w:rsidRPr="008811CD">
        <w:rPr>
          <w:rFonts w:ascii="Arial" w:hAnsi="Arial" w:cs="Arial"/>
          <w:bCs/>
          <w:sz w:val="20"/>
          <w:szCs w:val="20"/>
        </w:rPr>
        <w:t xml:space="preserve"> plumbers</w:t>
      </w:r>
      <w:r w:rsidRPr="008811CD">
        <w:rPr>
          <w:rFonts w:ascii="Arial" w:hAnsi="Arial" w:cs="Arial"/>
          <w:sz w:val="20"/>
          <w:szCs w:val="20"/>
        </w:rPr>
        <w:t xml:space="preserve"> and </w:t>
      </w:r>
      <w:r w:rsidRPr="008811CD">
        <w:rPr>
          <w:rFonts w:ascii="Arial" w:hAnsi="Arial" w:cs="Arial"/>
          <w:bCs/>
          <w:sz w:val="20"/>
          <w:szCs w:val="20"/>
        </w:rPr>
        <w:t>two painters</w:t>
      </w:r>
      <w:r w:rsidRPr="008811CD">
        <w:rPr>
          <w:rFonts w:ascii="Arial" w:hAnsi="Arial" w:cs="Arial"/>
          <w:sz w:val="20"/>
          <w:szCs w:val="20"/>
        </w:rPr>
        <w:t xml:space="preserve"> were identified in the </w:t>
      </w:r>
      <w:r w:rsidRPr="008811CD">
        <w:rPr>
          <w:rFonts w:ascii="Arial" w:hAnsi="Arial" w:cs="Arial"/>
          <w:bCs/>
          <w:sz w:val="20"/>
          <w:szCs w:val="20"/>
        </w:rPr>
        <w:t>above 50</w:t>
      </w:r>
      <w:r w:rsidRPr="008811CD">
        <w:rPr>
          <w:rFonts w:ascii="Arial" w:hAnsi="Arial" w:cs="Arial"/>
          <w:sz w:val="20"/>
          <w:szCs w:val="20"/>
        </w:rPr>
        <w:t xml:space="preserve"> category. This trend suggests that physically demanding manual trades in this sector are predominantly occupied by younger demographics.</w:t>
      </w:r>
    </w:p>
    <w:p w:rsidR="00B26B70" w:rsidRPr="00F84776" w:rsidRDefault="0084219A" w:rsidP="00F84776">
      <w:pPr>
        <w:pStyle w:val="NormalWeb"/>
        <w:jc w:val="both"/>
        <w:rPr>
          <w:rFonts w:ascii="Arial" w:hAnsi="Arial" w:cs="Arial"/>
          <w:sz w:val="20"/>
          <w:szCs w:val="20"/>
        </w:rPr>
      </w:pPr>
      <w:r w:rsidRPr="0084219A">
        <w:rPr>
          <w:rFonts w:ascii="Arial" w:hAnsi="Arial" w:cs="Arial"/>
          <w:sz w:val="20"/>
          <w:szCs w:val="20"/>
        </w:rPr>
        <w:t xml:space="preserve">Table 2:  Distribution of Artisans According to Age Range   </w:t>
      </w:r>
    </w:p>
    <w:tbl>
      <w:tblPr>
        <w:tblStyle w:val="TableGrid"/>
        <w:tblW w:w="5000" w:type="pct"/>
        <w:tblLook w:val="04A0" w:firstRow="1" w:lastRow="0" w:firstColumn="1" w:lastColumn="0" w:noHBand="0" w:noVBand="1"/>
      </w:tblPr>
      <w:tblGrid>
        <w:gridCol w:w="2602"/>
        <w:gridCol w:w="1385"/>
        <w:gridCol w:w="1387"/>
        <w:gridCol w:w="1387"/>
        <w:gridCol w:w="1396"/>
        <w:gridCol w:w="1419"/>
      </w:tblGrid>
      <w:tr w:rsidR="001C1634" w:rsidRPr="00B11422" w:rsidTr="00F05AD7">
        <w:tc>
          <w:tcPr>
            <w:tcW w:w="1358" w:type="pct"/>
            <w:tcBorders>
              <w:left w:val="single" w:sz="4" w:space="0" w:color="auto"/>
            </w:tcBorders>
          </w:tcPr>
          <w:p w:rsidR="001C1634" w:rsidRPr="00B11422" w:rsidRDefault="001C1634" w:rsidP="005F144F">
            <w:pPr>
              <w:spacing w:after="240" w:line="360" w:lineRule="auto"/>
              <w:jc w:val="both"/>
              <w:rPr>
                <w:rFonts w:ascii="Arial" w:hAnsi="Arial" w:cs="Arial"/>
              </w:rPr>
            </w:pPr>
          </w:p>
        </w:tc>
        <w:tc>
          <w:tcPr>
            <w:tcW w:w="723" w:type="pct"/>
          </w:tcPr>
          <w:p w:rsidR="001C1634" w:rsidRPr="00B11422" w:rsidRDefault="001C1634" w:rsidP="003D6536">
            <w:pPr>
              <w:spacing w:after="240" w:line="360" w:lineRule="auto"/>
              <w:jc w:val="center"/>
              <w:rPr>
                <w:rFonts w:ascii="Arial" w:hAnsi="Arial" w:cs="Arial"/>
              </w:rPr>
            </w:pPr>
            <w:r w:rsidRPr="00B11422">
              <w:rPr>
                <w:rFonts w:ascii="Arial" w:hAnsi="Arial" w:cs="Arial"/>
              </w:rPr>
              <w:t>(a)</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(b)</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(c)</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(d)</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(e)</w:t>
            </w:r>
          </w:p>
        </w:tc>
      </w:tr>
      <w:tr w:rsidR="001C1634" w:rsidRPr="00B11422" w:rsidTr="00F05AD7">
        <w:tc>
          <w:tcPr>
            <w:tcW w:w="1358" w:type="pct"/>
            <w:tcBorders>
              <w:left w:val="single" w:sz="4" w:space="0" w:color="auto"/>
              <w:bottom w:val="single" w:sz="4" w:space="0" w:color="auto"/>
            </w:tcBorders>
          </w:tcPr>
          <w:p w:rsidR="001C1634" w:rsidRPr="00B11422" w:rsidRDefault="00B350CF" w:rsidP="005F144F">
            <w:pPr>
              <w:spacing w:after="240" w:line="360" w:lineRule="auto"/>
              <w:jc w:val="both"/>
              <w:rPr>
                <w:rFonts w:ascii="Arial" w:hAnsi="Arial" w:cs="Arial"/>
                <w:b/>
                <w:bCs/>
              </w:rPr>
            </w:pPr>
            <w:r>
              <w:rPr>
                <w:rFonts w:ascii="Arial" w:hAnsi="Arial" w:cs="Arial"/>
                <w:b/>
                <w:bCs/>
              </w:rPr>
              <w:t>Age Range</w:t>
            </w:r>
            <w:r w:rsidR="001C1634" w:rsidRPr="00B11422">
              <w:rPr>
                <w:rFonts w:ascii="Arial" w:hAnsi="Arial" w:cs="Arial"/>
                <w:b/>
                <w:bCs/>
              </w:rPr>
              <w:t xml:space="preserve"> of Respondent</w:t>
            </w:r>
          </w:p>
        </w:tc>
        <w:tc>
          <w:tcPr>
            <w:tcW w:w="723" w:type="pct"/>
            <w:tcBorders>
              <w:bottom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21-30</w:t>
            </w:r>
          </w:p>
        </w:tc>
        <w:tc>
          <w:tcPr>
            <w:tcW w:w="724" w:type="pct"/>
            <w:tcBorders>
              <w:bottom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31-40</w:t>
            </w:r>
          </w:p>
        </w:tc>
        <w:tc>
          <w:tcPr>
            <w:tcW w:w="724" w:type="pct"/>
            <w:tcBorders>
              <w:bottom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41-50</w:t>
            </w:r>
          </w:p>
        </w:tc>
        <w:tc>
          <w:tcPr>
            <w:tcW w:w="729" w:type="pct"/>
            <w:tcBorders>
              <w:bottom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&gt;50</w:t>
            </w:r>
          </w:p>
        </w:tc>
        <w:tc>
          <w:tcPr>
            <w:tcW w:w="741" w:type="pct"/>
            <w:tcBorders>
              <w:bottom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Total</w:t>
            </w:r>
          </w:p>
        </w:tc>
      </w:tr>
      <w:tr w:rsidR="001C1634" w:rsidRPr="00B11422" w:rsidTr="00F05AD7">
        <w:tc>
          <w:tcPr>
            <w:tcW w:w="1358" w:type="pct"/>
            <w:tcBorders>
              <w:top w:val="single" w:sz="4" w:space="0" w:color="auto"/>
              <w:left w:val="single" w:sz="4" w:space="0" w:color="auto"/>
              <w:bottom w:val="single" w:sz="4" w:space="0" w:color="auto"/>
              <w:right w:val="nil"/>
            </w:tcBorders>
          </w:tcPr>
          <w:p w:rsidR="001C1634" w:rsidRPr="00B11422" w:rsidRDefault="001C1634" w:rsidP="005F144F">
            <w:pPr>
              <w:spacing w:after="240" w:line="360" w:lineRule="auto"/>
              <w:jc w:val="both"/>
              <w:rPr>
                <w:rFonts w:ascii="Arial" w:hAnsi="Arial" w:cs="Arial"/>
                <w:b/>
                <w:bCs/>
              </w:rPr>
            </w:pPr>
            <w:r w:rsidRPr="00B11422">
              <w:rPr>
                <w:rFonts w:ascii="Arial" w:hAnsi="Arial" w:cs="Arial"/>
                <w:b/>
                <w:bCs/>
              </w:rPr>
              <w:t>Profession/Occupation</w:t>
            </w:r>
          </w:p>
        </w:tc>
        <w:tc>
          <w:tcPr>
            <w:tcW w:w="723" w:type="pct"/>
            <w:tcBorders>
              <w:top w:val="single" w:sz="4" w:space="0" w:color="auto"/>
              <w:left w:val="nil"/>
              <w:bottom w:val="single" w:sz="4" w:space="0" w:color="auto"/>
              <w:right w:val="nil"/>
            </w:tcBorders>
          </w:tcPr>
          <w:p w:rsidR="001C1634" w:rsidRPr="00B11422" w:rsidRDefault="001C1634" w:rsidP="003D6536">
            <w:pPr>
              <w:spacing w:after="240" w:line="360" w:lineRule="auto"/>
              <w:jc w:val="center"/>
              <w:rPr>
                <w:rFonts w:ascii="Arial" w:hAnsi="Arial" w:cs="Arial"/>
              </w:rPr>
            </w:pPr>
          </w:p>
        </w:tc>
        <w:tc>
          <w:tcPr>
            <w:tcW w:w="724" w:type="pct"/>
            <w:tcBorders>
              <w:top w:val="single" w:sz="4" w:space="0" w:color="auto"/>
              <w:left w:val="nil"/>
              <w:bottom w:val="single" w:sz="4" w:space="0" w:color="auto"/>
              <w:right w:val="nil"/>
            </w:tcBorders>
          </w:tcPr>
          <w:p w:rsidR="001C1634" w:rsidRPr="00B11422" w:rsidRDefault="001C1634" w:rsidP="003D6536">
            <w:pPr>
              <w:spacing w:after="240" w:line="360" w:lineRule="auto"/>
              <w:jc w:val="center"/>
              <w:rPr>
                <w:rFonts w:ascii="Arial" w:hAnsi="Arial" w:cs="Arial"/>
              </w:rPr>
            </w:pPr>
          </w:p>
        </w:tc>
        <w:tc>
          <w:tcPr>
            <w:tcW w:w="724" w:type="pct"/>
            <w:tcBorders>
              <w:top w:val="single" w:sz="4" w:space="0" w:color="auto"/>
              <w:left w:val="nil"/>
              <w:bottom w:val="single" w:sz="4" w:space="0" w:color="auto"/>
              <w:right w:val="nil"/>
            </w:tcBorders>
          </w:tcPr>
          <w:p w:rsidR="001C1634" w:rsidRPr="00B11422" w:rsidRDefault="001C1634" w:rsidP="003D6536">
            <w:pPr>
              <w:spacing w:after="240" w:line="360" w:lineRule="auto"/>
              <w:jc w:val="center"/>
              <w:rPr>
                <w:rFonts w:ascii="Arial" w:hAnsi="Arial" w:cs="Arial"/>
              </w:rPr>
            </w:pPr>
          </w:p>
        </w:tc>
        <w:tc>
          <w:tcPr>
            <w:tcW w:w="729" w:type="pct"/>
            <w:tcBorders>
              <w:top w:val="single" w:sz="4" w:space="0" w:color="auto"/>
              <w:left w:val="nil"/>
              <w:bottom w:val="single" w:sz="4" w:space="0" w:color="auto"/>
              <w:right w:val="nil"/>
            </w:tcBorders>
          </w:tcPr>
          <w:p w:rsidR="001C1634" w:rsidRPr="00B11422" w:rsidRDefault="001C1634" w:rsidP="003D6536">
            <w:pPr>
              <w:spacing w:after="240" w:line="360" w:lineRule="auto"/>
              <w:jc w:val="center"/>
              <w:rPr>
                <w:rFonts w:ascii="Arial" w:hAnsi="Arial" w:cs="Arial"/>
              </w:rPr>
            </w:pPr>
          </w:p>
        </w:tc>
        <w:tc>
          <w:tcPr>
            <w:tcW w:w="741" w:type="pct"/>
            <w:tcBorders>
              <w:top w:val="single" w:sz="4" w:space="0" w:color="auto"/>
              <w:left w:val="nil"/>
              <w:bottom w:val="single" w:sz="4" w:space="0" w:color="auto"/>
              <w:right w:val="single" w:sz="4" w:space="0" w:color="auto"/>
            </w:tcBorders>
          </w:tcPr>
          <w:p w:rsidR="001C1634" w:rsidRPr="00B11422" w:rsidRDefault="001C1634" w:rsidP="003D6536">
            <w:pPr>
              <w:spacing w:after="240" w:line="360" w:lineRule="auto"/>
              <w:jc w:val="center"/>
              <w:rPr>
                <w:rFonts w:ascii="Arial" w:hAnsi="Arial" w:cs="Arial"/>
              </w:rPr>
            </w:pP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Mechanics</w:t>
            </w:r>
          </w:p>
        </w:tc>
        <w:tc>
          <w:tcPr>
            <w:tcW w:w="723" w:type="pct"/>
            <w:tcBorders>
              <w:top w:val="single" w:sz="4" w:space="0" w:color="auto"/>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20</w:t>
            </w:r>
          </w:p>
        </w:tc>
        <w:tc>
          <w:tcPr>
            <w:tcW w:w="724" w:type="pct"/>
            <w:tcBorders>
              <w:top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4" w:type="pct"/>
            <w:tcBorders>
              <w:top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Borders>
              <w:top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41" w:type="pct"/>
            <w:tcBorders>
              <w:top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25</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Plumbers</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8</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18</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Carpenters</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7</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10</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Welders</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4</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15</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Electricians</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8</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10</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Painters</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17</w:t>
            </w:r>
          </w:p>
        </w:tc>
      </w:tr>
      <w:tr w:rsidR="001C1634" w:rsidRPr="00B11422" w:rsidTr="00F05AD7">
        <w:tc>
          <w:tcPr>
            <w:tcW w:w="1358" w:type="pct"/>
            <w:tcBorders>
              <w:top w:val="single" w:sz="4" w:space="0" w:color="auto"/>
              <w:left w:val="single" w:sz="4" w:space="0" w:color="auto"/>
              <w:bottom w:val="single" w:sz="4" w:space="0" w:color="auto"/>
              <w:right w:val="single" w:sz="4" w:space="0" w:color="auto"/>
            </w:tcBorders>
          </w:tcPr>
          <w:p w:rsidR="001C1634" w:rsidRPr="00B11422" w:rsidRDefault="001C1634" w:rsidP="005F144F">
            <w:pPr>
              <w:spacing w:after="240" w:line="360" w:lineRule="auto"/>
              <w:jc w:val="both"/>
              <w:rPr>
                <w:rFonts w:ascii="Arial" w:hAnsi="Arial" w:cs="Arial"/>
              </w:rPr>
            </w:pPr>
            <w:r w:rsidRPr="00B11422">
              <w:rPr>
                <w:rFonts w:ascii="Arial" w:hAnsi="Arial" w:cs="Arial"/>
              </w:rPr>
              <w:t>Total</w:t>
            </w:r>
          </w:p>
        </w:tc>
        <w:tc>
          <w:tcPr>
            <w:tcW w:w="723" w:type="pct"/>
            <w:tcBorders>
              <w:left w:val="single" w:sz="4" w:space="0" w:color="auto"/>
            </w:tcBorders>
          </w:tcPr>
          <w:p w:rsidR="001C1634" w:rsidRPr="00B11422" w:rsidRDefault="001C1634" w:rsidP="003D6536">
            <w:pPr>
              <w:spacing w:after="240" w:line="360" w:lineRule="auto"/>
              <w:jc w:val="center"/>
              <w:rPr>
                <w:rFonts w:ascii="Arial" w:hAnsi="Arial" w:cs="Arial"/>
              </w:rPr>
            </w:pPr>
            <w:r w:rsidRPr="00B11422">
              <w:rPr>
                <w:rFonts w:ascii="Arial" w:hAnsi="Arial" w:cs="Arial"/>
              </w:rPr>
              <w:t>51</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28</w:t>
            </w:r>
          </w:p>
        </w:tc>
        <w:tc>
          <w:tcPr>
            <w:tcW w:w="724" w:type="pct"/>
          </w:tcPr>
          <w:p w:rsidR="001C1634" w:rsidRPr="00B11422" w:rsidRDefault="001C1634" w:rsidP="003D6536">
            <w:pPr>
              <w:spacing w:after="240" w:line="360" w:lineRule="auto"/>
              <w:jc w:val="center"/>
              <w:rPr>
                <w:rFonts w:ascii="Arial" w:hAnsi="Arial" w:cs="Arial"/>
              </w:rPr>
            </w:pPr>
            <w:r w:rsidRPr="00B11422">
              <w:rPr>
                <w:rFonts w:ascii="Arial" w:hAnsi="Arial" w:cs="Arial"/>
              </w:rPr>
              <w:t>12</w:t>
            </w:r>
          </w:p>
        </w:tc>
        <w:tc>
          <w:tcPr>
            <w:tcW w:w="729" w:type="pct"/>
          </w:tcPr>
          <w:p w:rsidR="001C1634" w:rsidRPr="00B11422" w:rsidRDefault="001C1634" w:rsidP="003D6536">
            <w:pPr>
              <w:spacing w:after="240" w:line="360" w:lineRule="auto"/>
              <w:jc w:val="center"/>
              <w:rPr>
                <w:rFonts w:ascii="Arial" w:hAnsi="Arial" w:cs="Arial"/>
              </w:rPr>
            </w:pPr>
            <w:r w:rsidRPr="00B11422">
              <w:rPr>
                <w:rFonts w:ascii="Arial" w:hAnsi="Arial" w:cs="Arial"/>
              </w:rPr>
              <w:t>4</w:t>
            </w:r>
          </w:p>
        </w:tc>
        <w:tc>
          <w:tcPr>
            <w:tcW w:w="741" w:type="pct"/>
          </w:tcPr>
          <w:p w:rsidR="001C1634" w:rsidRPr="00B11422" w:rsidRDefault="001C1634" w:rsidP="003D6536">
            <w:pPr>
              <w:spacing w:after="240" w:line="360" w:lineRule="auto"/>
              <w:jc w:val="center"/>
              <w:rPr>
                <w:rFonts w:ascii="Arial" w:hAnsi="Arial" w:cs="Arial"/>
              </w:rPr>
            </w:pPr>
            <w:r w:rsidRPr="00B11422">
              <w:rPr>
                <w:rFonts w:ascii="Arial" w:hAnsi="Arial" w:cs="Arial"/>
              </w:rPr>
              <w:t>95</w:t>
            </w:r>
          </w:p>
        </w:tc>
      </w:tr>
    </w:tbl>
    <w:p w:rsidR="00B104BD" w:rsidRPr="00F84776" w:rsidRDefault="00D715E6" w:rsidP="005F144F">
      <w:pPr>
        <w:spacing w:after="240" w:line="360" w:lineRule="auto"/>
        <w:jc w:val="both"/>
        <w:rPr>
          <w:rFonts w:ascii="Arial" w:hAnsi="Arial" w:cs="Arial"/>
          <w:i/>
        </w:rPr>
      </w:pPr>
      <w:r>
        <w:rPr>
          <w:rFonts w:ascii="Arial" w:hAnsi="Arial" w:cs="Arial"/>
          <w:b/>
        </w:rPr>
        <w:t>*</w:t>
      </w:r>
      <w:r w:rsidR="00B350CF">
        <w:rPr>
          <w:rFonts w:ascii="Arial" w:hAnsi="Arial" w:cs="Arial"/>
          <w:b/>
          <w:i/>
        </w:rPr>
        <w:t xml:space="preserve">age </w:t>
      </w:r>
      <w:proofErr w:type="gramStart"/>
      <w:r w:rsidR="00B350CF">
        <w:rPr>
          <w:rFonts w:ascii="Arial" w:hAnsi="Arial" w:cs="Arial"/>
          <w:b/>
          <w:i/>
        </w:rPr>
        <w:t>range</w:t>
      </w:r>
      <w:r w:rsidR="00160E7F">
        <w:rPr>
          <w:rFonts w:ascii="Arial" w:hAnsi="Arial" w:cs="Arial"/>
          <w:b/>
          <w:i/>
        </w:rPr>
        <w:t xml:space="preserve"> </w:t>
      </w:r>
      <w:r w:rsidR="00B350CF">
        <w:rPr>
          <w:rFonts w:ascii="Arial" w:hAnsi="Arial" w:cs="Arial"/>
          <w:b/>
          <w:i/>
        </w:rPr>
        <w:t xml:space="preserve"> </w:t>
      </w:r>
      <w:r>
        <w:rPr>
          <w:rFonts w:ascii="Arial" w:hAnsi="Arial" w:cs="Arial"/>
          <w:b/>
          <w:i/>
        </w:rPr>
        <w:t>of</w:t>
      </w:r>
      <w:proofErr w:type="gramEnd"/>
      <w:r>
        <w:rPr>
          <w:rFonts w:ascii="Arial" w:hAnsi="Arial" w:cs="Arial"/>
          <w:b/>
          <w:i/>
        </w:rPr>
        <w:t xml:space="preserve"> artisans represented in </w:t>
      </w:r>
      <w:r w:rsidR="004258DC">
        <w:rPr>
          <w:rFonts w:ascii="Arial" w:hAnsi="Arial" w:cs="Arial"/>
          <w:b/>
          <w:i/>
        </w:rPr>
        <w:t>figures.</w:t>
      </w:r>
    </w:p>
    <w:p w:rsidR="00B26B70" w:rsidRDefault="00B26B70" w:rsidP="000228BC">
      <w:pPr>
        <w:spacing w:after="240" w:line="360" w:lineRule="auto"/>
        <w:rPr>
          <w:rFonts w:ascii="Arial" w:hAnsi="Arial" w:cs="Arial"/>
          <w:b/>
          <w:sz w:val="22"/>
          <w:szCs w:val="22"/>
        </w:rPr>
      </w:pPr>
    </w:p>
    <w:p w:rsidR="00486B84" w:rsidRDefault="007F6B01" w:rsidP="00486B84">
      <w:pPr>
        <w:pStyle w:val="NormalWeb"/>
        <w:rPr>
          <w:rFonts w:ascii="Arial" w:hAnsi="Arial" w:cs="Arial"/>
          <w:bCs/>
          <w:sz w:val="20"/>
          <w:szCs w:val="20"/>
        </w:rPr>
      </w:pPr>
      <w:r w:rsidRPr="00486B84">
        <w:rPr>
          <w:rFonts w:ascii="Arial" w:hAnsi="Arial" w:cs="Arial"/>
          <w:bCs/>
          <w:sz w:val="20"/>
          <w:szCs w:val="20"/>
        </w:rPr>
        <w:lastRenderedPageBreak/>
        <w:t>Table 3 categorizes the specific waste streams, chemicals, and solvents utilized across various artisanal trades. By delineating raw material inputs alongside their resulting hazardous outputs, the table illustrates the direct relationship between occupational activities and environmental exposure. This systematic classification provides a framework for assessing specific hazardous material exposures and the associated risks to both the environment and individual health.</w:t>
      </w:r>
    </w:p>
    <w:p w:rsidR="0084219A" w:rsidRPr="00486B84" w:rsidRDefault="0084219A" w:rsidP="00486B84">
      <w:pPr>
        <w:pStyle w:val="NormalWeb"/>
        <w:rPr>
          <w:rFonts w:ascii="Arial" w:hAnsi="Arial" w:cs="Arial"/>
          <w:bCs/>
          <w:sz w:val="20"/>
          <w:szCs w:val="20"/>
        </w:rPr>
      </w:pPr>
      <w:r w:rsidRPr="0084219A">
        <w:rPr>
          <w:rFonts w:ascii="Arial" w:hAnsi="Arial" w:cs="Arial"/>
          <w:bCs/>
          <w:sz w:val="20"/>
          <w:szCs w:val="20"/>
        </w:rPr>
        <w:t>Table 3: Input or Output Materials Having Effect on the Environment and Individuals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6"/>
        <w:gridCol w:w="1248"/>
        <w:gridCol w:w="859"/>
        <w:gridCol w:w="1222"/>
        <w:gridCol w:w="1034"/>
        <w:gridCol w:w="3911"/>
      </w:tblGrid>
      <w:tr w:rsidR="00E84978" w:rsidRPr="00B11422" w:rsidTr="00F05AD7">
        <w:trPr>
          <w:tblHeade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b/>
                <w:bCs/>
              </w:rPr>
            </w:pPr>
            <w:r w:rsidRPr="00B11422">
              <w:rPr>
                <w:rFonts w:ascii="Arial" w:hAnsi="Arial" w:cs="Arial"/>
                <w:b/>
                <w:bCs/>
              </w:rPr>
              <w:t>Occupation</w:t>
            </w:r>
          </w:p>
        </w:tc>
        <w:tc>
          <w:tcPr>
            <w:tcW w:w="667" w:type="pct"/>
            <w:vAlign w:val="center"/>
            <w:hideMark/>
          </w:tcPr>
          <w:p w:rsidR="00E84978" w:rsidRPr="00B11422" w:rsidRDefault="00E84978" w:rsidP="003D6536">
            <w:pPr>
              <w:spacing w:after="240" w:line="360" w:lineRule="auto"/>
              <w:jc w:val="center"/>
              <w:rPr>
                <w:rFonts w:ascii="Arial" w:hAnsi="Arial" w:cs="Arial"/>
                <w:b/>
                <w:bCs/>
              </w:rPr>
            </w:pPr>
            <w:r w:rsidRPr="00B11422">
              <w:rPr>
                <w:rFonts w:ascii="Arial" w:hAnsi="Arial" w:cs="Arial"/>
                <w:b/>
                <w:bCs/>
              </w:rPr>
              <w:t>Materials Used</w:t>
            </w:r>
          </w:p>
        </w:tc>
        <w:tc>
          <w:tcPr>
            <w:tcW w:w="402" w:type="pct"/>
            <w:vAlign w:val="center"/>
            <w:hideMark/>
          </w:tcPr>
          <w:p w:rsidR="00E84978" w:rsidRPr="00B11422" w:rsidRDefault="00E84978" w:rsidP="003D6536">
            <w:pPr>
              <w:spacing w:after="240" w:line="360" w:lineRule="auto"/>
              <w:jc w:val="center"/>
              <w:rPr>
                <w:rFonts w:ascii="Arial" w:hAnsi="Arial" w:cs="Arial"/>
                <w:b/>
                <w:bCs/>
              </w:rPr>
            </w:pPr>
            <w:r w:rsidRPr="00B11422">
              <w:rPr>
                <w:rFonts w:ascii="Arial" w:hAnsi="Arial" w:cs="Arial"/>
                <w:b/>
                <w:bCs/>
              </w:rPr>
              <w:t>Input</w:t>
            </w:r>
          </w:p>
        </w:tc>
        <w:tc>
          <w:tcPr>
            <w:tcW w:w="653" w:type="pct"/>
            <w:vAlign w:val="center"/>
            <w:hideMark/>
          </w:tcPr>
          <w:p w:rsidR="00E84978" w:rsidRPr="00B11422" w:rsidRDefault="00E84978" w:rsidP="003D6536">
            <w:pPr>
              <w:spacing w:after="240" w:line="360" w:lineRule="auto"/>
              <w:jc w:val="center"/>
              <w:rPr>
                <w:rFonts w:ascii="Arial" w:hAnsi="Arial" w:cs="Arial"/>
                <w:b/>
                <w:bCs/>
              </w:rPr>
            </w:pPr>
            <w:r w:rsidRPr="00B11422">
              <w:rPr>
                <w:rFonts w:ascii="Arial" w:hAnsi="Arial" w:cs="Arial"/>
                <w:b/>
                <w:bCs/>
              </w:rPr>
              <w:t>Raw Materials</w:t>
            </w:r>
          </w:p>
        </w:tc>
        <w:tc>
          <w:tcPr>
            <w:tcW w:w="554" w:type="pct"/>
            <w:vAlign w:val="center"/>
            <w:hideMark/>
          </w:tcPr>
          <w:p w:rsidR="00E84978" w:rsidRPr="00B11422" w:rsidRDefault="00E84978" w:rsidP="003D6536">
            <w:pPr>
              <w:spacing w:after="240" w:line="360" w:lineRule="auto"/>
              <w:jc w:val="center"/>
              <w:rPr>
                <w:rFonts w:ascii="Arial" w:hAnsi="Arial" w:cs="Arial"/>
                <w:b/>
                <w:bCs/>
              </w:rPr>
            </w:pPr>
            <w:r w:rsidRPr="00B11422">
              <w:rPr>
                <w:rFonts w:ascii="Arial" w:hAnsi="Arial" w:cs="Arial"/>
                <w:b/>
                <w:bCs/>
              </w:rPr>
              <w:t>Products</w:t>
            </w:r>
          </w:p>
        </w:tc>
        <w:tc>
          <w:tcPr>
            <w:tcW w:w="2065" w:type="pct"/>
            <w:vAlign w:val="center"/>
            <w:hideMark/>
          </w:tcPr>
          <w:p w:rsidR="00E84978" w:rsidRPr="00B11422" w:rsidRDefault="00E84978" w:rsidP="003D6536">
            <w:pPr>
              <w:spacing w:after="240" w:line="360" w:lineRule="auto"/>
              <w:jc w:val="center"/>
              <w:rPr>
                <w:rFonts w:ascii="Arial" w:hAnsi="Arial" w:cs="Arial"/>
                <w:b/>
                <w:bCs/>
              </w:rPr>
            </w:pPr>
            <w:r w:rsidRPr="00B11422">
              <w:rPr>
                <w:rFonts w:ascii="Arial" w:hAnsi="Arial" w:cs="Arial"/>
                <w:b/>
                <w:bCs/>
              </w:rPr>
              <w:t>Output / By-products</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Mechanic</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Fuel</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Grease</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Detergent</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Oils, Solvent</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Spent/Waste oil, Greases, Cough, Metals, Odors, Petrol</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Plumber</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Acids</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Binder</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Cement</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Plastics</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Effluents, Acids, Water, Waste</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Painter</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Paints</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Solvents</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Thinners</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Polishes</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Grease, Oils, Waste paint, Wastewater</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Carpenter</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Wood</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Thinners</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Nails</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Polishes</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Nails, Wood dust, Sawdust</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Welder</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Soldering</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Iron</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Metals</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Soldering</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Heat, UV Rays, Gases</w:t>
            </w:r>
          </w:p>
        </w:tc>
      </w:tr>
      <w:tr w:rsidR="00E84978" w:rsidRPr="00B11422" w:rsidTr="00F05AD7">
        <w:trPr>
          <w:tblCellSpacing w:w="15" w:type="dxa"/>
        </w:trPr>
        <w:tc>
          <w:tcPr>
            <w:tcW w:w="549" w:type="pct"/>
            <w:vAlign w:val="center"/>
            <w:hideMark/>
          </w:tcPr>
          <w:p w:rsidR="00E84978" w:rsidRPr="00B11422" w:rsidRDefault="00E84978" w:rsidP="005F144F">
            <w:pPr>
              <w:spacing w:after="240" w:line="360" w:lineRule="auto"/>
              <w:jc w:val="both"/>
              <w:rPr>
                <w:rFonts w:ascii="Arial" w:hAnsi="Arial" w:cs="Arial"/>
              </w:rPr>
            </w:pPr>
            <w:r w:rsidRPr="00B11422">
              <w:rPr>
                <w:rFonts w:ascii="Arial" w:hAnsi="Arial" w:cs="Arial"/>
              </w:rPr>
              <w:t>Electrician</w:t>
            </w:r>
          </w:p>
        </w:tc>
        <w:tc>
          <w:tcPr>
            <w:tcW w:w="667"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Gases</w:t>
            </w:r>
          </w:p>
        </w:tc>
        <w:tc>
          <w:tcPr>
            <w:tcW w:w="402"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Solvents</w:t>
            </w:r>
          </w:p>
        </w:tc>
        <w:tc>
          <w:tcPr>
            <w:tcW w:w="653"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Paints</w:t>
            </w:r>
          </w:p>
        </w:tc>
        <w:tc>
          <w:tcPr>
            <w:tcW w:w="554"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w:t>
            </w:r>
          </w:p>
        </w:tc>
        <w:tc>
          <w:tcPr>
            <w:tcW w:w="2065" w:type="pct"/>
            <w:vAlign w:val="center"/>
            <w:hideMark/>
          </w:tcPr>
          <w:p w:rsidR="00E84978" w:rsidRPr="00B11422" w:rsidRDefault="00E84978" w:rsidP="003D6536">
            <w:pPr>
              <w:spacing w:after="240" w:line="360" w:lineRule="auto"/>
              <w:jc w:val="center"/>
              <w:rPr>
                <w:rFonts w:ascii="Arial" w:hAnsi="Arial" w:cs="Arial"/>
              </w:rPr>
            </w:pPr>
            <w:r w:rsidRPr="00B11422">
              <w:rPr>
                <w:rFonts w:ascii="Arial" w:hAnsi="Arial" w:cs="Arial"/>
              </w:rPr>
              <w:t>Gases, CO, CO</w:t>
            </w:r>
            <w:r w:rsidRPr="00B11422">
              <w:rPr>
                <w:rFonts w:ascii="Times New Roman" w:hAnsi="Times New Roman" w:cs="Arial"/>
              </w:rPr>
              <w:t>₂</w:t>
            </w:r>
            <w:r w:rsidRPr="00B11422">
              <w:rPr>
                <w:rFonts w:ascii="Arial" w:hAnsi="Arial" w:cs="Arial"/>
              </w:rPr>
              <w:t>, Heat</w:t>
            </w:r>
          </w:p>
        </w:tc>
      </w:tr>
    </w:tbl>
    <w:tbl>
      <w:tblPr>
        <w:tblStyle w:val="TableGrid"/>
        <w:tblpPr w:leftFromText="180" w:rightFromText="180" w:vertAnchor="text" w:horzAnchor="margin" w:tblpY="6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95"/>
        <w:gridCol w:w="1806"/>
        <w:gridCol w:w="2017"/>
        <w:gridCol w:w="1900"/>
      </w:tblGrid>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b/>
                <w:bCs/>
              </w:rPr>
            </w:pPr>
            <w:r w:rsidRPr="003D6536">
              <w:rPr>
                <w:rFonts w:ascii="Arial" w:hAnsi="Arial" w:cs="Arial"/>
                <w:b/>
                <w:bCs/>
              </w:rPr>
              <w:t>Profession</w:t>
            </w:r>
          </w:p>
        </w:tc>
        <w:tc>
          <w:tcPr>
            <w:tcW w:w="989"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Municipal Garbage</w:t>
            </w:r>
          </w:p>
        </w:tc>
        <w:tc>
          <w:tcPr>
            <w:tcW w:w="94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Sewage</w:t>
            </w:r>
          </w:p>
        </w:tc>
        <w:tc>
          <w:tcPr>
            <w:tcW w:w="105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Drains/Gutter</w:t>
            </w: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Anywhere</w:t>
            </w: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Mechanics</w:t>
            </w:r>
          </w:p>
        </w:tc>
        <w:tc>
          <w:tcPr>
            <w:tcW w:w="989" w:type="pct"/>
            <w:vAlign w:val="center"/>
          </w:tcPr>
          <w:p w:rsidR="0084219A" w:rsidRPr="003D6536" w:rsidRDefault="0084219A" w:rsidP="0084219A">
            <w:pPr>
              <w:spacing w:after="240" w:line="360" w:lineRule="auto"/>
              <w:jc w:val="center"/>
              <w:rPr>
                <w:rFonts w:ascii="Arial" w:hAnsi="Arial" w:cs="Arial"/>
              </w:rPr>
            </w:pPr>
          </w:p>
        </w:tc>
        <w:tc>
          <w:tcPr>
            <w:tcW w:w="94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5</w:t>
            </w:r>
          </w:p>
        </w:tc>
        <w:tc>
          <w:tcPr>
            <w:tcW w:w="105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4</w:t>
            </w: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12</w:t>
            </w: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Plumbers</w:t>
            </w:r>
          </w:p>
        </w:tc>
        <w:tc>
          <w:tcPr>
            <w:tcW w:w="989"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3</w:t>
            </w:r>
          </w:p>
        </w:tc>
        <w:tc>
          <w:tcPr>
            <w:tcW w:w="94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9</w:t>
            </w:r>
          </w:p>
        </w:tc>
        <w:tc>
          <w:tcPr>
            <w:tcW w:w="105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10</w:t>
            </w:r>
          </w:p>
        </w:tc>
        <w:tc>
          <w:tcPr>
            <w:tcW w:w="992" w:type="pct"/>
            <w:vAlign w:val="center"/>
          </w:tcPr>
          <w:p w:rsidR="0084219A" w:rsidRPr="003D6536" w:rsidRDefault="0084219A" w:rsidP="0084219A">
            <w:pPr>
              <w:spacing w:after="240" w:line="360" w:lineRule="auto"/>
              <w:jc w:val="center"/>
              <w:rPr>
                <w:rFonts w:ascii="Arial" w:hAnsi="Arial" w:cs="Arial"/>
              </w:rPr>
            </w:pP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Carpenters</w:t>
            </w:r>
          </w:p>
        </w:tc>
        <w:tc>
          <w:tcPr>
            <w:tcW w:w="989"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6</w:t>
            </w:r>
          </w:p>
        </w:tc>
        <w:tc>
          <w:tcPr>
            <w:tcW w:w="943" w:type="pct"/>
            <w:vAlign w:val="center"/>
          </w:tcPr>
          <w:p w:rsidR="0084219A" w:rsidRPr="003D6536" w:rsidRDefault="0084219A" w:rsidP="0084219A">
            <w:pPr>
              <w:spacing w:after="240" w:line="360" w:lineRule="auto"/>
              <w:jc w:val="center"/>
              <w:rPr>
                <w:rFonts w:ascii="Arial" w:hAnsi="Arial" w:cs="Arial"/>
              </w:rPr>
            </w:pPr>
          </w:p>
        </w:tc>
        <w:tc>
          <w:tcPr>
            <w:tcW w:w="1053" w:type="pct"/>
            <w:vAlign w:val="center"/>
          </w:tcPr>
          <w:p w:rsidR="0084219A" w:rsidRPr="003D6536" w:rsidRDefault="0084219A" w:rsidP="0084219A">
            <w:pPr>
              <w:spacing w:after="240" w:line="360" w:lineRule="auto"/>
              <w:jc w:val="center"/>
              <w:rPr>
                <w:rFonts w:ascii="Arial" w:hAnsi="Arial" w:cs="Arial"/>
              </w:rPr>
            </w:pP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2</w:t>
            </w: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Welders</w:t>
            </w:r>
          </w:p>
        </w:tc>
        <w:tc>
          <w:tcPr>
            <w:tcW w:w="989"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2</w:t>
            </w:r>
          </w:p>
        </w:tc>
        <w:tc>
          <w:tcPr>
            <w:tcW w:w="943" w:type="pct"/>
            <w:vAlign w:val="center"/>
          </w:tcPr>
          <w:p w:rsidR="0084219A" w:rsidRPr="003D6536" w:rsidRDefault="0084219A" w:rsidP="0084219A">
            <w:pPr>
              <w:spacing w:after="240" w:line="360" w:lineRule="auto"/>
              <w:jc w:val="center"/>
              <w:rPr>
                <w:rFonts w:ascii="Arial" w:hAnsi="Arial" w:cs="Arial"/>
              </w:rPr>
            </w:pPr>
          </w:p>
        </w:tc>
        <w:tc>
          <w:tcPr>
            <w:tcW w:w="1053" w:type="pct"/>
            <w:vAlign w:val="center"/>
          </w:tcPr>
          <w:p w:rsidR="0084219A" w:rsidRPr="003D6536" w:rsidRDefault="0084219A" w:rsidP="0084219A">
            <w:pPr>
              <w:spacing w:after="240" w:line="360" w:lineRule="auto"/>
              <w:jc w:val="center"/>
              <w:rPr>
                <w:rFonts w:ascii="Arial" w:hAnsi="Arial" w:cs="Arial"/>
              </w:rPr>
            </w:pP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7</w:t>
            </w: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Technicians</w:t>
            </w:r>
          </w:p>
        </w:tc>
        <w:tc>
          <w:tcPr>
            <w:tcW w:w="989"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4</w:t>
            </w:r>
          </w:p>
        </w:tc>
        <w:tc>
          <w:tcPr>
            <w:tcW w:w="94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3</w:t>
            </w:r>
          </w:p>
        </w:tc>
        <w:tc>
          <w:tcPr>
            <w:tcW w:w="105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2</w:t>
            </w: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2</w:t>
            </w:r>
          </w:p>
        </w:tc>
      </w:tr>
      <w:tr w:rsidR="0084219A" w:rsidRPr="003D6536" w:rsidTr="0084219A">
        <w:trPr>
          <w:trHeight w:val="288"/>
        </w:trPr>
        <w:tc>
          <w:tcPr>
            <w:tcW w:w="102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Painters</w:t>
            </w:r>
          </w:p>
        </w:tc>
        <w:tc>
          <w:tcPr>
            <w:tcW w:w="989" w:type="pct"/>
            <w:vAlign w:val="center"/>
          </w:tcPr>
          <w:p w:rsidR="0084219A" w:rsidRPr="003D6536" w:rsidRDefault="0084219A" w:rsidP="0084219A">
            <w:pPr>
              <w:spacing w:after="240" w:line="360" w:lineRule="auto"/>
              <w:jc w:val="center"/>
              <w:rPr>
                <w:rFonts w:ascii="Arial" w:hAnsi="Arial" w:cs="Arial"/>
              </w:rPr>
            </w:pPr>
          </w:p>
        </w:tc>
        <w:tc>
          <w:tcPr>
            <w:tcW w:w="943"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9</w:t>
            </w:r>
          </w:p>
        </w:tc>
        <w:tc>
          <w:tcPr>
            <w:tcW w:w="1053" w:type="pct"/>
            <w:vAlign w:val="center"/>
          </w:tcPr>
          <w:p w:rsidR="0084219A" w:rsidRPr="003D6536" w:rsidRDefault="0084219A" w:rsidP="0084219A">
            <w:pPr>
              <w:spacing w:after="240" w:line="360" w:lineRule="auto"/>
              <w:jc w:val="center"/>
              <w:rPr>
                <w:rFonts w:ascii="Arial" w:hAnsi="Arial" w:cs="Arial"/>
              </w:rPr>
            </w:pPr>
          </w:p>
        </w:tc>
        <w:tc>
          <w:tcPr>
            <w:tcW w:w="992" w:type="pct"/>
            <w:vAlign w:val="center"/>
          </w:tcPr>
          <w:p w:rsidR="0084219A" w:rsidRPr="003D6536" w:rsidRDefault="0084219A" w:rsidP="0084219A">
            <w:pPr>
              <w:spacing w:after="240" w:line="360" w:lineRule="auto"/>
              <w:jc w:val="center"/>
              <w:rPr>
                <w:rFonts w:ascii="Arial" w:hAnsi="Arial" w:cs="Arial"/>
              </w:rPr>
            </w:pPr>
            <w:r w:rsidRPr="003D6536">
              <w:rPr>
                <w:rFonts w:ascii="Arial" w:hAnsi="Arial" w:cs="Arial"/>
              </w:rPr>
              <w:t>7</w:t>
            </w:r>
          </w:p>
        </w:tc>
      </w:tr>
    </w:tbl>
    <w:p w:rsidR="00592510" w:rsidRPr="00486B84" w:rsidRDefault="004258DC" w:rsidP="005F144F">
      <w:pPr>
        <w:spacing w:after="240" w:line="360" w:lineRule="auto"/>
        <w:jc w:val="both"/>
        <w:rPr>
          <w:rFonts w:ascii="Arial" w:hAnsi="Arial" w:cs="Arial"/>
          <w:i/>
        </w:rPr>
      </w:pPr>
      <w:r>
        <w:rPr>
          <w:rFonts w:ascii="Arial" w:hAnsi="Arial" w:cs="Arial"/>
          <w:i/>
        </w:rPr>
        <w:t>*input   and output materials, chemicals and solvents and their byproducts</w:t>
      </w:r>
    </w:p>
    <w:p w:rsidR="0084219A" w:rsidRDefault="0084219A" w:rsidP="000228BC">
      <w:pPr>
        <w:spacing w:after="240" w:line="360" w:lineRule="auto"/>
        <w:rPr>
          <w:rFonts w:ascii="Arial" w:hAnsi="Arial" w:cs="Arial"/>
          <w:b/>
          <w:sz w:val="22"/>
          <w:szCs w:val="22"/>
        </w:rPr>
      </w:pPr>
      <w:r w:rsidRPr="0084219A">
        <w:rPr>
          <w:rFonts w:ascii="Arial" w:hAnsi="Arial" w:cs="Arial"/>
          <w:b/>
          <w:sz w:val="22"/>
          <w:szCs w:val="22"/>
        </w:rPr>
        <w:t>*informal and formal waste disposal patterns</w:t>
      </w:r>
    </w:p>
    <w:p w:rsidR="007F6B01" w:rsidRPr="000228BC" w:rsidRDefault="001D36D7" w:rsidP="000228BC">
      <w:pPr>
        <w:spacing w:after="240" w:line="360" w:lineRule="auto"/>
        <w:rPr>
          <w:rFonts w:ascii="Arial" w:hAnsi="Arial" w:cs="Arial"/>
          <w:b/>
          <w:sz w:val="22"/>
          <w:szCs w:val="22"/>
        </w:rPr>
      </w:pPr>
      <w:r w:rsidRPr="000228BC">
        <w:rPr>
          <w:rFonts w:ascii="Arial" w:hAnsi="Arial" w:cs="Arial"/>
          <w:b/>
          <w:sz w:val="22"/>
          <w:szCs w:val="22"/>
        </w:rPr>
        <w:lastRenderedPageBreak/>
        <w:t xml:space="preserve">Table </w:t>
      </w:r>
      <w:r w:rsidR="007F6B01" w:rsidRPr="000228BC">
        <w:rPr>
          <w:rFonts w:ascii="Arial" w:hAnsi="Arial" w:cs="Arial"/>
          <w:b/>
          <w:sz w:val="22"/>
          <w:szCs w:val="22"/>
        </w:rPr>
        <w:t>4</w:t>
      </w:r>
      <w:r w:rsidR="00F05AD7" w:rsidRPr="000228BC">
        <w:rPr>
          <w:rFonts w:ascii="Arial" w:hAnsi="Arial" w:cs="Arial"/>
          <w:b/>
          <w:sz w:val="22"/>
          <w:szCs w:val="22"/>
        </w:rPr>
        <w:t xml:space="preserve">: </w:t>
      </w:r>
      <w:r w:rsidR="007F6B01" w:rsidRPr="000228BC">
        <w:rPr>
          <w:rFonts w:ascii="Arial" w:hAnsi="Arial" w:cs="Arial"/>
          <w:b/>
          <w:sz w:val="22"/>
          <w:szCs w:val="22"/>
        </w:rPr>
        <w:t>Waste Disposal Patterns and Environmental Management</w:t>
      </w:r>
    </w:p>
    <w:p w:rsidR="007F6B01" w:rsidRPr="000228BC" w:rsidRDefault="00A30C65" w:rsidP="007F6B01">
      <w:pPr>
        <w:pStyle w:val="NormalWeb"/>
        <w:rPr>
          <w:rFonts w:ascii="Arial" w:hAnsi="Arial" w:cs="Arial"/>
          <w:sz w:val="20"/>
          <w:szCs w:val="20"/>
        </w:rPr>
      </w:pPr>
      <w:r>
        <w:rPr>
          <w:rFonts w:ascii="Arial" w:hAnsi="Arial" w:cs="Arial"/>
          <w:sz w:val="20"/>
          <w:szCs w:val="20"/>
        </w:rPr>
        <w:t xml:space="preserve">Table 4  </w:t>
      </w:r>
      <w:r w:rsidR="007F6B01" w:rsidRPr="000228BC">
        <w:rPr>
          <w:rFonts w:ascii="Arial" w:hAnsi="Arial" w:cs="Arial"/>
          <w:sz w:val="20"/>
          <w:szCs w:val="20"/>
        </w:rPr>
        <w:t xml:space="preserve"> represents waste disposal practices reveal a significant reliance on informal and hazardous methods. A substantial number of </w:t>
      </w:r>
      <w:r w:rsidR="007F6B01" w:rsidRPr="000228BC">
        <w:rPr>
          <w:rFonts w:ascii="Arial" w:hAnsi="Arial" w:cs="Arial"/>
          <w:bCs/>
          <w:sz w:val="20"/>
          <w:szCs w:val="20"/>
        </w:rPr>
        <w:t>mechanics (n=12)</w:t>
      </w:r>
      <w:r w:rsidR="007F6B01" w:rsidRPr="000228BC">
        <w:rPr>
          <w:rFonts w:ascii="Arial" w:hAnsi="Arial" w:cs="Arial"/>
          <w:sz w:val="20"/>
          <w:szCs w:val="20"/>
        </w:rPr>
        <w:t xml:space="preserve">, </w:t>
      </w:r>
      <w:r w:rsidR="007F6B01" w:rsidRPr="000228BC">
        <w:rPr>
          <w:rFonts w:ascii="Arial" w:hAnsi="Arial" w:cs="Arial"/>
          <w:bCs/>
          <w:sz w:val="20"/>
          <w:szCs w:val="20"/>
        </w:rPr>
        <w:t>welders</w:t>
      </w:r>
      <w:r w:rsidR="007F6B01" w:rsidRPr="000228BC">
        <w:rPr>
          <w:rFonts w:ascii="Arial" w:hAnsi="Arial" w:cs="Arial"/>
          <w:sz w:val="20"/>
          <w:szCs w:val="20"/>
        </w:rPr>
        <w:t xml:space="preserve">, and </w:t>
      </w:r>
      <w:r w:rsidR="007F6B01" w:rsidRPr="000228BC">
        <w:rPr>
          <w:rFonts w:ascii="Arial" w:hAnsi="Arial" w:cs="Arial"/>
          <w:bCs/>
          <w:sz w:val="20"/>
          <w:szCs w:val="20"/>
        </w:rPr>
        <w:t>painters</w:t>
      </w:r>
      <w:r w:rsidR="007F6B01" w:rsidRPr="000228BC">
        <w:rPr>
          <w:rFonts w:ascii="Arial" w:hAnsi="Arial" w:cs="Arial"/>
          <w:sz w:val="20"/>
          <w:szCs w:val="20"/>
        </w:rPr>
        <w:t xml:space="preserve"> practiced indiscriminate disposal, discharging waste without consideration for environmental impact. Specifically, </w:t>
      </w:r>
      <w:r w:rsidR="007F6B01" w:rsidRPr="000228BC">
        <w:rPr>
          <w:rFonts w:ascii="Arial" w:hAnsi="Arial" w:cs="Arial"/>
          <w:bCs/>
          <w:sz w:val="20"/>
          <w:szCs w:val="20"/>
        </w:rPr>
        <w:t>mechanics</w:t>
      </w:r>
      <w:r w:rsidR="007F6B01" w:rsidRPr="000228BC">
        <w:rPr>
          <w:rFonts w:ascii="Arial" w:hAnsi="Arial" w:cs="Arial"/>
          <w:sz w:val="20"/>
          <w:szCs w:val="20"/>
        </w:rPr>
        <w:t xml:space="preserve">, </w:t>
      </w:r>
      <w:r w:rsidR="007F6B01" w:rsidRPr="000228BC">
        <w:rPr>
          <w:rFonts w:ascii="Arial" w:hAnsi="Arial" w:cs="Arial"/>
          <w:bCs/>
          <w:sz w:val="20"/>
          <w:szCs w:val="20"/>
        </w:rPr>
        <w:t>technicians</w:t>
      </w:r>
      <w:r w:rsidR="007F6B01" w:rsidRPr="000228BC">
        <w:rPr>
          <w:rFonts w:ascii="Arial" w:hAnsi="Arial" w:cs="Arial"/>
          <w:sz w:val="20"/>
          <w:szCs w:val="20"/>
        </w:rPr>
        <w:t xml:space="preserve">, and </w:t>
      </w:r>
      <w:r w:rsidR="007F6B01" w:rsidRPr="000228BC">
        <w:rPr>
          <w:rFonts w:ascii="Arial" w:hAnsi="Arial" w:cs="Arial"/>
          <w:bCs/>
          <w:sz w:val="20"/>
          <w:szCs w:val="20"/>
        </w:rPr>
        <w:t>painters</w:t>
      </w:r>
      <w:r w:rsidR="007F6B01" w:rsidRPr="000228BC">
        <w:rPr>
          <w:rFonts w:ascii="Arial" w:hAnsi="Arial" w:cs="Arial"/>
          <w:sz w:val="20"/>
          <w:szCs w:val="20"/>
        </w:rPr>
        <w:t xml:space="preserve"> frequently utilized sewage openings and open drains as primary disposal sites for liquid and solid waste.</w:t>
      </w:r>
    </w:p>
    <w:p w:rsidR="007F6B01" w:rsidRPr="00486B84" w:rsidRDefault="007F6B01" w:rsidP="00486B84">
      <w:pPr>
        <w:pStyle w:val="NormalWeb"/>
        <w:rPr>
          <w:rFonts w:ascii="Arial" w:hAnsi="Arial" w:cs="Arial"/>
          <w:sz w:val="20"/>
          <w:szCs w:val="20"/>
        </w:rPr>
      </w:pPr>
      <w:r w:rsidRPr="000228BC">
        <w:rPr>
          <w:rFonts w:ascii="Arial" w:hAnsi="Arial" w:cs="Arial"/>
          <w:sz w:val="20"/>
          <w:szCs w:val="20"/>
        </w:rPr>
        <w:t xml:space="preserve">While a minority of practitioners—including </w:t>
      </w:r>
      <w:r w:rsidRPr="000228BC">
        <w:rPr>
          <w:rFonts w:ascii="Arial" w:hAnsi="Arial" w:cs="Arial"/>
          <w:bCs/>
          <w:sz w:val="20"/>
          <w:szCs w:val="20"/>
        </w:rPr>
        <w:t>plumbers (n=3)</w:t>
      </w:r>
      <w:r w:rsidRPr="000228BC">
        <w:rPr>
          <w:rFonts w:ascii="Arial" w:hAnsi="Arial" w:cs="Arial"/>
          <w:sz w:val="20"/>
          <w:szCs w:val="20"/>
        </w:rPr>
        <w:t xml:space="preserve">, </w:t>
      </w:r>
      <w:r w:rsidRPr="000228BC">
        <w:rPr>
          <w:rFonts w:ascii="Arial" w:hAnsi="Arial" w:cs="Arial"/>
          <w:bCs/>
          <w:sz w:val="20"/>
          <w:szCs w:val="20"/>
        </w:rPr>
        <w:t>carpenters (n=6)</w:t>
      </w:r>
      <w:r w:rsidRPr="000228BC">
        <w:rPr>
          <w:rFonts w:ascii="Arial" w:hAnsi="Arial" w:cs="Arial"/>
          <w:sz w:val="20"/>
          <w:szCs w:val="20"/>
        </w:rPr>
        <w:t xml:space="preserve">, and </w:t>
      </w:r>
      <w:r w:rsidRPr="000228BC">
        <w:rPr>
          <w:rFonts w:ascii="Arial" w:hAnsi="Arial" w:cs="Arial"/>
          <w:bCs/>
          <w:sz w:val="20"/>
          <w:szCs w:val="20"/>
        </w:rPr>
        <w:t>technicians (n=4)</w:t>
      </w:r>
      <w:r w:rsidRPr="000228BC">
        <w:rPr>
          <w:rFonts w:ascii="Arial" w:hAnsi="Arial" w:cs="Arial"/>
          <w:sz w:val="20"/>
          <w:szCs w:val="20"/>
        </w:rPr>
        <w:t>—utilized municipal garbage collection services, the majority of respondents across all trades exhibited reckless disposal behaviors. These patterns underscore a critical gap in waste management infrastructure and a lack of regulatory compliance within the informal sector.</w:t>
      </w:r>
    </w:p>
    <w:p w:rsidR="00F84776" w:rsidRDefault="00F84776" w:rsidP="000D34DF">
      <w:pPr>
        <w:spacing w:line="360" w:lineRule="auto"/>
        <w:jc w:val="both"/>
        <w:rPr>
          <w:rFonts w:ascii="Arial" w:hAnsi="Arial" w:cs="Arial"/>
          <w:b/>
        </w:rPr>
      </w:pPr>
    </w:p>
    <w:p w:rsidR="00F64EA9" w:rsidRDefault="00F64EA9" w:rsidP="00374719">
      <w:pPr>
        <w:spacing w:after="240" w:line="360" w:lineRule="auto"/>
        <w:jc w:val="both"/>
        <w:rPr>
          <w:rFonts w:ascii="Arial" w:hAnsi="Arial" w:cs="Arial"/>
          <w:b/>
        </w:rPr>
      </w:pPr>
    </w:p>
    <w:p w:rsidR="00F64EA9" w:rsidRDefault="00F64EA9" w:rsidP="00374719">
      <w:pPr>
        <w:spacing w:after="240" w:line="360" w:lineRule="auto"/>
        <w:jc w:val="both"/>
        <w:rPr>
          <w:rFonts w:ascii="Arial" w:hAnsi="Arial" w:cs="Arial"/>
          <w:b/>
        </w:rPr>
      </w:pPr>
    </w:p>
    <w:p w:rsidR="00FC49D7" w:rsidRDefault="00FC49D7" w:rsidP="00374719">
      <w:pPr>
        <w:spacing w:after="240" w:line="360" w:lineRule="auto"/>
        <w:jc w:val="both"/>
        <w:rPr>
          <w:rFonts w:ascii="Arial" w:hAnsi="Arial" w:cs="Arial"/>
          <w:b/>
          <w:sz w:val="22"/>
        </w:rPr>
      </w:pPr>
    </w:p>
    <w:p w:rsidR="00075CBB" w:rsidRDefault="00075CBB" w:rsidP="00374719">
      <w:pPr>
        <w:spacing w:after="240" w:line="360" w:lineRule="auto"/>
        <w:jc w:val="both"/>
        <w:rPr>
          <w:rFonts w:ascii="Arial" w:hAnsi="Arial" w:cs="Arial"/>
          <w:b/>
          <w:sz w:val="22"/>
        </w:rPr>
      </w:pPr>
    </w:p>
    <w:p w:rsidR="00075CBB" w:rsidRDefault="00075CBB" w:rsidP="00374719">
      <w:pPr>
        <w:spacing w:after="240" w:line="360" w:lineRule="auto"/>
        <w:jc w:val="both"/>
        <w:rPr>
          <w:rFonts w:ascii="Arial" w:hAnsi="Arial" w:cs="Arial"/>
          <w:b/>
          <w:sz w:val="22"/>
        </w:rPr>
      </w:pPr>
    </w:p>
    <w:p w:rsidR="00075CBB" w:rsidRDefault="00075CBB" w:rsidP="00374719">
      <w:pPr>
        <w:spacing w:after="240" w:line="360" w:lineRule="auto"/>
        <w:jc w:val="both"/>
        <w:rPr>
          <w:rFonts w:ascii="Arial" w:hAnsi="Arial" w:cs="Arial"/>
          <w:b/>
          <w:sz w:val="22"/>
        </w:rPr>
      </w:pPr>
      <w:r w:rsidRPr="00075CBB">
        <w:rPr>
          <w:rFonts w:ascii="Arial" w:hAnsi="Arial" w:cs="Arial"/>
          <w:b/>
          <w:noProof/>
          <w:sz w:val="22"/>
        </w:rPr>
        <w:drawing>
          <wp:inline distT="0" distB="0" distL="0" distR="0">
            <wp:extent cx="5715000" cy="2924175"/>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47EC4">
        <w:rPr>
          <w:rFonts w:ascii="Arial" w:hAnsi="Arial" w:cs="Arial"/>
          <w:b/>
          <w:sz w:val="22"/>
        </w:rPr>
        <w:t xml:space="preserve">                                                                                    </w:t>
      </w:r>
    </w:p>
    <w:p w:rsidR="00F64EA9" w:rsidRPr="000228BC" w:rsidRDefault="00F64EA9" w:rsidP="00F64EA9">
      <w:pPr>
        <w:spacing w:line="360" w:lineRule="auto"/>
        <w:jc w:val="both"/>
        <w:rPr>
          <w:rFonts w:ascii="Arial" w:hAnsi="Arial" w:cs="Arial"/>
          <w:b/>
          <w:sz w:val="22"/>
          <w:szCs w:val="22"/>
        </w:rPr>
      </w:pPr>
      <w:r>
        <w:rPr>
          <w:rFonts w:ascii="Arial" w:hAnsi="Arial" w:cs="Arial"/>
          <w:b/>
          <w:sz w:val="22"/>
          <w:szCs w:val="22"/>
        </w:rPr>
        <w:t xml:space="preserve">Figure </w:t>
      </w:r>
      <w:r w:rsidRPr="000228BC">
        <w:rPr>
          <w:rFonts w:ascii="Arial" w:hAnsi="Arial" w:cs="Arial"/>
          <w:b/>
          <w:sz w:val="22"/>
          <w:szCs w:val="22"/>
        </w:rPr>
        <w:t>5:</w:t>
      </w:r>
      <w:r>
        <w:rPr>
          <w:rFonts w:ascii="Arial" w:hAnsi="Arial" w:cs="Arial"/>
          <w:b/>
          <w:sz w:val="22"/>
          <w:szCs w:val="22"/>
        </w:rPr>
        <w:t xml:space="preserve"> </w:t>
      </w:r>
      <w:r w:rsidRPr="000228BC">
        <w:rPr>
          <w:rFonts w:ascii="Arial" w:hAnsi="Arial" w:cs="Arial"/>
          <w:b/>
          <w:sz w:val="22"/>
          <w:szCs w:val="22"/>
        </w:rPr>
        <w:t>Prevalence of Occupational Ailments</w:t>
      </w:r>
    </w:p>
    <w:p w:rsidR="00F64EA9" w:rsidRDefault="00F64EA9" w:rsidP="00F64EA9">
      <w:pPr>
        <w:spacing w:line="360" w:lineRule="auto"/>
        <w:rPr>
          <w:rFonts w:ascii="Arial" w:hAnsi="Arial" w:cs="Arial"/>
        </w:rPr>
      </w:pPr>
      <w:r w:rsidRPr="000228BC">
        <w:rPr>
          <w:rFonts w:ascii="Arial" w:hAnsi="Arial" w:cs="Arial"/>
        </w:rPr>
        <w:t>The survey data indicates a high incide</w:t>
      </w:r>
      <w:r w:rsidR="00047EC4">
        <w:rPr>
          <w:rFonts w:ascii="Arial" w:hAnsi="Arial" w:cs="Arial"/>
        </w:rPr>
        <w:t>nce of work-related ailments</w:t>
      </w:r>
      <w:r w:rsidRPr="000228BC">
        <w:rPr>
          <w:rFonts w:ascii="Arial" w:hAnsi="Arial" w:cs="Arial"/>
        </w:rPr>
        <w:t xml:space="preserve"> among respondents. </w:t>
      </w:r>
    </w:p>
    <w:p w:rsidR="00F64EA9" w:rsidRDefault="00F64EA9" w:rsidP="00F64EA9">
      <w:pPr>
        <w:spacing w:line="360" w:lineRule="auto"/>
        <w:rPr>
          <w:rFonts w:ascii="Arial" w:hAnsi="Arial" w:cs="Arial"/>
        </w:rPr>
      </w:pPr>
      <w:r>
        <w:rPr>
          <w:rFonts w:ascii="Arial" w:hAnsi="Arial" w:cs="Arial"/>
        </w:rPr>
        <w:t>46 (48.4%)</w:t>
      </w:r>
      <w:r w:rsidR="00047EC4">
        <w:rPr>
          <w:rFonts w:ascii="Arial" w:hAnsi="Arial" w:cs="Arial"/>
        </w:rPr>
        <w:t xml:space="preserve"> of the respondents</w:t>
      </w:r>
      <w:r w:rsidR="008B2FB5">
        <w:rPr>
          <w:rFonts w:ascii="Arial" w:hAnsi="Arial" w:cs="Arial"/>
        </w:rPr>
        <w:t xml:space="preserve"> reportedly</w:t>
      </w:r>
      <w:r>
        <w:rPr>
          <w:rFonts w:ascii="Arial" w:hAnsi="Arial" w:cs="Arial"/>
        </w:rPr>
        <w:t xml:space="preserve"> acquired</w:t>
      </w:r>
      <w:r w:rsidRPr="000228BC">
        <w:rPr>
          <w:rFonts w:ascii="Arial" w:hAnsi="Arial" w:cs="Arial"/>
        </w:rPr>
        <w:t xml:space="preserve"> occupational a</w:t>
      </w:r>
      <w:r w:rsidR="00340E4A">
        <w:rPr>
          <w:rFonts w:ascii="Arial" w:hAnsi="Arial" w:cs="Arial"/>
        </w:rPr>
        <w:t xml:space="preserve">ilments, suggesting that hazard </w:t>
      </w:r>
      <w:r w:rsidRPr="000228BC">
        <w:rPr>
          <w:rFonts w:ascii="Arial" w:hAnsi="Arial" w:cs="Arial"/>
        </w:rPr>
        <w:t>exposure is a persistent feature of their daily work environment.</w:t>
      </w:r>
    </w:p>
    <w:p w:rsidR="00F64EA9" w:rsidRDefault="00F64EA9" w:rsidP="00F64EA9">
      <w:pPr>
        <w:spacing w:line="360" w:lineRule="auto"/>
        <w:rPr>
          <w:rFonts w:ascii="Arial" w:hAnsi="Arial" w:cs="Arial"/>
        </w:rPr>
      </w:pPr>
      <w:r>
        <w:rPr>
          <w:rFonts w:ascii="Arial" w:hAnsi="Arial" w:cs="Arial"/>
        </w:rPr>
        <w:lastRenderedPageBreak/>
        <w:t>35 (36.8%) reported they possibly acquired ailments from exposures at work place.</w:t>
      </w:r>
    </w:p>
    <w:p w:rsidR="00F64EA9" w:rsidRDefault="00F64EA9" w:rsidP="00F64EA9">
      <w:pPr>
        <w:spacing w:line="360" w:lineRule="auto"/>
        <w:rPr>
          <w:rFonts w:ascii="Arial" w:hAnsi="Arial" w:cs="Arial"/>
        </w:rPr>
      </w:pPr>
      <w:r>
        <w:rPr>
          <w:rFonts w:ascii="Arial" w:hAnsi="Arial" w:cs="Arial"/>
        </w:rPr>
        <w:t>14 (14.7</w:t>
      </w:r>
      <w:r w:rsidR="008B2FB5">
        <w:rPr>
          <w:rFonts w:ascii="Arial" w:hAnsi="Arial" w:cs="Arial"/>
        </w:rPr>
        <w:t>%) had no noticeable signs of suffering ailments.</w:t>
      </w:r>
    </w:p>
    <w:p w:rsidR="008B2FB5" w:rsidRDefault="008B2FB5" w:rsidP="00F64EA9">
      <w:pPr>
        <w:spacing w:line="360" w:lineRule="auto"/>
        <w:rPr>
          <w:rFonts w:ascii="Arial" w:hAnsi="Arial" w:cs="Arial"/>
          <w:b/>
          <w:color w:val="000000" w:themeColor="text1"/>
        </w:rPr>
      </w:pPr>
    </w:p>
    <w:p w:rsidR="00DD61C7" w:rsidRPr="008B2FB5" w:rsidRDefault="00DD61C7" w:rsidP="00F64EA9">
      <w:pPr>
        <w:spacing w:line="360" w:lineRule="auto"/>
        <w:rPr>
          <w:rFonts w:ascii="Arial" w:hAnsi="Arial" w:cs="Arial"/>
          <w:b/>
          <w:color w:val="000000" w:themeColor="text1"/>
        </w:rPr>
      </w:pPr>
    </w:p>
    <w:p w:rsidR="00F64EA9" w:rsidRDefault="00F64EA9" w:rsidP="00F64EA9">
      <w:pPr>
        <w:pStyle w:val="NormalWeb"/>
        <w:rPr>
          <w:noProof/>
        </w:rPr>
      </w:pPr>
      <w:r w:rsidRPr="000228BC">
        <w:rPr>
          <w:rFonts w:ascii="Arial" w:hAnsi="Arial" w:cs="Arial"/>
          <w:sz w:val="20"/>
          <w:szCs w:val="20"/>
        </w:rPr>
        <w:t>.</w:t>
      </w:r>
      <w:r w:rsidR="00075CBB" w:rsidRPr="00075CBB">
        <w:rPr>
          <w:noProof/>
        </w:rPr>
        <w:t xml:space="preserve"> </w:t>
      </w:r>
      <w:r w:rsidR="00075CBB" w:rsidRPr="00075CBB">
        <w:rPr>
          <w:rFonts w:ascii="Arial" w:hAnsi="Arial" w:cs="Arial"/>
          <w:noProof/>
          <w:sz w:val="20"/>
          <w:szCs w:val="20"/>
        </w:rPr>
        <w:drawing>
          <wp:inline distT="0" distB="0" distL="0" distR="0">
            <wp:extent cx="5734050" cy="31623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61C7" w:rsidRDefault="00DD61C7" w:rsidP="00F64EA9">
      <w:pPr>
        <w:pStyle w:val="NormalWeb"/>
        <w:rPr>
          <w:rFonts w:ascii="Arial" w:hAnsi="Arial" w:cs="Arial"/>
          <w:b/>
        </w:rPr>
      </w:pPr>
    </w:p>
    <w:p w:rsidR="0028763A" w:rsidRDefault="0028763A" w:rsidP="00F64EA9">
      <w:pPr>
        <w:pStyle w:val="NormalWeb"/>
        <w:rPr>
          <w:rFonts w:ascii="Arial" w:hAnsi="Arial" w:cs="Arial"/>
          <w:b/>
        </w:rPr>
      </w:pPr>
      <w:r>
        <w:rPr>
          <w:rFonts w:ascii="Arial" w:hAnsi="Arial" w:cs="Arial"/>
          <w:b/>
        </w:rPr>
        <w:t>Figure 6: Data report on Direct and Indirect Impact of Exposure on Respondents</w:t>
      </w:r>
    </w:p>
    <w:p w:rsidR="0028763A" w:rsidRPr="00272741" w:rsidRDefault="00160E7F" w:rsidP="00272741">
      <w:pPr>
        <w:pStyle w:val="NormalWeb"/>
        <w:jc w:val="both"/>
        <w:rPr>
          <w:rFonts w:ascii="Arial" w:hAnsi="Arial" w:cs="Arial"/>
          <w:sz w:val="20"/>
          <w:szCs w:val="20"/>
        </w:rPr>
      </w:pPr>
      <w:r>
        <w:rPr>
          <w:rFonts w:ascii="Arial" w:hAnsi="Arial" w:cs="Arial"/>
          <w:sz w:val="20"/>
          <w:szCs w:val="20"/>
        </w:rPr>
        <w:t>In Figure 6</w:t>
      </w:r>
      <w:r w:rsidR="0028763A" w:rsidRPr="00272741">
        <w:rPr>
          <w:rFonts w:ascii="Arial" w:hAnsi="Arial" w:cs="Arial"/>
          <w:sz w:val="20"/>
          <w:szCs w:val="20"/>
        </w:rPr>
        <w:t xml:space="preserve"> above:</w:t>
      </w:r>
    </w:p>
    <w:p w:rsidR="0028763A" w:rsidRPr="00272741" w:rsidRDefault="0028763A" w:rsidP="00272741">
      <w:pPr>
        <w:pStyle w:val="NormalWeb"/>
        <w:jc w:val="both"/>
        <w:rPr>
          <w:rFonts w:ascii="Arial" w:hAnsi="Arial" w:cs="Arial"/>
          <w:sz w:val="20"/>
          <w:szCs w:val="20"/>
        </w:rPr>
      </w:pPr>
      <w:r w:rsidRPr="00272741">
        <w:rPr>
          <w:rFonts w:ascii="Arial" w:hAnsi="Arial" w:cs="Arial"/>
          <w:sz w:val="20"/>
          <w:szCs w:val="20"/>
        </w:rPr>
        <w:t>32 persons out of</w:t>
      </w:r>
      <w:r w:rsidR="00DD61C7">
        <w:rPr>
          <w:rFonts w:ascii="Arial" w:hAnsi="Arial" w:cs="Arial"/>
          <w:sz w:val="20"/>
          <w:szCs w:val="20"/>
        </w:rPr>
        <w:t xml:space="preserve"> the</w:t>
      </w:r>
      <w:r w:rsidRPr="00272741">
        <w:rPr>
          <w:rFonts w:ascii="Arial" w:hAnsi="Arial" w:cs="Arial"/>
          <w:sz w:val="20"/>
          <w:szCs w:val="20"/>
        </w:rPr>
        <w:t xml:space="preserve"> 95 ascertained ha</w:t>
      </w:r>
      <w:r w:rsidR="00DD61C7">
        <w:rPr>
          <w:rFonts w:ascii="Arial" w:hAnsi="Arial" w:cs="Arial"/>
          <w:sz w:val="20"/>
          <w:szCs w:val="20"/>
        </w:rPr>
        <w:t>d</w:t>
      </w:r>
      <w:r w:rsidRPr="00272741">
        <w:rPr>
          <w:rFonts w:ascii="Arial" w:hAnsi="Arial" w:cs="Arial"/>
          <w:sz w:val="20"/>
          <w:szCs w:val="20"/>
        </w:rPr>
        <w:t xml:space="preserve"> ailments caused directly by their work tools and waste, and</w:t>
      </w:r>
      <w:r w:rsidR="00DD61C7">
        <w:rPr>
          <w:rFonts w:ascii="Arial" w:hAnsi="Arial" w:cs="Arial"/>
          <w:sz w:val="20"/>
          <w:szCs w:val="20"/>
        </w:rPr>
        <w:t>/or</w:t>
      </w:r>
      <w:r w:rsidRPr="00272741">
        <w:rPr>
          <w:rFonts w:ascii="Arial" w:hAnsi="Arial" w:cs="Arial"/>
          <w:sz w:val="20"/>
          <w:szCs w:val="20"/>
        </w:rPr>
        <w:t xml:space="preserve"> work environment.</w:t>
      </w:r>
    </w:p>
    <w:p w:rsidR="0028763A" w:rsidRPr="00272741" w:rsidRDefault="0028763A" w:rsidP="00272741">
      <w:pPr>
        <w:pStyle w:val="NormalWeb"/>
        <w:jc w:val="both"/>
        <w:rPr>
          <w:rFonts w:ascii="Arial" w:hAnsi="Arial" w:cs="Arial"/>
          <w:sz w:val="20"/>
          <w:szCs w:val="20"/>
        </w:rPr>
      </w:pPr>
      <w:r w:rsidRPr="00272741">
        <w:rPr>
          <w:rFonts w:ascii="Arial" w:hAnsi="Arial" w:cs="Arial"/>
          <w:sz w:val="20"/>
          <w:szCs w:val="20"/>
        </w:rPr>
        <w:t>41 ascertained they had ailments from indirect impacts of their work environment.</w:t>
      </w:r>
    </w:p>
    <w:p w:rsidR="0028763A" w:rsidRPr="00272741" w:rsidRDefault="0028763A" w:rsidP="00272741">
      <w:pPr>
        <w:pStyle w:val="NormalWeb"/>
        <w:jc w:val="both"/>
        <w:rPr>
          <w:rFonts w:ascii="Arial" w:hAnsi="Arial" w:cs="Arial"/>
          <w:sz w:val="20"/>
          <w:szCs w:val="20"/>
        </w:rPr>
      </w:pPr>
      <w:r w:rsidRPr="00272741">
        <w:rPr>
          <w:rFonts w:ascii="Arial" w:hAnsi="Arial" w:cs="Arial"/>
          <w:sz w:val="20"/>
          <w:szCs w:val="20"/>
        </w:rPr>
        <w:t>43,</w:t>
      </w:r>
      <w:r w:rsidR="00AF6110">
        <w:rPr>
          <w:rFonts w:ascii="Arial" w:hAnsi="Arial" w:cs="Arial"/>
          <w:sz w:val="20"/>
          <w:szCs w:val="20"/>
        </w:rPr>
        <w:t xml:space="preserve"> </w:t>
      </w:r>
      <w:r w:rsidRPr="00272741">
        <w:rPr>
          <w:rFonts w:ascii="Arial" w:hAnsi="Arial" w:cs="Arial"/>
          <w:sz w:val="20"/>
          <w:szCs w:val="20"/>
        </w:rPr>
        <w:t>20, 23,</w:t>
      </w:r>
      <w:r w:rsidR="00DD61C7">
        <w:rPr>
          <w:rFonts w:ascii="Arial" w:hAnsi="Arial" w:cs="Arial"/>
          <w:sz w:val="20"/>
          <w:szCs w:val="20"/>
        </w:rPr>
        <w:t xml:space="preserve"> and </w:t>
      </w:r>
      <w:r w:rsidRPr="00272741">
        <w:rPr>
          <w:rFonts w:ascii="Arial" w:hAnsi="Arial" w:cs="Arial"/>
          <w:sz w:val="20"/>
          <w:szCs w:val="20"/>
        </w:rPr>
        <w:t xml:space="preserve">31 </w:t>
      </w:r>
      <w:r w:rsidR="00DD61C7">
        <w:rPr>
          <w:rFonts w:ascii="Arial" w:hAnsi="Arial" w:cs="Arial"/>
          <w:sz w:val="20"/>
          <w:szCs w:val="20"/>
        </w:rPr>
        <w:t>of the respondents had either none or doubtful work-related ailments in</w:t>
      </w:r>
      <w:r w:rsidRPr="00272741">
        <w:rPr>
          <w:rFonts w:ascii="Arial" w:hAnsi="Arial" w:cs="Arial"/>
          <w:sz w:val="20"/>
          <w:szCs w:val="20"/>
        </w:rPr>
        <w:t xml:space="preserve"> direct or indirect contact with work place hazards or exposures.</w:t>
      </w:r>
    </w:p>
    <w:p w:rsidR="00272741" w:rsidRPr="00DD61C7" w:rsidRDefault="00DD61C7" w:rsidP="00DD61C7">
      <w:pPr>
        <w:pStyle w:val="NormalWeb"/>
        <w:jc w:val="both"/>
        <w:rPr>
          <w:rFonts w:ascii="Arial" w:hAnsi="Arial" w:cs="Arial"/>
          <w:sz w:val="20"/>
          <w:szCs w:val="20"/>
        </w:rPr>
      </w:pPr>
      <w:r>
        <w:rPr>
          <w:rFonts w:ascii="Arial" w:hAnsi="Arial" w:cs="Arial"/>
          <w:sz w:val="20"/>
          <w:szCs w:val="20"/>
        </w:rPr>
        <w:t>However</w:t>
      </w:r>
      <w:r w:rsidR="00222091">
        <w:rPr>
          <w:rFonts w:ascii="Arial" w:hAnsi="Arial" w:cs="Arial"/>
          <w:sz w:val="20"/>
          <w:szCs w:val="20"/>
        </w:rPr>
        <w:t xml:space="preserve">, they </w:t>
      </w:r>
      <w:r w:rsidR="003B2942" w:rsidRPr="00272741">
        <w:rPr>
          <w:rFonts w:ascii="Arial" w:hAnsi="Arial" w:cs="Arial"/>
          <w:sz w:val="20"/>
          <w:szCs w:val="20"/>
        </w:rPr>
        <w:t>agreed tha</w:t>
      </w:r>
      <w:r>
        <w:rPr>
          <w:rFonts w:ascii="Arial" w:hAnsi="Arial" w:cs="Arial"/>
          <w:sz w:val="20"/>
          <w:szCs w:val="20"/>
        </w:rPr>
        <w:t xml:space="preserve">t their work environment exposes </w:t>
      </w:r>
      <w:r w:rsidR="003B2942" w:rsidRPr="00272741">
        <w:rPr>
          <w:rFonts w:ascii="Arial" w:hAnsi="Arial" w:cs="Arial"/>
          <w:sz w:val="20"/>
          <w:szCs w:val="20"/>
        </w:rPr>
        <w:t>them</w:t>
      </w:r>
      <w:r>
        <w:rPr>
          <w:rFonts w:ascii="Arial" w:hAnsi="Arial" w:cs="Arial"/>
          <w:sz w:val="20"/>
          <w:szCs w:val="20"/>
        </w:rPr>
        <w:t xml:space="preserve"> </w:t>
      </w:r>
      <w:r w:rsidR="00AF6110">
        <w:rPr>
          <w:rFonts w:ascii="Arial" w:hAnsi="Arial" w:cs="Arial"/>
          <w:sz w:val="20"/>
          <w:szCs w:val="20"/>
        </w:rPr>
        <w:t>to</w:t>
      </w:r>
      <w:r>
        <w:rPr>
          <w:rFonts w:ascii="Arial" w:hAnsi="Arial" w:cs="Arial"/>
          <w:sz w:val="20"/>
          <w:szCs w:val="20"/>
        </w:rPr>
        <w:t xml:space="preserve"> ailments, either directly, indirectly, or doubtfully.</w:t>
      </w:r>
    </w:p>
    <w:p w:rsidR="00374719" w:rsidRDefault="00272741" w:rsidP="003B2942">
      <w:pPr>
        <w:pStyle w:val="NormalWeb"/>
        <w:rPr>
          <w:rFonts w:ascii="Arial" w:hAnsi="Arial" w:cs="Arial"/>
          <w:b/>
          <w:sz w:val="22"/>
        </w:rPr>
      </w:pPr>
      <w:r>
        <w:rPr>
          <w:rFonts w:ascii="Arial" w:hAnsi="Arial" w:cs="Arial"/>
          <w:b/>
          <w:sz w:val="22"/>
        </w:rPr>
        <w:t xml:space="preserve">4. </w:t>
      </w:r>
      <w:r w:rsidR="000228BC">
        <w:rPr>
          <w:rFonts w:ascii="Arial" w:hAnsi="Arial" w:cs="Arial"/>
          <w:b/>
          <w:sz w:val="22"/>
        </w:rPr>
        <w:t xml:space="preserve"> </w:t>
      </w:r>
      <w:r w:rsidR="00374719">
        <w:rPr>
          <w:rFonts w:ascii="Arial" w:hAnsi="Arial" w:cs="Arial"/>
          <w:b/>
          <w:sz w:val="22"/>
        </w:rPr>
        <w:t>DISCUSSION</w:t>
      </w:r>
    </w:p>
    <w:p w:rsidR="00F14C62" w:rsidRPr="00272741" w:rsidRDefault="00F14C62" w:rsidP="00272741">
      <w:pPr>
        <w:pStyle w:val="NormalWeb"/>
        <w:jc w:val="both"/>
        <w:rPr>
          <w:rFonts w:ascii="Arial" w:hAnsi="Arial" w:cs="Arial"/>
          <w:sz w:val="20"/>
          <w:szCs w:val="20"/>
        </w:rPr>
      </w:pPr>
      <w:r w:rsidRPr="00272741">
        <w:rPr>
          <w:rFonts w:ascii="Arial" w:hAnsi="Arial" w:cs="Arial"/>
          <w:sz w:val="20"/>
          <w:szCs w:val="20"/>
        </w:rPr>
        <w:t>All economic activities generate waste and byproducts throughout the supply chain (</w:t>
      </w:r>
      <w:proofErr w:type="spellStart"/>
      <w:r w:rsidRPr="00272741">
        <w:rPr>
          <w:rFonts w:ascii="Arial" w:hAnsi="Arial" w:cs="Arial"/>
          <w:sz w:val="20"/>
          <w:szCs w:val="20"/>
        </w:rPr>
        <w:t>Fatorachian</w:t>
      </w:r>
      <w:proofErr w:type="spellEnd"/>
      <w:r w:rsidRPr="00272741">
        <w:rPr>
          <w:rFonts w:ascii="Arial" w:hAnsi="Arial" w:cs="Arial"/>
          <w:sz w:val="20"/>
          <w:szCs w:val="20"/>
        </w:rPr>
        <w:t>, 2025). While industrial waste is often monitored, the environmental and health impacts of the artisan sector remain largely overlooked (Koroma et al., 2025)</w:t>
      </w:r>
      <w:r w:rsidR="00222091">
        <w:rPr>
          <w:rFonts w:ascii="Arial" w:hAnsi="Arial" w:cs="Arial"/>
          <w:sz w:val="20"/>
          <w:szCs w:val="20"/>
        </w:rPr>
        <w:t>.</w:t>
      </w:r>
    </w:p>
    <w:p w:rsidR="00F14C62" w:rsidRPr="00272741" w:rsidRDefault="00F14C62" w:rsidP="00272741">
      <w:pPr>
        <w:pStyle w:val="NormalWeb"/>
        <w:numPr>
          <w:ilvl w:val="0"/>
          <w:numId w:val="39"/>
        </w:numPr>
        <w:jc w:val="both"/>
        <w:rPr>
          <w:rFonts w:ascii="Arial" w:hAnsi="Arial" w:cs="Arial"/>
          <w:sz w:val="20"/>
          <w:szCs w:val="20"/>
        </w:rPr>
      </w:pPr>
      <w:r w:rsidRPr="00272741">
        <w:rPr>
          <w:rFonts w:ascii="Arial" w:hAnsi="Arial" w:cs="Arial"/>
          <w:bCs/>
          <w:sz w:val="20"/>
          <w:szCs w:val="20"/>
        </w:rPr>
        <w:lastRenderedPageBreak/>
        <w:t>Mechanics and Plumbers:</w:t>
      </w:r>
      <w:r w:rsidRPr="00272741">
        <w:rPr>
          <w:rFonts w:ascii="Arial" w:hAnsi="Arial" w:cs="Arial"/>
          <w:sz w:val="20"/>
          <w:szCs w:val="20"/>
        </w:rPr>
        <w:t xml:space="preserve"> The improper disposal of corrosive liquids—such as Premium Motor Spirit (PMS), cement, and binders—produces noxious odors and damages local vegetation. These wastes frequently bypass proper drainage, creating health risks for both workers and nearby residents.</w:t>
      </w:r>
    </w:p>
    <w:p w:rsidR="00F14C62" w:rsidRPr="00272741" w:rsidRDefault="00F14C62" w:rsidP="00272741">
      <w:pPr>
        <w:pStyle w:val="NormalWeb"/>
        <w:numPr>
          <w:ilvl w:val="0"/>
          <w:numId w:val="39"/>
        </w:numPr>
        <w:jc w:val="both"/>
        <w:rPr>
          <w:rFonts w:ascii="Arial" w:hAnsi="Arial" w:cs="Arial"/>
          <w:sz w:val="20"/>
          <w:szCs w:val="20"/>
        </w:rPr>
      </w:pPr>
      <w:r w:rsidRPr="00272741">
        <w:rPr>
          <w:rFonts w:ascii="Arial" w:hAnsi="Arial" w:cs="Arial"/>
          <w:bCs/>
          <w:sz w:val="20"/>
          <w:szCs w:val="20"/>
        </w:rPr>
        <w:t>Painters:</w:t>
      </w:r>
      <w:r w:rsidRPr="00272741">
        <w:rPr>
          <w:rFonts w:ascii="Arial" w:hAnsi="Arial" w:cs="Arial"/>
          <w:sz w:val="20"/>
          <w:szCs w:val="20"/>
        </w:rPr>
        <w:t xml:space="preserve"> Exposure to Volat</w:t>
      </w:r>
      <w:r w:rsidR="00DD61C7">
        <w:rPr>
          <w:rFonts w:ascii="Arial" w:hAnsi="Arial" w:cs="Arial"/>
          <w:sz w:val="20"/>
          <w:szCs w:val="20"/>
        </w:rPr>
        <w:t xml:space="preserve">ile Organic Compounds (VOCs), such as </w:t>
      </w:r>
      <w:r w:rsidRPr="00272741">
        <w:rPr>
          <w:rFonts w:ascii="Arial" w:hAnsi="Arial" w:cs="Arial"/>
          <w:sz w:val="20"/>
          <w:szCs w:val="20"/>
        </w:rPr>
        <w:t>tolue</w:t>
      </w:r>
      <w:r w:rsidR="00DD61C7">
        <w:rPr>
          <w:rFonts w:ascii="Arial" w:hAnsi="Arial" w:cs="Arial"/>
          <w:sz w:val="20"/>
          <w:szCs w:val="20"/>
        </w:rPr>
        <w:t>ne, xylene, and benzene trigger</w:t>
      </w:r>
      <w:r w:rsidRPr="00272741">
        <w:rPr>
          <w:rFonts w:ascii="Arial" w:hAnsi="Arial" w:cs="Arial"/>
          <w:sz w:val="20"/>
          <w:szCs w:val="20"/>
        </w:rPr>
        <w:t xml:space="preserve"> respiratory and hematopoietic diseases and serves as a potential carcinogen (</w:t>
      </w:r>
      <w:proofErr w:type="spellStart"/>
      <w:r w:rsidRPr="00272741">
        <w:rPr>
          <w:rFonts w:ascii="Arial" w:hAnsi="Arial" w:cs="Arial"/>
          <w:sz w:val="20"/>
          <w:szCs w:val="20"/>
        </w:rPr>
        <w:t>Cardiano</w:t>
      </w:r>
      <w:proofErr w:type="spellEnd"/>
      <w:r w:rsidRPr="00272741">
        <w:rPr>
          <w:rFonts w:ascii="Arial" w:hAnsi="Arial" w:cs="Arial"/>
          <w:sz w:val="20"/>
          <w:szCs w:val="20"/>
        </w:rPr>
        <w:t xml:space="preserve"> et al., 2022; Kim et al., 2022; Abubakar et al., 2026). VOCs also settle on flora, impairing photosynthesis and broader ecosystem growth (Onyebuchi et al., 2025; Thakur et al., 2025).</w:t>
      </w:r>
    </w:p>
    <w:p w:rsidR="00F14C62" w:rsidRPr="00272741" w:rsidRDefault="00F14C62" w:rsidP="00272741">
      <w:pPr>
        <w:pStyle w:val="NormalWeb"/>
        <w:numPr>
          <w:ilvl w:val="0"/>
          <w:numId w:val="39"/>
        </w:numPr>
        <w:jc w:val="both"/>
        <w:rPr>
          <w:rFonts w:ascii="Arial" w:hAnsi="Arial" w:cs="Arial"/>
          <w:sz w:val="20"/>
          <w:szCs w:val="20"/>
        </w:rPr>
      </w:pPr>
      <w:r w:rsidRPr="00272741">
        <w:rPr>
          <w:rFonts w:ascii="Arial" w:hAnsi="Arial" w:cs="Arial"/>
          <w:bCs/>
          <w:sz w:val="20"/>
          <w:szCs w:val="20"/>
        </w:rPr>
        <w:t>Carpenters:</w:t>
      </w:r>
      <w:r w:rsidRPr="00272741">
        <w:rPr>
          <w:rFonts w:ascii="Arial" w:hAnsi="Arial" w:cs="Arial"/>
          <w:sz w:val="20"/>
          <w:szCs w:val="20"/>
        </w:rPr>
        <w:t xml:space="preserve"> Exposure to asbestos and wood dust is linked to dyspnea, asthma, and cancer; a study in Yaoundé confirmed high rates of respiratory illness among woodworkers (</w:t>
      </w:r>
      <w:proofErr w:type="spellStart"/>
      <w:r w:rsidRPr="00272741">
        <w:rPr>
          <w:rFonts w:ascii="Arial" w:hAnsi="Arial" w:cs="Arial"/>
          <w:sz w:val="20"/>
          <w:szCs w:val="20"/>
        </w:rPr>
        <w:t>Takougang</w:t>
      </w:r>
      <w:proofErr w:type="spellEnd"/>
      <w:r w:rsidRPr="00272741">
        <w:rPr>
          <w:rFonts w:ascii="Arial" w:hAnsi="Arial" w:cs="Arial"/>
          <w:sz w:val="20"/>
          <w:szCs w:val="20"/>
        </w:rPr>
        <w:t xml:space="preserve"> et al., 2023). Additionally, sawdust clogs drainage systems, while burning wood waste releases nitrogen and carbon oxides into the atmosphere. Improper tool handling, such as holding nails in the mouth, further increases physical injury risks.</w:t>
      </w:r>
    </w:p>
    <w:p w:rsidR="00F14C62" w:rsidRPr="00272741" w:rsidRDefault="00F14C62" w:rsidP="00272741">
      <w:pPr>
        <w:pStyle w:val="NormalWeb"/>
        <w:numPr>
          <w:ilvl w:val="0"/>
          <w:numId w:val="39"/>
        </w:numPr>
        <w:jc w:val="both"/>
        <w:rPr>
          <w:rFonts w:ascii="Arial" w:hAnsi="Arial" w:cs="Arial"/>
          <w:sz w:val="20"/>
          <w:szCs w:val="20"/>
        </w:rPr>
      </w:pPr>
      <w:r w:rsidRPr="00272741">
        <w:rPr>
          <w:rFonts w:ascii="Arial" w:hAnsi="Arial" w:cs="Arial"/>
          <w:bCs/>
          <w:sz w:val="20"/>
          <w:szCs w:val="20"/>
        </w:rPr>
        <w:t xml:space="preserve">Welders and </w:t>
      </w:r>
      <w:proofErr w:type="spellStart"/>
      <w:r w:rsidRPr="00272741">
        <w:rPr>
          <w:rFonts w:ascii="Arial" w:hAnsi="Arial" w:cs="Arial"/>
          <w:bCs/>
          <w:sz w:val="20"/>
          <w:szCs w:val="20"/>
        </w:rPr>
        <w:t>Eletricians</w:t>
      </w:r>
      <w:proofErr w:type="spellEnd"/>
      <w:r w:rsidRPr="00272741">
        <w:rPr>
          <w:rFonts w:ascii="Arial" w:hAnsi="Arial" w:cs="Arial"/>
          <w:bCs/>
          <w:sz w:val="20"/>
          <w:szCs w:val="20"/>
        </w:rPr>
        <w:t>:</w:t>
      </w:r>
      <w:r w:rsidR="00924CA8">
        <w:rPr>
          <w:rFonts w:ascii="Arial" w:hAnsi="Arial" w:cs="Arial"/>
          <w:sz w:val="20"/>
          <w:szCs w:val="20"/>
        </w:rPr>
        <w:t xml:space="preserve"> These categories</w:t>
      </w:r>
      <w:r w:rsidR="00B62240">
        <w:rPr>
          <w:rFonts w:ascii="Arial" w:hAnsi="Arial" w:cs="Arial"/>
          <w:sz w:val="20"/>
          <w:szCs w:val="20"/>
        </w:rPr>
        <w:t xml:space="preserve"> of artisans</w:t>
      </w:r>
      <w:r w:rsidRPr="00272741">
        <w:rPr>
          <w:rFonts w:ascii="Arial" w:hAnsi="Arial" w:cs="Arial"/>
          <w:sz w:val="20"/>
          <w:szCs w:val="20"/>
        </w:rPr>
        <w:t xml:space="preserve"> face high-tension ultraviolet (UV) radiation and metal fumes containing chromium and nickel, which induce oxidative stress and DNA damage (</w:t>
      </w:r>
      <w:proofErr w:type="spellStart"/>
      <w:r w:rsidRPr="00272741">
        <w:rPr>
          <w:rFonts w:ascii="Arial" w:hAnsi="Arial" w:cs="Arial"/>
          <w:sz w:val="20"/>
          <w:szCs w:val="20"/>
        </w:rPr>
        <w:t>Fikayo</w:t>
      </w:r>
      <w:proofErr w:type="spellEnd"/>
      <w:r w:rsidRPr="00272741">
        <w:rPr>
          <w:rFonts w:ascii="Arial" w:hAnsi="Arial" w:cs="Arial"/>
          <w:sz w:val="20"/>
          <w:szCs w:val="20"/>
        </w:rPr>
        <w:t xml:space="preserve"> et al., 2023; Song et al., 2025). Neglecting protective eyewear leads to cataracts and photokeratitis, while long-term inhalation of particulate matter results in pulmonary fibrosis (Ghio et al., 2025; Ali et al., 2026). In South-South Nigeria, power voltage fluctuations further contribute to skin and "flash" burns (</w:t>
      </w:r>
      <w:proofErr w:type="spellStart"/>
      <w:r w:rsidRPr="00272741">
        <w:rPr>
          <w:rFonts w:ascii="Arial" w:hAnsi="Arial" w:cs="Arial"/>
          <w:sz w:val="20"/>
          <w:szCs w:val="20"/>
        </w:rPr>
        <w:t>Ideozu</w:t>
      </w:r>
      <w:proofErr w:type="spellEnd"/>
      <w:r w:rsidRPr="00272741">
        <w:rPr>
          <w:rFonts w:ascii="Arial" w:hAnsi="Arial" w:cs="Arial"/>
          <w:sz w:val="20"/>
          <w:szCs w:val="20"/>
        </w:rPr>
        <w:t>, 2026).</w:t>
      </w:r>
    </w:p>
    <w:p w:rsidR="00F14C62" w:rsidRPr="00272741" w:rsidRDefault="00F14C62" w:rsidP="00272741">
      <w:pPr>
        <w:pStyle w:val="NormalWeb"/>
        <w:jc w:val="both"/>
        <w:rPr>
          <w:rFonts w:ascii="Arial" w:hAnsi="Arial" w:cs="Arial"/>
          <w:sz w:val="20"/>
          <w:szCs w:val="20"/>
        </w:rPr>
      </w:pPr>
      <w:r w:rsidRPr="00272741">
        <w:rPr>
          <w:rFonts w:ascii="Arial" w:hAnsi="Arial" w:cs="Arial"/>
          <w:sz w:val="20"/>
          <w:szCs w:val="20"/>
        </w:rPr>
        <w:t>Artisans are vulnerable to ozone-depleting substances, which account for 14% of localized emissions from refrigeration gases and soldering smoke (Ndubuisi et al., 2025). This is compounded by prolonged exposure to solar radiation. Both industrial processes and sunlight emit UV rays, which can cause DNA lesions and skin cancer (</w:t>
      </w:r>
      <w:proofErr w:type="spellStart"/>
      <w:r w:rsidRPr="00272741">
        <w:rPr>
          <w:rFonts w:ascii="Arial" w:hAnsi="Arial" w:cs="Arial"/>
          <w:sz w:val="20"/>
          <w:szCs w:val="20"/>
        </w:rPr>
        <w:t>Fraikin</w:t>
      </w:r>
      <w:proofErr w:type="spellEnd"/>
      <w:r w:rsidRPr="00272741">
        <w:rPr>
          <w:rFonts w:ascii="Arial" w:hAnsi="Arial" w:cs="Arial"/>
          <w:sz w:val="20"/>
          <w:szCs w:val="20"/>
        </w:rPr>
        <w:t xml:space="preserve"> et al., 2024). The lack of adequate respiratory protection or oxygen masks leaves these workers highly susceptible to gaseous emissions (</w:t>
      </w:r>
      <w:proofErr w:type="spellStart"/>
      <w:r w:rsidRPr="00272741">
        <w:rPr>
          <w:rFonts w:ascii="Arial" w:hAnsi="Arial" w:cs="Arial"/>
          <w:sz w:val="20"/>
          <w:szCs w:val="20"/>
        </w:rPr>
        <w:t>Mirzakhil</w:t>
      </w:r>
      <w:proofErr w:type="spellEnd"/>
      <w:r w:rsidRPr="00272741">
        <w:rPr>
          <w:rFonts w:ascii="Arial" w:hAnsi="Arial" w:cs="Arial"/>
          <w:sz w:val="20"/>
          <w:szCs w:val="20"/>
        </w:rPr>
        <w:t xml:space="preserve"> et al., 2024).</w:t>
      </w:r>
    </w:p>
    <w:p w:rsidR="00B62240" w:rsidRPr="00924CA8" w:rsidRDefault="00F14C62" w:rsidP="00924CA8">
      <w:pPr>
        <w:jc w:val="both"/>
      </w:pPr>
      <w:r w:rsidRPr="00272741">
        <w:rPr>
          <w:b/>
          <w:bCs/>
        </w:rPr>
        <w:tab/>
      </w:r>
    </w:p>
    <w:p w:rsidR="001C1634" w:rsidRDefault="00374719" w:rsidP="005F144F">
      <w:pPr>
        <w:spacing w:after="240" w:line="360" w:lineRule="auto"/>
        <w:jc w:val="both"/>
        <w:rPr>
          <w:rFonts w:ascii="Arial" w:hAnsi="Arial" w:cs="Arial"/>
          <w:b/>
          <w:sz w:val="22"/>
        </w:rPr>
      </w:pPr>
      <w:r>
        <w:rPr>
          <w:rFonts w:ascii="Arial" w:hAnsi="Arial" w:cs="Arial"/>
          <w:b/>
          <w:sz w:val="22"/>
        </w:rPr>
        <w:t>5</w:t>
      </w:r>
      <w:r w:rsidR="00B1531D" w:rsidRPr="005E1BB0">
        <w:rPr>
          <w:rFonts w:ascii="Arial" w:hAnsi="Arial" w:cs="Arial"/>
          <w:b/>
          <w:sz w:val="22"/>
        </w:rPr>
        <w:t xml:space="preserve">. </w:t>
      </w:r>
      <w:bookmarkStart w:id="0" w:name="_GoBack"/>
      <w:r w:rsidR="00B1531D" w:rsidRPr="005E1BB0">
        <w:rPr>
          <w:rFonts w:ascii="Arial" w:hAnsi="Arial" w:cs="Arial"/>
          <w:b/>
          <w:sz w:val="22"/>
        </w:rPr>
        <w:t>CONCLU</w:t>
      </w:r>
      <w:bookmarkEnd w:id="0"/>
      <w:r w:rsidR="00B1531D" w:rsidRPr="005E1BB0">
        <w:rPr>
          <w:rFonts w:ascii="Arial" w:hAnsi="Arial" w:cs="Arial"/>
          <w:b/>
          <w:sz w:val="22"/>
        </w:rPr>
        <w:t>SION</w:t>
      </w:r>
    </w:p>
    <w:p w:rsidR="00F703BB" w:rsidRDefault="00F703BB" w:rsidP="00924CA8">
      <w:pPr>
        <w:pStyle w:val="NormalWeb"/>
        <w:jc w:val="both"/>
        <w:rPr>
          <w:rFonts w:ascii="Arial" w:hAnsi="Arial" w:cs="Arial"/>
          <w:sz w:val="20"/>
          <w:szCs w:val="20"/>
        </w:rPr>
      </w:pPr>
      <w:r w:rsidRPr="00AF6110">
        <w:rPr>
          <w:rFonts w:ascii="Arial" w:hAnsi="Arial" w:cs="Arial"/>
          <w:sz w:val="20"/>
          <w:szCs w:val="20"/>
        </w:rPr>
        <w:t>Occupational activities in the artisan sector contribute significantly to environmental degradation, releasing chemicals, heavy metals, and waste that compromise air, land, and water quality. Artisans face acute health risks from exposure to sawdust, toxic chemicals, and excessive noise, resulting in high rates of respiratory issues, hypertension, dermatitis, and musculoskeletal disorders. Environmental indicators such as soil contamination, necrotic vegetation, and brackish water confirm the severe impact of improper fuel and oil disposal. Furthermore, research by the WHO and ILO highlights a mechanistic link between ergonomic risks and the development of osteoarthritis (Hulshof et al., 2021), a burden disproportionately felt in developing economies where unskilled labor constitutes 50–65% of the workforce (Ghorpade et al., 2024).</w:t>
      </w:r>
    </w:p>
    <w:p w:rsidR="0084219A" w:rsidRDefault="0084219A" w:rsidP="00924CA8">
      <w:pPr>
        <w:pStyle w:val="NormalWeb"/>
        <w:jc w:val="both"/>
        <w:rPr>
          <w:rFonts w:ascii="Arial" w:hAnsi="Arial" w:cs="Arial"/>
          <w:sz w:val="20"/>
          <w:szCs w:val="20"/>
        </w:rPr>
      </w:pPr>
    </w:p>
    <w:p w:rsidR="0084219A" w:rsidRPr="0084219A" w:rsidRDefault="0084219A" w:rsidP="0084219A">
      <w:pPr>
        <w:pStyle w:val="NormalWeb"/>
        <w:jc w:val="both"/>
        <w:rPr>
          <w:rFonts w:ascii="Arial" w:hAnsi="Arial" w:cs="Arial"/>
          <w:b/>
          <w:sz w:val="20"/>
          <w:szCs w:val="20"/>
        </w:rPr>
      </w:pPr>
      <w:r w:rsidRPr="0084219A">
        <w:rPr>
          <w:rFonts w:ascii="Arial" w:hAnsi="Arial" w:cs="Arial"/>
          <w:b/>
          <w:sz w:val="20"/>
          <w:szCs w:val="20"/>
        </w:rPr>
        <w:t xml:space="preserve">Consent </w:t>
      </w:r>
    </w:p>
    <w:p w:rsidR="0084219A" w:rsidRPr="00AF6110" w:rsidRDefault="0084219A" w:rsidP="0084219A">
      <w:pPr>
        <w:pStyle w:val="NormalWeb"/>
        <w:jc w:val="both"/>
        <w:rPr>
          <w:rFonts w:ascii="Arial" w:hAnsi="Arial" w:cs="Arial"/>
          <w:sz w:val="20"/>
          <w:szCs w:val="20"/>
        </w:rPr>
      </w:pPr>
      <w:r w:rsidRPr="0084219A">
        <w:rPr>
          <w:rFonts w:ascii="Arial" w:hAnsi="Arial" w:cs="Arial"/>
          <w:sz w:val="20"/>
          <w:szCs w:val="20"/>
        </w:rPr>
        <w:t>As per international standards or university standards, respondents’ written consent has been collected and preserved by the author(s).</w:t>
      </w:r>
    </w:p>
    <w:p w:rsidR="00272741" w:rsidRDefault="009275AA" w:rsidP="00272741">
      <w:pPr>
        <w:pStyle w:val="NormalWeb"/>
        <w:spacing w:after="240" w:afterAutospacing="0" w:line="360" w:lineRule="auto"/>
        <w:jc w:val="both"/>
        <w:rPr>
          <w:rFonts w:ascii="Arial" w:hAnsi="Arial" w:cs="Arial"/>
          <w:b/>
          <w:sz w:val="22"/>
          <w:szCs w:val="22"/>
        </w:rPr>
      </w:pPr>
      <w:r>
        <w:rPr>
          <w:rFonts w:ascii="Arial" w:hAnsi="Arial" w:cs="Arial"/>
          <w:b/>
          <w:sz w:val="22"/>
          <w:szCs w:val="22"/>
        </w:rPr>
        <w:t>ACKNOWLEDGEMENT</w:t>
      </w:r>
    </w:p>
    <w:p w:rsidR="000B232E" w:rsidRPr="00272741" w:rsidRDefault="000B232E" w:rsidP="00272741">
      <w:pPr>
        <w:pStyle w:val="NormalWeb"/>
        <w:spacing w:after="240" w:afterAutospacing="0" w:line="360" w:lineRule="auto"/>
        <w:jc w:val="both"/>
        <w:rPr>
          <w:rFonts w:ascii="Arial" w:hAnsi="Arial" w:cs="Arial"/>
          <w:sz w:val="20"/>
          <w:szCs w:val="20"/>
        </w:rPr>
      </w:pPr>
      <w:r w:rsidRPr="00856337">
        <w:rPr>
          <w:rFonts w:ascii="Arial" w:hAnsi="Arial" w:cs="Arial"/>
          <w:sz w:val="20"/>
          <w:szCs w:val="20"/>
        </w:rPr>
        <w:t>I wish to acknowledge the spe</w:t>
      </w:r>
      <w:r w:rsidR="00C06D93" w:rsidRPr="00856337">
        <w:rPr>
          <w:rFonts w:ascii="Arial" w:hAnsi="Arial" w:cs="Arial"/>
          <w:sz w:val="20"/>
          <w:szCs w:val="20"/>
        </w:rPr>
        <w:t>cial grace of God up</w:t>
      </w:r>
      <w:r w:rsidR="005C0E73" w:rsidRPr="00856337">
        <w:rPr>
          <w:rFonts w:ascii="Arial" w:hAnsi="Arial" w:cs="Arial"/>
          <w:sz w:val="20"/>
          <w:szCs w:val="20"/>
        </w:rPr>
        <w:t xml:space="preserve">on   this </w:t>
      </w:r>
      <w:r w:rsidR="00C06D93" w:rsidRPr="00856337">
        <w:rPr>
          <w:rFonts w:ascii="Arial" w:hAnsi="Arial" w:cs="Arial"/>
          <w:sz w:val="20"/>
          <w:szCs w:val="20"/>
        </w:rPr>
        <w:t>Research.</w:t>
      </w:r>
      <w:r w:rsidR="001D35E9" w:rsidRPr="00856337">
        <w:rPr>
          <w:rFonts w:ascii="Arial" w:hAnsi="Arial" w:cs="Arial"/>
          <w:sz w:val="20"/>
          <w:szCs w:val="20"/>
        </w:rPr>
        <w:t xml:space="preserve"> </w:t>
      </w:r>
      <w:r w:rsidR="00C06D93" w:rsidRPr="00856337">
        <w:rPr>
          <w:rFonts w:ascii="Arial" w:hAnsi="Arial" w:cs="Arial"/>
          <w:sz w:val="20"/>
          <w:szCs w:val="20"/>
        </w:rPr>
        <w:t>The staff of Nutrition and Toxicology Division, Food Department</w:t>
      </w:r>
      <w:r w:rsidR="00924CA8">
        <w:rPr>
          <w:rFonts w:ascii="Arial" w:hAnsi="Arial" w:cs="Arial"/>
          <w:sz w:val="20"/>
          <w:szCs w:val="20"/>
        </w:rPr>
        <w:t>,</w:t>
      </w:r>
      <w:r w:rsidR="00C06D93" w:rsidRPr="00856337">
        <w:rPr>
          <w:rFonts w:ascii="Arial" w:hAnsi="Arial" w:cs="Arial"/>
          <w:sz w:val="20"/>
          <w:szCs w:val="20"/>
        </w:rPr>
        <w:t xml:space="preserve"> </w:t>
      </w:r>
      <w:proofErr w:type="spellStart"/>
      <w:r w:rsidR="00C06D93" w:rsidRPr="00856337">
        <w:rPr>
          <w:rFonts w:ascii="Arial" w:hAnsi="Arial" w:cs="Arial"/>
          <w:sz w:val="20"/>
          <w:szCs w:val="20"/>
        </w:rPr>
        <w:t>Fiiro</w:t>
      </w:r>
      <w:proofErr w:type="spellEnd"/>
      <w:r w:rsidRPr="00856337">
        <w:rPr>
          <w:rFonts w:ascii="Arial" w:hAnsi="Arial" w:cs="Arial"/>
          <w:sz w:val="20"/>
          <w:szCs w:val="20"/>
        </w:rPr>
        <w:t>,</w:t>
      </w:r>
      <w:r w:rsidR="00C06D93" w:rsidRPr="00856337">
        <w:rPr>
          <w:rFonts w:ascii="Arial" w:hAnsi="Arial" w:cs="Arial"/>
          <w:sz w:val="20"/>
          <w:szCs w:val="20"/>
        </w:rPr>
        <w:t xml:space="preserve"> Dr. Juliet Igbo,</w:t>
      </w:r>
      <w:r w:rsidR="00924CA8">
        <w:rPr>
          <w:rFonts w:ascii="Arial" w:hAnsi="Arial" w:cs="Arial"/>
          <w:sz w:val="20"/>
          <w:szCs w:val="20"/>
        </w:rPr>
        <w:t xml:space="preserve"> </w:t>
      </w:r>
      <w:r w:rsidR="00C06D93" w:rsidRPr="00856337">
        <w:rPr>
          <w:rFonts w:ascii="Arial" w:hAnsi="Arial" w:cs="Arial"/>
          <w:sz w:val="20"/>
          <w:szCs w:val="20"/>
        </w:rPr>
        <w:t xml:space="preserve">Blue Economy </w:t>
      </w:r>
      <w:proofErr w:type="gramStart"/>
      <w:r w:rsidR="00C06D93" w:rsidRPr="00856337">
        <w:rPr>
          <w:rFonts w:ascii="Arial" w:hAnsi="Arial" w:cs="Arial"/>
          <w:sz w:val="20"/>
          <w:szCs w:val="20"/>
        </w:rPr>
        <w:t>Ambassador,  Institute</w:t>
      </w:r>
      <w:proofErr w:type="gramEnd"/>
      <w:r w:rsidR="00C06D93" w:rsidRPr="00856337">
        <w:rPr>
          <w:rFonts w:ascii="Arial" w:hAnsi="Arial" w:cs="Arial"/>
          <w:sz w:val="20"/>
          <w:szCs w:val="20"/>
        </w:rPr>
        <w:t xml:space="preserve"> of Oceanography</w:t>
      </w:r>
      <w:r w:rsidR="00C06D93" w:rsidRPr="00924CA8">
        <w:rPr>
          <w:rFonts w:ascii="Arial" w:hAnsi="Arial" w:cs="Arial"/>
          <w:sz w:val="20"/>
          <w:szCs w:val="20"/>
        </w:rPr>
        <w:t>.</w:t>
      </w:r>
    </w:p>
    <w:p w:rsidR="004B43E9" w:rsidRDefault="000B232E" w:rsidP="004B43E9">
      <w:pPr>
        <w:spacing w:before="240" w:line="360" w:lineRule="auto"/>
        <w:rPr>
          <w:rFonts w:ascii="Arial" w:hAnsi="Arial" w:cs="Arial"/>
        </w:rPr>
      </w:pPr>
      <w:r>
        <w:rPr>
          <w:rFonts w:ascii="Arial" w:hAnsi="Arial" w:cs="Arial"/>
        </w:rPr>
        <w:lastRenderedPageBreak/>
        <w:t>My sincere gratitud</w:t>
      </w:r>
      <w:r w:rsidR="00C06D93">
        <w:rPr>
          <w:rFonts w:ascii="Arial" w:hAnsi="Arial" w:cs="Arial"/>
        </w:rPr>
        <w:t xml:space="preserve">e goes also to my family </w:t>
      </w:r>
      <w:r>
        <w:rPr>
          <w:rFonts w:ascii="Arial" w:hAnsi="Arial" w:cs="Arial"/>
        </w:rPr>
        <w:t xml:space="preserve">and all who contributed their time, effort and love, towards </w:t>
      </w:r>
      <w:r w:rsidR="00C06D93">
        <w:rPr>
          <w:rFonts w:ascii="Arial" w:hAnsi="Arial" w:cs="Arial"/>
        </w:rPr>
        <w:t xml:space="preserve">writing this </w:t>
      </w:r>
      <w:r w:rsidR="003B2942">
        <w:rPr>
          <w:rFonts w:ascii="Arial" w:hAnsi="Arial" w:cs="Arial"/>
        </w:rPr>
        <w:t>manuscript.</w:t>
      </w:r>
    </w:p>
    <w:p w:rsidR="004B43E9" w:rsidRDefault="004B43E9" w:rsidP="004B43E9">
      <w:pPr>
        <w:spacing w:before="240" w:line="360" w:lineRule="auto"/>
        <w:rPr>
          <w:rFonts w:ascii="Arial" w:hAnsi="Arial" w:cs="Arial"/>
        </w:rPr>
      </w:pPr>
    </w:p>
    <w:p w:rsidR="004B43E9" w:rsidRPr="0084219A" w:rsidRDefault="004B43E9" w:rsidP="004B43E9">
      <w:pPr>
        <w:spacing w:before="240" w:line="360" w:lineRule="auto"/>
        <w:rPr>
          <w:rFonts w:ascii="Arial" w:hAnsi="Arial" w:cs="Arial"/>
          <w:b/>
          <w:i/>
        </w:rPr>
      </w:pPr>
      <w:r w:rsidRPr="0084219A">
        <w:rPr>
          <w:rFonts w:ascii="Arial" w:hAnsi="Arial" w:cs="Arial"/>
          <w:b/>
          <w:i/>
        </w:rPr>
        <w:t>Authors’ contributions</w:t>
      </w:r>
    </w:p>
    <w:p w:rsidR="004B43E9" w:rsidRPr="00B11422" w:rsidRDefault="004B43E9" w:rsidP="004B43E9">
      <w:pPr>
        <w:spacing w:after="240" w:line="360" w:lineRule="auto"/>
        <w:jc w:val="both"/>
        <w:rPr>
          <w:rFonts w:ascii="Arial" w:hAnsi="Arial" w:cs="Arial"/>
          <w:i/>
        </w:rPr>
      </w:pPr>
      <w:r w:rsidRPr="00B11422">
        <w:rPr>
          <w:rFonts w:ascii="Arial" w:hAnsi="Arial" w:cs="Arial"/>
          <w:i/>
        </w:rPr>
        <w:t>This work was carried out in collaboration among all author</w:t>
      </w:r>
      <w:r>
        <w:rPr>
          <w:rFonts w:ascii="Arial" w:hAnsi="Arial" w:cs="Arial"/>
          <w:i/>
        </w:rPr>
        <w:t xml:space="preserve">s. Author </w:t>
      </w:r>
      <w:r w:rsidRPr="00B11422">
        <w:rPr>
          <w:rFonts w:ascii="Arial" w:hAnsi="Arial" w:cs="Arial"/>
          <w:i/>
        </w:rPr>
        <w:t xml:space="preserve">EO </w:t>
      </w:r>
      <w:proofErr w:type="gramStart"/>
      <w:r w:rsidRPr="00B11422">
        <w:rPr>
          <w:rFonts w:ascii="Arial" w:hAnsi="Arial" w:cs="Arial"/>
          <w:i/>
        </w:rPr>
        <w:t>conducte</w:t>
      </w:r>
      <w:r>
        <w:rPr>
          <w:rFonts w:ascii="Arial" w:hAnsi="Arial" w:cs="Arial"/>
          <w:i/>
        </w:rPr>
        <w:t>d  the</w:t>
      </w:r>
      <w:proofErr w:type="gramEnd"/>
      <w:r>
        <w:rPr>
          <w:rFonts w:ascii="Arial" w:hAnsi="Arial" w:cs="Arial"/>
          <w:i/>
        </w:rPr>
        <w:t xml:space="preserve">  field work. Authors EO and EL </w:t>
      </w:r>
      <w:r w:rsidRPr="00B11422">
        <w:rPr>
          <w:rFonts w:ascii="Arial" w:hAnsi="Arial" w:cs="Arial"/>
          <w:i/>
        </w:rPr>
        <w:t>performed d</w:t>
      </w:r>
      <w:r>
        <w:rPr>
          <w:rFonts w:ascii="Arial" w:hAnsi="Arial" w:cs="Arial"/>
          <w:i/>
        </w:rPr>
        <w:t>ata analysis. Author EO</w:t>
      </w:r>
      <w:r w:rsidRPr="00B11422">
        <w:rPr>
          <w:rFonts w:ascii="Arial" w:hAnsi="Arial" w:cs="Arial"/>
          <w:i/>
        </w:rPr>
        <w:t xml:space="preserve"> wrote the manuscript. Author</w:t>
      </w:r>
      <w:r>
        <w:rPr>
          <w:rFonts w:ascii="Arial" w:hAnsi="Arial" w:cs="Arial"/>
          <w:i/>
        </w:rPr>
        <w:t xml:space="preserve">s AE and   EJC edited to the manuscript. Author EL reviewed and </w:t>
      </w:r>
      <w:r w:rsidRPr="00B11422">
        <w:rPr>
          <w:rFonts w:ascii="Arial" w:hAnsi="Arial" w:cs="Arial"/>
          <w:i/>
        </w:rPr>
        <w:t>provided supervision. All authors read and approved the final manuscript.</w:t>
      </w:r>
    </w:p>
    <w:p w:rsidR="004B43E9" w:rsidRDefault="004B43E9" w:rsidP="003B2942">
      <w:pPr>
        <w:spacing w:before="240" w:line="360" w:lineRule="auto"/>
        <w:rPr>
          <w:rFonts w:ascii="Arial" w:hAnsi="Arial" w:cs="Arial"/>
        </w:rPr>
      </w:pPr>
    </w:p>
    <w:p w:rsidR="00D3165F" w:rsidRPr="00D3165F" w:rsidRDefault="00D3165F" w:rsidP="00D3165F">
      <w:pPr>
        <w:pStyle w:val="ReferHead"/>
        <w:spacing w:line="360" w:lineRule="auto"/>
        <w:jc w:val="both"/>
        <w:rPr>
          <w:rFonts w:ascii="Arial" w:hAnsi="Arial" w:cs="Arial"/>
          <w:b w:val="0"/>
          <w:caps w:val="0"/>
          <w:sz w:val="20"/>
          <w:u w:val="single"/>
        </w:rPr>
      </w:pPr>
      <w:r w:rsidRPr="00D3165F">
        <w:rPr>
          <w:rFonts w:ascii="Arial" w:hAnsi="Arial" w:cs="Arial"/>
          <w:b w:val="0"/>
          <w:caps w:val="0"/>
          <w:sz w:val="20"/>
          <w:u w:val="single"/>
        </w:rPr>
        <w:t>COMPETING INTERESTS DISCLAIMER:</w:t>
      </w:r>
    </w:p>
    <w:p w:rsidR="005321C2" w:rsidRPr="00486B84" w:rsidRDefault="00D3165F" w:rsidP="00486B84">
      <w:pPr>
        <w:pStyle w:val="ReferHead"/>
        <w:spacing w:line="360" w:lineRule="auto"/>
        <w:jc w:val="both"/>
        <w:rPr>
          <w:rFonts w:ascii="Arial" w:hAnsi="Arial" w:cs="Arial"/>
          <w:b w:val="0"/>
          <w:caps w:val="0"/>
          <w:sz w:val="20"/>
          <w:u w:val="single"/>
        </w:rPr>
      </w:pPr>
      <w:r w:rsidRPr="00D3165F">
        <w:rPr>
          <w:rFonts w:ascii="Arial" w:hAnsi="Arial" w:cs="Arial"/>
          <w:b w:val="0"/>
          <w:caps w:val="0"/>
          <w:sz w:val="20"/>
          <w:u w:val="single"/>
        </w:rPr>
        <w:t>Authors have declared that they have no known competing financial interests OR non-financial interests OR personal relationships that could have appeared to influence the work reported in this paper.</w:t>
      </w:r>
      <w:bookmarkStart w:id="1" w:name="_Hlk221270586"/>
    </w:p>
    <w:p w:rsidR="005321C2" w:rsidRPr="0084219A" w:rsidRDefault="005321C2" w:rsidP="005321C2">
      <w:pPr>
        <w:pStyle w:val="NoSpacing"/>
        <w:rPr>
          <w:rFonts w:ascii="Arial" w:hAnsi="Arial" w:cs="Arial"/>
          <w:b/>
          <w:highlight w:val="yellow"/>
        </w:rPr>
      </w:pPr>
      <w:bookmarkStart w:id="2" w:name="_Hlk219284361"/>
      <w:bookmarkStart w:id="3" w:name="_Hlk198031404"/>
      <w:r w:rsidRPr="0084219A">
        <w:rPr>
          <w:rFonts w:ascii="Arial" w:hAnsi="Arial" w:cs="Arial"/>
          <w:b/>
          <w:highlight w:val="yellow"/>
        </w:rPr>
        <w:t>Disclaimer (Artificial intelligence)</w:t>
      </w:r>
    </w:p>
    <w:p w:rsidR="005321C2" w:rsidRPr="00005ED1" w:rsidRDefault="005321C2" w:rsidP="005321C2">
      <w:pPr>
        <w:pStyle w:val="NoSpacing"/>
        <w:rPr>
          <w:rFonts w:ascii="Arial" w:hAnsi="Arial" w:cs="Arial"/>
          <w:highlight w:val="yellow"/>
        </w:rPr>
      </w:pPr>
    </w:p>
    <w:p w:rsidR="00D3165F" w:rsidRDefault="005321C2" w:rsidP="00924CA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bookmarkEnd w:id="1"/>
      <w:bookmarkEnd w:id="3"/>
    </w:p>
    <w:p w:rsidR="00924CA8" w:rsidRPr="00924CA8" w:rsidRDefault="00924CA8" w:rsidP="00924CA8">
      <w:pPr>
        <w:pStyle w:val="NoSpacing"/>
        <w:rPr>
          <w:rFonts w:ascii="Arial" w:hAnsi="Arial" w:cs="Arial"/>
          <w:highlight w:val="yellow"/>
        </w:rPr>
      </w:pPr>
    </w:p>
    <w:p w:rsidR="005649F8" w:rsidRPr="004B2707" w:rsidRDefault="00024116" w:rsidP="004B2707">
      <w:pPr>
        <w:spacing w:after="240" w:line="360" w:lineRule="auto"/>
        <w:jc w:val="both"/>
        <w:rPr>
          <w:rFonts w:ascii="Arial" w:hAnsi="Arial" w:cs="Arial"/>
          <w:b/>
        </w:rPr>
      </w:pPr>
      <w:r w:rsidRPr="004B2707">
        <w:rPr>
          <w:rFonts w:ascii="Arial" w:hAnsi="Arial" w:cs="Arial"/>
          <w:b/>
        </w:rPr>
        <w:t>REFERENCES</w:t>
      </w:r>
    </w:p>
    <w:p w:rsidR="00A6282B" w:rsidRPr="004B2707" w:rsidRDefault="00BA2F43" w:rsidP="004B2707">
      <w:pPr>
        <w:spacing w:after="240" w:line="360" w:lineRule="auto"/>
        <w:jc w:val="both"/>
        <w:rPr>
          <w:rFonts w:ascii="Arial" w:hAnsi="Arial" w:cs="Arial"/>
          <w:i/>
        </w:rPr>
      </w:pPr>
      <w:hyperlink r:id="rId15" w:history="1">
        <w:r w:rsidR="00745122" w:rsidRPr="004B2707">
          <w:rPr>
            <w:rStyle w:val="Hyperlink"/>
            <w:rFonts w:ascii="Arial" w:hAnsi="Arial" w:cs="Arial"/>
            <w:i/>
          </w:rPr>
          <w:t>HTTPS://WWW.RESEARCHGATE.NET/FIGURE/THE-LAND-USE-ZONES-OF-THE-FESTAC-ACQUISITIONS_FIG2_242707704</w:t>
        </w:r>
      </w:hyperlink>
    </w:p>
    <w:p w:rsidR="00745122" w:rsidRPr="004B2707" w:rsidRDefault="00745122" w:rsidP="00486B84">
      <w:pPr>
        <w:tabs>
          <w:tab w:val="left" w:pos="0"/>
        </w:tabs>
        <w:spacing w:after="240" w:line="360" w:lineRule="auto"/>
        <w:ind w:left="720" w:hanging="720"/>
        <w:jc w:val="both"/>
        <w:rPr>
          <w:rFonts w:ascii="Arial" w:hAnsi="Arial" w:cs="Arial"/>
          <w:color w:val="222222"/>
          <w:shd w:val="clear" w:color="auto" w:fill="FFFFFF"/>
        </w:rPr>
      </w:pPr>
      <w:r w:rsidRPr="004B2707">
        <w:rPr>
          <w:rFonts w:ascii="Arial" w:hAnsi="Arial" w:cs="Arial"/>
          <w:color w:val="222222"/>
          <w:shd w:val="clear" w:color="auto" w:fill="FFFFFF"/>
        </w:rPr>
        <w:t xml:space="preserve">Okunola, O., </w:t>
      </w:r>
      <w:proofErr w:type="spellStart"/>
      <w:r w:rsidRPr="004B2707">
        <w:rPr>
          <w:rFonts w:ascii="Arial" w:hAnsi="Arial" w:cs="Arial"/>
          <w:color w:val="222222"/>
          <w:shd w:val="clear" w:color="auto" w:fill="FFFFFF"/>
        </w:rPr>
        <w:t>Ogunbodede</w:t>
      </w:r>
      <w:proofErr w:type="spellEnd"/>
      <w:r w:rsidRPr="004B2707">
        <w:rPr>
          <w:rFonts w:ascii="Arial" w:hAnsi="Arial" w:cs="Arial"/>
          <w:color w:val="222222"/>
          <w:shd w:val="clear" w:color="auto" w:fill="FFFFFF"/>
        </w:rPr>
        <w:t xml:space="preserve">, B., </w:t>
      </w:r>
      <w:proofErr w:type="spellStart"/>
      <w:r w:rsidRPr="004B2707">
        <w:rPr>
          <w:rFonts w:ascii="Arial" w:hAnsi="Arial" w:cs="Arial"/>
          <w:color w:val="222222"/>
          <w:shd w:val="clear" w:color="auto" w:fill="FFFFFF"/>
        </w:rPr>
        <w:t>Solaja</w:t>
      </w:r>
      <w:proofErr w:type="spellEnd"/>
      <w:r w:rsidRPr="004B2707">
        <w:rPr>
          <w:rFonts w:ascii="Arial" w:hAnsi="Arial" w:cs="Arial"/>
          <w:color w:val="222222"/>
          <w:shd w:val="clear" w:color="auto" w:fill="FFFFFF"/>
        </w:rPr>
        <w:t xml:space="preserve">, A., &amp; Jobi, A. (2025). Impact of Gating Characteristics </w:t>
      </w:r>
      <w:proofErr w:type="gramStart"/>
      <w:r w:rsidRPr="004B2707">
        <w:rPr>
          <w:rFonts w:ascii="Arial" w:hAnsi="Arial" w:cs="Arial"/>
          <w:color w:val="222222"/>
          <w:shd w:val="clear" w:color="auto" w:fill="FFFFFF"/>
        </w:rPr>
        <w:t>On</w:t>
      </w:r>
      <w:proofErr w:type="gramEnd"/>
      <w:r w:rsidRPr="004B2707">
        <w:rPr>
          <w:rFonts w:ascii="Arial" w:hAnsi="Arial" w:cs="Arial"/>
          <w:color w:val="222222"/>
          <w:shd w:val="clear" w:color="auto" w:fill="FFFFFF"/>
        </w:rPr>
        <w:t xml:space="preserve"> Place Dependence In FESTAC Housing Estate, Nigeria. </w:t>
      </w:r>
      <w:r w:rsidRPr="004B2707">
        <w:rPr>
          <w:rFonts w:ascii="Arial" w:hAnsi="Arial" w:cs="Arial"/>
          <w:i/>
          <w:iCs/>
          <w:color w:val="222222"/>
          <w:shd w:val="clear" w:color="auto" w:fill="FFFFFF"/>
        </w:rPr>
        <w:t>International Journal of Architecture and Urbanism</w:t>
      </w:r>
      <w:r w:rsidRPr="004B2707">
        <w:rPr>
          <w:rFonts w:ascii="Arial" w:hAnsi="Arial" w:cs="Arial"/>
          <w:color w:val="222222"/>
          <w:shd w:val="clear" w:color="auto" w:fill="FFFFFF"/>
        </w:rPr>
        <w:t>, </w:t>
      </w:r>
      <w:r w:rsidRPr="004B2707">
        <w:rPr>
          <w:rFonts w:ascii="Arial" w:hAnsi="Arial" w:cs="Arial"/>
          <w:i/>
          <w:iCs/>
          <w:color w:val="222222"/>
          <w:shd w:val="clear" w:color="auto" w:fill="FFFFFF"/>
        </w:rPr>
        <w:t>9</w:t>
      </w:r>
      <w:r w:rsidRPr="004B2707">
        <w:rPr>
          <w:rFonts w:ascii="Arial" w:hAnsi="Arial" w:cs="Arial"/>
          <w:color w:val="222222"/>
          <w:shd w:val="clear" w:color="auto" w:fill="FFFFFF"/>
        </w:rPr>
        <w:t>(1), 168-182.</w:t>
      </w:r>
    </w:p>
    <w:p w:rsidR="00745122" w:rsidRPr="004B2707" w:rsidRDefault="00DE1102" w:rsidP="00924CA8">
      <w:pPr>
        <w:pStyle w:val="NormalWeb"/>
        <w:spacing w:before="0" w:beforeAutospacing="0" w:after="0" w:afterAutospacing="0" w:line="480" w:lineRule="auto"/>
        <w:ind w:left="720" w:hanging="720"/>
        <w:jc w:val="both"/>
        <w:rPr>
          <w:rFonts w:ascii="Arial" w:hAnsi="Arial" w:cs="Arial"/>
          <w:sz w:val="20"/>
          <w:szCs w:val="20"/>
        </w:rPr>
      </w:pPr>
      <w:proofErr w:type="spellStart"/>
      <w:r w:rsidRPr="004B2707">
        <w:rPr>
          <w:rFonts w:ascii="Arial" w:hAnsi="Arial" w:cs="Arial"/>
          <w:sz w:val="20"/>
          <w:szCs w:val="20"/>
        </w:rPr>
        <w:t>Banful</w:t>
      </w:r>
      <w:proofErr w:type="spellEnd"/>
      <w:r w:rsidRPr="004B2707">
        <w:rPr>
          <w:rFonts w:ascii="Arial" w:hAnsi="Arial" w:cs="Arial"/>
          <w:sz w:val="20"/>
          <w:szCs w:val="20"/>
        </w:rPr>
        <w:t xml:space="preserve">, A. (2024). </w:t>
      </w:r>
      <w:proofErr w:type="spellStart"/>
      <w:r w:rsidRPr="004B2707">
        <w:rPr>
          <w:rFonts w:ascii="Arial" w:hAnsi="Arial" w:cs="Arial"/>
          <w:sz w:val="20"/>
          <w:szCs w:val="20"/>
        </w:rPr>
        <w:t>Festac</w:t>
      </w:r>
      <w:proofErr w:type="spellEnd"/>
      <w:r w:rsidRPr="004B2707">
        <w:rPr>
          <w:rFonts w:ascii="Arial" w:hAnsi="Arial" w:cs="Arial"/>
          <w:sz w:val="20"/>
          <w:szCs w:val="20"/>
        </w:rPr>
        <w:t xml:space="preserve"> . . . Memories of an oil boom. </w:t>
      </w:r>
      <w:r w:rsidRPr="004B2707">
        <w:rPr>
          <w:rFonts w:ascii="Arial" w:hAnsi="Arial" w:cs="Arial"/>
          <w:i/>
          <w:iCs/>
          <w:sz w:val="20"/>
          <w:szCs w:val="20"/>
        </w:rPr>
        <w:t>PMLA/Publications of the Modern Language Association of America</w:t>
      </w:r>
      <w:r w:rsidRPr="004B2707">
        <w:rPr>
          <w:rFonts w:ascii="Arial" w:hAnsi="Arial" w:cs="Arial"/>
          <w:sz w:val="20"/>
          <w:szCs w:val="20"/>
        </w:rPr>
        <w:t xml:space="preserve">, </w:t>
      </w:r>
      <w:r w:rsidRPr="004B2707">
        <w:rPr>
          <w:rFonts w:ascii="Arial" w:hAnsi="Arial" w:cs="Arial"/>
          <w:i/>
          <w:iCs/>
          <w:sz w:val="20"/>
          <w:szCs w:val="20"/>
        </w:rPr>
        <w:t>139</w:t>
      </w:r>
      <w:r w:rsidRPr="004B2707">
        <w:rPr>
          <w:rFonts w:ascii="Arial" w:hAnsi="Arial" w:cs="Arial"/>
          <w:sz w:val="20"/>
          <w:szCs w:val="20"/>
        </w:rPr>
        <w:t xml:space="preserve">(5), 921–925. </w:t>
      </w:r>
      <w:hyperlink r:id="rId16" w:history="1">
        <w:r w:rsidRPr="004B2707">
          <w:rPr>
            <w:rStyle w:val="Hyperlink"/>
            <w:rFonts w:ascii="Arial" w:hAnsi="Arial" w:cs="Arial"/>
            <w:sz w:val="20"/>
            <w:szCs w:val="20"/>
          </w:rPr>
          <w:t>https://doi.org/10.1632/s003081292400083x</w:t>
        </w:r>
      </w:hyperlink>
    </w:p>
    <w:p w:rsidR="00DE1102" w:rsidRPr="004B2707" w:rsidRDefault="00DE1102" w:rsidP="004B2707">
      <w:pPr>
        <w:pStyle w:val="NormalWeb"/>
        <w:spacing w:before="0" w:beforeAutospacing="0" w:after="0" w:afterAutospacing="0" w:line="480" w:lineRule="auto"/>
        <w:ind w:left="720" w:hanging="720"/>
        <w:jc w:val="both"/>
        <w:rPr>
          <w:rStyle w:val="url"/>
          <w:rFonts w:ascii="Arial" w:hAnsi="Arial" w:cs="Arial"/>
          <w:sz w:val="20"/>
          <w:szCs w:val="20"/>
        </w:rPr>
      </w:pPr>
      <w:r w:rsidRPr="004B2707">
        <w:rPr>
          <w:rFonts w:ascii="Arial" w:hAnsi="Arial" w:cs="Arial"/>
          <w:sz w:val="20"/>
          <w:szCs w:val="20"/>
        </w:rPr>
        <w:t xml:space="preserve">Saxena, V. (2025). Water Quality, Air Pollution, and Climate Change: Investigating the environmental impacts of industrialization and urbanization. </w:t>
      </w:r>
      <w:r w:rsidRPr="004B2707">
        <w:rPr>
          <w:rFonts w:ascii="Arial" w:hAnsi="Arial" w:cs="Arial"/>
          <w:i/>
          <w:iCs/>
          <w:sz w:val="20"/>
          <w:szCs w:val="20"/>
        </w:rPr>
        <w:t>Water Air &amp; Soil Pollution</w:t>
      </w:r>
      <w:r w:rsidRPr="004B2707">
        <w:rPr>
          <w:rFonts w:ascii="Arial" w:hAnsi="Arial" w:cs="Arial"/>
          <w:sz w:val="20"/>
          <w:szCs w:val="20"/>
        </w:rPr>
        <w:t xml:space="preserve">, </w:t>
      </w:r>
      <w:r w:rsidRPr="004B2707">
        <w:rPr>
          <w:rFonts w:ascii="Arial" w:hAnsi="Arial" w:cs="Arial"/>
          <w:i/>
          <w:iCs/>
          <w:sz w:val="20"/>
          <w:szCs w:val="20"/>
        </w:rPr>
        <w:t>236</w:t>
      </w:r>
      <w:r w:rsidRPr="004B2707">
        <w:rPr>
          <w:rFonts w:ascii="Arial" w:hAnsi="Arial" w:cs="Arial"/>
          <w:sz w:val="20"/>
          <w:szCs w:val="20"/>
        </w:rPr>
        <w:t xml:space="preserve">(2). </w:t>
      </w:r>
      <w:hyperlink r:id="rId17" w:history="1">
        <w:r w:rsidR="00E469C9" w:rsidRPr="004B2707">
          <w:rPr>
            <w:rStyle w:val="Hyperlink"/>
            <w:rFonts w:ascii="Arial" w:hAnsi="Arial" w:cs="Arial"/>
            <w:sz w:val="20"/>
            <w:szCs w:val="20"/>
          </w:rPr>
          <w:t>https://doi.org/10.1007/s11270-024-07702-4</w:t>
        </w:r>
      </w:hyperlink>
    </w:p>
    <w:p w:rsidR="00745122" w:rsidRPr="004B2707" w:rsidRDefault="00210368" w:rsidP="00D44F84">
      <w:pPr>
        <w:pStyle w:val="NormalWeb"/>
        <w:spacing w:line="360" w:lineRule="auto"/>
        <w:ind w:left="720" w:hanging="720"/>
        <w:jc w:val="both"/>
        <w:rPr>
          <w:rStyle w:val="url"/>
          <w:rFonts w:ascii="Arial" w:hAnsi="Arial" w:cs="Arial"/>
          <w:sz w:val="20"/>
          <w:szCs w:val="20"/>
        </w:rPr>
      </w:pPr>
      <w:r w:rsidRPr="004B2707">
        <w:rPr>
          <w:rFonts w:ascii="Arial" w:hAnsi="Arial" w:cs="Arial"/>
          <w:sz w:val="20"/>
          <w:szCs w:val="20"/>
          <w:lang w:val="es-US"/>
        </w:rPr>
        <w:t xml:space="preserve">Cheney, A. M., Laguado Barrera, T., Rodríguez, K., &amp; Jaramillo López, A. M. (2022). </w:t>
      </w:r>
      <w:r w:rsidRPr="004B2707">
        <w:rPr>
          <w:rFonts w:ascii="Arial" w:hAnsi="Arial" w:cs="Arial"/>
          <w:sz w:val="20"/>
          <w:szCs w:val="20"/>
        </w:rPr>
        <w:t xml:space="preserve">The intersection of workplace and environmental exposure on health in Latinx farm working communities in rural </w:t>
      </w:r>
      <w:r w:rsidRPr="004B2707">
        <w:rPr>
          <w:rFonts w:ascii="Arial" w:hAnsi="Arial" w:cs="Arial"/>
          <w:sz w:val="20"/>
          <w:szCs w:val="20"/>
        </w:rPr>
        <w:lastRenderedPageBreak/>
        <w:t xml:space="preserve">inland Southern California. </w:t>
      </w:r>
      <w:r w:rsidRPr="004B2707">
        <w:rPr>
          <w:rStyle w:val="Emphasis"/>
          <w:rFonts w:ascii="Arial" w:eastAsiaTheme="majorEastAsia" w:hAnsi="Arial" w:cs="Arial"/>
          <w:sz w:val="20"/>
          <w:szCs w:val="20"/>
        </w:rPr>
        <w:t>International Journal of Environmental Research and Public Health, 19</w:t>
      </w:r>
      <w:r w:rsidRPr="004B2707">
        <w:rPr>
          <w:rFonts w:ascii="Arial" w:hAnsi="Arial" w:cs="Arial"/>
          <w:sz w:val="20"/>
          <w:szCs w:val="20"/>
        </w:rPr>
        <w:t xml:space="preserve">(19), 12940. </w:t>
      </w:r>
      <w:hyperlink r:id="rId18" w:history="1">
        <w:r w:rsidRPr="004B2707">
          <w:rPr>
            <w:rStyle w:val="Hyperlink"/>
            <w:rFonts w:ascii="Arial" w:hAnsi="Arial" w:cs="Arial"/>
            <w:sz w:val="20"/>
            <w:szCs w:val="20"/>
          </w:rPr>
          <w:t>https://doi.org/10.3390/ijerph191912940</w:t>
        </w:r>
      </w:hyperlink>
    </w:p>
    <w:p w:rsidR="00745122" w:rsidRPr="004B2707" w:rsidRDefault="00560D44" w:rsidP="00E210F4">
      <w:pPr>
        <w:pStyle w:val="NormalWeb"/>
        <w:spacing w:line="360" w:lineRule="auto"/>
        <w:ind w:left="720" w:hanging="720"/>
        <w:jc w:val="both"/>
        <w:rPr>
          <w:rFonts w:ascii="Arial" w:hAnsi="Arial" w:cs="Arial"/>
          <w:sz w:val="20"/>
          <w:szCs w:val="20"/>
        </w:rPr>
      </w:pPr>
      <w:r w:rsidRPr="004B2707">
        <w:rPr>
          <w:rFonts w:ascii="Arial" w:hAnsi="Arial" w:cs="Arial"/>
          <w:sz w:val="20"/>
          <w:szCs w:val="20"/>
        </w:rPr>
        <w:t>Ndubuisi, O. G., &amp;</w:t>
      </w:r>
      <w:proofErr w:type="spellStart"/>
      <w:r w:rsidRPr="004B2707">
        <w:rPr>
          <w:rFonts w:ascii="Arial" w:hAnsi="Arial" w:cs="Arial"/>
          <w:sz w:val="20"/>
          <w:szCs w:val="20"/>
        </w:rPr>
        <w:t>FnisafetyE</w:t>
      </w:r>
      <w:proofErr w:type="spellEnd"/>
      <w:r w:rsidRPr="004B2707">
        <w:rPr>
          <w:rFonts w:ascii="Arial" w:hAnsi="Arial" w:cs="Arial"/>
          <w:sz w:val="20"/>
          <w:szCs w:val="20"/>
        </w:rPr>
        <w:t>, F. I. S. P. O. N. (2025). Environmental effect of ozone depletion and its interactions with climate change.</w:t>
      </w:r>
    </w:p>
    <w:p w:rsidR="00DE1102" w:rsidRPr="004B2707" w:rsidRDefault="00DE1102" w:rsidP="004B2707">
      <w:pPr>
        <w:pStyle w:val="NormalWeb"/>
        <w:spacing w:before="0" w:beforeAutospacing="0" w:after="0" w:afterAutospacing="0" w:line="480" w:lineRule="auto"/>
        <w:ind w:left="720" w:hanging="720"/>
        <w:jc w:val="both"/>
        <w:rPr>
          <w:rStyle w:val="url"/>
          <w:rFonts w:ascii="Arial" w:hAnsi="Arial" w:cs="Arial"/>
          <w:sz w:val="20"/>
          <w:szCs w:val="20"/>
        </w:rPr>
      </w:pPr>
      <w:r w:rsidRPr="004B2707">
        <w:rPr>
          <w:rFonts w:ascii="Arial" w:hAnsi="Arial" w:cs="Arial"/>
          <w:sz w:val="20"/>
          <w:szCs w:val="20"/>
        </w:rPr>
        <w:t xml:space="preserve">Mani, Z. A. (2025). The global Alarming Impact of Extreme Heat Waves: A Retrospective Analysis. </w:t>
      </w:r>
      <w:r w:rsidRPr="004B2707">
        <w:rPr>
          <w:rFonts w:ascii="Arial" w:hAnsi="Arial" w:cs="Arial"/>
          <w:i/>
          <w:iCs/>
          <w:sz w:val="20"/>
          <w:szCs w:val="20"/>
        </w:rPr>
        <w:t>Prehospital and Disaster Medicine</w:t>
      </w:r>
      <w:r w:rsidRPr="004B2707">
        <w:rPr>
          <w:rFonts w:ascii="Arial" w:hAnsi="Arial" w:cs="Arial"/>
          <w:sz w:val="20"/>
          <w:szCs w:val="20"/>
        </w:rPr>
        <w:t xml:space="preserve">, </w:t>
      </w:r>
      <w:r w:rsidRPr="004B2707">
        <w:rPr>
          <w:rFonts w:ascii="Arial" w:hAnsi="Arial" w:cs="Arial"/>
          <w:i/>
          <w:iCs/>
          <w:sz w:val="20"/>
          <w:szCs w:val="20"/>
        </w:rPr>
        <w:t>40</w:t>
      </w:r>
      <w:r w:rsidRPr="004B2707">
        <w:rPr>
          <w:rFonts w:ascii="Arial" w:hAnsi="Arial" w:cs="Arial"/>
          <w:sz w:val="20"/>
          <w:szCs w:val="20"/>
        </w:rPr>
        <w:t xml:space="preserve">(S1), s5. </w:t>
      </w:r>
      <w:hyperlink r:id="rId19" w:history="1">
        <w:r w:rsidR="004232E7" w:rsidRPr="004B2707">
          <w:rPr>
            <w:rStyle w:val="Hyperlink"/>
            <w:rFonts w:ascii="Arial" w:hAnsi="Arial" w:cs="Arial"/>
            <w:sz w:val="20"/>
            <w:szCs w:val="20"/>
          </w:rPr>
          <w:t>https://doi.org/10.1017/s1049023x25000354</w:t>
        </w:r>
      </w:hyperlink>
    </w:p>
    <w:p w:rsidR="004232E7" w:rsidRPr="004B2707" w:rsidRDefault="004232E7" w:rsidP="00924CA8">
      <w:pPr>
        <w:pStyle w:val="NormalWeb"/>
        <w:spacing w:line="360" w:lineRule="auto"/>
        <w:ind w:left="720" w:hanging="720"/>
        <w:jc w:val="both"/>
        <w:rPr>
          <w:rFonts w:ascii="Arial" w:hAnsi="Arial" w:cs="Arial"/>
          <w:sz w:val="20"/>
          <w:szCs w:val="20"/>
        </w:rPr>
      </w:pPr>
      <w:r w:rsidRPr="004B2707">
        <w:rPr>
          <w:rFonts w:ascii="Arial" w:hAnsi="Arial" w:cs="Arial"/>
          <w:sz w:val="20"/>
          <w:szCs w:val="20"/>
          <w:lang w:val="es-US"/>
        </w:rPr>
        <w:t>Navas-Martín, M. Á., Ovalle-</w:t>
      </w:r>
      <w:proofErr w:type="spellStart"/>
      <w:r w:rsidRPr="004B2707">
        <w:rPr>
          <w:rFonts w:ascii="Arial" w:hAnsi="Arial" w:cs="Arial"/>
          <w:sz w:val="20"/>
          <w:szCs w:val="20"/>
          <w:lang w:val="es-US"/>
        </w:rPr>
        <w:t>Perandones</w:t>
      </w:r>
      <w:proofErr w:type="spellEnd"/>
      <w:r w:rsidRPr="004B2707">
        <w:rPr>
          <w:rFonts w:ascii="Arial" w:hAnsi="Arial" w:cs="Arial"/>
          <w:sz w:val="20"/>
          <w:szCs w:val="20"/>
          <w:lang w:val="es-US"/>
        </w:rPr>
        <w:t xml:space="preserve">, M. A., López-Bueno, J. A., Díaz, J., Linares, C., &amp; Sánchez-Martínez, G. (2024). </w:t>
      </w:r>
      <w:r w:rsidRPr="004B2707">
        <w:rPr>
          <w:rFonts w:ascii="Arial" w:hAnsi="Arial" w:cs="Arial"/>
          <w:sz w:val="20"/>
          <w:szCs w:val="20"/>
        </w:rPr>
        <w:t xml:space="preserve">Population adaptation to heat as seen through the temperature–mortality relationship, in the context of the impact of global warming on health: A scoping review. </w:t>
      </w:r>
      <w:r w:rsidRPr="004B2707">
        <w:rPr>
          <w:rStyle w:val="Emphasis"/>
          <w:rFonts w:ascii="Arial" w:eastAsiaTheme="majorEastAsia" w:hAnsi="Arial" w:cs="Arial"/>
          <w:sz w:val="20"/>
          <w:szCs w:val="20"/>
        </w:rPr>
        <w:t>Science of the Total Environment, 908</w:t>
      </w:r>
      <w:r w:rsidRPr="004B2707">
        <w:rPr>
          <w:rFonts w:ascii="Arial" w:hAnsi="Arial" w:cs="Arial"/>
          <w:sz w:val="20"/>
          <w:szCs w:val="20"/>
        </w:rPr>
        <w:t>, 168441.</w:t>
      </w:r>
    </w:p>
    <w:p w:rsidR="00DE1102" w:rsidRPr="004B2707" w:rsidRDefault="00DE1102" w:rsidP="004B2707">
      <w:pPr>
        <w:spacing w:line="480" w:lineRule="auto"/>
        <w:ind w:left="720" w:hanging="720"/>
        <w:jc w:val="both"/>
        <w:rPr>
          <w:rFonts w:ascii="Arial" w:hAnsi="Arial" w:cs="Arial"/>
        </w:rPr>
      </w:pPr>
      <w:r w:rsidRPr="004B2707">
        <w:rPr>
          <w:rFonts w:ascii="Arial" w:hAnsi="Arial" w:cs="Arial"/>
        </w:rPr>
        <w:t xml:space="preserve">Levine, H., Jørgensen, N., Martino-Andrade, A., Mendiola, J., Weksler-Derri, D., Jolles, M., Pinotti, R., &amp; Swan, S. H. (2023). Temporal trends in sperm count: A systematic review and meta-regression analysis of samples collected globally in the 20th and 21st centuries. </w:t>
      </w:r>
      <w:r w:rsidRPr="004B2707">
        <w:rPr>
          <w:rFonts w:ascii="Arial" w:hAnsi="Arial" w:cs="Arial"/>
          <w:i/>
          <w:iCs/>
        </w:rPr>
        <w:t>Human Reproduction Update</w:t>
      </w:r>
      <w:r w:rsidRPr="004B2707">
        <w:rPr>
          <w:rFonts w:ascii="Arial" w:hAnsi="Arial" w:cs="Arial"/>
        </w:rPr>
        <w:t xml:space="preserve">, </w:t>
      </w:r>
      <w:r w:rsidRPr="004B2707">
        <w:rPr>
          <w:rFonts w:ascii="Arial" w:hAnsi="Arial" w:cs="Arial"/>
          <w:i/>
          <w:iCs/>
        </w:rPr>
        <w:t>29</w:t>
      </w:r>
      <w:r w:rsidRPr="004B2707">
        <w:rPr>
          <w:rFonts w:ascii="Arial" w:hAnsi="Arial" w:cs="Arial"/>
        </w:rPr>
        <w:t xml:space="preserve">(2), 157–176. </w:t>
      </w:r>
      <w:hyperlink r:id="rId20" w:history="1">
        <w:r w:rsidR="00AF31F5" w:rsidRPr="004B2707">
          <w:rPr>
            <w:rStyle w:val="Hyperlink"/>
            <w:rFonts w:ascii="Arial" w:hAnsi="Arial" w:cs="Arial"/>
          </w:rPr>
          <w:t>https://doi.org/10.1093/humupd/dmac035</w:t>
        </w:r>
      </w:hyperlink>
    </w:p>
    <w:p w:rsidR="00AF31F5" w:rsidRPr="00D44F84" w:rsidRDefault="00AF31F5" w:rsidP="00D44F84">
      <w:pPr>
        <w:pStyle w:val="NormalWeb"/>
        <w:spacing w:line="360" w:lineRule="auto"/>
        <w:ind w:left="720" w:hanging="720"/>
        <w:jc w:val="both"/>
        <w:rPr>
          <w:rFonts w:ascii="Arial" w:hAnsi="Arial" w:cs="Arial"/>
          <w:sz w:val="20"/>
          <w:szCs w:val="20"/>
        </w:rPr>
      </w:pPr>
      <w:r w:rsidRPr="004B2707">
        <w:rPr>
          <w:rFonts w:ascii="Arial" w:hAnsi="Arial" w:cs="Arial"/>
          <w:sz w:val="20"/>
          <w:szCs w:val="20"/>
        </w:rPr>
        <w:t xml:space="preserve">Hulshof, C. T., Pega, F., Neupane, S., Colosio, C., </w:t>
      </w:r>
      <w:proofErr w:type="spellStart"/>
      <w:r w:rsidRPr="004B2707">
        <w:rPr>
          <w:rFonts w:ascii="Arial" w:hAnsi="Arial" w:cs="Arial"/>
          <w:sz w:val="20"/>
          <w:szCs w:val="20"/>
        </w:rPr>
        <w:t>Daams</w:t>
      </w:r>
      <w:proofErr w:type="spellEnd"/>
      <w:r w:rsidRPr="004B2707">
        <w:rPr>
          <w:rFonts w:ascii="Arial" w:hAnsi="Arial" w:cs="Arial"/>
          <w:sz w:val="20"/>
          <w:szCs w:val="20"/>
        </w:rPr>
        <w:t xml:space="preserve">, J. G., Kc, P., … Frings-Dresen, M. H. (2021). The effect of occupational exposure to ergonomic risk factors on osteoarthritis of hip or knee and selected other musculoskeletal diseases: A systematic review and meta-analysis from the WHO/ILO joint estimates of the work-related burden of disease and injury. </w:t>
      </w:r>
      <w:r w:rsidRPr="004B2707">
        <w:rPr>
          <w:rStyle w:val="Emphasis"/>
          <w:rFonts w:ascii="Arial" w:eastAsiaTheme="majorEastAsia" w:hAnsi="Arial" w:cs="Arial"/>
          <w:sz w:val="20"/>
          <w:szCs w:val="20"/>
        </w:rPr>
        <w:t>Environment International, 150</w:t>
      </w:r>
      <w:r w:rsidRPr="004B2707">
        <w:rPr>
          <w:rFonts w:ascii="Arial" w:hAnsi="Arial" w:cs="Arial"/>
          <w:sz w:val="20"/>
          <w:szCs w:val="20"/>
        </w:rPr>
        <w:t>, 106349.</w:t>
      </w:r>
    </w:p>
    <w:p w:rsidR="00DE1102" w:rsidRPr="004B2707" w:rsidRDefault="00DE1102" w:rsidP="004B2707">
      <w:pPr>
        <w:spacing w:after="240" w:line="360" w:lineRule="auto"/>
        <w:ind w:left="720" w:hanging="720"/>
        <w:jc w:val="both"/>
        <w:rPr>
          <w:rFonts w:ascii="Arial" w:hAnsi="Arial" w:cs="Arial"/>
        </w:rPr>
      </w:pPr>
      <w:proofErr w:type="spellStart"/>
      <w:r w:rsidRPr="004B2707">
        <w:rPr>
          <w:rFonts w:ascii="Arial" w:hAnsi="Arial" w:cs="Arial"/>
        </w:rPr>
        <w:t>Penumantra</w:t>
      </w:r>
      <w:proofErr w:type="spellEnd"/>
      <w:r w:rsidRPr="004B2707">
        <w:rPr>
          <w:rFonts w:ascii="Arial" w:hAnsi="Arial" w:cs="Arial"/>
        </w:rPr>
        <w:t xml:space="preserve">, A., </w:t>
      </w:r>
      <w:proofErr w:type="spellStart"/>
      <w:r w:rsidRPr="004B2707">
        <w:rPr>
          <w:rFonts w:ascii="Arial" w:hAnsi="Arial" w:cs="Arial"/>
        </w:rPr>
        <w:t>Shirbhate</w:t>
      </w:r>
      <w:proofErr w:type="spellEnd"/>
      <w:r w:rsidRPr="004B2707">
        <w:rPr>
          <w:rFonts w:ascii="Arial" w:hAnsi="Arial" w:cs="Arial"/>
        </w:rPr>
        <w:t>, N. S., Tiwari, P. S., &amp;Narkhede, S. (2024). The impact of environmental pollution on human health. Academic Guru Publishing House.</w:t>
      </w:r>
    </w:p>
    <w:p w:rsidR="00E1796A" w:rsidRPr="004B2707" w:rsidRDefault="00A7594E" w:rsidP="004B2707">
      <w:pPr>
        <w:spacing w:after="240" w:line="360" w:lineRule="auto"/>
        <w:ind w:left="720" w:hanging="720"/>
        <w:jc w:val="both"/>
        <w:rPr>
          <w:rFonts w:ascii="Arial" w:hAnsi="Arial" w:cs="Arial"/>
        </w:rPr>
      </w:pPr>
      <w:r w:rsidRPr="004B2707">
        <w:rPr>
          <w:rFonts w:ascii="Arial" w:hAnsi="Arial" w:cs="Arial"/>
          <w:color w:val="222222"/>
          <w:shd w:val="clear" w:color="auto" w:fill="FFFFFF"/>
        </w:rPr>
        <w:t xml:space="preserve">Habibu, S., Idris, M. B., </w:t>
      </w:r>
      <w:proofErr w:type="spellStart"/>
      <w:r w:rsidRPr="004B2707">
        <w:rPr>
          <w:rFonts w:ascii="Arial" w:hAnsi="Arial" w:cs="Arial"/>
          <w:color w:val="222222"/>
          <w:shd w:val="clear" w:color="auto" w:fill="FFFFFF"/>
        </w:rPr>
        <w:t>Birniwa</w:t>
      </w:r>
      <w:proofErr w:type="spellEnd"/>
      <w:r w:rsidRPr="004B2707">
        <w:rPr>
          <w:rFonts w:ascii="Arial" w:hAnsi="Arial" w:cs="Arial"/>
          <w:color w:val="222222"/>
          <w:shd w:val="clear" w:color="auto" w:fill="FFFFFF"/>
        </w:rPr>
        <w:t>, A. H., Abdullahi, S. S. A., Tukur, A. I., &amp; Gumel, S. M. (2025). Environmental impact and management of industrial effluents. In </w:t>
      </w:r>
      <w:r w:rsidRPr="004B2707">
        <w:rPr>
          <w:rFonts w:ascii="Arial" w:hAnsi="Arial" w:cs="Arial"/>
          <w:i/>
          <w:iCs/>
          <w:color w:val="222222"/>
          <w:shd w:val="clear" w:color="auto" w:fill="FFFFFF"/>
        </w:rPr>
        <w:t>Biorefinery of Industrial Effluents for a Sustainable Circular Economy</w:t>
      </w:r>
      <w:r w:rsidRPr="004B2707">
        <w:rPr>
          <w:rFonts w:ascii="Arial" w:hAnsi="Arial" w:cs="Arial"/>
          <w:color w:val="222222"/>
          <w:shd w:val="clear" w:color="auto" w:fill="FFFFFF"/>
        </w:rPr>
        <w:t> (pp. 11-25). Elsevier.</w:t>
      </w:r>
    </w:p>
    <w:p w:rsidR="00DE1102" w:rsidRPr="004B2707" w:rsidRDefault="00DE1102" w:rsidP="004B2707">
      <w:pPr>
        <w:spacing w:after="240" w:line="360" w:lineRule="auto"/>
        <w:ind w:left="720" w:hanging="720"/>
        <w:jc w:val="both"/>
        <w:rPr>
          <w:rFonts w:ascii="Arial" w:hAnsi="Arial" w:cs="Arial"/>
        </w:rPr>
      </w:pPr>
      <w:r w:rsidRPr="004B2707">
        <w:rPr>
          <w:rFonts w:ascii="Arial" w:hAnsi="Arial" w:cs="Arial"/>
        </w:rPr>
        <w:t xml:space="preserve">Chika, C. (2021). Occupational diseases and diseases associated with the workplace. </w:t>
      </w:r>
      <w:r w:rsidRPr="004B2707">
        <w:rPr>
          <w:rStyle w:val="Emphasis"/>
          <w:rFonts w:ascii="Arial" w:eastAsiaTheme="majorEastAsia" w:hAnsi="Arial" w:cs="Arial"/>
        </w:rPr>
        <w:t>International Journal of Medical Evaluation and Physical Report, 5</w:t>
      </w:r>
      <w:r w:rsidRPr="004B2707">
        <w:rPr>
          <w:rFonts w:ascii="Arial" w:hAnsi="Arial" w:cs="Arial"/>
        </w:rPr>
        <w:t>, 1–13.</w:t>
      </w:r>
    </w:p>
    <w:p w:rsidR="00E469C9" w:rsidRPr="004B2707" w:rsidRDefault="00F703BB" w:rsidP="00D44F84">
      <w:pPr>
        <w:spacing w:after="240" w:line="360" w:lineRule="auto"/>
        <w:ind w:left="720" w:hanging="720"/>
        <w:jc w:val="both"/>
        <w:rPr>
          <w:rFonts w:ascii="Arial" w:hAnsi="Arial" w:cs="Arial"/>
        </w:rPr>
      </w:pPr>
      <w:r w:rsidRPr="004B2707">
        <w:rPr>
          <w:rFonts w:ascii="Arial" w:hAnsi="Arial" w:cs="Arial"/>
          <w:color w:val="222222"/>
          <w:shd w:val="clear" w:color="auto" w:fill="FFFFFF"/>
        </w:rPr>
        <w:t>Bhardwaj, R., Kumar, N., Joshi, S., Gupta, A., &amp; Manna, S. (2026). A Systematic Review of Occupational Cancers in the Indian Sub-continent. </w:t>
      </w:r>
      <w:r w:rsidRPr="004B2707">
        <w:rPr>
          <w:rFonts w:ascii="Arial" w:hAnsi="Arial" w:cs="Arial"/>
          <w:i/>
          <w:iCs/>
          <w:color w:val="222222"/>
          <w:shd w:val="clear" w:color="auto" w:fill="FFFFFF"/>
        </w:rPr>
        <w:t>Cureus</w:t>
      </w:r>
      <w:r w:rsidRPr="004B2707">
        <w:rPr>
          <w:rFonts w:ascii="Arial" w:hAnsi="Arial" w:cs="Arial"/>
          <w:color w:val="222222"/>
          <w:shd w:val="clear" w:color="auto" w:fill="FFFFFF"/>
        </w:rPr>
        <w:t>, </w:t>
      </w:r>
      <w:r w:rsidRPr="004B2707">
        <w:rPr>
          <w:rFonts w:ascii="Arial" w:hAnsi="Arial" w:cs="Arial"/>
          <w:i/>
          <w:iCs/>
          <w:color w:val="222222"/>
          <w:shd w:val="clear" w:color="auto" w:fill="FFFFFF"/>
        </w:rPr>
        <w:t>18</w:t>
      </w:r>
      <w:r w:rsidRPr="004B2707">
        <w:rPr>
          <w:rFonts w:ascii="Arial" w:hAnsi="Arial" w:cs="Arial"/>
          <w:color w:val="222222"/>
          <w:shd w:val="clear" w:color="auto" w:fill="FFFFFF"/>
        </w:rPr>
        <w:t>(1).</w:t>
      </w:r>
    </w:p>
    <w:p w:rsidR="00E469C9" w:rsidRPr="004B2707" w:rsidRDefault="00E469C9" w:rsidP="004B2707">
      <w:pPr>
        <w:pStyle w:val="NormalWeb"/>
        <w:spacing w:line="360" w:lineRule="auto"/>
        <w:ind w:left="720" w:hanging="720"/>
        <w:jc w:val="both"/>
        <w:rPr>
          <w:rFonts w:ascii="Arial" w:hAnsi="Arial" w:cs="Arial"/>
          <w:sz w:val="20"/>
          <w:szCs w:val="20"/>
        </w:rPr>
      </w:pPr>
      <w:r w:rsidRPr="004B2707">
        <w:rPr>
          <w:rFonts w:ascii="Arial" w:hAnsi="Arial" w:cs="Arial"/>
          <w:color w:val="222222"/>
          <w:sz w:val="20"/>
          <w:szCs w:val="20"/>
          <w:shd w:val="clear" w:color="auto" w:fill="FFFFFF"/>
        </w:rPr>
        <w:lastRenderedPageBreak/>
        <w:t xml:space="preserve">Imam, S. T., &amp; </w:t>
      </w:r>
      <w:proofErr w:type="spellStart"/>
      <w:r w:rsidRPr="004B2707">
        <w:rPr>
          <w:rFonts w:ascii="Arial" w:hAnsi="Arial" w:cs="Arial"/>
          <w:color w:val="222222"/>
          <w:sz w:val="20"/>
          <w:szCs w:val="20"/>
          <w:shd w:val="clear" w:color="auto" w:fill="FFFFFF"/>
        </w:rPr>
        <w:t>Rafizul</w:t>
      </w:r>
      <w:proofErr w:type="spellEnd"/>
      <w:r w:rsidRPr="004B2707">
        <w:rPr>
          <w:rFonts w:ascii="Arial" w:hAnsi="Arial" w:cs="Arial"/>
          <w:color w:val="222222"/>
          <w:sz w:val="20"/>
          <w:szCs w:val="20"/>
          <w:shd w:val="clear" w:color="auto" w:fill="FFFFFF"/>
        </w:rPr>
        <w:t>, I. M. (2025). Occupational risks, vulnerabilities, and safety challenges among informal waste workers at the open disposal site in Khulna city. </w:t>
      </w:r>
      <w:r w:rsidRPr="004B2707">
        <w:rPr>
          <w:rFonts w:ascii="Arial" w:hAnsi="Arial" w:cs="Arial"/>
          <w:i/>
          <w:iCs/>
          <w:color w:val="222222"/>
          <w:sz w:val="20"/>
          <w:szCs w:val="20"/>
          <w:shd w:val="clear" w:color="auto" w:fill="FFFFFF"/>
        </w:rPr>
        <w:t>International Journal of Hygiene and Environmental Health</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266</w:t>
      </w:r>
      <w:r w:rsidRPr="004B2707">
        <w:rPr>
          <w:rFonts w:ascii="Arial" w:hAnsi="Arial" w:cs="Arial"/>
          <w:color w:val="222222"/>
          <w:sz w:val="20"/>
          <w:szCs w:val="20"/>
          <w:shd w:val="clear" w:color="auto" w:fill="FFFFFF"/>
        </w:rPr>
        <w:t>, 114543.</w:t>
      </w:r>
    </w:p>
    <w:p w:rsidR="00E469C9" w:rsidRPr="004B2707" w:rsidRDefault="00E469C9"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t>Eitah</w:t>
      </w:r>
      <w:proofErr w:type="spellEnd"/>
      <w:r w:rsidRPr="004B2707">
        <w:rPr>
          <w:rFonts w:ascii="Arial" w:hAnsi="Arial" w:cs="Arial"/>
          <w:sz w:val="20"/>
          <w:szCs w:val="20"/>
        </w:rPr>
        <w:t xml:space="preserve">, R. A., </w:t>
      </w:r>
      <w:proofErr w:type="spellStart"/>
      <w:r w:rsidRPr="004B2707">
        <w:rPr>
          <w:rFonts w:ascii="Arial" w:hAnsi="Arial" w:cs="Arial"/>
          <w:sz w:val="20"/>
          <w:szCs w:val="20"/>
        </w:rPr>
        <w:t>Abueita</w:t>
      </w:r>
      <w:proofErr w:type="spellEnd"/>
      <w:r w:rsidRPr="004B2707">
        <w:rPr>
          <w:rFonts w:ascii="Arial" w:hAnsi="Arial" w:cs="Arial"/>
          <w:sz w:val="20"/>
          <w:szCs w:val="20"/>
        </w:rPr>
        <w:t xml:space="preserve">, S. D., </w:t>
      </w:r>
      <w:proofErr w:type="spellStart"/>
      <w:r w:rsidRPr="004B2707">
        <w:rPr>
          <w:rFonts w:ascii="Arial" w:hAnsi="Arial" w:cs="Arial"/>
          <w:sz w:val="20"/>
          <w:szCs w:val="20"/>
        </w:rPr>
        <w:t>Joureih</w:t>
      </w:r>
      <w:proofErr w:type="spellEnd"/>
      <w:r w:rsidRPr="004B2707">
        <w:rPr>
          <w:rFonts w:ascii="Arial" w:hAnsi="Arial" w:cs="Arial"/>
          <w:sz w:val="20"/>
          <w:szCs w:val="20"/>
        </w:rPr>
        <w:t xml:space="preserve">, M., </w:t>
      </w:r>
      <w:proofErr w:type="spellStart"/>
      <w:r w:rsidRPr="004B2707">
        <w:rPr>
          <w:rFonts w:ascii="Arial" w:hAnsi="Arial" w:cs="Arial"/>
          <w:sz w:val="20"/>
          <w:szCs w:val="20"/>
        </w:rPr>
        <w:t>Alnasraween</w:t>
      </w:r>
      <w:proofErr w:type="spellEnd"/>
      <w:r w:rsidRPr="004B2707">
        <w:rPr>
          <w:rFonts w:ascii="Arial" w:hAnsi="Arial" w:cs="Arial"/>
          <w:sz w:val="20"/>
          <w:szCs w:val="20"/>
        </w:rPr>
        <w:t>, M. S. S., &amp;</w:t>
      </w:r>
      <w:proofErr w:type="spellStart"/>
      <w:r w:rsidRPr="004B2707">
        <w:rPr>
          <w:rFonts w:ascii="Arial" w:hAnsi="Arial" w:cs="Arial"/>
          <w:sz w:val="20"/>
          <w:szCs w:val="20"/>
        </w:rPr>
        <w:t>Alkhatatneh</w:t>
      </w:r>
      <w:proofErr w:type="spellEnd"/>
      <w:r w:rsidRPr="004B2707">
        <w:rPr>
          <w:rFonts w:ascii="Arial" w:hAnsi="Arial" w:cs="Arial"/>
          <w:sz w:val="20"/>
          <w:szCs w:val="20"/>
        </w:rPr>
        <w:t xml:space="preserve">, S. M. (2023). The relationship between personality types and occupational environments among workers in Jordan. </w:t>
      </w:r>
      <w:r w:rsidRPr="004B2707">
        <w:rPr>
          <w:rStyle w:val="Emphasis"/>
          <w:rFonts w:ascii="Arial" w:eastAsiaTheme="majorEastAsia" w:hAnsi="Arial" w:cs="Arial"/>
          <w:sz w:val="20"/>
          <w:szCs w:val="20"/>
        </w:rPr>
        <w:t>Information Sciences Letters, 12</w:t>
      </w:r>
      <w:r w:rsidRPr="004B2707">
        <w:rPr>
          <w:rFonts w:ascii="Arial" w:hAnsi="Arial" w:cs="Arial"/>
          <w:sz w:val="20"/>
          <w:szCs w:val="20"/>
        </w:rPr>
        <w:t>(5), 2193–2206.</w:t>
      </w:r>
    </w:p>
    <w:p w:rsidR="00E469C9" w:rsidRPr="004B2707" w:rsidRDefault="00E469C9" w:rsidP="004B2707">
      <w:pPr>
        <w:pStyle w:val="NormalWeb"/>
        <w:spacing w:line="360" w:lineRule="auto"/>
        <w:ind w:left="720" w:hanging="720"/>
        <w:jc w:val="both"/>
        <w:rPr>
          <w:rFonts w:ascii="Arial" w:hAnsi="Arial" w:cs="Arial"/>
          <w:sz w:val="20"/>
          <w:szCs w:val="20"/>
        </w:rPr>
      </w:pPr>
      <w:r w:rsidRPr="004B2707">
        <w:rPr>
          <w:rFonts w:ascii="Arial" w:hAnsi="Arial" w:cs="Arial"/>
          <w:color w:val="222222"/>
          <w:sz w:val="20"/>
          <w:szCs w:val="20"/>
          <w:shd w:val="clear" w:color="auto" w:fill="FFFFFF"/>
        </w:rPr>
        <w:t>Priyadarshini, L. S., Kaushik, V., &amp; Kataria, R. (2025). The Role of Anthropogenic Activities, Energy Demand, and Global Climate. </w:t>
      </w:r>
      <w:r w:rsidRPr="004B2707">
        <w:rPr>
          <w:rFonts w:ascii="Arial" w:hAnsi="Arial" w:cs="Arial"/>
          <w:i/>
          <w:iCs/>
          <w:color w:val="222222"/>
          <w:sz w:val="20"/>
          <w:szCs w:val="20"/>
          <w:shd w:val="clear" w:color="auto" w:fill="FFFFFF"/>
        </w:rPr>
        <w:t>The Intersection of Global Energy Politics and Climate Change: A Comprehensive Analysis of Energy Markets and Economics</w:t>
      </w:r>
      <w:r w:rsidRPr="004B2707">
        <w:rPr>
          <w:rFonts w:ascii="Arial" w:hAnsi="Arial" w:cs="Arial"/>
          <w:color w:val="222222"/>
          <w:sz w:val="20"/>
          <w:szCs w:val="20"/>
          <w:shd w:val="clear" w:color="auto" w:fill="FFFFFF"/>
        </w:rPr>
        <w:t>, 35.</w:t>
      </w:r>
    </w:p>
    <w:p w:rsidR="00E469C9" w:rsidRPr="004B2707" w:rsidRDefault="00E469C9" w:rsidP="004B2707">
      <w:pPr>
        <w:pStyle w:val="NormalWeb"/>
        <w:spacing w:line="360" w:lineRule="auto"/>
        <w:ind w:left="720" w:hanging="720"/>
        <w:jc w:val="both"/>
        <w:rPr>
          <w:rFonts w:ascii="Arial" w:hAnsi="Arial" w:cs="Arial"/>
          <w:sz w:val="20"/>
          <w:szCs w:val="20"/>
        </w:rPr>
      </w:pPr>
      <w:r w:rsidRPr="004B2707">
        <w:rPr>
          <w:rFonts w:ascii="Arial" w:hAnsi="Arial" w:cs="Arial"/>
          <w:sz w:val="20"/>
          <w:szCs w:val="20"/>
        </w:rPr>
        <w:t xml:space="preserve">Kariuki, T., </w:t>
      </w:r>
      <w:proofErr w:type="spellStart"/>
      <w:r w:rsidRPr="004B2707">
        <w:rPr>
          <w:rFonts w:ascii="Arial" w:hAnsi="Arial" w:cs="Arial"/>
          <w:sz w:val="20"/>
          <w:szCs w:val="20"/>
        </w:rPr>
        <w:t>Omumbo</w:t>
      </w:r>
      <w:proofErr w:type="spellEnd"/>
      <w:r w:rsidRPr="004B2707">
        <w:rPr>
          <w:rFonts w:ascii="Arial" w:hAnsi="Arial" w:cs="Arial"/>
          <w:sz w:val="20"/>
          <w:szCs w:val="20"/>
        </w:rPr>
        <w:t xml:space="preserve">, J., </w:t>
      </w:r>
      <w:proofErr w:type="spellStart"/>
      <w:r w:rsidRPr="004B2707">
        <w:rPr>
          <w:rFonts w:ascii="Arial" w:hAnsi="Arial" w:cs="Arial"/>
          <w:sz w:val="20"/>
          <w:szCs w:val="20"/>
        </w:rPr>
        <w:t>Ciugu</w:t>
      </w:r>
      <w:proofErr w:type="spellEnd"/>
      <w:r w:rsidRPr="004B2707">
        <w:rPr>
          <w:rFonts w:ascii="Arial" w:hAnsi="Arial" w:cs="Arial"/>
          <w:sz w:val="20"/>
          <w:szCs w:val="20"/>
        </w:rPr>
        <w:t>, K., &amp;</w:t>
      </w:r>
      <w:proofErr w:type="spellStart"/>
      <w:r w:rsidRPr="004B2707">
        <w:rPr>
          <w:rFonts w:ascii="Arial" w:hAnsi="Arial" w:cs="Arial"/>
          <w:sz w:val="20"/>
          <w:szCs w:val="20"/>
        </w:rPr>
        <w:t>Marincola</w:t>
      </w:r>
      <w:proofErr w:type="spellEnd"/>
      <w:r w:rsidRPr="004B2707">
        <w:rPr>
          <w:rFonts w:ascii="Arial" w:hAnsi="Arial" w:cs="Arial"/>
          <w:sz w:val="20"/>
          <w:szCs w:val="20"/>
        </w:rPr>
        <w:t xml:space="preserve">, E. (2023). The interconnected global emergencies of climate change, food security and health: A call to action by the Science for Africa Foundation. </w:t>
      </w:r>
      <w:r w:rsidRPr="004B2707">
        <w:rPr>
          <w:rStyle w:val="Emphasis"/>
          <w:rFonts w:ascii="Arial" w:eastAsiaTheme="majorEastAsia" w:hAnsi="Arial" w:cs="Arial"/>
          <w:sz w:val="20"/>
          <w:szCs w:val="20"/>
        </w:rPr>
        <w:t>Open Research Africa, 6</w:t>
      </w:r>
      <w:r w:rsidRPr="004B2707">
        <w:rPr>
          <w:rFonts w:ascii="Arial" w:hAnsi="Arial" w:cs="Arial"/>
          <w:sz w:val="20"/>
          <w:szCs w:val="20"/>
        </w:rPr>
        <w:t>, 1.</w:t>
      </w:r>
    </w:p>
    <w:p w:rsidR="00560D44" w:rsidRPr="004B2707" w:rsidRDefault="00560D44"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t>Fatorachian</w:t>
      </w:r>
      <w:proofErr w:type="spellEnd"/>
      <w:r w:rsidRPr="004B2707">
        <w:rPr>
          <w:rFonts w:ascii="Arial" w:hAnsi="Arial" w:cs="Arial"/>
          <w:sz w:val="20"/>
          <w:szCs w:val="20"/>
        </w:rPr>
        <w:t xml:space="preserve">, H. (2025). Integrating IoT and blockchain for sustainable waste management in cold chain food supply chains: Enhancing efficiency and accountability. </w:t>
      </w:r>
      <w:r w:rsidRPr="004B2707">
        <w:rPr>
          <w:rStyle w:val="Emphasis"/>
          <w:rFonts w:ascii="Arial" w:eastAsiaTheme="majorEastAsia" w:hAnsi="Arial" w:cs="Arial"/>
          <w:sz w:val="20"/>
          <w:szCs w:val="20"/>
        </w:rPr>
        <w:t>International Journal of Automation, Artificial Intelligence and Machine Learning, 5</w:t>
      </w:r>
      <w:r w:rsidRPr="004B2707">
        <w:rPr>
          <w:rFonts w:ascii="Arial" w:hAnsi="Arial" w:cs="Arial"/>
          <w:sz w:val="20"/>
          <w:szCs w:val="20"/>
        </w:rPr>
        <w:t xml:space="preserve">(1), 7–25. </w:t>
      </w:r>
      <w:hyperlink r:id="rId21" w:history="1">
        <w:r w:rsidRPr="004B2707">
          <w:rPr>
            <w:rStyle w:val="Hyperlink"/>
            <w:rFonts w:ascii="Arial" w:hAnsi="Arial" w:cs="Arial"/>
            <w:sz w:val="20"/>
            <w:szCs w:val="20"/>
          </w:rPr>
          <w:t>https://doi.org/10.61797/ijaaiml.v5i1.421</w:t>
        </w:r>
      </w:hyperlink>
    </w:p>
    <w:p w:rsidR="00560D44" w:rsidRPr="004B2707" w:rsidRDefault="00560D44" w:rsidP="004B2707">
      <w:pPr>
        <w:pStyle w:val="NormalWeb"/>
        <w:spacing w:line="360" w:lineRule="auto"/>
        <w:ind w:left="720" w:hanging="720"/>
        <w:jc w:val="both"/>
        <w:rPr>
          <w:rFonts w:ascii="Arial" w:hAnsi="Arial" w:cs="Arial"/>
          <w:sz w:val="20"/>
          <w:szCs w:val="20"/>
        </w:rPr>
      </w:pPr>
      <w:r w:rsidRPr="004B2707">
        <w:rPr>
          <w:rFonts w:ascii="Arial" w:hAnsi="Arial" w:cs="Arial"/>
          <w:sz w:val="20"/>
          <w:szCs w:val="20"/>
        </w:rPr>
        <w:t xml:space="preserve">Koroma, A., Scott, R., &amp;Esson, J. (2025). Informal waste pickers in Africa: Social reproduction, </w:t>
      </w:r>
      <w:proofErr w:type="spellStart"/>
      <w:r w:rsidRPr="004B2707">
        <w:rPr>
          <w:rFonts w:ascii="Arial" w:hAnsi="Arial" w:cs="Arial"/>
          <w:sz w:val="20"/>
          <w:szCs w:val="20"/>
        </w:rPr>
        <w:t>marginalisation</w:t>
      </w:r>
      <w:proofErr w:type="spellEnd"/>
      <w:r w:rsidRPr="004B2707">
        <w:rPr>
          <w:rFonts w:ascii="Arial" w:hAnsi="Arial" w:cs="Arial"/>
          <w:sz w:val="20"/>
          <w:szCs w:val="20"/>
        </w:rPr>
        <w:t xml:space="preserve"> and sustainability. </w:t>
      </w:r>
      <w:r w:rsidRPr="004B2707">
        <w:rPr>
          <w:rStyle w:val="Emphasis"/>
          <w:rFonts w:ascii="Arial" w:eastAsiaTheme="majorEastAsia" w:hAnsi="Arial" w:cs="Arial"/>
          <w:sz w:val="20"/>
          <w:szCs w:val="20"/>
          <w:lang w:val="es-US"/>
        </w:rPr>
        <w:t>OPAL (</w:t>
      </w:r>
      <w:proofErr w:type="spellStart"/>
      <w:r w:rsidRPr="004B2707">
        <w:rPr>
          <w:rStyle w:val="Emphasis"/>
          <w:rFonts w:ascii="Arial" w:eastAsiaTheme="majorEastAsia" w:hAnsi="Arial" w:cs="Arial"/>
          <w:sz w:val="20"/>
          <w:szCs w:val="20"/>
          <w:lang w:val="es-US"/>
        </w:rPr>
        <w:t>Open@LaTrobe</w:t>
      </w:r>
      <w:proofErr w:type="spellEnd"/>
      <w:r w:rsidRPr="004B2707">
        <w:rPr>
          <w:rStyle w:val="Emphasis"/>
          <w:rFonts w:ascii="Arial" w:eastAsiaTheme="majorEastAsia" w:hAnsi="Arial" w:cs="Arial"/>
          <w:sz w:val="20"/>
          <w:szCs w:val="20"/>
          <w:lang w:val="es-US"/>
        </w:rPr>
        <w:t xml:space="preserve">), La </w:t>
      </w:r>
      <w:proofErr w:type="spellStart"/>
      <w:r w:rsidRPr="004B2707">
        <w:rPr>
          <w:rStyle w:val="Emphasis"/>
          <w:rFonts w:ascii="Arial" w:eastAsiaTheme="majorEastAsia" w:hAnsi="Arial" w:cs="Arial"/>
          <w:sz w:val="20"/>
          <w:szCs w:val="20"/>
          <w:lang w:val="es-US"/>
        </w:rPr>
        <w:t>TrobeUniversity</w:t>
      </w:r>
      <w:proofErr w:type="spellEnd"/>
      <w:r w:rsidRPr="004B2707">
        <w:rPr>
          <w:rFonts w:ascii="Arial" w:hAnsi="Arial" w:cs="Arial"/>
          <w:sz w:val="20"/>
          <w:szCs w:val="20"/>
          <w:lang w:val="es-US"/>
        </w:rPr>
        <w:t xml:space="preserve">. </w:t>
      </w:r>
      <w:hyperlink r:id="rId22" w:history="1">
        <w:r w:rsidRPr="004B2707">
          <w:rPr>
            <w:rStyle w:val="Hyperlink"/>
            <w:rFonts w:ascii="Arial" w:hAnsi="Arial" w:cs="Arial"/>
            <w:sz w:val="20"/>
            <w:szCs w:val="20"/>
            <w:lang w:val="es-US"/>
          </w:rPr>
          <w:t>https://doi.org/10.6084/m9.figshare.30797262.v1</w:t>
        </w:r>
      </w:hyperlink>
    </w:p>
    <w:p w:rsidR="00F17F49" w:rsidRPr="004B2707" w:rsidRDefault="00F17F49" w:rsidP="004B2707">
      <w:pPr>
        <w:pStyle w:val="NormalWeb"/>
        <w:spacing w:line="360" w:lineRule="auto"/>
        <w:ind w:left="720" w:hanging="720"/>
        <w:jc w:val="both"/>
        <w:rPr>
          <w:rFonts w:ascii="Arial" w:hAnsi="Arial" w:cs="Arial"/>
          <w:sz w:val="20"/>
          <w:szCs w:val="20"/>
        </w:rPr>
      </w:pPr>
      <w:r w:rsidRPr="004B2707">
        <w:rPr>
          <w:rFonts w:ascii="Arial" w:hAnsi="Arial" w:cs="Arial"/>
          <w:color w:val="222222"/>
          <w:sz w:val="20"/>
          <w:szCs w:val="20"/>
          <w:shd w:val="clear" w:color="auto" w:fill="FFFFFF"/>
        </w:rPr>
        <w:t xml:space="preserve">Cordiano, R., Papa, V., Cicero, N., </w:t>
      </w:r>
      <w:proofErr w:type="spellStart"/>
      <w:r w:rsidRPr="004B2707">
        <w:rPr>
          <w:rFonts w:ascii="Arial" w:hAnsi="Arial" w:cs="Arial"/>
          <w:color w:val="222222"/>
          <w:sz w:val="20"/>
          <w:szCs w:val="20"/>
          <w:shd w:val="clear" w:color="auto" w:fill="FFFFFF"/>
        </w:rPr>
        <w:t>Spatari</w:t>
      </w:r>
      <w:proofErr w:type="spellEnd"/>
      <w:r w:rsidRPr="004B2707">
        <w:rPr>
          <w:rFonts w:ascii="Arial" w:hAnsi="Arial" w:cs="Arial"/>
          <w:color w:val="222222"/>
          <w:sz w:val="20"/>
          <w:szCs w:val="20"/>
          <w:shd w:val="clear" w:color="auto" w:fill="FFFFFF"/>
        </w:rPr>
        <w:t>, G., Allegra, A., &amp; Gangemi, S. (2022). Effects of benzene: hematological and hypersensitivity manifestations in resident living in oil refinery areas. </w:t>
      </w:r>
      <w:r w:rsidRPr="004B2707">
        <w:rPr>
          <w:rFonts w:ascii="Arial" w:hAnsi="Arial" w:cs="Arial"/>
          <w:i/>
          <w:iCs/>
          <w:color w:val="222222"/>
          <w:sz w:val="20"/>
          <w:szCs w:val="20"/>
          <w:shd w:val="clear" w:color="auto" w:fill="FFFFFF"/>
        </w:rPr>
        <w:t>Toxics</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10</w:t>
      </w:r>
      <w:r w:rsidRPr="004B2707">
        <w:rPr>
          <w:rFonts w:ascii="Arial" w:hAnsi="Arial" w:cs="Arial"/>
          <w:color w:val="222222"/>
          <w:sz w:val="20"/>
          <w:szCs w:val="20"/>
          <w:shd w:val="clear" w:color="auto" w:fill="FFFFFF"/>
        </w:rPr>
        <w:t>(11), 678.</w:t>
      </w:r>
    </w:p>
    <w:p w:rsidR="00560D44" w:rsidRPr="004B2707" w:rsidRDefault="00560D44" w:rsidP="004B2707">
      <w:pPr>
        <w:pStyle w:val="NormalWeb"/>
        <w:spacing w:line="360" w:lineRule="auto"/>
        <w:ind w:left="720" w:hanging="720"/>
        <w:jc w:val="both"/>
        <w:rPr>
          <w:rFonts w:ascii="Arial" w:hAnsi="Arial" w:cs="Arial"/>
          <w:sz w:val="20"/>
          <w:szCs w:val="20"/>
          <w:shd w:val="clear" w:color="auto" w:fill="FFFFFF"/>
        </w:rPr>
      </w:pPr>
      <w:r w:rsidRPr="004B2707">
        <w:rPr>
          <w:rFonts w:ascii="Arial" w:hAnsi="Arial" w:cs="Arial"/>
          <w:sz w:val="20"/>
          <w:szCs w:val="20"/>
          <w:shd w:val="clear" w:color="auto" w:fill="FFFFFF"/>
        </w:rPr>
        <w:t>Kim, M. G., Lee, J. Y., Kim, J. H., Lee, H. E., Cho, S. H., Yu, J. U., ... &amp; Moon, K. W. (2022). Study of chemical substances emitted during paint manufacturing through VOC speciation. </w:t>
      </w:r>
      <w:r w:rsidRPr="004B2707">
        <w:rPr>
          <w:rFonts w:ascii="Arial" w:hAnsi="Arial" w:cs="Arial"/>
          <w:i/>
          <w:iCs/>
          <w:sz w:val="20"/>
          <w:szCs w:val="20"/>
          <w:shd w:val="clear" w:color="auto" w:fill="FFFFFF"/>
        </w:rPr>
        <w:t>Atmosphere</w:t>
      </w:r>
      <w:r w:rsidRPr="004B2707">
        <w:rPr>
          <w:rFonts w:ascii="Arial" w:hAnsi="Arial" w:cs="Arial"/>
          <w:sz w:val="20"/>
          <w:szCs w:val="20"/>
          <w:shd w:val="clear" w:color="auto" w:fill="FFFFFF"/>
        </w:rPr>
        <w:t>, </w:t>
      </w:r>
      <w:r w:rsidRPr="004B2707">
        <w:rPr>
          <w:rFonts w:ascii="Arial" w:hAnsi="Arial" w:cs="Arial"/>
          <w:i/>
          <w:iCs/>
          <w:sz w:val="20"/>
          <w:szCs w:val="20"/>
          <w:shd w:val="clear" w:color="auto" w:fill="FFFFFF"/>
        </w:rPr>
        <w:t>13</w:t>
      </w:r>
      <w:r w:rsidRPr="004B2707">
        <w:rPr>
          <w:rFonts w:ascii="Arial" w:hAnsi="Arial" w:cs="Arial"/>
          <w:sz w:val="20"/>
          <w:szCs w:val="20"/>
          <w:shd w:val="clear" w:color="auto" w:fill="FFFFFF"/>
        </w:rPr>
        <w:t>(8), 1245.</w:t>
      </w:r>
    </w:p>
    <w:p w:rsidR="00560D44" w:rsidRPr="004B2707" w:rsidRDefault="00560D44" w:rsidP="004B2707">
      <w:pPr>
        <w:pStyle w:val="NormalWeb"/>
        <w:spacing w:line="360" w:lineRule="auto"/>
        <w:ind w:left="720" w:hanging="720"/>
        <w:jc w:val="both"/>
        <w:rPr>
          <w:rFonts w:ascii="Arial" w:hAnsi="Arial" w:cs="Arial"/>
          <w:color w:val="222222"/>
          <w:sz w:val="20"/>
          <w:szCs w:val="20"/>
          <w:shd w:val="clear" w:color="auto" w:fill="FFFFFF"/>
        </w:rPr>
      </w:pPr>
      <w:r w:rsidRPr="004B2707">
        <w:rPr>
          <w:rFonts w:ascii="Arial" w:hAnsi="Arial" w:cs="Arial"/>
          <w:color w:val="222222"/>
          <w:sz w:val="20"/>
          <w:szCs w:val="20"/>
          <w:shd w:val="clear" w:color="auto" w:fill="FFFFFF"/>
        </w:rPr>
        <w:t>Abubakar, M. Y., Mikail, I. S., Zakariyyah Abdul, A., &amp; Adam, A. B. (2026). Paints, Coatings, and the Environment: An In-Depth Exploration of Their Hidden Ecological Impacts. </w:t>
      </w:r>
      <w:r w:rsidRPr="004B2707">
        <w:rPr>
          <w:rFonts w:ascii="Arial" w:hAnsi="Arial" w:cs="Arial"/>
          <w:i/>
          <w:iCs/>
          <w:color w:val="222222"/>
          <w:sz w:val="20"/>
          <w:szCs w:val="20"/>
          <w:shd w:val="clear" w:color="auto" w:fill="FFFFFF"/>
        </w:rPr>
        <w:t>Journal of Chemical Technology</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2</w:t>
      </w:r>
      <w:r w:rsidRPr="004B2707">
        <w:rPr>
          <w:rFonts w:ascii="Arial" w:hAnsi="Arial" w:cs="Arial"/>
          <w:color w:val="222222"/>
          <w:sz w:val="20"/>
          <w:szCs w:val="20"/>
          <w:shd w:val="clear" w:color="auto" w:fill="FFFFFF"/>
        </w:rPr>
        <w:t>(1), 35-47.</w:t>
      </w:r>
    </w:p>
    <w:p w:rsidR="00560D44" w:rsidRPr="004B2707" w:rsidRDefault="00560D44" w:rsidP="004B2707">
      <w:pPr>
        <w:pStyle w:val="NormalWeb"/>
        <w:spacing w:line="360" w:lineRule="auto"/>
        <w:ind w:left="720" w:hanging="720"/>
        <w:jc w:val="both"/>
        <w:rPr>
          <w:rFonts w:ascii="Arial" w:hAnsi="Arial" w:cs="Arial"/>
          <w:sz w:val="20"/>
          <w:szCs w:val="20"/>
        </w:rPr>
      </w:pPr>
      <w:r w:rsidRPr="004B2707">
        <w:rPr>
          <w:rFonts w:ascii="Arial" w:hAnsi="Arial" w:cs="Arial"/>
          <w:sz w:val="20"/>
          <w:szCs w:val="20"/>
          <w:shd w:val="clear" w:color="auto" w:fill="FFFFFF"/>
        </w:rPr>
        <w:t xml:space="preserve">Onyebuchi, O. J., Emmanuel, O. I., Uzoma, N. O., &amp; Ikechukwu, E. S. (2025). Generational impact of exposure to volatile organic compounds from automobile paint spray on reproductive hormonal </w:t>
      </w:r>
      <w:r w:rsidRPr="004B2707">
        <w:rPr>
          <w:rFonts w:ascii="Arial" w:hAnsi="Arial" w:cs="Arial"/>
          <w:sz w:val="20"/>
          <w:szCs w:val="20"/>
          <w:shd w:val="clear" w:color="auto" w:fill="FFFFFF"/>
        </w:rPr>
        <w:lastRenderedPageBreak/>
        <w:t>response in Wistar rats from parents to their filial generation (f1). </w:t>
      </w:r>
      <w:r w:rsidRPr="004B2707">
        <w:rPr>
          <w:rFonts w:ascii="Arial" w:hAnsi="Arial" w:cs="Arial"/>
          <w:i/>
          <w:iCs/>
          <w:sz w:val="20"/>
          <w:szCs w:val="20"/>
          <w:shd w:val="clear" w:color="auto" w:fill="FFFFFF"/>
        </w:rPr>
        <w:t>Journal of Hazardous Materials Advances</w:t>
      </w:r>
      <w:r w:rsidRPr="004B2707">
        <w:rPr>
          <w:rFonts w:ascii="Arial" w:hAnsi="Arial" w:cs="Arial"/>
          <w:sz w:val="20"/>
          <w:szCs w:val="20"/>
          <w:shd w:val="clear" w:color="auto" w:fill="FFFFFF"/>
        </w:rPr>
        <w:t>, </w:t>
      </w:r>
      <w:r w:rsidRPr="004B2707">
        <w:rPr>
          <w:rFonts w:ascii="Arial" w:hAnsi="Arial" w:cs="Arial"/>
          <w:i/>
          <w:iCs/>
          <w:sz w:val="20"/>
          <w:szCs w:val="20"/>
          <w:shd w:val="clear" w:color="auto" w:fill="FFFFFF"/>
        </w:rPr>
        <w:t>18</w:t>
      </w:r>
      <w:r w:rsidRPr="004B2707">
        <w:rPr>
          <w:rFonts w:ascii="Arial" w:hAnsi="Arial" w:cs="Arial"/>
          <w:sz w:val="20"/>
          <w:szCs w:val="20"/>
          <w:shd w:val="clear" w:color="auto" w:fill="FFFFFF"/>
        </w:rPr>
        <w:t>, 10067</w:t>
      </w:r>
    </w:p>
    <w:p w:rsidR="00560D44" w:rsidRPr="004B2707" w:rsidRDefault="00560D44" w:rsidP="004B2707">
      <w:pPr>
        <w:pStyle w:val="NormalWeb"/>
        <w:spacing w:line="360" w:lineRule="auto"/>
        <w:ind w:left="720" w:hanging="720"/>
        <w:jc w:val="both"/>
        <w:rPr>
          <w:rFonts w:ascii="Arial" w:hAnsi="Arial" w:cs="Arial"/>
          <w:sz w:val="20"/>
          <w:szCs w:val="20"/>
        </w:rPr>
      </w:pPr>
      <w:r w:rsidRPr="004B2707">
        <w:rPr>
          <w:rFonts w:ascii="Arial" w:hAnsi="Arial" w:cs="Arial"/>
          <w:sz w:val="20"/>
          <w:szCs w:val="20"/>
        </w:rPr>
        <w:t xml:space="preserve">Thakur, S., Chandra, A., Kumar, V., &amp; Bharti, S. (2025). Environmental pollutants: Endocrine disruptors/pesticides/reactive dyes and inorganic toxic compounds metals, radionuclides, and metalloids and their impact on the ecosystem. In </w:t>
      </w:r>
      <w:r w:rsidRPr="004B2707">
        <w:rPr>
          <w:rStyle w:val="Emphasis"/>
          <w:rFonts w:ascii="Arial" w:eastAsiaTheme="majorEastAsia" w:hAnsi="Arial" w:cs="Arial"/>
          <w:sz w:val="20"/>
          <w:szCs w:val="20"/>
        </w:rPr>
        <w:t>Interdisciplinary biotechnological advances</w:t>
      </w:r>
      <w:r w:rsidRPr="004B2707">
        <w:rPr>
          <w:rFonts w:ascii="Arial" w:hAnsi="Arial" w:cs="Arial"/>
          <w:sz w:val="20"/>
          <w:szCs w:val="20"/>
        </w:rPr>
        <w:t xml:space="preserve"> (pp. 55–100). </w:t>
      </w:r>
      <w:hyperlink r:id="rId23" w:history="1">
        <w:r w:rsidRPr="004B2707">
          <w:rPr>
            <w:rStyle w:val="Hyperlink"/>
            <w:rFonts w:ascii="Arial" w:hAnsi="Arial" w:cs="Arial"/>
            <w:sz w:val="20"/>
            <w:szCs w:val="20"/>
          </w:rPr>
          <w:t>https://doi.org/10.1007/978-981-97-7221-6_3</w:t>
        </w:r>
      </w:hyperlink>
    </w:p>
    <w:p w:rsidR="00560D44" w:rsidRPr="004B2707" w:rsidRDefault="00560D44"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t>Takougang</w:t>
      </w:r>
      <w:proofErr w:type="spellEnd"/>
      <w:r w:rsidRPr="004B2707">
        <w:rPr>
          <w:rFonts w:ascii="Arial" w:hAnsi="Arial" w:cs="Arial"/>
          <w:sz w:val="20"/>
          <w:szCs w:val="20"/>
        </w:rPr>
        <w:t xml:space="preserve">, I., </w:t>
      </w:r>
      <w:proofErr w:type="spellStart"/>
      <w:r w:rsidRPr="004B2707">
        <w:rPr>
          <w:rFonts w:ascii="Arial" w:hAnsi="Arial" w:cs="Arial"/>
          <w:sz w:val="20"/>
          <w:szCs w:val="20"/>
        </w:rPr>
        <w:t>BukamGuemnyen</w:t>
      </w:r>
      <w:proofErr w:type="spellEnd"/>
      <w:r w:rsidRPr="004B2707">
        <w:rPr>
          <w:rFonts w:ascii="Arial" w:hAnsi="Arial" w:cs="Arial"/>
          <w:sz w:val="20"/>
          <w:szCs w:val="20"/>
        </w:rPr>
        <w:t xml:space="preserve">, G. W., </w:t>
      </w:r>
      <w:proofErr w:type="spellStart"/>
      <w:r w:rsidRPr="004B2707">
        <w:rPr>
          <w:rFonts w:ascii="Arial" w:hAnsi="Arial" w:cs="Arial"/>
          <w:sz w:val="20"/>
          <w:szCs w:val="20"/>
        </w:rPr>
        <w:t>Edzamba</w:t>
      </w:r>
      <w:proofErr w:type="spellEnd"/>
      <w:r w:rsidRPr="004B2707">
        <w:rPr>
          <w:rFonts w:ascii="Arial" w:hAnsi="Arial" w:cs="Arial"/>
          <w:sz w:val="20"/>
          <w:szCs w:val="20"/>
        </w:rPr>
        <w:t xml:space="preserve">, M. F., </w:t>
      </w:r>
      <w:proofErr w:type="spellStart"/>
      <w:r w:rsidRPr="004B2707">
        <w:rPr>
          <w:rFonts w:ascii="Arial" w:hAnsi="Arial" w:cs="Arial"/>
          <w:sz w:val="20"/>
          <w:szCs w:val="20"/>
        </w:rPr>
        <w:t>LekeumoCheuyem</w:t>
      </w:r>
      <w:proofErr w:type="spellEnd"/>
      <w:r w:rsidRPr="004B2707">
        <w:rPr>
          <w:rFonts w:ascii="Arial" w:hAnsi="Arial" w:cs="Arial"/>
          <w:sz w:val="20"/>
          <w:szCs w:val="20"/>
        </w:rPr>
        <w:t xml:space="preserve">, F. Z., </w:t>
      </w:r>
      <w:proofErr w:type="spellStart"/>
      <w:r w:rsidRPr="004B2707">
        <w:rPr>
          <w:rFonts w:ascii="Arial" w:hAnsi="Arial" w:cs="Arial"/>
          <w:sz w:val="20"/>
          <w:szCs w:val="20"/>
        </w:rPr>
        <w:t>AssomoNdemba</w:t>
      </w:r>
      <w:proofErr w:type="spellEnd"/>
      <w:r w:rsidRPr="004B2707">
        <w:rPr>
          <w:rFonts w:ascii="Arial" w:hAnsi="Arial" w:cs="Arial"/>
          <w:sz w:val="20"/>
          <w:szCs w:val="20"/>
        </w:rPr>
        <w:t>, P. B., &amp;</w:t>
      </w:r>
      <w:proofErr w:type="spellStart"/>
      <w:r w:rsidRPr="004B2707">
        <w:rPr>
          <w:rFonts w:ascii="Arial" w:hAnsi="Arial" w:cs="Arial"/>
          <w:sz w:val="20"/>
          <w:szCs w:val="20"/>
        </w:rPr>
        <w:t>Pefura</w:t>
      </w:r>
      <w:proofErr w:type="spellEnd"/>
      <w:r w:rsidRPr="004B2707">
        <w:rPr>
          <w:rFonts w:ascii="Arial" w:hAnsi="Arial" w:cs="Arial"/>
          <w:sz w:val="20"/>
          <w:szCs w:val="20"/>
        </w:rPr>
        <w:t xml:space="preserve">, W. Y. (2023). Exposure to wood dust and its respiratory health effects among wood workers in Yaoundé (Cameroon). </w:t>
      </w:r>
      <w:proofErr w:type="spellStart"/>
      <w:r w:rsidRPr="004B2707">
        <w:rPr>
          <w:rStyle w:val="Emphasis"/>
          <w:rFonts w:ascii="Arial" w:eastAsiaTheme="majorEastAsia" w:hAnsi="Arial" w:cs="Arial"/>
          <w:sz w:val="20"/>
          <w:szCs w:val="20"/>
        </w:rPr>
        <w:t>medRxiv</w:t>
      </w:r>
      <w:proofErr w:type="spellEnd"/>
      <w:r w:rsidRPr="004B2707">
        <w:rPr>
          <w:rFonts w:ascii="Arial" w:hAnsi="Arial" w:cs="Arial"/>
          <w:sz w:val="20"/>
          <w:szCs w:val="20"/>
        </w:rPr>
        <w:t xml:space="preserve">. </w:t>
      </w:r>
      <w:hyperlink r:id="rId24" w:history="1">
        <w:r w:rsidRPr="004B2707">
          <w:rPr>
            <w:rStyle w:val="Hyperlink"/>
            <w:rFonts w:ascii="Arial" w:hAnsi="Arial" w:cs="Arial"/>
            <w:sz w:val="20"/>
            <w:szCs w:val="20"/>
          </w:rPr>
          <w:t>https://doi.org/</w:t>
        </w:r>
      </w:hyperlink>
    </w:p>
    <w:p w:rsidR="00560D44" w:rsidRPr="004B2707" w:rsidRDefault="00560D44" w:rsidP="004B2707">
      <w:pPr>
        <w:pStyle w:val="NormalWeb"/>
        <w:spacing w:line="360" w:lineRule="auto"/>
        <w:ind w:left="720" w:hanging="720"/>
        <w:jc w:val="both"/>
        <w:rPr>
          <w:rFonts w:ascii="Arial" w:hAnsi="Arial" w:cs="Arial"/>
          <w:color w:val="222222"/>
          <w:sz w:val="20"/>
          <w:szCs w:val="20"/>
          <w:shd w:val="clear" w:color="auto" w:fill="FFFFFF"/>
        </w:rPr>
      </w:pPr>
      <w:r w:rsidRPr="004B2707">
        <w:rPr>
          <w:rFonts w:ascii="Arial" w:hAnsi="Arial" w:cs="Arial"/>
          <w:color w:val="222222"/>
          <w:sz w:val="20"/>
          <w:szCs w:val="20"/>
          <w:shd w:val="clear" w:color="auto" w:fill="FFFFFF"/>
        </w:rPr>
        <w:t>El-</w:t>
      </w:r>
      <w:proofErr w:type="spellStart"/>
      <w:r w:rsidRPr="004B2707">
        <w:rPr>
          <w:rFonts w:ascii="Arial" w:hAnsi="Arial" w:cs="Arial"/>
          <w:color w:val="222222"/>
          <w:sz w:val="20"/>
          <w:szCs w:val="20"/>
          <w:shd w:val="clear" w:color="auto" w:fill="FFFFFF"/>
        </w:rPr>
        <w:t>Gammal</w:t>
      </w:r>
      <w:proofErr w:type="spellEnd"/>
      <w:r w:rsidRPr="004B2707">
        <w:rPr>
          <w:rFonts w:ascii="Arial" w:hAnsi="Arial" w:cs="Arial"/>
          <w:color w:val="222222"/>
          <w:sz w:val="20"/>
          <w:szCs w:val="20"/>
          <w:shd w:val="clear" w:color="auto" w:fill="FFFFFF"/>
        </w:rPr>
        <w:t>, M. I., Ibrahim, M. S., Abd El-Shakour, A. A., El-Galad, N. M., &amp; El-</w:t>
      </w:r>
      <w:proofErr w:type="spellStart"/>
      <w:r w:rsidRPr="004B2707">
        <w:rPr>
          <w:rFonts w:ascii="Arial" w:hAnsi="Arial" w:cs="Arial"/>
          <w:color w:val="222222"/>
          <w:sz w:val="20"/>
          <w:szCs w:val="20"/>
          <w:shd w:val="clear" w:color="auto" w:fill="FFFFFF"/>
        </w:rPr>
        <w:t>Henawy</w:t>
      </w:r>
      <w:proofErr w:type="spellEnd"/>
      <w:r w:rsidRPr="004B2707">
        <w:rPr>
          <w:rFonts w:ascii="Arial" w:hAnsi="Arial" w:cs="Arial"/>
          <w:color w:val="222222"/>
          <w:sz w:val="20"/>
          <w:szCs w:val="20"/>
          <w:shd w:val="clear" w:color="auto" w:fill="FFFFFF"/>
        </w:rPr>
        <w:t>, R. S. (2025). Environmental Concentration of Paint Particulate Matters and Dust Metals in the Paint Furniture Workshops. </w:t>
      </w:r>
      <w:r w:rsidRPr="004B2707">
        <w:rPr>
          <w:rFonts w:ascii="Arial" w:hAnsi="Arial" w:cs="Arial"/>
          <w:i/>
          <w:iCs/>
          <w:color w:val="222222"/>
          <w:sz w:val="20"/>
          <w:szCs w:val="20"/>
          <w:shd w:val="clear" w:color="auto" w:fill="FFFFFF"/>
        </w:rPr>
        <w:t>Scientific Journal for Damietta Faculty of Science</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15</w:t>
      </w:r>
      <w:r w:rsidRPr="004B2707">
        <w:rPr>
          <w:rFonts w:ascii="Arial" w:hAnsi="Arial" w:cs="Arial"/>
          <w:color w:val="222222"/>
          <w:sz w:val="20"/>
          <w:szCs w:val="20"/>
          <w:shd w:val="clear" w:color="auto" w:fill="FFFFFF"/>
        </w:rPr>
        <w:t>(2), 35-47.</w:t>
      </w:r>
    </w:p>
    <w:p w:rsidR="00560D44" w:rsidRPr="004B2707" w:rsidRDefault="00560D44" w:rsidP="004B2707">
      <w:pPr>
        <w:pStyle w:val="NormalWeb"/>
        <w:spacing w:line="360" w:lineRule="auto"/>
        <w:ind w:left="720" w:hanging="720"/>
        <w:jc w:val="both"/>
        <w:rPr>
          <w:rFonts w:ascii="Arial" w:hAnsi="Arial" w:cs="Arial"/>
          <w:color w:val="222222"/>
          <w:sz w:val="20"/>
          <w:szCs w:val="20"/>
          <w:shd w:val="clear" w:color="auto" w:fill="FFFFFF"/>
        </w:rPr>
      </w:pPr>
      <w:r w:rsidRPr="004B2707">
        <w:rPr>
          <w:rFonts w:ascii="Arial" w:hAnsi="Arial" w:cs="Arial"/>
          <w:color w:val="222222"/>
          <w:sz w:val="20"/>
          <w:szCs w:val="20"/>
          <w:shd w:val="clear" w:color="auto" w:fill="FFFFFF"/>
        </w:rPr>
        <w:t>Song, S., Li, F., Zhao, B., Zhou, M., &amp; Wang, X. (2025). Ultraviolet light causes skin cell senescence: from mechanism to prevention principle. </w:t>
      </w:r>
      <w:r w:rsidRPr="004B2707">
        <w:rPr>
          <w:rFonts w:ascii="Arial" w:hAnsi="Arial" w:cs="Arial"/>
          <w:i/>
          <w:iCs/>
          <w:color w:val="222222"/>
          <w:sz w:val="20"/>
          <w:szCs w:val="20"/>
          <w:shd w:val="clear" w:color="auto" w:fill="FFFFFF"/>
        </w:rPr>
        <w:t>Advanced Biology</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9</w:t>
      </w:r>
      <w:r w:rsidRPr="004B2707">
        <w:rPr>
          <w:rFonts w:ascii="Arial" w:hAnsi="Arial" w:cs="Arial"/>
          <w:color w:val="222222"/>
          <w:sz w:val="20"/>
          <w:szCs w:val="20"/>
          <w:shd w:val="clear" w:color="auto" w:fill="FFFFFF"/>
        </w:rPr>
        <w:t>(2), 2400090.</w:t>
      </w:r>
    </w:p>
    <w:p w:rsidR="00560D44" w:rsidRPr="004B2707" w:rsidRDefault="00560D44" w:rsidP="004B2707">
      <w:pPr>
        <w:pStyle w:val="NormalWeb"/>
        <w:spacing w:line="360" w:lineRule="auto"/>
        <w:ind w:left="720" w:hanging="720"/>
        <w:jc w:val="both"/>
        <w:rPr>
          <w:rFonts w:ascii="Arial" w:hAnsi="Arial" w:cs="Arial"/>
          <w:color w:val="222222"/>
          <w:sz w:val="20"/>
          <w:szCs w:val="20"/>
          <w:shd w:val="clear" w:color="auto" w:fill="FFFFFF"/>
        </w:rPr>
      </w:pPr>
      <w:r w:rsidRPr="004B2707">
        <w:rPr>
          <w:rFonts w:ascii="Arial" w:hAnsi="Arial" w:cs="Arial"/>
          <w:color w:val="222222"/>
          <w:sz w:val="20"/>
          <w:szCs w:val="20"/>
          <w:shd w:val="clear" w:color="auto" w:fill="FFFFFF"/>
        </w:rPr>
        <w:t xml:space="preserve">Ali, J., Siddiqui, D. H., </w:t>
      </w:r>
      <w:proofErr w:type="spellStart"/>
      <w:r w:rsidRPr="004B2707">
        <w:rPr>
          <w:rFonts w:ascii="Arial" w:hAnsi="Arial" w:cs="Arial"/>
          <w:color w:val="222222"/>
          <w:sz w:val="20"/>
          <w:szCs w:val="20"/>
          <w:shd w:val="clear" w:color="auto" w:fill="FFFFFF"/>
        </w:rPr>
        <w:t>Pattnaik</w:t>
      </w:r>
      <w:proofErr w:type="spellEnd"/>
      <w:r w:rsidRPr="004B2707">
        <w:rPr>
          <w:rFonts w:ascii="Arial" w:hAnsi="Arial" w:cs="Arial"/>
          <w:color w:val="222222"/>
          <w:sz w:val="20"/>
          <w:szCs w:val="20"/>
          <w:shd w:val="clear" w:color="auto" w:fill="FFFFFF"/>
        </w:rPr>
        <w:t>, N. K., Gupta, S. K., &amp; Khan, S. (2026). Overview of solar radiation exposure to the human health particularly to the eye: a review article facts and figures till today. </w:t>
      </w:r>
      <w:r w:rsidRPr="004B2707">
        <w:rPr>
          <w:rFonts w:ascii="Arial" w:hAnsi="Arial" w:cs="Arial"/>
          <w:i/>
          <w:iCs/>
          <w:color w:val="222222"/>
          <w:sz w:val="20"/>
          <w:szCs w:val="20"/>
          <w:shd w:val="clear" w:color="auto" w:fill="FFFFFF"/>
        </w:rPr>
        <w:t>International Journal of Community Medicine and Public Health</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13</w:t>
      </w:r>
      <w:r w:rsidRPr="004B2707">
        <w:rPr>
          <w:rFonts w:ascii="Arial" w:hAnsi="Arial" w:cs="Arial"/>
          <w:color w:val="222222"/>
          <w:sz w:val="20"/>
          <w:szCs w:val="20"/>
          <w:shd w:val="clear" w:color="auto" w:fill="FFFFFF"/>
        </w:rPr>
        <w:t>(2), 1091.</w:t>
      </w:r>
    </w:p>
    <w:p w:rsidR="00AF31F5" w:rsidRPr="004B2707" w:rsidRDefault="00AF31F5"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t>Fikayo</w:t>
      </w:r>
      <w:proofErr w:type="spellEnd"/>
      <w:r w:rsidRPr="004B2707">
        <w:rPr>
          <w:rFonts w:ascii="Arial" w:hAnsi="Arial" w:cs="Arial"/>
          <w:sz w:val="20"/>
          <w:szCs w:val="20"/>
        </w:rPr>
        <w:t xml:space="preserve">, B. E., Chimezie, O. V., John, S. K., Omotola, O. J., </w:t>
      </w:r>
      <w:proofErr w:type="spellStart"/>
      <w:r w:rsidRPr="004B2707">
        <w:rPr>
          <w:rFonts w:ascii="Arial" w:hAnsi="Arial" w:cs="Arial"/>
          <w:sz w:val="20"/>
          <w:szCs w:val="20"/>
        </w:rPr>
        <w:t>Mbon</w:t>
      </w:r>
      <w:proofErr w:type="spellEnd"/>
      <w:r w:rsidRPr="004B2707">
        <w:rPr>
          <w:rFonts w:ascii="Arial" w:hAnsi="Arial" w:cs="Arial"/>
          <w:sz w:val="20"/>
          <w:szCs w:val="20"/>
        </w:rPr>
        <w:t xml:space="preserve">, I. C., </w:t>
      </w:r>
      <w:proofErr w:type="spellStart"/>
      <w:r w:rsidRPr="004B2707">
        <w:rPr>
          <w:rFonts w:ascii="Arial" w:hAnsi="Arial" w:cs="Arial"/>
          <w:sz w:val="20"/>
          <w:szCs w:val="20"/>
        </w:rPr>
        <w:t>Eleonu</w:t>
      </w:r>
      <w:proofErr w:type="spellEnd"/>
      <w:r w:rsidRPr="004B2707">
        <w:rPr>
          <w:rFonts w:ascii="Arial" w:hAnsi="Arial" w:cs="Arial"/>
          <w:sz w:val="20"/>
          <w:szCs w:val="20"/>
        </w:rPr>
        <w:t xml:space="preserve">, P. C., </w:t>
      </w:r>
      <w:proofErr w:type="spellStart"/>
      <w:r w:rsidRPr="004B2707">
        <w:rPr>
          <w:rFonts w:ascii="Arial" w:hAnsi="Arial" w:cs="Arial"/>
          <w:sz w:val="20"/>
          <w:szCs w:val="20"/>
        </w:rPr>
        <w:t>Ndinne</w:t>
      </w:r>
      <w:proofErr w:type="spellEnd"/>
      <w:r w:rsidRPr="004B2707">
        <w:rPr>
          <w:rFonts w:ascii="Arial" w:hAnsi="Arial" w:cs="Arial"/>
          <w:sz w:val="20"/>
          <w:szCs w:val="20"/>
        </w:rPr>
        <w:t xml:space="preserve">, K. W., &amp;Atinuke, T. A. (2023). Occupational exposure to welding fumes and associated respiratory morbidities among arc welders in </w:t>
      </w:r>
      <w:proofErr w:type="spellStart"/>
      <w:r w:rsidRPr="004B2707">
        <w:rPr>
          <w:rFonts w:ascii="Arial" w:hAnsi="Arial" w:cs="Arial"/>
          <w:sz w:val="20"/>
          <w:szCs w:val="20"/>
        </w:rPr>
        <w:t>Ikenne</w:t>
      </w:r>
      <w:proofErr w:type="spellEnd"/>
      <w:r w:rsidRPr="004B2707">
        <w:rPr>
          <w:rFonts w:ascii="Arial" w:hAnsi="Arial" w:cs="Arial"/>
          <w:sz w:val="20"/>
          <w:szCs w:val="20"/>
        </w:rPr>
        <w:t xml:space="preserve">, Nigeria. </w:t>
      </w:r>
      <w:r w:rsidRPr="004B2707">
        <w:rPr>
          <w:rStyle w:val="Emphasis"/>
          <w:rFonts w:ascii="Arial" w:eastAsiaTheme="majorEastAsia" w:hAnsi="Arial" w:cs="Arial"/>
          <w:sz w:val="20"/>
          <w:szCs w:val="20"/>
        </w:rPr>
        <w:t>Ethiopian Journal of Health Sciences, 33</w:t>
      </w:r>
      <w:r w:rsidRPr="004B2707">
        <w:rPr>
          <w:rFonts w:ascii="Arial" w:hAnsi="Arial" w:cs="Arial"/>
          <w:sz w:val="20"/>
          <w:szCs w:val="20"/>
        </w:rPr>
        <w:t xml:space="preserve">(2), 373–382. </w:t>
      </w:r>
      <w:hyperlink r:id="rId25" w:history="1">
        <w:r w:rsidRPr="004B2707">
          <w:rPr>
            <w:rStyle w:val="Hyperlink"/>
            <w:rFonts w:ascii="Arial" w:hAnsi="Arial" w:cs="Arial"/>
            <w:sz w:val="20"/>
            <w:szCs w:val="20"/>
          </w:rPr>
          <w:t>https://doi.org/10.4314/ejhs.v33i2.23</w:t>
        </w:r>
      </w:hyperlink>
    </w:p>
    <w:p w:rsidR="00AF31F5" w:rsidRPr="004B2707" w:rsidRDefault="00AF31F5" w:rsidP="004B2707">
      <w:pPr>
        <w:pStyle w:val="NormalWeb"/>
        <w:spacing w:line="360" w:lineRule="auto"/>
        <w:ind w:left="720" w:hanging="720"/>
        <w:jc w:val="both"/>
        <w:rPr>
          <w:rFonts w:ascii="Arial" w:hAnsi="Arial" w:cs="Arial"/>
          <w:color w:val="222222"/>
          <w:sz w:val="20"/>
          <w:szCs w:val="20"/>
          <w:shd w:val="clear" w:color="auto" w:fill="FFFFFF"/>
        </w:rPr>
      </w:pPr>
      <w:r w:rsidRPr="004B2707">
        <w:rPr>
          <w:rFonts w:ascii="Arial" w:hAnsi="Arial" w:cs="Arial"/>
          <w:color w:val="222222"/>
          <w:sz w:val="20"/>
          <w:szCs w:val="20"/>
          <w:shd w:val="clear" w:color="auto" w:fill="FFFFFF"/>
        </w:rPr>
        <w:t>Ghio, A. J., Sangani, R. G., &amp; Todd, N. W. (2025). The Role of Particle Inhalation in Idiopathic Pulmonary Fibrosis. </w:t>
      </w:r>
      <w:r w:rsidRPr="004B2707">
        <w:rPr>
          <w:rFonts w:ascii="Arial" w:hAnsi="Arial" w:cs="Arial"/>
          <w:i/>
          <w:iCs/>
          <w:color w:val="222222"/>
          <w:sz w:val="20"/>
          <w:szCs w:val="20"/>
          <w:shd w:val="clear" w:color="auto" w:fill="FFFFFF"/>
        </w:rPr>
        <w:t>International Journal of Molecular Sciences</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26</w:t>
      </w:r>
      <w:r w:rsidRPr="004B2707">
        <w:rPr>
          <w:rFonts w:ascii="Arial" w:hAnsi="Arial" w:cs="Arial"/>
          <w:color w:val="222222"/>
          <w:sz w:val="20"/>
          <w:szCs w:val="20"/>
          <w:shd w:val="clear" w:color="auto" w:fill="FFFFFF"/>
        </w:rPr>
        <w:t>(17), 8736.</w:t>
      </w:r>
    </w:p>
    <w:p w:rsidR="00AF31F5" w:rsidRPr="004B2707" w:rsidRDefault="00282CEE" w:rsidP="004B2707">
      <w:pPr>
        <w:pStyle w:val="NormalWeb"/>
        <w:spacing w:line="360" w:lineRule="auto"/>
        <w:ind w:left="720" w:hanging="720"/>
        <w:jc w:val="both"/>
        <w:rPr>
          <w:rFonts w:ascii="Arial" w:hAnsi="Arial" w:cs="Arial"/>
          <w:color w:val="222222"/>
          <w:sz w:val="20"/>
          <w:szCs w:val="20"/>
          <w:shd w:val="clear" w:color="auto" w:fill="FFFFFF"/>
        </w:rPr>
      </w:pPr>
      <w:proofErr w:type="spellStart"/>
      <w:r w:rsidRPr="004B2707">
        <w:rPr>
          <w:rFonts w:ascii="Arial" w:hAnsi="Arial" w:cs="Arial"/>
          <w:color w:val="222222"/>
          <w:sz w:val="20"/>
          <w:szCs w:val="20"/>
          <w:shd w:val="clear" w:color="auto" w:fill="FFFFFF"/>
        </w:rPr>
        <w:t>Ideozu</w:t>
      </w:r>
      <w:proofErr w:type="spellEnd"/>
      <w:r w:rsidRPr="004B2707">
        <w:rPr>
          <w:rFonts w:ascii="Arial" w:hAnsi="Arial" w:cs="Arial"/>
          <w:color w:val="222222"/>
          <w:sz w:val="20"/>
          <w:szCs w:val="20"/>
          <w:shd w:val="clear" w:color="auto" w:fill="FFFFFF"/>
        </w:rPr>
        <w:t>, M. U. (2026). POWER VOLTAGE AND WELDING DEFECTS IN STEELFABRICATION PROJECTS OF CONSTRUCTION FIRMS IN SOUTHSOUTH NIGERIA. </w:t>
      </w:r>
      <w:r w:rsidRPr="004B2707">
        <w:rPr>
          <w:rFonts w:ascii="Arial" w:hAnsi="Arial" w:cs="Arial"/>
          <w:i/>
          <w:iCs/>
          <w:color w:val="222222"/>
          <w:sz w:val="20"/>
          <w:szCs w:val="20"/>
          <w:shd w:val="clear" w:color="auto" w:fill="FFFFFF"/>
        </w:rPr>
        <w:t>ASIAN JOURNAL OF RESEARCH AND DEVELOPMENT STUDIES</w:t>
      </w:r>
      <w:r w:rsidRPr="004B2707">
        <w:rPr>
          <w:rFonts w:ascii="Arial" w:hAnsi="Arial" w:cs="Arial"/>
          <w:color w:val="222222"/>
          <w:sz w:val="20"/>
          <w:szCs w:val="20"/>
          <w:shd w:val="clear" w:color="auto" w:fill="FFFFFF"/>
        </w:rPr>
        <w:t>, </w:t>
      </w:r>
      <w:r w:rsidRPr="004B2707">
        <w:rPr>
          <w:rFonts w:ascii="Arial" w:hAnsi="Arial" w:cs="Arial"/>
          <w:i/>
          <w:iCs/>
          <w:color w:val="222222"/>
          <w:sz w:val="20"/>
          <w:szCs w:val="20"/>
          <w:shd w:val="clear" w:color="auto" w:fill="FFFFFF"/>
        </w:rPr>
        <w:t>3</w:t>
      </w:r>
      <w:r w:rsidRPr="004B2707">
        <w:rPr>
          <w:rFonts w:ascii="Arial" w:hAnsi="Arial" w:cs="Arial"/>
          <w:color w:val="222222"/>
          <w:sz w:val="20"/>
          <w:szCs w:val="20"/>
          <w:shd w:val="clear" w:color="auto" w:fill="FFFFFF"/>
        </w:rPr>
        <w:t>(1), 139-148.</w:t>
      </w:r>
    </w:p>
    <w:p w:rsidR="00AF31F5" w:rsidRPr="004B2707" w:rsidRDefault="00AF31F5"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t>Fraikin</w:t>
      </w:r>
      <w:proofErr w:type="spellEnd"/>
      <w:r w:rsidRPr="004B2707">
        <w:rPr>
          <w:rFonts w:ascii="Arial" w:hAnsi="Arial" w:cs="Arial"/>
          <w:sz w:val="20"/>
          <w:szCs w:val="20"/>
        </w:rPr>
        <w:t xml:space="preserve">, G. Y., </w:t>
      </w:r>
      <w:proofErr w:type="spellStart"/>
      <w:r w:rsidRPr="004B2707">
        <w:rPr>
          <w:rFonts w:ascii="Arial" w:hAnsi="Arial" w:cs="Arial"/>
          <w:sz w:val="20"/>
          <w:szCs w:val="20"/>
        </w:rPr>
        <w:t>Belenikina</w:t>
      </w:r>
      <w:proofErr w:type="spellEnd"/>
      <w:r w:rsidRPr="004B2707">
        <w:rPr>
          <w:rFonts w:ascii="Arial" w:hAnsi="Arial" w:cs="Arial"/>
          <w:sz w:val="20"/>
          <w:szCs w:val="20"/>
        </w:rPr>
        <w:t xml:space="preserve">, N. S., &amp; Rubin, A. B. (2024). Photochemical processes of cell DNA damage by UV radiation of various wavelengths: Biological consequences. </w:t>
      </w:r>
      <w:r w:rsidRPr="004B2707">
        <w:rPr>
          <w:rStyle w:val="Emphasis"/>
          <w:rFonts w:ascii="Arial" w:eastAsiaTheme="majorEastAsia" w:hAnsi="Arial" w:cs="Arial"/>
          <w:sz w:val="20"/>
          <w:szCs w:val="20"/>
        </w:rPr>
        <w:t>Molecular Biology, 58</w:t>
      </w:r>
      <w:r w:rsidRPr="004B2707">
        <w:rPr>
          <w:rFonts w:ascii="Arial" w:hAnsi="Arial" w:cs="Arial"/>
          <w:sz w:val="20"/>
          <w:szCs w:val="20"/>
        </w:rPr>
        <w:t xml:space="preserve">(1), 1–16. </w:t>
      </w:r>
      <w:hyperlink r:id="rId26" w:history="1">
        <w:r w:rsidRPr="004B2707">
          <w:rPr>
            <w:rStyle w:val="Hyperlink"/>
            <w:rFonts w:ascii="Arial" w:hAnsi="Arial" w:cs="Arial"/>
            <w:sz w:val="20"/>
            <w:szCs w:val="20"/>
          </w:rPr>
          <w:t>https://doi.org/10.1134/s0026893324010047</w:t>
        </w:r>
      </w:hyperlink>
    </w:p>
    <w:p w:rsidR="00AF31F5" w:rsidRPr="004B2707" w:rsidRDefault="00AF31F5" w:rsidP="004B2707">
      <w:pPr>
        <w:pStyle w:val="NormalWeb"/>
        <w:spacing w:line="360" w:lineRule="auto"/>
        <w:ind w:left="720" w:hanging="720"/>
        <w:jc w:val="both"/>
        <w:rPr>
          <w:rFonts w:ascii="Arial" w:hAnsi="Arial" w:cs="Arial"/>
          <w:sz w:val="20"/>
          <w:szCs w:val="20"/>
        </w:rPr>
      </w:pPr>
      <w:proofErr w:type="spellStart"/>
      <w:r w:rsidRPr="004B2707">
        <w:rPr>
          <w:rFonts w:ascii="Arial" w:hAnsi="Arial" w:cs="Arial"/>
          <w:sz w:val="20"/>
          <w:szCs w:val="20"/>
        </w:rPr>
        <w:lastRenderedPageBreak/>
        <w:t>Mirzakhil</w:t>
      </w:r>
      <w:proofErr w:type="spellEnd"/>
      <w:r w:rsidRPr="004B2707">
        <w:rPr>
          <w:rFonts w:ascii="Arial" w:hAnsi="Arial" w:cs="Arial"/>
          <w:sz w:val="20"/>
          <w:szCs w:val="20"/>
        </w:rPr>
        <w:t xml:space="preserve">, A., </w:t>
      </w:r>
      <w:proofErr w:type="spellStart"/>
      <w:r w:rsidRPr="004B2707">
        <w:rPr>
          <w:rFonts w:ascii="Arial" w:hAnsi="Arial" w:cs="Arial"/>
          <w:sz w:val="20"/>
          <w:szCs w:val="20"/>
        </w:rPr>
        <w:t>Aluzai</w:t>
      </w:r>
      <w:proofErr w:type="spellEnd"/>
      <w:r w:rsidRPr="004B2707">
        <w:rPr>
          <w:rFonts w:ascii="Arial" w:hAnsi="Arial" w:cs="Arial"/>
          <w:sz w:val="20"/>
          <w:szCs w:val="20"/>
        </w:rPr>
        <w:t xml:space="preserve">, G. A., </w:t>
      </w:r>
      <w:proofErr w:type="spellStart"/>
      <w:r w:rsidRPr="004B2707">
        <w:rPr>
          <w:rFonts w:ascii="Arial" w:hAnsi="Arial" w:cs="Arial"/>
          <w:sz w:val="20"/>
          <w:szCs w:val="20"/>
        </w:rPr>
        <w:t>Khochai</w:t>
      </w:r>
      <w:proofErr w:type="spellEnd"/>
      <w:r w:rsidRPr="004B2707">
        <w:rPr>
          <w:rFonts w:ascii="Arial" w:hAnsi="Arial" w:cs="Arial"/>
          <w:sz w:val="20"/>
          <w:szCs w:val="20"/>
        </w:rPr>
        <w:t xml:space="preserve">, K., Elmi, F., &amp;Shinwari, S. (2024). Ozone layer depletion: Causes, effects and prevention. </w:t>
      </w:r>
      <w:r w:rsidRPr="004B2707">
        <w:rPr>
          <w:rStyle w:val="Emphasis"/>
          <w:rFonts w:ascii="Arial" w:eastAsiaTheme="majorEastAsia" w:hAnsi="Arial" w:cs="Arial"/>
          <w:sz w:val="20"/>
          <w:szCs w:val="20"/>
        </w:rPr>
        <w:t>Nangarhar University International Journal of Biosciences, 3</w:t>
      </w:r>
      <w:r w:rsidRPr="004B2707">
        <w:rPr>
          <w:rFonts w:ascii="Arial" w:hAnsi="Arial" w:cs="Arial"/>
          <w:sz w:val="20"/>
          <w:szCs w:val="20"/>
        </w:rPr>
        <w:t xml:space="preserve">(Special issue), 503–506. </w:t>
      </w:r>
      <w:hyperlink r:id="rId27" w:history="1">
        <w:r w:rsidRPr="004B2707">
          <w:rPr>
            <w:rStyle w:val="Hyperlink"/>
            <w:rFonts w:ascii="Arial" w:hAnsi="Arial" w:cs="Arial"/>
            <w:sz w:val="20"/>
            <w:szCs w:val="20"/>
          </w:rPr>
          <w:t>https://doi.org/10.70436/nuijb.v3i02.277</w:t>
        </w:r>
      </w:hyperlink>
    </w:p>
    <w:p w:rsidR="00AF31F5" w:rsidRDefault="00AF31F5" w:rsidP="004B2707">
      <w:pPr>
        <w:pStyle w:val="NormalWeb"/>
        <w:spacing w:line="360" w:lineRule="auto"/>
        <w:ind w:left="720" w:hanging="720"/>
        <w:jc w:val="both"/>
        <w:rPr>
          <w:rFonts w:ascii="Arial" w:hAnsi="Arial" w:cs="Arial"/>
          <w:sz w:val="20"/>
          <w:szCs w:val="20"/>
        </w:rPr>
      </w:pPr>
      <w:r w:rsidRPr="004B2707">
        <w:rPr>
          <w:rFonts w:ascii="Arial" w:hAnsi="Arial" w:cs="Arial"/>
          <w:sz w:val="20"/>
          <w:szCs w:val="20"/>
          <w:lang w:val="es-US"/>
        </w:rPr>
        <w:t xml:space="preserve">Ghorpade, Y., Franco Restrepo, C., &amp; Castellanos </w:t>
      </w:r>
      <w:proofErr w:type="spellStart"/>
      <w:r w:rsidRPr="004B2707">
        <w:rPr>
          <w:rFonts w:ascii="Arial" w:hAnsi="Arial" w:cs="Arial"/>
          <w:sz w:val="20"/>
          <w:szCs w:val="20"/>
          <w:lang w:val="es-US"/>
        </w:rPr>
        <w:t>Rodriguez</w:t>
      </w:r>
      <w:proofErr w:type="spellEnd"/>
      <w:r w:rsidRPr="004B2707">
        <w:rPr>
          <w:rFonts w:ascii="Arial" w:hAnsi="Arial" w:cs="Arial"/>
          <w:sz w:val="20"/>
          <w:szCs w:val="20"/>
          <w:lang w:val="es-US"/>
        </w:rPr>
        <w:t xml:space="preserve">, L. E. (2024). </w:t>
      </w:r>
      <w:r w:rsidRPr="004B2707">
        <w:rPr>
          <w:rFonts w:ascii="Arial" w:hAnsi="Arial" w:cs="Arial"/>
          <w:sz w:val="20"/>
          <w:szCs w:val="20"/>
        </w:rPr>
        <w:t xml:space="preserve">Social protection and labor market policies for the informally employed: A review of evidence from low- and middle-income countries. </w:t>
      </w:r>
      <w:r w:rsidRPr="004B2707">
        <w:rPr>
          <w:rStyle w:val="Emphasis"/>
          <w:rFonts w:ascii="Arial" w:eastAsiaTheme="majorEastAsia" w:hAnsi="Arial" w:cs="Arial"/>
          <w:sz w:val="20"/>
          <w:szCs w:val="20"/>
        </w:rPr>
        <w:t>Social Protection Discussion Papers and Notes</w:t>
      </w:r>
      <w:r w:rsidRPr="004B2707">
        <w:rPr>
          <w:rFonts w:ascii="Arial" w:hAnsi="Arial" w:cs="Arial"/>
          <w:sz w:val="20"/>
          <w:szCs w:val="20"/>
        </w:rPr>
        <w:t>, 188471.</w:t>
      </w:r>
    </w:p>
    <w:p w:rsidR="007F183E" w:rsidRPr="0084219A" w:rsidRDefault="007F183E" w:rsidP="007F183E">
      <w:pPr>
        <w:pStyle w:val="NormalWeb"/>
        <w:spacing w:line="360" w:lineRule="auto"/>
        <w:ind w:left="720" w:hanging="720"/>
        <w:jc w:val="both"/>
        <w:rPr>
          <w:rFonts w:ascii="Arial" w:hAnsi="Arial" w:cs="Arial"/>
          <w:b/>
          <w:sz w:val="20"/>
          <w:szCs w:val="20"/>
        </w:rPr>
      </w:pPr>
      <w:r w:rsidRPr="0084219A">
        <w:rPr>
          <w:rFonts w:ascii="Arial" w:hAnsi="Arial" w:cs="Arial"/>
          <w:b/>
          <w:sz w:val="20"/>
          <w:szCs w:val="20"/>
        </w:rPr>
        <w:t>Appendix</w:t>
      </w:r>
    </w:p>
    <w:tbl>
      <w:tblPr>
        <w:tblStyle w:val="TableGrid1"/>
        <w:tblpPr w:leftFromText="180" w:rightFromText="180" w:vertAnchor="page" w:horzAnchor="margin" w:tblpY="4527"/>
        <w:tblW w:w="5000" w:type="pct"/>
        <w:tblLook w:val="04A0" w:firstRow="1" w:lastRow="0" w:firstColumn="1" w:lastColumn="0" w:noHBand="0" w:noVBand="1"/>
      </w:tblPr>
      <w:tblGrid>
        <w:gridCol w:w="1732"/>
        <w:gridCol w:w="626"/>
        <w:gridCol w:w="1620"/>
        <w:gridCol w:w="1710"/>
        <w:gridCol w:w="1980"/>
        <w:gridCol w:w="1908"/>
      </w:tblGrid>
      <w:tr w:rsidR="007F183E" w:rsidRPr="007F183E" w:rsidTr="007F183E">
        <w:tc>
          <w:tcPr>
            <w:tcW w:w="1231" w:type="pct"/>
            <w:gridSpan w:val="2"/>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Age</w:t>
            </w:r>
          </w:p>
        </w:tc>
        <w:tc>
          <w:tcPr>
            <w:tcW w:w="846" w:type="pc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21-30</w:t>
            </w:r>
          </w:p>
        </w:tc>
        <w:tc>
          <w:tcPr>
            <w:tcW w:w="893" w:type="pc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31-40</w:t>
            </w:r>
          </w:p>
        </w:tc>
        <w:tc>
          <w:tcPr>
            <w:tcW w:w="1034" w:type="pc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41-50</w:t>
            </w:r>
          </w:p>
        </w:tc>
        <w:tc>
          <w:tcPr>
            <w:tcW w:w="996" w:type="pc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&gt;50</w:t>
            </w:r>
          </w:p>
        </w:tc>
      </w:tr>
      <w:tr w:rsidR="007F183E" w:rsidRPr="007F183E" w:rsidTr="007F183E">
        <w:tc>
          <w:tcPr>
            <w:tcW w:w="904" w:type="pc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Sex</w:t>
            </w:r>
          </w:p>
        </w:tc>
        <w:tc>
          <w:tcPr>
            <w:tcW w:w="327" w:type="pct"/>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val="restart"/>
          </w:tcPr>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Job</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Mechanic</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Plumber</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Painter</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Welder</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Carpenter</w:t>
            </w:r>
          </w:p>
          <w:p w:rsidR="007F183E" w:rsidRPr="007F183E" w:rsidRDefault="007F183E" w:rsidP="007F183E">
            <w:pPr>
              <w:rPr>
                <w:rFonts w:asciiTheme="minorHAnsi" w:eastAsiaTheme="minorHAnsi" w:hAnsiTheme="minorHAnsi" w:cstheme="minorBidi"/>
                <w:szCs w:val="22"/>
              </w:rPr>
            </w:pPr>
            <w:r w:rsidRPr="007F183E">
              <w:rPr>
                <w:rFonts w:asciiTheme="minorHAnsi" w:eastAsiaTheme="minorHAnsi" w:hAnsiTheme="minorHAnsi" w:cstheme="minorBidi"/>
                <w:szCs w:val="22"/>
              </w:rPr>
              <w:t>Electrician</w:t>
            </w: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r w:rsidR="007F183E" w:rsidRPr="007F183E" w:rsidTr="007F183E">
        <w:tc>
          <w:tcPr>
            <w:tcW w:w="1231" w:type="pct"/>
            <w:gridSpan w:val="2"/>
            <w:vMerge/>
          </w:tcPr>
          <w:p w:rsidR="007F183E" w:rsidRPr="007F183E" w:rsidRDefault="007F183E" w:rsidP="007F183E">
            <w:pPr>
              <w:rPr>
                <w:rFonts w:asciiTheme="minorHAnsi" w:eastAsiaTheme="minorHAnsi" w:hAnsiTheme="minorHAnsi" w:cstheme="minorBidi"/>
                <w:szCs w:val="22"/>
              </w:rPr>
            </w:pPr>
          </w:p>
        </w:tc>
        <w:tc>
          <w:tcPr>
            <w:tcW w:w="846" w:type="pct"/>
          </w:tcPr>
          <w:p w:rsidR="007F183E" w:rsidRPr="007F183E" w:rsidRDefault="007F183E" w:rsidP="007F183E">
            <w:pPr>
              <w:rPr>
                <w:rFonts w:asciiTheme="minorHAnsi" w:eastAsiaTheme="minorHAnsi" w:hAnsiTheme="minorHAnsi" w:cstheme="minorBidi"/>
                <w:szCs w:val="22"/>
              </w:rPr>
            </w:pPr>
          </w:p>
        </w:tc>
        <w:tc>
          <w:tcPr>
            <w:tcW w:w="893" w:type="pct"/>
          </w:tcPr>
          <w:p w:rsidR="007F183E" w:rsidRPr="007F183E" w:rsidRDefault="007F183E" w:rsidP="007F183E">
            <w:pPr>
              <w:rPr>
                <w:rFonts w:asciiTheme="minorHAnsi" w:eastAsiaTheme="minorHAnsi" w:hAnsiTheme="minorHAnsi" w:cstheme="minorBidi"/>
                <w:szCs w:val="22"/>
              </w:rPr>
            </w:pPr>
          </w:p>
        </w:tc>
        <w:tc>
          <w:tcPr>
            <w:tcW w:w="1034" w:type="pct"/>
          </w:tcPr>
          <w:p w:rsidR="007F183E" w:rsidRPr="007F183E" w:rsidRDefault="007F183E" w:rsidP="007F183E">
            <w:pPr>
              <w:rPr>
                <w:rFonts w:asciiTheme="minorHAnsi" w:eastAsiaTheme="minorHAnsi" w:hAnsiTheme="minorHAnsi" w:cstheme="minorBidi"/>
                <w:szCs w:val="22"/>
              </w:rPr>
            </w:pPr>
          </w:p>
        </w:tc>
        <w:tc>
          <w:tcPr>
            <w:tcW w:w="996" w:type="pct"/>
          </w:tcPr>
          <w:p w:rsidR="007F183E" w:rsidRPr="007F183E" w:rsidRDefault="007F183E" w:rsidP="007F183E">
            <w:pPr>
              <w:rPr>
                <w:rFonts w:asciiTheme="minorHAnsi" w:eastAsiaTheme="minorHAnsi" w:hAnsiTheme="minorHAnsi" w:cstheme="minorBidi"/>
                <w:szCs w:val="22"/>
              </w:rPr>
            </w:pPr>
          </w:p>
        </w:tc>
      </w:tr>
    </w:tbl>
    <w:p w:rsidR="00B95AF0" w:rsidRPr="0084219A" w:rsidRDefault="007F183E" w:rsidP="004B2707">
      <w:pPr>
        <w:pStyle w:val="NormalWeb"/>
        <w:spacing w:line="360" w:lineRule="auto"/>
        <w:ind w:left="720" w:hanging="720"/>
        <w:jc w:val="both"/>
        <w:rPr>
          <w:rFonts w:ascii="Arial" w:hAnsi="Arial" w:cs="Arial"/>
          <w:b/>
          <w:sz w:val="20"/>
          <w:szCs w:val="20"/>
        </w:rPr>
      </w:pPr>
      <w:r w:rsidRPr="007F183E">
        <w:rPr>
          <w:rFonts w:asciiTheme="minorHAnsi" w:eastAsiaTheme="minorHAnsi" w:hAnsiTheme="minorHAnsi" w:cstheme="minorBidi"/>
          <w:sz w:val="22"/>
          <w:szCs w:val="22"/>
        </w:rPr>
        <w:t xml:space="preserve"> </w:t>
      </w:r>
      <w:r w:rsidRPr="0084219A">
        <w:rPr>
          <w:rFonts w:asciiTheme="minorHAnsi" w:eastAsiaTheme="minorHAnsi" w:hAnsiTheme="minorHAnsi" w:cstheme="minorBidi"/>
          <w:b/>
          <w:sz w:val="22"/>
          <w:szCs w:val="22"/>
        </w:rPr>
        <w:t>QUESTIONS USED TO CONDUCT THE STUDY</w:t>
      </w:r>
    </w:p>
    <w:p w:rsidR="007F183E" w:rsidRPr="007F183E" w:rsidRDefault="007F183E" w:rsidP="007F183E">
      <w:pPr>
        <w:spacing w:after="200" w:line="276" w:lineRule="auto"/>
        <w:rPr>
          <w:rFonts w:asciiTheme="minorHAnsi" w:eastAsiaTheme="minorHAnsi" w:hAnsiTheme="minorHAnsi" w:cstheme="minorBidi"/>
          <w:sz w:val="22"/>
          <w:szCs w:val="22"/>
        </w:rPr>
      </w:pPr>
    </w:p>
    <w:p w:rsidR="007F183E" w:rsidRPr="007F183E" w:rsidRDefault="007F183E" w:rsidP="007F183E">
      <w:pPr>
        <w:spacing w:after="200" w:line="276" w:lineRule="auto"/>
        <w:rPr>
          <w:rFonts w:asciiTheme="minorHAnsi" w:eastAsiaTheme="minorHAnsi" w:hAnsiTheme="minorHAnsi" w:cstheme="minorBidi"/>
          <w:sz w:val="22"/>
          <w:szCs w:val="22"/>
        </w:rPr>
      </w:pPr>
    </w:p>
    <w:p w:rsidR="007F183E" w:rsidRPr="007F183E" w:rsidRDefault="007F183E" w:rsidP="007F183E">
      <w:pPr>
        <w:spacing w:after="200" w:line="276" w:lineRule="auto"/>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The research was carried out by simple random sampling, via direct oral interviews. questions covering all areas of the study were asked. The questions were:</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Where do you work?</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Describe your environment at work.</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Describe your environment when not at work.</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Is your home environment the same as your work environment?</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Are you living in a rural area?</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What environmental problems do you face?</w:t>
      </w:r>
    </w:p>
    <w:p w:rsidR="007F183E" w:rsidRPr="007F183E" w:rsidRDefault="007F183E" w:rsidP="007F183E">
      <w:pPr>
        <w:numPr>
          <w:ilvl w:val="0"/>
          <w:numId w:val="44"/>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If you are living in a town, what main environmental problem do you face?</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Smells</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Heat</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Odors</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proofErr w:type="spellStart"/>
      <w:r w:rsidRPr="007F183E">
        <w:rPr>
          <w:rFonts w:asciiTheme="minorHAnsi" w:eastAsiaTheme="minorHAnsi" w:hAnsiTheme="minorHAnsi" w:cstheme="minorBidi"/>
          <w:sz w:val="22"/>
          <w:szCs w:val="22"/>
        </w:rPr>
        <w:t>Particulated</w:t>
      </w:r>
      <w:proofErr w:type="spellEnd"/>
      <w:r w:rsidRPr="007F183E">
        <w:rPr>
          <w:rFonts w:asciiTheme="minorHAnsi" w:eastAsiaTheme="minorHAnsi" w:hAnsiTheme="minorHAnsi" w:cstheme="minorBidi"/>
          <w:sz w:val="22"/>
          <w:szCs w:val="22"/>
        </w:rPr>
        <w:t xml:space="preserve"> air</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Petroleum products and fumes</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Ozone-depleting substances</w:t>
      </w:r>
    </w:p>
    <w:p w:rsidR="007F183E" w:rsidRPr="007F183E" w:rsidRDefault="007F183E" w:rsidP="007F183E">
      <w:pPr>
        <w:numPr>
          <w:ilvl w:val="0"/>
          <w:numId w:val="45"/>
        </w:numPr>
        <w:spacing w:after="200" w:line="276" w:lineRule="auto"/>
        <w:ind w:left="720"/>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Ultraviolet rays</w:t>
      </w:r>
    </w:p>
    <w:p w:rsidR="007F183E" w:rsidRPr="007F183E" w:rsidRDefault="007F183E" w:rsidP="007F183E">
      <w:pPr>
        <w:numPr>
          <w:ilvl w:val="0"/>
          <w:numId w:val="46"/>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lastRenderedPageBreak/>
        <w:t>How do outdoor smells affect you?</w:t>
      </w:r>
    </w:p>
    <w:p w:rsidR="007F183E" w:rsidRPr="007F183E" w:rsidRDefault="007F183E" w:rsidP="007F183E">
      <w:pPr>
        <w:numPr>
          <w:ilvl w:val="0"/>
          <w:numId w:val="46"/>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How does your work affect your environment directly?</w:t>
      </w:r>
    </w:p>
    <w:p w:rsidR="007F183E" w:rsidRPr="007F183E" w:rsidRDefault="007F183E" w:rsidP="007F183E">
      <w:pPr>
        <w:numPr>
          <w:ilvl w:val="0"/>
          <w:numId w:val="46"/>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Do you suffer any work-related ailments or diseases?</w:t>
      </w:r>
    </w:p>
    <w:p w:rsidR="007F183E" w:rsidRPr="007F183E" w:rsidRDefault="007F183E" w:rsidP="007F183E">
      <w:pPr>
        <w:numPr>
          <w:ilvl w:val="0"/>
          <w:numId w:val="46"/>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Where do you deposit the waste generated from your work?</w:t>
      </w:r>
    </w:p>
    <w:p w:rsidR="007F183E" w:rsidRPr="007F183E" w:rsidRDefault="007F183E" w:rsidP="007F183E">
      <w:pPr>
        <w:numPr>
          <w:ilvl w:val="0"/>
          <w:numId w:val="47"/>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Municipal garbage</w:t>
      </w:r>
    </w:p>
    <w:p w:rsidR="007F183E" w:rsidRPr="007F183E" w:rsidRDefault="007F183E" w:rsidP="007F183E">
      <w:pPr>
        <w:numPr>
          <w:ilvl w:val="0"/>
          <w:numId w:val="47"/>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Sewage</w:t>
      </w:r>
    </w:p>
    <w:p w:rsidR="007F183E" w:rsidRPr="007F183E" w:rsidRDefault="007F183E" w:rsidP="007F183E">
      <w:pPr>
        <w:numPr>
          <w:ilvl w:val="0"/>
          <w:numId w:val="47"/>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Drains/Gutters</w:t>
      </w:r>
    </w:p>
    <w:p w:rsidR="007F183E" w:rsidRPr="007F183E" w:rsidRDefault="007F183E" w:rsidP="007F183E">
      <w:pPr>
        <w:numPr>
          <w:ilvl w:val="0"/>
          <w:numId w:val="47"/>
        </w:numPr>
        <w:spacing w:after="200" w:line="276" w:lineRule="auto"/>
        <w:contextualSpacing/>
        <w:rPr>
          <w:rFonts w:asciiTheme="minorHAnsi" w:eastAsiaTheme="minorHAnsi" w:hAnsiTheme="minorHAnsi" w:cstheme="minorBidi"/>
          <w:sz w:val="22"/>
          <w:szCs w:val="22"/>
        </w:rPr>
      </w:pPr>
      <w:r w:rsidRPr="007F183E">
        <w:rPr>
          <w:rFonts w:asciiTheme="minorHAnsi" w:eastAsiaTheme="minorHAnsi" w:hAnsiTheme="minorHAnsi" w:cstheme="minorBidi"/>
          <w:sz w:val="22"/>
          <w:szCs w:val="22"/>
        </w:rPr>
        <w:t>Anywhere</w:t>
      </w:r>
    </w:p>
    <w:p w:rsidR="00B95AF0" w:rsidRDefault="00B95AF0" w:rsidP="004B2707">
      <w:pPr>
        <w:pStyle w:val="NormalWeb"/>
        <w:spacing w:line="360" w:lineRule="auto"/>
        <w:ind w:left="720" w:hanging="720"/>
        <w:jc w:val="both"/>
        <w:rPr>
          <w:rFonts w:ascii="Arial" w:hAnsi="Arial" w:cs="Arial"/>
          <w:sz w:val="20"/>
          <w:szCs w:val="20"/>
        </w:rPr>
      </w:pPr>
    </w:p>
    <w:p w:rsidR="00B95AF0" w:rsidRPr="004B2707" w:rsidRDefault="00B95AF0" w:rsidP="004B2707">
      <w:pPr>
        <w:pStyle w:val="NormalWeb"/>
        <w:spacing w:line="360" w:lineRule="auto"/>
        <w:ind w:left="720" w:hanging="720"/>
        <w:jc w:val="both"/>
        <w:rPr>
          <w:rFonts w:ascii="Arial" w:hAnsi="Arial" w:cs="Arial"/>
          <w:sz w:val="20"/>
          <w:szCs w:val="20"/>
        </w:rPr>
      </w:pPr>
    </w:p>
    <w:p w:rsidR="00AF31F5" w:rsidRDefault="00AF31F5" w:rsidP="00AF31F5">
      <w:pPr>
        <w:pStyle w:val="NormalWeb"/>
        <w:spacing w:line="360" w:lineRule="auto"/>
        <w:ind w:left="720" w:hanging="720"/>
      </w:pPr>
    </w:p>
    <w:p w:rsidR="00AF31F5" w:rsidRDefault="00AF31F5" w:rsidP="00AF31F5">
      <w:pPr>
        <w:pStyle w:val="NormalWeb"/>
        <w:spacing w:line="360" w:lineRule="auto"/>
        <w:ind w:left="720" w:hanging="720"/>
      </w:pPr>
    </w:p>
    <w:p w:rsidR="00AF31F5" w:rsidRPr="003621AB" w:rsidRDefault="00AF31F5" w:rsidP="00AF31F5">
      <w:pPr>
        <w:pStyle w:val="NormalWeb"/>
        <w:spacing w:line="360" w:lineRule="auto"/>
        <w:ind w:left="720" w:hanging="720"/>
        <w:rPr>
          <w:rFonts w:ascii="Arial" w:hAnsi="Arial" w:cs="Arial"/>
          <w:sz w:val="20"/>
          <w:szCs w:val="20"/>
        </w:rPr>
      </w:pPr>
    </w:p>
    <w:p w:rsidR="00AF31F5" w:rsidRDefault="00AF31F5" w:rsidP="00AF31F5">
      <w:pPr>
        <w:pStyle w:val="NormalWeb"/>
        <w:spacing w:line="360" w:lineRule="auto"/>
        <w:ind w:left="720" w:hanging="720"/>
      </w:pPr>
    </w:p>
    <w:p w:rsidR="00AF31F5" w:rsidRPr="00560D44" w:rsidRDefault="00AF31F5" w:rsidP="00560D44">
      <w:pPr>
        <w:pStyle w:val="NormalWeb"/>
        <w:spacing w:line="360" w:lineRule="auto"/>
        <w:ind w:left="720" w:hanging="720"/>
        <w:rPr>
          <w:rFonts w:ascii="Arial" w:hAnsi="Arial" w:cs="Arial"/>
          <w:sz w:val="20"/>
          <w:szCs w:val="20"/>
        </w:rPr>
      </w:pPr>
    </w:p>
    <w:p w:rsidR="00560D44" w:rsidRPr="00560D44" w:rsidRDefault="00560D44" w:rsidP="00560D44">
      <w:pPr>
        <w:pStyle w:val="NormalWeb"/>
        <w:spacing w:line="360" w:lineRule="auto"/>
        <w:ind w:left="720" w:hanging="720"/>
        <w:rPr>
          <w:rFonts w:ascii="Arial" w:hAnsi="Arial" w:cs="Arial"/>
          <w:color w:val="222222"/>
          <w:sz w:val="20"/>
          <w:szCs w:val="20"/>
          <w:shd w:val="clear" w:color="auto" w:fill="FFFFFF"/>
        </w:rPr>
      </w:pPr>
    </w:p>
    <w:p w:rsidR="00560D44" w:rsidRPr="00560D44" w:rsidRDefault="00560D44" w:rsidP="00560D44">
      <w:pPr>
        <w:pStyle w:val="NormalWeb"/>
        <w:spacing w:line="360" w:lineRule="auto"/>
        <w:ind w:left="720" w:hanging="720"/>
        <w:rPr>
          <w:rFonts w:ascii="Arial" w:hAnsi="Arial" w:cs="Arial"/>
          <w:sz w:val="20"/>
          <w:szCs w:val="20"/>
        </w:rPr>
      </w:pPr>
    </w:p>
    <w:p w:rsidR="00560D44" w:rsidRPr="00560D44" w:rsidRDefault="00560D44" w:rsidP="00560D44">
      <w:pPr>
        <w:pStyle w:val="NormalWeb"/>
        <w:spacing w:line="360" w:lineRule="auto"/>
        <w:ind w:left="720" w:hanging="720"/>
        <w:rPr>
          <w:rFonts w:ascii="Arial" w:hAnsi="Arial" w:cs="Arial"/>
          <w:sz w:val="20"/>
          <w:szCs w:val="20"/>
        </w:rPr>
      </w:pPr>
    </w:p>
    <w:p w:rsidR="00560D44" w:rsidRDefault="00560D44" w:rsidP="00560D44">
      <w:pPr>
        <w:pStyle w:val="NormalWeb"/>
        <w:spacing w:line="360" w:lineRule="auto"/>
        <w:ind w:left="720" w:hanging="720"/>
        <w:rPr>
          <w:rFonts w:ascii="Arial" w:hAnsi="Arial" w:cs="Arial"/>
          <w:sz w:val="20"/>
          <w:szCs w:val="20"/>
        </w:rPr>
      </w:pPr>
    </w:p>
    <w:p w:rsidR="00560D44" w:rsidRPr="003621AB" w:rsidRDefault="00560D44" w:rsidP="00560D44">
      <w:pPr>
        <w:pStyle w:val="NormalWeb"/>
        <w:spacing w:line="360" w:lineRule="auto"/>
        <w:ind w:left="720" w:hanging="720"/>
        <w:rPr>
          <w:rFonts w:ascii="Arial" w:hAnsi="Arial" w:cs="Arial"/>
          <w:sz w:val="20"/>
          <w:szCs w:val="20"/>
        </w:rPr>
      </w:pPr>
    </w:p>
    <w:p w:rsidR="00560D44" w:rsidRPr="00560D44" w:rsidRDefault="00560D44" w:rsidP="00560D44">
      <w:pPr>
        <w:pStyle w:val="NormalWeb"/>
        <w:spacing w:line="360" w:lineRule="auto"/>
        <w:ind w:left="720" w:hanging="720"/>
        <w:rPr>
          <w:rFonts w:ascii="Arial" w:hAnsi="Arial" w:cs="Arial"/>
          <w:sz w:val="20"/>
          <w:szCs w:val="20"/>
          <w:shd w:val="clear" w:color="auto" w:fill="FFFFFF"/>
        </w:rPr>
      </w:pPr>
    </w:p>
    <w:p w:rsidR="00560D44" w:rsidRPr="00943443" w:rsidRDefault="00560D44" w:rsidP="00560D44">
      <w:pPr>
        <w:pStyle w:val="NormalWeb"/>
        <w:spacing w:line="360" w:lineRule="auto"/>
        <w:ind w:left="720" w:hanging="720"/>
        <w:rPr>
          <w:rFonts w:ascii="Arial" w:hAnsi="Arial" w:cs="Arial"/>
          <w:sz w:val="20"/>
          <w:szCs w:val="20"/>
          <w:lang w:val="es-US"/>
        </w:rPr>
      </w:pPr>
    </w:p>
    <w:p w:rsidR="00560D44" w:rsidRPr="003621AB" w:rsidRDefault="00560D44" w:rsidP="00560D44">
      <w:pPr>
        <w:pStyle w:val="NormalWeb"/>
        <w:spacing w:line="360" w:lineRule="auto"/>
        <w:ind w:left="720" w:hanging="720"/>
        <w:rPr>
          <w:rFonts w:ascii="Arial" w:hAnsi="Arial" w:cs="Arial"/>
          <w:sz w:val="20"/>
          <w:szCs w:val="20"/>
        </w:rPr>
      </w:pPr>
    </w:p>
    <w:p w:rsidR="00560D44" w:rsidRDefault="00560D44" w:rsidP="00E469C9">
      <w:pPr>
        <w:pStyle w:val="NormalWeb"/>
        <w:spacing w:line="360" w:lineRule="auto"/>
        <w:ind w:left="720" w:hanging="720"/>
        <w:rPr>
          <w:rFonts w:ascii="Arial" w:hAnsi="Arial" w:cs="Arial"/>
          <w:sz w:val="20"/>
          <w:szCs w:val="20"/>
        </w:rPr>
      </w:pPr>
    </w:p>
    <w:p w:rsidR="00560D44" w:rsidRDefault="00560D44" w:rsidP="00E469C9">
      <w:pPr>
        <w:pStyle w:val="NormalWeb"/>
        <w:spacing w:line="360" w:lineRule="auto"/>
        <w:ind w:left="720" w:hanging="720"/>
        <w:rPr>
          <w:rFonts w:ascii="Arial" w:hAnsi="Arial" w:cs="Arial"/>
          <w:sz w:val="20"/>
          <w:szCs w:val="20"/>
        </w:rPr>
      </w:pPr>
    </w:p>
    <w:p w:rsidR="00560D44" w:rsidRPr="003621AB" w:rsidRDefault="00560D44" w:rsidP="00E469C9">
      <w:pPr>
        <w:pStyle w:val="NormalWeb"/>
        <w:spacing w:line="360" w:lineRule="auto"/>
        <w:ind w:left="720" w:hanging="720"/>
        <w:rPr>
          <w:rFonts w:ascii="Arial" w:hAnsi="Arial" w:cs="Arial"/>
          <w:sz w:val="20"/>
          <w:szCs w:val="20"/>
        </w:rPr>
      </w:pPr>
    </w:p>
    <w:p w:rsidR="00DE1102" w:rsidRPr="00943443" w:rsidRDefault="00DE1102" w:rsidP="00DE1102">
      <w:pPr>
        <w:pStyle w:val="NormalWeb"/>
        <w:ind w:left="720" w:hanging="720"/>
        <w:rPr>
          <w:rFonts w:ascii="Arial" w:hAnsi="Arial" w:cs="Arial"/>
          <w:sz w:val="20"/>
          <w:szCs w:val="20"/>
          <w:lang w:val="es-US"/>
        </w:rPr>
      </w:pPr>
    </w:p>
    <w:p w:rsidR="00DE1102" w:rsidRPr="003621AB" w:rsidRDefault="00DE1102" w:rsidP="00BA1C68">
      <w:pPr>
        <w:pStyle w:val="NormalWeb"/>
        <w:spacing w:line="360" w:lineRule="auto"/>
        <w:rPr>
          <w:rFonts w:ascii="Arial" w:hAnsi="Arial" w:cs="Arial"/>
          <w:sz w:val="20"/>
          <w:szCs w:val="20"/>
        </w:rPr>
      </w:pPr>
    </w:p>
    <w:p w:rsidR="00DE1102" w:rsidRPr="00943443" w:rsidRDefault="00DE1102" w:rsidP="00DE1102">
      <w:pPr>
        <w:pStyle w:val="NormalWeb"/>
        <w:spacing w:line="360" w:lineRule="auto"/>
        <w:ind w:left="720" w:hanging="720"/>
        <w:rPr>
          <w:rFonts w:ascii="Arial" w:hAnsi="Arial" w:cs="Arial"/>
          <w:sz w:val="20"/>
          <w:szCs w:val="20"/>
          <w:lang w:val="es-US"/>
        </w:rPr>
      </w:pPr>
    </w:p>
    <w:sectPr w:rsidR="00DE1102" w:rsidRPr="00943443" w:rsidSect="00063A4F">
      <w:headerReference w:type="even" r:id="rId28"/>
      <w:headerReference w:type="default" r:id="rId29"/>
      <w:footerReference w:type="default" r:id="rId30"/>
      <w:headerReference w:type="first" r:id="rId3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F43" w:rsidRDefault="00BA2F43" w:rsidP="00F75AC4">
      <w:r>
        <w:separator/>
      </w:r>
    </w:p>
  </w:endnote>
  <w:endnote w:type="continuationSeparator" w:id="0">
    <w:p w:rsidR="00BA2F43" w:rsidRDefault="00BA2F43" w:rsidP="00F7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72148"/>
      <w:docPartObj>
        <w:docPartGallery w:val="Page Numbers (Bottom of Page)"/>
        <w:docPartUnique/>
      </w:docPartObj>
    </w:sdtPr>
    <w:sdtEndPr/>
    <w:sdtContent>
      <w:p w:rsidR="00047EC4" w:rsidRDefault="0022209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047EC4" w:rsidRDefault="0004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F43" w:rsidRDefault="00BA2F43" w:rsidP="00F75AC4">
      <w:r>
        <w:separator/>
      </w:r>
    </w:p>
  </w:footnote>
  <w:footnote w:type="continuationSeparator" w:id="0">
    <w:p w:rsidR="00BA2F43" w:rsidRDefault="00BA2F43" w:rsidP="00F7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C4" w:rsidRDefault="00BA2F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C4" w:rsidRDefault="00BA2F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C4" w:rsidRDefault="00BA2F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8F9"/>
    <w:multiLevelType w:val="hybridMultilevel"/>
    <w:tmpl w:val="C5ACE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999"/>
    <w:multiLevelType w:val="multilevel"/>
    <w:tmpl w:val="8B4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37508"/>
    <w:multiLevelType w:val="hybridMultilevel"/>
    <w:tmpl w:val="8B6A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A775F"/>
    <w:multiLevelType w:val="multilevel"/>
    <w:tmpl w:val="71C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F5F56"/>
    <w:multiLevelType w:val="hybridMultilevel"/>
    <w:tmpl w:val="B72C90B0"/>
    <w:lvl w:ilvl="0" w:tplc="96BC5064">
      <w:start w:val="1"/>
      <w:numFmt w:val="decimal"/>
      <w:lvlText w:val="%1-"/>
      <w:lvlJc w:val="left"/>
      <w:pPr>
        <w:ind w:left="1080" w:hanging="360"/>
      </w:pPr>
      <w:rPr>
        <w:rFonts w:eastAsia="Times New Roman" w:hint="default"/>
      </w:rPr>
    </w:lvl>
    <w:lvl w:ilvl="1" w:tplc="2800F82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F80F89"/>
    <w:multiLevelType w:val="multilevel"/>
    <w:tmpl w:val="7520D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35AF"/>
    <w:multiLevelType w:val="hybridMultilevel"/>
    <w:tmpl w:val="D162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D42D1"/>
    <w:multiLevelType w:val="multilevel"/>
    <w:tmpl w:val="252E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C674E"/>
    <w:multiLevelType w:val="multilevel"/>
    <w:tmpl w:val="C0A61100"/>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D1317"/>
    <w:multiLevelType w:val="multilevel"/>
    <w:tmpl w:val="118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7394B"/>
    <w:multiLevelType w:val="hybridMultilevel"/>
    <w:tmpl w:val="FA5AD418"/>
    <w:lvl w:ilvl="0" w:tplc="0316B142">
      <w:start w:val="3"/>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86432"/>
    <w:multiLevelType w:val="hybridMultilevel"/>
    <w:tmpl w:val="C5F4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86FA0"/>
    <w:multiLevelType w:val="multilevel"/>
    <w:tmpl w:val="3B2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A4EB1"/>
    <w:multiLevelType w:val="hybridMultilevel"/>
    <w:tmpl w:val="3E080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50977"/>
    <w:multiLevelType w:val="multilevel"/>
    <w:tmpl w:val="A9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E6915"/>
    <w:multiLevelType w:val="multilevel"/>
    <w:tmpl w:val="33C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71357"/>
    <w:multiLevelType w:val="hybridMultilevel"/>
    <w:tmpl w:val="35B0E8C2"/>
    <w:lvl w:ilvl="0" w:tplc="5EE4B8C6">
      <w:start w:val="1"/>
      <w:numFmt w:val="lowerLetter"/>
      <w:lvlText w:val="%1."/>
      <w:lvlJc w:val="left"/>
      <w:pPr>
        <w:ind w:left="900" w:hanging="540"/>
      </w:pPr>
      <w:rPr>
        <w:rFonts w:ascii="Arial" w:hAnsi="Arial" w:cs="Arial"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2355E"/>
    <w:multiLevelType w:val="multilevel"/>
    <w:tmpl w:val="106EC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8A622BD"/>
    <w:multiLevelType w:val="multilevel"/>
    <w:tmpl w:val="D9DA0E3E"/>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97E3D"/>
    <w:multiLevelType w:val="multilevel"/>
    <w:tmpl w:val="8AC8B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C4964"/>
    <w:multiLevelType w:val="multilevel"/>
    <w:tmpl w:val="8A8ED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0AA164C"/>
    <w:multiLevelType w:val="hybridMultilevel"/>
    <w:tmpl w:val="7094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E5B72"/>
    <w:multiLevelType w:val="multilevel"/>
    <w:tmpl w:val="CCEC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E666F6"/>
    <w:multiLevelType w:val="multilevel"/>
    <w:tmpl w:val="6AACC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4D6641"/>
    <w:multiLevelType w:val="multilevel"/>
    <w:tmpl w:val="4BC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01E02"/>
    <w:multiLevelType w:val="multilevel"/>
    <w:tmpl w:val="EB7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36EA6"/>
    <w:multiLevelType w:val="multilevel"/>
    <w:tmpl w:val="5E9C1A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C971A91"/>
    <w:multiLevelType w:val="multilevel"/>
    <w:tmpl w:val="A500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150356"/>
    <w:multiLevelType w:val="hybridMultilevel"/>
    <w:tmpl w:val="CFEE77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C31E0F"/>
    <w:multiLevelType w:val="multilevel"/>
    <w:tmpl w:val="C99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D610E5"/>
    <w:multiLevelType w:val="multilevel"/>
    <w:tmpl w:val="A764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7D0A5C"/>
    <w:multiLevelType w:val="multilevel"/>
    <w:tmpl w:val="4A42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AD03D7"/>
    <w:multiLevelType w:val="multilevel"/>
    <w:tmpl w:val="00B69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4077770"/>
    <w:multiLevelType w:val="multilevel"/>
    <w:tmpl w:val="AA5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4721C1"/>
    <w:multiLevelType w:val="hybridMultilevel"/>
    <w:tmpl w:val="3F3E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9B6D19"/>
    <w:multiLevelType w:val="multilevel"/>
    <w:tmpl w:val="2D4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82F81"/>
    <w:multiLevelType w:val="multilevel"/>
    <w:tmpl w:val="56D20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76508"/>
    <w:multiLevelType w:val="multilevel"/>
    <w:tmpl w:val="7300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B1CA7"/>
    <w:multiLevelType w:val="multilevel"/>
    <w:tmpl w:val="F67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36B15"/>
    <w:multiLevelType w:val="hybridMultilevel"/>
    <w:tmpl w:val="987EA4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D16C99"/>
    <w:multiLevelType w:val="multilevel"/>
    <w:tmpl w:val="DBD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529C6"/>
    <w:multiLevelType w:val="multilevel"/>
    <w:tmpl w:val="71C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E040B"/>
    <w:multiLevelType w:val="hybridMultilevel"/>
    <w:tmpl w:val="7FD8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4783D"/>
    <w:multiLevelType w:val="hybridMultilevel"/>
    <w:tmpl w:val="06CC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9133D"/>
    <w:multiLevelType w:val="multilevel"/>
    <w:tmpl w:val="999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B1DED"/>
    <w:multiLevelType w:val="hybridMultilevel"/>
    <w:tmpl w:val="A496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06498"/>
    <w:multiLevelType w:val="hybridMultilevel"/>
    <w:tmpl w:val="3B9895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2"/>
  </w:num>
  <w:num w:numId="3">
    <w:abstractNumId w:val="26"/>
  </w:num>
  <w:num w:numId="4">
    <w:abstractNumId w:val="4"/>
  </w:num>
  <w:num w:numId="5">
    <w:abstractNumId w:val="10"/>
  </w:num>
  <w:num w:numId="6">
    <w:abstractNumId w:val="43"/>
  </w:num>
  <w:num w:numId="7">
    <w:abstractNumId w:val="38"/>
  </w:num>
  <w:num w:numId="8">
    <w:abstractNumId w:val="44"/>
  </w:num>
  <w:num w:numId="9">
    <w:abstractNumId w:val="27"/>
  </w:num>
  <w:num w:numId="10">
    <w:abstractNumId w:val="12"/>
  </w:num>
  <w:num w:numId="11">
    <w:abstractNumId w:val="23"/>
  </w:num>
  <w:num w:numId="12">
    <w:abstractNumId w:val="24"/>
  </w:num>
  <w:num w:numId="13">
    <w:abstractNumId w:val="36"/>
  </w:num>
  <w:num w:numId="14">
    <w:abstractNumId w:val="37"/>
  </w:num>
  <w:num w:numId="15">
    <w:abstractNumId w:val="5"/>
  </w:num>
  <w:num w:numId="16">
    <w:abstractNumId w:val="19"/>
  </w:num>
  <w:num w:numId="17">
    <w:abstractNumId w:val="3"/>
  </w:num>
  <w:num w:numId="18">
    <w:abstractNumId w:val="7"/>
  </w:num>
  <w:num w:numId="19">
    <w:abstractNumId w:val="41"/>
  </w:num>
  <w:num w:numId="20">
    <w:abstractNumId w:val="22"/>
  </w:num>
  <w:num w:numId="21">
    <w:abstractNumId w:val="1"/>
  </w:num>
  <w:num w:numId="22">
    <w:abstractNumId w:val="25"/>
  </w:num>
  <w:num w:numId="23">
    <w:abstractNumId w:val="15"/>
  </w:num>
  <w:num w:numId="24">
    <w:abstractNumId w:val="29"/>
  </w:num>
  <w:num w:numId="25">
    <w:abstractNumId w:val="30"/>
  </w:num>
  <w:num w:numId="26">
    <w:abstractNumId w:val="31"/>
  </w:num>
  <w:num w:numId="27">
    <w:abstractNumId w:val="17"/>
  </w:num>
  <w:num w:numId="28">
    <w:abstractNumId w:val="11"/>
  </w:num>
  <w:num w:numId="29">
    <w:abstractNumId w:val="21"/>
  </w:num>
  <w:num w:numId="30">
    <w:abstractNumId w:val="16"/>
  </w:num>
  <w:num w:numId="31">
    <w:abstractNumId w:val="45"/>
  </w:num>
  <w:num w:numId="32">
    <w:abstractNumId w:val="9"/>
  </w:num>
  <w:num w:numId="33">
    <w:abstractNumId w:val="33"/>
  </w:num>
  <w:num w:numId="34">
    <w:abstractNumId w:val="40"/>
  </w:num>
  <w:num w:numId="35">
    <w:abstractNumId w:val="8"/>
  </w:num>
  <w:num w:numId="36">
    <w:abstractNumId w:val="14"/>
  </w:num>
  <w:num w:numId="37">
    <w:abstractNumId w:val="18"/>
  </w:num>
  <w:num w:numId="38">
    <w:abstractNumId w:val="35"/>
  </w:num>
  <w:num w:numId="39">
    <w:abstractNumId w:val="46"/>
  </w:num>
  <w:num w:numId="40">
    <w:abstractNumId w:val="42"/>
  </w:num>
  <w:num w:numId="41">
    <w:abstractNumId w:val="6"/>
  </w:num>
  <w:num w:numId="42">
    <w:abstractNumId w:val="34"/>
  </w:num>
  <w:num w:numId="43">
    <w:abstractNumId w:val="2"/>
  </w:num>
  <w:num w:numId="44">
    <w:abstractNumId w:val="13"/>
  </w:num>
  <w:num w:numId="45">
    <w:abstractNumId w:val="28"/>
  </w:num>
  <w:num w:numId="46">
    <w:abstractNumId w:val="3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wNDUwMzAyNjEyNTRX0lEKTi0uzszPAykwrAUAcS1WrCwAAAA="/>
  </w:docVars>
  <w:rsids>
    <w:rsidRoot w:val="002D7CC3"/>
    <w:rsid w:val="00001B3D"/>
    <w:rsid w:val="00015EEF"/>
    <w:rsid w:val="00021A36"/>
    <w:rsid w:val="000228BC"/>
    <w:rsid w:val="00024116"/>
    <w:rsid w:val="00030FDA"/>
    <w:rsid w:val="00031BF7"/>
    <w:rsid w:val="00034AE4"/>
    <w:rsid w:val="000437F0"/>
    <w:rsid w:val="00047EC4"/>
    <w:rsid w:val="0005421A"/>
    <w:rsid w:val="0005427C"/>
    <w:rsid w:val="000553E1"/>
    <w:rsid w:val="00063A4F"/>
    <w:rsid w:val="00072303"/>
    <w:rsid w:val="00072DCE"/>
    <w:rsid w:val="00075CBB"/>
    <w:rsid w:val="00077D56"/>
    <w:rsid w:val="00084EF7"/>
    <w:rsid w:val="0009018A"/>
    <w:rsid w:val="0009620B"/>
    <w:rsid w:val="000A1C3D"/>
    <w:rsid w:val="000A300D"/>
    <w:rsid w:val="000A37F6"/>
    <w:rsid w:val="000A3A9A"/>
    <w:rsid w:val="000B232E"/>
    <w:rsid w:val="000D052D"/>
    <w:rsid w:val="000D34DF"/>
    <w:rsid w:val="000E2D20"/>
    <w:rsid w:val="000E49E6"/>
    <w:rsid w:val="000E7FB1"/>
    <w:rsid w:val="000F1C6F"/>
    <w:rsid w:val="000F360D"/>
    <w:rsid w:val="000F42B8"/>
    <w:rsid w:val="001033D9"/>
    <w:rsid w:val="001138C5"/>
    <w:rsid w:val="00117E5E"/>
    <w:rsid w:val="00121B1F"/>
    <w:rsid w:val="00130E12"/>
    <w:rsid w:val="0014278A"/>
    <w:rsid w:val="00142A70"/>
    <w:rsid w:val="00143AB5"/>
    <w:rsid w:val="00152737"/>
    <w:rsid w:val="00153806"/>
    <w:rsid w:val="00154160"/>
    <w:rsid w:val="00155116"/>
    <w:rsid w:val="00157B17"/>
    <w:rsid w:val="00160D93"/>
    <w:rsid w:val="00160E7F"/>
    <w:rsid w:val="00164F35"/>
    <w:rsid w:val="00164F6E"/>
    <w:rsid w:val="0017078B"/>
    <w:rsid w:val="00172B8A"/>
    <w:rsid w:val="00173EC7"/>
    <w:rsid w:val="0018233A"/>
    <w:rsid w:val="00186F9A"/>
    <w:rsid w:val="00187E00"/>
    <w:rsid w:val="00192D04"/>
    <w:rsid w:val="00194995"/>
    <w:rsid w:val="001971CB"/>
    <w:rsid w:val="001A290F"/>
    <w:rsid w:val="001B66B1"/>
    <w:rsid w:val="001C1634"/>
    <w:rsid w:val="001C202D"/>
    <w:rsid w:val="001C579B"/>
    <w:rsid w:val="001D19D0"/>
    <w:rsid w:val="001D2E01"/>
    <w:rsid w:val="001D35E9"/>
    <w:rsid w:val="001D36D7"/>
    <w:rsid w:val="001D5CA1"/>
    <w:rsid w:val="001D7E3C"/>
    <w:rsid w:val="001E0BFF"/>
    <w:rsid w:val="001E2601"/>
    <w:rsid w:val="001F2E77"/>
    <w:rsid w:val="001F749D"/>
    <w:rsid w:val="00207934"/>
    <w:rsid w:val="002079ED"/>
    <w:rsid w:val="00210368"/>
    <w:rsid w:val="00214BEE"/>
    <w:rsid w:val="00215B6D"/>
    <w:rsid w:val="002166E5"/>
    <w:rsid w:val="002171CA"/>
    <w:rsid w:val="00220312"/>
    <w:rsid w:val="00222091"/>
    <w:rsid w:val="002317D5"/>
    <w:rsid w:val="00234850"/>
    <w:rsid w:val="00241AA6"/>
    <w:rsid w:val="00246206"/>
    <w:rsid w:val="00255FD0"/>
    <w:rsid w:val="002608E7"/>
    <w:rsid w:val="002704D8"/>
    <w:rsid w:val="00272741"/>
    <w:rsid w:val="00281768"/>
    <w:rsid w:val="00282210"/>
    <w:rsid w:val="00282CEE"/>
    <w:rsid w:val="0028763A"/>
    <w:rsid w:val="0029524C"/>
    <w:rsid w:val="00295A99"/>
    <w:rsid w:val="002A59FA"/>
    <w:rsid w:val="002B05F6"/>
    <w:rsid w:val="002B1DEA"/>
    <w:rsid w:val="002C4D24"/>
    <w:rsid w:val="002D2CEB"/>
    <w:rsid w:val="002D518E"/>
    <w:rsid w:val="002D6208"/>
    <w:rsid w:val="002D7CC3"/>
    <w:rsid w:val="002E1EB8"/>
    <w:rsid w:val="002F15B8"/>
    <w:rsid w:val="002F334D"/>
    <w:rsid w:val="002F74F0"/>
    <w:rsid w:val="002F7711"/>
    <w:rsid w:val="00302633"/>
    <w:rsid w:val="00303A1F"/>
    <w:rsid w:val="00304D8C"/>
    <w:rsid w:val="00311237"/>
    <w:rsid w:val="00313EBA"/>
    <w:rsid w:val="00314229"/>
    <w:rsid w:val="00316BF1"/>
    <w:rsid w:val="00322529"/>
    <w:rsid w:val="0032630F"/>
    <w:rsid w:val="00340E4A"/>
    <w:rsid w:val="00343764"/>
    <w:rsid w:val="00343813"/>
    <w:rsid w:val="003462B3"/>
    <w:rsid w:val="00346E03"/>
    <w:rsid w:val="00351372"/>
    <w:rsid w:val="00351F18"/>
    <w:rsid w:val="0035374B"/>
    <w:rsid w:val="00353F0C"/>
    <w:rsid w:val="00362074"/>
    <w:rsid w:val="0036361C"/>
    <w:rsid w:val="00365876"/>
    <w:rsid w:val="00365F6E"/>
    <w:rsid w:val="00366179"/>
    <w:rsid w:val="00366588"/>
    <w:rsid w:val="003716B8"/>
    <w:rsid w:val="00374719"/>
    <w:rsid w:val="00381545"/>
    <w:rsid w:val="00387751"/>
    <w:rsid w:val="0039005F"/>
    <w:rsid w:val="00390F34"/>
    <w:rsid w:val="00391BB8"/>
    <w:rsid w:val="003A2A62"/>
    <w:rsid w:val="003A2C10"/>
    <w:rsid w:val="003A3DEB"/>
    <w:rsid w:val="003A417E"/>
    <w:rsid w:val="003B2942"/>
    <w:rsid w:val="003B2B2E"/>
    <w:rsid w:val="003C0D70"/>
    <w:rsid w:val="003C1750"/>
    <w:rsid w:val="003C24E9"/>
    <w:rsid w:val="003C2708"/>
    <w:rsid w:val="003C3A72"/>
    <w:rsid w:val="003C49DF"/>
    <w:rsid w:val="003C6787"/>
    <w:rsid w:val="003C6BFF"/>
    <w:rsid w:val="003D3917"/>
    <w:rsid w:val="003D3FCE"/>
    <w:rsid w:val="003D4AC5"/>
    <w:rsid w:val="003D6536"/>
    <w:rsid w:val="003D6606"/>
    <w:rsid w:val="003D7BD8"/>
    <w:rsid w:val="003E195F"/>
    <w:rsid w:val="003E3A93"/>
    <w:rsid w:val="003E3D49"/>
    <w:rsid w:val="003E4B8A"/>
    <w:rsid w:val="003E55A6"/>
    <w:rsid w:val="003E7CDE"/>
    <w:rsid w:val="003F0D31"/>
    <w:rsid w:val="003F29D4"/>
    <w:rsid w:val="003F3BCF"/>
    <w:rsid w:val="003F5DB7"/>
    <w:rsid w:val="003F7947"/>
    <w:rsid w:val="004001DB"/>
    <w:rsid w:val="004040F0"/>
    <w:rsid w:val="00404458"/>
    <w:rsid w:val="004113D0"/>
    <w:rsid w:val="00415C35"/>
    <w:rsid w:val="00421BEA"/>
    <w:rsid w:val="004232E7"/>
    <w:rsid w:val="004258DC"/>
    <w:rsid w:val="00431717"/>
    <w:rsid w:val="00432298"/>
    <w:rsid w:val="00445779"/>
    <w:rsid w:val="00446C8B"/>
    <w:rsid w:val="004477C6"/>
    <w:rsid w:val="004532D1"/>
    <w:rsid w:val="00463349"/>
    <w:rsid w:val="00463879"/>
    <w:rsid w:val="00463922"/>
    <w:rsid w:val="00463D69"/>
    <w:rsid w:val="00470012"/>
    <w:rsid w:val="00471A52"/>
    <w:rsid w:val="00480A3B"/>
    <w:rsid w:val="00481DF1"/>
    <w:rsid w:val="00481F08"/>
    <w:rsid w:val="0048488E"/>
    <w:rsid w:val="00484942"/>
    <w:rsid w:val="004859C0"/>
    <w:rsid w:val="00486B84"/>
    <w:rsid w:val="004872FC"/>
    <w:rsid w:val="00487EB5"/>
    <w:rsid w:val="004A1877"/>
    <w:rsid w:val="004A41A4"/>
    <w:rsid w:val="004B0AA1"/>
    <w:rsid w:val="004B2707"/>
    <w:rsid w:val="004B43E9"/>
    <w:rsid w:val="004B75C7"/>
    <w:rsid w:val="004C1952"/>
    <w:rsid w:val="004D648F"/>
    <w:rsid w:val="004D7BC8"/>
    <w:rsid w:val="004E149E"/>
    <w:rsid w:val="004F0BCB"/>
    <w:rsid w:val="004F63B9"/>
    <w:rsid w:val="00500A0A"/>
    <w:rsid w:val="00501B5C"/>
    <w:rsid w:val="00507C9A"/>
    <w:rsid w:val="005138BC"/>
    <w:rsid w:val="00513A60"/>
    <w:rsid w:val="0051557D"/>
    <w:rsid w:val="00521F4B"/>
    <w:rsid w:val="00524FAC"/>
    <w:rsid w:val="00525EC2"/>
    <w:rsid w:val="005321C2"/>
    <w:rsid w:val="00536BFF"/>
    <w:rsid w:val="005411F9"/>
    <w:rsid w:val="005422B7"/>
    <w:rsid w:val="005456C3"/>
    <w:rsid w:val="00553648"/>
    <w:rsid w:val="00560D44"/>
    <w:rsid w:val="00560E16"/>
    <w:rsid w:val="00561276"/>
    <w:rsid w:val="00561661"/>
    <w:rsid w:val="00562DCA"/>
    <w:rsid w:val="00563828"/>
    <w:rsid w:val="005649F8"/>
    <w:rsid w:val="00573944"/>
    <w:rsid w:val="00580244"/>
    <w:rsid w:val="0058421D"/>
    <w:rsid w:val="005864CA"/>
    <w:rsid w:val="00590E65"/>
    <w:rsid w:val="0059104A"/>
    <w:rsid w:val="00592510"/>
    <w:rsid w:val="0059623B"/>
    <w:rsid w:val="005A51E4"/>
    <w:rsid w:val="005A5225"/>
    <w:rsid w:val="005B72DA"/>
    <w:rsid w:val="005C0E73"/>
    <w:rsid w:val="005C42FA"/>
    <w:rsid w:val="005C6050"/>
    <w:rsid w:val="005D0072"/>
    <w:rsid w:val="005D110B"/>
    <w:rsid w:val="005D4B60"/>
    <w:rsid w:val="005D66C7"/>
    <w:rsid w:val="005E08B4"/>
    <w:rsid w:val="005E08EA"/>
    <w:rsid w:val="005E0CAE"/>
    <w:rsid w:val="005E1BB0"/>
    <w:rsid w:val="005E632D"/>
    <w:rsid w:val="005E66AE"/>
    <w:rsid w:val="005F0AB5"/>
    <w:rsid w:val="005F144F"/>
    <w:rsid w:val="00603AB6"/>
    <w:rsid w:val="00611E74"/>
    <w:rsid w:val="00612EBC"/>
    <w:rsid w:val="00615E4F"/>
    <w:rsid w:val="0061603B"/>
    <w:rsid w:val="00621CFF"/>
    <w:rsid w:val="00624CBF"/>
    <w:rsid w:val="006256DD"/>
    <w:rsid w:val="006265C4"/>
    <w:rsid w:val="006309AA"/>
    <w:rsid w:val="00637C8A"/>
    <w:rsid w:val="006411CF"/>
    <w:rsid w:val="006434A1"/>
    <w:rsid w:val="0065475A"/>
    <w:rsid w:val="00654DB5"/>
    <w:rsid w:val="006554E7"/>
    <w:rsid w:val="00657381"/>
    <w:rsid w:val="00660D03"/>
    <w:rsid w:val="00662AE4"/>
    <w:rsid w:val="00663AFA"/>
    <w:rsid w:val="00663F36"/>
    <w:rsid w:val="00666ED5"/>
    <w:rsid w:val="00673D9B"/>
    <w:rsid w:val="00687A20"/>
    <w:rsid w:val="006957B0"/>
    <w:rsid w:val="006B5B27"/>
    <w:rsid w:val="006C1C3D"/>
    <w:rsid w:val="006C3A43"/>
    <w:rsid w:val="006D1354"/>
    <w:rsid w:val="006D1716"/>
    <w:rsid w:val="006D46C6"/>
    <w:rsid w:val="006D6B43"/>
    <w:rsid w:val="006E4579"/>
    <w:rsid w:val="006F27B6"/>
    <w:rsid w:val="006F43E6"/>
    <w:rsid w:val="006F67CA"/>
    <w:rsid w:val="006F7616"/>
    <w:rsid w:val="00700CB6"/>
    <w:rsid w:val="00701347"/>
    <w:rsid w:val="00704680"/>
    <w:rsid w:val="007102F8"/>
    <w:rsid w:val="00711CA5"/>
    <w:rsid w:val="00711F43"/>
    <w:rsid w:val="007213A3"/>
    <w:rsid w:val="00722A73"/>
    <w:rsid w:val="00722E4C"/>
    <w:rsid w:val="007314BA"/>
    <w:rsid w:val="00731744"/>
    <w:rsid w:val="00731E8D"/>
    <w:rsid w:val="0073250C"/>
    <w:rsid w:val="00733E44"/>
    <w:rsid w:val="00745122"/>
    <w:rsid w:val="007534C4"/>
    <w:rsid w:val="00761F7F"/>
    <w:rsid w:val="0076351F"/>
    <w:rsid w:val="007650A3"/>
    <w:rsid w:val="0076773E"/>
    <w:rsid w:val="00775021"/>
    <w:rsid w:val="00775C81"/>
    <w:rsid w:val="00784DB8"/>
    <w:rsid w:val="007857D0"/>
    <w:rsid w:val="007913F8"/>
    <w:rsid w:val="007977C1"/>
    <w:rsid w:val="007A06C4"/>
    <w:rsid w:val="007A264D"/>
    <w:rsid w:val="007A2E10"/>
    <w:rsid w:val="007A3922"/>
    <w:rsid w:val="007A4259"/>
    <w:rsid w:val="007A7B9C"/>
    <w:rsid w:val="007B167D"/>
    <w:rsid w:val="007B254F"/>
    <w:rsid w:val="007B30D6"/>
    <w:rsid w:val="007B3BA8"/>
    <w:rsid w:val="007B5D35"/>
    <w:rsid w:val="007C1695"/>
    <w:rsid w:val="007C312C"/>
    <w:rsid w:val="007C47BF"/>
    <w:rsid w:val="007D19BC"/>
    <w:rsid w:val="007D26C9"/>
    <w:rsid w:val="007D2F0D"/>
    <w:rsid w:val="007D2F6B"/>
    <w:rsid w:val="007D6D6B"/>
    <w:rsid w:val="007E4CAA"/>
    <w:rsid w:val="007F183E"/>
    <w:rsid w:val="007F3048"/>
    <w:rsid w:val="007F3AF5"/>
    <w:rsid w:val="007F4C49"/>
    <w:rsid w:val="007F6B01"/>
    <w:rsid w:val="007F7BB4"/>
    <w:rsid w:val="007F7F69"/>
    <w:rsid w:val="00801BE0"/>
    <w:rsid w:val="00802231"/>
    <w:rsid w:val="008063F5"/>
    <w:rsid w:val="00817476"/>
    <w:rsid w:val="00817B00"/>
    <w:rsid w:val="00822F4F"/>
    <w:rsid w:val="0083123C"/>
    <w:rsid w:val="00837E91"/>
    <w:rsid w:val="0084219A"/>
    <w:rsid w:val="008522E4"/>
    <w:rsid w:val="00855960"/>
    <w:rsid w:val="00856337"/>
    <w:rsid w:val="0086355F"/>
    <w:rsid w:val="0086456E"/>
    <w:rsid w:val="00877461"/>
    <w:rsid w:val="00880595"/>
    <w:rsid w:val="00880DE2"/>
    <w:rsid w:val="008811CD"/>
    <w:rsid w:val="008869BB"/>
    <w:rsid w:val="00887C5B"/>
    <w:rsid w:val="00891D1D"/>
    <w:rsid w:val="00891EB5"/>
    <w:rsid w:val="00893542"/>
    <w:rsid w:val="0089494E"/>
    <w:rsid w:val="00895953"/>
    <w:rsid w:val="008A502C"/>
    <w:rsid w:val="008A74E7"/>
    <w:rsid w:val="008B0877"/>
    <w:rsid w:val="008B1552"/>
    <w:rsid w:val="008B2FB5"/>
    <w:rsid w:val="008C2EDA"/>
    <w:rsid w:val="008C3840"/>
    <w:rsid w:val="008D73CD"/>
    <w:rsid w:val="008E1E12"/>
    <w:rsid w:val="00904C58"/>
    <w:rsid w:val="00905089"/>
    <w:rsid w:val="0090584D"/>
    <w:rsid w:val="00907988"/>
    <w:rsid w:val="00921D0A"/>
    <w:rsid w:val="00923F4F"/>
    <w:rsid w:val="00924CA8"/>
    <w:rsid w:val="009250F1"/>
    <w:rsid w:val="009275AA"/>
    <w:rsid w:val="00934DF4"/>
    <w:rsid w:val="00936894"/>
    <w:rsid w:val="00937518"/>
    <w:rsid w:val="00941AE7"/>
    <w:rsid w:val="00943443"/>
    <w:rsid w:val="009538A3"/>
    <w:rsid w:val="009562AC"/>
    <w:rsid w:val="009607B6"/>
    <w:rsid w:val="00963BDF"/>
    <w:rsid w:val="0096435D"/>
    <w:rsid w:val="00964F2E"/>
    <w:rsid w:val="00967D13"/>
    <w:rsid w:val="009765C2"/>
    <w:rsid w:val="009777BE"/>
    <w:rsid w:val="00980D1E"/>
    <w:rsid w:val="00981A74"/>
    <w:rsid w:val="00983500"/>
    <w:rsid w:val="00987EC2"/>
    <w:rsid w:val="00991BB4"/>
    <w:rsid w:val="00992D92"/>
    <w:rsid w:val="009A2B12"/>
    <w:rsid w:val="009A6015"/>
    <w:rsid w:val="009B52EB"/>
    <w:rsid w:val="009B6359"/>
    <w:rsid w:val="009C3999"/>
    <w:rsid w:val="009E0890"/>
    <w:rsid w:val="009F4362"/>
    <w:rsid w:val="00A06092"/>
    <w:rsid w:val="00A10178"/>
    <w:rsid w:val="00A22CFD"/>
    <w:rsid w:val="00A257EC"/>
    <w:rsid w:val="00A26CF7"/>
    <w:rsid w:val="00A30C65"/>
    <w:rsid w:val="00A313B4"/>
    <w:rsid w:val="00A3296B"/>
    <w:rsid w:val="00A378AE"/>
    <w:rsid w:val="00A40BC7"/>
    <w:rsid w:val="00A427CA"/>
    <w:rsid w:val="00A46CFF"/>
    <w:rsid w:val="00A6282B"/>
    <w:rsid w:val="00A64A4D"/>
    <w:rsid w:val="00A657D0"/>
    <w:rsid w:val="00A65BD1"/>
    <w:rsid w:val="00A67376"/>
    <w:rsid w:val="00A72C78"/>
    <w:rsid w:val="00A72FAB"/>
    <w:rsid w:val="00A7594E"/>
    <w:rsid w:val="00A7669D"/>
    <w:rsid w:val="00A80174"/>
    <w:rsid w:val="00A85F1B"/>
    <w:rsid w:val="00A90CE5"/>
    <w:rsid w:val="00A91A3F"/>
    <w:rsid w:val="00A9279C"/>
    <w:rsid w:val="00A934F8"/>
    <w:rsid w:val="00A95F30"/>
    <w:rsid w:val="00A963B0"/>
    <w:rsid w:val="00A96520"/>
    <w:rsid w:val="00AA34E9"/>
    <w:rsid w:val="00AA4345"/>
    <w:rsid w:val="00AB33C3"/>
    <w:rsid w:val="00AC1862"/>
    <w:rsid w:val="00AC3326"/>
    <w:rsid w:val="00AD23C3"/>
    <w:rsid w:val="00AE002A"/>
    <w:rsid w:val="00AE0A4F"/>
    <w:rsid w:val="00AE65B6"/>
    <w:rsid w:val="00AE6AB5"/>
    <w:rsid w:val="00AF31F5"/>
    <w:rsid w:val="00AF4C5D"/>
    <w:rsid w:val="00AF6110"/>
    <w:rsid w:val="00B0142D"/>
    <w:rsid w:val="00B0339E"/>
    <w:rsid w:val="00B0542A"/>
    <w:rsid w:val="00B061B1"/>
    <w:rsid w:val="00B104BD"/>
    <w:rsid w:val="00B11422"/>
    <w:rsid w:val="00B141EE"/>
    <w:rsid w:val="00B1531D"/>
    <w:rsid w:val="00B15436"/>
    <w:rsid w:val="00B169F9"/>
    <w:rsid w:val="00B16A72"/>
    <w:rsid w:val="00B17671"/>
    <w:rsid w:val="00B17B8B"/>
    <w:rsid w:val="00B22122"/>
    <w:rsid w:val="00B25DB9"/>
    <w:rsid w:val="00B26B70"/>
    <w:rsid w:val="00B31E0D"/>
    <w:rsid w:val="00B3409D"/>
    <w:rsid w:val="00B350CF"/>
    <w:rsid w:val="00B36D74"/>
    <w:rsid w:val="00B57C82"/>
    <w:rsid w:val="00B62240"/>
    <w:rsid w:val="00B656E2"/>
    <w:rsid w:val="00B65793"/>
    <w:rsid w:val="00B67BD2"/>
    <w:rsid w:val="00B71694"/>
    <w:rsid w:val="00B733C5"/>
    <w:rsid w:val="00B73E16"/>
    <w:rsid w:val="00B76A5F"/>
    <w:rsid w:val="00B85F45"/>
    <w:rsid w:val="00B87FAE"/>
    <w:rsid w:val="00B9079E"/>
    <w:rsid w:val="00B95AF0"/>
    <w:rsid w:val="00B973E5"/>
    <w:rsid w:val="00B9794D"/>
    <w:rsid w:val="00BA1C68"/>
    <w:rsid w:val="00BA2F43"/>
    <w:rsid w:val="00BB2ECB"/>
    <w:rsid w:val="00BB541D"/>
    <w:rsid w:val="00BB68CD"/>
    <w:rsid w:val="00BB7FFA"/>
    <w:rsid w:val="00BC1F1F"/>
    <w:rsid w:val="00BC3DC8"/>
    <w:rsid w:val="00BC6928"/>
    <w:rsid w:val="00BD6885"/>
    <w:rsid w:val="00BE3FC2"/>
    <w:rsid w:val="00BE5380"/>
    <w:rsid w:val="00BE7355"/>
    <w:rsid w:val="00C02B8A"/>
    <w:rsid w:val="00C046FC"/>
    <w:rsid w:val="00C04DB9"/>
    <w:rsid w:val="00C05EB1"/>
    <w:rsid w:val="00C06D93"/>
    <w:rsid w:val="00C20042"/>
    <w:rsid w:val="00C20446"/>
    <w:rsid w:val="00C23B56"/>
    <w:rsid w:val="00C24A68"/>
    <w:rsid w:val="00C25080"/>
    <w:rsid w:val="00C255B0"/>
    <w:rsid w:val="00C40C7A"/>
    <w:rsid w:val="00C460DB"/>
    <w:rsid w:val="00C5437A"/>
    <w:rsid w:val="00C612CF"/>
    <w:rsid w:val="00C62CC0"/>
    <w:rsid w:val="00C634B3"/>
    <w:rsid w:val="00C71B3E"/>
    <w:rsid w:val="00C733E2"/>
    <w:rsid w:val="00C75DDB"/>
    <w:rsid w:val="00C76DDA"/>
    <w:rsid w:val="00C8527A"/>
    <w:rsid w:val="00C86755"/>
    <w:rsid w:val="00C91C46"/>
    <w:rsid w:val="00C91FB0"/>
    <w:rsid w:val="00C93037"/>
    <w:rsid w:val="00C967F1"/>
    <w:rsid w:val="00CA025B"/>
    <w:rsid w:val="00CA1F62"/>
    <w:rsid w:val="00CA3EF5"/>
    <w:rsid w:val="00CA413A"/>
    <w:rsid w:val="00CA58D5"/>
    <w:rsid w:val="00CB0127"/>
    <w:rsid w:val="00CB0E36"/>
    <w:rsid w:val="00CB558E"/>
    <w:rsid w:val="00CC269C"/>
    <w:rsid w:val="00CC348B"/>
    <w:rsid w:val="00CC700B"/>
    <w:rsid w:val="00CD0F5C"/>
    <w:rsid w:val="00CD3260"/>
    <w:rsid w:val="00CD4743"/>
    <w:rsid w:val="00CE0B4F"/>
    <w:rsid w:val="00CF0B81"/>
    <w:rsid w:val="00CF1E43"/>
    <w:rsid w:val="00CF25E6"/>
    <w:rsid w:val="00CF6406"/>
    <w:rsid w:val="00D1036C"/>
    <w:rsid w:val="00D14820"/>
    <w:rsid w:val="00D14AE7"/>
    <w:rsid w:val="00D170E4"/>
    <w:rsid w:val="00D20DBD"/>
    <w:rsid w:val="00D25D91"/>
    <w:rsid w:val="00D3165F"/>
    <w:rsid w:val="00D341F1"/>
    <w:rsid w:val="00D42A8C"/>
    <w:rsid w:val="00D42B7F"/>
    <w:rsid w:val="00D44F84"/>
    <w:rsid w:val="00D45A8A"/>
    <w:rsid w:val="00D47955"/>
    <w:rsid w:val="00D5071A"/>
    <w:rsid w:val="00D53A3A"/>
    <w:rsid w:val="00D55D59"/>
    <w:rsid w:val="00D55E4F"/>
    <w:rsid w:val="00D6279D"/>
    <w:rsid w:val="00D63201"/>
    <w:rsid w:val="00D715E6"/>
    <w:rsid w:val="00D75EEE"/>
    <w:rsid w:val="00D813A6"/>
    <w:rsid w:val="00D86084"/>
    <w:rsid w:val="00D8639D"/>
    <w:rsid w:val="00D92AE7"/>
    <w:rsid w:val="00D93211"/>
    <w:rsid w:val="00D935D1"/>
    <w:rsid w:val="00D944F8"/>
    <w:rsid w:val="00D96675"/>
    <w:rsid w:val="00D970B0"/>
    <w:rsid w:val="00DA1E68"/>
    <w:rsid w:val="00DA2103"/>
    <w:rsid w:val="00DA462B"/>
    <w:rsid w:val="00DA59E6"/>
    <w:rsid w:val="00DA6104"/>
    <w:rsid w:val="00DA6167"/>
    <w:rsid w:val="00DB7C14"/>
    <w:rsid w:val="00DC0D78"/>
    <w:rsid w:val="00DC26E6"/>
    <w:rsid w:val="00DC5597"/>
    <w:rsid w:val="00DC6447"/>
    <w:rsid w:val="00DC6A09"/>
    <w:rsid w:val="00DD1887"/>
    <w:rsid w:val="00DD61C7"/>
    <w:rsid w:val="00DE1102"/>
    <w:rsid w:val="00DF0554"/>
    <w:rsid w:val="00DF1602"/>
    <w:rsid w:val="00E01FAD"/>
    <w:rsid w:val="00E03CFA"/>
    <w:rsid w:val="00E04AFB"/>
    <w:rsid w:val="00E05709"/>
    <w:rsid w:val="00E10DA4"/>
    <w:rsid w:val="00E115B3"/>
    <w:rsid w:val="00E147A7"/>
    <w:rsid w:val="00E17192"/>
    <w:rsid w:val="00E1796A"/>
    <w:rsid w:val="00E21046"/>
    <w:rsid w:val="00E210F4"/>
    <w:rsid w:val="00E22378"/>
    <w:rsid w:val="00E22532"/>
    <w:rsid w:val="00E30411"/>
    <w:rsid w:val="00E34057"/>
    <w:rsid w:val="00E461A8"/>
    <w:rsid w:val="00E469C9"/>
    <w:rsid w:val="00E55DF7"/>
    <w:rsid w:val="00E62CB0"/>
    <w:rsid w:val="00E6370D"/>
    <w:rsid w:val="00E65434"/>
    <w:rsid w:val="00E65D1A"/>
    <w:rsid w:val="00E66AAB"/>
    <w:rsid w:val="00E67E8C"/>
    <w:rsid w:val="00E70074"/>
    <w:rsid w:val="00E718C6"/>
    <w:rsid w:val="00E73921"/>
    <w:rsid w:val="00E750C5"/>
    <w:rsid w:val="00E7736B"/>
    <w:rsid w:val="00E779CE"/>
    <w:rsid w:val="00E83475"/>
    <w:rsid w:val="00E845DB"/>
    <w:rsid w:val="00E84978"/>
    <w:rsid w:val="00E86E67"/>
    <w:rsid w:val="00E86EF1"/>
    <w:rsid w:val="00E9052E"/>
    <w:rsid w:val="00E95668"/>
    <w:rsid w:val="00EA376D"/>
    <w:rsid w:val="00EB4564"/>
    <w:rsid w:val="00EB56C1"/>
    <w:rsid w:val="00EB6D5F"/>
    <w:rsid w:val="00EC5377"/>
    <w:rsid w:val="00EC58A4"/>
    <w:rsid w:val="00ED04BB"/>
    <w:rsid w:val="00EE0A24"/>
    <w:rsid w:val="00EE362A"/>
    <w:rsid w:val="00EE7807"/>
    <w:rsid w:val="00EF2817"/>
    <w:rsid w:val="00EF61EB"/>
    <w:rsid w:val="00F05AD7"/>
    <w:rsid w:val="00F07F48"/>
    <w:rsid w:val="00F1113B"/>
    <w:rsid w:val="00F14C62"/>
    <w:rsid w:val="00F15131"/>
    <w:rsid w:val="00F1687F"/>
    <w:rsid w:val="00F177A0"/>
    <w:rsid w:val="00F17F49"/>
    <w:rsid w:val="00F23138"/>
    <w:rsid w:val="00F2452A"/>
    <w:rsid w:val="00F246F2"/>
    <w:rsid w:val="00F2585A"/>
    <w:rsid w:val="00F338C5"/>
    <w:rsid w:val="00F36A00"/>
    <w:rsid w:val="00F44D74"/>
    <w:rsid w:val="00F456C0"/>
    <w:rsid w:val="00F502E5"/>
    <w:rsid w:val="00F51A10"/>
    <w:rsid w:val="00F525A5"/>
    <w:rsid w:val="00F5288A"/>
    <w:rsid w:val="00F53045"/>
    <w:rsid w:val="00F531B8"/>
    <w:rsid w:val="00F560D1"/>
    <w:rsid w:val="00F60409"/>
    <w:rsid w:val="00F60F9A"/>
    <w:rsid w:val="00F61B07"/>
    <w:rsid w:val="00F61F8D"/>
    <w:rsid w:val="00F64EA9"/>
    <w:rsid w:val="00F66C09"/>
    <w:rsid w:val="00F676D3"/>
    <w:rsid w:val="00F703BB"/>
    <w:rsid w:val="00F71035"/>
    <w:rsid w:val="00F75AC4"/>
    <w:rsid w:val="00F779E4"/>
    <w:rsid w:val="00F80912"/>
    <w:rsid w:val="00F81142"/>
    <w:rsid w:val="00F82486"/>
    <w:rsid w:val="00F84776"/>
    <w:rsid w:val="00F9198E"/>
    <w:rsid w:val="00F9552D"/>
    <w:rsid w:val="00F960CA"/>
    <w:rsid w:val="00FA085D"/>
    <w:rsid w:val="00FA1059"/>
    <w:rsid w:val="00FA2E42"/>
    <w:rsid w:val="00FC19CC"/>
    <w:rsid w:val="00FC3AEB"/>
    <w:rsid w:val="00FC4271"/>
    <w:rsid w:val="00FC49D7"/>
    <w:rsid w:val="00FC614E"/>
    <w:rsid w:val="00FD2622"/>
    <w:rsid w:val="00FD43D8"/>
    <w:rsid w:val="00FD7392"/>
    <w:rsid w:val="00FE5AFE"/>
    <w:rsid w:val="00FE73E2"/>
    <w:rsid w:val="00FF1D8A"/>
    <w:rsid w:val="00FF2165"/>
    <w:rsid w:val="00FF2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56CD1"/>
  <w15:docId w15:val="{032FA5BF-1A28-4795-8B9A-4D180EE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443"/>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nhideWhenUsed/>
    <w:qFormat/>
    <w:rsid w:val="000241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49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D7CC3"/>
    <w:pPr>
      <w:spacing w:line="280" w:lineRule="exact"/>
      <w:jc w:val="right"/>
    </w:pPr>
    <w:rPr>
      <w:b/>
      <w:sz w:val="24"/>
    </w:rPr>
  </w:style>
  <w:style w:type="paragraph" w:customStyle="1" w:styleId="Body">
    <w:name w:val="Body"/>
    <w:basedOn w:val="Normal"/>
    <w:rsid w:val="002D7CC3"/>
    <w:pPr>
      <w:spacing w:after="240"/>
      <w:jc w:val="both"/>
    </w:pPr>
  </w:style>
  <w:style w:type="paragraph" w:styleId="NormalWeb">
    <w:name w:val="Normal (Web)"/>
    <w:basedOn w:val="Normal"/>
    <w:uiPriority w:val="99"/>
    <w:unhideWhenUsed/>
    <w:rsid w:val="002D7CC3"/>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02411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24116"/>
    <w:rPr>
      <w:b/>
      <w:bCs/>
    </w:rPr>
  </w:style>
  <w:style w:type="character" w:customStyle="1" w:styleId="katex-mathml">
    <w:name w:val="katex-mathml"/>
    <w:basedOn w:val="DefaultParagraphFont"/>
    <w:rsid w:val="001C1634"/>
  </w:style>
  <w:style w:type="table" w:styleId="TableGrid">
    <w:name w:val="Table Grid"/>
    <w:basedOn w:val="TableNormal"/>
    <w:uiPriority w:val="39"/>
    <w:rsid w:val="001C16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1634"/>
    <w:pPr>
      <w:spacing w:after="160" w:line="259" w:lineRule="auto"/>
      <w:ind w:left="720"/>
      <w:contextualSpacing/>
    </w:pPr>
    <w:rPr>
      <w:rFonts w:ascii="Courier New" w:eastAsia="Courier New" w:hAnsi="Courier New" w:cs="Courier New"/>
      <w:color w:val="000000"/>
      <w:sz w:val="22"/>
      <w:szCs w:val="22"/>
    </w:rPr>
  </w:style>
  <w:style w:type="paragraph" w:customStyle="1" w:styleId="Level2">
    <w:name w:val="Level 2"/>
    <w:basedOn w:val="Heading2"/>
    <w:qFormat/>
    <w:rsid w:val="001C1634"/>
    <w:pPr>
      <w:spacing w:before="0" w:after="142" w:line="360" w:lineRule="auto"/>
      <w:ind w:left="720" w:hanging="10"/>
      <w:jc w:val="both"/>
    </w:pPr>
    <w:rPr>
      <w:rFonts w:ascii="Times New Roman" w:eastAsia="Courier New" w:hAnsi="Times New Roman" w:cs="Times New Roman"/>
      <w:bCs w:val="0"/>
      <w:noProof/>
      <w:color w:val="000000"/>
      <w:sz w:val="24"/>
      <w:szCs w:val="24"/>
    </w:rPr>
  </w:style>
  <w:style w:type="paragraph" w:styleId="BalloonText">
    <w:name w:val="Balloon Text"/>
    <w:basedOn w:val="Normal"/>
    <w:link w:val="BalloonTextChar"/>
    <w:uiPriority w:val="99"/>
    <w:semiHidden/>
    <w:unhideWhenUsed/>
    <w:rsid w:val="001C1634"/>
    <w:rPr>
      <w:rFonts w:ascii="Tahoma" w:hAnsi="Tahoma" w:cs="Tahoma"/>
      <w:sz w:val="16"/>
      <w:szCs w:val="16"/>
    </w:rPr>
  </w:style>
  <w:style w:type="character" w:customStyle="1" w:styleId="BalloonTextChar">
    <w:name w:val="Balloon Text Char"/>
    <w:basedOn w:val="DefaultParagraphFont"/>
    <w:link w:val="BalloonText"/>
    <w:uiPriority w:val="99"/>
    <w:semiHidden/>
    <w:rsid w:val="001C1634"/>
    <w:rPr>
      <w:rFonts w:ascii="Tahoma" w:eastAsia="Times New Roman" w:hAnsi="Tahoma" w:cs="Tahoma"/>
      <w:sz w:val="16"/>
      <w:szCs w:val="16"/>
    </w:rPr>
  </w:style>
  <w:style w:type="paragraph" w:customStyle="1" w:styleId="ReferHead">
    <w:name w:val="Refer Head"/>
    <w:basedOn w:val="Normal"/>
    <w:rsid w:val="001C1634"/>
    <w:pPr>
      <w:keepNext/>
      <w:spacing w:after="240"/>
    </w:pPr>
    <w:rPr>
      <w:b/>
      <w:caps/>
      <w:sz w:val="22"/>
    </w:rPr>
  </w:style>
  <w:style w:type="paragraph" w:styleId="NoSpacing">
    <w:name w:val="No Spacing"/>
    <w:uiPriority w:val="1"/>
    <w:qFormat/>
    <w:rsid w:val="00CA413A"/>
    <w:pPr>
      <w:spacing w:after="0" w:line="240" w:lineRule="auto"/>
    </w:pPr>
    <w:rPr>
      <w:rFonts w:ascii="Helvetica" w:eastAsia="Times New Roman" w:hAnsi="Helvetica" w:cs="Times New Roman"/>
      <w:sz w:val="20"/>
      <w:szCs w:val="20"/>
    </w:rPr>
  </w:style>
  <w:style w:type="character" w:styleId="Hyperlink">
    <w:name w:val="Hyperlink"/>
    <w:basedOn w:val="DefaultParagraphFont"/>
    <w:uiPriority w:val="99"/>
    <w:unhideWhenUsed/>
    <w:rsid w:val="00B17B8B"/>
    <w:rPr>
      <w:color w:val="0000FF"/>
      <w:u w:val="single"/>
    </w:rPr>
  </w:style>
  <w:style w:type="character" w:customStyle="1" w:styleId="ml-05">
    <w:name w:val="ml-0.5"/>
    <w:basedOn w:val="DefaultParagraphFont"/>
    <w:rsid w:val="00C05EB1"/>
  </w:style>
  <w:style w:type="character" w:styleId="Emphasis">
    <w:name w:val="Emphasis"/>
    <w:basedOn w:val="DefaultParagraphFont"/>
    <w:uiPriority w:val="20"/>
    <w:qFormat/>
    <w:rsid w:val="00FC614E"/>
    <w:rPr>
      <w:i/>
      <w:iCs/>
    </w:rPr>
  </w:style>
  <w:style w:type="character" w:customStyle="1" w:styleId="UnresolvedMention1">
    <w:name w:val="Unresolved Mention1"/>
    <w:basedOn w:val="DefaultParagraphFont"/>
    <w:uiPriority w:val="99"/>
    <w:semiHidden/>
    <w:unhideWhenUsed/>
    <w:rsid w:val="00AB33C3"/>
    <w:rPr>
      <w:color w:val="605E5C"/>
      <w:shd w:val="clear" w:color="auto" w:fill="E1DFDD"/>
    </w:rPr>
  </w:style>
  <w:style w:type="paragraph" w:styleId="Header">
    <w:name w:val="header"/>
    <w:basedOn w:val="Normal"/>
    <w:link w:val="HeaderChar"/>
    <w:uiPriority w:val="99"/>
    <w:unhideWhenUsed/>
    <w:rsid w:val="00F75AC4"/>
    <w:pPr>
      <w:tabs>
        <w:tab w:val="center" w:pos="4680"/>
        <w:tab w:val="right" w:pos="9360"/>
      </w:tabs>
    </w:pPr>
  </w:style>
  <w:style w:type="character" w:customStyle="1" w:styleId="HeaderChar">
    <w:name w:val="Header Char"/>
    <w:basedOn w:val="DefaultParagraphFont"/>
    <w:link w:val="Header"/>
    <w:uiPriority w:val="99"/>
    <w:rsid w:val="00F75AC4"/>
    <w:rPr>
      <w:rFonts w:ascii="Helvetica" w:eastAsia="Times New Roman" w:hAnsi="Helvetica" w:cs="Times New Roman"/>
      <w:sz w:val="20"/>
      <w:szCs w:val="20"/>
    </w:rPr>
  </w:style>
  <w:style w:type="paragraph" w:styleId="Footer">
    <w:name w:val="footer"/>
    <w:basedOn w:val="Normal"/>
    <w:link w:val="FooterChar"/>
    <w:uiPriority w:val="99"/>
    <w:unhideWhenUsed/>
    <w:rsid w:val="00F75AC4"/>
    <w:pPr>
      <w:tabs>
        <w:tab w:val="center" w:pos="4680"/>
        <w:tab w:val="right" w:pos="9360"/>
      </w:tabs>
    </w:pPr>
  </w:style>
  <w:style w:type="character" w:customStyle="1" w:styleId="FooterChar">
    <w:name w:val="Footer Char"/>
    <w:basedOn w:val="DefaultParagraphFont"/>
    <w:link w:val="Footer"/>
    <w:uiPriority w:val="99"/>
    <w:rsid w:val="00F75AC4"/>
    <w:rPr>
      <w:rFonts w:ascii="Helvetica" w:eastAsia="Times New Roman" w:hAnsi="Helvetica" w:cs="Times New Roman"/>
      <w:sz w:val="20"/>
      <w:szCs w:val="20"/>
    </w:rPr>
  </w:style>
  <w:style w:type="character" w:customStyle="1" w:styleId="mb-4">
    <w:name w:val="mb-4"/>
    <w:basedOn w:val="DefaultParagraphFont"/>
    <w:rsid w:val="0058421D"/>
  </w:style>
  <w:style w:type="character" w:customStyle="1" w:styleId="Heading3Char">
    <w:name w:val="Heading 3 Char"/>
    <w:basedOn w:val="DefaultParagraphFont"/>
    <w:link w:val="Heading3"/>
    <w:uiPriority w:val="9"/>
    <w:semiHidden/>
    <w:rsid w:val="00E84978"/>
    <w:rPr>
      <w:rFonts w:asciiTheme="majorHAnsi" w:eastAsiaTheme="majorEastAsia" w:hAnsiTheme="majorHAnsi" w:cstheme="majorBidi"/>
      <w:b/>
      <w:bCs/>
      <w:color w:val="4F81BD" w:themeColor="accent1"/>
      <w:sz w:val="20"/>
      <w:szCs w:val="20"/>
    </w:rPr>
  </w:style>
  <w:style w:type="paragraph" w:styleId="z-TopofForm">
    <w:name w:val="HTML Top of Form"/>
    <w:basedOn w:val="Normal"/>
    <w:next w:val="Normal"/>
    <w:link w:val="z-TopofFormChar"/>
    <w:hidden/>
    <w:uiPriority w:val="99"/>
    <w:semiHidden/>
    <w:unhideWhenUsed/>
    <w:rsid w:val="00E849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4978"/>
    <w:rPr>
      <w:rFonts w:ascii="Arial" w:eastAsia="Times New Roman" w:hAnsi="Arial" w:cs="Arial"/>
      <w:vanish/>
      <w:sz w:val="16"/>
      <w:szCs w:val="16"/>
    </w:rPr>
  </w:style>
  <w:style w:type="paragraph" w:customStyle="1" w:styleId="placeholder">
    <w:name w:val="placeholder"/>
    <w:basedOn w:val="Normal"/>
    <w:rsid w:val="00E84978"/>
    <w:pPr>
      <w:spacing w:before="100" w:beforeAutospacing="1" w:after="100" w:afterAutospacing="1"/>
    </w:pPr>
    <w:rPr>
      <w:rFonts w:ascii="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E849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4978"/>
    <w:rPr>
      <w:rFonts w:ascii="Arial" w:eastAsia="Times New Roman" w:hAnsi="Arial" w:cs="Arial"/>
      <w:vanish/>
      <w:sz w:val="16"/>
      <w:szCs w:val="16"/>
    </w:rPr>
  </w:style>
  <w:style w:type="character" w:customStyle="1" w:styleId="url">
    <w:name w:val="url"/>
    <w:basedOn w:val="DefaultParagraphFont"/>
    <w:rsid w:val="00313EBA"/>
  </w:style>
  <w:style w:type="paragraph" w:styleId="FootnoteText">
    <w:name w:val="footnote text"/>
    <w:basedOn w:val="Normal"/>
    <w:link w:val="FootnoteTextChar"/>
    <w:uiPriority w:val="99"/>
    <w:semiHidden/>
    <w:unhideWhenUsed/>
    <w:rsid w:val="009250F1"/>
  </w:style>
  <w:style w:type="character" w:customStyle="1" w:styleId="FootnoteTextChar">
    <w:name w:val="Footnote Text Char"/>
    <w:basedOn w:val="DefaultParagraphFont"/>
    <w:link w:val="FootnoteText"/>
    <w:uiPriority w:val="99"/>
    <w:semiHidden/>
    <w:rsid w:val="009250F1"/>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9250F1"/>
    <w:rPr>
      <w:vertAlign w:val="superscript"/>
    </w:rPr>
  </w:style>
  <w:style w:type="paragraph" w:customStyle="1" w:styleId="DefAcrHead">
    <w:name w:val="DefAcrHead"/>
    <w:basedOn w:val="Normal"/>
    <w:rsid w:val="001971CB"/>
    <w:pPr>
      <w:keepNext/>
      <w:spacing w:after="240"/>
    </w:pPr>
    <w:rPr>
      <w:b/>
      <w:caps/>
      <w:sz w:val="22"/>
    </w:rPr>
  </w:style>
  <w:style w:type="character" w:customStyle="1" w:styleId="UnresolvedMention2">
    <w:name w:val="Unresolved Mention2"/>
    <w:basedOn w:val="DefaultParagraphFont"/>
    <w:uiPriority w:val="99"/>
    <w:semiHidden/>
    <w:unhideWhenUsed/>
    <w:rsid w:val="00B67BD2"/>
    <w:rPr>
      <w:color w:val="605E5C"/>
      <w:shd w:val="clear" w:color="auto" w:fill="E1DFDD"/>
    </w:rPr>
  </w:style>
  <w:style w:type="character" w:customStyle="1" w:styleId="math-inline">
    <w:name w:val="math-inline"/>
    <w:basedOn w:val="DefaultParagraphFont"/>
    <w:rsid w:val="005E66AE"/>
  </w:style>
  <w:style w:type="character" w:styleId="PlaceholderText">
    <w:name w:val="Placeholder Text"/>
    <w:basedOn w:val="DefaultParagraphFont"/>
    <w:uiPriority w:val="99"/>
    <w:semiHidden/>
    <w:rsid w:val="000F1C6F"/>
    <w:rPr>
      <w:color w:val="808080"/>
    </w:rPr>
  </w:style>
  <w:style w:type="table" w:customStyle="1" w:styleId="TableGrid1">
    <w:name w:val="Table Grid1"/>
    <w:basedOn w:val="TableNormal"/>
    <w:next w:val="TableGrid"/>
    <w:uiPriority w:val="59"/>
    <w:rsid w:val="007F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4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695">
      <w:bodyDiv w:val="1"/>
      <w:marLeft w:val="0"/>
      <w:marRight w:val="0"/>
      <w:marTop w:val="0"/>
      <w:marBottom w:val="0"/>
      <w:divBdr>
        <w:top w:val="none" w:sz="0" w:space="0" w:color="auto"/>
        <w:left w:val="none" w:sz="0" w:space="0" w:color="auto"/>
        <w:bottom w:val="none" w:sz="0" w:space="0" w:color="auto"/>
        <w:right w:val="none" w:sz="0" w:space="0" w:color="auto"/>
      </w:divBdr>
    </w:div>
    <w:div w:id="106432913">
      <w:bodyDiv w:val="1"/>
      <w:marLeft w:val="0"/>
      <w:marRight w:val="0"/>
      <w:marTop w:val="0"/>
      <w:marBottom w:val="0"/>
      <w:divBdr>
        <w:top w:val="none" w:sz="0" w:space="0" w:color="auto"/>
        <w:left w:val="none" w:sz="0" w:space="0" w:color="auto"/>
        <w:bottom w:val="none" w:sz="0" w:space="0" w:color="auto"/>
        <w:right w:val="none" w:sz="0" w:space="0" w:color="auto"/>
      </w:divBdr>
      <w:divsChild>
        <w:div w:id="1013337220">
          <w:marLeft w:val="0"/>
          <w:marRight w:val="0"/>
          <w:marTop w:val="0"/>
          <w:marBottom w:val="0"/>
          <w:divBdr>
            <w:top w:val="none" w:sz="0" w:space="0" w:color="auto"/>
            <w:left w:val="none" w:sz="0" w:space="0" w:color="auto"/>
            <w:bottom w:val="none" w:sz="0" w:space="0" w:color="auto"/>
            <w:right w:val="none" w:sz="0" w:space="0" w:color="auto"/>
          </w:divBdr>
          <w:divsChild>
            <w:div w:id="20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2909">
      <w:bodyDiv w:val="1"/>
      <w:marLeft w:val="0"/>
      <w:marRight w:val="0"/>
      <w:marTop w:val="0"/>
      <w:marBottom w:val="0"/>
      <w:divBdr>
        <w:top w:val="none" w:sz="0" w:space="0" w:color="auto"/>
        <w:left w:val="none" w:sz="0" w:space="0" w:color="auto"/>
        <w:bottom w:val="none" w:sz="0" w:space="0" w:color="auto"/>
        <w:right w:val="none" w:sz="0" w:space="0" w:color="auto"/>
      </w:divBdr>
    </w:div>
    <w:div w:id="441609127">
      <w:bodyDiv w:val="1"/>
      <w:marLeft w:val="0"/>
      <w:marRight w:val="0"/>
      <w:marTop w:val="0"/>
      <w:marBottom w:val="0"/>
      <w:divBdr>
        <w:top w:val="none" w:sz="0" w:space="0" w:color="auto"/>
        <w:left w:val="none" w:sz="0" w:space="0" w:color="auto"/>
        <w:bottom w:val="none" w:sz="0" w:space="0" w:color="auto"/>
        <w:right w:val="none" w:sz="0" w:space="0" w:color="auto"/>
      </w:divBdr>
      <w:divsChild>
        <w:div w:id="161313444">
          <w:marLeft w:val="0"/>
          <w:marRight w:val="0"/>
          <w:marTop w:val="120"/>
          <w:marBottom w:val="120"/>
          <w:divBdr>
            <w:top w:val="none" w:sz="0" w:space="0" w:color="auto"/>
            <w:left w:val="none" w:sz="0" w:space="0" w:color="auto"/>
            <w:bottom w:val="none" w:sz="0" w:space="0" w:color="auto"/>
            <w:right w:val="none" w:sz="0" w:space="0" w:color="auto"/>
          </w:divBdr>
        </w:div>
      </w:divsChild>
    </w:div>
    <w:div w:id="447625617">
      <w:bodyDiv w:val="1"/>
      <w:marLeft w:val="0"/>
      <w:marRight w:val="0"/>
      <w:marTop w:val="0"/>
      <w:marBottom w:val="0"/>
      <w:divBdr>
        <w:top w:val="none" w:sz="0" w:space="0" w:color="auto"/>
        <w:left w:val="none" w:sz="0" w:space="0" w:color="auto"/>
        <w:bottom w:val="none" w:sz="0" w:space="0" w:color="auto"/>
        <w:right w:val="none" w:sz="0" w:space="0" w:color="auto"/>
      </w:divBdr>
    </w:div>
    <w:div w:id="526213440">
      <w:bodyDiv w:val="1"/>
      <w:marLeft w:val="0"/>
      <w:marRight w:val="0"/>
      <w:marTop w:val="0"/>
      <w:marBottom w:val="0"/>
      <w:divBdr>
        <w:top w:val="none" w:sz="0" w:space="0" w:color="auto"/>
        <w:left w:val="none" w:sz="0" w:space="0" w:color="auto"/>
        <w:bottom w:val="none" w:sz="0" w:space="0" w:color="auto"/>
        <w:right w:val="none" w:sz="0" w:space="0" w:color="auto"/>
      </w:divBdr>
    </w:div>
    <w:div w:id="634675999">
      <w:bodyDiv w:val="1"/>
      <w:marLeft w:val="0"/>
      <w:marRight w:val="0"/>
      <w:marTop w:val="0"/>
      <w:marBottom w:val="0"/>
      <w:divBdr>
        <w:top w:val="none" w:sz="0" w:space="0" w:color="auto"/>
        <w:left w:val="none" w:sz="0" w:space="0" w:color="auto"/>
        <w:bottom w:val="none" w:sz="0" w:space="0" w:color="auto"/>
        <w:right w:val="none" w:sz="0" w:space="0" w:color="auto"/>
      </w:divBdr>
      <w:divsChild>
        <w:div w:id="2014260632">
          <w:marLeft w:val="0"/>
          <w:marRight w:val="0"/>
          <w:marTop w:val="0"/>
          <w:marBottom w:val="0"/>
          <w:divBdr>
            <w:top w:val="none" w:sz="0" w:space="0" w:color="auto"/>
            <w:left w:val="none" w:sz="0" w:space="0" w:color="auto"/>
            <w:bottom w:val="none" w:sz="0" w:space="0" w:color="auto"/>
            <w:right w:val="none" w:sz="0" w:space="0" w:color="auto"/>
          </w:divBdr>
          <w:divsChild>
            <w:div w:id="748621451">
              <w:marLeft w:val="0"/>
              <w:marRight w:val="0"/>
              <w:marTop w:val="0"/>
              <w:marBottom w:val="0"/>
              <w:divBdr>
                <w:top w:val="none" w:sz="0" w:space="0" w:color="auto"/>
                <w:left w:val="none" w:sz="0" w:space="0" w:color="auto"/>
                <w:bottom w:val="none" w:sz="0" w:space="0" w:color="auto"/>
                <w:right w:val="none" w:sz="0" w:space="0" w:color="auto"/>
              </w:divBdr>
              <w:divsChild>
                <w:div w:id="1985966943">
                  <w:marLeft w:val="0"/>
                  <w:marRight w:val="0"/>
                  <w:marTop w:val="0"/>
                  <w:marBottom w:val="0"/>
                  <w:divBdr>
                    <w:top w:val="none" w:sz="0" w:space="0" w:color="auto"/>
                    <w:left w:val="none" w:sz="0" w:space="0" w:color="auto"/>
                    <w:bottom w:val="none" w:sz="0" w:space="0" w:color="auto"/>
                    <w:right w:val="none" w:sz="0" w:space="0" w:color="auto"/>
                  </w:divBdr>
                  <w:divsChild>
                    <w:div w:id="1100100281">
                      <w:marLeft w:val="0"/>
                      <w:marRight w:val="0"/>
                      <w:marTop w:val="0"/>
                      <w:marBottom w:val="0"/>
                      <w:divBdr>
                        <w:top w:val="none" w:sz="0" w:space="0" w:color="auto"/>
                        <w:left w:val="none" w:sz="0" w:space="0" w:color="auto"/>
                        <w:bottom w:val="none" w:sz="0" w:space="0" w:color="auto"/>
                        <w:right w:val="none" w:sz="0" w:space="0" w:color="auto"/>
                      </w:divBdr>
                      <w:divsChild>
                        <w:div w:id="565334454">
                          <w:marLeft w:val="0"/>
                          <w:marRight w:val="0"/>
                          <w:marTop w:val="0"/>
                          <w:marBottom w:val="0"/>
                          <w:divBdr>
                            <w:top w:val="none" w:sz="0" w:space="0" w:color="auto"/>
                            <w:left w:val="none" w:sz="0" w:space="0" w:color="auto"/>
                            <w:bottom w:val="none" w:sz="0" w:space="0" w:color="auto"/>
                            <w:right w:val="none" w:sz="0" w:space="0" w:color="auto"/>
                          </w:divBdr>
                          <w:divsChild>
                            <w:div w:id="2039430292">
                              <w:marLeft w:val="0"/>
                              <w:marRight w:val="0"/>
                              <w:marTop w:val="0"/>
                              <w:marBottom w:val="0"/>
                              <w:divBdr>
                                <w:top w:val="none" w:sz="0" w:space="0" w:color="auto"/>
                                <w:left w:val="none" w:sz="0" w:space="0" w:color="auto"/>
                                <w:bottom w:val="none" w:sz="0" w:space="0" w:color="auto"/>
                                <w:right w:val="none" w:sz="0" w:space="0" w:color="auto"/>
                              </w:divBdr>
                              <w:divsChild>
                                <w:div w:id="10747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880557">
      <w:bodyDiv w:val="1"/>
      <w:marLeft w:val="0"/>
      <w:marRight w:val="0"/>
      <w:marTop w:val="0"/>
      <w:marBottom w:val="0"/>
      <w:divBdr>
        <w:top w:val="none" w:sz="0" w:space="0" w:color="auto"/>
        <w:left w:val="none" w:sz="0" w:space="0" w:color="auto"/>
        <w:bottom w:val="none" w:sz="0" w:space="0" w:color="auto"/>
        <w:right w:val="none" w:sz="0" w:space="0" w:color="auto"/>
      </w:divBdr>
      <w:divsChild>
        <w:div w:id="947930101">
          <w:marLeft w:val="0"/>
          <w:marRight w:val="0"/>
          <w:marTop w:val="0"/>
          <w:marBottom w:val="0"/>
          <w:divBdr>
            <w:top w:val="none" w:sz="0" w:space="0" w:color="auto"/>
            <w:left w:val="none" w:sz="0" w:space="0" w:color="auto"/>
            <w:bottom w:val="none" w:sz="0" w:space="0" w:color="auto"/>
            <w:right w:val="none" w:sz="0" w:space="0" w:color="auto"/>
          </w:divBdr>
          <w:divsChild>
            <w:div w:id="548690174">
              <w:marLeft w:val="0"/>
              <w:marRight w:val="0"/>
              <w:marTop w:val="0"/>
              <w:marBottom w:val="0"/>
              <w:divBdr>
                <w:top w:val="none" w:sz="0" w:space="0" w:color="auto"/>
                <w:left w:val="none" w:sz="0" w:space="0" w:color="auto"/>
                <w:bottom w:val="none" w:sz="0" w:space="0" w:color="auto"/>
                <w:right w:val="none" w:sz="0" w:space="0" w:color="auto"/>
              </w:divBdr>
              <w:divsChild>
                <w:div w:id="1946110972">
                  <w:marLeft w:val="0"/>
                  <w:marRight w:val="0"/>
                  <w:marTop w:val="0"/>
                  <w:marBottom w:val="0"/>
                  <w:divBdr>
                    <w:top w:val="none" w:sz="0" w:space="0" w:color="auto"/>
                    <w:left w:val="none" w:sz="0" w:space="0" w:color="auto"/>
                    <w:bottom w:val="none" w:sz="0" w:space="0" w:color="auto"/>
                    <w:right w:val="none" w:sz="0" w:space="0" w:color="auto"/>
                  </w:divBdr>
                  <w:divsChild>
                    <w:div w:id="960767835">
                      <w:marLeft w:val="0"/>
                      <w:marRight w:val="0"/>
                      <w:marTop w:val="0"/>
                      <w:marBottom w:val="0"/>
                      <w:divBdr>
                        <w:top w:val="none" w:sz="0" w:space="0" w:color="auto"/>
                        <w:left w:val="none" w:sz="0" w:space="0" w:color="auto"/>
                        <w:bottom w:val="none" w:sz="0" w:space="0" w:color="auto"/>
                        <w:right w:val="none" w:sz="0" w:space="0" w:color="auto"/>
                      </w:divBdr>
                      <w:divsChild>
                        <w:div w:id="88238949">
                          <w:marLeft w:val="0"/>
                          <w:marRight w:val="0"/>
                          <w:marTop w:val="0"/>
                          <w:marBottom w:val="0"/>
                          <w:divBdr>
                            <w:top w:val="none" w:sz="0" w:space="0" w:color="auto"/>
                            <w:left w:val="none" w:sz="0" w:space="0" w:color="auto"/>
                            <w:bottom w:val="none" w:sz="0" w:space="0" w:color="auto"/>
                            <w:right w:val="none" w:sz="0" w:space="0" w:color="auto"/>
                          </w:divBdr>
                          <w:divsChild>
                            <w:div w:id="540019866">
                              <w:marLeft w:val="0"/>
                              <w:marRight w:val="0"/>
                              <w:marTop w:val="0"/>
                              <w:marBottom w:val="0"/>
                              <w:divBdr>
                                <w:top w:val="none" w:sz="0" w:space="0" w:color="auto"/>
                                <w:left w:val="none" w:sz="0" w:space="0" w:color="auto"/>
                                <w:bottom w:val="none" w:sz="0" w:space="0" w:color="auto"/>
                                <w:right w:val="none" w:sz="0" w:space="0" w:color="auto"/>
                              </w:divBdr>
                              <w:divsChild>
                                <w:div w:id="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72376">
      <w:bodyDiv w:val="1"/>
      <w:marLeft w:val="0"/>
      <w:marRight w:val="0"/>
      <w:marTop w:val="0"/>
      <w:marBottom w:val="0"/>
      <w:divBdr>
        <w:top w:val="none" w:sz="0" w:space="0" w:color="auto"/>
        <w:left w:val="none" w:sz="0" w:space="0" w:color="auto"/>
        <w:bottom w:val="none" w:sz="0" w:space="0" w:color="auto"/>
        <w:right w:val="none" w:sz="0" w:space="0" w:color="auto"/>
      </w:divBdr>
    </w:div>
    <w:div w:id="686058989">
      <w:bodyDiv w:val="1"/>
      <w:marLeft w:val="0"/>
      <w:marRight w:val="0"/>
      <w:marTop w:val="0"/>
      <w:marBottom w:val="0"/>
      <w:divBdr>
        <w:top w:val="none" w:sz="0" w:space="0" w:color="auto"/>
        <w:left w:val="none" w:sz="0" w:space="0" w:color="auto"/>
        <w:bottom w:val="none" w:sz="0" w:space="0" w:color="auto"/>
        <w:right w:val="none" w:sz="0" w:space="0" w:color="auto"/>
      </w:divBdr>
      <w:divsChild>
        <w:div w:id="2032142798">
          <w:marLeft w:val="0"/>
          <w:marRight w:val="0"/>
          <w:marTop w:val="120"/>
          <w:marBottom w:val="120"/>
          <w:divBdr>
            <w:top w:val="none" w:sz="0" w:space="0" w:color="auto"/>
            <w:left w:val="none" w:sz="0" w:space="0" w:color="auto"/>
            <w:bottom w:val="none" w:sz="0" w:space="0" w:color="auto"/>
            <w:right w:val="none" w:sz="0" w:space="0" w:color="auto"/>
          </w:divBdr>
        </w:div>
        <w:div w:id="1078211321">
          <w:marLeft w:val="0"/>
          <w:marRight w:val="0"/>
          <w:marTop w:val="120"/>
          <w:marBottom w:val="120"/>
          <w:divBdr>
            <w:top w:val="none" w:sz="0" w:space="0" w:color="auto"/>
            <w:left w:val="none" w:sz="0" w:space="0" w:color="auto"/>
            <w:bottom w:val="none" w:sz="0" w:space="0" w:color="auto"/>
            <w:right w:val="none" w:sz="0" w:space="0" w:color="auto"/>
          </w:divBdr>
        </w:div>
        <w:div w:id="246309639">
          <w:marLeft w:val="0"/>
          <w:marRight w:val="0"/>
          <w:marTop w:val="120"/>
          <w:marBottom w:val="120"/>
          <w:divBdr>
            <w:top w:val="none" w:sz="0" w:space="0" w:color="auto"/>
            <w:left w:val="none" w:sz="0" w:space="0" w:color="auto"/>
            <w:bottom w:val="none" w:sz="0" w:space="0" w:color="auto"/>
            <w:right w:val="none" w:sz="0" w:space="0" w:color="auto"/>
          </w:divBdr>
        </w:div>
      </w:divsChild>
    </w:div>
    <w:div w:id="695883810">
      <w:bodyDiv w:val="1"/>
      <w:marLeft w:val="0"/>
      <w:marRight w:val="0"/>
      <w:marTop w:val="0"/>
      <w:marBottom w:val="0"/>
      <w:divBdr>
        <w:top w:val="none" w:sz="0" w:space="0" w:color="auto"/>
        <w:left w:val="none" w:sz="0" w:space="0" w:color="auto"/>
        <w:bottom w:val="none" w:sz="0" w:space="0" w:color="auto"/>
        <w:right w:val="none" w:sz="0" w:space="0" w:color="auto"/>
      </w:divBdr>
      <w:divsChild>
        <w:div w:id="2060863147">
          <w:marLeft w:val="-720"/>
          <w:marRight w:val="0"/>
          <w:marTop w:val="0"/>
          <w:marBottom w:val="0"/>
          <w:divBdr>
            <w:top w:val="none" w:sz="0" w:space="0" w:color="auto"/>
            <w:left w:val="none" w:sz="0" w:space="0" w:color="auto"/>
            <w:bottom w:val="none" w:sz="0" w:space="0" w:color="auto"/>
            <w:right w:val="none" w:sz="0" w:space="0" w:color="auto"/>
          </w:divBdr>
        </w:div>
      </w:divsChild>
    </w:div>
    <w:div w:id="707340074">
      <w:bodyDiv w:val="1"/>
      <w:marLeft w:val="0"/>
      <w:marRight w:val="0"/>
      <w:marTop w:val="0"/>
      <w:marBottom w:val="0"/>
      <w:divBdr>
        <w:top w:val="none" w:sz="0" w:space="0" w:color="auto"/>
        <w:left w:val="none" w:sz="0" w:space="0" w:color="auto"/>
        <w:bottom w:val="none" w:sz="0" w:space="0" w:color="auto"/>
        <w:right w:val="none" w:sz="0" w:space="0" w:color="auto"/>
      </w:divBdr>
      <w:divsChild>
        <w:div w:id="1842502631">
          <w:marLeft w:val="0"/>
          <w:marRight w:val="0"/>
          <w:marTop w:val="0"/>
          <w:marBottom w:val="0"/>
          <w:divBdr>
            <w:top w:val="none" w:sz="0" w:space="0" w:color="auto"/>
            <w:left w:val="none" w:sz="0" w:space="0" w:color="auto"/>
            <w:bottom w:val="none" w:sz="0" w:space="0" w:color="auto"/>
            <w:right w:val="none" w:sz="0" w:space="0" w:color="auto"/>
          </w:divBdr>
          <w:divsChild>
            <w:div w:id="14840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7167">
      <w:bodyDiv w:val="1"/>
      <w:marLeft w:val="0"/>
      <w:marRight w:val="0"/>
      <w:marTop w:val="0"/>
      <w:marBottom w:val="0"/>
      <w:divBdr>
        <w:top w:val="none" w:sz="0" w:space="0" w:color="auto"/>
        <w:left w:val="none" w:sz="0" w:space="0" w:color="auto"/>
        <w:bottom w:val="none" w:sz="0" w:space="0" w:color="auto"/>
        <w:right w:val="none" w:sz="0" w:space="0" w:color="auto"/>
      </w:divBdr>
      <w:divsChild>
        <w:div w:id="449252790">
          <w:marLeft w:val="0"/>
          <w:marRight w:val="0"/>
          <w:marTop w:val="0"/>
          <w:marBottom w:val="0"/>
          <w:divBdr>
            <w:top w:val="none" w:sz="0" w:space="0" w:color="auto"/>
            <w:left w:val="none" w:sz="0" w:space="0" w:color="auto"/>
            <w:bottom w:val="none" w:sz="0" w:space="0" w:color="auto"/>
            <w:right w:val="none" w:sz="0" w:space="0" w:color="auto"/>
          </w:divBdr>
          <w:divsChild>
            <w:div w:id="1139228891">
              <w:marLeft w:val="0"/>
              <w:marRight w:val="0"/>
              <w:marTop w:val="0"/>
              <w:marBottom w:val="0"/>
              <w:divBdr>
                <w:top w:val="none" w:sz="0" w:space="0" w:color="auto"/>
                <w:left w:val="none" w:sz="0" w:space="0" w:color="auto"/>
                <w:bottom w:val="none" w:sz="0" w:space="0" w:color="auto"/>
                <w:right w:val="none" w:sz="0" w:space="0" w:color="auto"/>
              </w:divBdr>
              <w:divsChild>
                <w:div w:id="117721045">
                  <w:marLeft w:val="0"/>
                  <w:marRight w:val="0"/>
                  <w:marTop w:val="0"/>
                  <w:marBottom w:val="0"/>
                  <w:divBdr>
                    <w:top w:val="none" w:sz="0" w:space="0" w:color="auto"/>
                    <w:left w:val="none" w:sz="0" w:space="0" w:color="auto"/>
                    <w:bottom w:val="none" w:sz="0" w:space="0" w:color="auto"/>
                    <w:right w:val="none" w:sz="0" w:space="0" w:color="auto"/>
                  </w:divBdr>
                  <w:divsChild>
                    <w:div w:id="765612708">
                      <w:marLeft w:val="0"/>
                      <w:marRight w:val="0"/>
                      <w:marTop w:val="0"/>
                      <w:marBottom w:val="0"/>
                      <w:divBdr>
                        <w:top w:val="none" w:sz="0" w:space="0" w:color="auto"/>
                        <w:left w:val="none" w:sz="0" w:space="0" w:color="auto"/>
                        <w:bottom w:val="none" w:sz="0" w:space="0" w:color="auto"/>
                        <w:right w:val="none" w:sz="0" w:space="0" w:color="auto"/>
                      </w:divBdr>
                      <w:divsChild>
                        <w:div w:id="854001389">
                          <w:marLeft w:val="0"/>
                          <w:marRight w:val="0"/>
                          <w:marTop w:val="0"/>
                          <w:marBottom w:val="0"/>
                          <w:divBdr>
                            <w:top w:val="none" w:sz="0" w:space="0" w:color="auto"/>
                            <w:left w:val="none" w:sz="0" w:space="0" w:color="auto"/>
                            <w:bottom w:val="none" w:sz="0" w:space="0" w:color="auto"/>
                            <w:right w:val="none" w:sz="0" w:space="0" w:color="auto"/>
                          </w:divBdr>
                          <w:divsChild>
                            <w:div w:id="861475556">
                              <w:marLeft w:val="0"/>
                              <w:marRight w:val="0"/>
                              <w:marTop w:val="0"/>
                              <w:marBottom w:val="0"/>
                              <w:divBdr>
                                <w:top w:val="none" w:sz="0" w:space="0" w:color="auto"/>
                                <w:left w:val="none" w:sz="0" w:space="0" w:color="auto"/>
                                <w:bottom w:val="none" w:sz="0" w:space="0" w:color="auto"/>
                                <w:right w:val="none" w:sz="0" w:space="0" w:color="auto"/>
                              </w:divBdr>
                              <w:divsChild>
                                <w:div w:id="1846551686">
                                  <w:marLeft w:val="0"/>
                                  <w:marRight w:val="0"/>
                                  <w:marTop w:val="0"/>
                                  <w:marBottom w:val="0"/>
                                  <w:divBdr>
                                    <w:top w:val="none" w:sz="0" w:space="0" w:color="auto"/>
                                    <w:left w:val="none" w:sz="0" w:space="0" w:color="auto"/>
                                    <w:bottom w:val="none" w:sz="0" w:space="0" w:color="auto"/>
                                    <w:right w:val="none" w:sz="0" w:space="0" w:color="auto"/>
                                  </w:divBdr>
                                  <w:divsChild>
                                    <w:div w:id="4580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221154">
          <w:marLeft w:val="0"/>
          <w:marRight w:val="0"/>
          <w:marTop w:val="0"/>
          <w:marBottom w:val="0"/>
          <w:divBdr>
            <w:top w:val="none" w:sz="0" w:space="0" w:color="auto"/>
            <w:left w:val="none" w:sz="0" w:space="0" w:color="auto"/>
            <w:bottom w:val="none" w:sz="0" w:space="0" w:color="auto"/>
            <w:right w:val="none" w:sz="0" w:space="0" w:color="auto"/>
          </w:divBdr>
          <w:divsChild>
            <w:div w:id="234363811">
              <w:marLeft w:val="0"/>
              <w:marRight w:val="0"/>
              <w:marTop w:val="0"/>
              <w:marBottom w:val="0"/>
              <w:divBdr>
                <w:top w:val="none" w:sz="0" w:space="0" w:color="auto"/>
                <w:left w:val="none" w:sz="0" w:space="0" w:color="auto"/>
                <w:bottom w:val="none" w:sz="0" w:space="0" w:color="auto"/>
                <w:right w:val="none" w:sz="0" w:space="0" w:color="auto"/>
              </w:divBdr>
              <w:divsChild>
                <w:div w:id="1113523424">
                  <w:marLeft w:val="0"/>
                  <w:marRight w:val="0"/>
                  <w:marTop w:val="0"/>
                  <w:marBottom w:val="0"/>
                  <w:divBdr>
                    <w:top w:val="none" w:sz="0" w:space="0" w:color="auto"/>
                    <w:left w:val="none" w:sz="0" w:space="0" w:color="auto"/>
                    <w:bottom w:val="none" w:sz="0" w:space="0" w:color="auto"/>
                    <w:right w:val="none" w:sz="0" w:space="0" w:color="auto"/>
                  </w:divBdr>
                  <w:divsChild>
                    <w:div w:id="1281717148">
                      <w:marLeft w:val="0"/>
                      <w:marRight w:val="0"/>
                      <w:marTop w:val="0"/>
                      <w:marBottom w:val="0"/>
                      <w:divBdr>
                        <w:top w:val="none" w:sz="0" w:space="0" w:color="auto"/>
                        <w:left w:val="none" w:sz="0" w:space="0" w:color="auto"/>
                        <w:bottom w:val="none" w:sz="0" w:space="0" w:color="auto"/>
                        <w:right w:val="none" w:sz="0" w:space="0" w:color="auto"/>
                      </w:divBdr>
                      <w:divsChild>
                        <w:div w:id="712272645">
                          <w:marLeft w:val="0"/>
                          <w:marRight w:val="0"/>
                          <w:marTop w:val="0"/>
                          <w:marBottom w:val="0"/>
                          <w:divBdr>
                            <w:top w:val="none" w:sz="0" w:space="0" w:color="auto"/>
                            <w:left w:val="none" w:sz="0" w:space="0" w:color="auto"/>
                            <w:bottom w:val="none" w:sz="0" w:space="0" w:color="auto"/>
                            <w:right w:val="none" w:sz="0" w:space="0" w:color="auto"/>
                          </w:divBdr>
                          <w:divsChild>
                            <w:div w:id="138614993">
                              <w:marLeft w:val="0"/>
                              <w:marRight w:val="0"/>
                              <w:marTop w:val="0"/>
                              <w:marBottom w:val="0"/>
                              <w:divBdr>
                                <w:top w:val="none" w:sz="0" w:space="0" w:color="auto"/>
                                <w:left w:val="none" w:sz="0" w:space="0" w:color="auto"/>
                                <w:bottom w:val="none" w:sz="0" w:space="0" w:color="auto"/>
                                <w:right w:val="none" w:sz="0" w:space="0" w:color="auto"/>
                              </w:divBdr>
                              <w:divsChild>
                                <w:div w:id="17044028">
                                  <w:marLeft w:val="0"/>
                                  <w:marRight w:val="0"/>
                                  <w:marTop w:val="0"/>
                                  <w:marBottom w:val="0"/>
                                  <w:divBdr>
                                    <w:top w:val="none" w:sz="0" w:space="0" w:color="auto"/>
                                    <w:left w:val="none" w:sz="0" w:space="0" w:color="auto"/>
                                    <w:bottom w:val="none" w:sz="0" w:space="0" w:color="auto"/>
                                    <w:right w:val="none" w:sz="0" w:space="0" w:color="auto"/>
                                  </w:divBdr>
                                  <w:divsChild>
                                    <w:div w:id="1103958597">
                                      <w:marLeft w:val="0"/>
                                      <w:marRight w:val="0"/>
                                      <w:marTop w:val="0"/>
                                      <w:marBottom w:val="0"/>
                                      <w:divBdr>
                                        <w:top w:val="none" w:sz="0" w:space="0" w:color="auto"/>
                                        <w:left w:val="none" w:sz="0" w:space="0" w:color="auto"/>
                                        <w:bottom w:val="none" w:sz="0" w:space="0" w:color="auto"/>
                                        <w:right w:val="none" w:sz="0" w:space="0" w:color="auto"/>
                                      </w:divBdr>
                                      <w:divsChild>
                                        <w:div w:id="1373116539">
                                          <w:marLeft w:val="0"/>
                                          <w:marRight w:val="0"/>
                                          <w:marTop w:val="0"/>
                                          <w:marBottom w:val="0"/>
                                          <w:divBdr>
                                            <w:top w:val="none" w:sz="0" w:space="0" w:color="auto"/>
                                            <w:left w:val="none" w:sz="0" w:space="0" w:color="auto"/>
                                            <w:bottom w:val="none" w:sz="0" w:space="0" w:color="auto"/>
                                            <w:right w:val="none" w:sz="0" w:space="0" w:color="auto"/>
                                          </w:divBdr>
                                          <w:divsChild>
                                            <w:div w:id="82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555693">
      <w:bodyDiv w:val="1"/>
      <w:marLeft w:val="0"/>
      <w:marRight w:val="0"/>
      <w:marTop w:val="0"/>
      <w:marBottom w:val="0"/>
      <w:divBdr>
        <w:top w:val="none" w:sz="0" w:space="0" w:color="auto"/>
        <w:left w:val="none" w:sz="0" w:space="0" w:color="auto"/>
        <w:bottom w:val="none" w:sz="0" w:space="0" w:color="auto"/>
        <w:right w:val="none" w:sz="0" w:space="0" w:color="auto"/>
      </w:divBdr>
    </w:div>
    <w:div w:id="778255746">
      <w:bodyDiv w:val="1"/>
      <w:marLeft w:val="0"/>
      <w:marRight w:val="0"/>
      <w:marTop w:val="0"/>
      <w:marBottom w:val="0"/>
      <w:divBdr>
        <w:top w:val="none" w:sz="0" w:space="0" w:color="auto"/>
        <w:left w:val="none" w:sz="0" w:space="0" w:color="auto"/>
        <w:bottom w:val="none" w:sz="0" w:space="0" w:color="auto"/>
        <w:right w:val="none" w:sz="0" w:space="0" w:color="auto"/>
      </w:divBdr>
      <w:divsChild>
        <w:div w:id="1581674258">
          <w:marLeft w:val="0"/>
          <w:marRight w:val="0"/>
          <w:marTop w:val="0"/>
          <w:marBottom w:val="0"/>
          <w:divBdr>
            <w:top w:val="none" w:sz="0" w:space="0" w:color="auto"/>
            <w:left w:val="none" w:sz="0" w:space="0" w:color="auto"/>
            <w:bottom w:val="none" w:sz="0" w:space="0" w:color="auto"/>
            <w:right w:val="none" w:sz="0" w:space="0" w:color="auto"/>
          </w:divBdr>
          <w:divsChild>
            <w:div w:id="4083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7908">
      <w:bodyDiv w:val="1"/>
      <w:marLeft w:val="0"/>
      <w:marRight w:val="0"/>
      <w:marTop w:val="0"/>
      <w:marBottom w:val="0"/>
      <w:divBdr>
        <w:top w:val="none" w:sz="0" w:space="0" w:color="auto"/>
        <w:left w:val="none" w:sz="0" w:space="0" w:color="auto"/>
        <w:bottom w:val="none" w:sz="0" w:space="0" w:color="auto"/>
        <w:right w:val="none" w:sz="0" w:space="0" w:color="auto"/>
      </w:divBdr>
    </w:div>
    <w:div w:id="787969314">
      <w:bodyDiv w:val="1"/>
      <w:marLeft w:val="0"/>
      <w:marRight w:val="0"/>
      <w:marTop w:val="0"/>
      <w:marBottom w:val="0"/>
      <w:divBdr>
        <w:top w:val="none" w:sz="0" w:space="0" w:color="auto"/>
        <w:left w:val="none" w:sz="0" w:space="0" w:color="auto"/>
        <w:bottom w:val="none" w:sz="0" w:space="0" w:color="auto"/>
        <w:right w:val="none" w:sz="0" w:space="0" w:color="auto"/>
      </w:divBdr>
    </w:div>
    <w:div w:id="802115513">
      <w:bodyDiv w:val="1"/>
      <w:marLeft w:val="0"/>
      <w:marRight w:val="0"/>
      <w:marTop w:val="0"/>
      <w:marBottom w:val="0"/>
      <w:divBdr>
        <w:top w:val="none" w:sz="0" w:space="0" w:color="auto"/>
        <w:left w:val="none" w:sz="0" w:space="0" w:color="auto"/>
        <w:bottom w:val="none" w:sz="0" w:space="0" w:color="auto"/>
        <w:right w:val="none" w:sz="0" w:space="0" w:color="auto"/>
      </w:divBdr>
      <w:divsChild>
        <w:div w:id="1550415781">
          <w:marLeft w:val="-720"/>
          <w:marRight w:val="0"/>
          <w:marTop w:val="0"/>
          <w:marBottom w:val="0"/>
          <w:divBdr>
            <w:top w:val="none" w:sz="0" w:space="0" w:color="auto"/>
            <w:left w:val="none" w:sz="0" w:space="0" w:color="auto"/>
            <w:bottom w:val="none" w:sz="0" w:space="0" w:color="auto"/>
            <w:right w:val="none" w:sz="0" w:space="0" w:color="auto"/>
          </w:divBdr>
        </w:div>
      </w:divsChild>
    </w:div>
    <w:div w:id="823933065">
      <w:bodyDiv w:val="1"/>
      <w:marLeft w:val="0"/>
      <w:marRight w:val="0"/>
      <w:marTop w:val="0"/>
      <w:marBottom w:val="0"/>
      <w:divBdr>
        <w:top w:val="none" w:sz="0" w:space="0" w:color="auto"/>
        <w:left w:val="none" w:sz="0" w:space="0" w:color="auto"/>
        <w:bottom w:val="none" w:sz="0" w:space="0" w:color="auto"/>
        <w:right w:val="none" w:sz="0" w:space="0" w:color="auto"/>
      </w:divBdr>
      <w:divsChild>
        <w:div w:id="14580205">
          <w:marLeft w:val="0"/>
          <w:marRight w:val="0"/>
          <w:marTop w:val="120"/>
          <w:marBottom w:val="120"/>
          <w:divBdr>
            <w:top w:val="none" w:sz="0" w:space="0" w:color="auto"/>
            <w:left w:val="none" w:sz="0" w:space="0" w:color="auto"/>
            <w:bottom w:val="none" w:sz="0" w:space="0" w:color="auto"/>
            <w:right w:val="none" w:sz="0" w:space="0" w:color="auto"/>
          </w:divBdr>
        </w:div>
        <w:div w:id="348530646">
          <w:marLeft w:val="0"/>
          <w:marRight w:val="0"/>
          <w:marTop w:val="120"/>
          <w:marBottom w:val="120"/>
          <w:divBdr>
            <w:top w:val="none" w:sz="0" w:space="0" w:color="auto"/>
            <w:left w:val="none" w:sz="0" w:space="0" w:color="auto"/>
            <w:bottom w:val="none" w:sz="0" w:space="0" w:color="auto"/>
            <w:right w:val="none" w:sz="0" w:space="0" w:color="auto"/>
          </w:divBdr>
        </w:div>
        <w:div w:id="1038818307">
          <w:marLeft w:val="0"/>
          <w:marRight w:val="0"/>
          <w:marTop w:val="120"/>
          <w:marBottom w:val="120"/>
          <w:divBdr>
            <w:top w:val="none" w:sz="0" w:space="0" w:color="auto"/>
            <w:left w:val="none" w:sz="0" w:space="0" w:color="auto"/>
            <w:bottom w:val="none" w:sz="0" w:space="0" w:color="auto"/>
            <w:right w:val="none" w:sz="0" w:space="0" w:color="auto"/>
          </w:divBdr>
        </w:div>
      </w:divsChild>
    </w:div>
    <w:div w:id="827401340">
      <w:bodyDiv w:val="1"/>
      <w:marLeft w:val="0"/>
      <w:marRight w:val="0"/>
      <w:marTop w:val="0"/>
      <w:marBottom w:val="0"/>
      <w:divBdr>
        <w:top w:val="none" w:sz="0" w:space="0" w:color="auto"/>
        <w:left w:val="none" w:sz="0" w:space="0" w:color="auto"/>
        <w:bottom w:val="none" w:sz="0" w:space="0" w:color="auto"/>
        <w:right w:val="none" w:sz="0" w:space="0" w:color="auto"/>
      </w:divBdr>
      <w:divsChild>
        <w:div w:id="1794788926">
          <w:marLeft w:val="-720"/>
          <w:marRight w:val="0"/>
          <w:marTop w:val="0"/>
          <w:marBottom w:val="0"/>
          <w:divBdr>
            <w:top w:val="none" w:sz="0" w:space="0" w:color="auto"/>
            <w:left w:val="none" w:sz="0" w:space="0" w:color="auto"/>
            <w:bottom w:val="none" w:sz="0" w:space="0" w:color="auto"/>
            <w:right w:val="none" w:sz="0" w:space="0" w:color="auto"/>
          </w:divBdr>
        </w:div>
      </w:divsChild>
    </w:div>
    <w:div w:id="949166911">
      <w:bodyDiv w:val="1"/>
      <w:marLeft w:val="0"/>
      <w:marRight w:val="0"/>
      <w:marTop w:val="0"/>
      <w:marBottom w:val="0"/>
      <w:divBdr>
        <w:top w:val="none" w:sz="0" w:space="0" w:color="auto"/>
        <w:left w:val="none" w:sz="0" w:space="0" w:color="auto"/>
        <w:bottom w:val="none" w:sz="0" w:space="0" w:color="auto"/>
        <w:right w:val="none" w:sz="0" w:space="0" w:color="auto"/>
      </w:divBdr>
    </w:div>
    <w:div w:id="1046636834">
      <w:bodyDiv w:val="1"/>
      <w:marLeft w:val="0"/>
      <w:marRight w:val="0"/>
      <w:marTop w:val="0"/>
      <w:marBottom w:val="0"/>
      <w:divBdr>
        <w:top w:val="none" w:sz="0" w:space="0" w:color="auto"/>
        <w:left w:val="none" w:sz="0" w:space="0" w:color="auto"/>
        <w:bottom w:val="none" w:sz="0" w:space="0" w:color="auto"/>
        <w:right w:val="none" w:sz="0" w:space="0" w:color="auto"/>
      </w:divBdr>
    </w:div>
    <w:div w:id="1076899452">
      <w:bodyDiv w:val="1"/>
      <w:marLeft w:val="0"/>
      <w:marRight w:val="0"/>
      <w:marTop w:val="0"/>
      <w:marBottom w:val="0"/>
      <w:divBdr>
        <w:top w:val="none" w:sz="0" w:space="0" w:color="auto"/>
        <w:left w:val="none" w:sz="0" w:space="0" w:color="auto"/>
        <w:bottom w:val="none" w:sz="0" w:space="0" w:color="auto"/>
        <w:right w:val="none" w:sz="0" w:space="0" w:color="auto"/>
      </w:divBdr>
      <w:divsChild>
        <w:div w:id="1534153936">
          <w:marLeft w:val="0"/>
          <w:marRight w:val="0"/>
          <w:marTop w:val="0"/>
          <w:marBottom w:val="0"/>
          <w:divBdr>
            <w:top w:val="none" w:sz="0" w:space="0" w:color="auto"/>
            <w:left w:val="none" w:sz="0" w:space="0" w:color="auto"/>
            <w:bottom w:val="none" w:sz="0" w:space="0" w:color="auto"/>
            <w:right w:val="none" w:sz="0" w:space="0" w:color="auto"/>
          </w:divBdr>
          <w:divsChild>
            <w:div w:id="468594590">
              <w:marLeft w:val="0"/>
              <w:marRight w:val="0"/>
              <w:marTop w:val="0"/>
              <w:marBottom w:val="0"/>
              <w:divBdr>
                <w:top w:val="none" w:sz="0" w:space="0" w:color="auto"/>
                <w:left w:val="none" w:sz="0" w:space="0" w:color="auto"/>
                <w:bottom w:val="none" w:sz="0" w:space="0" w:color="auto"/>
                <w:right w:val="none" w:sz="0" w:space="0" w:color="auto"/>
              </w:divBdr>
            </w:div>
          </w:divsChild>
        </w:div>
        <w:div w:id="1091437553">
          <w:marLeft w:val="0"/>
          <w:marRight w:val="0"/>
          <w:marTop w:val="0"/>
          <w:marBottom w:val="0"/>
          <w:divBdr>
            <w:top w:val="none" w:sz="0" w:space="0" w:color="auto"/>
            <w:left w:val="none" w:sz="0" w:space="0" w:color="auto"/>
            <w:bottom w:val="none" w:sz="0" w:space="0" w:color="auto"/>
            <w:right w:val="none" w:sz="0" w:space="0" w:color="auto"/>
          </w:divBdr>
          <w:divsChild>
            <w:div w:id="13343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261">
      <w:bodyDiv w:val="1"/>
      <w:marLeft w:val="0"/>
      <w:marRight w:val="0"/>
      <w:marTop w:val="0"/>
      <w:marBottom w:val="0"/>
      <w:divBdr>
        <w:top w:val="none" w:sz="0" w:space="0" w:color="auto"/>
        <w:left w:val="none" w:sz="0" w:space="0" w:color="auto"/>
        <w:bottom w:val="none" w:sz="0" w:space="0" w:color="auto"/>
        <w:right w:val="none" w:sz="0" w:space="0" w:color="auto"/>
      </w:divBdr>
    </w:div>
    <w:div w:id="1415518298">
      <w:bodyDiv w:val="1"/>
      <w:marLeft w:val="0"/>
      <w:marRight w:val="0"/>
      <w:marTop w:val="0"/>
      <w:marBottom w:val="0"/>
      <w:divBdr>
        <w:top w:val="none" w:sz="0" w:space="0" w:color="auto"/>
        <w:left w:val="none" w:sz="0" w:space="0" w:color="auto"/>
        <w:bottom w:val="none" w:sz="0" w:space="0" w:color="auto"/>
        <w:right w:val="none" w:sz="0" w:space="0" w:color="auto"/>
      </w:divBdr>
    </w:div>
    <w:div w:id="1420327908">
      <w:bodyDiv w:val="1"/>
      <w:marLeft w:val="0"/>
      <w:marRight w:val="0"/>
      <w:marTop w:val="0"/>
      <w:marBottom w:val="0"/>
      <w:divBdr>
        <w:top w:val="none" w:sz="0" w:space="0" w:color="auto"/>
        <w:left w:val="none" w:sz="0" w:space="0" w:color="auto"/>
        <w:bottom w:val="none" w:sz="0" w:space="0" w:color="auto"/>
        <w:right w:val="none" w:sz="0" w:space="0" w:color="auto"/>
      </w:divBdr>
      <w:divsChild>
        <w:div w:id="2060089431">
          <w:marLeft w:val="-720"/>
          <w:marRight w:val="0"/>
          <w:marTop w:val="0"/>
          <w:marBottom w:val="0"/>
          <w:divBdr>
            <w:top w:val="none" w:sz="0" w:space="0" w:color="auto"/>
            <w:left w:val="none" w:sz="0" w:space="0" w:color="auto"/>
            <w:bottom w:val="none" w:sz="0" w:space="0" w:color="auto"/>
            <w:right w:val="none" w:sz="0" w:space="0" w:color="auto"/>
          </w:divBdr>
        </w:div>
      </w:divsChild>
    </w:div>
    <w:div w:id="1436361082">
      <w:bodyDiv w:val="1"/>
      <w:marLeft w:val="0"/>
      <w:marRight w:val="0"/>
      <w:marTop w:val="0"/>
      <w:marBottom w:val="0"/>
      <w:divBdr>
        <w:top w:val="none" w:sz="0" w:space="0" w:color="auto"/>
        <w:left w:val="none" w:sz="0" w:space="0" w:color="auto"/>
        <w:bottom w:val="none" w:sz="0" w:space="0" w:color="auto"/>
        <w:right w:val="none" w:sz="0" w:space="0" w:color="auto"/>
      </w:divBdr>
    </w:div>
    <w:div w:id="1447852952">
      <w:bodyDiv w:val="1"/>
      <w:marLeft w:val="0"/>
      <w:marRight w:val="0"/>
      <w:marTop w:val="0"/>
      <w:marBottom w:val="0"/>
      <w:divBdr>
        <w:top w:val="none" w:sz="0" w:space="0" w:color="auto"/>
        <w:left w:val="none" w:sz="0" w:space="0" w:color="auto"/>
        <w:bottom w:val="none" w:sz="0" w:space="0" w:color="auto"/>
        <w:right w:val="none" w:sz="0" w:space="0" w:color="auto"/>
      </w:divBdr>
    </w:div>
    <w:div w:id="1592467830">
      <w:bodyDiv w:val="1"/>
      <w:marLeft w:val="0"/>
      <w:marRight w:val="0"/>
      <w:marTop w:val="0"/>
      <w:marBottom w:val="0"/>
      <w:divBdr>
        <w:top w:val="none" w:sz="0" w:space="0" w:color="auto"/>
        <w:left w:val="none" w:sz="0" w:space="0" w:color="auto"/>
        <w:bottom w:val="none" w:sz="0" w:space="0" w:color="auto"/>
        <w:right w:val="none" w:sz="0" w:space="0" w:color="auto"/>
      </w:divBdr>
    </w:div>
    <w:div w:id="1642688254">
      <w:bodyDiv w:val="1"/>
      <w:marLeft w:val="0"/>
      <w:marRight w:val="0"/>
      <w:marTop w:val="0"/>
      <w:marBottom w:val="0"/>
      <w:divBdr>
        <w:top w:val="none" w:sz="0" w:space="0" w:color="auto"/>
        <w:left w:val="none" w:sz="0" w:space="0" w:color="auto"/>
        <w:bottom w:val="none" w:sz="0" w:space="0" w:color="auto"/>
        <w:right w:val="none" w:sz="0" w:space="0" w:color="auto"/>
      </w:divBdr>
    </w:div>
    <w:div w:id="1651791671">
      <w:bodyDiv w:val="1"/>
      <w:marLeft w:val="0"/>
      <w:marRight w:val="0"/>
      <w:marTop w:val="0"/>
      <w:marBottom w:val="0"/>
      <w:divBdr>
        <w:top w:val="none" w:sz="0" w:space="0" w:color="auto"/>
        <w:left w:val="none" w:sz="0" w:space="0" w:color="auto"/>
        <w:bottom w:val="none" w:sz="0" w:space="0" w:color="auto"/>
        <w:right w:val="none" w:sz="0" w:space="0" w:color="auto"/>
      </w:divBdr>
    </w:div>
    <w:div w:id="1719667651">
      <w:bodyDiv w:val="1"/>
      <w:marLeft w:val="0"/>
      <w:marRight w:val="0"/>
      <w:marTop w:val="0"/>
      <w:marBottom w:val="0"/>
      <w:divBdr>
        <w:top w:val="none" w:sz="0" w:space="0" w:color="auto"/>
        <w:left w:val="none" w:sz="0" w:space="0" w:color="auto"/>
        <w:bottom w:val="none" w:sz="0" w:space="0" w:color="auto"/>
        <w:right w:val="none" w:sz="0" w:space="0" w:color="auto"/>
      </w:divBdr>
    </w:div>
    <w:div w:id="1736009569">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6">
          <w:marLeft w:val="0"/>
          <w:marRight w:val="0"/>
          <w:marTop w:val="120"/>
          <w:marBottom w:val="120"/>
          <w:divBdr>
            <w:top w:val="none" w:sz="0" w:space="0" w:color="auto"/>
            <w:left w:val="none" w:sz="0" w:space="0" w:color="auto"/>
            <w:bottom w:val="none" w:sz="0" w:space="0" w:color="auto"/>
            <w:right w:val="none" w:sz="0" w:space="0" w:color="auto"/>
          </w:divBdr>
        </w:div>
      </w:divsChild>
    </w:div>
    <w:div w:id="1743068328">
      <w:bodyDiv w:val="1"/>
      <w:marLeft w:val="0"/>
      <w:marRight w:val="0"/>
      <w:marTop w:val="0"/>
      <w:marBottom w:val="0"/>
      <w:divBdr>
        <w:top w:val="none" w:sz="0" w:space="0" w:color="auto"/>
        <w:left w:val="none" w:sz="0" w:space="0" w:color="auto"/>
        <w:bottom w:val="none" w:sz="0" w:space="0" w:color="auto"/>
        <w:right w:val="none" w:sz="0" w:space="0" w:color="auto"/>
      </w:divBdr>
    </w:div>
    <w:div w:id="1862742100">
      <w:bodyDiv w:val="1"/>
      <w:marLeft w:val="0"/>
      <w:marRight w:val="0"/>
      <w:marTop w:val="0"/>
      <w:marBottom w:val="0"/>
      <w:divBdr>
        <w:top w:val="none" w:sz="0" w:space="0" w:color="auto"/>
        <w:left w:val="none" w:sz="0" w:space="0" w:color="auto"/>
        <w:bottom w:val="none" w:sz="0" w:space="0" w:color="auto"/>
        <w:right w:val="none" w:sz="0" w:space="0" w:color="auto"/>
      </w:divBdr>
    </w:div>
    <w:div w:id="1865903509">
      <w:bodyDiv w:val="1"/>
      <w:marLeft w:val="0"/>
      <w:marRight w:val="0"/>
      <w:marTop w:val="0"/>
      <w:marBottom w:val="0"/>
      <w:divBdr>
        <w:top w:val="none" w:sz="0" w:space="0" w:color="auto"/>
        <w:left w:val="none" w:sz="0" w:space="0" w:color="auto"/>
        <w:bottom w:val="none" w:sz="0" w:space="0" w:color="auto"/>
        <w:right w:val="none" w:sz="0" w:space="0" w:color="auto"/>
      </w:divBdr>
    </w:div>
    <w:div w:id="1886289127">
      <w:bodyDiv w:val="1"/>
      <w:marLeft w:val="0"/>
      <w:marRight w:val="0"/>
      <w:marTop w:val="0"/>
      <w:marBottom w:val="0"/>
      <w:divBdr>
        <w:top w:val="none" w:sz="0" w:space="0" w:color="auto"/>
        <w:left w:val="none" w:sz="0" w:space="0" w:color="auto"/>
        <w:bottom w:val="none" w:sz="0" w:space="0" w:color="auto"/>
        <w:right w:val="none" w:sz="0" w:space="0" w:color="auto"/>
      </w:divBdr>
    </w:div>
    <w:div w:id="1887988588">
      <w:bodyDiv w:val="1"/>
      <w:marLeft w:val="0"/>
      <w:marRight w:val="0"/>
      <w:marTop w:val="0"/>
      <w:marBottom w:val="0"/>
      <w:divBdr>
        <w:top w:val="none" w:sz="0" w:space="0" w:color="auto"/>
        <w:left w:val="none" w:sz="0" w:space="0" w:color="auto"/>
        <w:bottom w:val="none" w:sz="0" w:space="0" w:color="auto"/>
        <w:right w:val="none" w:sz="0" w:space="0" w:color="auto"/>
      </w:divBdr>
    </w:div>
    <w:div w:id="1909656939">
      <w:bodyDiv w:val="1"/>
      <w:marLeft w:val="0"/>
      <w:marRight w:val="0"/>
      <w:marTop w:val="0"/>
      <w:marBottom w:val="0"/>
      <w:divBdr>
        <w:top w:val="none" w:sz="0" w:space="0" w:color="auto"/>
        <w:left w:val="none" w:sz="0" w:space="0" w:color="auto"/>
        <w:bottom w:val="none" w:sz="0" w:space="0" w:color="auto"/>
        <w:right w:val="none" w:sz="0" w:space="0" w:color="auto"/>
      </w:divBdr>
    </w:div>
    <w:div w:id="1965574590">
      <w:bodyDiv w:val="1"/>
      <w:marLeft w:val="0"/>
      <w:marRight w:val="0"/>
      <w:marTop w:val="0"/>
      <w:marBottom w:val="0"/>
      <w:divBdr>
        <w:top w:val="none" w:sz="0" w:space="0" w:color="auto"/>
        <w:left w:val="none" w:sz="0" w:space="0" w:color="auto"/>
        <w:bottom w:val="none" w:sz="0" w:space="0" w:color="auto"/>
        <w:right w:val="none" w:sz="0" w:space="0" w:color="auto"/>
      </w:divBdr>
    </w:div>
    <w:div w:id="20933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3390/ijerph191912940" TargetMode="External"/><Relationship Id="rId26" Type="http://schemas.openxmlformats.org/officeDocument/2006/relationships/hyperlink" Target="https://doi.org/10.1134/s0026893324010047" TargetMode="External"/><Relationship Id="rId3" Type="http://schemas.openxmlformats.org/officeDocument/2006/relationships/styles" Target="styles.xml"/><Relationship Id="rId21" Type="http://schemas.openxmlformats.org/officeDocument/2006/relationships/hyperlink" Target="https://doi.org/10.61797/ijaaiml.v5i1.421"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1007/s11270-024-07702-4" TargetMode="External"/><Relationship Id="rId25" Type="http://schemas.openxmlformats.org/officeDocument/2006/relationships/hyperlink" Target="https://doi.org/10.4314/ejhs.v33i2.2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632/s003081292400083x" TargetMode="External"/><Relationship Id="rId20" Type="http://schemas.openxmlformats.org/officeDocument/2006/relationships/hyperlink" Target="https://doi.org/10.1093/humupd/dmac03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FIGURE/THE-LAND-USE-ZONES-OF-THE-FESTAC-ACQUISITIONS_FIG2_242707704" TargetMode="External"/><Relationship Id="rId23" Type="http://schemas.openxmlformats.org/officeDocument/2006/relationships/hyperlink" Target="https://doi.org/10.1007/978-981-97-7221-6_3"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doi.org/10.1017/s1049023x2500035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FIGURE/THE-LAND-USE-ZONES-OF-THE-FESTAC-ACQUISITIONS_FIG2_242707704" TargetMode="External"/><Relationship Id="rId14" Type="http://schemas.openxmlformats.org/officeDocument/2006/relationships/chart" Target="charts/chart5.xml"/><Relationship Id="rId22" Type="http://schemas.openxmlformats.org/officeDocument/2006/relationships/hyperlink" Target="https://doi.org/10.6084/m9.figshare.30797262.v1" TargetMode="External"/><Relationship Id="rId27" Type="http://schemas.openxmlformats.org/officeDocument/2006/relationships/hyperlink" Target="https://doi.org/10.70436/nuijb.v3i02.277" TargetMode="External"/><Relationship Id="rId30" Type="http://schemas.openxmlformats.org/officeDocument/2006/relationships/footer" Target="foot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t>Distribution of Environmental Effects Resulting from Occupational Activities</a:t>
            </a:r>
            <a:endParaRPr lang="en-US" sz="1200"/>
          </a:p>
        </c:rich>
      </c:tx>
      <c:overlay val="0"/>
    </c:title>
    <c:autoTitleDeleted val="0"/>
    <c:plotArea>
      <c:layout/>
      <c:barChart>
        <c:barDir val="bar"/>
        <c:grouping val="clustered"/>
        <c:varyColors val="0"/>
        <c:ser>
          <c:idx val="1"/>
          <c:order val="1"/>
          <c:tx>
            <c:strRef>
              <c:f>Sheet1!$B$1</c:f>
            </c:strRef>
          </c:tx>
          <c:invertIfNegative val="0"/>
          <c:cat>
            <c:multiLvlStrRef>
              <c:f>Sheet1!$A$2:$A$7</c:f>
            </c:multiLvlStrRef>
          </c:cat>
          <c:val>
            <c:numRef>
              <c:f>Sheet1!$B$2:$B$7</c:f>
            </c:numRef>
          </c:val>
          <c:extLst>
            <c:ext xmlns:c16="http://schemas.microsoft.com/office/drawing/2014/chart" uri="{C3380CC4-5D6E-409C-BE32-E72D297353CC}">
              <c16:uniqueId val="{00000000-0068-4BFE-91FA-0BD769245B43}"/>
            </c:ext>
          </c:extLst>
        </c:ser>
        <c:ser>
          <c:idx val="0"/>
          <c:order val="0"/>
          <c:tx>
            <c:strRef>
              <c:f>Sheet1!$B$1</c:f>
              <c:strCache>
                <c:ptCount val="1"/>
                <c:pt idx="0">
                  <c:v>Series 1</c:v>
                </c:pt>
              </c:strCache>
            </c:strRef>
          </c:tx>
          <c:invertIfNegative val="0"/>
          <c:cat>
            <c:strRef>
              <c:f>Sheet1!$A$2:$A$7</c:f>
              <c:strCache>
                <c:ptCount val="6"/>
                <c:pt idx="0">
                  <c:v>Obnoxious gases/odors/substances</c:v>
                </c:pt>
                <c:pt idx="1">
                  <c:v>Petroleum products and fumes</c:v>
                </c:pt>
                <c:pt idx="2">
                  <c:v>Heat</c:v>
                </c:pt>
                <c:pt idx="3">
                  <c:v>Particulated air</c:v>
                </c:pt>
                <c:pt idx="4">
                  <c:v>Ozone depleting substances</c:v>
                </c:pt>
                <c:pt idx="5">
                  <c:v>Ultra-violet rays</c:v>
                </c:pt>
              </c:strCache>
            </c:strRef>
          </c:cat>
          <c:val>
            <c:numRef>
              <c:f>Sheet1!$B$2:$B$7</c:f>
              <c:numCache>
                <c:formatCode>General</c:formatCode>
                <c:ptCount val="6"/>
                <c:pt idx="0">
                  <c:v>23</c:v>
                </c:pt>
                <c:pt idx="1">
                  <c:v>26</c:v>
                </c:pt>
                <c:pt idx="2">
                  <c:v>12</c:v>
                </c:pt>
                <c:pt idx="3">
                  <c:v>18</c:v>
                </c:pt>
                <c:pt idx="4">
                  <c:v>14</c:v>
                </c:pt>
                <c:pt idx="5">
                  <c:v>7</c:v>
                </c:pt>
              </c:numCache>
            </c:numRef>
          </c:val>
          <c:extLst>
            <c:ext xmlns:c16="http://schemas.microsoft.com/office/drawing/2014/chart" uri="{C3380CC4-5D6E-409C-BE32-E72D297353CC}">
              <c16:uniqueId val="{00000001-0068-4BFE-91FA-0BD769245B43}"/>
            </c:ext>
          </c:extLst>
        </c:ser>
        <c:dLbls>
          <c:showLegendKey val="0"/>
          <c:showVal val="0"/>
          <c:showCatName val="0"/>
          <c:showSerName val="0"/>
          <c:showPercent val="0"/>
          <c:showBubbleSize val="0"/>
        </c:dLbls>
        <c:gapWidth val="150"/>
        <c:axId val="127534208"/>
        <c:axId val="127535744"/>
      </c:barChart>
      <c:catAx>
        <c:axId val="127534208"/>
        <c:scaling>
          <c:orientation val="minMax"/>
        </c:scaling>
        <c:delete val="0"/>
        <c:axPos val="l"/>
        <c:numFmt formatCode="General" sourceLinked="0"/>
        <c:majorTickMark val="out"/>
        <c:minorTickMark val="none"/>
        <c:tickLblPos val="nextTo"/>
        <c:crossAx val="127535744"/>
        <c:crosses val="autoZero"/>
        <c:auto val="1"/>
        <c:lblAlgn val="ctr"/>
        <c:lblOffset val="100"/>
        <c:noMultiLvlLbl val="0"/>
      </c:catAx>
      <c:valAx>
        <c:axId val="127535744"/>
        <c:scaling>
          <c:orientation val="minMax"/>
        </c:scaling>
        <c:delete val="0"/>
        <c:axPos val="b"/>
        <c:majorGridlines/>
        <c:numFmt formatCode="General" sourceLinked="1"/>
        <c:majorTickMark val="out"/>
        <c:minorTickMark val="none"/>
        <c:tickLblPos val="nextTo"/>
        <c:crossAx val="1275342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a:t>Demographic Profile of Respondents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Sheet1!$B$1</c:f>
              <c:strCache>
                <c:ptCount val="1"/>
                <c:pt idx="0">
                  <c:v>No. of Respondents</c:v>
                </c:pt>
              </c:strCache>
            </c:strRef>
          </c:tx>
          <c:invertIfNegative val="0"/>
          <c:cat>
            <c:strRef>
              <c:f>Sheet1!$A$2:$A$5</c:f>
              <c:strCache>
                <c:ptCount val="4"/>
                <c:pt idx="0">
                  <c:v>Ages 21-30</c:v>
                </c:pt>
                <c:pt idx="1">
                  <c:v>Ages 31-40</c:v>
                </c:pt>
                <c:pt idx="2">
                  <c:v>Ages 41-50</c:v>
                </c:pt>
                <c:pt idx="3">
                  <c:v>Ages 50&gt;</c:v>
                </c:pt>
              </c:strCache>
            </c:strRef>
          </c:cat>
          <c:val>
            <c:numRef>
              <c:f>Sheet1!$B$2:$B$5</c:f>
              <c:numCache>
                <c:formatCode>General</c:formatCode>
                <c:ptCount val="4"/>
                <c:pt idx="0">
                  <c:v>53</c:v>
                </c:pt>
                <c:pt idx="1">
                  <c:v>29</c:v>
                </c:pt>
                <c:pt idx="2">
                  <c:v>9</c:v>
                </c:pt>
                <c:pt idx="3">
                  <c:v>4</c:v>
                </c:pt>
              </c:numCache>
            </c:numRef>
          </c:val>
          <c:extLst>
            <c:ext xmlns:c16="http://schemas.microsoft.com/office/drawing/2014/chart" uri="{C3380CC4-5D6E-409C-BE32-E72D297353CC}">
              <c16:uniqueId val="{00000000-4C36-4BEC-A626-C7C85FCBD7D8}"/>
            </c:ext>
          </c:extLst>
        </c:ser>
        <c:dLbls>
          <c:showLegendKey val="0"/>
          <c:showVal val="0"/>
          <c:showCatName val="0"/>
          <c:showSerName val="0"/>
          <c:showPercent val="0"/>
          <c:showBubbleSize val="0"/>
        </c:dLbls>
        <c:gapWidth val="150"/>
        <c:axId val="127825792"/>
        <c:axId val="127827328"/>
      </c:barChart>
      <c:catAx>
        <c:axId val="127825792"/>
        <c:scaling>
          <c:orientation val="minMax"/>
        </c:scaling>
        <c:delete val="0"/>
        <c:axPos val="b"/>
        <c:numFmt formatCode="General" sourceLinked="0"/>
        <c:majorTickMark val="out"/>
        <c:minorTickMark val="none"/>
        <c:tickLblPos val="nextTo"/>
        <c:crossAx val="127827328"/>
        <c:crosses val="autoZero"/>
        <c:auto val="1"/>
        <c:lblAlgn val="ctr"/>
        <c:lblOffset val="100"/>
        <c:noMultiLvlLbl val="0"/>
      </c:catAx>
      <c:valAx>
        <c:axId val="127827328"/>
        <c:scaling>
          <c:orientation val="minMax"/>
        </c:scaling>
        <c:delete val="0"/>
        <c:axPos val="l"/>
        <c:majorGridlines/>
        <c:numFmt formatCode="General" sourceLinked="1"/>
        <c:majorTickMark val="out"/>
        <c:minorTickMark val="none"/>
        <c:tickLblPos val="nextTo"/>
        <c:crossAx val="1278257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Occupational</a:t>
            </a:r>
            <a:r>
              <a:rPr lang="en-US" baseline="0"/>
              <a:t> Distribution of Respondents</a:t>
            </a:r>
            <a:endParaRPr lang="en-US"/>
          </a:p>
        </c:rich>
      </c:tx>
      <c:overlay val="0"/>
    </c:title>
    <c:autoTitleDeleted val="0"/>
    <c:plotArea>
      <c:layout/>
      <c:pieChart>
        <c:varyColors val="1"/>
        <c:ser>
          <c:idx val="0"/>
          <c:order val="0"/>
          <c:tx>
            <c:strRef>
              <c:f>Sheet1!$B$1</c:f>
              <c:strCache>
                <c:ptCount val="1"/>
                <c:pt idx="0">
                  <c:v>Distribution of Low Cadre Workers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Mechanics</c:v>
                </c:pt>
                <c:pt idx="1">
                  <c:v>Plumbers</c:v>
                </c:pt>
                <c:pt idx="2">
                  <c:v>Carpenters</c:v>
                </c:pt>
                <c:pt idx="3">
                  <c:v>Welders</c:v>
                </c:pt>
                <c:pt idx="4">
                  <c:v>Electricians</c:v>
                </c:pt>
                <c:pt idx="5">
                  <c:v>Painters</c:v>
                </c:pt>
              </c:strCache>
            </c:strRef>
          </c:cat>
          <c:val>
            <c:numRef>
              <c:f>Sheet1!$B$2:$B$7</c:f>
              <c:numCache>
                <c:formatCode>General</c:formatCode>
                <c:ptCount val="6"/>
                <c:pt idx="0">
                  <c:v>25</c:v>
                </c:pt>
                <c:pt idx="1">
                  <c:v>18</c:v>
                </c:pt>
                <c:pt idx="2">
                  <c:v>10</c:v>
                </c:pt>
                <c:pt idx="3">
                  <c:v>15</c:v>
                </c:pt>
                <c:pt idx="4">
                  <c:v>10</c:v>
                </c:pt>
                <c:pt idx="5">
                  <c:v>17</c:v>
                </c:pt>
              </c:numCache>
            </c:numRef>
          </c:val>
          <c:extLst>
            <c:ext xmlns:c16="http://schemas.microsoft.com/office/drawing/2014/chart" uri="{C3380CC4-5D6E-409C-BE32-E72D297353CC}">
              <c16:uniqueId val="{00000000-D917-4924-A6E3-63DA7678885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Prevalence</a:t>
            </a:r>
            <a:r>
              <a:rPr lang="en-US" baseline="0"/>
              <a:t> of Occpational Ailments</a:t>
            </a:r>
            <a:r>
              <a:rPr lang="en-US"/>
              <a:t>(%) </a:t>
            </a:r>
          </a:p>
        </c:rich>
      </c:tx>
      <c:overlay val="0"/>
    </c:title>
    <c:autoTitleDeleted val="0"/>
    <c:plotArea>
      <c:layout/>
      <c:pieChart>
        <c:varyColors val="1"/>
        <c:ser>
          <c:idx val="0"/>
          <c:order val="0"/>
          <c:tx>
            <c:strRef>
              <c:f>Sheet1!$J$4</c:f>
              <c:strCache>
                <c:ptCount val="1"/>
                <c:pt idx="0">
                  <c:v>No of Responses </c:v>
                </c:pt>
              </c:strCache>
            </c:strRef>
          </c:tx>
          <c:dLbls>
            <c:dLbl>
              <c:idx val="0"/>
              <c:layout>
                <c:manualLayout>
                  <c:x val="-0.10510214718563919"/>
                  <c:y val="4.907885242145365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ED0-47E1-B34B-497CF5CFCC8D}"/>
                </c:ext>
              </c:extLst>
            </c:dLbl>
            <c:dLbl>
              <c:idx val="1"/>
              <c:layout>
                <c:manualLayout>
                  <c:x val="9.4507548717797499E-2"/>
                  <c:y val="-7.986607707749826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ED0-47E1-B34B-497CF5CFCC8D}"/>
                </c:ext>
              </c:extLst>
            </c:dLbl>
            <c:dLbl>
              <c:idx val="2"/>
              <c:layout>
                <c:manualLayout>
                  <c:x val="5.9327879026074386E-2"/>
                  <c:y val="0.1573690096338324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ED0-47E1-B34B-497CF5CFCC8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Sheet1!$K$2:$M$3</c:f>
              <c:strCache>
                <c:ptCount val="3"/>
                <c:pt idx="0">
                  <c:v>Actually Acquired Ailments</c:v>
                </c:pt>
                <c:pt idx="1">
                  <c:v>Possible Acquired Ailments</c:v>
                </c:pt>
                <c:pt idx="2">
                  <c:v>No  Noticeable Signs of Suffering Ailment</c:v>
                </c:pt>
              </c:strCache>
            </c:strRef>
          </c:cat>
          <c:val>
            <c:numRef>
              <c:f>Sheet1!$K$4:$M$4</c:f>
              <c:numCache>
                <c:formatCode>General</c:formatCode>
                <c:ptCount val="3"/>
                <c:pt idx="0">
                  <c:v>46</c:v>
                </c:pt>
                <c:pt idx="1">
                  <c:v>35</c:v>
                </c:pt>
                <c:pt idx="2">
                  <c:v>14</c:v>
                </c:pt>
              </c:numCache>
            </c:numRef>
          </c:val>
          <c:extLst>
            <c:ext xmlns:c16="http://schemas.microsoft.com/office/drawing/2014/chart" uri="{C3380CC4-5D6E-409C-BE32-E72D297353CC}">
              <c16:uniqueId val="{00000003-5ED0-47E1-B34B-497CF5CFCC8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6834804632806524"/>
          <c:y val="0.37073907259402133"/>
          <c:w val="0.41793306804153174"/>
          <c:h val="0.3148754988765662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c:f>
              <c:strCache>
                <c:ptCount val="1"/>
                <c:pt idx="0">
                  <c:v>Directly</c:v>
                </c:pt>
              </c:strCache>
            </c:strRef>
          </c:tx>
          <c:invertIfNegative val="0"/>
          <c:cat>
            <c:strRef>
              <c:f>Sheet1!$B$3:$D$3</c:f>
              <c:strCache>
                <c:ptCount val="3"/>
                <c:pt idx="0">
                  <c:v>Yes</c:v>
                </c:pt>
                <c:pt idx="1">
                  <c:v>No</c:v>
                </c:pt>
                <c:pt idx="2">
                  <c:v>Doubtful</c:v>
                </c:pt>
              </c:strCache>
            </c:strRef>
          </c:cat>
          <c:val>
            <c:numRef>
              <c:f>Sheet1!$B$4:$D$4</c:f>
              <c:numCache>
                <c:formatCode>General</c:formatCode>
                <c:ptCount val="3"/>
                <c:pt idx="0">
                  <c:v>32</c:v>
                </c:pt>
                <c:pt idx="1">
                  <c:v>43</c:v>
                </c:pt>
                <c:pt idx="2">
                  <c:v>20</c:v>
                </c:pt>
              </c:numCache>
            </c:numRef>
          </c:val>
          <c:extLst>
            <c:ext xmlns:c16="http://schemas.microsoft.com/office/drawing/2014/chart" uri="{C3380CC4-5D6E-409C-BE32-E72D297353CC}">
              <c16:uniqueId val="{00000000-47B6-4D6B-91C1-46ACEAF57261}"/>
            </c:ext>
          </c:extLst>
        </c:ser>
        <c:ser>
          <c:idx val="1"/>
          <c:order val="1"/>
          <c:tx>
            <c:strRef>
              <c:f>Sheet1!$A$5</c:f>
              <c:strCache>
                <c:ptCount val="1"/>
                <c:pt idx="0">
                  <c:v>Indirectly</c:v>
                </c:pt>
              </c:strCache>
            </c:strRef>
          </c:tx>
          <c:invertIfNegative val="0"/>
          <c:cat>
            <c:strRef>
              <c:f>Sheet1!$B$3:$D$3</c:f>
              <c:strCache>
                <c:ptCount val="3"/>
                <c:pt idx="0">
                  <c:v>Yes</c:v>
                </c:pt>
                <c:pt idx="1">
                  <c:v>No</c:v>
                </c:pt>
                <c:pt idx="2">
                  <c:v>Doubtful</c:v>
                </c:pt>
              </c:strCache>
            </c:strRef>
          </c:cat>
          <c:val>
            <c:numRef>
              <c:f>Sheet1!$B$5:$D$5</c:f>
              <c:numCache>
                <c:formatCode>General</c:formatCode>
                <c:ptCount val="3"/>
                <c:pt idx="0">
                  <c:v>41</c:v>
                </c:pt>
                <c:pt idx="1">
                  <c:v>23</c:v>
                </c:pt>
                <c:pt idx="2">
                  <c:v>31</c:v>
                </c:pt>
              </c:numCache>
            </c:numRef>
          </c:val>
          <c:extLst>
            <c:ext xmlns:c16="http://schemas.microsoft.com/office/drawing/2014/chart" uri="{C3380CC4-5D6E-409C-BE32-E72D297353CC}">
              <c16:uniqueId val="{00000001-47B6-4D6B-91C1-46ACEAF57261}"/>
            </c:ext>
          </c:extLst>
        </c:ser>
        <c:dLbls>
          <c:showLegendKey val="0"/>
          <c:showVal val="0"/>
          <c:showCatName val="0"/>
          <c:showSerName val="0"/>
          <c:showPercent val="0"/>
          <c:showBubbleSize val="0"/>
        </c:dLbls>
        <c:gapWidth val="150"/>
        <c:axId val="127877504"/>
        <c:axId val="127879040"/>
      </c:barChart>
      <c:catAx>
        <c:axId val="127877504"/>
        <c:scaling>
          <c:orientation val="minMax"/>
        </c:scaling>
        <c:delete val="0"/>
        <c:axPos val="b"/>
        <c:numFmt formatCode="General" sourceLinked="0"/>
        <c:majorTickMark val="out"/>
        <c:minorTickMark val="none"/>
        <c:tickLblPos val="nextTo"/>
        <c:crossAx val="127879040"/>
        <c:crosses val="autoZero"/>
        <c:auto val="1"/>
        <c:lblAlgn val="ctr"/>
        <c:lblOffset val="100"/>
        <c:noMultiLvlLbl val="0"/>
      </c:catAx>
      <c:valAx>
        <c:axId val="127879040"/>
        <c:scaling>
          <c:orientation val="minMax"/>
        </c:scaling>
        <c:delete val="0"/>
        <c:axPos val="l"/>
        <c:majorGridlines/>
        <c:numFmt formatCode="General" sourceLinked="1"/>
        <c:majorTickMark val="out"/>
        <c:minorTickMark val="none"/>
        <c:tickLblPos val="nextTo"/>
        <c:crossAx val="127877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C2637-6254-47ED-AFC5-6F86F106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19</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Editor-1183</cp:lastModifiedBy>
  <cp:revision>103</cp:revision>
  <dcterms:created xsi:type="dcterms:W3CDTF">2026-03-11T20:46:00Z</dcterms:created>
  <dcterms:modified xsi:type="dcterms:W3CDTF">2026-03-23T09:33:00Z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76c58fe3-1b25-40a1-8e8b-4d0c54c6602f</vt:lpwstr>
  </property>
</Properties>
</file>