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A2D31" w14:textId="00A508AB" w:rsidR="00754C9A" w:rsidRPr="00175078" w:rsidRDefault="00175078" w:rsidP="00175078">
      <w:pPr>
        <w:pStyle w:val="Title"/>
        <w:spacing w:after="0"/>
        <w:rPr>
          <w:rFonts w:ascii="Arial" w:hAnsi="Arial" w:cs="Arial"/>
          <w:i/>
          <w:iCs/>
          <w:sz w:val="24"/>
          <w:szCs w:val="14"/>
        </w:rPr>
      </w:pPr>
      <w:r w:rsidRPr="008B5645">
        <w:rPr>
          <w:rFonts w:ascii="Arial" w:hAnsi="Arial" w:cs="Arial"/>
          <w:i/>
          <w:iCs/>
          <w:sz w:val="24"/>
          <w:szCs w:val="14"/>
        </w:rPr>
        <w:t>Original Research Article</w:t>
      </w:r>
    </w:p>
    <w:p w14:paraId="66B45B95" w14:textId="31159E3A" w:rsidR="00163BC4" w:rsidRDefault="000B1E7B" w:rsidP="00441B6F">
      <w:pPr>
        <w:pStyle w:val="Author"/>
        <w:spacing w:line="240" w:lineRule="auto"/>
        <w:rPr>
          <w:rFonts w:ascii="Arial" w:hAnsi="Arial" w:cs="Arial"/>
          <w:bCs/>
          <w:iCs/>
          <w:kern w:val="28"/>
          <w:sz w:val="36"/>
        </w:rPr>
      </w:pPr>
      <w:bookmarkStart w:id="0" w:name="_Hlk226455247"/>
      <w:r>
        <w:rPr>
          <w:rFonts w:ascii="Arial" w:hAnsi="Arial" w:cs="Arial"/>
          <w:bCs/>
          <w:iCs/>
          <w:kern w:val="28"/>
          <w:sz w:val="36"/>
        </w:rPr>
        <w:t>Assessment of</w:t>
      </w:r>
      <w:r w:rsidR="00401927">
        <w:rPr>
          <w:rFonts w:ascii="Arial" w:hAnsi="Arial" w:cs="Arial"/>
          <w:bCs/>
          <w:iCs/>
          <w:kern w:val="28"/>
          <w:sz w:val="36"/>
        </w:rPr>
        <w:t xml:space="preserve"> </w:t>
      </w:r>
      <w:r>
        <w:rPr>
          <w:rFonts w:ascii="Arial" w:hAnsi="Arial" w:cs="Arial"/>
          <w:bCs/>
          <w:iCs/>
          <w:kern w:val="28"/>
          <w:sz w:val="36"/>
        </w:rPr>
        <w:t>p</w:t>
      </w:r>
      <w:r w:rsidRPr="000B1E7B">
        <w:rPr>
          <w:rFonts w:ascii="Arial" w:hAnsi="Arial" w:cs="Arial"/>
          <w:bCs/>
          <w:iCs/>
          <w:kern w:val="28"/>
          <w:sz w:val="36"/>
        </w:rPr>
        <w:t xml:space="preserve">rostate </w:t>
      </w:r>
      <w:r>
        <w:rPr>
          <w:rFonts w:ascii="Arial" w:hAnsi="Arial" w:cs="Arial"/>
          <w:bCs/>
          <w:iCs/>
          <w:kern w:val="28"/>
          <w:sz w:val="36"/>
        </w:rPr>
        <w:t>s</w:t>
      </w:r>
      <w:r w:rsidRPr="000B1E7B">
        <w:rPr>
          <w:rFonts w:ascii="Arial" w:hAnsi="Arial" w:cs="Arial"/>
          <w:bCs/>
          <w:iCs/>
          <w:kern w:val="28"/>
          <w:sz w:val="36"/>
        </w:rPr>
        <w:t xml:space="preserve">pecific </w:t>
      </w:r>
      <w:r w:rsidR="009278E6">
        <w:rPr>
          <w:rFonts w:ascii="Arial" w:hAnsi="Arial" w:cs="Arial"/>
          <w:bCs/>
          <w:iCs/>
          <w:kern w:val="28"/>
          <w:sz w:val="36"/>
        </w:rPr>
        <w:t>a</w:t>
      </w:r>
      <w:r w:rsidRPr="000B1E7B">
        <w:rPr>
          <w:rFonts w:ascii="Arial" w:hAnsi="Arial" w:cs="Arial"/>
          <w:bCs/>
          <w:iCs/>
          <w:kern w:val="28"/>
          <w:sz w:val="36"/>
        </w:rPr>
        <w:t xml:space="preserve">ntigen and </w:t>
      </w:r>
      <w:r w:rsidR="00957BA4">
        <w:rPr>
          <w:rFonts w:ascii="Arial" w:hAnsi="Arial" w:cs="Arial"/>
          <w:bCs/>
          <w:iCs/>
          <w:kern w:val="28"/>
          <w:sz w:val="36"/>
        </w:rPr>
        <w:t>some infla</w:t>
      </w:r>
      <w:r w:rsidR="00375184">
        <w:rPr>
          <w:rFonts w:ascii="Arial" w:hAnsi="Arial" w:cs="Arial"/>
          <w:bCs/>
          <w:iCs/>
          <w:kern w:val="28"/>
          <w:sz w:val="36"/>
        </w:rPr>
        <w:t xml:space="preserve">mmatory markers </w:t>
      </w:r>
      <w:r w:rsidRPr="000B1E7B">
        <w:rPr>
          <w:rFonts w:ascii="Arial" w:hAnsi="Arial" w:cs="Arial"/>
          <w:bCs/>
          <w:iCs/>
          <w:kern w:val="28"/>
          <w:sz w:val="36"/>
        </w:rPr>
        <w:t xml:space="preserve">in </w:t>
      </w:r>
      <w:r w:rsidR="00375184" w:rsidRPr="000B1E7B">
        <w:rPr>
          <w:rFonts w:ascii="Arial" w:hAnsi="Arial" w:cs="Arial"/>
          <w:bCs/>
          <w:iCs/>
          <w:kern w:val="28"/>
          <w:sz w:val="36"/>
        </w:rPr>
        <w:t xml:space="preserve">male military cigarette smokers and alcohol users attending </w:t>
      </w:r>
      <w:r w:rsidRPr="000B1E7B">
        <w:rPr>
          <w:rFonts w:ascii="Arial" w:hAnsi="Arial" w:cs="Arial"/>
          <w:bCs/>
          <w:iCs/>
          <w:kern w:val="28"/>
          <w:sz w:val="36"/>
        </w:rPr>
        <w:t>Military Hospital Abuja</w:t>
      </w:r>
      <w:r w:rsidR="0061619B">
        <w:rPr>
          <w:rFonts w:ascii="Arial" w:hAnsi="Arial" w:cs="Arial"/>
          <w:bCs/>
          <w:iCs/>
          <w:kern w:val="28"/>
          <w:sz w:val="36"/>
        </w:rPr>
        <w:t>, Nigeria</w:t>
      </w:r>
      <w:r w:rsidR="00401927">
        <w:rPr>
          <w:rFonts w:ascii="Arial" w:hAnsi="Arial" w:cs="Arial"/>
          <w:bCs/>
          <w:iCs/>
          <w:kern w:val="28"/>
          <w:sz w:val="36"/>
        </w:rPr>
        <w:t xml:space="preserve"> </w:t>
      </w:r>
    </w:p>
    <w:p w14:paraId="211BC584" w14:textId="77777777" w:rsidR="009B39B5" w:rsidRPr="00163BC4" w:rsidRDefault="009B39B5" w:rsidP="00441B6F">
      <w:pPr>
        <w:pStyle w:val="Author"/>
        <w:spacing w:line="240" w:lineRule="auto"/>
        <w:rPr>
          <w:rFonts w:ascii="Arial" w:hAnsi="Arial" w:cs="Arial"/>
          <w:bCs/>
          <w:iCs/>
          <w:kern w:val="28"/>
          <w:sz w:val="36"/>
        </w:rPr>
      </w:pPr>
    </w:p>
    <w:bookmarkEnd w:id="0"/>
    <w:p w14:paraId="302A5878" w14:textId="77777777" w:rsidR="00A258C3" w:rsidRPr="00790ADA" w:rsidRDefault="00A258C3" w:rsidP="00441B6F">
      <w:pPr>
        <w:pStyle w:val="Author"/>
        <w:spacing w:line="240" w:lineRule="auto"/>
        <w:jc w:val="both"/>
        <w:rPr>
          <w:rFonts w:ascii="Arial" w:hAnsi="Arial" w:cs="Arial"/>
          <w:sz w:val="36"/>
        </w:rPr>
      </w:pPr>
    </w:p>
    <w:p w14:paraId="19BB1653" w14:textId="77777777" w:rsidR="00BD2D43" w:rsidRDefault="00BD2D43" w:rsidP="00441B6F">
      <w:pPr>
        <w:pStyle w:val="Copyright"/>
        <w:spacing w:after="0" w:line="240" w:lineRule="auto"/>
        <w:jc w:val="both"/>
        <w:rPr>
          <w:rFonts w:ascii="Arial" w:hAnsi="Arial" w:cs="Arial"/>
        </w:rPr>
      </w:pPr>
    </w:p>
    <w:p w14:paraId="0371CC46" w14:textId="0B2EB3F9" w:rsidR="00B01FCD" w:rsidRPr="00FB3A86" w:rsidRDefault="002D2997" w:rsidP="00441B6F">
      <w:pPr>
        <w:pStyle w:val="Copyright"/>
        <w:spacing w:after="0" w:line="240" w:lineRule="auto"/>
        <w:jc w:val="both"/>
        <w:rPr>
          <w:rFonts w:ascii="Arial" w:hAnsi="Arial" w:cs="Arial"/>
        </w:rPr>
        <w:sectPr w:rsidR="00B01FCD" w:rsidRPr="00FB3A86" w:rsidSect="00BD2D4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9F4E19" wp14:editId="2E83F13F">
                <wp:extent cx="5303520" cy="635"/>
                <wp:effectExtent l="0" t="0" r="11430" b="18415"/>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EDBEE4"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" strokeweight="1.5pt">
                <o:lock v:ext="edit" shapetype="f"/>
                <w10:anchorlock/>
              </v:shape>
            </w:pict>
          </mc:Fallback>
        </mc:AlternateContent>
      </w:r>
      <w:r w:rsidR="00FB3A86">
        <w:rPr>
          <w:rFonts w:ascii="Arial" w:hAnsi="Arial" w:cs="Arial"/>
        </w:rPr>
        <w:t>.</w:t>
      </w:r>
    </w:p>
    <w:p w14:paraId="3FB65C1E" w14:textId="5F8D43E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F8B7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59CAF49" w14:textId="77777777" w:rsidTr="001E44FE">
        <w:tc>
          <w:tcPr>
            <w:tcW w:w="9576" w:type="dxa"/>
            <w:shd w:val="clear" w:color="auto" w:fill="F2F2F2"/>
          </w:tcPr>
          <w:p w14:paraId="23AF7155" w14:textId="3DEDBE28" w:rsidR="002A5728" w:rsidRDefault="009B39B5" w:rsidP="002A5728">
            <w:r w:rsidRPr="006F425A">
              <w:rPr>
                <w:rFonts w:ascii="Arial" w:eastAsia="Calibri" w:hAnsi="Arial" w:cs="Arial"/>
                <w:b/>
                <w:szCs w:val="22"/>
                <w:highlight w:val="yellow"/>
              </w:rPr>
              <w:t xml:space="preserve">Background: </w:t>
            </w:r>
            <w:r w:rsidR="002A5728" w:rsidRPr="006F425A">
              <w:rPr>
                <w:rFonts w:ascii="Arial" w:eastAsia="Calibri" w:hAnsi="Arial" w:cs="Arial"/>
                <w:bCs/>
                <w:szCs w:val="22"/>
                <w:highlight w:val="yellow"/>
              </w:rPr>
              <w:t>P</w:t>
            </w:r>
            <w:r w:rsidR="002A5728" w:rsidRPr="006F425A">
              <w:rPr>
                <w:rFonts w:ascii="Arial" w:eastAsia="Calibri" w:hAnsi="Arial" w:cs="Arial"/>
                <w:szCs w:val="22"/>
                <w:highlight w:val="yellow"/>
              </w:rPr>
              <w:t>rostate surrounds the urethra, the tube responsible for conveying urine out of the body, and produces a thick, whitish fluid that combines with sperm to form semen</w:t>
            </w:r>
            <w:r w:rsidR="002A5728" w:rsidRPr="006F425A">
              <w:rPr>
                <w:rFonts w:ascii="Arial" w:eastAsia="Calibri" w:hAnsi="Arial" w:cs="Arial"/>
                <w:szCs w:val="22"/>
                <w:highlight w:val="yellow"/>
              </w:rPr>
              <w:t xml:space="preserve"> in male. </w:t>
            </w:r>
            <w:r w:rsidR="002A5728" w:rsidRPr="006F425A">
              <w:rPr>
                <w:highlight w:val="yellow"/>
              </w:rPr>
              <w:t>Despite extensive global research on prostate disorders, there remains a significant gap in understanding how lifestyle factors such as cigarette smoking and alcohol consumption influence prostate health, particularly in</w:t>
            </w:r>
            <w:r w:rsidR="00AB7ABC">
              <w:rPr>
                <w:highlight w:val="yellow"/>
              </w:rPr>
              <w:t xml:space="preserve"> </w:t>
            </w:r>
            <w:r w:rsidR="002A5728" w:rsidRPr="006F425A">
              <w:rPr>
                <w:highlight w:val="yellow"/>
              </w:rPr>
              <w:t>specific populations</w:t>
            </w:r>
            <w:r w:rsidR="002A5728">
              <w:t xml:space="preserve">. </w:t>
            </w:r>
          </w:p>
          <w:p w14:paraId="770E33D3" w14:textId="43ECC7B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 </w:t>
            </w:r>
            <w:r w:rsidR="002A5728" w:rsidRPr="006F425A">
              <w:rPr>
                <w:rFonts w:ascii="Arial" w:eastAsia="Calibri" w:hAnsi="Arial" w:cs="Arial"/>
                <w:bCs/>
                <w:szCs w:val="22"/>
                <w:highlight w:val="yellow"/>
              </w:rPr>
              <w:t xml:space="preserve">The study aims </w:t>
            </w:r>
            <w:r w:rsidR="002A5728">
              <w:rPr>
                <w:rFonts w:ascii="Arial" w:eastAsia="Calibri" w:hAnsi="Arial" w:cs="Arial"/>
                <w:bCs/>
                <w:szCs w:val="22"/>
              </w:rPr>
              <w:t>t</w:t>
            </w:r>
            <w:r w:rsidR="00E70D21">
              <w:rPr>
                <w:rFonts w:ascii="Arial" w:eastAsia="Calibri" w:hAnsi="Arial" w:cs="Arial"/>
                <w:szCs w:val="22"/>
              </w:rPr>
              <w:t>o assess</w:t>
            </w:r>
            <w:r w:rsidR="00DA17E7">
              <w:rPr>
                <w:rFonts w:ascii="Arial" w:eastAsia="Calibri" w:hAnsi="Arial" w:cs="Arial"/>
                <w:szCs w:val="22"/>
              </w:rPr>
              <w:t xml:space="preserve"> the levels of </w:t>
            </w:r>
            <w:r w:rsidR="00E70D21" w:rsidRPr="00E70D21">
              <w:rPr>
                <w:rFonts w:ascii="Arial" w:eastAsia="Calibri" w:hAnsi="Arial" w:cs="Arial"/>
                <w:szCs w:val="22"/>
              </w:rPr>
              <w:t>prostate specific antigen and some inflammatory markers in male military cigarette smokers and alcohol users attending Military Hospital Abuja, Nigeria</w:t>
            </w:r>
            <w:r w:rsidR="002A5728">
              <w:rPr>
                <w:rFonts w:ascii="Arial" w:eastAsia="Calibri" w:hAnsi="Arial" w:cs="Arial"/>
                <w:szCs w:val="22"/>
              </w:rPr>
              <w:t>.</w:t>
            </w:r>
          </w:p>
          <w:p w14:paraId="1B11A66A" w14:textId="3BFDB5E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2A5728">
              <w:rPr>
                <w:rFonts w:ascii="Arial" w:eastAsia="Calibri" w:hAnsi="Arial" w:cs="Arial"/>
                <w:b/>
                <w:szCs w:val="22"/>
              </w:rPr>
              <w:t>,</w:t>
            </w:r>
            <w:r w:rsidR="00EF290C" w:rsidRPr="00BA1B01">
              <w:rPr>
                <w:rFonts w:ascii="Arial" w:eastAsia="Calibri" w:hAnsi="Arial" w:cs="Arial"/>
                <w:szCs w:val="22"/>
              </w:rPr>
              <w:t xml:space="preserve"> </w:t>
            </w: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A5728" w:rsidRPr="006F425A">
              <w:rPr>
                <w:rFonts w:ascii="Arial" w:eastAsia="Calibri" w:hAnsi="Arial" w:cs="Arial"/>
                <w:szCs w:val="22"/>
                <w:highlight w:val="yellow"/>
              </w:rPr>
              <w:t>A c</w:t>
            </w:r>
            <w:r w:rsidR="002A5728" w:rsidRPr="006F425A">
              <w:rPr>
                <w:rFonts w:ascii="Arial" w:eastAsia="Calibri" w:hAnsi="Arial" w:cs="Arial"/>
                <w:szCs w:val="22"/>
                <w:highlight w:val="yellow"/>
              </w:rPr>
              <w:t>ross-sectional observational study</w:t>
            </w:r>
            <w:r w:rsidR="002A5728" w:rsidRPr="006F425A">
              <w:rPr>
                <w:rFonts w:ascii="Arial" w:eastAsia="Calibri" w:hAnsi="Arial" w:cs="Arial"/>
                <w:szCs w:val="22"/>
                <w:highlight w:val="yellow"/>
              </w:rPr>
              <w:t xml:space="preserve"> was conducted at </w:t>
            </w:r>
            <w:r w:rsidR="00CA011C">
              <w:rPr>
                <w:rFonts w:ascii="Arial" w:eastAsia="Calibri" w:hAnsi="Arial" w:cs="Arial"/>
                <w:szCs w:val="22"/>
              </w:rPr>
              <w:t xml:space="preserve">Army Command </w:t>
            </w:r>
            <w:r w:rsidR="00CA011C" w:rsidRPr="003E5015">
              <w:rPr>
                <w:rFonts w:ascii="Arial" w:eastAsia="Calibri" w:hAnsi="Arial" w:cs="Arial"/>
                <w:szCs w:val="22"/>
              </w:rPr>
              <w:t>and N</w:t>
            </w:r>
            <w:r w:rsidR="00F6092A" w:rsidRPr="003E5015">
              <w:rPr>
                <w:rFonts w:ascii="Arial" w:eastAsia="Calibri" w:hAnsi="Arial" w:cs="Arial"/>
                <w:szCs w:val="22"/>
              </w:rPr>
              <w:t xml:space="preserve">igerian </w:t>
            </w:r>
            <w:r w:rsidR="006047C1" w:rsidRPr="003E5015">
              <w:rPr>
                <w:rFonts w:ascii="Arial" w:eastAsia="Calibri" w:hAnsi="Arial" w:cs="Arial"/>
                <w:szCs w:val="22"/>
              </w:rPr>
              <w:t>A</w:t>
            </w:r>
            <w:r w:rsidR="00F6092A" w:rsidRPr="003E5015">
              <w:rPr>
                <w:rFonts w:ascii="Arial" w:eastAsia="Calibri" w:hAnsi="Arial" w:cs="Arial"/>
                <w:szCs w:val="22"/>
              </w:rPr>
              <w:t xml:space="preserve">rmy </w:t>
            </w:r>
            <w:r w:rsidR="006047C1" w:rsidRPr="003E5015">
              <w:rPr>
                <w:rFonts w:ascii="Arial" w:eastAsia="Calibri" w:hAnsi="Arial" w:cs="Arial"/>
                <w:szCs w:val="22"/>
              </w:rPr>
              <w:t>O</w:t>
            </w:r>
            <w:r w:rsidR="00F6092A" w:rsidRPr="003E5015">
              <w:rPr>
                <w:rFonts w:ascii="Arial" w:eastAsia="Calibri" w:hAnsi="Arial" w:cs="Arial"/>
                <w:szCs w:val="22"/>
              </w:rPr>
              <w:t xml:space="preserve">fficers’ </w:t>
            </w:r>
            <w:r w:rsidR="006047C1" w:rsidRPr="003E5015">
              <w:rPr>
                <w:rFonts w:ascii="Arial" w:eastAsia="Calibri" w:hAnsi="Arial" w:cs="Arial"/>
                <w:szCs w:val="22"/>
              </w:rPr>
              <w:t>W</w:t>
            </w:r>
            <w:r w:rsidR="00F6092A" w:rsidRPr="003E5015">
              <w:rPr>
                <w:rFonts w:ascii="Arial" w:eastAsia="Calibri" w:hAnsi="Arial" w:cs="Arial"/>
                <w:szCs w:val="22"/>
              </w:rPr>
              <w:t xml:space="preserve">ives </w:t>
            </w:r>
            <w:r w:rsidR="006047C1" w:rsidRPr="003E5015">
              <w:rPr>
                <w:rFonts w:ascii="Arial" w:eastAsia="Calibri" w:hAnsi="Arial" w:cs="Arial"/>
                <w:szCs w:val="22"/>
              </w:rPr>
              <w:t>A</w:t>
            </w:r>
            <w:r w:rsidR="00F6092A" w:rsidRPr="003E5015">
              <w:rPr>
                <w:rFonts w:ascii="Arial" w:eastAsia="Calibri" w:hAnsi="Arial" w:cs="Arial"/>
                <w:szCs w:val="22"/>
              </w:rPr>
              <w:t>ssociation (NAOWA)</w:t>
            </w:r>
            <w:r w:rsidR="006047C1" w:rsidRPr="003E5015">
              <w:rPr>
                <w:rFonts w:ascii="Arial" w:eastAsia="Calibri" w:hAnsi="Arial" w:cs="Arial"/>
                <w:szCs w:val="22"/>
              </w:rPr>
              <w:t xml:space="preserve"> Hospital, Asokoro</w:t>
            </w:r>
            <w:r w:rsidR="00626EC9" w:rsidRPr="003E5015">
              <w:rPr>
                <w:rFonts w:ascii="Arial" w:eastAsia="Calibri" w:hAnsi="Arial" w:cs="Arial"/>
                <w:szCs w:val="22"/>
              </w:rPr>
              <w:t>, FCT, Abuja, Nigeria</w:t>
            </w:r>
            <w:r w:rsidRPr="003E5015">
              <w:rPr>
                <w:rFonts w:ascii="Arial" w:eastAsia="Calibri" w:hAnsi="Arial" w:cs="Arial"/>
                <w:szCs w:val="22"/>
              </w:rPr>
              <w:t xml:space="preserve">, between </w:t>
            </w:r>
            <w:r w:rsidR="001016BB" w:rsidRPr="003E5015">
              <w:rPr>
                <w:rFonts w:ascii="Arial" w:eastAsia="Calibri" w:hAnsi="Arial" w:cs="Arial"/>
                <w:szCs w:val="22"/>
              </w:rPr>
              <w:t>February</w:t>
            </w:r>
            <w:r w:rsidRPr="003E5015">
              <w:rPr>
                <w:rFonts w:ascii="Arial" w:eastAsia="Calibri" w:hAnsi="Arial" w:cs="Arial"/>
                <w:szCs w:val="22"/>
              </w:rPr>
              <w:t xml:space="preserve"> and </w:t>
            </w:r>
            <w:r w:rsidR="001016BB" w:rsidRPr="003E5015">
              <w:rPr>
                <w:rFonts w:ascii="Arial" w:eastAsia="Calibri" w:hAnsi="Arial" w:cs="Arial"/>
                <w:szCs w:val="22"/>
              </w:rPr>
              <w:t>September</w:t>
            </w:r>
            <w:r w:rsidRPr="003E5015">
              <w:rPr>
                <w:rFonts w:ascii="Arial" w:eastAsia="Calibri" w:hAnsi="Arial" w:cs="Arial"/>
                <w:szCs w:val="22"/>
              </w:rPr>
              <w:t xml:space="preserve"> 20</w:t>
            </w:r>
            <w:r w:rsidR="001016BB" w:rsidRPr="003E5015">
              <w:rPr>
                <w:rFonts w:ascii="Arial" w:eastAsia="Calibri" w:hAnsi="Arial" w:cs="Arial"/>
                <w:szCs w:val="22"/>
              </w:rPr>
              <w:t>24</w:t>
            </w:r>
            <w:r w:rsidRPr="003E5015">
              <w:rPr>
                <w:rFonts w:ascii="Arial" w:eastAsia="Calibri" w:hAnsi="Arial" w:cs="Arial"/>
                <w:szCs w:val="22"/>
              </w:rPr>
              <w:t>.</w:t>
            </w:r>
          </w:p>
          <w:p w14:paraId="0F29EC14" w14:textId="30B467E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D3591">
              <w:rPr>
                <w:rFonts w:ascii="Arial" w:eastAsia="Calibri" w:hAnsi="Arial" w:cs="Arial"/>
                <w:szCs w:val="22"/>
              </w:rPr>
              <w:t>This study</w:t>
            </w:r>
            <w:r w:rsidR="00315186">
              <w:rPr>
                <w:rFonts w:ascii="Arial" w:eastAsia="Calibri" w:hAnsi="Arial" w:cs="Arial"/>
                <w:szCs w:val="22"/>
              </w:rPr>
              <w:t xml:space="preserve"> </w:t>
            </w:r>
            <w:r w:rsidR="00DD3591" w:rsidRPr="00DD3591">
              <w:rPr>
                <w:rFonts w:ascii="Arial" w:eastAsia="Calibri" w:hAnsi="Arial" w:cs="Arial"/>
                <w:szCs w:val="22"/>
              </w:rPr>
              <w:t>randomly recruited 160 male military personnel aged between 25 to 64 years</w:t>
            </w:r>
            <w:r w:rsidR="00722625">
              <w:rPr>
                <w:rFonts w:ascii="Arial" w:eastAsia="Calibri" w:hAnsi="Arial" w:cs="Arial"/>
                <w:szCs w:val="22"/>
              </w:rPr>
              <w:t>, who were</w:t>
            </w:r>
            <w:r w:rsidR="00DD3591" w:rsidRPr="00DD3591">
              <w:rPr>
                <w:rFonts w:ascii="Arial" w:eastAsia="Calibri" w:hAnsi="Arial" w:cs="Arial"/>
                <w:szCs w:val="22"/>
              </w:rPr>
              <w:t xml:space="preserve"> cigarette smokers, alcohol consumers, individuals who both smoke</w:t>
            </w:r>
            <w:r w:rsidR="00D86174">
              <w:rPr>
                <w:rFonts w:ascii="Arial" w:eastAsia="Calibri" w:hAnsi="Arial" w:cs="Arial"/>
                <w:szCs w:val="22"/>
              </w:rPr>
              <w:t>d</w:t>
            </w:r>
            <w:r w:rsidR="00DD3591" w:rsidRPr="00DD3591">
              <w:rPr>
                <w:rFonts w:ascii="Arial" w:eastAsia="Calibri" w:hAnsi="Arial" w:cs="Arial"/>
                <w:szCs w:val="22"/>
              </w:rPr>
              <w:t xml:space="preserve"> and consume</w:t>
            </w:r>
            <w:r w:rsidR="00D86174">
              <w:rPr>
                <w:rFonts w:ascii="Arial" w:eastAsia="Calibri" w:hAnsi="Arial" w:cs="Arial"/>
                <w:szCs w:val="22"/>
              </w:rPr>
              <w:t>d</w:t>
            </w:r>
            <w:r w:rsidR="00DD3591" w:rsidRPr="00DD3591">
              <w:rPr>
                <w:rFonts w:ascii="Arial" w:eastAsia="Calibri" w:hAnsi="Arial" w:cs="Arial"/>
                <w:szCs w:val="22"/>
              </w:rPr>
              <w:t xml:space="preserve"> alcohol, and non-exposed controls, with exposure status determined based on self-reported history of cigarette use and alcohol intake. Blood samples were collected by venipuncture and used for analysis. Serum </w:t>
            </w:r>
            <w:proofErr w:type="spellStart"/>
            <w:r w:rsidR="00DD3591" w:rsidRPr="00DD3591">
              <w:rPr>
                <w:rFonts w:ascii="Arial" w:eastAsia="Calibri" w:hAnsi="Arial" w:cs="Arial"/>
                <w:szCs w:val="22"/>
              </w:rPr>
              <w:t>tPSA</w:t>
            </w:r>
            <w:proofErr w:type="spellEnd"/>
            <w:r w:rsidR="00DD3591" w:rsidRPr="00DD3591">
              <w:rPr>
                <w:rFonts w:ascii="Arial" w:eastAsia="Calibri" w:hAnsi="Arial" w:cs="Arial"/>
                <w:szCs w:val="22"/>
              </w:rPr>
              <w:t xml:space="preserve">, </w:t>
            </w:r>
            <w:proofErr w:type="spellStart"/>
            <w:r w:rsidR="00DD3591" w:rsidRPr="00DD3591">
              <w:rPr>
                <w:rFonts w:ascii="Arial" w:eastAsia="Calibri" w:hAnsi="Arial" w:cs="Arial"/>
                <w:szCs w:val="22"/>
              </w:rPr>
              <w:t>fPSA</w:t>
            </w:r>
            <w:proofErr w:type="spellEnd"/>
            <w:r w:rsidR="00DD3591" w:rsidRPr="00DD3591">
              <w:rPr>
                <w:rFonts w:ascii="Arial" w:eastAsia="Calibri" w:hAnsi="Arial" w:cs="Arial"/>
                <w:szCs w:val="22"/>
              </w:rPr>
              <w:t xml:space="preserve">, CRP, and IL-6 levels were estimated quantitatively using immunofluorescence immunochromatographic methods, while serum GGT levels were estimated using </w:t>
            </w:r>
            <w:r w:rsidR="00EB1D68" w:rsidRPr="00DD3591">
              <w:rPr>
                <w:rFonts w:ascii="Arial" w:eastAsia="Calibri" w:hAnsi="Arial" w:cs="Arial"/>
                <w:szCs w:val="22"/>
              </w:rPr>
              <w:t>colorimetric</w:t>
            </w:r>
            <w:r w:rsidR="00DD3591" w:rsidRPr="00DD3591">
              <w:rPr>
                <w:rFonts w:ascii="Arial" w:eastAsia="Calibri" w:hAnsi="Arial" w:cs="Arial"/>
                <w:szCs w:val="22"/>
              </w:rPr>
              <w:t xml:space="preserve"> method. Statistical analysis was performed using SPSS software version 25. </w:t>
            </w:r>
            <w:r w:rsidR="00CA6F02">
              <w:rPr>
                <w:rFonts w:ascii="Arial" w:eastAsia="Calibri" w:hAnsi="Arial" w:cs="Arial"/>
                <w:szCs w:val="22"/>
              </w:rPr>
              <w:t>and r</w:t>
            </w:r>
            <w:r w:rsidR="00904A0C" w:rsidRPr="00904A0C">
              <w:rPr>
                <w:rFonts w:ascii="Arial" w:eastAsia="Calibri" w:hAnsi="Arial" w:cs="Arial"/>
                <w:szCs w:val="22"/>
              </w:rPr>
              <w:t>esults were considered statistically significant at p &lt; 0.05.</w:t>
            </w:r>
          </w:p>
          <w:p w14:paraId="398713ED" w14:textId="77777777" w:rsidR="00E90163" w:rsidRDefault="00BA1B01" w:rsidP="00E90163">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D05AC" w:rsidRPr="009D05AC">
              <w:rPr>
                <w:rFonts w:ascii="Arial" w:eastAsia="Calibri" w:hAnsi="Arial" w:cs="Arial"/>
                <w:szCs w:val="22"/>
              </w:rPr>
              <w:t xml:space="preserve">Results obtained from this study revealed significant increases in </w:t>
            </w:r>
            <w:proofErr w:type="spellStart"/>
            <w:r w:rsidR="009D05AC" w:rsidRPr="009D05AC">
              <w:rPr>
                <w:rFonts w:ascii="Arial" w:eastAsia="Calibri" w:hAnsi="Arial" w:cs="Arial"/>
                <w:szCs w:val="22"/>
              </w:rPr>
              <w:t>tPSA</w:t>
            </w:r>
            <w:proofErr w:type="spellEnd"/>
            <w:r w:rsidR="007E5472">
              <w:rPr>
                <w:rFonts w:ascii="Arial" w:eastAsia="Calibri" w:hAnsi="Arial" w:cs="Arial"/>
                <w:szCs w:val="22"/>
              </w:rPr>
              <w:t xml:space="preserve"> and</w:t>
            </w:r>
            <w:r w:rsidR="009D05AC" w:rsidRPr="009D05AC">
              <w:rPr>
                <w:rFonts w:ascii="Arial" w:eastAsia="Calibri" w:hAnsi="Arial" w:cs="Arial"/>
                <w:szCs w:val="22"/>
              </w:rPr>
              <w:t xml:space="preserve"> GGT, levels</w:t>
            </w:r>
            <w:r w:rsidR="006C7E71">
              <w:rPr>
                <w:rFonts w:ascii="Arial" w:eastAsia="Calibri" w:hAnsi="Arial" w:cs="Arial"/>
                <w:szCs w:val="22"/>
              </w:rPr>
              <w:t xml:space="preserve"> among</w:t>
            </w:r>
            <w:r w:rsidR="009D05AC" w:rsidRPr="009D05AC">
              <w:rPr>
                <w:rFonts w:ascii="Arial" w:eastAsia="Calibri" w:hAnsi="Arial" w:cs="Arial"/>
                <w:szCs w:val="22"/>
              </w:rPr>
              <w:t xml:space="preserve"> smokers when compared with non-smokers. Among alcohol users, </w:t>
            </w:r>
            <w:proofErr w:type="spellStart"/>
            <w:r w:rsidR="009D05AC" w:rsidRPr="009D05AC">
              <w:rPr>
                <w:rFonts w:ascii="Arial" w:eastAsia="Calibri" w:hAnsi="Arial" w:cs="Arial"/>
                <w:szCs w:val="22"/>
              </w:rPr>
              <w:t>tPSA</w:t>
            </w:r>
            <w:proofErr w:type="spellEnd"/>
            <w:r w:rsidR="009D05AC" w:rsidRPr="009D05AC">
              <w:rPr>
                <w:rFonts w:ascii="Arial" w:eastAsia="Calibri" w:hAnsi="Arial" w:cs="Arial"/>
                <w:szCs w:val="22"/>
              </w:rPr>
              <w:t>, GGT, IL-6,</w:t>
            </w:r>
            <w:r w:rsidR="006C7E71">
              <w:rPr>
                <w:rFonts w:ascii="Arial" w:eastAsia="Calibri" w:hAnsi="Arial" w:cs="Arial"/>
                <w:szCs w:val="22"/>
              </w:rPr>
              <w:t xml:space="preserve"> </w:t>
            </w:r>
            <w:r w:rsidR="009D05AC" w:rsidRPr="009D05AC">
              <w:rPr>
                <w:rFonts w:ascii="Arial" w:eastAsia="Calibri" w:hAnsi="Arial" w:cs="Arial"/>
                <w:szCs w:val="22"/>
              </w:rPr>
              <w:t>were significantly elevated</w:t>
            </w:r>
            <w:r w:rsidR="00A23023">
              <w:rPr>
                <w:rFonts w:ascii="Arial" w:eastAsia="Calibri" w:hAnsi="Arial" w:cs="Arial"/>
                <w:szCs w:val="22"/>
              </w:rPr>
              <w:t>.</w:t>
            </w:r>
            <w:r w:rsidR="009D05AC" w:rsidRPr="009D05AC">
              <w:rPr>
                <w:rFonts w:ascii="Arial" w:eastAsia="Calibri" w:hAnsi="Arial" w:cs="Arial"/>
                <w:szCs w:val="22"/>
              </w:rPr>
              <w:t xml:space="preserve"> In the group that both smoked and consumed alcohol, </w:t>
            </w:r>
            <w:proofErr w:type="spellStart"/>
            <w:r w:rsidR="009D05AC" w:rsidRPr="009D05AC">
              <w:rPr>
                <w:rFonts w:ascii="Arial" w:eastAsia="Calibri" w:hAnsi="Arial" w:cs="Arial"/>
                <w:szCs w:val="22"/>
              </w:rPr>
              <w:t>tPSA</w:t>
            </w:r>
            <w:proofErr w:type="spellEnd"/>
            <w:r w:rsidR="009D05AC" w:rsidRPr="009D05AC">
              <w:rPr>
                <w:rFonts w:ascii="Arial" w:eastAsia="Calibri" w:hAnsi="Arial" w:cs="Arial"/>
                <w:szCs w:val="22"/>
              </w:rPr>
              <w:t>, free PSA levels were significantly elevated</w:t>
            </w:r>
            <w:r w:rsidR="00E90163">
              <w:rPr>
                <w:rFonts w:ascii="Arial" w:eastAsia="Calibri" w:hAnsi="Arial" w:cs="Arial"/>
                <w:szCs w:val="22"/>
              </w:rPr>
              <w:t xml:space="preserve">. </w:t>
            </w:r>
            <w:r w:rsidR="009D05AC" w:rsidRPr="009D05AC">
              <w:rPr>
                <w:rFonts w:ascii="Arial" w:eastAsia="Calibri" w:hAnsi="Arial" w:cs="Arial"/>
                <w:szCs w:val="22"/>
              </w:rPr>
              <w:t xml:space="preserve">Analysis based on age revealed that among smokers, </w:t>
            </w:r>
            <w:proofErr w:type="spellStart"/>
            <w:r w:rsidR="009D05AC" w:rsidRPr="009D05AC">
              <w:rPr>
                <w:rFonts w:ascii="Arial" w:eastAsia="Calibri" w:hAnsi="Arial" w:cs="Arial"/>
                <w:szCs w:val="22"/>
              </w:rPr>
              <w:t>tPSA</w:t>
            </w:r>
            <w:proofErr w:type="spellEnd"/>
            <w:r w:rsidR="009D05AC" w:rsidRPr="009D05AC">
              <w:rPr>
                <w:rFonts w:ascii="Arial" w:eastAsia="Calibri" w:hAnsi="Arial" w:cs="Arial"/>
                <w:szCs w:val="22"/>
              </w:rPr>
              <w:t xml:space="preserve"> level varied significantly with age, while among alcohol users, only </w:t>
            </w:r>
            <w:proofErr w:type="spellStart"/>
            <w:r w:rsidR="009D05AC" w:rsidRPr="009D05AC">
              <w:rPr>
                <w:rFonts w:ascii="Arial" w:eastAsia="Calibri" w:hAnsi="Arial" w:cs="Arial"/>
                <w:szCs w:val="22"/>
              </w:rPr>
              <w:t>tPSA</w:t>
            </w:r>
            <w:proofErr w:type="spellEnd"/>
            <w:r w:rsidR="009D05AC" w:rsidRPr="009D05AC">
              <w:rPr>
                <w:rFonts w:ascii="Arial" w:eastAsia="Calibri" w:hAnsi="Arial" w:cs="Arial"/>
                <w:szCs w:val="22"/>
              </w:rPr>
              <w:t xml:space="preserve"> showed significant age-related variation. Cigarette smokers with 21–40 years of exposure had significantly higher </w:t>
            </w:r>
            <w:proofErr w:type="spellStart"/>
            <w:r w:rsidR="009D05AC" w:rsidRPr="009D05AC">
              <w:rPr>
                <w:rFonts w:ascii="Arial" w:eastAsia="Calibri" w:hAnsi="Arial" w:cs="Arial"/>
                <w:szCs w:val="22"/>
              </w:rPr>
              <w:t>tPSA</w:t>
            </w:r>
            <w:proofErr w:type="spellEnd"/>
            <w:r w:rsidR="009D05AC" w:rsidRPr="009D05AC">
              <w:rPr>
                <w:rFonts w:ascii="Arial" w:eastAsia="Calibri" w:hAnsi="Arial" w:cs="Arial"/>
                <w:szCs w:val="22"/>
              </w:rPr>
              <w:t xml:space="preserve"> levels compared to those with 0–20 years of use; among alcohol users, both </w:t>
            </w:r>
            <w:proofErr w:type="spellStart"/>
            <w:r w:rsidR="009D05AC" w:rsidRPr="009D05AC">
              <w:rPr>
                <w:rFonts w:ascii="Arial" w:eastAsia="Calibri" w:hAnsi="Arial" w:cs="Arial"/>
                <w:szCs w:val="22"/>
              </w:rPr>
              <w:t>tPSA</w:t>
            </w:r>
            <w:proofErr w:type="spellEnd"/>
            <w:r w:rsidR="009D05AC" w:rsidRPr="009D05AC">
              <w:rPr>
                <w:rFonts w:ascii="Arial" w:eastAsia="Calibri" w:hAnsi="Arial" w:cs="Arial"/>
                <w:szCs w:val="22"/>
              </w:rPr>
              <w:t xml:space="preserve"> and GGT varied significantly with duration. </w:t>
            </w:r>
          </w:p>
          <w:p w14:paraId="7901656B" w14:textId="71648D21" w:rsidR="00505F06" w:rsidRPr="00BA1B01" w:rsidRDefault="00BA1B01" w:rsidP="00E90163">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D05AC" w:rsidRPr="009D05AC">
              <w:rPr>
                <w:rFonts w:ascii="Arial" w:eastAsia="Calibri" w:hAnsi="Arial" w:cs="Arial"/>
                <w:szCs w:val="22"/>
              </w:rPr>
              <w:t>These findings emphasize the potential health risks of smoking and alcohol use on prostate and systemic health in a vulnerable, physically active population.</w:t>
            </w:r>
          </w:p>
        </w:tc>
      </w:tr>
    </w:tbl>
    <w:p w14:paraId="789E02A9" w14:textId="404D0B2B" w:rsidR="00790ADA" w:rsidRDefault="00A24E7E" w:rsidP="00441B6F">
      <w:pPr>
        <w:pStyle w:val="Body"/>
        <w:spacing w:after="0"/>
        <w:rPr>
          <w:rFonts w:ascii="Arial" w:hAnsi="Arial" w:cs="Arial"/>
          <w:i/>
        </w:rPr>
      </w:pPr>
      <w:r>
        <w:rPr>
          <w:rFonts w:ascii="Arial" w:hAnsi="Arial" w:cs="Arial"/>
          <w:i/>
        </w:rPr>
        <w:t xml:space="preserve">Keywords: </w:t>
      </w:r>
      <w:r w:rsidR="00877572" w:rsidRPr="00877572">
        <w:rPr>
          <w:rFonts w:ascii="Arial" w:hAnsi="Arial" w:cs="Arial"/>
          <w:i/>
        </w:rPr>
        <w:t>prostate specific antigen</w:t>
      </w:r>
      <w:r w:rsidR="00877572">
        <w:rPr>
          <w:rFonts w:ascii="Arial" w:hAnsi="Arial" w:cs="Arial"/>
          <w:i/>
        </w:rPr>
        <w:t>,</w:t>
      </w:r>
      <w:r w:rsidR="00877572" w:rsidRPr="00877572">
        <w:rPr>
          <w:rFonts w:ascii="Arial" w:hAnsi="Arial" w:cs="Arial"/>
          <w:i/>
        </w:rPr>
        <w:t xml:space="preserve"> inflammatory markers</w:t>
      </w:r>
      <w:r w:rsidR="00765C32">
        <w:rPr>
          <w:rFonts w:ascii="Arial" w:hAnsi="Arial" w:cs="Arial"/>
          <w:i/>
        </w:rPr>
        <w:t>,</w:t>
      </w:r>
      <w:r w:rsidR="00877572" w:rsidRPr="00877572">
        <w:rPr>
          <w:rFonts w:ascii="Arial" w:hAnsi="Arial" w:cs="Arial"/>
          <w:i/>
        </w:rPr>
        <w:t xml:space="preserve"> male military cigarette smokers</w:t>
      </w:r>
      <w:r w:rsidR="002A5728">
        <w:rPr>
          <w:rFonts w:ascii="Arial" w:hAnsi="Arial" w:cs="Arial"/>
          <w:i/>
        </w:rPr>
        <w:t xml:space="preserve">, </w:t>
      </w:r>
      <w:r w:rsidR="00877572" w:rsidRPr="00877572">
        <w:rPr>
          <w:rFonts w:ascii="Arial" w:hAnsi="Arial" w:cs="Arial"/>
          <w:i/>
        </w:rPr>
        <w:t>alcohol users</w:t>
      </w:r>
    </w:p>
    <w:p w14:paraId="2343B799" w14:textId="77777777" w:rsidR="00EF290C" w:rsidRDefault="00EF290C" w:rsidP="00441B6F">
      <w:pPr>
        <w:pStyle w:val="Body"/>
        <w:spacing w:after="0"/>
        <w:rPr>
          <w:rFonts w:ascii="Arial" w:hAnsi="Arial" w:cs="Arial"/>
          <w:i/>
        </w:rPr>
      </w:pPr>
    </w:p>
    <w:p w14:paraId="70A49566" w14:textId="3C58D84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DA24E5" w14:textId="26956752" w:rsidR="00E70D21" w:rsidRPr="00E70D21" w:rsidRDefault="00E70D21" w:rsidP="00E70D21">
      <w:pPr>
        <w:pStyle w:val="Body"/>
        <w:rPr>
          <w:rFonts w:ascii="Arial" w:eastAsia="Calibri" w:hAnsi="Arial" w:cs="Arial"/>
          <w:szCs w:val="22"/>
        </w:rPr>
      </w:pPr>
      <w:r w:rsidRPr="00E70D21">
        <w:rPr>
          <w:rFonts w:ascii="Arial" w:eastAsia="Calibri" w:hAnsi="Arial" w:cs="Arial"/>
          <w:szCs w:val="22"/>
        </w:rPr>
        <w:t xml:space="preserve">Prostate disorders are common, particularly as men age </w:t>
      </w:r>
      <w:r w:rsidR="00363844">
        <w:rPr>
          <w:rFonts w:ascii="Arial" w:eastAsia="Calibri" w:hAnsi="Arial" w:cs="Arial"/>
          <w:szCs w:val="22"/>
        </w:rPr>
        <w:t>[1]</w:t>
      </w:r>
      <w:r w:rsidRPr="00E70D21">
        <w:rPr>
          <w:rFonts w:ascii="Arial" w:eastAsia="Calibri" w:hAnsi="Arial" w:cs="Arial"/>
          <w:szCs w:val="22"/>
        </w:rPr>
        <w:t xml:space="preserve">. The prostate is a small gland present in males and in individuals assigned male at birth, including some trans women. It surrounds the urethra, the tube responsible for conveying urine out of the body, and produces a thick, whitish fluid that combines with sperm to form semen. Although the prostate is typically the size and shape of a walnut in younger adults, it tends to enlarge with advancing age. This enlargement or dysfunction may result from several clinical conditions, including benign prostatic hyperplasia (BPH), prostatitis (inflammation of the prostate), and prostate cancer </w:t>
      </w:r>
      <w:r w:rsidR="008406A0">
        <w:rPr>
          <w:rFonts w:ascii="Arial" w:eastAsia="Calibri" w:hAnsi="Arial" w:cs="Arial"/>
          <w:szCs w:val="22"/>
        </w:rPr>
        <w:t>[2]</w:t>
      </w:r>
      <w:r w:rsidR="00B92918">
        <w:rPr>
          <w:rFonts w:ascii="Arial" w:eastAsia="Calibri" w:hAnsi="Arial" w:cs="Arial"/>
          <w:szCs w:val="22"/>
        </w:rPr>
        <w:t>.</w:t>
      </w:r>
    </w:p>
    <w:p w14:paraId="084E228E" w14:textId="79729022" w:rsidR="00E70D21" w:rsidRPr="00E70D21" w:rsidRDefault="00E70D21" w:rsidP="00D65368">
      <w:pPr>
        <w:pStyle w:val="Body"/>
        <w:rPr>
          <w:rFonts w:ascii="Arial" w:eastAsia="Calibri" w:hAnsi="Arial" w:cs="Arial"/>
          <w:szCs w:val="22"/>
        </w:rPr>
      </w:pPr>
      <w:r w:rsidRPr="00E70D21">
        <w:rPr>
          <w:rFonts w:ascii="Arial" w:eastAsia="Calibri" w:hAnsi="Arial" w:cs="Arial"/>
          <w:szCs w:val="22"/>
        </w:rPr>
        <w:lastRenderedPageBreak/>
        <w:t xml:space="preserve">Benign Prostatic Hyperplasia (BPH) is a common non-cancerous enlargement of the prostate in ageing men. </w:t>
      </w:r>
      <w:r w:rsidR="00D65368" w:rsidRPr="006F425A">
        <w:rPr>
          <w:rFonts w:cs="Warnock Pro"/>
          <w:color w:val="000000"/>
          <w:sz w:val="19"/>
          <w:szCs w:val="19"/>
          <w:highlight w:val="yellow"/>
        </w:rPr>
        <w:t>BPH is the most common benign condition in older men and develops from growths of the prostatic transitional zone around the urethra</w:t>
      </w:r>
      <w:r w:rsidR="00D65368" w:rsidRPr="006F425A">
        <w:rPr>
          <w:rFonts w:cs="Warnock Pro"/>
          <w:color w:val="000000"/>
          <w:sz w:val="19"/>
          <w:szCs w:val="19"/>
          <w:highlight w:val="yellow"/>
        </w:rPr>
        <w:t xml:space="preserve"> [38]</w:t>
      </w:r>
      <w:r w:rsidR="00D65368" w:rsidRPr="006F425A">
        <w:rPr>
          <w:rFonts w:cs="Warnock Pro"/>
          <w:color w:val="000000"/>
          <w:sz w:val="19"/>
          <w:szCs w:val="19"/>
          <w:highlight w:val="yellow"/>
        </w:rPr>
        <w:t>.</w:t>
      </w:r>
      <w:r w:rsidR="00D65368">
        <w:rPr>
          <w:rFonts w:cs="Warnock Pro"/>
          <w:color w:val="000000"/>
          <w:sz w:val="19"/>
          <w:szCs w:val="19"/>
        </w:rPr>
        <w:t xml:space="preserve"> </w:t>
      </w:r>
      <w:r w:rsidRPr="00E70D21">
        <w:rPr>
          <w:rFonts w:ascii="Arial" w:eastAsia="Calibri" w:hAnsi="Arial" w:cs="Arial"/>
          <w:szCs w:val="22"/>
        </w:rPr>
        <w:t>The condition results from hormonal changes, particularly involving testosterone and dihydrotestosterone, which stimulate prostate cell growth over time. BPH commonly presents with lower urinary tract symptoms such as urinary frequency, urgency, nocturia, weak urine stream, and incomplete bladder emptying. Its prevalence increases significantly in men above 50 years. Although non-malignant, BPH can significantly impair quality of life and may lead to complications such as urinary retention if not properly managed.</w:t>
      </w:r>
      <w:r w:rsidR="00547C9F">
        <w:rPr>
          <w:rFonts w:ascii="Arial" w:eastAsia="Calibri" w:hAnsi="Arial" w:cs="Arial"/>
          <w:szCs w:val="22"/>
        </w:rPr>
        <w:t xml:space="preserve"> </w:t>
      </w:r>
      <w:r w:rsidRPr="00E70D21">
        <w:rPr>
          <w:rFonts w:ascii="Arial" w:eastAsia="Calibri" w:hAnsi="Arial" w:cs="Arial"/>
          <w:szCs w:val="22"/>
        </w:rPr>
        <w:t>Prostatitis refers to inflammation of the prostate gland and can affect men across different age groups.</w:t>
      </w:r>
      <w:r w:rsidR="00D65368">
        <w:rPr>
          <w:rFonts w:ascii="Arial" w:eastAsia="Calibri" w:hAnsi="Arial" w:cs="Arial"/>
          <w:szCs w:val="22"/>
        </w:rPr>
        <w:t xml:space="preserve"> </w:t>
      </w:r>
      <w:r w:rsidR="00D65368" w:rsidRPr="006F425A">
        <w:rPr>
          <w:rFonts w:ascii="Arial" w:eastAsia="Calibri" w:hAnsi="Arial" w:cs="Arial"/>
          <w:szCs w:val="22"/>
          <w:highlight w:val="yellow"/>
        </w:rPr>
        <w:t>Prostatitis is an inflammatory disease of the prostate glands with a variety of</w:t>
      </w:r>
      <w:r w:rsidR="00D65368" w:rsidRPr="006F425A">
        <w:rPr>
          <w:rFonts w:ascii="Arial" w:eastAsia="Calibri" w:hAnsi="Arial" w:cs="Arial"/>
          <w:szCs w:val="22"/>
          <w:highlight w:val="yellow"/>
        </w:rPr>
        <w:t xml:space="preserve"> </w:t>
      </w:r>
      <w:r w:rsidR="00D65368" w:rsidRPr="006F425A">
        <w:rPr>
          <w:rFonts w:ascii="Arial" w:eastAsia="Calibri" w:hAnsi="Arial" w:cs="Arial"/>
          <w:szCs w:val="22"/>
          <w:highlight w:val="yellow"/>
        </w:rPr>
        <w:t>complicated symptoms, including generalized pain in the pelvic and lower abdomen</w:t>
      </w:r>
      <w:r w:rsidR="00D65368" w:rsidRPr="006F425A">
        <w:rPr>
          <w:rFonts w:ascii="Arial" w:eastAsia="Calibri" w:hAnsi="Arial" w:cs="Arial"/>
          <w:szCs w:val="22"/>
          <w:highlight w:val="yellow"/>
        </w:rPr>
        <w:t xml:space="preserve"> </w:t>
      </w:r>
      <w:r w:rsidR="00D65368" w:rsidRPr="006F425A">
        <w:rPr>
          <w:rFonts w:ascii="Arial" w:eastAsia="Calibri" w:hAnsi="Arial" w:cs="Arial"/>
          <w:szCs w:val="22"/>
          <w:highlight w:val="yellow"/>
        </w:rPr>
        <w:t>areas and obstructive and erectile dysfunction</w:t>
      </w:r>
      <w:r w:rsidR="00D65368" w:rsidRPr="006F425A">
        <w:rPr>
          <w:rFonts w:ascii="Arial" w:eastAsia="Calibri" w:hAnsi="Arial" w:cs="Arial"/>
          <w:szCs w:val="22"/>
          <w:highlight w:val="yellow"/>
        </w:rPr>
        <w:t xml:space="preserve"> [39]</w:t>
      </w:r>
      <w:r w:rsidR="00D65368">
        <w:rPr>
          <w:rFonts w:ascii="Arial" w:eastAsia="Calibri" w:hAnsi="Arial" w:cs="Arial"/>
          <w:szCs w:val="22"/>
        </w:rPr>
        <w:t>.</w:t>
      </w:r>
      <w:r w:rsidRPr="00E70D21">
        <w:rPr>
          <w:rFonts w:ascii="Arial" w:eastAsia="Calibri" w:hAnsi="Arial" w:cs="Arial"/>
          <w:szCs w:val="22"/>
        </w:rPr>
        <w:t xml:space="preserve"> It may be caused by bacterial infection or non-infectious factors such as pelvic muscle dysfunction or immune response. Clinical features include pelvic pain, dysuria (painful urination), painful ejaculation, and sometimes systemic symptoms such as fever in acute bacterial cases. Chronic prostatitis is more common and often difficult to treat. Prostatitis can negatively affect both urinary and sexual function, and chronic forms may lead to persistent discomfort and reduced operational effectiveness in affected individuals.</w:t>
      </w:r>
    </w:p>
    <w:p w14:paraId="38905403" w14:textId="60BA0438" w:rsidR="00E70D21" w:rsidRPr="00E70D21" w:rsidRDefault="00E70D21" w:rsidP="00E70D21">
      <w:pPr>
        <w:pStyle w:val="Body"/>
        <w:rPr>
          <w:rFonts w:ascii="Arial" w:eastAsia="Calibri" w:hAnsi="Arial" w:cs="Arial"/>
          <w:szCs w:val="22"/>
        </w:rPr>
      </w:pPr>
      <w:r w:rsidRPr="00E70D21">
        <w:rPr>
          <w:rFonts w:ascii="Arial" w:eastAsia="Calibri" w:hAnsi="Arial" w:cs="Arial"/>
          <w:szCs w:val="22"/>
        </w:rPr>
        <w:t>Prostate cancer (</w:t>
      </w:r>
      <w:proofErr w:type="spellStart"/>
      <w:r w:rsidRPr="00E70D21">
        <w:rPr>
          <w:rFonts w:ascii="Arial" w:eastAsia="Calibri" w:hAnsi="Arial" w:cs="Arial"/>
          <w:szCs w:val="22"/>
        </w:rPr>
        <w:t>Pca</w:t>
      </w:r>
      <w:proofErr w:type="spellEnd"/>
      <w:r w:rsidRPr="00E70D21">
        <w:rPr>
          <w:rFonts w:ascii="Arial" w:eastAsia="Calibri" w:hAnsi="Arial" w:cs="Arial"/>
          <w:szCs w:val="22"/>
        </w:rPr>
        <w:t xml:space="preserve">) is the most common cancer among males globally with high incidence and mortality rate </w:t>
      </w:r>
      <w:r w:rsidR="00AE3694">
        <w:rPr>
          <w:rFonts w:ascii="Arial" w:eastAsia="Calibri" w:hAnsi="Arial" w:cs="Arial"/>
          <w:szCs w:val="22"/>
        </w:rPr>
        <w:t>[3]</w:t>
      </w:r>
      <w:r w:rsidR="006F425A">
        <w:rPr>
          <w:rFonts w:ascii="Arial" w:eastAsia="Calibri" w:hAnsi="Arial" w:cs="Arial"/>
          <w:szCs w:val="22"/>
        </w:rPr>
        <w:t xml:space="preserve"> </w:t>
      </w:r>
      <w:r w:rsidR="006F425A" w:rsidRPr="006F425A">
        <w:rPr>
          <w:rFonts w:ascii="Arial" w:eastAsia="Calibri" w:hAnsi="Arial" w:cs="Arial"/>
          <w:szCs w:val="22"/>
          <w:highlight w:val="yellow"/>
        </w:rPr>
        <w:t>and</w:t>
      </w:r>
      <w:r w:rsidR="006F425A" w:rsidRPr="006F425A">
        <w:rPr>
          <w:rFonts w:ascii="Arial" w:eastAsia="Calibri" w:hAnsi="Arial" w:cs="Arial"/>
          <w:szCs w:val="22"/>
          <w:highlight w:val="yellow"/>
        </w:rPr>
        <w:t xml:space="preserve"> accounts for over 80% of cases in individuals above 65 years of age; however, only</w:t>
      </w:r>
      <w:r w:rsidR="006F425A" w:rsidRPr="006F425A">
        <w:rPr>
          <w:rFonts w:ascii="Arial" w:eastAsia="Calibri" w:hAnsi="Arial" w:cs="Arial"/>
          <w:szCs w:val="22"/>
          <w:highlight w:val="yellow"/>
        </w:rPr>
        <w:t xml:space="preserve"> </w:t>
      </w:r>
      <w:r w:rsidR="006F425A" w:rsidRPr="006F425A">
        <w:rPr>
          <w:rFonts w:ascii="Arial" w:eastAsia="Calibri" w:hAnsi="Arial" w:cs="Arial"/>
          <w:szCs w:val="22"/>
          <w:highlight w:val="yellow"/>
        </w:rPr>
        <w:t>10% of these cases result in mortality</w:t>
      </w:r>
      <w:r w:rsidR="006F425A" w:rsidRPr="006F425A">
        <w:rPr>
          <w:rFonts w:ascii="Arial" w:eastAsia="Calibri" w:hAnsi="Arial" w:cs="Arial"/>
          <w:szCs w:val="22"/>
          <w:highlight w:val="yellow"/>
        </w:rPr>
        <w:t>. I</w:t>
      </w:r>
      <w:r w:rsidR="006F425A" w:rsidRPr="006F425A">
        <w:rPr>
          <w:rFonts w:ascii="Arial" w:eastAsia="Calibri" w:hAnsi="Arial" w:cs="Arial"/>
          <w:szCs w:val="22"/>
          <w:highlight w:val="yellow"/>
        </w:rPr>
        <w:t xml:space="preserve">ncidences of prostate cancer are more frequently reported </w:t>
      </w:r>
      <w:proofErr w:type="gramStart"/>
      <w:r w:rsidR="006F425A" w:rsidRPr="006F425A">
        <w:rPr>
          <w:rFonts w:ascii="Arial" w:eastAsia="Calibri" w:hAnsi="Arial" w:cs="Arial"/>
          <w:szCs w:val="22"/>
          <w:highlight w:val="yellow"/>
        </w:rPr>
        <w:t>in  affluent</w:t>
      </w:r>
      <w:proofErr w:type="gramEnd"/>
      <w:r w:rsidR="006F425A" w:rsidRPr="006F425A">
        <w:rPr>
          <w:rFonts w:ascii="Arial" w:eastAsia="Calibri" w:hAnsi="Arial" w:cs="Arial"/>
          <w:szCs w:val="22"/>
          <w:highlight w:val="yellow"/>
        </w:rPr>
        <w:t xml:space="preserve">  </w:t>
      </w:r>
      <w:proofErr w:type="gramStart"/>
      <w:r w:rsidR="006F425A" w:rsidRPr="006F425A">
        <w:rPr>
          <w:rFonts w:ascii="Arial" w:eastAsia="Calibri" w:hAnsi="Arial" w:cs="Arial"/>
          <w:szCs w:val="22"/>
          <w:highlight w:val="yellow"/>
        </w:rPr>
        <w:t>nations  than</w:t>
      </w:r>
      <w:proofErr w:type="gramEnd"/>
      <w:r w:rsidR="006F425A" w:rsidRPr="006F425A">
        <w:rPr>
          <w:rFonts w:ascii="Arial" w:eastAsia="Calibri" w:hAnsi="Arial" w:cs="Arial"/>
          <w:szCs w:val="22"/>
          <w:highlight w:val="yellow"/>
        </w:rPr>
        <w:t xml:space="preserve"> in developing countries</w:t>
      </w:r>
      <w:r w:rsidR="006F425A" w:rsidRPr="006F425A">
        <w:rPr>
          <w:rFonts w:ascii="Arial" w:eastAsia="Calibri" w:hAnsi="Arial" w:cs="Arial"/>
          <w:szCs w:val="22"/>
          <w:highlight w:val="yellow"/>
        </w:rPr>
        <w:t xml:space="preserve"> [40]</w:t>
      </w:r>
      <w:r w:rsidR="006F425A" w:rsidRPr="006F425A">
        <w:rPr>
          <w:rFonts w:ascii="Arial" w:eastAsia="Calibri" w:hAnsi="Arial" w:cs="Arial"/>
          <w:szCs w:val="22"/>
          <w:highlight w:val="yellow"/>
        </w:rPr>
        <w:t>.</w:t>
      </w:r>
      <w:r w:rsidR="006F425A" w:rsidRPr="006F425A">
        <w:rPr>
          <w:rFonts w:ascii="Arial" w:eastAsia="Calibri" w:hAnsi="Arial" w:cs="Arial"/>
          <w:szCs w:val="22"/>
        </w:rPr>
        <w:t xml:space="preserve"> </w:t>
      </w:r>
      <w:r w:rsidRPr="00E70D21">
        <w:rPr>
          <w:rFonts w:ascii="Arial" w:eastAsia="Calibri" w:hAnsi="Arial" w:cs="Arial"/>
          <w:szCs w:val="22"/>
        </w:rPr>
        <w:t xml:space="preserve">Several risk factors, including age, ethnicity, family history, diet, and lifestyle have been associated with its development </w:t>
      </w:r>
      <w:r w:rsidR="00A302FE">
        <w:rPr>
          <w:rFonts w:ascii="Arial" w:eastAsia="Calibri" w:hAnsi="Arial" w:cs="Arial"/>
          <w:szCs w:val="22"/>
        </w:rPr>
        <w:t>[4]</w:t>
      </w:r>
      <w:r w:rsidRPr="00E70D21">
        <w:rPr>
          <w:rFonts w:ascii="Arial" w:eastAsia="Calibri" w:hAnsi="Arial" w:cs="Arial"/>
          <w:szCs w:val="22"/>
        </w:rPr>
        <w:t xml:space="preserve">. Smoking and alcohol consumption have been identified as potential risk factors for prostate cancer </w:t>
      </w:r>
      <w:r w:rsidR="0041719C">
        <w:rPr>
          <w:rFonts w:ascii="Arial" w:eastAsia="Calibri" w:hAnsi="Arial" w:cs="Arial"/>
          <w:szCs w:val="22"/>
        </w:rPr>
        <w:t>[5].</w:t>
      </w:r>
      <w:r w:rsidRPr="00E70D21">
        <w:rPr>
          <w:rFonts w:ascii="Arial" w:eastAsia="Calibri" w:hAnsi="Arial" w:cs="Arial"/>
          <w:szCs w:val="22"/>
        </w:rPr>
        <w:t xml:space="preserve"> However, the mechanisms underlying these associations remain poorly understood. Studies have suggested that these lifestyle habits may lead to higher levels of prostate-specific antigen and inflammation within the body both of which are associated with prostate cancer development </w:t>
      </w:r>
      <w:r w:rsidR="00C42DAA">
        <w:rPr>
          <w:rFonts w:ascii="Arial" w:eastAsia="Calibri" w:hAnsi="Arial" w:cs="Arial"/>
          <w:szCs w:val="22"/>
        </w:rPr>
        <w:t>[6].</w:t>
      </w:r>
      <w:r w:rsidRPr="00E70D21">
        <w:rPr>
          <w:rFonts w:ascii="Arial" w:eastAsia="Calibri" w:hAnsi="Arial" w:cs="Arial"/>
          <w:szCs w:val="22"/>
        </w:rPr>
        <w:t xml:space="preserve"> </w:t>
      </w:r>
    </w:p>
    <w:p w14:paraId="6AC3E665" w14:textId="250953F1" w:rsidR="0086408B" w:rsidRDefault="00E70D21" w:rsidP="006F425A">
      <w:pPr>
        <w:pStyle w:val="Body"/>
        <w:rPr>
          <w:rFonts w:ascii="Arial" w:eastAsia="Calibri" w:hAnsi="Arial" w:cs="Arial"/>
          <w:szCs w:val="22"/>
        </w:rPr>
      </w:pPr>
      <w:r w:rsidRPr="00E70D21">
        <w:rPr>
          <w:rFonts w:ascii="Arial" w:eastAsia="Calibri" w:hAnsi="Arial" w:cs="Arial"/>
          <w:szCs w:val="22"/>
        </w:rPr>
        <w:t>Prostate specific antigen (PSA), also known as gamma-</w:t>
      </w:r>
      <w:proofErr w:type="spellStart"/>
      <w:r w:rsidRPr="00E70D21">
        <w:rPr>
          <w:rFonts w:ascii="Arial" w:eastAsia="Calibri" w:hAnsi="Arial" w:cs="Arial"/>
          <w:szCs w:val="22"/>
        </w:rPr>
        <w:t>seminoprotein</w:t>
      </w:r>
      <w:proofErr w:type="spellEnd"/>
      <w:r w:rsidRPr="00E70D21">
        <w:rPr>
          <w:rFonts w:ascii="Arial" w:eastAsia="Calibri" w:hAnsi="Arial" w:cs="Arial"/>
          <w:szCs w:val="22"/>
        </w:rPr>
        <w:t>, is a single-chain glycoprotein enzyme encoded in humans by the kallikrein-3 (KLK3) gene with a molecular weight of 34 kilo Daltons (</w:t>
      </w:r>
      <w:proofErr w:type="spellStart"/>
      <w:r w:rsidRPr="00E70D21">
        <w:rPr>
          <w:rFonts w:ascii="Arial" w:eastAsia="Calibri" w:hAnsi="Arial" w:cs="Arial"/>
          <w:szCs w:val="22"/>
        </w:rPr>
        <w:t>kDa</w:t>
      </w:r>
      <w:proofErr w:type="spellEnd"/>
      <w:r w:rsidRPr="00E70D21">
        <w:rPr>
          <w:rFonts w:ascii="Arial" w:eastAsia="Calibri" w:hAnsi="Arial" w:cs="Arial"/>
          <w:szCs w:val="22"/>
        </w:rPr>
        <w:t>) having carbohydrate side chains with linkages at amino acid 45 (</w:t>
      </w:r>
      <w:proofErr w:type="spellStart"/>
      <w:r w:rsidRPr="00E70D21">
        <w:rPr>
          <w:rFonts w:ascii="Arial" w:eastAsia="Calibri" w:hAnsi="Arial" w:cs="Arial"/>
          <w:szCs w:val="22"/>
        </w:rPr>
        <w:t>asparagines</w:t>
      </w:r>
      <w:proofErr w:type="spellEnd"/>
      <w:r w:rsidRPr="00E70D21">
        <w:rPr>
          <w:rFonts w:ascii="Arial" w:eastAsia="Calibri" w:hAnsi="Arial" w:cs="Arial"/>
          <w:szCs w:val="22"/>
        </w:rPr>
        <w:t xml:space="preserve">), 69 (serine), 70 (threonine) and 71 (serine) </w:t>
      </w:r>
      <w:r w:rsidR="00B402AE">
        <w:rPr>
          <w:rFonts w:ascii="Arial" w:eastAsia="Calibri" w:hAnsi="Arial" w:cs="Arial"/>
          <w:szCs w:val="22"/>
        </w:rPr>
        <w:t>[7]</w:t>
      </w:r>
      <w:r w:rsidRPr="00E70D21">
        <w:rPr>
          <w:rFonts w:ascii="Arial" w:eastAsia="Calibri" w:hAnsi="Arial" w:cs="Arial"/>
          <w:szCs w:val="22"/>
        </w:rPr>
        <w:t xml:space="preserve">. Prostate-specific antigen is secreted by the epithelial cells of the prostate gland and produced for the ejaculate, where it liquefies semen in the seminal coagulum and allows sperm to swim freely. Serum PSA is commonly used as a biomarker for the early detection of prostate cancer </w:t>
      </w:r>
      <w:r w:rsidR="004C1F19">
        <w:rPr>
          <w:rFonts w:ascii="Arial" w:eastAsia="Calibri" w:hAnsi="Arial" w:cs="Arial"/>
          <w:szCs w:val="22"/>
        </w:rPr>
        <w:t>[8]</w:t>
      </w:r>
      <w:r w:rsidRPr="00E70D21">
        <w:rPr>
          <w:rFonts w:ascii="Arial" w:eastAsia="Calibri" w:hAnsi="Arial" w:cs="Arial"/>
          <w:szCs w:val="22"/>
        </w:rPr>
        <w:t xml:space="preserve">. Elevated PSA levels have been observed in smokers or alcohol consumers </w:t>
      </w:r>
      <w:r w:rsidR="00731588">
        <w:rPr>
          <w:rFonts w:ascii="Arial" w:eastAsia="Calibri" w:hAnsi="Arial" w:cs="Arial"/>
          <w:szCs w:val="22"/>
        </w:rPr>
        <w:t>[9]</w:t>
      </w:r>
      <w:r w:rsidRPr="00E70D21">
        <w:rPr>
          <w:rFonts w:ascii="Arial" w:eastAsia="Calibri" w:hAnsi="Arial" w:cs="Arial"/>
          <w:szCs w:val="22"/>
        </w:rPr>
        <w:t xml:space="preserve">. Inflammatory markers are a disparate set of biomarkers that are used clinically to assess a patient for presence or absence of an active inflammatory disease process and the activity of a known disease </w:t>
      </w:r>
      <w:r w:rsidR="004A1FCF">
        <w:rPr>
          <w:rFonts w:ascii="Arial" w:eastAsia="Calibri" w:hAnsi="Arial" w:cs="Arial"/>
          <w:szCs w:val="22"/>
        </w:rPr>
        <w:t>[10].</w:t>
      </w:r>
      <w:r w:rsidR="006F425A">
        <w:rPr>
          <w:rFonts w:ascii="Arial" w:eastAsia="Calibri" w:hAnsi="Arial" w:cs="Arial"/>
          <w:szCs w:val="22"/>
        </w:rPr>
        <w:t xml:space="preserve"> </w:t>
      </w:r>
      <w:r w:rsidR="006F425A" w:rsidRPr="006F425A">
        <w:rPr>
          <w:rFonts w:ascii="Arial" w:eastAsia="Calibri" w:hAnsi="Arial" w:cs="Arial"/>
          <w:szCs w:val="22"/>
          <w:highlight w:val="yellow"/>
        </w:rPr>
        <w:t>PSA is a commonly used test</w:t>
      </w:r>
      <w:r w:rsidR="006F425A" w:rsidRPr="006F425A">
        <w:rPr>
          <w:rFonts w:ascii="Arial" w:eastAsia="Calibri" w:hAnsi="Arial" w:cs="Arial"/>
          <w:szCs w:val="22"/>
          <w:highlight w:val="yellow"/>
        </w:rPr>
        <w:t xml:space="preserve"> </w:t>
      </w:r>
      <w:r w:rsidR="006F425A" w:rsidRPr="006F425A">
        <w:rPr>
          <w:rFonts w:ascii="Arial" w:eastAsia="Calibri" w:hAnsi="Arial" w:cs="Arial"/>
          <w:szCs w:val="22"/>
          <w:highlight w:val="yellow"/>
        </w:rPr>
        <w:t>for the detection of prostate cancer, identifying patients</w:t>
      </w:r>
      <w:r w:rsidR="006F425A" w:rsidRPr="006F425A">
        <w:rPr>
          <w:rFonts w:ascii="Arial" w:eastAsia="Calibri" w:hAnsi="Arial" w:cs="Arial"/>
          <w:szCs w:val="22"/>
          <w:highlight w:val="yellow"/>
        </w:rPr>
        <w:t xml:space="preserve"> </w:t>
      </w:r>
      <w:r w:rsidR="006F425A" w:rsidRPr="006F425A">
        <w:rPr>
          <w:rFonts w:ascii="Arial" w:eastAsia="Calibri" w:hAnsi="Arial" w:cs="Arial"/>
          <w:szCs w:val="22"/>
          <w:highlight w:val="yellow"/>
        </w:rPr>
        <w:t>that may require a diagnostic test</w:t>
      </w:r>
      <w:r w:rsidR="006F425A" w:rsidRPr="006F425A">
        <w:rPr>
          <w:rFonts w:ascii="Arial" w:eastAsia="Calibri" w:hAnsi="Arial" w:cs="Arial"/>
          <w:szCs w:val="22"/>
          <w:highlight w:val="yellow"/>
        </w:rPr>
        <w:t xml:space="preserve"> [41].</w:t>
      </w:r>
      <w:r w:rsidR="006F425A">
        <w:rPr>
          <w:rFonts w:ascii="Arial" w:eastAsia="Calibri" w:hAnsi="Arial" w:cs="Arial"/>
          <w:szCs w:val="22"/>
        </w:rPr>
        <w:t xml:space="preserve"> </w:t>
      </w:r>
    </w:p>
    <w:p w14:paraId="0435842F" w14:textId="77777777" w:rsidR="0037595E" w:rsidRDefault="0037595E" w:rsidP="0068158B">
      <w:pPr>
        <w:pStyle w:val="Body"/>
        <w:spacing w:after="0"/>
        <w:rPr>
          <w:rFonts w:ascii="Arial" w:eastAsia="Calibri" w:hAnsi="Arial" w:cs="Arial"/>
          <w:szCs w:val="22"/>
        </w:rPr>
      </w:pPr>
    </w:p>
    <w:p w14:paraId="1A89B73D" w14:textId="634B19EC" w:rsidR="0086408B" w:rsidRPr="0086408B" w:rsidRDefault="0086408B" w:rsidP="0086408B">
      <w:pPr>
        <w:pStyle w:val="Body"/>
        <w:rPr>
          <w:rFonts w:ascii="Arial" w:eastAsia="Calibri" w:hAnsi="Arial" w:cs="Arial"/>
          <w:szCs w:val="22"/>
        </w:rPr>
      </w:pPr>
      <w:r w:rsidRPr="0086408B">
        <w:rPr>
          <w:rFonts w:ascii="Arial" w:eastAsia="Calibri" w:hAnsi="Arial" w:cs="Arial"/>
          <w:szCs w:val="22"/>
        </w:rPr>
        <w:t xml:space="preserve">Smoking is a practice in which a substance is </w:t>
      </w:r>
      <w:r w:rsidR="00E073E6" w:rsidRPr="0086408B">
        <w:rPr>
          <w:rFonts w:ascii="Arial" w:eastAsia="Calibri" w:hAnsi="Arial" w:cs="Arial"/>
          <w:szCs w:val="22"/>
        </w:rPr>
        <w:t>burned,</w:t>
      </w:r>
      <w:r w:rsidRPr="0086408B">
        <w:rPr>
          <w:rFonts w:ascii="Arial" w:eastAsia="Calibri" w:hAnsi="Arial" w:cs="Arial"/>
          <w:szCs w:val="22"/>
        </w:rPr>
        <w:t xml:space="preserve"> and the resulting smoke is typically breathed in to be tasted and absorbed into the bloodstream. The most popular type of substance that is smoked is </w:t>
      </w:r>
      <w:r w:rsidR="00340FF2" w:rsidRPr="0086408B">
        <w:rPr>
          <w:rFonts w:ascii="Arial" w:eastAsia="Calibri" w:hAnsi="Arial" w:cs="Arial"/>
          <w:szCs w:val="22"/>
        </w:rPr>
        <w:t>tobacco</w:t>
      </w:r>
      <w:r w:rsidR="00340FF2">
        <w:rPr>
          <w:rFonts w:ascii="Arial" w:eastAsia="Calibri" w:hAnsi="Arial" w:cs="Arial"/>
          <w:szCs w:val="22"/>
        </w:rPr>
        <w:t xml:space="preserve"> [</w:t>
      </w:r>
      <w:r w:rsidR="001130C2">
        <w:rPr>
          <w:rFonts w:ascii="Arial" w:eastAsia="Calibri" w:hAnsi="Arial" w:cs="Arial"/>
          <w:szCs w:val="22"/>
        </w:rPr>
        <w:t>11]</w:t>
      </w:r>
      <w:r w:rsidRPr="0086408B">
        <w:rPr>
          <w:rFonts w:ascii="Arial" w:eastAsia="Calibri" w:hAnsi="Arial" w:cs="Arial"/>
          <w:szCs w:val="22"/>
        </w:rPr>
        <w:t xml:space="preserve">. Press et al., </w:t>
      </w:r>
      <w:r w:rsidR="004C0455">
        <w:rPr>
          <w:rFonts w:ascii="Arial" w:eastAsia="Calibri" w:hAnsi="Arial" w:cs="Arial"/>
          <w:szCs w:val="22"/>
        </w:rPr>
        <w:t>[12]</w:t>
      </w:r>
      <w:r w:rsidRPr="0086408B">
        <w:rPr>
          <w:rFonts w:ascii="Arial" w:eastAsia="Calibri" w:hAnsi="Arial" w:cs="Arial"/>
          <w:szCs w:val="22"/>
        </w:rPr>
        <w:t xml:space="preserve"> examined associations between cigarette smoking history, other current tobacco use including e-cigarettes, and current marijuana use on PSA levels within a sample of African American (AA) men in Chicago. Among AA men ≥55 years, they found suggestive evidence that a history of heavy cigarette smoking was associated with higher likelihood of elevated PSA (≥4ng/mL), other current tobacco use was associated with continuous increases in PSA levels relative to non-users of other tobacco products. Smoking is one of the leading preventable causes of deaths globally and if the pattern of smoking all over the globe doesn’t change, more than 8 million people a year will die from diseases related to tobacco use by 2030 </w:t>
      </w:r>
      <w:r w:rsidR="004C0455">
        <w:rPr>
          <w:rFonts w:ascii="Arial" w:eastAsia="Calibri" w:hAnsi="Arial" w:cs="Arial"/>
          <w:szCs w:val="22"/>
        </w:rPr>
        <w:t>[11]</w:t>
      </w:r>
      <w:r w:rsidRPr="0086408B">
        <w:rPr>
          <w:rFonts w:ascii="Arial" w:eastAsia="Calibri" w:hAnsi="Arial" w:cs="Arial"/>
          <w:szCs w:val="22"/>
        </w:rPr>
        <w:t>.</w:t>
      </w:r>
      <w:r w:rsidR="0075725F">
        <w:rPr>
          <w:rFonts w:ascii="Arial" w:eastAsia="Calibri" w:hAnsi="Arial" w:cs="Arial"/>
          <w:szCs w:val="22"/>
        </w:rPr>
        <w:t xml:space="preserve"> </w:t>
      </w:r>
      <w:r w:rsidR="0075725F" w:rsidRPr="0075725F">
        <w:rPr>
          <w:rFonts w:ascii="Arial" w:eastAsia="Calibri" w:hAnsi="Arial" w:cs="Arial"/>
          <w:szCs w:val="22"/>
        </w:rPr>
        <w:t>There is currently limited data in Nigeria examining how smoking and alcohol consumption influence prostate function, inflammatory status balance among military personnel. This study is therefore necessary to bridge this knowledge gap by providing locally relevant data that can inform clinical practice and guide future research.</w:t>
      </w:r>
    </w:p>
    <w:p w14:paraId="56C09081" w14:textId="0D9C4324" w:rsidR="0086408B" w:rsidRDefault="00BD1A36" w:rsidP="0068158B">
      <w:pPr>
        <w:pStyle w:val="Body"/>
        <w:spacing w:after="0"/>
        <w:rPr>
          <w:rFonts w:ascii="Arial" w:eastAsia="Calibri" w:hAnsi="Arial" w:cs="Arial"/>
          <w:szCs w:val="22"/>
        </w:rPr>
      </w:pPr>
      <w:r w:rsidRPr="00BD1A36">
        <w:rPr>
          <w:rFonts w:ascii="Arial" w:eastAsia="Calibri" w:hAnsi="Arial" w:cs="Arial"/>
          <w:szCs w:val="22"/>
        </w:rPr>
        <w:t xml:space="preserve">Additionally, chronic inflammation </w:t>
      </w:r>
      <w:r w:rsidR="005D632E">
        <w:rPr>
          <w:rFonts w:ascii="Arial" w:eastAsia="Calibri" w:hAnsi="Arial" w:cs="Arial"/>
          <w:szCs w:val="22"/>
        </w:rPr>
        <w:t>has</w:t>
      </w:r>
      <w:r w:rsidRPr="00BD1A36">
        <w:rPr>
          <w:rFonts w:ascii="Arial" w:eastAsia="Calibri" w:hAnsi="Arial" w:cs="Arial"/>
          <w:szCs w:val="22"/>
        </w:rPr>
        <w:t xml:space="preserve"> also been associated with prostate diseases (Razzaque and </w:t>
      </w:r>
      <w:proofErr w:type="spellStart"/>
      <w:r w:rsidRPr="00BD1A36">
        <w:rPr>
          <w:rFonts w:ascii="Arial" w:eastAsia="Calibri" w:hAnsi="Arial" w:cs="Arial"/>
          <w:szCs w:val="22"/>
        </w:rPr>
        <w:t>Wimalawansa</w:t>
      </w:r>
      <w:proofErr w:type="spellEnd"/>
      <w:r w:rsidRPr="00BD1A36">
        <w:rPr>
          <w:rFonts w:ascii="Arial" w:eastAsia="Calibri" w:hAnsi="Arial" w:cs="Arial"/>
          <w:szCs w:val="22"/>
        </w:rPr>
        <w:t>, 2025). Evaluating serum levels of some prostate functioning biomarkers (</w:t>
      </w:r>
      <w:proofErr w:type="spellStart"/>
      <w:r w:rsidRPr="00BD1A36">
        <w:rPr>
          <w:rFonts w:ascii="Arial" w:eastAsia="Calibri" w:hAnsi="Arial" w:cs="Arial"/>
          <w:szCs w:val="22"/>
        </w:rPr>
        <w:t>fPSA</w:t>
      </w:r>
      <w:proofErr w:type="spellEnd"/>
      <w:r w:rsidRPr="00BD1A36">
        <w:rPr>
          <w:rFonts w:ascii="Arial" w:eastAsia="Calibri" w:hAnsi="Arial" w:cs="Arial"/>
          <w:szCs w:val="22"/>
        </w:rPr>
        <w:t xml:space="preserve"> and </w:t>
      </w:r>
      <w:proofErr w:type="spellStart"/>
      <w:r w:rsidRPr="00BD1A36">
        <w:rPr>
          <w:rFonts w:ascii="Arial" w:eastAsia="Calibri" w:hAnsi="Arial" w:cs="Arial"/>
          <w:szCs w:val="22"/>
        </w:rPr>
        <w:t>tPSA</w:t>
      </w:r>
      <w:proofErr w:type="spellEnd"/>
      <w:r w:rsidRPr="00BD1A36">
        <w:rPr>
          <w:rFonts w:ascii="Arial" w:eastAsia="Calibri" w:hAnsi="Arial" w:cs="Arial"/>
          <w:szCs w:val="22"/>
        </w:rPr>
        <w:t xml:space="preserve">), inflammatory markers in male smokers and alcohol users can provide valuable insights into the association between these habits and prostate health. Given the limited research on the effects of cigarette smoking and alcohol use on prostate health in Nigerian males, </w:t>
      </w:r>
      <w:r w:rsidR="008A7CF3">
        <w:rPr>
          <w:rFonts w:ascii="Arial" w:eastAsia="Calibri" w:hAnsi="Arial" w:cs="Arial"/>
          <w:szCs w:val="22"/>
        </w:rPr>
        <w:t xml:space="preserve">therefore, the aim of this study was to assess the levels of </w:t>
      </w:r>
      <w:r w:rsidR="008A7CF3" w:rsidRPr="00E70D21">
        <w:rPr>
          <w:rFonts w:ascii="Arial" w:eastAsia="Calibri" w:hAnsi="Arial" w:cs="Arial"/>
          <w:szCs w:val="22"/>
        </w:rPr>
        <w:lastRenderedPageBreak/>
        <w:t>prostate specific antigen and some inflammatory markers in male military cigarette smokers and alcohol users attending Military Hospital Abuja, Nigeria</w:t>
      </w:r>
      <w:r w:rsidRPr="00BD1A36">
        <w:rPr>
          <w:rFonts w:ascii="Arial" w:eastAsia="Calibri" w:hAnsi="Arial" w:cs="Arial"/>
          <w:szCs w:val="22"/>
        </w:rPr>
        <w:t>.</w:t>
      </w:r>
    </w:p>
    <w:p w14:paraId="4C8ECE6A" w14:textId="25A7C759" w:rsidR="0068158B" w:rsidRPr="00BA1B01" w:rsidRDefault="0068158B" w:rsidP="0068158B">
      <w:pPr>
        <w:pStyle w:val="Body"/>
        <w:spacing w:after="0"/>
        <w:rPr>
          <w:rFonts w:ascii="Arial" w:eastAsia="Calibri" w:hAnsi="Arial" w:cs="Arial"/>
          <w:szCs w:val="22"/>
        </w:rPr>
      </w:pPr>
      <w:r>
        <w:rPr>
          <w:rFonts w:ascii="Arial" w:eastAsia="Calibri" w:hAnsi="Arial" w:cs="Arial"/>
          <w:szCs w:val="22"/>
        </w:rPr>
        <w:t xml:space="preserve"> </w:t>
      </w:r>
    </w:p>
    <w:p w14:paraId="4A7D3A81" w14:textId="77777777" w:rsidR="00790ADA" w:rsidRPr="00FB3A86" w:rsidRDefault="00790ADA" w:rsidP="00441B6F">
      <w:pPr>
        <w:pStyle w:val="Body"/>
        <w:spacing w:after="0"/>
        <w:rPr>
          <w:rFonts w:ascii="Arial" w:hAnsi="Arial" w:cs="Arial"/>
        </w:rPr>
      </w:pPr>
    </w:p>
    <w:p w14:paraId="413A3F21" w14:textId="2C4A0290" w:rsidR="007F7B32" w:rsidRDefault="00902823" w:rsidP="005C5D37">
      <w:pPr>
        <w:pStyle w:val="AbstHead"/>
        <w:jc w:val="both"/>
        <w:rPr>
          <w:rFonts w:ascii="Arial" w:hAnsi="Arial" w:cs="Arial"/>
        </w:rPr>
      </w:pPr>
      <w:r>
        <w:rPr>
          <w:rFonts w:ascii="Arial" w:hAnsi="Arial" w:cs="Arial"/>
        </w:rPr>
        <w:t>2. material</w:t>
      </w:r>
      <w:r w:rsidR="00401964">
        <w:rPr>
          <w:rFonts w:ascii="Arial" w:hAnsi="Arial" w:cs="Arial"/>
        </w:rPr>
        <w:t>S</w:t>
      </w:r>
      <w:r>
        <w:rPr>
          <w:rFonts w:ascii="Arial" w:hAnsi="Arial" w:cs="Arial"/>
        </w:rPr>
        <w:t xml:space="preserve"> and method</w:t>
      </w:r>
      <w:r w:rsidR="00000F8F">
        <w:rPr>
          <w:rFonts w:ascii="Arial" w:hAnsi="Arial" w:cs="Arial"/>
        </w:rPr>
        <w:t xml:space="preserve">s </w:t>
      </w:r>
    </w:p>
    <w:p w14:paraId="4F4EB277" w14:textId="56318FC5" w:rsidR="00B83A61" w:rsidRPr="00CA5A45" w:rsidRDefault="005C5D37" w:rsidP="005C5D37">
      <w:pPr>
        <w:pStyle w:val="Body"/>
        <w:spacing w:after="0"/>
        <w:rPr>
          <w:rFonts w:ascii="Arial" w:eastAsia="Calibri" w:hAnsi="Arial" w:cs="Arial"/>
          <w:b/>
          <w:bCs/>
          <w:sz w:val="22"/>
          <w:szCs w:val="24"/>
        </w:rPr>
      </w:pPr>
      <w:r w:rsidRPr="00CA5A45">
        <w:rPr>
          <w:rFonts w:ascii="Arial" w:eastAsia="Calibri" w:hAnsi="Arial" w:cs="Arial"/>
          <w:b/>
          <w:bCs/>
          <w:sz w:val="22"/>
          <w:szCs w:val="24"/>
        </w:rPr>
        <w:t>2</w:t>
      </w:r>
      <w:r w:rsidR="00B83A61" w:rsidRPr="00CA5A45">
        <w:rPr>
          <w:rFonts w:ascii="Arial" w:eastAsia="Calibri" w:hAnsi="Arial" w:cs="Arial"/>
          <w:b/>
          <w:bCs/>
          <w:sz w:val="22"/>
          <w:szCs w:val="24"/>
        </w:rPr>
        <w:t>.1</w:t>
      </w:r>
      <w:r w:rsidRPr="00CA5A45">
        <w:rPr>
          <w:rFonts w:ascii="Arial" w:eastAsia="Calibri" w:hAnsi="Arial" w:cs="Arial"/>
          <w:b/>
          <w:bCs/>
          <w:sz w:val="22"/>
          <w:szCs w:val="24"/>
        </w:rPr>
        <w:t xml:space="preserve"> </w:t>
      </w:r>
      <w:r w:rsidR="00B83A61" w:rsidRPr="00CA5A45">
        <w:rPr>
          <w:rFonts w:ascii="Arial" w:eastAsia="Calibri" w:hAnsi="Arial" w:cs="Arial"/>
          <w:b/>
          <w:bCs/>
          <w:sz w:val="22"/>
          <w:szCs w:val="24"/>
        </w:rPr>
        <w:t>Study Area</w:t>
      </w:r>
    </w:p>
    <w:p w14:paraId="19215A1F" w14:textId="7B05D87E"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t xml:space="preserve">This study was done in Federal Capital Territory, Abuja, Nigeria located just north of the confluence of the Niger River and Benue River. It is bordered by the states of Niger to the west and north for 179 km, Kaduna to the northeast for 45 km, Nasarawa to the east and south for 156 km, and Kogi to the southwest for 17 km. The Federal Capital Territory is geographically located at the center of the country lying between latitudes 8.25 and 9.20 degrees north of the equator and longitudes 6.45 and 7.39 degrees east of Greenwich Meridian. The Federal Capital Territory has a landmass of approximately 7,315 km2, and it is situated within the savannah region with moderate climatic conditions </w:t>
      </w:r>
      <w:r w:rsidR="00315881">
        <w:rPr>
          <w:rFonts w:ascii="Arial" w:eastAsia="Calibri" w:hAnsi="Arial" w:cs="Arial"/>
          <w:szCs w:val="22"/>
        </w:rPr>
        <w:t>[13]</w:t>
      </w:r>
      <w:r w:rsidRPr="00B83A61">
        <w:rPr>
          <w:rFonts w:ascii="Arial" w:eastAsia="Calibri" w:hAnsi="Arial" w:cs="Arial"/>
          <w:szCs w:val="22"/>
        </w:rPr>
        <w:t xml:space="preserve">. </w:t>
      </w:r>
    </w:p>
    <w:p w14:paraId="2F8B1767" w14:textId="77777777"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t>The study was carried out at Army Command and NAOWA Hospital, located in Asokoro District. Asokoro lies in the south-eastern part of central Abuja and accommodates a significant number of military personnel. The proximity of the study location to major Army Command elements within the FCT provides access to a military-dense population. This makes the area suitable for studies involving military personnel.</w:t>
      </w:r>
    </w:p>
    <w:p w14:paraId="397156FE" w14:textId="650AE192" w:rsidR="00D0702F" w:rsidRDefault="00D0702F" w:rsidP="00B83A61">
      <w:pPr>
        <w:pStyle w:val="Body"/>
        <w:rPr>
          <w:rFonts w:ascii="Arial" w:eastAsia="Calibri" w:hAnsi="Arial" w:cs="Arial"/>
          <w:szCs w:val="22"/>
        </w:rPr>
      </w:pPr>
      <w:r>
        <w:rPr>
          <w:noProof/>
        </w:rPr>
        <w:drawing>
          <wp:inline distT="0" distB="0" distL="0" distR="0" wp14:anchorId="6D7C8B5B" wp14:editId="2B67A037">
            <wp:extent cx="5212080" cy="2853829"/>
            <wp:effectExtent l="0" t="0" r="7620" b="3810"/>
            <wp:docPr id="329" name="Picture 329" descr="Location Map of Federal Capital Territory, Abuja showing the Study Area (Agunleti and Arikaw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ation Map of Federal Capital Territory, Abuja showing the Study Area (Agunleti and Arikawe, 20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2853829"/>
                    </a:xfrm>
                    <a:prstGeom prst="rect">
                      <a:avLst/>
                    </a:prstGeom>
                    <a:noFill/>
                    <a:ln>
                      <a:noFill/>
                    </a:ln>
                  </pic:spPr>
                </pic:pic>
              </a:graphicData>
            </a:graphic>
          </wp:inline>
        </w:drawing>
      </w:r>
      <w:r w:rsidR="00B83A61" w:rsidRPr="00B83A61">
        <w:rPr>
          <w:rFonts w:ascii="Arial" w:eastAsia="Calibri" w:hAnsi="Arial" w:cs="Arial"/>
          <w:szCs w:val="22"/>
        </w:rPr>
        <w:t xml:space="preserve"> </w:t>
      </w:r>
    </w:p>
    <w:p w14:paraId="060D907B" w14:textId="126D1EC5" w:rsidR="00B83A61" w:rsidRPr="0082621C" w:rsidRDefault="00B83A61" w:rsidP="00B83A61">
      <w:pPr>
        <w:pStyle w:val="Body"/>
        <w:rPr>
          <w:rFonts w:ascii="Arial" w:eastAsia="Calibri" w:hAnsi="Arial" w:cs="Arial"/>
          <w:b/>
          <w:bCs/>
          <w:szCs w:val="22"/>
        </w:rPr>
      </w:pPr>
      <w:r w:rsidRPr="0082621C">
        <w:rPr>
          <w:rFonts w:ascii="Arial" w:eastAsia="Calibri" w:hAnsi="Arial" w:cs="Arial"/>
          <w:b/>
          <w:bCs/>
          <w:szCs w:val="22"/>
        </w:rPr>
        <w:t xml:space="preserve">Figure 1:  Map of Federal Capital Territory, Abuja Showing the Study Area. </w:t>
      </w:r>
      <w:r w:rsidR="00A84BBA">
        <w:rPr>
          <w:rFonts w:ascii="Arial" w:eastAsia="Calibri" w:hAnsi="Arial" w:cs="Arial"/>
          <w:b/>
          <w:bCs/>
          <w:szCs w:val="22"/>
        </w:rPr>
        <w:t>[</w:t>
      </w:r>
      <w:r w:rsidR="00ED6976">
        <w:rPr>
          <w:rFonts w:ascii="Arial" w:eastAsia="Calibri" w:hAnsi="Arial" w:cs="Arial"/>
          <w:b/>
          <w:bCs/>
          <w:szCs w:val="22"/>
        </w:rPr>
        <w:t>14]</w:t>
      </w:r>
    </w:p>
    <w:p w14:paraId="516C6BCA" w14:textId="6260815C" w:rsidR="00B83A61" w:rsidRPr="00CA5A45" w:rsidRDefault="00B83A61" w:rsidP="00CF313E">
      <w:pPr>
        <w:pStyle w:val="Body"/>
        <w:spacing w:after="0"/>
        <w:rPr>
          <w:rFonts w:ascii="Arial" w:eastAsia="Calibri" w:hAnsi="Arial" w:cs="Arial"/>
          <w:b/>
          <w:bCs/>
          <w:sz w:val="22"/>
          <w:szCs w:val="24"/>
        </w:rPr>
      </w:pPr>
      <w:r w:rsidRPr="00B83A61">
        <w:rPr>
          <w:rFonts w:ascii="Arial" w:eastAsia="Calibri" w:hAnsi="Arial" w:cs="Arial"/>
          <w:szCs w:val="22"/>
        </w:rPr>
        <w:t xml:space="preserve">                                                                                                                                                                                                                                                                                                                                                                                                                                                                                                                                                                                                                                                                                                                         </w:t>
      </w:r>
      <w:r w:rsidR="004F4AB8" w:rsidRPr="00CA5A45">
        <w:rPr>
          <w:rFonts w:ascii="Arial" w:eastAsia="Calibri" w:hAnsi="Arial" w:cs="Arial"/>
          <w:b/>
          <w:bCs/>
          <w:sz w:val="22"/>
          <w:szCs w:val="24"/>
        </w:rPr>
        <w:t>2</w:t>
      </w:r>
      <w:r w:rsidRPr="00CA5A45">
        <w:rPr>
          <w:rFonts w:ascii="Arial" w:eastAsia="Calibri" w:hAnsi="Arial" w:cs="Arial"/>
          <w:b/>
          <w:bCs/>
          <w:sz w:val="22"/>
          <w:szCs w:val="24"/>
        </w:rPr>
        <w:t>.2</w:t>
      </w:r>
      <w:r w:rsidR="004F4AB8" w:rsidRPr="00CA5A45">
        <w:rPr>
          <w:rFonts w:ascii="Arial" w:eastAsia="Calibri" w:hAnsi="Arial" w:cs="Arial"/>
          <w:b/>
          <w:bCs/>
          <w:sz w:val="22"/>
          <w:szCs w:val="24"/>
        </w:rPr>
        <w:t xml:space="preserve"> </w:t>
      </w:r>
      <w:r w:rsidRPr="00CA5A45">
        <w:rPr>
          <w:rFonts w:ascii="Arial" w:eastAsia="Calibri" w:hAnsi="Arial" w:cs="Arial"/>
          <w:b/>
          <w:bCs/>
          <w:sz w:val="22"/>
          <w:szCs w:val="24"/>
        </w:rPr>
        <w:t>Study Design and Participants</w:t>
      </w:r>
    </w:p>
    <w:p w14:paraId="47700B8F" w14:textId="77777777"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t xml:space="preserve">This is a cross-sectional study involving a total of one hundred and sixty (160) male military personnel aged 25 to 64 years comprising of 25 cigarette smokers, 45 alcohol consumers, 45 male military personnel who both smokes and consume alcohol and 45 controls. Written informed consent was obtained from all study subjects, and ethical approval was received from Army Command and NAOWA Hospital ethics committee. Data on smoking and alcohol consumption were obtained through self-reporting questionnaires. </w:t>
      </w:r>
    </w:p>
    <w:p w14:paraId="30784B5C" w14:textId="2944C4EB" w:rsidR="00B83A61" w:rsidRPr="00CA5A45" w:rsidRDefault="00B83A61" w:rsidP="00CF313E">
      <w:pPr>
        <w:pStyle w:val="Body"/>
        <w:spacing w:after="0"/>
        <w:rPr>
          <w:rFonts w:ascii="Arial" w:eastAsia="Calibri" w:hAnsi="Arial" w:cs="Arial"/>
          <w:b/>
          <w:bCs/>
          <w:sz w:val="22"/>
          <w:szCs w:val="24"/>
        </w:rPr>
      </w:pPr>
      <w:r w:rsidRPr="00CA5A45">
        <w:rPr>
          <w:rFonts w:ascii="Arial" w:eastAsia="Calibri" w:hAnsi="Arial" w:cs="Arial"/>
          <w:b/>
          <w:bCs/>
          <w:sz w:val="22"/>
          <w:szCs w:val="24"/>
        </w:rPr>
        <w:t>2.</w:t>
      </w:r>
      <w:r w:rsidR="00CF313E" w:rsidRPr="00CA5A45">
        <w:rPr>
          <w:rFonts w:ascii="Arial" w:eastAsia="Calibri" w:hAnsi="Arial" w:cs="Arial"/>
          <w:b/>
          <w:bCs/>
          <w:sz w:val="22"/>
          <w:szCs w:val="24"/>
        </w:rPr>
        <w:t xml:space="preserve">3 </w:t>
      </w:r>
      <w:r w:rsidRPr="00CA5A45">
        <w:rPr>
          <w:rFonts w:ascii="Arial" w:eastAsia="Calibri" w:hAnsi="Arial" w:cs="Arial"/>
          <w:b/>
          <w:bCs/>
          <w:sz w:val="22"/>
          <w:szCs w:val="24"/>
        </w:rPr>
        <w:t>Inclusion Criteria</w:t>
      </w:r>
    </w:p>
    <w:p w14:paraId="11EFDD2B" w14:textId="18289DF2" w:rsidR="00B83A61" w:rsidRPr="00B83A61" w:rsidRDefault="00B83A61" w:rsidP="0082621C">
      <w:pPr>
        <w:pStyle w:val="Body"/>
        <w:spacing w:after="0"/>
        <w:rPr>
          <w:rFonts w:ascii="Arial" w:eastAsia="Calibri" w:hAnsi="Arial" w:cs="Arial"/>
          <w:szCs w:val="22"/>
        </w:rPr>
      </w:pPr>
      <w:r w:rsidRPr="00B83A61">
        <w:rPr>
          <w:rFonts w:ascii="Arial" w:eastAsia="Calibri" w:hAnsi="Arial" w:cs="Arial"/>
          <w:szCs w:val="22"/>
        </w:rPr>
        <w:t>The Study group consist</w:t>
      </w:r>
      <w:r w:rsidR="00CF313E">
        <w:rPr>
          <w:rFonts w:ascii="Arial" w:eastAsia="Calibri" w:hAnsi="Arial" w:cs="Arial"/>
          <w:szCs w:val="22"/>
        </w:rPr>
        <w:t>ed</w:t>
      </w:r>
      <w:r w:rsidRPr="00B83A61">
        <w:rPr>
          <w:rFonts w:ascii="Arial" w:eastAsia="Calibri" w:hAnsi="Arial" w:cs="Arial"/>
          <w:szCs w:val="22"/>
        </w:rPr>
        <w:t xml:space="preserve"> of male military personnel attending Army Command and NAOWA hospital who:</w:t>
      </w:r>
    </w:p>
    <w:p w14:paraId="3A047ECE" w14:textId="25C521EC" w:rsidR="00B83A61" w:rsidRPr="00B83A61" w:rsidRDefault="00B83A61" w:rsidP="00CF313E">
      <w:pPr>
        <w:pStyle w:val="Body"/>
        <w:spacing w:after="0"/>
        <w:rPr>
          <w:rFonts w:ascii="Arial" w:eastAsia="Calibri" w:hAnsi="Arial" w:cs="Arial"/>
          <w:szCs w:val="22"/>
        </w:rPr>
      </w:pPr>
      <w:proofErr w:type="spellStart"/>
      <w:r w:rsidRPr="00B83A61">
        <w:rPr>
          <w:rFonts w:ascii="Arial" w:eastAsia="Calibri" w:hAnsi="Arial" w:cs="Arial"/>
          <w:szCs w:val="22"/>
        </w:rPr>
        <w:t>i</w:t>
      </w:r>
      <w:proofErr w:type="spellEnd"/>
      <w:r w:rsidRPr="00B83A61">
        <w:rPr>
          <w:rFonts w:ascii="Arial" w:eastAsia="Calibri" w:hAnsi="Arial" w:cs="Arial"/>
          <w:szCs w:val="22"/>
        </w:rPr>
        <w:t>. Smoke cigarette only (at least 2 times a week).</w:t>
      </w:r>
    </w:p>
    <w:p w14:paraId="598189EA" w14:textId="77777777" w:rsidR="00B83A61" w:rsidRPr="00B83A61" w:rsidRDefault="00B83A61" w:rsidP="00CF313E">
      <w:pPr>
        <w:pStyle w:val="Body"/>
        <w:spacing w:after="0"/>
        <w:rPr>
          <w:rFonts w:ascii="Arial" w:eastAsia="Calibri" w:hAnsi="Arial" w:cs="Arial"/>
          <w:szCs w:val="22"/>
        </w:rPr>
      </w:pPr>
      <w:r w:rsidRPr="00B83A61">
        <w:rPr>
          <w:rFonts w:ascii="Arial" w:eastAsia="Calibri" w:hAnsi="Arial" w:cs="Arial"/>
          <w:szCs w:val="22"/>
        </w:rPr>
        <w:t>ii. Consumed alcohol only (at least 2 times a week).</w:t>
      </w:r>
    </w:p>
    <w:p w14:paraId="5994B11F" w14:textId="77777777" w:rsidR="00B83A61" w:rsidRPr="00B83A61" w:rsidRDefault="00B83A61" w:rsidP="00CF313E">
      <w:pPr>
        <w:pStyle w:val="Body"/>
        <w:spacing w:after="0"/>
        <w:rPr>
          <w:rFonts w:ascii="Arial" w:eastAsia="Calibri" w:hAnsi="Arial" w:cs="Arial"/>
          <w:szCs w:val="22"/>
        </w:rPr>
      </w:pPr>
      <w:r w:rsidRPr="00B83A61">
        <w:rPr>
          <w:rFonts w:ascii="Arial" w:eastAsia="Calibri" w:hAnsi="Arial" w:cs="Arial"/>
          <w:szCs w:val="22"/>
        </w:rPr>
        <w:t>iii. Smoked and consumed alcohol.</w:t>
      </w:r>
    </w:p>
    <w:p w14:paraId="385BC74E" w14:textId="77777777" w:rsidR="00B83A61" w:rsidRPr="00B83A61" w:rsidRDefault="00B83A61" w:rsidP="00CF313E">
      <w:pPr>
        <w:pStyle w:val="Body"/>
        <w:spacing w:after="0"/>
        <w:rPr>
          <w:rFonts w:ascii="Arial" w:eastAsia="Calibri" w:hAnsi="Arial" w:cs="Arial"/>
          <w:szCs w:val="22"/>
        </w:rPr>
      </w:pPr>
      <w:r w:rsidRPr="00B83A61">
        <w:rPr>
          <w:rFonts w:ascii="Arial" w:eastAsia="Calibri" w:hAnsi="Arial" w:cs="Arial"/>
          <w:szCs w:val="22"/>
        </w:rPr>
        <w:t>iv. Are within the age range of 25-64years.</w:t>
      </w:r>
    </w:p>
    <w:p w14:paraId="45C67B22" w14:textId="139C1B9C" w:rsidR="00B83A61" w:rsidRPr="00B83A61" w:rsidRDefault="00B83A61" w:rsidP="002F3871">
      <w:pPr>
        <w:pStyle w:val="Body"/>
        <w:spacing w:after="0"/>
        <w:rPr>
          <w:rFonts w:ascii="Arial" w:eastAsia="Calibri" w:hAnsi="Arial" w:cs="Arial"/>
          <w:szCs w:val="22"/>
        </w:rPr>
      </w:pPr>
      <w:r w:rsidRPr="00B83A61">
        <w:rPr>
          <w:rFonts w:ascii="Arial" w:eastAsia="Calibri" w:hAnsi="Arial" w:cs="Arial"/>
          <w:szCs w:val="22"/>
        </w:rPr>
        <w:t>Those included in this group were male military personnel who:</w:t>
      </w:r>
    </w:p>
    <w:p w14:paraId="6A6E8E4E" w14:textId="77777777" w:rsidR="00B83A61" w:rsidRPr="00B83A61" w:rsidRDefault="00B83A61" w:rsidP="002F3871">
      <w:pPr>
        <w:pStyle w:val="Body"/>
        <w:spacing w:after="0"/>
        <w:rPr>
          <w:rFonts w:ascii="Arial" w:eastAsia="Calibri" w:hAnsi="Arial" w:cs="Arial"/>
          <w:szCs w:val="22"/>
        </w:rPr>
      </w:pPr>
      <w:proofErr w:type="spellStart"/>
      <w:r w:rsidRPr="00B83A61">
        <w:rPr>
          <w:rFonts w:ascii="Arial" w:eastAsia="Calibri" w:hAnsi="Arial" w:cs="Arial"/>
          <w:szCs w:val="22"/>
        </w:rPr>
        <w:lastRenderedPageBreak/>
        <w:t>i</w:t>
      </w:r>
      <w:proofErr w:type="spellEnd"/>
      <w:r w:rsidRPr="00B83A61">
        <w:rPr>
          <w:rFonts w:ascii="Arial" w:eastAsia="Calibri" w:hAnsi="Arial" w:cs="Arial"/>
          <w:szCs w:val="22"/>
        </w:rPr>
        <w:t>. Are non-cigarette smokers.</w:t>
      </w:r>
    </w:p>
    <w:p w14:paraId="2E564710" w14:textId="77777777" w:rsidR="00B83A61" w:rsidRPr="00B83A61" w:rsidRDefault="00B83A61" w:rsidP="002F3871">
      <w:pPr>
        <w:pStyle w:val="Body"/>
        <w:spacing w:after="0"/>
        <w:rPr>
          <w:rFonts w:ascii="Arial" w:eastAsia="Calibri" w:hAnsi="Arial" w:cs="Arial"/>
          <w:szCs w:val="22"/>
        </w:rPr>
      </w:pPr>
      <w:r w:rsidRPr="00B83A61">
        <w:rPr>
          <w:rFonts w:ascii="Arial" w:eastAsia="Calibri" w:hAnsi="Arial" w:cs="Arial"/>
          <w:szCs w:val="22"/>
        </w:rPr>
        <w:t>ii. Do not consume alcohol.</w:t>
      </w:r>
    </w:p>
    <w:p w14:paraId="3EF10CE6" w14:textId="77777777" w:rsidR="00B83A61" w:rsidRPr="00B83A61" w:rsidRDefault="00B83A61" w:rsidP="002F3871">
      <w:pPr>
        <w:pStyle w:val="Body"/>
        <w:spacing w:after="0"/>
        <w:rPr>
          <w:rFonts w:ascii="Arial" w:eastAsia="Calibri" w:hAnsi="Arial" w:cs="Arial"/>
          <w:szCs w:val="22"/>
        </w:rPr>
      </w:pPr>
      <w:r w:rsidRPr="00B83A61">
        <w:rPr>
          <w:rFonts w:ascii="Arial" w:eastAsia="Calibri" w:hAnsi="Arial" w:cs="Arial"/>
          <w:szCs w:val="22"/>
        </w:rPr>
        <w:t>iii. Are within the ages of 25 years to 64 years old.</w:t>
      </w:r>
    </w:p>
    <w:p w14:paraId="4088B676" w14:textId="138FF1B1" w:rsidR="00B83A61" w:rsidRPr="00CA5A45" w:rsidRDefault="00B83A61" w:rsidP="002F3871">
      <w:pPr>
        <w:pStyle w:val="Body"/>
        <w:spacing w:before="240" w:after="0"/>
        <w:rPr>
          <w:rFonts w:ascii="Arial" w:eastAsia="Calibri" w:hAnsi="Arial" w:cs="Arial"/>
          <w:b/>
          <w:bCs/>
          <w:sz w:val="22"/>
          <w:szCs w:val="24"/>
        </w:rPr>
      </w:pPr>
      <w:r w:rsidRPr="00CA5A45">
        <w:rPr>
          <w:rFonts w:ascii="Arial" w:eastAsia="Calibri" w:hAnsi="Arial" w:cs="Arial"/>
          <w:b/>
          <w:bCs/>
          <w:sz w:val="22"/>
          <w:szCs w:val="24"/>
        </w:rPr>
        <w:t>2.</w:t>
      </w:r>
      <w:r w:rsidR="002F3871" w:rsidRPr="00CA5A45">
        <w:rPr>
          <w:rFonts w:ascii="Arial" w:eastAsia="Calibri" w:hAnsi="Arial" w:cs="Arial"/>
          <w:b/>
          <w:bCs/>
          <w:sz w:val="22"/>
          <w:szCs w:val="24"/>
        </w:rPr>
        <w:t xml:space="preserve">4 </w:t>
      </w:r>
      <w:r w:rsidRPr="00CA5A45">
        <w:rPr>
          <w:rFonts w:ascii="Arial" w:eastAsia="Calibri" w:hAnsi="Arial" w:cs="Arial"/>
          <w:b/>
          <w:bCs/>
          <w:sz w:val="22"/>
          <w:szCs w:val="24"/>
        </w:rPr>
        <w:t>Exclusion Criteria</w:t>
      </w:r>
    </w:p>
    <w:p w14:paraId="57CC9DB7" w14:textId="77777777" w:rsidR="00B83A61" w:rsidRPr="00B83A61" w:rsidRDefault="00B83A61" w:rsidP="0082621C">
      <w:pPr>
        <w:pStyle w:val="Body"/>
        <w:spacing w:after="0"/>
        <w:rPr>
          <w:rFonts w:ascii="Arial" w:eastAsia="Calibri" w:hAnsi="Arial" w:cs="Arial"/>
          <w:szCs w:val="22"/>
        </w:rPr>
      </w:pPr>
      <w:r w:rsidRPr="00B83A61">
        <w:rPr>
          <w:rFonts w:ascii="Arial" w:eastAsia="Calibri" w:hAnsi="Arial" w:cs="Arial"/>
          <w:szCs w:val="22"/>
        </w:rPr>
        <w:t>Study subjects with any of the following conditions were excluded from this study with the application of questionnaire:</w:t>
      </w:r>
    </w:p>
    <w:p w14:paraId="5FCB4EF1" w14:textId="1975071F" w:rsidR="00B83A61" w:rsidRPr="00B83A61" w:rsidRDefault="00B83A61" w:rsidP="002F3871">
      <w:pPr>
        <w:pStyle w:val="Body"/>
        <w:spacing w:after="0"/>
        <w:rPr>
          <w:rFonts w:ascii="Arial" w:eastAsia="Calibri" w:hAnsi="Arial" w:cs="Arial"/>
          <w:szCs w:val="22"/>
        </w:rPr>
      </w:pPr>
      <w:proofErr w:type="spellStart"/>
      <w:r w:rsidRPr="00B83A61">
        <w:rPr>
          <w:rFonts w:ascii="Arial" w:eastAsia="Calibri" w:hAnsi="Arial" w:cs="Arial"/>
          <w:szCs w:val="22"/>
        </w:rPr>
        <w:t>i</w:t>
      </w:r>
      <w:proofErr w:type="spellEnd"/>
      <w:r w:rsidRPr="00B83A61">
        <w:rPr>
          <w:rFonts w:ascii="Arial" w:eastAsia="Calibri" w:hAnsi="Arial" w:cs="Arial"/>
          <w:szCs w:val="22"/>
        </w:rPr>
        <w:t>.</w:t>
      </w:r>
      <w:r w:rsidR="002F3871">
        <w:rPr>
          <w:rFonts w:ascii="Arial" w:eastAsia="Calibri" w:hAnsi="Arial" w:cs="Arial"/>
          <w:szCs w:val="22"/>
        </w:rPr>
        <w:t xml:space="preserve"> </w:t>
      </w:r>
      <w:r w:rsidRPr="00B83A61">
        <w:rPr>
          <w:rFonts w:ascii="Arial" w:eastAsia="Calibri" w:hAnsi="Arial" w:cs="Arial"/>
          <w:szCs w:val="22"/>
        </w:rPr>
        <w:t xml:space="preserve">Chronic illness and disease conditions like cancer, hypertension, asthma, diabetes among others that will affect PSA, </w:t>
      </w:r>
      <w:r w:rsidR="006C5B8F" w:rsidRPr="00B83A61">
        <w:rPr>
          <w:rFonts w:ascii="Arial" w:eastAsia="Calibri" w:hAnsi="Arial" w:cs="Arial"/>
          <w:szCs w:val="22"/>
        </w:rPr>
        <w:t xml:space="preserve">inflammatory </w:t>
      </w:r>
      <w:r w:rsidR="006C5B8F">
        <w:rPr>
          <w:rFonts w:ascii="Arial" w:eastAsia="Calibri" w:hAnsi="Arial" w:cs="Arial"/>
          <w:szCs w:val="22"/>
        </w:rPr>
        <w:t>markers</w:t>
      </w:r>
      <w:r w:rsidR="00BE5920">
        <w:rPr>
          <w:rFonts w:ascii="Arial" w:eastAsia="Calibri" w:hAnsi="Arial" w:cs="Arial"/>
          <w:szCs w:val="22"/>
        </w:rPr>
        <w:t xml:space="preserve"> </w:t>
      </w:r>
      <w:r w:rsidRPr="00B83A61">
        <w:rPr>
          <w:rFonts w:ascii="Arial" w:eastAsia="Calibri" w:hAnsi="Arial" w:cs="Arial"/>
          <w:szCs w:val="22"/>
        </w:rPr>
        <w:t>and levels were excluded.</w:t>
      </w:r>
    </w:p>
    <w:p w14:paraId="15A06F1C" w14:textId="6158E812" w:rsidR="00B83A61" w:rsidRPr="00B83A61" w:rsidRDefault="00B83A61" w:rsidP="0082621C">
      <w:pPr>
        <w:pStyle w:val="Body"/>
        <w:rPr>
          <w:rFonts w:ascii="Arial" w:eastAsia="Calibri" w:hAnsi="Arial" w:cs="Arial"/>
          <w:szCs w:val="22"/>
        </w:rPr>
      </w:pPr>
      <w:r w:rsidRPr="00B83A61">
        <w:rPr>
          <w:rFonts w:ascii="Arial" w:eastAsia="Calibri" w:hAnsi="Arial" w:cs="Arial"/>
          <w:szCs w:val="22"/>
        </w:rPr>
        <w:t>ii.</w:t>
      </w:r>
      <w:r w:rsidR="002F3871">
        <w:rPr>
          <w:rFonts w:ascii="Arial" w:eastAsia="Calibri" w:hAnsi="Arial" w:cs="Arial"/>
          <w:szCs w:val="22"/>
        </w:rPr>
        <w:t xml:space="preserve"> </w:t>
      </w:r>
      <w:r w:rsidRPr="00B83A61">
        <w:rPr>
          <w:rFonts w:ascii="Arial" w:eastAsia="Calibri" w:hAnsi="Arial" w:cs="Arial"/>
          <w:szCs w:val="22"/>
        </w:rPr>
        <w:t>History of prostatectomy or prostate cancer therapy.</w:t>
      </w:r>
    </w:p>
    <w:p w14:paraId="3F865A01" w14:textId="0F099B05" w:rsidR="00B83A61" w:rsidRPr="00CA5A45" w:rsidRDefault="00934ADC" w:rsidP="0082621C">
      <w:pPr>
        <w:pStyle w:val="Body"/>
        <w:spacing w:after="0"/>
        <w:rPr>
          <w:rFonts w:ascii="Arial" w:eastAsia="Calibri" w:hAnsi="Arial" w:cs="Arial"/>
          <w:b/>
          <w:bCs/>
          <w:sz w:val="22"/>
          <w:szCs w:val="24"/>
        </w:rPr>
      </w:pPr>
      <w:r w:rsidRPr="00CA5A45">
        <w:rPr>
          <w:rFonts w:ascii="Arial" w:eastAsia="Calibri" w:hAnsi="Arial" w:cs="Arial"/>
          <w:b/>
          <w:bCs/>
          <w:sz w:val="22"/>
          <w:szCs w:val="24"/>
        </w:rPr>
        <w:t>2</w:t>
      </w:r>
      <w:r w:rsidR="00B83A61" w:rsidRPr="00CA5A45">
        <w:rPr>
          <w:rFonts w:ascii="Arial" w:eastAsia="Calibri" w:hAnsi="Arial" w:cs="Arial"/>
          <w:b/>
          <w:bCs/>
          <w:sz w:val="22"/>
          <w:szCs w:val="24"/>
        </w:rPr>
        <w:t>.5</w:t>
      </w:r>
      <w:r w:rsidR="0082621C" w:rsidRPr="00CA5A45">
        <w:rPr>
          <w:rFonts w:ascii="Arial" w:eastAsia="Calibri" w:hAnsi="Arial" w:cs="Arial"/>
          <w:b/>
          <w:bCs/>
          <w:sz w:val="22"/>
          <w:szCs w:val="24"/>
        </w:rPr>
        <w:t xml:space="preserve"> </w:t>
      </w:r>
      <w:r w:rsidR="00B83A61" w:rsidRPr="00CA5A45">
        <w:rPr>
          <w:rFonts w:ascii="Arial" w:eastAsia="Calibri" w:hAnsi="Arial" w:cs="Arial"/>
          <w:b/>
          <w:bCs/>
          <w:sz w:val="22"/>
          <w:szCs w:val="24"/>
        </w:rPr>
        <w:t>Sample Size Calculations</w:t>
      </w:r>
    </w:p>
    <w:p w14:paraId="2037C157" w14:textId="7F171CD7"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t xml:space="preserve">The sample size for this study was determined using </w:t>
      </w:r>
      <w:proofErr w:type="spellStart"/>
      <w:r w:rsidRPr="00B83A61">
        <w:rPr>
          <w:rFonts w:ascii="Arial" w:eastAsia="Calibri" w:hAnsi="Arial" w:cs="Arial"/>
          <w:szCs w:val="22"/>
        </w:rPr>
        <w:t>GPower</w:t>
      </w:r>
      <w:proofErr w:type="spellEnd"/>
      <w:r w:rsidRPr="00B83A61">
        <w:rPr>
          <w:rFonts w:ascii="Arial" w:eastAsia="Calibri" w:hAnsi="Arial" w:cs="Arial"/>
          <w:szCs w:val="22"/>
        </w:rPr>
        <w:t xml:space="preserve"> version 3.1.9.2, set at F-test, statistical test of ANOVA (fixed effects and one-way), effect size of 0.35, power of 0.95, error rate of 0.05 and number of groups of 4. The total sample size obtained was 148, but this study adopted a sample size of 160 subjects, distributed as </w:t>
      </w:r>
      <w:r w:rsidR="00934ADC" w:rsidRPr="00B83A61">
        <w:rPr>
          <w:rFonts w:ascii="Arial" w:eastAsia="Calibri" w:hAnsi="Arial" w:cs="Arial"/>
          <w:szCs w:val="22"/>
        </w:rPr>
        <w:t>follows</w:t>
      </w:r>
      <w:r w:rsidRPr="00B83A61">
        <w:rPr>
          <w:rFonts w:ascii="Arial" w:eastAsia="Calibri" w:hAnsi="Arial" w:cs="Arial"/>
          <w:szCs w:val="22"/>
        </w:rPr>
        <w:t xml:space="preserve">; 25 cigarette smokers, 45 alcohol consumers, 45 subjects who both </w:t>
      </w:r>
      <w:r w:rsidR="000F41D6" w:rsidRPr="00B83A61">
        <w:rPr>
          <w:rFonts w:ascii="Arial" w:eastAsia="Calibri" w:hAnsi="Arial" w:cs="Arial"/>
          <w:szCs w:val="22"/>
        </w:rPr>
        <w:t>consume</w:t>
      </w:r>
      <w:r w:rsidRPr="00B83A61">
        <w:rPr>
          <w:rFonts w:ascii="Arial" w:eastAsia="Calibri" w:hAnsi="Arial" w:cs="Arial"/>
          <w:szCs w:val="22"/>
        </w:rPr>
        <w:t xml:space="preserve"> alcohol and smoke and 45 control subjects.</w:t>
      </w:r>
    </w:p>
    <w:p w14:paraId="3C7B699E" w14:textId="71A3009C" w:rsidR="00B83A61" w:rsidRPr="00CA5A45" w:rsidRDefault="00934ADC" w:rsidP="00934ADC">
      <w:pPr>
        <w:pStyle w:val="Body"/>
        <w:spacing w:after="0"/>
        <w:rPr>
          <w:rFonts w:ascii="Arial" w:eastAsia="Calibri" w:hAnsi="Arial" w:cs="Arial"/>
          <w:b/>
          <w:bCs/>
          <w:sz w:val="22"/>
          <w:szCs w:val="24"/>
        </w:rPr>
      </w:pPr>
      <w:r w:rsidRPr="00CA5A45">
        <w:rPr>
          <w:rFonts w:ascii="Arial" w:eastAsia="Calibri" w:hAnsi="Arial" w:cs="Arial"/>
          <w:b/>
          <w:bCs/>
          <w:sz w:val="22"/>
          <w:szCs w:val="24"/>
        </w:rPr>
        <w:t>2</w:t>
      </w:r>
      <w:r w:rsidR="00B83A61" w:rsidRPr="00CA5A45">
        <w:rPr>
          <w:rFonts w:ascii="Arial" w:eastAsia="Calibri" w:hAnsi="Arial" w:cs="Arial"/>
          <w:b/>
          <w:bCs/>
          <w:sz w:val="22"/>
          <w:szCs w:val="24"/>
        </w:rPr>
        <w:t>.6</w:t>
      </w:r>
      <w:r w:rsidRPr="00CA5A45">
        <w:rPr>
          <w:rFonts w:ascii="Arial" w:eastAsia="Calibri" w:hAnsi="Arial" w:cs="Arial"/>
          <w:b/>
          <w:bCs/>
          <w:sz w:val="22"/>
          <w:szCs w:val="24"/>
        </w:rPr>
        <w:t xml:space="preserve"> </w:t>
      </w:r>
      <w:r w:rsidR="00B83A61" w:rsidRPr="00CA5A45">
        <w:rPr>
          <w:rFonts w:ascii="Arial" w:eastAsia="Calibri" w:hAnsi="Arial" w:cs="Arial"/>
          <w:b/>
          <w:bCs/>
          <w:sz w:val="22"/>
          <w:szCs w:val="24"/>
        </w:rPr>
        <w:t>Sampling Technique Used</w:t>
      </w:r>
    </w:p>
    <w:p w14:paraId="658F9F93" w14:textId="764EFE7A"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t xml:space="preserve">A stratified random sampling technique </w:t>
      </w:r>
      <w:r w:rsidR="00162B78">
        <w:rPr>
          <w:rFonts w:ascii="Arial" w:eastAsia="Calibri" w:hAnsi="Arial" w:cs="Arial"/>
          <w:szCs w:val="22"/>
        </w:rPr>
        <w:t>[15]</w:t>
      </w:r>
      <w:r w:rsidRPr="00B83A61">
        <w:rPr>
          <w:rFonts w:ascii="Arial" w:eastAsia="Calibri" w:hAnsi="Arial" w:cs="Arial"/>
          <w:szCs w:val="22"/>
        </w:rPr>
        <w:t xml:space="preserve"> was used in sampling the male military personnel population that was used for this study. This was done with the use of questionnaire to define the study population. </w:t>
      </w:r>
    </w:p>
    <w:p w14:paraId="0BD2EA40" w14:textId="490B829B" w:rsidR="00B83A61" w:rsidRPr="00CA5A45" w:rsidRDefault="009C1075" w:rsidP="009C1075">
      <w:pPr>
        <w:pStyle w:val="Body"/>
        <w:spacing w:after="0"/>
        <w:rPr>
          <w:rFonts w:ascii="Arial" w:eastAsia="Calibri" w:hAnsi="Arial" w:cs="Arial"/>
          <w:b/>
          <w:bCs/>
          <w:sz w:val="22"/>
          <w:szCs w:val="24"/>
        </w:rPr>
      </w:pPr>
      <w:r w:rsidRPr="00CA5A45">
        <w:rPr>
          <w:rFonts w:ascii="Arial" w:eastAsia="Calibri" w:hAnsi="Arial" w:cs="Arial"/>
          <w:b/>
          <w:bCs/>
          <w:sz w:val="22"/>
          <w:szCs w:val="24"/>
        </w:rPr>
        <w:t>2</w:t>
      </w:r>
      <w:r w:rsidR="00B83A61" w:rsidRPr="00CA5A45">
        <w:rPr>
          <w:rFonts w:ascii="Arial" w:eastAsia="Calibri" w:hAnsi="Arial" w:cs="Arial"/>
          <w:b/>
          <w:bCs/>
          <w:sz w:val="22"/>
          <w:szCs w:val="24"/>
        </w:rPr>
        <w:t>.7</w:t>
      </w:r>
      <w:r w:rsidRPr="00CA5A45">
        <w:rPr>
          <w:rFonts w:ascii="Arial" w:eastAsia="Calibri" w:hAnsi="Arial" w:cs="Arial"/>
          <w:b/>
          <w:bCs/>
          <w:sz w:val="22"/>
          <w:szCs w:val="24"/>
        </w:rPr>
        <w:t xml:space="preserve"> </w:t>
      </w:r>
      <w:r w:rsidR="00B83A61" w:rsidRPr="00CA5A45">
        <w:rPr>
          <w:rFonts w:ascii="Arial" w:eastAsia="Calibri" w:hAnsi="Arial" w:cs="Arial"/>
          <w:b/>
          <w:bCs/>
          <w:sz w:val="22"/>
          <w:szCs w:val="24"/>
        </w:rPr>
        <w:t>Sample Collection, Preparation and Storage</w:t>
      </w:r>
    </w:p>
    <w:p w14:paraId="35714E86" w14:textId="0BC0E4EE"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t xml:space="preserve">Venous whole blood samples (4.5ml) were collected by venipuncture from each of the study subjects with 5ml disposable sterile hypodermic syringes and needles into a 5ml serum separator vacutainer tube (SST). Serum was obtained by centrifuging the collected whole blood samples using L2-6K KE CHENS twelve (12) bucket centrifuge spun at 4,000 revolutions per minute (RPM) for 5minutes. Serum samples were collected into sterile cryovials for the quantitative analysis of the various study analytes. Serum samples collected </w:t>
      </w:r>
      <w:r w:rsidR="009C1075" w:rsidRPr="00B83A61">
        <w:rPr>
          <w:rFonts w:ascii="Arial" w:eastAsia="Calibri" w:hAnsi="Arial" w:cs="Arial"/>
          <w:szCs w:val="22"/>
        </w:rPr>
        <w:t>were</w:t>
      </w:r>
      <w:r w:rsidRPr="00B83A61">
        <w:rPr>
          <w:rFonts w:ascii="Arial" w:eastAsia="Calibri" w:hAnsi="Arial" w:cs="Arial"/>
          <w:szCs w:val="22"/>
        </w:rPr>
        <w:t xml:space="preserve"> stored at -20 degree Celsius till ready for use and after analysis. </w:t>
      </w:r>
      <w:proofErr w:type="spellStart"/>
      <w:r w:rsidRPr="00B83A61">
        <w:rPr>
          <w:rFonts w:ascii="Arial" w:eastAsia="Calibri" w:hAnsi="Arial" w:cs="Arial"/>
          <w:szCs w:val="22"/>
        </w:rPr>
        <w:t>Haemolysed</w:t>
      </w:r>
      <w:proofErr w:type="spellEnd"/>
      <w:r w:rsidRPr="00B83A61">
        <w:rPr>
          <w:rFonts w:ascii="Arial" w:eastAsia="Calibri" w:hAnsi="Arial" w:cs="Arial"/>
          <w:szCs w:val="22"/>
        </w:rPr>
        <w:t>, lipemic, or turbid serum samples were excluded.</w:t>
      </w:r>
    </w:p>
    <w:p w14:paraId="56DE4A23" w14:textId="0C94FEB7" w:rsidR="00B83A61" w:rsidRPr="00CA5A45" w:rsidRDefault="00B24B91" w:rsidP="00B24B91">
      <w:pPr>
        <w:pStyle w:val="Body"/>
        <w:spacing w:after="0"/>
        <w:rPr>
          <w:rFonts w:ascii="Arial" w:eastAsia="Calibri" w:hAnsi="Arial" w:cs="Arial"/>
          <w:b/>
          <w:bCs/>
          <w:sz w:val="22"/>
          <w:szCs w:val="24"/>
        </w:rPr>
      </w:pPr>
      <w:r w:rsidRPr="00CA5A45">
        <w:rPr>
          <w:rFonts w:ascii="Arial" w:eastAsia="Calibri" w:hAnsi="Arial" w:cs="Arial"/>
          <w:b/>
          <w:bCs/>
          <w:sz w:val="22"/>
          <w:szCs w:val="24"/>
        </w:rPr>
        <w:t>2.</w:t>
      </w:r>
      <w:r w:rsidR="009C1075" w:rsidRPr="00CA5A45">
        <w:rPr>
          <w:rFonts w:ascii="Arial" w:eastAsia="Calibri" w:hAnsi="Arial" w:cs="Arial"/>
          <w:b/>
          <w:bCs/>
          <w:sz w:val="22"/>
          <w:szCs w:val="24"/>
        </w:rPr>
        <w:t>8</w:t>
      </w:r>
      <w:r w:rsidRPr="00CA5A45">
        <w:rPr>
          <w:rFonts w:ascii="Arial" w:eastAsia="Calibri" w:hAnsi="Arial" w:cs="Arial"/>
          <w:b/>
          <w:bCs/>
          <w:sz w:val="22"/>
          <w:szCs w:val="24"/>
        </w:rPr>
        <w:t xml:space="preserve"> </w:t>
      </w:r>
      <w:r w:rsidR="00B83A61" w:rsidRPr="00CA5A45">
        <w:rPr>
          <w:rFonts w:ascii="Arial" w:eastAsia="Calibri" w:hAnsi="Arial" w:cs="Arial"/>
          <w:b/>
          <w:bCs/>
          <w:sz w:val="22"/>
          <w:szCs w:val="24"/>
        </w:rPr>
        <w:t>Laboratory Analysis</w:t>
      </w:r>
    </w:p>
    <w:p w14:paraId="29CA901A" w14:textId="461CF875"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t xml:space="preserve">Serum </w:t>
      </w:r>
      <w:proofErr w:type="spellStart"/>
      <w:r w:rsidRPr="00B83A61">
        <w:rPr>
          <w:rFonts w:ascii="Arial" w:eastAsia="Calibri" w:hAnsi="Arial" w:cs="Arial"/>
          <w:szCs w:val="22"/>
        </w:rPr>
        <w:t>tPSA</w:t>
      </w:r>
      <w:proofErr w:type="spellEnd"/>
      <w:r w:rsidRPr="00B83A61">
        <w:rPr>
          <w:rFonts w:ascii="Arial" w:eastAsia="Calibri" w:hAnsi="Arial" w:cs="Arial"/>
          <w:szCs w:val="22"/>
        </w:rPr>
        <w:t xml:space="preserve">, </w:t>
      </w:r>
      <w:proofErr w:type="spellStart"/>
      <w:r w:rsidRPr="00B83A61">
        <w:rPr>
          <w:rFonts w:ascii="Arial" w:eastAsia="Calibri" w:hAnsi="Arial" w:cs="Arial"/>
          <w:szCs w:val="22"/>
        </w:rPr>
        <w:t>fPSA</w:t>
      </w:r>
      <w:proofErr w:type="spellEnd"/>
      <w:r w:rsidRPr="00B83A61">
        <w:rPr>
          <w:rFonts w:ascii="Arial" w:eastAsia="Calibri" w:hAnsi="Arial" w:cs="Arial"/>
          <w:szCs w:val="22"/>
        </w:rPr>
        <w:t xml:space="preserve">, CRP and IL 6 levels were estimated quantitatively using </w:t>
      </w:r>
      <w:proofErr w:type="spellStart"/>
      <w:r w:rsidRPr="00B83A61">
        <w:rPr>
          <w:rFonts w:ascii="Arial" w:eastAsia="Calibri" w:hAnsi="Arial" w:cs="Arial"/>
          <w:szCs w:val="22"/>
        </w:rPr>
        <w:t>Fluorecare</w:t>
      </w:r>
      <w:proofErr w:type="spellEnd"/>
      <w:r w:rsidRPr="00B83A61">
        <w:rPr>
          <w:rFonts w:ascii="Arial" w:eastAsia="Calibri" w:hAnsi="Arial" w:cs="Arial"/>
          <w:szCs w:val="22"/>
        </w:rPr>
        <w:t xml:space="preserve"> MF–T1000 dry type immunofluorescence </w:t>
      </w:r>
      <w:proofErr w:type="spellStart"/>
      <w:r w:rsidRPr="00B83A61">
        <w:rPr>
          <w:rFonts w:ascii="Arial" w:eastAsia="Calibri" w:hAnsi="Arial" w:cs="Arial"/>
          <w:szCs w:val="22"/>
        </w:rPr>
        <w:t>analyser</w:t>
      </w:r>
      <w:proofErr w:type="spellEnd"/>
      <w:r w:rsidRPr="00B83A61">
        <w:rPr>
          <w:rFonts w:ascii="Arial" w:eastAsia="Calibri" w:hAnsi="Arial" w:cs="Arial"/>
          <w:szCs w:val="22"/>
        </w:rPr>
        <w:t xml:space="preserve"> and reagents manufactured by Shenzhen </w:t>
      </w:r>
      <w:proofErr w:type="spellStart"/>
      <w:r w:rsidRPr="00B83A61">
        <w:rPr>
          <w:rFonts w:ascii="Arial" w:eastAsia="Calibri" w:hAnsi="Arial" w:cs="Arial"/>
          <w:szCs w:val="22"/>
        </w:rPr>
        <w:t>Microprofit</w:t>
      </w:r>
      <w:proofErr w:type="spellEnd"/>
      <w:r w:rsidRPr="00B83A61">
        <w:rPr>
          <w:rFonts w:ascii="Arial" w:eastAsia="Calibri" w:hAnsi="Arial" w:cs="Arial"/>
          <w:szCs w:val="22"/>
        </w:rPr>
        <w:t xml:space="preserve"> Biotech Company Limited Peoples Republic of China. Furthermore, Serum GGT, </w:t>
      </w:r>
      <w:r w:rsidRPr="003E5015">
        <w:rPr>
          <w:rFonts w:ascii="Arial" w:eastAsia="Calibri" w:hAnsi="Arial" w:cs="Arial"/>
          <w:szCs w:val="22"/>
        </w:rPr>
        <w:t>Ca, Mg, Inorganic phosphate, Zn, Cu and Fe levels</w:t>
      </w:r>
      <w:r w:rsidRPr="00B83A61">
        <w:rPr>
          <w:rFonts w:ascii="Arial" w:eastAsia="Calibri" w:hAnsi="Arial" w:cs="Arial"/>
          <w:szCs w:val="22"/>
        </w:rPr>
        <w:t xml:space="preserve"> were estimated </w:t>
      </w:r>
      <w:proofErr w:type="spellStart"/>
      <w:r w:rsidRPr="00B83A61">
        <w:rPr>
          <w:rFonts w:ascii="Arial" w:eastAsia="Calibri" w:hAnsi="Arial" w:cs="Arial"/>
          <w:szCs w:val="22"/>
        </w:rPr>
        <w:t>colourimetrically</w:t>
      </w:r>
      <w:proofErr w:type="spellEnd"/>
      <w:r w:rsidRPr="00B83A61">
        <w:rPr>
          <w:rFonts w:ascii="Arial" w:eastAsia="Calibri" w:hAnsi="Arial" w:cs="Arial"/>
          <w:szCs w:val="22"/>
        </w:rPr>
        <w:t xml:space="preserve"> using </w:t>
      </w:r>
      <w:proofErr w:type="spellStart"/>
      <w:r w:rsidRPr="00B83A61">
        <w:rPr>
          <w:rFonts w:ascii="Arial" w:eastAsia="Calibri" w:hAnsi="Arial" w:cs="Arial"/>
          <w:szCs w:val="22"/>
        </w:rPr>
        <w:t>Pokler</w:t>
      </w:r>
      <w:proofErr w:type="spellEnd"/>
      <w:r w:rsidRPr="00B83A61">
        <w:rPr>
          <w:rFonts w:ascii="Arial" w:eastAsia="Calibri" w:hAnsi="Arial" w:cs="Arial"/>
          <w:szCs w:val="22"/>
        </w:rPr>
        <w:t xml:space="preserve"> Italia (PKL) 125 complete chemistry automatic </w:t>
      </w:r>
      <w:proofErr w:type="spellStart"/>
      <w:r w:rsidRPr="00B83A61">
        <w:rPr>
          <w:rFonts w:ascii="Arial" w:eastAsia="Calibri" w:hAnsi="Arial" w:cs="Arial"/>
          <w:szCs w:val="22"/>
        </w:rPr>
        <w:t>analyser</w:t>
      </w:r>
      <w:proofErr w:type="spellEnd"/>
      <w:r w:rsidRPr="00B83A61">
        <w:rPr>
          <w:rFonts w:ascii="Arial" w:eastAsia="Calibri" w:hAnsi="Arial" w:cs="Arial"/>
          <w:szCs w:val="22"/>
        </w:rPr>
        <w:t xml:space="preserve"> manufactured by Paramedical </w:t>
      </w:r>
      <w:proofErr w:type="spellStart"/>
      <w:r w:rsidRPr="00B83A61">
        <w:rPr>
          <w:rFonts w:ascii="Arial" w:eastAsia="Calibri" w:hAnsi="Arial" w:cs="Arial"/>
          <w:szCs w:val="22"/>
        </w:rPr>
        <w:t>Srl</w:t>
      </w:r>
      <w:proofErr w:type="spellEnd"/>
      <w:r w:rsidRPr="00B83A61">
        <w:rPr>
          <w:rFonts w:ascii="Arial" w:eastAsia="Calibri" w:hAnsi="Arial" w:cs="Arial"/>
          <w:szCs w:val="22"/>
        </w:rPr>
        <w:t xml:space="preserve"> via </w:t>
      </w:r>
      <w:proofErr w:type="spellStart"/>
      <w:r w:rsidRPr="00B83A61">
        <w:rPr>
          <w:rFonts w:ascii="Arial" w:eastAsia="Calibri" w:hAnsi="Arial" w:cs="Arial"/>
          <w:szCs w:val="22"/>
        </w:rPr>
        <w:t>Irno</w:t>
      </w:r>
      <w:proofErr w:type="spellEnd"/>
      <w:r w:rsidRPr="00B83A61">
        <w:rPr>
          <w:rFonts w:ascii="Arial" w:eastAsia="Calibri" w:hAnsi="Arial" w:cs="Arial"/>
          <w:szCs w:val="22"/>
        </w:rPr>
        <w:t xml:space="preserve"> </w:t>
      </w:r>
      <w:proofErr w:type="spellStart"/>
      <w:r w:rsidRPr="00B83A61">
        <w:rPr>
          <w:rFonts w:ascii="Arial" w:eastAsia="Calibri" w:hAnsi="Arial" w:cs="Arial"/>
          <w:szCs w:val="22"/>
        </w:rPr>
        <w:t>snc</w:t>
      </w:r>
      <w:proofErr w:type="spellEnd"/>
      <w:r w:rsidRPr="00B83A61">
        <w:rPr>
          <w:rFonts w:ascii="Arial" w:eastAsia="Calibri" w:hAnsi="Arial" w:cs="Arial"/>
          <w:szCs w:val="22"/>
        </w:rPr>
        <w:t xml:space="preserve"> 84098 </w:t>
      </w:r>
      <w:proofErr w:type="spellStart"/>
      <w:r w:rsidRPr="00B83A61">
        <w:rPr>
          <w:rFonts w:ascii="Arial" w:eastAsia="Calibri" w:hAnsi="Arial" w:cs="Arial"/>
          <w:szCs w:val="22"/>
        </w:rPr>
        <w:t>Pontecagnano</w:t>
      </w:r>
      <w:proofErr w:type="spellEnd"/>
      <w:r w:rsidRPr="00B83A61">
        <w:rPr>
          <w:rFonts w:ascii="Arial" w:eastAsia="Calibri" w:hAnsi="Arial" w:cs="Arial"/>
          <w:szCs w:val="22"/>
        </w:rPr>
        <w:t xml:space="preserve"> </w:t>
      </w:r>
      <w:proofErr w:type="spellStart"/>
      <w:r w:rsidRPr="00B83A61">
        <w:rPr>
          <w:rFonts w:ascii="Arial" w:eastAsia="Calibri" w:hAnsi="Arial" w:cs="Arial"/>
          <w:szCs w:val="22"/>
        </w:rPr>
        <w:t>Faiano</w:t>
      </w:r>
      <w:proofErr w:type="spellEnd"/>
      <w:r w:rsidRPr="00B83A61">
        <w:rPr>
          <w:rFonts w:ascii="Arial" w:eastAsia="Calibri" w:hAnsi="Arial" w:cs="Arial"/>
          <w:szCs w:val="22"/>
        </w:rPr>
        <w:t xml:space="preserve"> (SA) Italy. </w:t>
      </w:r>
      <w:proofErr w:type="spellStart"/>
      <w:r w:rsidRPr="00B83A61">
        <w:rPr>
          <w:rFonts w:ascii="Arial" w:eastAsia="Calibri" w:hAnsi="Arial" w:cs="Arial"/>
          <w:szCs w:val="22"/>
        </w:rPr>
        <w:t>Labkit</w:t>
      </w:r>
      <w:proofErr w:type="spellEnd"/>
      <w:r w:rsidRPr="00B83A61">
        <w:rPr>
          <w:rFonts w:ascii="Arial" w:eastAsia="Calibri" w:hAnsi="Arial" w:cs="Arial"/>
          <w:szCs w:val="22"/>
        </w:rPr>
        <w:t xml:space="preserve"> reagents produced by </w:t>
      </w:r>
      <w:proofErr w:type="spellStart"/>
      <w:r w:rsidRPr="00B83A61">
        <w:rPr>
          <w:rFonts w:ascii="Arial" w:eastAsia="Calibri" w:hAnsi="Arial" w:cs="Arial"/>
          <w:szCs w:val="22"/>
        </w:rPr>
        <w:t>Chemelex</w:t>
      </w:r>
      <w:proofErr w:type="spellEnd"/>
      <w:r w:rsidRPr="00B83A61">
        <w:rPr>
          <w:rFonts w:ascii="Arial" w:eastAsia="Calibri" w:hAnsi="Arial" w:cs="Arial"/>
          <w:szCs w:val="22"/>
        </w:rPr>
        <w:t xml:space="preserve">, S.A. Barcelona Spain were used for this purpose. </w:t>
      </w:r>
    </w:p>
    <w:p w14:paraId="5B06F967" w14:textId="2C89566B" w:rsidR="00B83A61" w:rsidRPr="00B24B91" w:rsidRDefault="00B24B91" w:rsidP="00B24B91">
      <w:pPr>
        <w:pStyle w:val="Body"/>
        <w:spacing w:after="0"/>
        <w:rPr>
          <w:rFonts w:ascii="Arial" w:eastAsia="Calibri" w:hAnsi="Arial" w:cs="Arial"/>
          <w:b/>
          <w:bCs/>
          <w:szCs w:val="22"/>
        </w:rPr>
      </w:pPr>
      <w:r w:rsidRPr="00B24B91">
        <w:rPr>
          <w:rFonts w:ascii="Arial" w:eastAsia="Calibri" w:hAnsi="Arial" w:cs="Arial"/>
          <w:b/>
          <w:bCs/>
          <w:szCs w:val="22"/>
        </w:rPr>
        <w:t>2</w:t>
      </w:r>
      <w:r w:rsidR="00B83A61" w:rsidRPr="00B24B91">
        <w:rPr>
          <w:rFonts w:ascii="Arial" w:eastAsia="Calibri" w:hAnsi="Arial" w:cs="Arial"/>
          <w:b/>
          <w:bCs/>
          <w:szCs w:val="22"/>
        </w:rPr>
        <w:t>.</w:t>
      </w:r>
      <w:r w:rsidRPr="00B24B91">
        <w:rPr>
          <w:rFonts w:ascii="Arial" w:eastAsia="Calibri" w:hAnsi="Arial" w:cs="Arial"/>
          <w:b/>
          <w:bCs/>
          <w:szCs w:val="22"/>
        </w:rPr>
        <w:t>8</w:t>
      </w:r>
      <w:r w:rsidR="00B83A61" w:rsidRPr="00B24B91">
        <w:rPr>
          <w:rFonts w:ascii="Arial" w:eastAsia="Calibri" w:hAnsi="Arial" w:cs="Arial"/>
          <w:b/>
          <w:bCs/>
          <w:szCs w:val="22"/>
        </w:rPr>
        <w:t>.</w:t>
      </w:r>
      <w:r w:rsidRPr="00B24B91">
        <w:rPr>
          <w:rFonts w:ascii="Arial" w:eastAsia="Calibri" w:hAnsi="Arial" w:cs="Arial"/>
          <w:b/>
          <w:bCs/>
          <w:szCs w:val="22"/>
        </w:rPr>
        <w:t xml:space="preserve">1 </w:t>
      </w:r>
      <w:r w:rsidR="00B83A61" w:rsidRPr="00B24B91">
        <w:rPr>
          <w:rFonts w:ascii="Arial" w:eastAsia="Calibri" w:hAnsi="Arial" w:cs="Arial"/>
          <w:b/>
          <w:bCs/>
          <w:szCs w:val="22"/>
        </w:rPr>
        <w:t>Estimation of Free Prostate Specific Antigen (f-PSA) Levels</w:t>
      </w:r>
    </w:p>
    <w:p w14:paraId="359ADAF5" w14:textId="0BE3CC00"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t xml:space="preserve">Serum f-PSA levels were estimated by </w:t>
      </w:r>
      <w:proofErr w:type="spellStart"/>
      <w:r w:rsidRPr="00B83A61">
        <w:rPr>
          <w:rFonts w:ascii="Arial" w:eastAsia="Calibri" w:hAnsi="Arial" w:cs="Arial"/>
          <w:szCs w:val="22"/>
        </w:rPr>
        <w:t>Fluorecare</w:t>
      </w:r>
      <w:proofErr w:type="spellEnd"/>
      <w:r w:rsidRPr="00B83A61">
        <w:rPr>
          <w:rFonts w:ascii="Arial" w:eastAsia="Calibri" w:hAnsi="Arial" w:cs="Arial"/>
          <w:szCs w:val="22"/>
        </w:rPr>
        <w:t xml:space="preserve"> diagnostic reagent product code MF-47 manufactured by Shenzhen </w:t>
      </w:r>
      <w:proofErr w:type="spellStart"/>
      <w:r w:rsidRPr="00B83A61">
        <w:rPr>
          <w:rFonts w:ascii="Arial" w:eastAsia="Calibri" w:hAnsi="Arial" w:cs="Arial"/>
          <w:szCs w:val="22"/>
        </w:rPr>
        <w:t>Microprofit</w:t>
      </w:r>
      <w:proofErr w:type="spellEnd"/>
      <w:r w:rsidRPr="00B83A61">
        <w:rPr>
          <w:rFonts w:ascii="Arial" w:eastAsia="Calibri" w:hAnsi="Arial" w:cs="Arial"/>
          <w:szCs w:val="22"/>
        </w:rPr>
        <w:t xml:space="preserve"> Biotech Company Limited using immunochromatographic method by Yang </w:t>
      </w:r>
      <w:proofErr w:type="gramStart"/>
      <w:r w:rsidRPr="00B83A61">
        <w:rPr>
          <w:rFonts w:ascii="Arial" w:eastAsia="Calibri" w:hAnsi="Arial" w:cs="Arial"/>
          <w:szCs w:val="22"/>
        </w:rPr>
        <w:t>et al.</w:t>
      </w:r>
      <w:r w:rsidR="00822B2B">
        <w:rPr>
          <w:rFonts w:ascii="Arial" w:eastAsia="Calibri" w:hAnsi="Arial" w:cs="Arial"/>
          <w:szCs w:val="22"/>
        </w:rPr>
        <w:t>[</w:t>
      </w:r>
      <w:proofErr w:type="gramEnd"/>
      <w:r w:rsidR="00822B2B">
        <w:rPr>
          <w:rFonts w:ascii="Arial" w:eastAsia="Calibri" w:hAnsi="Arial" w:cs="Arial"/>
          <w:szCs w:val="22"/>
        </w:rPr>
        <w:t>16].</w:t>
      </w:r>
    </w:p>
    <w:p w14:paraId="71005555" w14:textId="63F7B66D" w:rsidR="00B83A61" w:rsidRPr="00EE5F65" w:rsidRDefault="00EE5F65" w:rsidP="00EE5F65">
      <w:pPr>
        <w:pStyle w:val="Body"/>
        <w:spacing w:after="0"/>
        <w:rPr>
          <w:rFonts w:ascii="Arial" w:eastAsia="Calibri" w:hAnsi="Arial" w:cs="Arial"/>
          <w:b/>
          <w:bCs/>
          <w:szCs w:val="22"/>
        </w:rPr>
      </w:pPr>
      <w:r w:rsidRPr="00EE5F65">
        <w:rPr>
          <w:rFonts w:ascii="Arial" w:eastAsia="Calibri" w:hAnsi="Arial" w:cs="Arial"/>
          <w:b/>
          <w:bCs/>
          <w:szCs w:val="22"/>
        </w:rPr>
        <w:t>2</w:t>
      </w:r>
      <w:r w:rsidR="00B83A61" w:rsidRPr="00EE5F65">
        <w:rPr>
          <w:rFonts w:ascii="Arial" w:eastAsia="Calibri" w:hAnsi="Arial" w:cs="Arial"/>
          <w:b/>
          <w:bCs/>
          <w:szCs w:val="22"/>
        </w:rPr>
        <w:t>.</w:t>
      </w:r>
      <w:r w:rsidRPr="00EE5F65">
        <w:rPr>
          <w:rFonts w:ascii="Arial" w:eastAsia="Calibri" w:hAnsi="Arial" w:cs="Arial"/>
          <w:b/>
          <w:bCs/>
          <w:szCs w:val="22"/>
        </w:rPr>
        <w:t>8</w:t>
      </w:r>
      <w:r w:rsidR="00B83A61" w:rsidRPr="00EE5F65">
        <w:rPr>
          <w:rFonts w:ascii="Arial" w:eastAsia="Calibri" w:hAnsi="Arial" w:cs="Arial"/>
          <w:b/>
          <w:bCs/>
          <w:szCs w:val="22"/>
        </w:rPr>
        <w:t>.</w:t>
      </w:r>
      <w:r w:rsidR="00020B0A" w:rsidRPr="00EE5F65">
        <w:rPr>
          <w:rFonts w:ascii="Arial" w:eastAsia="Calibri" w:hAnsi="Arial" w:cs="Arial"/>
          <w:b/>
          <w:bCs/>
          <w:szCs w:val="22"/>
        </w:rPr>
        <w:t>2</w:t>
      </w:r>
      <w:r>
        <w:rPr>
          <w:rFonts w:ascii="Arial" w:eastAsia="Calibri" w:hAnsi="Arial" w:cs="Arial"/>
          <w:b/>
          <w:bCs/>
          <w:szCs w:val="22"/>
        </w:rPr>
        <w:t xml:space="preserve"> </w:t>
      </w:r>
      <w:r w:rsidR="00B83A61" w:rsidRPr="00EE5F65">
        <w:rPr>
          <w:rFonts w:ascii="Arial" w:eastAsia="Calibri" w:hAnsi="Arial" w:cs="Arial"/>
          <w:b/>
          <w:bCs/>
          <w:szCs w:val="22"/>
        </w:rPr>
        <w:t>Estimation of Total Prostate Specific Antigen (t-PSA) Levels</w:t>
      </w:r>
    </w:p>
    <w:p w14:paraId="34D69205" w14:textId="6FAE1A6E"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t xml:space="preserve">Serum t-PSA levels were estimated by </w:t>
      </w:r>
      <w:proofErr w:type="spellStart"/>
      <w:r w:rsidRPr="00B83A61">
        <w:rPr>
          <w:rFonts w:ascii="Arial" w:eastAsia="Calibri" w:hAnsi="Arial" w:cs="Arial"/>
          <w:szCs w:val="22"/>
        </w:rPr>
        <w:t>Fluorecare</w:t>
      </w:r>
      <w:proofErr w:type="spellEnd"/>
      <w:r w:rsidRPr="00B83A61">
        <w:rPr>
          <w:rFonts w:ascii="Arial" w:eastAsia="Calibri" w:hAnsi="Arial" w:cs="Arial"/>
          <w:szCs w:val="22"/>
        </w:rPr>
        <w:t xml:space="preserve"> diagnostic reagent product code MF-46 manufactured by Shenzhen </w:t>
      </w:r>
      <w:proofErr w:type="spellStart"/>
      <w:r w:rsidRPr="00B83A61">
        <w:rPr>
          <w:rFonts w:ascii="Arial" w:eastAsia="Calibri" w:hAnsi="Arial" w:cs="Arial"/>
          <w:szCs w:val="22"/>
        </w:rPr>
        <w:t>Microprofit</w:t>
      </w:r>
      <w:proofErr w:type="spellEnd"/>
      <w:r w:rsidRPr="00B83A61">
        <w:rPr>
          <w:rFonts w:ascii="Arial" w:eastAsia="Calibri" w:hAnsi="Arial" w:cs="Arial"/>
          <w:szCs w:val="22"/>
        </w:rPr>
        <w:t xml:space="preserve"> Biotech Company Limited using immunochromatographic method by Yang et al.</w:t>
      </w:r>
      <w:r w:rsidR="00EF2528">
        <w:rPr>
          <w:rFonts w:ascii="Arial" w:eastAsia="Calibri" w:hAnsi="Arial" w:cs="Arial"/>
          <w:szCs w:val="22"/>
        </w:rPr>
        <w:t xml:space="preserve"> [16].</w:t>
      </w:r>
    </w:p>
    <w:p w14:paraId="409CAF6A" w14:textId="47D5CD20" w:rsidR="00B83A61" w:rsidRPr="00C84A11" w:rsidRDefault="00EE5F65" w:rsidP="00C84A11">
      <w:pPr>
        <w:pStyle w:val="Body"/>
        <w:spacing w:after="0"/>
        <w:rPr>
          <w:rFonts w:ascii="Arial" w:eastAsia="Calibri" w:hAnsi="Arial" w:cs="Arial"/>
          <w:b/>
          <w:bCs/>
          <w:szCs w:val="22"/>
        </w:rPr>
      </w:pPr>
      <w:r w:rsidRPr="00C84A11">
        <w:rPr>
          <w:rFonts w:ascii="Arial" w:eastAsia="Calibri" w:hAnsi="Arial" w:cs="Arial"/>
          <w:b/>
          <w:bCs/>
          <w:szCs w:val="22"/>
        </w:rPr>
        <w:t>2.8.3</w:t>
      </w:r>
      <w:r w:rsidR="00C84A11" w:rsidRPr="00C84A11">
        <w:rPr>
          <w:rFonts w:ascii="Arial" w:eastAsia="Calibri" w:hAnsi="Arial" w:cs="Arial"/>
          <w:b/>
          <w:bCs/>
          <w:szCs w:val="22"/>
        </w:rPr>
        <w:t xml:space="preserve"> </w:t>
      </w:r>
      <w:r w:rsidR="00B83A61" w:rsidRPr="00C84A11">
        <w:rPr>
          <w:rFonts w:ascii="Arial" w:eastAsia="Calibri" w:hAnsi="Arial" w:cs="Arial"/>
          <w:b/>
          <w:bCs/>
          <w:szCs w:val="22"/>
        </w:rPr>
        <w:t>Estimation of C - Reactive Protein (CRP) Levels</w:t>
      </w:r>
    </w:p>
    <w:p w14:paraId="56025052" w14:textId="5998F9E8"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t xml:space="preserve">Serum CRP levels were estimated by </w:t>
      </w:r>
      <w:proofErr w:type="spellStart"/>
      <w:r w:rsidRPr="00B83A61">
        <w:rPr>
          <w:rFonts w:ascii="Arial" w:eastAsia="Calibri" w:hAnsi="Arial" w:cs="Arial"/>
          <w:szCs w:val="22"/>
        </w:rPr>
        <w:t>Fluorecare</w:t>
      </w:r>
      <w:proofErr w:type="spellEnd"/>
      <w:r w:rsidRPr="00B83A61">
        <w:rPr>
          <w:rFonts w:ascii="Arial" w:eastAsia="Calibri" w:hAnsi="Arial" w:cs="Arial"/>
          <w:szCs w:val="22"/>
        </w:rPr>
        <w:t xml:space="preserve"> diagnostic reagent product code MF-28 manufactured by Shenzhen </w:t>
      </w:r>
      <w:proofErr w:type="spellStart"/>
      <w:r w:rsidRPr="00B83A61">
        <w:rPr>
          <w:rFonts w:ascii="Arial" w:eastAsia="Calibri" w:hAnsi="Arial" w:cs="Arial"/>
          <w:szCs w:val="22"/>
        </w:rPr>
        <w:t>Microprofit</w:t>
      </w:r>
      <w:proofErr w:type="spellEnd"/>
      <w:r w:rsidRPr="00B83A61">
        <w:rPr>
          <w:rFonts w:ascii="Arial" w:eastAsia="Calibri" w:hAnsi="Arial" w:cs="Arial"/>
          <w:szCs w:val="22"/>
        </w:rPr>
        <w:t xml:space="preserve"> Biotech Company Limited using immunochromatographic method by Yang et al.</w:t>
      </w:r>
      <w:r w:rsidR="00A76129">
        <w:rPr>
          <w:rFonts w:ascii="Arial" w:eastAsia="Calibri" w:hAnsi="Arial" w:cs="Arial"/>
          <w:szCs w:val="22"/>
        </w:rPr>
        <w:t>[16].</w:t>
      </w:r>
    </w:p>
    <w:p w14:paraId="0E5AD66C" w14:textId="619B19C5" w:rsidR="00B83A61" w:rsidRPr="00C84A11" w:rsidRDefault="00C84A11" w:rsidP="00C84A11">
      <w:pPr>
        <w:pStyle w:val="Body"/>
        <w:spacing w:after="0"/>
        <w:rPr>
          <w:rFonts w:ascii="Arial" w:eastAsia="Calibri" w:hAnsi="Arial" w:cs="Arial"/>
          <w:b/>
          <w:bCs/>
          <w:szCs w:val="22"/>
        </w:rPr>
      </w:pPr>
      <w:r w:rsidRPr="00C84A11">
        <w:rPr>
          <w:rFonts w:ascii="Arial" w:eastAsia="Calibri" w:hAnsi="Arial" w:cs="Arial"/>
          <w:b/>
          <w:bCs/>
          <w:szCs w:val="22"/>
        </w:rPr>
        <w:t xml:space="preserve">2.8.4 </w:t>
      </w:r>
      <w:r w:rsidR="00B83A61" w:rsidRPr="00C84A11">
        <w:rPr>
          <w:rFonts w:ascii="Arial" w:eastAsia="Calibri" w:hAnsi="Arial" w:cs="Arial"/>
          <w:b/>
          <w:bCs/>
          <w:szCs w:val="22"/>
        </w:rPr>
        <w:t>Estimation of Interleukin-6 (IL-6) Levels</w:t>
      </w:r>
    </w:p>
    <w:p w14:paraId="4DE0B757" w14:textId="3744FC82"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t xml:space="preserve">Serum IL-6 levels were estimated by </w:t>
      </w:r>
      <w:proofErr w:type="spellStart"/>
      <w:r w:rsidRPr="00B83A61">
        <w:rPr>
          <w:rFonts w:ascii="Arial" w:eastAsia="Calibri" w:hAnsi="Arial" w:cs="Arial"/>
          <w:szCs w:val="22"/>
        </w:rPr>
        <w:t>Fluorecare</w:t>
      </w:r>
      <w:proofErr w:type="spellEnd"/>
      <w:r w:rsidRPr="00B83A61">
        <w:rPr>
          <w:rFonts w:ascii="Arial" w:eastAsia="Calibri" w:hAnsi="Arial" w:cs="Arial"/>
          <w:szCs w:val="22"/>
        </w:rPr>
        <w:t xml:space="preserve"> diagnostic reagent product code MF-73 manufactured by Shenzhen </w:t>
      </w:r>
      <w:proofErr w:type="spellStart"/>
      <w:r w:rsidRPr="00B83A61">
        <w:rPr>
          <w:rFonts w:ascii="Arial" w:eastAsia="Calibri" w:hAnsi="Arial" w:cs="Arial"/>
          <w:szCs w:val="22"/>
        </w:rPr>
        <w:t>Microprofit</w:t>
      </w:r>
      <w:proofErr w:type="spellEnd"/>
      <w:r w:rsidRPr="00B83A61">
        <w:rPr>
          <w:rFonts w:ascii="Arial" w:eastAsia="Calibri" w:hAnsi="Arial" w:cs="Arial"/>
          <w:szCs w:val="22"/>
        </w:rPr>
        <w:t xml:space="preserve"> Biotech Company Limited using immunochromatographic method by Yang et al.</w:t>
      </w:r>
      <w:r w:rsidR="009D4CD5">
        <w:rPr>
          <w:rFonts w:ascii="Arial" w:eastAsia="Calibri" w:hAnsi="Arial" w:cs="Arial"/>
          <w:szCs w:val="22"/>
        </w:rPr>
        <w:t xml:space="preserve"> </w:t>
      </w:r>
      <w:r w:rsidR="00A76129">
        <w:rPr>
          <w:rFonts w:ascii="Arial" w:eastAsia="Calibri" w:hAnsi="Arial" w:cs="Arial"/>
          <w:szCs w:val="22"/>
        </w:rPr>
        <w:t>[16].</w:t>
      </w:r>
    </w:p>
    <w:p w14:paraId="1EFC8600" w14:textId="1F0C87EC" w:rsidR="00B83A61" w:rsidRPr="001B68D1" w:rsidRDefault="001B68D1" w:rsidP="001B68D1">
      <w:pPr>
        <w:pStyle w:val="Body"/>
        <w:spacing w:after="0"/>
        <w:rPr>
          <w:rFonts w:ascii="Arial" w:eastAsia="Calibri" w:hAnsi="Arial" w:cs="Arial"/>
          <w:b/>
          <w:bCs/>
          <w:szCs w:val="22"/>
        </w:rPr>
      </w:pPr>
      <w:r w:rsidRPr="001B68D1">
        <w:rPr>
          <w:rFonts w:ascii="Arial" w:eastAsia="Calibri" w:hAnsi="Arial" w:cs="Arial"/>
          <w:b/>
          <w:bCs/>
          <w:szCs w:val="22"/>
        </w:rPr>
        <w:t xml:space="preserve">2.8.5 </w:t>
      </w:r>
      <w:r w:rsidR="00B83A61" w:rsidRPr="001B68D1">
        <w:rPr>
          <w:rFonts w:ascii="Arial" w:eastAsia="Calibri" w:hAnsi="Arial" w:cs="Arial"/>
          <w:b/>
          <w:bCs/>
          <w:szCs w:val="22"/>
        </w:rPr>
        <w:t xml:space="preserve">Estimation of Gamma </w:t>
      </w:r>
      <w:proofErr w:type="spellStart"/>
      <w:r w:rsidR="00B83A61" w:rsidRPr="001B68D1">
        <w:rPr>
          <w:rFonts w:ascii="Arial" w:eastAsia="Calibri" w:hAnsi="Arial" w:cs="Arial"/>
          <w:b/>
          <w:bCs/>
          <w:szCs w:val="22"/>
        </w:rPr>
        <w:t>Glutamyl</w:t>
      </w:r>
      <w:r>
        <w:rPr>
          <w:rFonts w:ascii="Arial" w:eastAsia="Calibri" w:hAnsi="Arial" w:cs="Arial"/>
          <w:b/>
          <w:bCs/>
          <w:szCs w:val="22"/>
        </w:rPr>
        <w:t>t</w:t>
      </w:r>
      <w:r w:rsidR="00B83A61" w:rsidRPr="001B68D1">
        <w:rPr>
          <w:rFonts w:ascii="Arial" w:eastAsia="Calibri" w:hAnsi="Arial" w:cs="Arial"/>
          <w:b/>
          <w:bCs/>
          <w:szCs w:val="22"/>
        </w:rPr>
        <w:t>ranferase</w:t>
      </w:r>
      <w:proofErr w:type="spellEnd"/>
      <w:r w:rsidR="00B83A61" w:rsidRPr="001B68D1">
        <w:rPr>
          <w:rFonts w:ascii="Arial" w:eastAsia="Calibri" w:hAnsi="Arial" w:cs="Arial"/>
          <w:b/>
          <w:bCs/>
          <w:szCs w:val="22"/>
        </w:rPr>
        <w:t xml:space="preserve"> Levels</w:t>
      </w:r>
    </w:p>
    <w:p w14:paraId="58AD7D20" w14:textId="5ADD0541"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lastRenderedPageBreak/>
        <w:t xml:space="preserve">Serum GGT levels were estimated using </w:t>
      </w:r>
      <w:proofErr w:type="spellStart"/>
      <w:r w:rsidRPr="00B83A61">
        <w:rPr>
          <w:rFonts w:ascii="Arial" w:eastAsia="Calibri" w:hAnsi="Arial" w:cs="Arial"/>
          <w:szCs w:val="22"/>
        </w:rPr>
        <w:t>Pokler</w:t>
      </w:r>
      <w:proofErr w:type="spellEnd"/>
      <w:r w:rsidRPr="00B83A61">
        <w:rPr>
          <w:rFonts w:ascii="Arial" w:eastAsia="Calibri" w:hAnsi="Arial" w:cs="Arial"/>
          <w:szCs w:val="22"/>
        </w:rPr>
        <w:t xml:space="preserve"> Italia (PKL) 125 complete chemistry automatic </w:t>
      </w:r>
      <w:proofErr w:type="spellStart"/>
      <w:r w:rsidRPr="00B83A61">
        <w:rPr>
          <w:rFonts w:ascii="Arial" w:eastAsia="Calibri" w:hAnsi="Arial" w:cs="Arial"/>
          <w:szCs w:val="22"/>
        </w:rPr>
        <w:t>analyser</w:t>
      </w:r>
      <w:proofErr w:type="spellEnd"/>
      <w:r w:rsidRPr="00B83A61">
        <w:rPr>
          <w:rFonts w:ascii="Arial" w:eastAsia="Calibri" w:hAnsi="Arial" w:cs="Arial"/>
          <w:szCs w:val="22"/>
        </w:rPr>
        <w:t xml:space="preserve"> with </w:t>
      </w:r>
      <w:proofErr w:type="spellStart"/>
      <w:r w:rsidRPr="00B83A61">
        <w:rPr>
          <w:rFonts w:ascii="Arial" w:eastAsia="Calibri" w:hAnsi="Arial" w:cs="Arial"/>
          <w:szCs w:val="22"/>
        </w:rPr>
        <w:t>Labkit</w:t>
      </w:r>
      <w:proofErr w:type="spellEnd"/>
      <w:r w:rsidRPr="00B83A61">
        <w:rPr>
          <w:rFonts w:ascii="Arial" w:eastAsia="Calibri" w:hAnsi="Arial" w:cs="Arial"/>
          <w:szCs w:val="22"/>
        </w:rPr>
        <w:t xml:space="preserve"> reagent manufactured by </w:t>
      </w:r>
      <w:proofErr w:type="spellStart"/>
      <w:r w:rsidRPr="00B83A61">
        <w:rPr>
          <w:rFonts w:ascii="Arial" w:eastAsia="Calibri" w:hAnsi="Arial" w:cs="Arial"/>
          <w:szCs w:val="22"/>
        </w:rPr>
        <w:t>Chemelex</w:t>
      </w:r>
      <w:proofErr w:type="spellEnd"/>
      <w:r w:rsidRPr="00B83A61">
        <w:rPr>
          <w:rFonts w:ascii="Arial" w:eastAsia="Calibri" w:hAnsi="Arial" w:cs="Arial"/>
          <w:szCs w:val="22"/>
        </w:rPr>
        <w:t xml:space="preserve"> S.A, Barcelona, using carboxy substrate kinetic photometric method by </w:t>
      </w:r>
      <w:r w:rsidRPr="003E5015">
        <w:rPr>
          <w:rFonts w:ascii="Arial" w:eastAsia="Calibri" w:hAnsi="Arial" w:cs="Arial"/>
          <w:szCs w:val="22"/>
        </w:rPr>
        <w:t xml:space="preserve">Gendler and Levine, </w:t>
      </w:r>
      <w:r w:rsidR="009D4CD5" w:rsidRPr="003E5015">
        <w:rPr>
          <w:rFonts w:ascii="Arial" w:eastAsia="Calibri" w:hAnsi="Arial" w:cs="Arial"/>
          <w:szCs w:val="22"/>
        </w:rPr>
        <w:t>[17]</w:t>
      </w:r>
    </w:p>
    <w:p w14:paraId="2813846D" w14:textId="02DB3C43" w:rsidR="00B83A61" w:rsidRPr="00CA5A45" w:rsidRDefault="00CA5A45" w:rsidP="005036FC">
      <w:pPr>
        <w:pStyle w:val="Body"/>
        <w:spacing w:after="0"/>
        <w:rPr>
          <w:rFonts w:ascii="Arial" w:eastAsia="Calibri" w:hAnsi="Arial" w:cs="Arial"/>
          <w:b/>
          <w:bCs/>
          <w:sz w:val="22"/>
          <w:szCs w:val="24"/>
        </w:rPr>
      </w:pPr>
      <w:r w:rsidRPr="00CA5A45">
        <w:rPr>
          <w:rFonts w:ascii="Arial" w:eastAsia="Calibri" w:hAnsi="Arial" w:cs="Arial"/>
          <w:b/>
          <w:bCs/>
          <w:sz w:val="22"/>
          <w:szCs w:val="24"/>
        </w:rPr>
        <w:t>2.9 Statistical</w:t>
      </w:r>
      <w:r w:rsidR="00B83A61" w:rsidRPr="00CA5A45">
        <w:rPr>
          <w:rFonts w:ascii="Arial" w:eastAsia="Calibri" w:hAnsi="Arial" w:cs="Arial"/>
          <w:b/>
          <w:bCs/>
          <w:sz w:val="22"/>
          <w:szCs w:val="24"/>
        </w:rPr>
        <w:t xml:space="preserve"> Analysis</w:t>
      </w:r>
    </w:p>
    <w:p w14:paraId="0DE639F9" w14:textId="0670BC70" w:rsidR="00401964" w:rsidRPr="000B6083" w:rsidRDefault="00B83A61" w:rsidP="000B6083">
      <w:pPr>
        <w:pStyle w:val="Body"/>
        <w:rPr>
          <w:rFonts w:ascii="Arial" w:eastAsia="Calibri" w:hAnsi="Arial" w:cs="Arial"/>
          <w:szCs w:val="22"/>
        </w:rPr>
      </w:pPr>
      <w:r w:rsidRPr="00B83A61">
        <w:rPr>
          <w:rFonts w:ascii="Arial" w:eastAsia="Calibri" w:hAnsi="Arial" w:cs="Arial"/>
          <w:szCs w:val="22"/>
        </w:rPr>
        <w:t>The Statistical analysis was performed using SPSS software version 25. Data were presented as Mean ± Standard Deviation (SD). Mean values were compared using one sample t test. Comparison of mean was also done for 2 groups of variables using One-way analysis of variance (ANOVA). Results with p-value less than 0.05 (p&lt; 0.05) were considered statistically significant.</w:t>
      </w:r>
    </w:p>
    <w:p w14:paraId="093C2C02" w14:textId="77777777" w:rsidR="00902823" w:rsidRDefault="00000F8F" w:rsidP="0048024A">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8D7E5C" w14:textId="77777777" w:rsidR="00D56410" w:rsidRPr="00D84AE0" w:rsidRDefault="00D56410" w:rsidP="00D56410">
      <w:pPr>
        <w:pStyle w:val="Default"/>
        <w:jc w:val="both"/>
        <w:rPr>
          <w:rFonts w:ascii="Arial" w:hAnsi="Arial" w:cs="Arial"/>
          <w:b/>
          <w:color w:val="auto"/>
          <w:sz w:val="20"/>
          <w:szCs w:val="20"/>
        </w:rPr>
      </w:pPr>
      <w:r w:rsidRPr="00D84AE0">
        <w:rPr>
          <w:rFonts w:ascii="Arial" w:hAnsi="Arial" w:cs="Arial"/>
          <w:b/>
          <w:color w:val="auto"/>
          <w:sz w:val="20"/>
          <w:szCs w:val="20"/>
        </w:rPr>
        <w:t xml:space="preserve">Table </w:t>
      </w:r>
      <w:r>
        <w:rPr>
          <w:rFonts w:ascii="Arial" w:hAnsi="Arial" w:cs="Arial"/>
          <w:b/>
          <w:color w:val="auto"/>
          <w:sz w:val="20"/>
          <w:szCs w:val="20"/>
        </w:rPr>
        <w:t>1</w:t>
      </w:r>
      <w:r w:rsidRPr="00D84AE0">
        <w:rPr>
          <w:rFonts w:ascii="Arial" w:hAnsi="Arial" w:cs="Arial"/>
          <w:b/>
          <w:color w:val="auto"/>
          <w:sz w:val="20"/>
          <w:szCs w:val="20"/>
        </w:rPr>
        <w:t>:</w:t>
      </w:r>
      <w:r>
        <w:rPr>
          <w:rFonts w:ascii="Arial" w:hAnsi="Arial" w:cs="Arial"/>
          <w:b/>
          <w:color w:val="auto"/>
          <w:sz w:val="20"/>
          <w:szCs w:val="20"/>
        </w:rPr>
        <w:t xml:space="preserve"> </w:t>
      </w:r>
      <w:r w:rsidRPr="00D84AE0">
        <w:rPr>
          <w:rFonts w:ascii="Arial" w:hAnsi="Arial" w:cs="Arial"/>
          <w:b/>
          <w:color w:val="auto"/>
          <w:sz w:val="20"/>
          <w:szCs w:val="20"/>
        </w:rPr>
        <w:t>Serum Concentration of Total and Free PSA Levels among Smokers</w:t>
      </w:r>
    </w:p>
    <w:tbl>
      <w:tblPr>
        <w:tblStyle w:val="TableGrid"/>
        <w:tblpPr w:leftFromText="180" w:rightFromText="180" w:vertAnchor="text" w:horzAnchor="margin" w:tblpY="38"/>
        <w:tblW w:w="8606" w:type="dxa"/>
        <w:tblLook w:val="04A0" w:firstRow="1" w:lastRow="0" w:firstColumn="1" w:lastColumn="0" w:noHBand="0" w:noVBand="1"/>
      </w:tblPr>
      <w:tblGrid>
        <w:gridCol w:w="2929"/>
        <w:gridCol w:w="1569"/>
        <w:gridCol w:w="1569"/>
        <w:gridCol w:w="1120"/>
        <w:gridCol w:w="1419"/>
      </w:tblGrid>
      <w:tr w:rsidR="00D56410" w:rsidRPr="00D84AE0" w14:paraId="4B54B0D0" w14:textId="77777777" w:rsidTr="00DA30A7">
        <w:trPr>
          <w:trHeight w:val="350"/>
        </w:trPr>
        <w:tc>
          <w:tcPr>
            <w:tcW w:w="2929" w:type="dxa"/>
          </w:tcPr>
          <w:p w14:paraId="303560CC"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Parameters</w:t>
            </w:r>
          </w:p>
          <w:p w14:paraId="0ACF2FA1" w14:textId="77777777" w:rsidR="00D56410" w:rsidRPr="00D84AE0" w:rsidRDefault="00D56410" w:rsidP="00DA30A7">
            <w:pPr>
              <w:rPr>
                <w:rFonts w:ascii="Arial" w:hAnsi="Arial" w:cs="Arial"/>
                <w:b/>
                <w:sz w:val="20"/>
                <w:szCs w:val="20"/>
              </w:rPr>
            </w:pPr>
          </w:p>
        </w:tc>
        <w:tc>
          <w:tcPr>
            <w:tcW w:w="1569" w:type="dxa"/>
          </w:tcPr>
          <w:p w14:paraId="4962EBD6"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Controls</w:t>
            </w:r>
          </w:p>
          <w:p w14:paraId="72FE3AFE"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Mean ± SD</w:t>
            </w:r>
          </w:p>
        </w:tc>
        <w:tc>
          <w:tcPr>
            <w:tcW w:w="1569" w:type="dxa"/>
          </w:tcPr>
          <w:p w14:paraId="1E2A22B4"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Smokers</w:t>
            </w:r>
          </w:p>
          <w:p w14:paraId="518213C1"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Mean ± SD</w:t>
            </w:r>
          </w:p>
        </w:tc>
        <w:tc>
          <w:tcPr>
            <w:tcW w:w="1120" w:type="dxa"/>
          </w:tcPr>
          <w:p w14:paraId="063CAE15"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P-Value</w:t>
            </w:r>
          </w:p>
        </w:tc>
        <w:tc>
          <w:tcPr>
            <w:tcW w:w="1419" w:type="dxa"/>
          </w:tcPr>
          <w:p w14:paraId="60EEFC5F"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Remarks</w:t>
            </w:r>
          </w:p>
        </w:tc>
      </w:tr>
      <w:tr w:rsidR="00D56410" w:rsidRPr="00D84AE0" w14:paraId="14B02A9C" w14:textId="77777777" w:rsidTr="00DA30A7">
        <w:trPr>
          <w:trHeight w:val="107"/>
        </w:trPr>
        <w:tc>
          <w:tcPr>
            <w:tcW w:w="2929" w:type="dxa"/>
          </w:tcPr>
          <w:p w14:paraId="0B0FEF69"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Total PSA (ng/mL)</w:t>
            </w:r>
          </w:p>
        </w:tc>
        <w:tc>
          <w:tcPr>
            <w:tcW w:w="1569" w:type="dxa"/>
          </w:tcPr>
          <w:p w14:paraId="7D604C6F"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1.62 ± 0.77</w:t>
            </w:r>
          </w:p>
        </w:tc>
        <w:tc>
          <w:tcPr>
            <w:tcW w:w="1569" w:type="dxa"/>
          </w:tcPr>
          <w:p w14:paraId="72612E7D"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3.53 ± 3.04</w:t>
            </w:r>
          </w:p>
        </w:tc>
        <w:tc>
          <w:tcPr>
            <w:tcW w:w="1120" w:type="dxa"/>
          </w:tcPr>
          <w:p w14:paraId="15416E78"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0.02</w:t>
            </w:r>
          </w:p>
        </w:tc>
        <w:tc>
          <w:tcPr>
            <w:tcW w:w="1419" w:type="dxa"/>
          </w:tcPr>
          <w:p w14:paraId="0A37AB38"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S</w:t>
            </w:r>
          </w:p>
        </w:tc>
      </w:tr>
      <w:tr w:rsidR="00D56410" w:rsidRPr="00D84AE0" w14:paraId="40BD1378" w14:textId="77777777" w:rsidTr="00DA30A7">
        <w:trPr>
          <w:trHeight w:val="197"/>
        </w:trPr>
        <w:tc>
          <w:tcPr>
            <w:tcW w:w="2929" w:type="dxa"/>
          </w:tcPr>
          <w:p w14:paraId="455F5D0B"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Free PSA (ng/mL)</w:t>
            </w:r>
          </w:p>
        </w:tc>
        <w:tc>
          <w:tcPr>
            <w:tcW w:w="1569" w:type="dxa"/>
          </w:tcPr>
          <w:p w14:paraId="76813593"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0.32 ± 0.11</w:t>
            </w:r>
          </w:p>
        </w:tc>
        <w:tc>
          <w:tcPr>
            <w:tcW w:w="1569" w:type="dxa"/>
          </w:tcPr>
          <w:p w14:paraId="55F14CA6"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0.38 ± 0.42</w:t>
            </w:r>
          </w:p>
        </w:tc>
        <w:tc>
          <w:tcPr>
            <w:tcW w:w="1120" w:type="dxa"/>
          </w:tcPr>
          <w:p w14:paraId="25166D13"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0.61</w:t>
            </w:r>
          </w:p>
        </w:tc>
        <w:tc>
          <w:tcPr>
            <w:tcW w:w="1419" w:type="dxa"/>
          </w:tcPr>
          <w:p w14:paraId="6863338A"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NS</w:t>
            </w:r>
          </w:p>
        </w:tc>
      </w:tr>
      <w:tr w:rsidR="00D56410" w:rsidRPr="00D84AE0" w14:paraId="26ADD7D5" w14:textId="77777777" w:rsidTr="00DA30A7">
        <w:trPr>
          <w:trHeight w:val="296"/>
        </w:trPr>
        <w:tc>
          <w:tcPr>
            <w:tcW w:w="2929" w:type="dxa"/>
          </w:tcPr>
          <w:p w14:paraId="30A0B05F"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N-Value</w:t>
            </w:r>
          </w:p>
        </w:tc>
        <w:tc>
          <w:tcPr>
            <w:tcW w:w="1569" w:type="dxa"/>
          </w:tcPr>
          <w:p w14:paraId="1F9AF4D2"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45</w:t>
            </w:r>
          </w:p>
        </w:tc>
        <w:tc>
          <w:tcPr>
            <w:tcW w:w="1569" w:type="dxa"/>
          </w:tcPr>
          <w:p w14:paraId="16AEDAA2"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25</w:t>
            </w:r>
          </w:p>
        </w:tc>
        <w:tc>
          <w:tcPr>
            <w:tcW w:w="1120" w:type="dxa"/>
          </w:tcPr>
          <w:p w14:paraId="4D06311F" w14:textId="77777777" w:rsidR="00D56410" w:rsidRPr="00D84AE0" w:rsidRDefault="00D56410" w:rsidP="00DA30A7">
            <w:pPr>
              <w:jc w:val="center"/>
              <w:rPr>
                <w:rFonts w:ascii="Arial" w:hAnsi="Arial" w:cs="Arial"/>
                <w:sz w:val="20"/>
                <w:szCs w:val="20"/>
              </w:rPr>
            </w:pPr>
          </w:p>
        </w:tc>
        <w:tc>
          <w:tcPr>
            <w:tcW w:w="1419" w:type="dxa"/>
          </w:tcPr>
          <w:p w14:paraId="01975BEA" w14:textId="77777777" w:rsidR="00D56410" w:rsidRPr="00D84AE0" w:rsidRDefault="00D56410" w:rsidP="00DA30A7">
            <w:pPr>
              <w:jc w:val="center"/>
              <w:rPr>
                <w:rFonts w:ascii="Arial" w:hAnsi="Arial" w:cs="Arial"/>
                <w:sz w:val="20"/>
                <w:szCs w:val="20"/>
              </w:rPr>
            </w:pPr>
          </w:p>
        </w:tc>
      </w:tr>
    </w:tbl>
    <w:p w14:paraId="763DC637" w14:textId="77777777" w:rsidR="00D56410" w:rsidRPr="00D84AE0" w:rsidRDefault="00D56410" w:rsidP="00D56410">
      <w:pPr>
        <w:tabs>
          <w:tab w:val="left" w:pos="90"/>
          <w:tab w:val="left" w:pos="270"/>
          <w:tab w:val="left" w:pos="360"/>
        </w:tabs>
        <w:rPr>
          <w:rFonts w:ascii="Arial" w:hAnsi="Arial" w:cs="Arial"/>
          <w:b/>
        </w:rPr>
      </w:pP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p>
    <w:p w14:paraId="3AEA2E65" w14:textId="77777777" w:rsidR="00D56410" w:rsidRPr="00D84AE0" w:rsidRDefault="00D56410" w:rsidP="00D56410">
      <w:pPr>
        <w:tabs>
          <w:tab w:val="left" w:pos="90"/>
          <w:tab w:val="left" w:pos="270"/>
          <w:tab w:val="left" w:pos="360"/>
        </w:tabs>
        <w:rPr>
          <w:rFonts w:ascii="Arial" w:hAnsi="Arial" w:cs="Arial"/>
        </w:rPr>
      </w:pPr>
      <w:r w:rsidRPr="00D84AE0">
        <w:rPr>
          <w:rFonts w:ascii="Arial" w:hAnsi="Arial" w:cs="Arial"/>
          <w:b/>
        </w:rPr>
        <w:tab/>
        <w:t>Key:</w:t>
      </w:r>
      <w:r w:rsidRPr="00D84AE0">
        <w:rPr>
          <w:rFonts w:ascii="Arial" w:hAnsi="Arial" w:cs="Arial"/>
        </w:rPr>
        <w:t xml:space="preserve"> S = Significant. NS = Not Significant.</w:t>
      </w:r>
    </w:p>
    <w:p w14:paraId="4502A50B" w14:textId="77777777" w:rsidR="00D56410" w:rsidRPr="00D84AE0" w:rsidRDefault="00D56410" w:rsidP="00D56410">
      <w:pPr>
        <w:tabs>
          <w:tab w:val="left" w:pos="90"/>
          <w:tab w:val="left" w:pos="270"/>
          <w:tab w:val="left" w:pos="360"/>
        </w:tabs>
        <w:rPr>
          <w:rFonts w:ascii="Arial" w:hAnsi="Arial" w:cs="Arial"/>
        </w:rPr>
      </w:pPr>
    </w:p>
    <w:tbl>
      <w:tblPr>
        <w:tblStyle w:val="TableGrid"/>
        <w:tblpPr w:leftFromText="180" w:rightFromText="180" w:vertAnchor="text" w:horzAnchor="margin" w:tblpY="272"/>
        <w:tblW w:w="8619" w:type="dxa"/>
        <w:tblLook w:val="04A0" w:firstRow="1" w:lastRow="0" w:firstColumn="1" w:lastColumn="0" w:noHBand="0" w:noVBand="1"/>
      </w:tblPr>
      <w:tblGrid>
        <w:gridCol w:w="2931"/>
        <w:gridCol w:w="1571"/>
        <w:gridCol w:w="1570"/>
        <w:gridCol w:w="1122"/>
        <w:gridCol w:w="1425"/>
      </w:tblGrid>
      <w:tr w:rsidR="00D56410" w:rsidRPr="00D84AE0" w14:paraId="245D52E1" w14:textId="77777777" w:rsidTr="00DA30A7">
        <w:trPr>
          <w:trHeight w:val="547"/>
        </w:trPr>
        <w:tc>
          <w:tcPr>
            <w:tcW w:w="2931" w:type="dxa"/>
          </w:tcPr>
          <w:p w14:paraId="1182745C" w14:textId="77777777" w:rsidR="00D56410" w:rsidRPr="00D84AE0" w:rsidRDefault="00D56410" w:rsidP="00DA30A7">
            <w:pPr>
              <w:rPr>
                <w:rFonts w:ascii="Arial" w:hAnsi="Arial" w:cs="Arial"/>
                <w:b/>
                <w:sz w:val="20"/>
                <w:szCs w:val="20"/>
              </w:rPr>
            </w:pPr>
            <w:r w:rsidRPr="00D84AE0">
              <w:rPr>
                <w:rFonts w:ascii="Arial" w:hAnsi="Arial" w:cs="Arial"/>
                <w:b/>
                <w:sz w:val="20"/>
                <w:szCs w:val="20"/>
              </w:rPr>
              <w:t>Parameters</w:t>
            </w:r>
          </w:p>
          <w:p w14:paraId="54B6AD56" w14:textId="77777777" w:rsidR="00D56410" w:rsidRPr="00D84AE0" w:rsidRDefault="00D56410" w:rsidP="00DA30A7">
            <w:pPr>
              <w:rPr>
                <w:rFonts w:ascii="Arial" w:hAnsi="Arial" w:cs="Arial"/>
                <w:b/>
                <w:sz w:val="20"/>
                <w:szCs w:val="20"/>
              </w:rPr>
            </w:pPr>
          </w:p>
        </w:tc>
        <w:tc>
          <w:tcPr>
            <w:tcW w:w="1571" w:type="dxa"/>
          </w:tcPr>
          <w:p w14:paraId="7F2493C1" w14:textId="77777777" w:rsidR="00D56410" w:rsidRPr="00D84AE0" w:rsidRDefault="00D56410" w:rsidP="00DA30A7">
            <w:pPr>
              <w:rPr>
                <w:rFonts w:ascii="Arial" w:hAnsi="Arial" w:cs="Arial"/>
                <w:b/>
                <w:sz w:val="20"/>
                <w:szCs w:val="20"/>
              </w:rPr>
            </w:pPr>
            <w:r w:rsidRPr="00D84AE0">
              <w:rPr>
                <w:rFonts w:ascii="Arial" w:hAnsi="Arial" w:cs="Arial"/>
                <w:b/>
                <w:sz w:val="20"/>
                <w:szCs w:val="20"/>
              </w:rPr>
              <w:t>Controls</w:t>
            </w:r>
          </w:p>
          <w:p w14:paraId="39455950" w14:textId="77777777" w:rsidR="00D56410" w:rsidRPr="00D84AE0" w:rsidRDefault="00D56410" w:rsidP="00DA30A7">
            <w:pPr>
              <w:rPr>
                <w:rFonts w:ascii="Arial" w:hAnsi="Arial" w:cs="Arial"/>
                <w:b/>
                <w:sz w:val="20"/>
                <w:szCs w:val="20"/>
              </w:rPr>
            </w:pPr>
            <w:r w:rsidRPr="00D84AE0">
              <w:rPr>
                <w:rFonts w:ascii="Arial" w:hAnsi="Arial" w:cs="Arial"/>
                <w:b/>
                <w:sz w:val="20"/>
                <w:szCs w:val="20"/>
              </w:rPr>
              <w:t>Mean ± SD</w:t>
            </w:r>
          </w:p>
        </w:tc>
        <w:tc>
          <w:tcPr>
            <w:tcW w:w="1570" w:type="dxa"/>
          </w:tcPr>
          <w:p w14:paraId="348011D4"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Alcohol Users</w:t>
            </w:r>
          </w:p>
          <w:p w14:paraId="3038BB99"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Mean ± SD</w:t>
            </w:r>
          </w:p>
        </w:tc>
        <w:tc>
          <w:tcPr>
            <w:tcW w:w="1122" w:type="dxa"/>
          </w:tcPr>
          <w:p w14:paraId="0B819E4C"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P-Value</w:t>
            </w:r>
          </w:p>
        </w:tc>
        <w:tc>
          <w:tcPr>
            <w:tcW w:w="1425" w:type="dxa"/>
          </w:tcPr>
          <w:p w14:paraId="06A2888E"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Remarks</w:t>
            </w:r>
          </w:p>
        </w:tc>
      </w:tr>
      <w:tr w:rsidR="00D56410" w:rsidRPr="00D84AE0" w14:paraId="7AAF0BBD" w14:textId="77777777" w:rsidTr="00DA30A7">
        <w:trPr>
          <w:trHeight w:val="235"/>
        </w:trPr>
        <w:tc>
          <w:tcPr>
            <w:tcW w:w="2931" w:type="dxa"/>
          </w:tcPr>
          <w:p w14:paraId="2B414A6C" w14:textId="77777777" w:rsidR="00D56410" w:rsidRPr="00D84AE0" w:rsidRDefault="00D56410" w:rsidP="00DA30A7">
            <w:pPr>
              <w:rPr>
                <w:rFonts w:ascii="Arial" w:hAnsi="Arial" w:cs="Arial"/>
                <w:sz w:val="20"/>
                <w:szCs w:val="20"/>
              </w:rPr>
            </w:pPr>
            <w:r w:rsidRPr="00D84AE0">
              <w:rPr>
                <w:rFonts w:ascii="Arial" w:hAnsi="Arial" w:cs="Arial"/>
                <w:sz w:val="20"/>
                <w:szCs w:val="20"/>
              </w:rPr>
              <w:t>Total PSA (ng/mL)</w:t>
            </w:r>
          </w:p>
        </w:tc>
        <w:tc>
          <w:tcPr>
            <w:tcW w:w="1571" w:type="dxa"/>
          </w:tcPr>
          <w:p w14:paraId="02D0CC0F" w14:textId="77777777" w:rsidR="00D56410" w:rsidRPr="00D84AE0" w:rsidRDefault="00D56410" w:rsidP="00DA30A7">
            <w:pPr>
              <w:rPr>
                <w:rFonts w:ascii="Arial" w:hAnsi="Arial" w:cs="Arial"/>
                <w:sz w:val="20"/>
                <w:szCs w:val="20"/>
              </w:rPr>
            </w:pPr>
            <w:r w:rsidRPr="00D84AE0">
              <w:rPr>
                <w:rFonts w:ascii="Arial" w:hAnsi="Arial" w:cs="Arial"/>
                <w:sz w:val="20"/>
                <w:szCs w:val="20"/>
              </w:rPr>
              <w:t>1.22 ± 0.71</w:t>
            </w:r>
          </w:p>
        </w:tc>
        <w:tc>
          <w:tcPr>
            <w:tcW w:w="1570" w:type="dxa"/>
          </w:tcPr>
          <w:p w14:paraId="1F30FF1E" w14:textId="77777777" w:rsidR="00D56410" w:rsidRPr="00D84AE0" w:rsidRDefault="00D56410" w:rsidP="00DA30A7">
            <w:pPr>
              <w:jc w:val="center"/>
              <w:rPr>
                <w:rFonts w:ascii="Arial" w:hAnsi="Arial" w:cs="Arial"/>
                <w:sz w:val="20"/>
                <w:szCs w:val="20"/>
              </w:rPr>
            </w:pPr>
            <w:hyperlink r:id="rId15" w:history="1">
              <w:r w:rsidRPr="00D84AE0">
                <w:rPr>
                  <w:rStyle w:val="Hyperlink"/>
                  <w:rFonts w:ascii="Arial" w:hAnsi="Arial" w:cs="Arial"/>
                  <w:color w:val="auto"/>
                  <w:sz w:val="20"/>
                  <w:szCs w:val="20"/>
                  <w:u w:val="none"/>
                </w:rPr>
                <w:t>1.78</w:t>
              </w:r>
            </w:hyperlink>
            <w:r w:rsidRPr="00D84AE0">
              <w:rPr>
                <w:rFonts w:ascii="Arial" w:hAnsi="Arial" w:cs="Arial"/>
                <w:sz w:val="20"/>
                <w:szCs w:val="20"/>
              </w:rPr>
              <w:t xml:space="preserve"> ± 1.20</w:t>
            </w:r>
          </w:p>
        </w:tc>
        <w:tc>
          <w:tcPr>
            <w:tcW w:w="1122" w:type="dxa"/>
          </w:tcPr>
          <w:p w14:paraId="35B7E710"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0.01</w:t>
            </w:r>
          </w:p>
        </w:tc>
        <w:tc>
          <w:tcPr>
            <w:tcW w:w="1425" w:type="dxa"/>
          </w:tcPr>
          <w:p w14:paraId="6B280E07"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S</w:t>
            </w:r>
          </w:p>
        </w:tc>
      </w:tr>
      <w:tr w:rsidR="00D56410" w:rsidRPr="00D84AE0" w14:paraId="212204DA" w14:textId="77777777" w:rsidTr="00DA30A7">
        <w:trPr>
          <w:trHeight w:val="316"/>
        </w:trPr>
        <w:tc>
          <w:tcPr>
            <w:tcW w:w="2931" w:type="dxa"/>
          </w:tcPr>
          <w:p w14:paraId="286252C3" w14:textId="77777777" w:rsidR="00D56410" w:rsidRPr="00D84AE0" w:rsidRDefault="00D56410" w:rsidP="00DA30A7">
            <w:pPr>
              <w:rPr>
                <w:rFonts w:ascii="Arial" w:hAnsi="Arial" w:cs="Arial"/>
                <w:sz w:val="20"/>
                <w:szCs w:val="20"/>
              </w:rPr>
            </w:pPr>
            <w:r w:rsidRPr="00D84AE0">
              <w:rPr>
                <w:rFonts w:ascii="Arial" w:hAnsi="Arial" w:cs="Arial"/>
                <w:sz w:val="20"/>
                <w:szCs w:val="20"/>
              </w:rPr>
              <w:t>Free PSA (ng/mL)</w:t>
            </w:r>
          </w:p>
        </w:tc>
        <w:tc>
          <w:tcPr>
            <w:tcW w:w="1571" w:type="dxa"/>
          </w:tcPr>
          <w:p w14:paraId="5F0DDB7A" w14:textId="77777777" w:rsidR="00D56410" w:rsidRPr="00D84AE0" w:rsidRDefault="00D56410" w:rsidP="00DA30A7">
            <w:pPr>
              <w:rPr>
                <w:rFonts w:ascii="Arial" w:hAnsi="Arial" w:cs="Arial"/>
                <w:sz w:val="20"/>
                <w:szCs w:val="20"/>
              </w:rPr>
            </w:pPr>
            <w:r w:rsidRPr="00D84AE0">
              <w:rPr>
                <w:rFonts w:ascii="Arial" w:hAnsi="Arial" w:cs="Arial"/>
                <w:sz w:val="20"/>
                <w:szCs w:val="20"/>
              </w:rPr>
              <w:t>0.28 ± 0.13</w:t>
            </w:r>
          </w:p>
        </w:tc>
        <w:tc>
          <w:tcPr>
            <w:tcW w:w="1570" w:type="dxa"/>
          </w:tcPr>
          <w:p w14:paraId="31A9D2F4"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0.33 ± 0.17</w:t>
            </w:r>
          </w:p>
        </w:tc>
        <w:tc>
          <w:tcPr>
            <w:tcW w:w="1122" w:type="dxa"/>
          </w:tcPr>
          <w:p w14:paraId="5B0EA93D"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2.2</w:t>
            </w:r>
          </w:p>
        </w:tc>
        <w:tc>
          <w:tcPr>
            <w:tcW w:w="1425" w:type="dxa"/>
          </w:tcPr>
          <w:p w14:paraId="5C7F77C1"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NS</w:t>
            </w:r>
          </w:p>
        </w:tc>
      </w:tr>
      <w:tr w:rsidR="00D56410" w:rsidRPr="00D84AE0" w14:paraId="77E947F9" w14:textId="77777777" w:rsidTr="00DA30A7">
        <w:trPr>
          <w:trHeight w:val="172"/>
        </w:trPr>
        <w:tc>
          <w:tcPr>
            <w:tcW w:w="2931" w:type="dxa"/>
          </w:tcPr>
          <w:p w14:paraId="3120DB97" w14:textId="77777777" w:rsidR="00D56410" w:rsidRPr="00D84AE0" w:rsidRDefault="00D56410" w:rsidP="00DA30A7">
            <w:pPr>
              <w:rPr>
                <w:rFonts w:ascii="Arial" w:hAnsi="Arial" w:cs="Arial"/>
                <w:sz w:val="20"/>
                <w:szCs w:val="20"/>
              </w:rPr>
            </w:pPr>
            <w:r w:rsidRPr="00D84AE0">
              <w:rPr>
                <w:rFonts w:ascii="Arial" w:hAnsi="Arial" w:cs="Arial"/>
                <w:sz w:val="20"/>
                <w:szCs w:val="20"/>
              </w:rPr>
              <w:t>N-Value</w:t>
            </w:r>
          </w:p>
        </w:tc>
        <w:tc>
          <w:tcPr>
            <w:tcW w:w="1571" w:type="dxa"/>
          </w:tcPr>
          <w:p w14:paraId="5494F2C4"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45</w:t>
            </w:r>
          </w:p>
        </w:tc>
        <w:tc>
          <w:tcPr>
            <w:tcW w:w="1570" w:type="dxa"/>
          </w:tcPr>
          <w:p w14:paraId="71322AE8"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45</w:t>
            </w:r>
          </w:p>
        </w:tc>
        <w:tc>
          <w:tcPr>
            <w:tcW w:w="1122" w:type="dxa"/>
          </w:tcPr>
          <w:p w14:paraId="2CA50117" w14:textId="77777777" w:rsidR="00D56410" w:rsidRPr="00D84AE0" w:rsidRDefault="00D56410" w:rsidP="00DA30A7">
            <w:pPr>
              <w:jc w:val="center"/>
              <w:rPr>
                <w:rFonts w:ascii="Arial" w:hAnsi="Arial" w:cs="Arial"/>
                <w:sz w:val="20"/>
                <w:szCs w:val="20"/>
              </w:rPr>
            </w:pPr>
          </w:p>
        </w:tc>
        <w:tc>
          <w:tcPr>
            <w:tcW w:w="1425" w:type="dxa"/>
          </w:tcPr>
          <w:p w14:paraId="51279E1B" w14:textId="77777777" w:rsidR="00D56410" w:rsidRPr="00D84AE0" w:rsidRDefault="00D56410" w:rsidP="00DA30A7">
            <w:pPr>
              <w:jc w:val="center"/>
              <w:rPr>
                <w:rFonts w:ascii="Arial" w:hAnsi="Arial" w:cs="Arial"/>
                <w:sz w:val="20"/>
                <w:szCs w:val="20"/>
              </w:rPr>
            </w:pPr>
          </w:p>
        </w:tc>
      </w:tr>
    </w:tbl>
    <w:p w14:paraId="4B7B1750" w14:textId="77777777" w:rsidR="00D56410" w:rsidRPr="00D84AE0" w:rsidRDefault="00D56410" w:rsidP="00D56410">
      <w:pPr>
        <w:pStyle w:val="Default"/>
        <w:rPr>
          <w:rFonts w:ascii="Arial" w:hAnsi="Arial" w:cs="Arial"/>
          <w:b/>
          <w:color w:val="auto"/>
          <w:sz w:val="20"/>
          <w:szCs w:val="20"/>
        </w:rPr>
      </w:pPr>
      <w:r w:rsidRPr="00D84AE0">
        <w:rPr>
          <w:rFonts w:ascii="Arial" w:hAnsi="Arial" w:cs="Arial"/>
          <w:b/>
          <w:color w:val="auto"/>
          <w:sz w:val="20"/>
          <w:szCs w:val="20"/>
        </w:rPr>
        <w:t>Table 2:  Serum Concentration of Total and Free PSA Levels among Alcohol     Users</w:t>
      </w:r>
    </w:p>
    <w:p w14:paraId="4C3A3BA4" w14:textId="77777777" w:rsidR="00D56410" w:rsidRPr="00D84AE0" w:rsidRDefault="00D56410" w:rsidP="00D56410">
      <w:pPr>
        <w:tabs>
          <w:tab w:val="left" w:pos="90"/>
          <w:tab w:val="left" w:pos="270"/>
          <w:tab w:val="left" w:pos="360"/>
        </w:tabs>
        <w:rPr>
          <w:rFonts w:ascii="Arial" w:hAnsi="Arial" w:cs="Arial"/>
          <w:b/>
        </w:rPr>
      </w:pP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p>
    <w:p w14:paraId="710EEBC6" w14:textId="77777777" w:rsidR="00D56410" w:rsidRPr="00D84AE0" w:rsidRDefault="00D56410" w:rsidP="00D56410">
      <w:pPr>
        <w:tabs>
          <w:tab w:val="left" w:pos="90"/>
          <w:tab w:val="left" w:pos="270"/>
          <w:tab w:val="left" w:pos="360"/>
        </w:tabs>
        <w:rPr>
          <w:rFonts w:ascii="Arial" w:hAnsi="Arial" w:cs="Arial"/>
        </w:rPr>
      </w:pPr>
      <w:r w:rsidRPr="00D84AE0">
        <w:rPr>
          <w:rFonts w:ascii="Arial" w:hAnsi="Arial" w:cs="Arial"/>
          <w:b/>
        </w:rPr>
        <w:tab/>
        <w:t>Key:</w:t>
      </w:r>
      <w:r w:rsidRPr="00D84AE0">
        <w:rPr>
          <w:rFonts w:ascii="Arial" w:hAnsi="Arial" w:cs="Arial"/>
        </w:rPr>
        <w:t xml:space="preserve"> S = Significant. NS = Not Significant.</w:t>
      </w:r>
    </w:p>
    <w:p w14:paraId="64780C07" w14:textId="77777777" w:rsidR="00D56410" w:rsidRPr="00D84AE0" w:rsidRDefault="00D56410" w:rsidP="00D56410">
      <w:pPr>
        <w:tabs>
          <w:tab w:val="left" w:pos="90"/>
          <w:tab w:val="left" w:pos="270"/>
          <w:tab w:val="left" w:pos="360"/>
        </w:tabs>
        <w:rPr>
          <w:rFonts w:ascii="Arial" w:hAnsi="Arial" w:cs="Arial"/>
        </w:rPr>
      </w:pPr>
      <w:r w:rsidRPr="00D84AE0">
        <w:rPr>
          <w:rFonts w:ascii="Arial" w:hAnsi="Arial" w:cs="Arial"/>
          <w:b/>
        </w:rPr>
        <w:tab/>
      </w:r>
      <w:r w:rsidRPr="00D84AE0">
        <w:rPr>
          <w:rFonts w:ascii="Arial" w:hAnsi="Arial" w:cs="Arial"/>
          <w:b/>
        </w:rPr>
        <w:tab/>
      </w:r>
    </w:p>
    <w:p w14:paraId="6C72678B" w14:textId="77777777" w:rsidR="00D56410" w:rsidRPr="00D84AE0" w:rsidRDefault="00D56410" w:rsidP="00D56410">
      <w:pPr>
        <w:pStyle w:val="Default"/>
        <w:jc w:val="both"/>
        <w:rPr>
          <w:rFonts w:ascii="Arial" w:hAnsi="Arial" w:cs="Arial"/>
          <w:b/>
          <w:color w:val="auto"/>
          <w:sz w:val="20"/>
          <w:szCs w:val="20"/>
        </w:rPr>
      </w:pPr>
      <w:r w:rsidRPr="00D84AE0">
        <w:rPr>
          <w:rFonts w:ascii="Arial" w:hAnsi="Arial" w:cs="Arial"/>
          <w:b/>
          <w:color w:val="auto"/>
          <w:sz w:val="20"/>
          <w:szCs w:val="20"/>
        </w:rPr>
        <w:t xml:space="preserve">Table </w:t>
      </w:r>
      <w:r>
        <w:rPr>
          <w:rFonts w:ascii="Arial" w:hAnsi="Arial" w:cs="Arial"/>
          <w:b/>
          <w:color w:val="auto"/>
          <w:sz w:val="20"/>
          <w:szCs w:val="20"/>
        </w:rPr>
        <w:t>3</w:t>
      </w:r>
      <w:r w:rsidRPr="00D84AE0">
        <w:rPr>
          <w:rFonts w:ascii="Arial" w:hAnsi="Arial" w:cs="Arial"/>
          <w:b/>
          <w:color w:val="auto"/>
          <w:sz w:val="20"/>
          <w:szCs w:val="20"/>
        </w:rPr>
        <w:t>:</w:t>
      </w:r>
      <w:r>
        <w:rPr>
          <w:rFonts w:ascii="Arial" w:hAnsi="Arial" w:cs="Arial"/>
          <w:b/>
          <w:color w:val="auto"/>
          <w:sz w:val="20"/>
          <w:szCs w:val="20"/>
        </w:rPr>
        <w:t xml:space="preserve"> </w:t>
      </w:r>
      <w:r w:rsidRPr="00D84AE0">
        <w:rPr>
          <w:rFonts w:ascii="Arial" w:hAnsi="Arial" w:cs="Arial"/>
          <w:b/>
          <w:color w:val="auto"/>
          <w:sz w:val="20"/>
          <w:szCs w:val="20"/>
        </w:rPr>
        <w:t>Serum Concentration of Total and Free PSA Levels among Smokers and Alcohol Users</w:t>
      </w:r>
    </w:p>
    <w:tbl>
      <w:tblPr>
        <w:tblStyle w:val="TableGrid"/>
        <w:tblpPr w:leftFromText="180" w:rightFromText="180" w:vertAnchor="text" w:horzAnchor="margin" w:tblpY="342"/>
        <w:tblW w:w="9225" w:type="dxa"/>
        <w:tblLook w:val="04A0" w:firstRow="1" w:lastRow="0" w:firstColumn="1" w:lastColumn="0" w:noHBand="0" w:noVBand="1"/>
      </w:tblPr>
      <w:tblGrid>
        <w:gridCol w:w="3139"/>
        <w:gridCol w:w="1682"/>
        <w:gridCol w:w="1682"/>
        <w:gridCol w:w="1201"/>
        <w:gridCol w:w="1521"/>
      </w:tblGrid>
      <w:tr w:rsidR="00D56410" w:rsidRPr="00D84AE0" w14:paraId="777479BB" w14:textId="77777777" w:rsidTr="00DA30A7">
        <w:trPr>
          <w:trHeight w:val="807"/>
        </w:trPr>
        <w:tc>
          <w:tcPr>
            <w:tcW w:w="3139" w:type="dxa"/>
          </w:tcPr>
          <w:p w14:paraId="7BFB3B20" w14:textId="77777777" w:rsidR="00D56410" w:rsidRPr="00D84AE0" w:rsidRDefault="00D56410" w:rsidP="00DA30A7">
            <w:pPr>
              <w:jc w:val="both"/>
              <w:rPr>
                <w:rFonts w:ascii="Arial" w:hAnsi="Arial" w:cs="Arial"/>
                <w:b/>
                <w:sz w:val="20"/>
                <w:szCs w:val="20"/>
              </w:rPr>
            </w:pPr>
            <w:r w:rsidRPr="00D84AE0">
              <w:rPr>
                <w:rFonts w:ascii="Arial" w:hAnsi="Arial" w:cs="Arial"/>
                <w:b/>
                <w:sz w:val="20"/>
                <w:szCs w:val="20"/>
              </w:rPr>
              <w:t>Parameters</w:t>
            </w:r>
          </w:p>
          <w:p w14:paraId="70182FBC" w14:textId="77777777" w:rsidR="00D56410" w:rsidRPr="00D84AE0" w:rsidRDefault="00D56410" w:rsidP="00DA30A7">
            <w:pPr>
              <w:jc w:val="center"/>
              <w:rPr>
                <w:rFonts w:ascii="Arial" w:hAnsi="Arial" w:cs="Arial"/>
                <w:b/>
                <w:sz w:val="20"/>
                <w:szCs w:val="20"/>
              </w:rPr>
            </w:pPr>
          </w:p>
          <w:p w14:paraId="6AEC3BE6" w14:textId="77777777" w:rsidR="00D56410" w:rsidRPr="00D84AE0" w:rsidRDefault="00D56410" w:rsidP="00DA30A7">
            <w:pPr>
              <w:jc w:val="center"/>
              <w:rPr>
                <w:rFonts w:ascii="Arial" w:hAnsi="Arial" w:cs="Arial"/>
                <w:b/>
                <w:sz w:val="20"/>
                <w:szCs w:val="20"/>
              </w:rPr>
            </w:pPr>
          </w:p>
        </w:tc>
        <w:tc>
          <w:tcPr>
            <w:tcW w:w="1682" w:type="dxa"/>
          </w:tcPr>
          <w:p w14:paraId="03C2E975" w14:textId="77777777" w:rsidR="00D56410" w:rsidRPr="00D84AE0" w:rsidRDefault="00D56410" w:rsidP="00DA30A7">
            <w:pPr>
              <w:rPr>
                <w:rFonts w:ascii="Arial" w:hAnsi="Arial" w:cs="Arial"/>
                <w:b/>
                <w:sz w:val="20"/>
                <w:szCs w:val="20"/>
              </w:rPr>
            </w:pPr>
            <w:r w:rsidRPr="00D84AE0">
              <w:rPr>
                <w:rFonts w:ascii="Arial" w:hAnsi="Arial" w:cs="Arial"/>
                <w:b/>
                <w:sz w:val="20"/>
                <w:szCs w:val="20"/>
              </w:rPr>
              <w:t>Controls</w:t>
            </w:r>
          </w:p>
          <w:p w14:paraId="6782ED91" w14:textId="77777777" w:rsidR="00D56410" w:rsidRPr="00D84AE0" w:rsidRDefault="00D56410" w:rsidP="00DA30A7">
            <w:pPr>
              <w:rPr>
                <w:rFonts w:ascii="Arial" w:hAnsi="Arial" w:cs="Arial"/>
                <w:b/>
                <w:sz w:val="20"/>
                <w:szCs w:val="20"/>
              </w:rPr>
            </w:pPr>
            <w:r w:rsidRPr="00D84AE0">
              <w:rPr>
                <w:rFonts w:ascii="Arial" w:hAnsi="Arial" w:cs="Arial"/>
                <w:b/>
                <w:sz w:val="20"/>
                <w:szCs w:val="20"/>
              </w:rPr>
              <w:t>Mean ± SD</w:t>
            </w:r>
          </w:p>
        </w:tc>
        <w:tc>
          <w:tcPr>
            <w:tcW w:w="1682" w:type="dxa"/>
          </w:tcPr>
          <w:p w14:paraId="24E0B921"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Smokers and Alcohol Users</w:t>
            </w:r>
          </w:p>
          <w:p w14:paraId="5C2AFE94"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Mean ± SD</w:t>
            </w:r>
          </w:p>
        </w:tc>
        <w:tc>
          <w:tcPr>
            <w:tcW w:w="1201" w:type="dxa"/>
          </w:tcPr>
          <w:p w14:paraId="78755A90"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P-Value</w:t>
            </w:r>
          </w:p>
        </w:tc>
        <w:tc>
          <w:tcPr>
            <w:tcW w:w="1521" w:type="dxa"/>
          </w:tcPr>
          <w:p w14:paraId="49204E9B"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Remarks</w:t>
            </w:r>
          </w:p>
        </w:tc>
      </w:tr>
      <w:tr w:rsidR="00D56410" w:rsidRPr="00D84AE0" w14:paraId="684C14D2" w14:textId="77777777" w:rsidTr="00DA30A7">
        <w:trPr>
          <w:trHeight w:val="146"/>
        </w:trPr>
        <w:tc>
          <w:tcPr>
            <w:tcW w:w="3139" w:type="dxa"/>
          </w:tcPr>
          <w:p w14:paraId="4A6EEA94" w14:textId="77777777" w:rsidR="00D56410" w:rsidRPr="00D84AE0" w:rsidRDefault="00D56410" w:rsidP="00DA30A7">
            <w:pPr>
              <w:jc w:val="both"/>
              <w:rPr>
                <w:rFonts w:ascii="Arial" w:hAnsi="Arial" w:cs="Arial"/>
                <w:sz w:val="20"/>
                <w:szCs w:val="20"/>
              </w:rPr>
            </w:pPr>
            <w:r w:rsidRPr="00D84AE0">
              <w:rPr>
                <w:rFonts w:ascii="Arial" w:hAnsi="Arial" w:cs="Arial"/>
                <w:sz w:val="20"/>
                <w:szCs w:val="20"/>
              </w:rPr>
              <w:t>Total PSA (ng/mL)</w:t>
            </w:r>
          </w:p>
        </w:tc>
        <w:tc>
          <w:tcPr>
            <w:tcW w:w="1682" w:type="dxa"/>
          </w:tcPr>
          <w:p w14:paraId="1C29FC1F" w14:textId="77777777" w:rsidR="00D56410" w:rsidRPr="00D84AE0" w:rsidRDefault="00D56410" w:rsidP="00DA30A7">
            <w:pPr>
              <w:rPr>
                <w:rFonts w:ascii="Arial" w:hAnsi="Arial" w:cs="Arial"/>
                <w:sz w:val="20"/>
                <w:szCs w:val="20"/>
              </w:rPr>
            </w:pPr>
            <w:r w:rsidRPr="00D84AE0">
              <w:rPr>
                <w:rFonts w:ascii="Arial" w:hAnsi="Arial" w:cs="Arial"/>
                <w:sz w:val="20"/>
                <w:szCs w:val="20"/>
              </w:rPr>
              <w:t>0.70 ± 0.20</w:t>
            </w:r>
          </w:p>
        </w:tc>
        <w:tc>
          <w:tcPr>
            <w:tcW w:w="1682" w:type="dxa"/>
          </w:tcPr>
          <w:p w14:paraId="11B9E843"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1.00 ± 0.40</w:t>
            </w:r>
          </w:p>
        </w:tc>
        <w:tc>
          <w:tcPr>
            <w:tcW w:w="1201" w:type="dxa"/>
          </w:tcPr>
          <w:p w14:paraId="24101241"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0.00</w:t>
            </w:r>
          </w:p>
        </w:tc>
        <w:tc>
          <w:tcPr>
            <w:tcW w:w="1521" w:type="dxa"/>
          </w:tcPr>
          <w:p w14:paraId="17991F22"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S</w:t>
            </w:r>
          </w:p>
        </w:tc>
      </w:tr>
      <w:tr w:rsidR="00D56410" w:rsidRPr="00D84AE0" w14:paraId="41EFA72D" w14:textId="77777777" w:rsidTr="00DA30A7">
        <w:trPr>
          <w:trHeight w:val="227"/>
        </w:trPr>
        <w:tc>
          <w:tcPr>
            <w:tcW w:w="3139" w:type="dxa"/>
          </w:tcPr>
          <w:p w14:paraId="49C7A257" w14:textId="77777777" w:rsidR="00D56410" w:rsidRPr="00D84AE0" w:rsidRDefault="00D56410" w:rsidP="00DA30A7">
            <w:pPr>
              <w:jc w:val="both"/>
              <w:rPr>
                <w:rFonts w:ascii="Arial" w:hAnsi="Arial" w:cs="Arial"/>
                <w:sz w:val="20"/>
                <w:szCs w:val="20"/>
              </w:rPr>
            </w:pPr>
            <w:r w:rsidRPr="00D84AE0">
              <w:rPr>
                <w:rFonts w:ascii="Arial" w:hAnsi="Arial" w:cs="Arial"/>
                <w:sz w:val="20"/>
                <w:szCs w:val="20"/>
              </w:rPr>
              <w:t>Free PSA (ng/mL)</w:t>
            </w:r>
          </w:p>
        </w:tc>
        <w:tc>
          <w:tcPr>
            <w:tcW w:w="1682" w:type="dxa"/>
          </w:tcPr>
          <w:p w14:paraId="0AABCC95" w14:textId="77777777" w:rsidR="00D56410" w:rsidRPr="00D84AE0" w:rsidRDefault="00D56410" w:rsidP="00DA30A7">
            <w:pPr>
              <w:rPr>
                <w:rFonts w:ascii="Arial" w:hAnsi="Arial" w:cs="Arial"/>
                <w:sz w:val="20"/>
                <w:szCs w:val="20"/>
              </w:rPr>
            </w:pPr>
            <w:r w:rsidRPr="00D84AE0">
              <w:rPr>
                <w:rFonts w:ascii="Arial" w:hAnsi="Arial" w:cs="Arial"/>
                <w:sz w:val="20"/>
                <w:szCs w:val="20"/>
              </w:rPr>
              <w:t>0.17 ± 0.03</w:t>
            </w:r>
          </w:p>
        </w:tc>
        <w:tc>
          <w:tcPr>
            <w:tcW w:w="1682" w:type="dxa"/>
          </w:tcPr>
          <w:p w14:paraId="7BD435F5"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0.22 ± 0.06</w:t>
            </w:r>
          </w:p>
        </w:tc>
        <w:tc>
          <w:tcPr>
            <w:tcW w:w="1201" w:type="dxa"/>
          </w:tcPr>
          <w:p w14:paraId="1727034C"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0.05</w:t>
            </w:r>
          </w:p>
        </w:tc>
        <w:tc>
          <w:tcPr>
            <w:tcW w:w="1521" w:type="dxa"/>
          </w:tcPr>
          <w:p w14:paraId="4EB647DC"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S</w:t>
            </w:r>
          </w:p>
        </w:tc>
      </w:tr>
      <w:tr w:rsidR="00D56410" w:rsidRPr="00D84AE0" w14:paraId="7530DC7F" w14:textId="77777777" w:rsidTr="00DA30A7">
        <w:trPr>
          <w:trHeight w:val="218"/>
        </w:trPr>
        <w:tc>
          <w:tcPr>
            <w:tcW w:w="3139" w:type="dxa"/>
          </w:tcPr>
          <w:p w14:paraId="21ED448A" w14:textId="77777777" w:rsidR="00D56410" w:rsidRPr="00D84AE0" w:rsidRDefault="00D56410" w:rsidP="00DA30A7">
            <w:pPr>
              <w:jc w:val="both"/>
              <w:rPr>
                <w:rFonts w:ascii="Arial" w:hAnsi="Arial" w:cs="Arial"/>
                <w:sz w:val="20"/>
                <w:szCs w:val="20"/>
              </w:rPr>
            </w:pPr>
            <w:r w:rsidRPr="00D84AE0">
              <w:rPr>
                <w:rFonts w:ascii="Arial" w:hAnsi="Arial" w:cs="Arial"/>
                <w:sz w:val="20"/>
                <w:szCs w:val="20"/>
              </w:rPr>
              <w:t>N-Value</w:t>
            </w:r>
          </w:p>
        </w:tc>
        <w:tc>
          <w:tcPr>
            <w:tcW w:w="1682" w:type="dxa"/>
          </w:tcPr>
          <w:p w14:paraId="266B17C9"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45</w:t>
            </w:r>
          </w:p>
        </w:tc>
        <w:tc>
          <w:tcPr>
            <w:tcW w:w="1682" w:type="dxa"/>
          </w:tcPr>
          <w:p w14:paraId="757C2F97"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45</w:t>
            </w:r>
          </w:p>
        </w:tc>
        <w:tc>
          <w:tcPr>
            <w:tcW w:w="1201" w:type="dxa"/>
          </w:tcPr>
          <w:p w14:paraId="383AAF30" w14:textId="77777777" w:rsidR="00D56410" w:rsidRPr="00D84AE0" w:rsidRDefault="00D56410" w:rsidP="00DA30A7">
            <w:pPr>
              <w:jc w:val="center"/>
              <w:rPr>
                <w:rFonts w:ascii="Arial" w:hAnsi="Arial" w:cs="Arial"/>
                <w:sz w:val="20"/>
                <w:szCs w:val="20"/>
              </w:rPr>
            </w:pPr>
          </w:p>
        </w:tc>
        <w:tc>
          <w:tcPr>
            <w:tcW w:w="1521" w:type="dxa"/>
          </w:tcPr>
          <w:p w14:paraId="3E5F9DAD" w14:textId="77777777" w:rsidR="00D56410" w:rsidRPr="00D84AE0" w:rsidRDefault="00D56410" w:rsidP="00DA30A7">
            <w:pPr>
              <w:jc w:val="center"/>
              <w:rPr>
                <w:rFonts w:ascii="Arial" w:hAnsi="Arial" w:cs="Arial"/>
                <w:sz w:val="20"/>
                <w:szCs w:val="20"/>
              </w:rPr>
            </w:pPr>
          </w:p>
        </w:tc>
      </w:tr>
    </w:tbl>
    <w:p w14:paraId="6E87EE7E" w14:textId="77777777" w:rsidR="00D56410" w:rsidRPr="00D84AE0" w:rsidRDefault="00D56410" w:rsidP="00D56410">
      <w:pPr>
        <w:tabs>
          <w:tab w:val="left" w:pos="90"/>
          <w:tab w:val="left" w:pos="270"/>
          <w:tab w:val="left" w:pos="360"/>
        </w:tabs>
        <w:rPr>
          <w:rFonts w:ascii="Arial" w:hAnsi="Arial" w:cs="Arial"/>
          <w:b/>
        </w:rPr>
      </w:pP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t>Key:</w:t>
      </w:r>
      <w:r w:rsidRPr="00D84AE0">
        <w:rPr>
          <w:rFonts w:ascii="Arial" w:hAnsi="Arial" w:cs="Arial"/>
        </w:rPr>
        <w:t xml:space="preserve"> S = Significant. NS = Not Significant.</w:t>
      </w:r>
    </w:p>
    <w:p w14:paraId="6FD54970" w14:textId="77777777" w:rsidR="00D56410" w:rsidRDefault="00D56410" w:rsidP="00D56410">
      <w:pPr>
        <w:pStyle w:val="Default"/>
        <w:jc w:val="both"/>
        <w:rPr>
          <w:rFonts w:ascii="Arial" w:hAnsi="Arial" w:cs="Arial"/>
          <w:b/>
          <w:color w:val="auto"/>
          <w:sz w:val="20"/>
          <w:szCs w:val="20"/>
        </w:rPr>
      </w:pPr>
    </w:p>
    <w:p w14:paraId="646F3CA8" w14:textId="77777777" w:rsidR="00D56410" w:rsidRPr="00D84AE0" w:rsidRDefault="00D56410" w:rsidP="00D56410">
      <w:pPr>
        <w:pStyle w:val="Default"/>
        <w:jc w:val="both"/>
        <w:rPr>
          <w:rFonts w:ascii="Arial" w:hAnsi="Arial" w:cs="Arial"/>
          <w:b/>
          <w:color w:val="auto"/>
          <w:sz w:val="20"/>
          <w:szCs w:val="20"/>
        </w:rPr>
      </w:pPr>
      <w:r w:rsidRPr="00D84AE0">
        <w:rPr>
          <w:rFonts w:ascii="Arial" w:hAnsi="Arial" w:cs="Arial"/>
          <w:b/>
          <w:color w:val="auto"/>
          <w:sz w:val="20"/>
          <w:szCs w:val="20"/>
        </w:rPr>
        <w:t>Table 4:</w:t>
      </w:r>
      <w:r>
        <w:rPr>
          <w:rFonts w:ascii="Arial" w:hAnsi="Arial" w:cs="Arial"/>
          <w:b/>
          <w:color w:val="auto"/>
          <w:sz w:val="20"/>
          <w:szCs w:val="20"/>
        </w:rPr>
        <w:t xml:space="preserve"> </w:t>
      </w:r>
      <w:r w:rsidRPr="00D84AE0">
        <w:rPr>
          <w:rFonts w:ascii="Arial" w:hAnsi="Arial" w:cs="Arial"/>
          <w:b/>
          <w:color w:val="auto"/>
          <w:sz w:val="20"/>
          <w:szCs w:val="20"/>
        </w:rPr>
        <w:t>Serum Total and Free PSA Ratio among Smokers, Alcohol Users, Smokers and Alcohol Users</w:t>
      </w:r>
    </w:p>
    <w:tbl>
      <w:tblPr>
        <w:tblStyle w:val="TableGrid"/>
        <w:tblpPr w:leftFromText="180" w:rightFromText="180" w:vertAnchor="text" w:horzAnchor="margin" w:tblpY="179"/>
        <w:tblW w:w="8095" w:type="dxa"/>
        <w:tblLook w:val="04A0" w:firstRow="1" w:lastRow="0" w:firstColumn="1" w:lastColumn="0" w:noHBand="0" w:noVBand="1"/>
      </w:tblPr>
      <w:tblGrid>
        <w:gridCol w:w="1705"/>
        <w:gridCol w:w="1260"/>
        <w:gridCol w:w="1620"/>
        <w:gridCol w:w="1620"/>
        <w:gridCol w:w="1890"/>
      </w:tblGrid>
      <w:tr w:rsidR="00D56410" w:rsidRPr="00D84AE0" w14:paraId="66B25F1E" w14:textId="77777777" w:rsidTr="00DA30A7">
        <w:trPr>
          <w:trHeight w:val="807"/>
        </w:trPr>
        <w:tc>
          <w:tcPr>
            <w:tcW w:w="1705" w:type="dxa"/>
          </w:tcPr>
          <w:p w14:paraId="1A76D353" w14:textId="77777777" w:rsidR="00D56410" w:rsidRPr="00D84AE0" w:rsidRDefault="00D56410" w:rsidP="00DA30A7">
            <w:pPr>
              <w:jc w:val="both"/>
              <w:rPr>
                <w:rFonts w:ascii="Arial" w:hAnsi="Arial" w:cs="Arial"/>
                <w:b/>
                <w:sz w:val="20"/>
                <w:szCs w:val="20"/>
              </w:rPr>
            </w:pPr>
            <w:r w:rsidRPr="00D84AE0">
              <w:rPr>
                <w:rFonts w:ascii="Arial" w:hAnsi="Arial" w:cs="Arial"/>
                <w:b/>
                <w:sz w:val="20"/>
                <w:szCs w:val="20"/>
              </w:rPr>
              <w:t>Group</w:t>
            </w:r>
          </w:p>
          <w:p w14:paraId="5B95C5E8" w14:textId="77777777" w:rsidR="00D56410" w:rsidRPr="00D84AE0" w:rsidRDefault="00D56410" w:rsidP="00DA30A7">
            <w:pPr>
              <w:jc w:val="center"/>
              <w:rPr>
                <w:rFonts w:ascii="Arial" w:hAnsi="Arial" w:cs="Arial"/>
                <w:b/>
                <w:sz w:val="20"/>
                <w:szCs w:val="20"/>
              </w:rPr>
            </w:pPr>
          </w:p>
          <w:p w14:paraId="1BD63C4F" w14:textId="77777777" w:rsidR="00D56410" w:rsidRPr="00D84AE0" w:rsidRDefault="00D56410" w:rsidP="00DA30A7">
            <w:pPr>
              <w:jc w:val="center"/>
              <w:rPr>
                <w:rFonts w:ascii="Arial" w:hAnsi="Arial" w:cs="Arial"/>
                <w:b/>
                <w:sz w:val="20"/>
                <w:szCs w:val="20"/>
              </w:rPr>
            </w:pPr>
          </w:p>
        </w:tc>
        <w:tc>
          <w:tcPr>
            <w:tcW w:w="1260" w:type="dxa"/>
          </w:tcPr>
          <w:p w14:paraId="04D4732D" w14:textId="77777777" w:rsidR="00D56410" w:rsidRPr="00D84AE0" w:rsidRDefault="00D56410" w:rsidP="00DA30A7">
            <w:pPr>
              <w:rPr>
                <w:rFonts w:ascii="Arial" w:hAnsi="Arial" w:cs="Arial"/>
                <w:b/>
                <w:sz w:val="20"/>
                <w:szCs w:val="20"/>
              </w:rPr>
            </w:pPr>
            <w:r w:rsidRPr="00D84AE0">
              <w:rPr>
                <w:rFonts w:ascii="Arial" w:hAnsi="Arial" w:cs="Arial"/>
                <w:b/>
                <w:sz w:val="20"/>
                <w:szCs w:val="20"/>
              </w:rPr>
              <w:t>Mean ± SD</w:t>
            </w:r>
          </w:p>
          <w:p w14:paraId="65533BF8" w14:textId="77777777" w:rsidR="00D56410" w:rsidRPr="00D84AE0" w:rsidRDefault="00D56410" w:rsidP="00DA30A7">
            <w:pPr>
              <w:rPr>
                <w:rFonts w:ascii="Arial" w:hAnsi="Arial" w:cs="Arial"/>
                <w:b/>
                <w:sz w:val="20"/>
                <w:szCs w:val="20"/>
              </w:rPr>
            </w:pPr>
            <w:r w:rsidRPr="00D84AE0">
              <w:rPr>
                <w:rFonts w:ascii="Arial" w:hAnsi="Arial" w:cs="Arial"/>
                <w:b/>
                <w:sz w:val="20"/>
                <w:szCs w:val="20"/>
              </w:rPr>
              <w:t>Total PSA (ng/mL)</w:t>
            </w:r>
          </w:p>
        </w:tc>
        <w:tc>
          <w:tcPr>
            <w:tcW w:w="1620" w:type="dxa"/>
          </w:tcPr>
          <w:p w14:paraId="453082E4"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Mean ± SD</w:t>
            </w:r>
          </w:p>
          <w:p w14:paraId="711A50F2"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Free PSA (ng/mL)</w:t>
            </w:r>
          </w:p>
        </w:tc>
        <w:tc>
          <w:tcPr>
            <w:tcW w:w="1620" w:type="dxa"/>
          </w:tcPr>
          <w:p w14:paraId="19A0583D" w14:textId="77777777" w:rsidR="00D56410" w:rsidRPr="00D84AE0" w:rsidRDefault="00D56410" w:rsidP="00DA30A7">
            <w:pPr>
              <w:rPr>
                <w:rFonts w:ascii="Arial" w:hAnsi="Arial" w:cs="Arial"/>
                <w:b/>
                <w:sz w:val="20"/>
                <w:szCs w:val="20"/>
              </w:rPr>
            </w:pPr>
            <w:r w:rsidRPr="00D84AE0">
              <w:rPr>
                <w:rFonts w:ascii="Arial" w:hAnsi="Arial" w:cs="Arial"/>
                <w:b/>
                <w:sz w:val="20"/>
                <w:szCs w:val="20"/>
              </w:rPr>
              <w:t>Mean ± SD</w:t>
            </w:r>
          </w:p>
          <w:p w14:paraId="3765ED9C" w14:textId="77777777" w:rsidR="00D56410" w:rsidRPr="00D84AE0" w:rsidRDefault="00D56410" w:rsidP="00DA30A7">
            <w:pPr>
              <w:jc w:val="center"/>
              <w:rPr>
                <w:rFonts w:ascii="Arial" w:hAnsi="Arial" w:cs="Arial"/>
                <w:b/>
                <w:sz w:val="20"/>
                <w:szCs w:val="20"/>
              </w:rPr>
            </w:pPr>
            <w:proofErr w:type="spellStart"/>
            <w:r w:rsidRPr="00D84AE0">
              <w:rPr>
                <w:rFonts w:ascii="Arial" w:hAnsi="Arial" w:cs="Arial"/>
                <w:b/>
                <w:sz w:val="20"/>
                <w:szCs w:val="20"/>
              </w:rPr>
              <w:t>fPSA</w:t>
            </w:r>
            <w:proofErr w:type="spellEnd"/>
            <w:r w:rsidRPr="00D84AE0">
              <w:rPr>
                <w:rFonts w:ascii="Arial" w:hAnsi="Arial" w:cs="Arial"/>
                <w:b/>
                <w:sz w:val="20"/>
                <w:szCs w:val="20"/>
              </w:rPr>
              <w:t>/</w:t>
            </w:r>
            <w:proofErr w:type="spellStart"/>
            <w:r w:rsidRPr="00D84AE0">
              <w:rPr>
                <w:rFonts w:ascii="Arial" w:hAnsi="Arial" w:cs="Arial"/>
                <w:b/>
                <w:sz w:val="20"/>
                <w:szCs w:val="20"/>
              </w:rPr>
              <w:t>tPSA</w:t>
            </w:r>
            <w:proofErr w:type="spellEnd"/>
            <w:r w:rsidRPr="00D84AE0">
              <w:rPr>
                <w:rFonts w:ascii="Arial" w:hAnsi="Arial" w:cs="Arial"/>
                <w:b/>
                <w:sz w:val="20"/>
                <w:szCs w:val="20"/>
              </w:rPr>
              <w:t xml:space="preserve"> (%)</w:t>
            </w:r>
          </w:p>
        </w:tc>
        <w:tc>
          <w:tcPr>
            <w:tcW w:w="1890" w:type="dxa"/>
          </w:tcPr>
          <w:p w14:paraId="5C593E28"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Remarks</w:t>
            </w:r>
          </w:p>
        </w:tc>
      </w:tr>
      <w:tr w:rsidR="00D56410" w:rsidRPr="00D84AE0" w14:paraId="2A15F112" w14:textId="77777777" w:rsidTr="00DA30A7">
        <w:trPr>
          <w:trHeight w:val="252"/>
        </w:trPr>
        <w:tc>
          <w:tcPr>
            <w:tcW w:w="1705" w:type="dxa"/>
          </w:tcPr>
          <w:p w14:paraId="63F7F2E3" w14:textId="77777777" w:rsidR="00D56410" w:rsidRPr="00D84AE0" w:rsidRDefault="00D56410" w:rsidP="00DA30A7">
            <w:pPr>
              <w:jc w:val="both"/>
              <w:rPr>
                <w:rFonts w:ascii="Arial" w:hAnsi="Arial" w:cs="Arial"/>
                <w:b/>
                <w:bCs/>
                <w:sz w:val="20"/>
                <w:szCs w:val="20"/>
              </w:rPr>
            </w:pPr>
            <w:r w:rsidRPr="00D84AE0">
              <w:rPr>
                <w:rFonts w:ascii="Arial" w:hAnsi="Arial" w:cs="Arial"/>
                <w:b/>
                <w:bCs/>
                <w:sz w:val="20"/>
                <w:szCs w:val="20"/>
              </w:rPr>
              <w:t>Smokers</w:t>
            </w:r>
          </w:p>
        </w:tc>
        <w:tc>
          <w:tcPr>
            <w:tcW w:w="1260" w:type="dxa"/>
          </w:tcPr>
          <w:p w14:paraId="3A2DEB5F" w14:textId="77777777" w:rsidR="00D56410" w:rsidRPr="00D84AE0" w:rsidRDefault="00D56410" w:rsidP="00DA30A7">
            <w:pPr>
              <w:rPr>
                <w:rFonts w:ascii="Arial" w:hAnsi="Arial" w:cs="Arial"/>
                <w:sz w:val="20"/>
                <w:szCs w:val="20"/>
              </w:rPr>
            </w:pPr>
            <w:r w:rsidRPr="00D84AE0">
              <w:rPr>
                <w:rFonts w:ascii="Arial" w:hAnsi="Arial" w:cs="Arial"/>
                <w:sz w:val="20"/>
                <w:szCs w:val="20"/>
              </w:rPr>
              <w:t>3.53 ± 3.04</w:t>
            </w:r>
          </w:p>
        </w:tc>
        <w:tc>
          <w:tcPr>
            <w:tcW w:w="1620" w:type="dxa"/>
          </w:tcPr>
          <w:p w14:paraId="0EAB6D7D"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0.38 ± 0.42</w:t>
            </w:r>
          </w:p>
        </w:tc>
        <w:tc>
          <w:tcPr>
            <w:tcW w:w="1620" w:type="dxa"/>
          </w:tcPr>
          <w:p w14:paraId="6193FCF2"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 xml:space="preserve">18.18 </w:t>
            </w:r>
            <w:r w:rsidRPr="00D84AE0">
              <w:rPr>
                <w:rFonts w:ascii="Arial" w:hAnsi="Arial" w:cs="Arial"/>
                <w:b/>
                <w:sz w:val="20"/>
                <w:szCs w:val="20"/>
              </w:rPr>
              <w:t xml:space="preserve">± </w:t>
            </w:r>
            <w:r w:rsidRPr="00D84AE0">
              <w:rPr>
                <w:rFonts w:ascii="Arial" w:hAnsi="Arial" w:cs="Arial"/>
                <w:bCs/>
                <w:sz w:val="20"/>
                <w:szCs w:val="20"/>
              </w:rPr>
              <w:t>16.77</w:t>
            </w:r>
            <w:r w:rsidRPr="00D84AE0">
              <w:rPr>
                <w:rFonts w:ascii="Arial" w:hAnsi="Arial" w:cs="Arial"/>
                <w:sz w:val="20"/>
                <w:szCs w:val="20"/>
              </w:rPr>
              <w:t xml:space="preserve"> </w:t>
            </w:r>
          </w:p>
        </w:tc>
        <w:tc>
          <w:tcPr>
            <w:tcW w:w="1890" w:type="dxa"/>
          </w:tcPr>
          <w:p w14:paraId="055BB406"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Intermediate Risk</w:t>
            </w:r>
          </w:p>
        </w:tc>
      </w:tr>
      <w:tr w:rsidR="00D56410" w:rsidRPr="00D84AE0" w14:paraId="340FD713" w14:textId="77777777" w:rsidTr="00DA30A7">
        <w:trPr>
          <w:trHeight w:val="543"/>
        </w:trPr>
        <w:tc>
          <w:tcPr>
            <w:tcW w:w="1705" w:type="dxa"/>
          </w:tcPr>
          <w:p w14:paraId="26CDFD6F" w14:textId="77777777" w:rsidR="00D56410" w:rsidRPr="00D84AE0" w:rsidRDefault="00D56410" w:rsidP="00DA30A7">
            <w:pPr>
              <w:jc w:val="both"/>
              <w:rPr>
                <w:rFonts w:ascii="Arial" w:hAnsi="Arial" w:cs="Arial"/>
                <w:b/>
                <w:bCs/>
                <w:sz w:val="20"/>
                <w:szCs w:val="20"/>
              </w:rPr>
            </w:pPr>
            <w:proofErr w:type="spellStart"/>
            <w:r w:rsidRPr="00D84AE0">
              <w:rPr>
                <w:rFonts w:ascii="Arial" w:hAnsi="Arial" w:cs="Arial"/>
                <w:b/>
                <w:bCs/>
                <w:sz w:val="20"/>
                <w:szCs w:val="20"/>
              </w:rPr>
              <w:t>Alc</w:t>
            </w:r>
            <w:proofErr w:type="spellEnd"/>
            <w:r w:rsidRPr="00D84AE0">
              <w:rPr>
                <w:rFonts w:ascii="Arial" w:hAnsi="Arial" w:cs="Arial"/>
                <w:b/>
                <w:bCs/>
                <w:sz w:val="20"/>
                <w:szCs w:val="20"/>
              </w:rPr>
              <w:t xml:space="preserve"> consumers</w:t>
            </w:r>
          </w:p>
          <w:p w14:paraId="47804026" w14:textId="77777777" w:rsidR="00D56410" w:rsidRPr="00D84AE0" w:rsidRDefault="00D56410" w:rsidP="00DA30A7">
            <w:pPr>
              <w:jc w:val="both"/>
              <w:rPr>
                <w:rFonts w:ascii="Arial" w:hAnsi="Arial" w:cs="Arial"/>
                <w:b/>
                <w:bCs/>
                <w:sz w:val="20"/>
                <w:szCs w:val="20"/>
              </w:rPr>
            </w:pPr>
            <w:r w:rsidRPr="00D84AE0">
              <w:rPr>
                <w:rFonts w:ascii="Arial" w:hAnsi="Arial" w:cs="Arial"/>
                <w:b/>
                <w:bCs/>
                <w:sz w:val="20"/>
                <w:szCs w:val="20"/>
              </w:rPr>
              <w:t xml:space="preserve">Smokers &amp; </w:t>
            </w:r>
            <w:proofErr w:type="spellStart"/>
            <w:r w:rsidRPr="00D84AE0">
              <w:rPr>
                <w:rFonts w:ascii="Arial" w:hAnsi="Arial" w:cs="Arial"/>
                <w:b/>
                <w:bCs/>
                <w:sz w:val="20"/>
                <w:szCs w:val="20"/>
              </w:rPr>
              <w:t>Alc</w:t>
            </w:r>
            <w:proofErr w:type="spellEnd"/>
            <w:r w:rsidRPr="00D84AE0">
              <w:rPr>
                <w:rFonts w:ascii="Arial" w:hAnsi="Arial" w:cs="Arial"/>
                <w:b/>
                <w:bCs/>
                <w:sz w:val="20"/>
                <w:szCs w:val="20"/>
              </w:rPr>
              <w:t xml:space="preserve"> Consumers</w:t>
            </w:r>
          </w:p>
        </w:tc>
        <w:tc>
          <w:tcPr>
            <w:tcW w:w="1260" w:type="dxa"/>
          </w:tcPr>
          <w:p w14:paraId="1E29CDD2" w14:textId="77777777" w:rsidR="00D56410" w:rsidRPr="00D84AE0" w:rsidRDefault="00D56410" w:rsidP="00DA30A7">
            <w:pPr>
              <w:rPr>
                <w:rFonts w:ascii="Arial" w:hAnsi="Arial" w:cs="Arial"/>
                <w:sz w:val="20"/>
                <w:szCs w:val="20"/>
              </w:rPr>
            </w:pPr>
            <w:hyperlink r:id="rId16" w:history="1">
              <w:r w:rsidRPr="00D84AE0">
                <w:rPr>
                  <w:rStyle w:val="Hyperlink"/>
                  <w:rFonts w:ascii="Arial" w:hAnsi="Arial" w:cs="Arial"/>
                  <w:color w:val="auto"/>
                  <w:sz w:val="20"/>
                  <w:szCs w:val="20"/>
                  <w:u w:val="none"/>
                </w:rPr>
                <w:t>1.78</w:t>
              </w:r>
            </w:hyperlink>
            <w:r w:rsidRPr="00D84AE0">
              <w:rPr>
                <w:rFonts w:ascii="Arial" w:hAnsi="Arial" w:cs="Arial"/>
                <w:sz w:val="20"/>
                <w:szCs w:val="20"/>
              </w:rPr>
              <w:t xml:space="preserve"> ± 1.20</w:t>
            </w:r>
          </w:p>
          <w:p w14:paraId="44C9A6DD" w14:textId="77777777" w:rsidR="00D56410" w:rsidRPr="00D84AE0" w:rsidRDefault="00D56410" w:rsidP="00DA30A7">
            <w:pPr>
              <w:rPr>
                <w:rFonts w:ascii="Arial" w:hAnsi="Arial" w:cs="Arial"/>
                <w:sz w:val="20"/>
                <w:szCs w:val="20"/>
              </w:rPr>
            </w:pPr>
            <w:r w:rsidRPr="00D84AE0">
              <w:rPr>
                <w:rFonts w:ascii="Arial" w:hAnsi="Arial" w:cs="Arial"/>
                <w:sz w:val="20"/>
                <w:szCs w:val="20"/>
              </w:rPr>
              <w:t>1.00 ± 0.40</w:t>
            </w:r>
          </w:p>
        </w:tc>
        <w:tc>
          <w:tcPr>
            <w:tcW w:w="1620" w:type="dxa"/>
          </w:tcPr>
          <w:p w14:paraId="07134142"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0.33 ± 0.17</w:t>
            </w:r>
          </w:p>
          <w:p w14:paraId="08BB33B5"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0.22 ± 0.06</w:t>
            </w:r>
          </w:p>
        </w:tc>
        <w:tc>
          <w:tcPr>
            <w:tcW w:w="1620" w:type="dxa"/>
          </w:tcPr>
          <w:p w14:paraId="10BB591C" w14:textId="77777777" w:rsidR="00D56410" w:rsidRPr="00D84AE0" w:rsidRDefault="00D56410" w:rsidP="00DA30A7">
            <w:pPr>
              <w:rPr>
                <w:rFonts w:ascii="Arial" w:hAnsi="Arial" w:cs="Arial"/>
                <w:sz w:val="20"/>
                <w:szCs w:val="20"/>
              </w:rPr>
            </w:pPr>
            <w:r w:rsidRPr="00D84AE0">
              <w:rPr>
                <w:rFonts w:ascii="Arial" w:hAnsi="Arial" w:cs="Arial"/>
                <w:sz w:val="20"/>
                <w:szCs w:val="20"/>
              </w:rPr>
              <w:t>26.19 ± 20.44</w:t>
            </w:r>
          </w:p>
          <w:p w14:paraId="7E563D0B" w14:textId="77777777" w:rsidR="00D56410" w:rsidRPr="00D84AE0" w:rsidRDefault="00D56410" w:rsidP="00DA30A7">
            <w:pPr>
              <w:rPr>
                <w:rFonts w:ascii="Arial" w:hAnsi="Arial" w:cs="Arial"/>
                <w:sz w:val="20"/>
                <w:szCs w:val="20"/>
              </w:rPr>
            </w:pPr>
            <w:r w:rsidRPr="00D84AE0">
              <w:rPr>
                <w:rFonts w:ascii="Arial" w:hAnsi="Arial" w:cs="Arial"/>
                <w:sz w:val="20"/>
                <w:szCs w:val="20"/>
              </w:rPr>
              <w:t>24.42 ± 18.44</w:t>
            </w:r>
          </w:p>
        </w:tc>
        <w:tc>
          <w:tcPr>
            <w:tcW w:w="1890" w:type="dxa"/>
          </w:tcPr>
          <w:p w14:paraId="4D70BFD6"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Intermediate Risk</w:t>
            </w:r>
          </w:p>
          <w:p w14:paraId="797C63DC"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Intermediate Risk</w:t>
            </w:r>
          </w:p>
        </w:tc>
      </w:tr>
    </w:tbl>
    <w:p w14:paraId="5EBAB9F5" w14:textId="77777777" w:rsidR="00D56410" w:rsidRPr="00D84AE0" w:rsidRDefault="00D56410" w:rsidP="00D56410">
      <w:pPr>
        <w:tabs>
          <w:tab w:val="left" w:pos="90"/>
          <w:tab w:val="left" w:pos="270"/>
          <w:tab w:val="left" w:pos="360"/>
        </w:tabs>
        <w:rPr>
          <w:rFonts w:ascii="Arial" w:hAnsi="Arial" w:cs="Arial"/>
          <w:b/>
        </w:rPr>
        <w:sectPr w:rsidR="00D56410" w:rsidRPr="00D84AE0" w:rsidSect="00BD2D43">
          <w:type w:val="continuous"/>
          <w:pgSz w:w="12240" w:h="15840"/>
          <w:pgMar w:top="1260" w:right="1440" w:bottom="1080" w:left="1080" w:header="720" w:footer="720" w:gutter="0"/>
          <w:cols w:space="720"/>
          <w:docGrid w:linePitch="360"/>
        </w:sectPr>
      </w:pP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p>
    <w:p w14:paraId="3C7CE5D6" w14:textId="77777777" w:rsidR="00D56410" w:rsidRDefault="00D56410" w:rsidP="00D56410">
      <w:pPr>
        <w:pStyle w:val="Default"/>
        <w:spacing w:line="480" w:lineRule="auto"/>
        <w:jc w:val="both"/>
        <w:rPr>
          <w:rFonts w:ascii="Arial" w:hAnsi="Arial" w:cs="Arial"/>
          <w:b/>
          <w:color w:val="auto"/>
          <w:sz w:val="20"/>
          <w:szCs w:val="20"/>
        </w:rPr>
      </w:pPr>
    </w:p>
    <w:p w14:paraId="1E8A29EC" w14:textId="77777777" w:rsidR="00D56410" w:rsidRPr="00D84AE0" w:rsidRDefault="00D56410" w:rsidP="00D56410">
      <w:pPr>
        <w:pStyle w:val="Default"/>
        <w:spacing w:line="480" w:lineRule="auto"/>
        <w:jc w:val="both"/>
        <w:rPr>
          <w:rFonts w:ascii="Arial" w:hAnsi="Arial" w:cs="Arial"/>
          <w:b/>
          <w:color w:val="auto"/>
          <w:sz w:val="20"/>
          <w:szCs w:val="20"/>
        </w:rPr>
      </w:pPr>
      <w:r w:rsidRPr="00D84AE0">
        <w:rPr>
          <w:rFonts w:ascii="Arial" w:hAnsi="Arial" w:cs="Arial"/>
          <w:b/>
          <w:color w:val="auto"/>
          <w:sz w:val="20"/>
          <w:szCs w:val="20"/>
        </w:rPr>
        <w:t xml:space="preserve">Table </w:t>
      </w:r>
      <w:r>
        <w:rPr>
          <w:rFonts w:ascii="Arial" w:hAnsi="Arial" w:cs="Arial"/>
          <w:b/>
          <w:color w:val="auto"/>
          <w:sz w:val="20"/>
          <w:szCs w:val="20"/>
        </w:rPr>
        <w:t>5</w:t>
      </w:r>
      <w:r w:rsidRPr="00D84AE0">
        <w:rPr>
          <w:rFonts w:ascii="Arial" w:hAnsi="Arial" w:cs="Arial"/>
          <w:b/>
          <w:color w:val="auto"/>
          <w:sz w:val="20"/>
          <w:szCs w:val="20"/>
        </w:rPr>
        <w:t>:</w:t>
      </w:r>
      <w:r>
        <w:rPr>
          <w:rFonts w:ascii="Arial" w:hAnsi="Arial" w:cs="Arial"/>
          <w:b/>
          <w:color w:val="auto"/>
          <w:sz w:val="20"/>
          <w:szCs w:val="20"/>
        </w:rPr>
        <w:t xml:space="preserve"> </w:t>
      </w:r>
      <w:r w:rsidRPr="00D84AE0">
        <w:rPr>
          <w:rFonts w:ascii="Arial" w:hAnsi="Arial" w:cs="Arial"/>
          <w:b/>
          <w:color w:val="auto"/>
          <w:sz w:val="20"/>
          <w:szCs w:val="20"/>
        </w:rPr>
        <w:t>Serum Concentration of Inflammatory Markers</w:t>
      </w:r>
    </w:p>
    <w:tbl>
      <w:tblPr>
        <w:tblStyle w:val="TableGrid"/>
        <w:tblW w:w="11240" w:type="dxa"/>
        <w:tblInd w:w="-1517" w:type="dxa"/>
        <w:tblLayout w:type="fixed"/>
        <w:tblLook w:val="04A0" w:firstRow="1" w:lastRow="0" w:firstColumn="1" w:lastColumn="0" w:noHBand="0" w:noVBand="1"/>
      </w:tblPr>
      <w:tblGrid>
        <w:gridCol w:w="1525"/>
        <w:gridCol w:w="1440"/>
        <w:gridCol w:w="1170"/>
        <w:gridCol w:w="805"/>
        <w:gridCol w:w="1260"/>
        <w:gridCol w:w="1080"/>
        <w:gridCol w:w="810"/>
        <w:gridCol w:w="1260"/>
        <w:gridCol w:w="1080"/>
        <w:gridCol w:w="810"/>
      </w:tblGrid>
      <w:tr w:rsidR="00D56410" w:rsidRPr="00D84AE0" w14:paraId="05BF72F8" w14:textId="77777777" w:rsidTr="00DA30A7">
        <w:tc>
          <w:tcPr>
            <w:tcW w:w="1525" w:type="dxa"/>
          </w:tcPr>
          <w:p w14:paraId="3576FAC8" w14:textId="77777777" w:rsidR="00D56410" w:rsidRPr="00D84AE0" w:rsidRDefault="00D56410" w:rsidP="00DA30A7">
            <w:pPr>
              <w:rPr>
                <w:rFonts w:ascii="Arial" w:hAnsi="Arial" w:cs="Arial"/>
                <w:b/>
                <w:sz w:val="20"/>
                <w:szCs w:val="20"/>
              </w:rPr>
            </w:pPr>
            <w:r w:rsidRPr="00D84AE0">
              <w:rPr>
                <w:rFonts w:ascii="Arial" w:hAnsi="Arial" w:cs="Arial"/>
                <w:b/>
                <w:sz w:val="20"/>
                <w:szCs w:val="20"/>
              </w:rPr>
              <w:t>Groups</w:t>
            </w:r>
          </w:p>
          <w:p w14:paraId="307F9F67" w14:textId="77777777" w:rsidR="00D56410" w:rsidRPr="00D84AE0" w:rsidRDefault="00D56410" w:rsidP="00DA30A7">
            <w:pPr>
              <w:rPr>
                <w:rFonts w:ascii="Arial" w:hAnsi="Arial" w:cs="Arial"/>
                <w:b/>
                <w:sz w:val="20"/>
                <w:szCs w:val="20"/>
              </w:rPr>
            </w:pPr>
            <w:r w:rsidRPr="00D84AE0">
              <w:rPr>
                <w:rFonts w:ascii="Arial" w:hAnsi="Arial" w:cs="Arial"/>
                <w:b/>
                <w:sz w:val="20"/>
                <w:szCs w:val="20"/>
              </w:rPr>
              <w:t>(Mean ± SD)</w:t>
            </w:r>
          </w:p>
        </w:tc>
        <w:tc>
          <w:tcPr>
            <w:tcW w:w="1440" w:type="dxa"/>
          </w:tcPr>
          <w:p w14:paraId="2B12F69B" w14:textId="77777777" w:rsidR="00D56410" w:rsidRPr="00D84AE0" w:rsidRDefault="00D56410" w:rsidP="00DA30A7">
            <w:pPr>
              <w:rPr>
                <w:rFonts w:ascii="Arial" w:hAnsi="Arial" w:cs="Arial"/>
                <w:b/>
                <w:sz w:val="20"/>
                <w:szCs w:val="20"/>
              </w:rPr>
            </w:pPr>
            <w:r w:rsidRPr="00D84AE0">
              <w:rPr>
                <w:rFonts w:ascii="Arial" w:hAnsi="Arial" w:cs="Arial"/>
                <w:b/>
                <w:sz w:val="20"/>
                <w:szCs w:val="20"/>
              </w:rPr>
              <w:t>GGT (U/L)</w:t>
            </w:r>
          </w:p>
        </w:tc>
        <w:tc>
          <w:tcPr>
            <w:tcW w:w="1170" w:type="dxa"/>
          </w:tcPr>
          <w:p w14:paraId="118B5707" w14:textId="77777777" w:rsidR="00D56410" w:rsidRPr="00D84AE0" w:rsidRDefault="00D56410" w:rsidP="00DA30A7">
            <w:pPr>
              <w:rPr>
                <w:rFonts w:ascii="Arial" w:hAnsi="Arial" w:cs="Arial"/>
                <w:b/>
                <w:sz w:val="20"/>
                <w:szCs w:val="20"/>
              </w:rPr>
            </w:pPr>
            <w:r w:rsidRPr="00D84AE0">
              <w:rPr>
                <w:rFonts w:ascii="Arial" w:hAnsi="Arial" w:cs="Arial"/>
                <w:b/>
                <w:sz w:val="20"/>
                <w:szCs w:val="20"/>
              </w:rPr>
              <w:t>P-Value</w:t>
            </w:r>
          </w:p>
          <w:p w14:paraId="29965C4B" w14:textId="77777777" w:rsidR="00D56410" w:rsidRPr="00D84AE0" w:rsidRDefault="00D56410" w:rsidP="00DA30A7">
            <w:pPr>
              <w:rPr>
                <w:rFonts w:ascii="Arial" w:hAnsi="Arial" w:cs="Arial"/>
                <w:b/>
                <w:sz w:val="20"/>
                <w:szCs w:val="20"/>
              </w:rPr>
            </w:pPr>
            <w:r w:rsidRPr="00D84AE0">
              <w:rPr>
                <w:rFonts w:ascii="Arial" w:hAnsi="Arial" w:cs="Arial"/>
                <w:b/>
                <w:sz w:val="20"/>
                <w:szCs w:val="20"/>
              </w:rPr>
              <w:t>(p&lt;0.05)</w:t>
            </w:r>
          </w:p>
        </w:tc>
        <w:tc>
          <w:tcPr>
            <w:tcW w:w="805" w:type="dxa"/>
          </w:tcPr>
          <w:p w14:paraId="085F7E4B" w14:textId="77777777" w:rsidR="00D56410" w:rsidRPr="00D84AE0" w:rsidRDefault="00D56410" w:rsidP="00DA30A7">
            <w:pPr>
              <w:rPr>
                <w:rFonts w:ascii="Arial" w:hAnsi="Arial" w:cs="Arial"/>
                <w:b/>
                <w:sz w:val="20"/>
                <w:szCs w:val="20"/>
              </w:rPr>
            </w:pPr>
            <w:proofErr w:type="spellStart"/>
            <w:r w:rsidRPr="00D84AE0">
              <w:rPr>
                <w:rFonts w:ascii="Arial" w:hAnsi="Arial" w:cs="Arial"/>
                <w:b/>
                <w:sz w:val="20"/>
                <w:szCs w:val="20"/>
              </w:rPr>
              <w:t>Rmks</w:t>
            </w:r>
            <w:proofErr w:type="spellEnd"/>
          </w:p>
        </w:tc>
        <w:tc>
          <w:tcPr>
            <w:tcW w:w="1260" w:type="dxa"/>
          </w:tcPr>
          <w:p w14:paraId="527CBCF1" w14:textId="77777777" w:rsidR="00D56410" w:rsidRPr="00D84AE0" w:rsidRDefault="00D56410" w:rsidP="00DA30A7">
            <w:pPr>
              <w:rPr>
                <w:rFonts w:ascii="Arial" w:hAnsi="Arial" w:cs="Arial"/>
                <w:b/>
                <w:sz w:val="20"/>
                <w:szCs w:val="20"/>
              </w:rPr>
            </w:pPr>
            <w:r w:rsidRPr="00D84AE0">
              <w:rPr>
                <w:rFonts w:ascii="Arial" w:hAnsi="Arial" w:cs="Arial"/>
                <w:b/>
                <w:sz w:val="20"/>
                <w:szCs w:val="20"/>
              </w:rPr>
              <w:t>CRP</w:t>
            </w:r>
          </w:p>
          <w:p w14:paraId="16693E26" w14:textId="77777777" w:rsidR="00D56410" w:rsidRPr="00D84AE0" w:rsidRDefault="00D56410" w:rsidP="00DA30A7">
            <w:pPr>
              <w:rPr>
                <w:rFonts w:ascii="Arial" w:hAnsi="Arial" w:cs="Arial"/>
                <w:b/>
                <w:sz w:val="20"/>
                <w:szCs w:val="20"/>
              </w:rPr>
            </w:pPr>
            <w:r w:rsidRPr="00D84AE0">
              <w:rPr>
                <w:rFonts w:ascii="Arial" w:hAnsi="Arial" w:cs="Arial"/>
                <w:b/>
                <w:sz w:val="20"/>
                <w:szCs w:val="20"/>
              </w:rPr>
              <w:t>(mg/L)</w:t>
            </w:r>
          </w:p>
        </w:tc>
        <w:tc>
          <w:tcPr>
            <w:tcW w:w="1080" w:type="dxa"/>
          </w:tcPr>
          <w:p w14:paraId="5E81EE0D" w14:textId="77777777" w:rsidR="00D56410" w:rsidRPr="00D84AE0" w:rsidRDefault="00D56410" w:rsidP="00DA30A7">
            <w:pPr>
              <w:rPr>
                <w:rFonts w:ascii="Arial" w:hAnsi="Arial" w:cs="Arial"/>
                <w:b/>
                <w:sz w:val="20"/>
                <w:szCs w:val="20"/>
              </w:rPr>
            </w:pPr>
            <w:r w:rsidRPr="00D84AE0">
              <w:rPr>
                <w:rFonts w:ascii="Arial" w:hAnsi="Arial" w:cs="Arial"/>
                <w:b/>
                <w:sz w:val="20"/>
                <w:szCs w:val="20"/>
              </w:rPr>
              <w:t>P-Value</w:t>
            </w:r>
          </w:p>
          <w:p w14:paraId="3996560B" w14:textId="77777777" w:rsidR="00D56410" w:rsidRPr="00D84AE0" w:rsidRDefault="00D56410" w:rsidP="00DA30A7">
            <w:pPr>
              <w:rPr>
                <w:rFonts w:ascii="Arial" w:hAnsi="Arial" w:cs="Arial"/>
                <w:b/>
                <w:sz w:val="20"/>
                <w:szCs w:val="20"/>
              </w:rPr>
            </w:pPr>
            <w:r w:rsidRPr="00D84AE0">
              <w:rPr>
                <w:rFonts w:ascii="Arial" w:hAnsi="Arial" w:cs="Arial"/>
                <w:b/>
                <w:sz w:val="20"/>
                <w:szCs w:val="20"/>
              </w:rPr>
              <w:t>(p&lt;0.05)</w:t>
            </w:r>
          </w:p>
        </w:tc>
        <w:tc>
          <w:tcPr>
            <w:tcW w:w="810" w:type="dxa"/>
          </w:tcPr>
          <w:p w14:paraId="576FBE5C" w14:textId="77777777" w:rsidR="00D56410" w:rsidRPr="00D84AE0" w:rsidRDefault="00D56410" w:rsidP="00DA30A7">
            <w:pPr>
              <w:rPr>
                <w:rFonts w:ascii="Arial" w:hAnsi="Arial" w:cs="Arial"/>
                <w:b/>
                <w:sz w:val="20"/>
                <w:szCs w:val="20"/>
              </w:rPr>
            </w:pPr>
            <w:proofErr w:type="spellStart"/>
            <w:r w:rsidRPr="00D84AE0">
              <w:rPr>
                <w:rFonts w:ascii="Arial" w:hAnsi="Arial" w:cs="Arial"/>
                <w:b/>
                <w:sz w:val="20"/>
                <w:szCs w:val="20"/>
              </w:rPr>
              <w:t>Rmks</w:t>
            </w:r>
            <w:proofErr w:type="spellEnd"/>
          </w:p>
        </w:tc>
        <w:tc>
          <w:tcPr>
            <w:tcW w:w="1260" w:type="dxa"/>
          </w:tcPr>
          <w:p w14:paraId="74E6AB81" w14:textId="77777777" w:rsidR="00D56410" w:rsidRPr="00D84AE0" w:rsidRDefault="00D56410" w:rsidP="00DA30A7">
            <w:pPr>
              <w:rPr>
                <w:rFonts w:ascii="Arial" w:hAnsi="Arial" w:cs="Arial"/>
                <w:b/>
                <w:sz w:val="20"/>
                <w:szCs w:val="20"/>
              </w:rPr>
            </w:pPr>
            <w:r w:rsidRPr="00D84AE0">
              <w:rPr>
                <w:rFonts w:ascii="Arial" w:hAnsi="Arial" w:cs="Arial"/>
                <w:b/>
                <w:sz w:val="20"/>
                <w:szCs w:val="20"/>
              </w:rPr>
              <w:t>IL-6</w:t>
            </w:r>
          </w:p>
          <w:p w14:paraId="504E7D22" w14:textId="77777777" w:rsidR="00D56410" w:rsidRPr="00D84AE0" w:rsidRDefault="00D56410" w:rsidP="00DA30A7">
            <w:pPr>
              <w:rPr>
                <w:rFonts w:ascii="Arial" w:hAnsi="Arial" w:cs="Arial"/>
                <w:b/>
                <w:sz w:val="20"/>
                <w:szCs w:val="20"/>
              </w:rPr>
            </w:pPr>
            <w:r w:rsidRPr="00D84AE0">
              <w:rPr>
                <w:rFonts w:ascii="Arial" w:hAnsi="Arial" w:cs="Arial"/>
                <w:b/>
                <w:sz w:val="20"/>
                <w:szCs w:val="20"/>
              </w:rPr>
              <w:t>(</w:t>
            </w:r>
            <w:proofErr w:type="spellStart"/>
            <w:r w:rsidRPr="00D84AE0">
              <w:rPr>
                <w:rFonts w:ascii="Arial" w:hAnsi="Arial" w:cs="Arial"/>
                <w:b/>
                <w:sz w:val="20"/>
                <w:szCs w:val="20"/>
              </w:rPr>
              <w:t>pg</w:t>
            </w:r>
            <w:proofErr w:type="spellEnd"/>
            <w:r w:rsidRPr="00D84AE0">
              <w:rPr>
                <w:rFonts w:ascii="Arial" w:hAnsi="Arial" w:cs="Arial"/>
                <w:b/>
                <w:sz w:val="20"/>
                <w:szCs w:val="20"/>
              </w:rPr>
              <w:t>/mL)</w:t>
            </w:r>
          </w:p>
        </w:tc>
        <w:tc>
          <w:tcPr>
            <w:tcW w:w="1080" w:type="dxa"/>
          </w:tcPr>
          <w:p w14:paraId="6E235232" w14:textId="77777777" w:rsidR="00D56410" w:rsidRPr="00D84AE0" w:rsidRDefault="00D56410" w:rsidP="00DA30A7">
            <w:pPr>
              <w:rPr>
                <w:rFonts w:ascii="Arial" w:hAnsi="Arial" w:cs="Arial"/>
                <w:b/>
                <w:sz w:val="20"/>
                <w:szCs w:val="20"/>
              </w:rPr>
            </w:pPr>
            <w:r w:rsidRPr="00D84AE0">
              <w:rPr>
                <w:rFonts w:ascii="Arial" w:hAnsi="Arial" w:cs="Arial"/>
                <w:b/>
                <w:sz w:val="20"/>
                <w:szCs w:val="20"/>
              </w:rPr>
              <w:t>P-Value</w:t>
            </w:r>
          </w:p>
          <w:p w14:paraId="5C1547FE" w14:textId="77777777" w:rsidR="00D56410" w:rsidRPr="00D84AE0" w:rsidRDefault="00D56410" w:rsidP="00DA30A7">
            <w:pPr>
              <w:rPr>
                <w:rFonts w:ascii="Arial" w:hAnsi="Arial" w:cs="Arial"/>
                <w:b/>
                <w:sz w:val="20"/>
                <w:szCs w:val="20"/>
              </w:rPr>
            </w:pPr>
            <w:r w:rsidRPr="00D84AE0">
              <w:rPr>
                <w:rFonts w:ascii="Arial" w:hAnsi="Arial" w:cs="Arial"/>
                <w:b/>
                <w:sz w:val="20"/>
                <w:szCs w:val="20"/>
              </w:rPr>
              <w:t>(p&lt;0.05)</w:t>
            </w:r>
          </w:p>
        </w:tc>
        <w:tc>
          <w:tcPr>
            <w:tcW w:w="810" w:type="dxa"/>
          </w:tcPr>
          <w:p w14:paraId="3777B09E" w14:textId="77777777" w:rsidR="00D56410" w:rsidRPr="00D84AE0" w:rsidRDefault="00D56410" w:rsidP="00DA30A7">
            <w:pPr>
              <w:rPr>
                <w:rFonts w:ascii="Arial" w:hAnsi="Arial" w:cs="Arial"/>
                <w:b/>
                <w:sz w:val="20"/>
                <w:szCs w:val="20"/>
              </w:rPr>
            </w:pPr>
            <w:proofErr w:type="spellStart"/>
            <w:r w:rsidRPr="00D84AE0">
              <w:rPr>
                <w:rFonts w:ascii="Arial" w:hAnsi="Arial" w:cs="Arial"/>
                <w:b/>
                <w:sz w:val="20"/>
                <w:szCs w:val="20"/>
              </w:rPr>
              <w:t>Rmks</w:t>
            </w:r>
            <w:proofErr w:type="spellEnd"/>
          </w:p>
        </w:tc>
      </w:tr>
      <w:tr w:rsidR="00D56410" w:rsidRPr="00D84AE0" w14:paraId="035DA57D" w14:textId="77777777" w:rsidTr="00DA30A7">
        <w:trPr>
          <w:trHeight w:val="57"/>
        </w:trPr>
        <w:tc>
          <w:tcPr>
            <w:tcW w:w="1525" w:type="dxa"/>
          </w:tcPr>
          <w:p w14:paraId="1CAA5835"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Controls </w:t>
            </w:r>
          </w:p>
        </w:tc>
        <w:tc>
          <w:tcPr>
            <w:tcW w:w="1440" w:type="dxa"/>
          </w:tcPr>
          <w:p w14:paraId="4E06A100" w14:textId="77777777" w:rsidR="00D56410" w:rsidRPr="00D84AE0" w:rsidRDefault="00D56410" w:rsidP="00DA30A7">
            <w:pPr>
              <w:rPr>
                <w:rFonts w:ascii="Arial" w:hAnsi="Arial" w:cs="Arial"/>
                <w:sz w:val="20"/>
                <w:szCs w:val="20"/>
              </w:rPr>
            </w:pPr>
            <w:r w:rsidRPr="00D84AE0">
              <w:rPr>
                <w:rFonts w:ascii="Arial" w:hAnsi="Arial" w:cs="Arial"/>
                <w:sz w:val="20"/>
                <w:szCs w:val="20"/>
              </w:rPr>
              <w:t>33.07 ± 7.92</w:t>
            </w:r>
          </w:p>
        </w:tc>
        <w:tc>
          <w:tcPr>
            <w:tcW w:w="1170" w:type="dxa"/>
          </w:tcPr>
          <w:p w14:paraId="6F5B5C3B"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0.01</w:t>
            </w:r>
          </w:p>
        </w:tc>
        <w:tc>
          <w:tcPr>
            <w:tcW w:w="805" w:type="dxa"/>
          </w:tcPr>
          <w:p w14:paraId="1EEE3E78"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S</w:t>
            </w:r>
          </w:p>
        </w:tc>
        <w:tc>
          <w:tcPr>
            <w:tcW w:w="1260" w:type="dxa"/>
          </w:tcPr>
          <w:p w14:paraId="34DF3EF6"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1.94 ± 1.71 </w:t>
            </w:r>
          </w:p>
        </w:tc>
        <w:tc>
          <w:tcPr>
            <w:tcW w:w="1080" w:type="dxa"/>
          </w:tcPr>
          <w:p w14:paraId="737F3423"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0.20</w:t>
            </w:r>
          </w:p>
        </w:tc>
        <w:tc>
          <w:tcPr>
            <w:tcW w:w="810" w:type="dxa"/>
          </w:tcPr>
          <w:p w14:paraId="72001B92" w14:textId="77777777" w:rsidR="00D56410" w:rsidRPr="00D84AE0" w:rsidRDefault="00D56410" w:rsidP="00DA30A7">
            <w:pPr>
              <w:rPr>
                <w:rFonts w:ascii="Arial" w:hAnsi="Arial" w:cs="Arial"/>
                <w:sz w:val="20"/>
                <w:szCs w:val="20"/>
              </w:rPr>
            </w:pPr>
            <w:r w:rsidRPr="00D84AE0">
              <w:rPr>
                <w:rFonts w:ascii="Arial" w:hAnsi="Arial" w:cs="Arial"/>
                <w:sz w:val="20"/>
                <w:szCs w:val="20"/>
              </w:rPr>
              <w:t>NS</w:t>
            </w:r>
          </w:p>
        </w:tc>
        <w:tc>
          <w:tcPr>
            <w:tcW w:w="1260" w:type="dxa"/>
          </w:tcPr>
          <w:p w14:paraId="092EAFCC" w14:textId="77777777" w:rsidR="00D56410" w:rsidRPr="00D84AE0" w:rsidRDefault="00D56410" w:rsidP="00DA30A7">
            <w:pPr>
              <w:rPr>
                <w:rFonts w:ascii="Arial" w:hAnsi="Arial" w:cs="Arial"/>
                <w:sz w:val="20"/>
                <w:szCs w:val="20"/>
              </w:rPr>
            </w:pPr>
            <w:r w:rsidRPr="00D84AE0">
              <w:rPr>
                <w:rFonts w:ascii="Arial" w:hAnsi="Arial" w:cs="Arial"/>
                <w:sz w:val="20"/>
                <w:szCs w:val="20"/>
              </w:rPr>
              <w:t>1.50 ±0.05</w:t>
            </w:r>
          </w:p>
        </w:tc>
        <w:tc>
          <w:tcPr>
            <w:tcW w:w="1080" w:type="dxa"/>
          </w:tcPr>
          <w:p w14:paraId="5F1ACD0B"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0.05</w:t>
            </w:r>
          </w:p>
        </w:tc>
        <w:tc>
          <w:tcPr>
            <w:tcW w:w="810" w:type="dxa"/>
          </w:tcPr>
          <w:p w14:paraId="22391815" w14:textId="77777777" w:rsidR="00D56410" w:rsidRPr="00D84AE0" w:rsidRDefault="00D56410" w:rsidP="00DA30A7">
            <w:pPr>
              <w:rPr>
                <w:rFonts w:ascii="Arial" w:hAnsi="Arial" w:cs="Arial"/>
                <w:sz w:val="20"/>
                <w:szCs w:val="20"/>
              </w:rPr>
            </w:pPr>
            <w:r w:rsidRPr="00D84AE0">
              <w:rPr>
                <w:rFonts w:ascii="Arial" w:hAnsi="Arial" w:cs="Arial"/>
                <w:sz w:val="20"/>
                <w:szCs w:val="20"/>
              </w:rPr>
              <w:t>S</w:t>
            </w:r>
          </w:p>
        </w:tc>
      </w:tr>
      <w:tr w:rsidR="00D56410" w:rsidRPr="00D84AE0" w14:paraId="66E4838C" w14:textId="77777777" w:rsidTr="00DA30A7">
        <w:trPr>
          <w:trHeight w:val="188"/>
        </w:trPr>
        <w:tc>
          <w:tcPr>
            <w:tcW w:w="1525" w:type="dxa"/>
          </w:tcPr>
          <w:p w14:paraId="3AA2674E" w14:textId="77777777" w:rsidR="00D56410" w:rsidRPr="00D84AE0" w:rsidRDefault="00D56410" w:rsidP="00DA30A7">
            <w:pPr>
              <w:rPr>
                <w:rFonts w:ascii="Arial" w:hAnsi="Arial" w:cs="Arial"/>
                <w:sz w:val="20"/>
                <w:szCs w:val="20"/>
              </w:rPr>
            </w:pPr>
            <w:r w:rsidRPr="00D84AE0">
              <w:rPr>
                <w:rFonts w:ascii="Arial" w:hAnsi="Arial" w:cs="Arial"/>
                <w:sz w:val="20"/>
                <w:szCs w:val="20"/>
              </w:rPr>
              <w:t>Alcohol Users</w:t>
            </w:r>
          </w:p>
        </w:tc>
        <w:tc>
          <w:tcPr>
            <w:tcW w:w="1440" w:type="dxa"/>
          </w:tcPr>
          <w:p w14:paraId="0361EC56" w14:textId="77777777" w:rsidR="00D56410" w:rsidRPr="00D84AE0" w:rsidRDefault="00D56410" w:rsidP="00DA30A7">
            <w:pPr>
              <w:rPr>
                <w:rFonts w:ascii="Arial" w:hAnsi="Arial" w:cs="Arial"/>
                <w:sz w:val="20"/>
                <w:szCs w:val="20"/>
              </w:rPr>
            </w:pPr>
            <w:r w:rsidRPr="00D84AE0">
              <w:rPr>
                <w:rFonts w:ascii="Arial" w:hAnsi="Arial" w:cs="Arial"/>
                <w:sz w:val="20"/>
                <w:szCs w:val="20"/>
              </w:rPr>
              <w:t>40.0 3± 16.38</w:t>
            </w:r>
          </w:p>
        </w:tc>
        <w:tc>
          <w:tcPr>
            <w:tcW w:w="1170" w:type="dxa"/>
          </w:tcPr>
          <w:p w14:paraId="5EB46047" w14:textId="77777777" w:rsidR="00D56410" w:rsidRPr="00D84AE0" w:rsidRDefault="00D56410" w:rsidP="00DA30A7">
            <w:pPr>
              <w:rPr>
                <w:rFonts w:ascii="Arial" w:hAnsi="Arial" w:cs="Arial"/>
                <w:sz w:val="20"/>
                <w:szCs w:val="20"/>
              </w:rPr>
            </w:pPr>
          </w:p>
        </w:tc>
        <w:tc>
          <w:tcPr>
            <w:tcW w:w="805" w:type="dxa"/>
          </w:tcPr>
          <w:p w14:paraId="48DE771B" w14:textId="77777777" w:rsidR="00D56410" w:rsidRPr="00D84AE0" w:rsidRDefault="00D56410" w:rsidP="00DA30A7">
            <w:pPr>
              <w:rPr>
                <w:rFonts w:ascii="Arial" w:hAnsi="Arial" w:cs="Arial"/>
                <w:sz w:val="20"/>
                <w:szCs w:val="20"/>
              </w:rPr>
            </w:pPr>
          </w:p>
        </w:tc>
        <w:tc>
          <w:tcPr>
            <w:tcW w:w="1260" w:type="dxa"/>
          </w:tcPr>
          <w:p w14:paraId="198C358E" w14:textId="77777777" w:rsidR="00D56410" w:rsidRPr="00D84AE0" w:rsidRDefault="00D56410" w:rsidP="00DA30A7">
            <w:pPr>
              <w:rPr>
                <w:rFonts w:ascii="Arial" w:hAnsi="Arial" w:cs="Arial"/>
                <w:sz w:val="20"/>
                <w:szCs w:val="20"/>
              </w:rPr>
            </w:pPr>
            <w:r w:rsidRPr="00D84AE0">
              <w:rPr>
                <w:rFonts w:ascii="Arial" w:hAnsi="Arial" w:cs="Arial"/>
                <w:sz w:val="20"/>
                <w:szCs w:val="20"/>
              </w:rPr>
              <w:t>2.52 ± 2.46</w:t>
            </w:r>
          </w:p>
        </w:tc>
        <w:tc>
          <w:tcPr>
            <w:tcW w:w="1080" w:type="dxa"/>
          </w:tcPr>
          <w:p w14:paraId="32EF4DE5" w14:textId="77777777" w:rsidR="00D56410" w:rsidRPr="00D84AE0" w:rsidRDefault="00D56410" w:rsidP="00DA30A7">
            <w:pPr>
              <w:rPr>
                <w:rFonts w:ascii="Arial" w:hAnsi="Arial" w:cs="Arial"/>
                <w:sz w:val="20"/>
                <w:szCs w:val="20"/>
              </w:rPr>
            </w:pPr>
          </w:p>
        </w:tc>
        <w:tc>
          <w:tcPr>
            <w:tcW w:w="810" w:type="dxa"/>
          </w:tcPr>
          <w:p w14:paraId="218C24B5" w14:textId="77777777" w:rsidR="00D56410" w:rsidRPr="00D84AE0" w:rsidRDefault="00D56410" w:rsidP="00DA30A7">
            <w:pPr>
              <w:rPr>
                <w:rFonts w:ascii="Arial" w:hAnsi="Arial" w:cs="Arial"/>
                <w:sz w:val="20"/>
                <w:szCs w:val="20"/>
              </w:rPr>
            </w:pPr>
          </w:p>
        </w:tc>
        <w:tc>
          <w:tcPr>
            <w:tcW w:w="1260" w:type="dxa"/>
          </w:tcPr>
          <w:p w14:paraId="1868F76B" w14:textId="77777777" w:rsidR="00D56410" w:rsidRPr="00D84AE0" w:rsidRDefault="00D56410" w:rsidP="00DA30A7">
            <w:pPr>
              <w:rPr>
                <w:rFonts w:ascii="Arial" w:hAnsi="Arial" w:cs="Arial"/>
                <w:sz w:val="20"/>
                <w:szCs w:val="20"/>
              </w:rPr>
            </w:pPr>
            <w:r w:rsidRPr="00D84AE0">
              <w:rPr>
                <w:rFonts w:ascii="Arial" w:hAnsi="Arial" w:cs="Arial"/>
                <w:sz w:val="20"/>
                <w:szCs w:val="20"/>
              </w:rPr>
              <w:t>1.68± 0.52</w:t>
            </w:r>
          </w:p>
        </w:tc>
        <w:tc>
          <w:tcPr>
            <w:tcW w:w="1080" w:type="dxa"/>
          </w:tcPr>
          <w:p w14:paraId="0DE8782D" w14:textId="77777777" w:rsidR="00D56410" w:rsidRPr="00D84AE0" w:rsidRDefault="00D56410" w:rsidP="00DA30A7">
            <w:pPr>
              <w:rPr>
                <w:rFonts w:ascii="Arial" w:hAnsi="Arial" w:cs="Arial"/>
                <w:sz w:val="20"/>
                <w:szCs w:val="20"/>
              </w:rPr>
            </w:pPr>
          </w:p>
        </w:tc>
        <w:tc>
          <w:tcPr>
            <w:tcW w:w="810" w:type="dxa"/>
          </w:tcPr>
          <w:p w14:paraId="2A570195" w14:textId="77777777" w:rsidR="00D56410" w:rsidRPr="00D84AE0" w:rsidRDefault="00D56410" w:rsidP="00DA30A7">
            <w:pPr>
              <w:rPr>
                <w:rFonts w:ascii="Arial" w:hAnsi="Arial" w:cs="Arial"/>
                <w:sz w:val="20"/>
                <w:szCs w:val="20"/>
              </w:rPr>
            </w:pPr>
          </w:p>
        </w:tc>
      </w:tr>
      <w:tr w:rsidR="00D56410" w:rsidRPr="00D84AE0" w14:paraId="63931F8E" w14:textId="77777777" w:rsidTr="00DA30A7">
        <w:tc>
          <w:tcPr>
            <w:tcW w:w="1525" w:type="dxa"/>
          </w:tcPr>
          <w:p w14:paraId="67978A91" w14:textId="77777777" w:rsidR="00D56410" w:rsidRPr="00D84AE0" w:rsidRDefault="00D56410" w:rsidP="00DA30A7">
            <w:pPr>
              <w:rPr>
                <w:rFonts w:ascii="Arial" w:hAnsi="Arial" w:cs="Arial"/>
                <w:sz w:val="20"/>
                <w:szCs w:val="20"/>
              </w:rPr>
            </w:pPr>
            <w:r w:rsidRPr="00D84AE0">
              <w:rPr>
                <w:rFonts w:ascii="Arial" w:hAnsi="Arial" w:cs="Arial"/>
                <w:sz w:val="20"/>
                <w:szCs w:val="20"/>
              </w:rPr>
              <w:t>N-Value</w:t>
            </w:r>
          </w:p>
          <w:p w14:paraId="3BABCE6B" w14:textId="77777777" w:rsidR="00D56410" w:rsidRPr="00D84AE0" w:rsidRDefault="00D56410" w:rsidP="00DA30A7">
            <w:pPr>
              <w:rPr>
                <w:rFonts w:ascii="Arial" w:hAnsi="Arial" w:cs="Arial"/>
                <w:sz w:val="20"/>
                <w:szCs w:val="20"/>
              </w:rPr>
            </w:pPr>
            <w:r w:rsidRPr="00D84AE0">
              <w:rPr>
                <w:rFonts w:ascii="Arial" w:hAnsi="Arial" w:cs="Arial"/>
                <w:sz w:val="20"/>
                <w:szCs w:val="20"/>
              </w:rPr>
              <w:lastRenderedPageBreak/>
              <w:t>Controls</w:t>
            </w:r>
          </w:p>
        </w:tc>
        <w:tc>
          <w:tcPr>
            <w:tcW w:w="1440" w:type="dxa"/>
          </w:tcPr>
          <w:p w14:paraId="491AAE5F" w14:textId="77777777" w:rsidR="00D56410" w:rsidRPr="00D84AE0" w:rsidRDefault="00D56410" w:rsidP="00DA30A7">
            <w:pPr>
              <w:rPr>
                <w:rFonts w:ascii="Arial" w:hAnsi="Arial" w:cs="Arial"/>
                <w:sz w:val="20"/>
                <w:szCs w:val="20"/>
              </w:rPr>
            </w:pPr>
            <w:r w:rsidRPr="00D84AE0">
              <w:rPr>
                <w:rFonts w:ascii="Arial" w:hAnsi="Arial" w:cs="Arial"/>
                <w:sz w:val="20"/>
                <w:szCs w:val="20"/>
              </w:rPr>
              <w:lastRenderedPageBreak/>
              <w:t>45</w:t>
            </w:r>
          </w:p>
          <w:p w14:paraId="1FA041A3" w14:textId="77777777" w:rsidR="00D56410" w:rsidRPr="00D84AE0" w:rsidRDefault="00D56410" w:rsidP="00DA30A7">
            <w:pPr>
              <w:rPr>
                <w:rFonts w:ascii="Arial" w:hAnsi="Arial" w:cs="Arial"/>
                <w:sz w:val="20"/>
                <w:szCs w:val="20"/>
              </w:rPr>
            </w:pPr>
            <w:r w:rsidRPr="00D84AE0">
              <w:rPr>
                <w:rFonts w:ascii="Arial" w:hAnsi="Arial" w:cs="Arial"/>
                <w:sz w:val="20"/>
                <w:szCs w:val="20"/>
              </w:rPr>
              <w:lastRenderedPageBreak/>
              <w:t>34.4 ± 7.9</w:t>
            </w:r>
          </w:p>
        </w:tc>
        <w:tc>
          <w:tcPr>
            <w:tcW w:w="1170" w:type="dxa"/>
          </w:tcPr>
          <w:p w14:paraId="6202DCDC" w14:textId="77777777" w:rsidR="00D56410" w:rsidRPr="00D84AE0" w:rsidRDefault="00D56410" w:rsidP="00DA30A7">
            <w:pPr>
              <w:rPr>
                <w:rFonts w:ascii="Arial" w:hAnsi="Arial" w:cs="Arial"/>
                <w:sz w:val="20"/>
                <w:szCs w:val="20"/>
              </w:rPr>
            </w:pPr>
          </w:p>
          <w:p w14:paraId="22DFCB2D" w14:textId="77777777" w:rsidR="00D56410" w:rsidRPr="00D84AE0" w:rsidRDefault="00D56410" w:rsidP="00DA30A7">
            <w:pPr>
              <w:rPr>
                <w:rFonts w:ascii="Arial" w:hAnsi="Arial" w:cs="Arial"/>
                <w:sz w:val="20"/>
                <w:szCs w:val="20"/>
              </w:rPr>
            </w:pPr>
            <w:r w:rsidRPr="00D84AE0">
              <w:rPr>
                <w:rFonts w:ascii="Arial" w:hAnsi="Arial" w:cs="Arial"/>
                <w:sz w:val="20"/>
                <w:szCs w:val="20"/>
              </w:rPr>
              <w:lastRenderedPageBreak/>
              <w:t xml:space="preserve">   0.57</w:t>
            </w:r>
          </w:p>
        </w:tc>
        <w:tc>
          <w:tcPr>
            <w:tcW w:w="805" w:type="dxa"/>
          </w:tcPr>
          <w:p w14:paraId="7E823C5C" w14:textId="77777777" w:rsidR="00D56410" w:rsidRPr="00D84AE0" w:rsidRDefault="00D56410" w:rsidP="00DA30A7">
            <w:pPr>
              <w:rPr>
                <w:rFonts w:ascii="Arial" w:hAnsi="Arial" w:cs="Arial"/>
                <w:sz w:val="20"/>
                <w:szCs w:val="20"/>
              </w:rPr>
            </w:pPr>
          </w:p>
          <w:p w14:paraId="65528C68" w14:textId="77777777" w:rsidR="00D56410" w:rsidRPr="00D84AE0" w:rsidRDefault="00D56410" w:rsidP="00DA30A7">
            <w:pPr>
              <w:rPr>
                <w:rFonts w:ascii="Arial" w:hAnsi="Arial" w:cs="Arial"/>
                <w:sz w:val="20"/>
                <w:szCs w:val="20"/>
              </w:rPr>
            </w:pPr>
            <w:r w:rsidRPr="00D84AE0">
              <w:rPr>
                <w:rFonts w:ascii="Arial" w:hAnsi="Arial" w:cs="Arial"/>
                <w:sz w:val="20"/>
                <w:szCs w:val="20"/>
              </w:rPr>
              <w:lastRenderedPageBreak/>
              <w:t>NS</w:t>
            </w:r>
          </w:p>
        </w:tc>
        <w:tc>
          <w:tcPr>
            <w:tcW w:w="1260" w:type="dxa"/>
          </w:tcPr>
          <w:p w14:paraId="2AE15CB5" w14:textId="77777777" w:rsidR="00D56410" w:rsidRPr="00D84AE0" w:rsidRDefault="00D56410" w:rsidP="00DA30A7">
            <w:pPr>
              <w:rPr>
                <w:rFonts w:ascii="Arial" w:hAnsi="Arial" w:cs="Arial"/>
                <w:sz w:val="20"/>
                <w:szCs w:val="20"/>
              </w:rPr>
            </w:pPr>
            <w:r w:rsidRPr="00D84AE0">
              <w:rPr>
                <w:rFonts w:ascii="Arial" w:hAnsi="Arial" w:cs="Arial"/>
                <w:sz w:val="20"/>
                <w:szCs w:val="20"/>
              </w:rPr>
              <w:lastRenderedPageBreak/>
              <w:t>45</w:t>
            </w:r>
          </w:p>
          <w:p w14:paraId="22AE46F3" w14:textId="77777777" w:rsidR="00D56410" w:rsidRPr="00D84AE0" w:rsidRDefault="00D56410" w:rsidP="00DA30A7">
            <w:pPr>
              <w:rPr>
                <w:rFonts w:ascii="Arial" w:hAnsi="Arial" w:cs="Arial"/>
                <w:sz w:val="20"/>
                <w:szCs w:val="20"/>
              </w:rPr>
            </w:pPr>
            <w:r w:rsidRPr="00D84AE0">
              <w:rPr>
                <w:rFonts w:ascii="Arial" w:hAnsi="Arial" w:cs="Arial"/>
                <w:sz w:val="20"/>
                <w:szCs w:val="20"/>
              </w:rPr>
              <w:lastRenderedPageBreak/>
              <w:t>2.27 ± 1.85</w:t>
            </w:r>
          </w:p>
        </w:tc>
        <w:tc>
          <w:tcPr>
            <w:tcW w:w="1080" w:type="dxa"/>
          </w:tcPr>
          <w:p w14:paraId="12E49ECA" w14:textId="77777777" w:rsidR="00D56410" w:rsidRPr="00D84AE0" w:rsidRDefault="00D56410" w:rsidP="00DA30A7">
            <w:pPr>
              <w:rPr>
                <w:rFonts w:ascii="Arial" w:hAnsi="Arial" w:cs="Arial"/>
                <w:sz w:val="20"/>
                <w:szCs w:val="20"/>
              </w:rPr>
            </w:pPr>
          </w:p>
          <w:p w14:paraId="67AC5BEF" w14:textId="77777777" w:rsidR="00D56410" w:rsidRPr="00D84AE0" w:rsidRDefault="00D56410" w:rsidP="00DA30A7">
            <w:pPr>
              <w:rPr>
                <w:rFonts w:ascii="Arial" w:hAnsi="Arial" w:cs="Arial"/>
                <w:sz w:val="20"/>
                <w:szCs w:val="20"/>
              </w:rPr>
            </w:pPr>
            <w:r w:rsidRPr="00D84AE0">
              <w:rPr>
                <w:rFonts w:ascii="Arial" w:hAnsi="Arial" w:cs="Arial"/>
                <w:sz w:val="20"/>
                <w:szCs w:val="20"/>
              </w:rPr>
              <w:lastRenderedPageBreak/>
              <w:t xml:space="preserve">   0.95</w:t>
            </w:r>
          </w:p>
        </w:tc>
        <w:tc>
          <w:tcPr>
            <w:tcW w:w="810" w:type="dxa"/>
          </w:tcPr>
          <w:p w14:paraId="5A4FD4A3" w14:textId="77777777" w:rsidR="00D56410" w:rsidRPr="00D84AE0" w:rsidRDefault="00D56410" w:rsidP="00DA30A7">
            <w:pPr>
              <w:rPr>
                <w:rFonts w:ascii="Arial" w:hAnsi="Arial" w:cs="Arial"/>
                <w:sz w:val="20"/>
                <w:szCs w:val="20"/>
              </w:rPr>
            </w:pPr>
          </w:p>
          <w:p w14:paraId="439D51DF" w14:textId="77777777" w:rsidR="00D56410" w:rsidRPr="00D84AE0" w:rsidRDefault="00D56410" w:rsidP="00DA30A7">
            <w:pPr>
              <w:rPr>
                <w:rFonts w:ascii="Arial" w:hAnsi="Arial" w:cs="Arial"/>
                <w:sz w:val="20"/>
                <w:szCs w:val="20"/>
              </w:rPr>
            </w:pPr>
            <w:r w:rsidRPr="00D84AE0">
              <w:rPr>
                <w:rFonts w:ascii="Arial" w:hAnsi="Arial" w:cs="Arial"/>
                <w:sz w:val="20"/>
                <w:szCs w:val="20"/>
              </w:rPr>
              <w:lastRenderedPageBreak/>
              <w:t>NS</w:t>
            </w:r>
          </w:p>
        </w:tc>
        <w:tc>
          <w:tcPr>
            <w:tcW w:w="1260" w:type="dxa"/>
          </w:tcPr>
          <w:p w14:paraId="055ABDFE" w14:textId="77777777" w:rsidR="00D56410" w:rsidRPr="00D84AE0" w:rsidRDefault="00D56410" w:rsidP="00DA30A7">
            <w:pPr>
              <w:rPr>
                <w:rFonts w:ascii="Arial" w:hAnsi="Arial" w:cs="Arial"/>
                <w:sz w:val="20"/>
                <w:szCs w:val="20"/>
              </w:rPr>
            </w:pPr>
            <w:r w:rsidRPr="00D84AE0">
              <w:rPr>
                <w:rFonts w:ascii="Arial" w:hAnsi="Arial" w:cs="Arial"/>
                <w:sz w:val="20"/>
                <w:szCs w:val="20"/>
              </w:rPr>
              <w:lastRenderedPageBreak/>
              <w:t>45</w:t>
            </w:r>
          </w:p>
          <w:p w14:paraId="053774EC" w14:textId="77777777" w:rsidR="00D56410" w:rsidRPr="00D84AE0" w:rsidRDefault="00D56410" w:rsidP="00DA30A7">
            <w:pPr>
              <w:rPr>
                <w:rFonts w:ascii="Arial" w:hAnsi="Arial" w:cs="Arial"/>
                <w:sz w:val="20"/>
                <w:szCs w:val="20"/>
              </w:rPr>
            </w:pPr>
            <w:r w:rsidRPr="00D84AE0">
              <w:rPr>
                <w:rFonts w:ascii="Arial" w:hAnsi="Arial" w:cs="Arial"/>
                <w:sz w:val="20"/>
                <w:szCs w:val="20"/>
              </w:rPr>
              <w:lastRenderedPageBreak/>
              <w:t>2.00±1.37</w:t>
            </w:r>
          </w:p>
        </w:tc>
        <w:tc>
          <w:tcPr>
            <w:tcW w:w="1080" w:type="dxa"/>
          </w:tcPr>
          <w:p w14:paraId="3B8D2553" w14:textId="77777777" w:rsidR="00D56410" w:rsidRPr="00D84AE0" w:rsidRDefault="00D56410" w:rsidP="00DA30A7">
            <w:pPr>
              <w:rPr>
                <w:rFonts w:ascii="Arial" w:hAnsi="Arial" w:cs="Arial"/>
                <w:sz w:val="20"/>
                <w:szCs w:val="20"/>
              </w:rPr>
            </w:pPr>
          </w:p>
          <w:p w14:paraId="30DDC5B5" w14:textId="77777777" w:rsidR="00D56410" w:rsidRPr="00D84AE0" w:rsidRDefault="00D56410" w:rsidP="00DA30A7">
            <w:pPr>
              <w:rPr>
                <w:rFonts w:ascii="Arial" w:hAnsi="Arial" w:cs="Arial"/>
                <w:sz w:val="20"/>
                <w:szCs w:val="20"/>
              </w:rPr>
            </w:pPr>
            <w:r w:rsidRPr="00D84AE0">
              <w:rPr>
                <w:rFonts w:ascii="Arial" w:hAnsi="Arial" w:cs="Arial"/>
                <w:sz w:val="20"/>
                <w:szCs w:val="20"/>
              </w:rPr>
              <w:lastRenderedPageBreak/>
              <w:t xml:space="preserve">   0.06</w:t>
            </w:r>
          </w:p>
        </w:tc>
        <w:tc>
          <w:tcPr>
            <w:tcW w:w="810" w:type="dxa"/>
          </w:tcPr>
          <w:p w14:paraId="46F68174" w14:textId="77777777" w:rsidR="00D56410" w:rsidRPr="00D84AE0" w:rsidRDefault="00D56410" w:rsidP="00DA30A7">
            <w:pPr>
              <w:rPr>
                <w:rFonts w:ascii="Arial" w:hAnsi="Arial" w:cs="Arial"/>
                <w:sz w:val="20"/>
                <w:szCs w:val="20"/>
              </w:rPr>
            </w:pPr>
          </w:p>
          <w:p w14:paraId="79D10AAA" w14:textId="77777777" w:rsidR="00D56410" w:rsidRPr="00D84AE0" w:rsidRDefault="00D56410" w:rsidP="00DA30A7">
            <w:pPr>
              <w:rPr>
                <w:rFonts w:ascii="Arial" w:hAnsi="Arial" w:cs="Arial"/>
                <w:sz w:val="20"/>
                <w:szCs w:val="20"/>
              </w:rPr>
            </w:pPr>
            <w:r w:rsidRPr="00D84AE0">
              <w:rPr>
                <w:rFonts w:ascii="Arial" w:hAnsi="Arial" w:cs="Arial"/>
                <w:sz w:val="20"/>
                <w:szCs w:val="20"/>
              </w:rPr>
              <w:lastRenderedPageBreak/>
              <w:t>NS</w:t>
            </w:r>
          </w:p>
        </w:tc>
      </w:tr>
      <w:tr w:rsidR="00D56410" w:rsidRPr="00D84AE0" w14:paraId="00932B1E" w14:textId="77777777" w:rsidTr="00DA30A7">
        <w:tc>
          <w:tcPr>
            <w:tcW w:w="1525" w:type="dxa"/>
          </w:tcPr>
          <w:p w14:paraId="1E2E77E9" w14:textId="77777777" w:rsidR="00D56410" w:rsidRPr="00D84AE0" w:rsidRDefault="00D56410" w:rsidP="00DA30A7">
            <w:pPr>
              <w:rPr>
                <w:rFonts w:ascii="Arial" w:hAnsi="Arial" w:cs="Arial"/>
                <w:sz w:val="20"/>
                <w:szCs w:val="20"/>
              </w:rPr>
            </w:pPr>
            <w:r w:rsidRPr="00D84AE0">
              <w:rPr>
                <w:rFonts w:ascii="Arial" w:hAnsi="Arial" w:cs="Arial"/>
                <w:sz w:val="20"/>
                <w:szCs w:val="20"/>
              </w:rPr>
              <w:lastRenderedPageBreak/>
              <w:t>Smokers</w:t>
            </w:r>
          </w:p>
          <w:p w14:paraId="77BAD9A4" w14:textId="77777777" w:rsidR="00D56410" w:rsidRPr="00D84AE0" w:rsidRDefault="00D56410" w:rsidP="00DA30A7">
            <w:pPr>
              <w:rPr>
                <w:rFonts w:ascii="Arial" w:hAnsi="Arial" w:cs="Arial"/>
                <w:sz w:val="20"/>
                <w:szCs w:val="20"/>
              </w:rPr>
            </w:pPr>
            <w:r w:rsidRPr="00D84AE0">
              <w:rPr>
                <w:rFonts w:ascii="Arial" w:hAnsi="Arial" w:cs="Arial"/>
                <w:sz w:val="20"/>
                <w:szCs w:val="20"/>
              </w:rPr>
              <w:t>N-value</w:t>
            </w:r>
          </w:p>
        </w:tc>
        <w:tc>
          <w:tcPr>
            <w:tcW w:w="1440" w:type="dxa"/>
          </w:tcPr>
          <w:p w14:paraId="563C6B07" w14:textId="77777777" w:rsidR="00D56410" w:rsidRPr="00D84AE0" w:rsidRDefault="00D56410" w:rsidP="00DA30A7">
            <w:pPr>
              <w:rPr>
                <w:rFonts w:ascii="Arial" w:hAnsi="Arial" w:cs="Arial"/>
                <w:sz w:val="20"/>
                <w:szCs w:val="20"/>
              </w:rPr>
            </w:pPr>
            <w:r w:rsidRPr="00D84AE0">
              <w:rPr>
                <w:rFonts w:ascii="Arial" w:hAnsi="Arial" w:cs="Arial"/>
                <w:sz w:val="20"/>
                <w:szCs w:val="20"/>
              </w:rPr>
              <w:t>32.3 ± 12.0</w:t>
            </w:r>
          </w:p>
          <w:p w14:paraId="66E2CE85"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25</w:t>
            </w:r>
          </w:p>
        </w:tc>
        <w:tc>
          <w:tcPr>
            <w:tcW w:w="1170" w:type="dxa"/>
          </w:tcPr>
          <w:p w14:paraId="2619C27F" w14:textId="77777777" w:rsidR="00D56410" w:rsidRPr="00D84AE0" w:rsidRDefault="00D56410" w:rsidP="00DA30A7">
            <w:pPr>
              <w:rPr>
                <w:rFonts w:ascii="Arial" w:hAnsi="Arial" w:cs="Arial"/>
                <w:sz w:val="20"/>
                <w:szCs w:val="20"/>
              </w:rPr>
            </w:pPr>
          </w:p>
        </w:tc>
        <w:tc>
          <w:tcPr>
            <w:tcW w:w="805" w:type="dxa"/>
          </w:tcPr>
          <w:p w14:paraId="4547577B" w14:textId="77777777" w:rsidR="00D56410" w:rsidRPr="00D84AE0" w:rsidRDefault="00D56410" w:rsidP="00DA30A7">
            <w:pPr>
              <w:rPr>
                <w:rFonts w:ascii="Arial" w:hAnsi="Arial" w:cs="Arial"/>
                <w:sz w:val="20"/>
                <w:szCs w:val="20"/>
              </w:rPr>
            </w:pPr>
          </w:p>
        </w:tc>
        <w:tc>
          <w:tcPr>
            <w:tcW w:w="1260" w:type="dxa"/>
          </w:tcPr>
          <w:p w14:paraId="5CF3DF40" w14:textId="77777777" w:rsidR="00D56410" w:rsidRPr="00D84AE0" w:rsidRDefault="00D56410" w:rsidP="00DA30A7">
            <w:pPr>
              <w:rPr>
                <w:rFonts w:ascii="Arial" w:hAnsi="Arial" w:cs="Arial"/>
                <w:sz w:val="20"/>
                <w:szCs w:val="20"/>
              </w:rPr>
            </w:pPr>
            <w:r w:rsidRPr="00D84AE0">
              <w:rPr>
                <w:rFonts w:ascii="Arial" w:hAnsi="Arial" w:cs="Arial"/>
                <w:sz w:val="20"/>
                <w:szCs w:val="20"/>
              </w:rPr>
              <w:t>2.31 ± 1.17</w:t>
            </w:r>
          </w:p>
          <w:p w14:paraId="12C884BA"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25</w:t>
            </w:r>
          </w:p>
        </w:tc>
        <w:tc>
          <w:tcPr>
            <w:tcW w:w="1080" w:type="dxa"/>
          </w:tcPr>
          <w:p w14:paraId="31988B51" w14:textId="77777777" w:rsidR="00D56410" w:rsidRPr="00D84AE0" w:rsidRDefault="00D56410" w:rsidP="00DA30A7">
            <w:pPr>
              <w:rPr>
                <w:rFonts w:ascii="Arial" w:hAnsi="Arial" w:cs="Arial"/>
                <w:sz w:val="20"/>
                <w:szCs w:val="20"/>
              </w:rPr>
            </w:pPr>
          </w:p>
        </w:tc>
        <w:tc>
          <w:tcPr>
            <w:tcW w:w="810" w:type="dxa"/>
          </w:tcPr>
          <w:p w14:paraId="442581A9" w14:textId="77777777" w:rsidR="00D56410" w:rsidRPr="00D84AE0" w:rsidRDefault="00D56410" w:rsidP="00DA30A7">
            <w:pPr>
              <w:rPr>
                <w:rFonts w:ascii="Arial" w:hAnsi="Arial" w:cs="Arial"/>
                <w:sz w:val="20"/>
                <w:szCs w:val="20"/>
              </w:rPr>
            </w:pPr>
          </w:p>
        </w:tc>
        <w:tc>
          <w:tcPr>
            <w:tcW w:w="1260" w:type="dxa"/>
          </w:tcPr>
          <w:p w14:paraId="6DEC0510" w14:textId="77777777" w:rsidR="00D56410" w:rsidRPr="00D84AE0" w:rsidRDefault="00D56410" w:rsidP="00DA30A7">
            <w:pPr>
              <w:rPr>
                <w:rFonts w:ascii="Arial" w:hAnsi="Arial" w:cs="Arial"/>
                <w:sz w:val="20"/>
                <w:szCs w:val="20"/>
              </w:rPr>
            </w:pPr>
            <w:r w:rsidRPr="00D84AE0">
              <w:rPr>
                <w:rFonts w:ascii="Arial" w:hAnsi="Arial" w:cs="Arial"/>
                <w:sz w:val="20"/>
                <w:szCs w:val="20"/>
              </w:rPr>
              <w:t>2.54± 2.15</w:t>
            </w:r>
          </w:p>
          <w:p w14:paraId="128B1A65"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25</w:t>
            </w:r>
          </w:p>
        </w:tc>
        <w:tc>
          <w:tcPr>
            <w:tcW w:w="1080" w:type="dxa"/>
          </w:tcPr>
          <w:p w14:paraId="7D805799" w14:textId="77777777" w:rsidR="00D56410" w:rsidRPr="00D84AE0" w:rsidRDefault="00D56410" w:rsidP="00DA30A7">
            <w:pPr>
              <w:rPr>
                <w:rFonts w:ascii="Arial" w:hAnsi="Arial" w:cs="Arial"/>
                <w:sz w:val="20"/>
                <w:szCs w:val="20"/>
              </w:rPr>
            </w:pPr>
          </w:p>
        </w:tc>
        <w:tc>
          <w:tcPr>
            <w:tcW w:w="810" w:type="dxa"/>
          </w:tcPr>
          <w:p w14:paraId="3FAD90A7" w14:textId="77777777" w:rsidR="00D56410" w:rsidRPr="00D84AE0" w:rsidRDefault="00D56410" w:rsidP="00DA30A7">
            <w:pPr>
              <w:rPr>
                <w:rFonts w:ascii="Arial" w:hAnsi="Arial" w:cs="Arial"/>
                <w:sz w:val="20"/>
                <w:szCs w:val="20"/>
              </w:rPr>
            </w:pPr>
          </w:p>
        </w:tc>
      </w:tr>
      <w:tr w:rsidR="00D56410" w:rsidRPr="00D84AE0" w14:paraId="531EAA67" w14:textId="77777777" w:rsidTr="00DA30A7">
        <w:trPr>
          <w:trHeight w:val="341"/>
        </w:trPr>
        <w:tc>
          <w:tcPr>
            <w:tcW w:w="1525" w:type="dxa"/>
          </w:tcPr>
          <w:p w14:paraId="28E9C636" w14:textId="77777777" w:rsidR="00D56410" w:rsidRPr="00D84AE0" w:rsidRDefault="00D56410" w:rsidP="00DA30A7">
            <w:pPr>
              <w:rPr>
                <w:rFonts w:ascii="Arial" w:hAnsi="Arial" w:cs="Arial"/>
                <w:sz w:val="20"/>
                <w:szCs w:val="20"/>
              </w:rPr>
            </w:pPr>
            <w:r w:rsidRPr="00D84AE0">
              <w:rPr>
                <w:rFonts w:ascii="Arial" w:hAnsi="Arial" w:cs="Arial"/>
                <w:sz w:val="20"/>
                <w:szCs w:val="20"/>
              </w:rPr>
              <w:t>Controls</w:t>
            </w:r>
          </w:p>
        </w:tc>
        <w:tc>
          <w:tcPr>
            <w:tcW w:w="1440" w:type="dxa"/>
          </w:tcPr>
          <w:p w14:paraId="2B65D4D2" w14:textId="77777777" w:rsidR="00D56410" w:rsidRPr="00D84AE0" w:rsidRDefault="00D56410" w:rsidP="00DA30A7">
            <w:pPr>
              <w:rPr>
                <w:rFonts w:ascii="Arial" w:hAnsi="Arial" w:cs="Arial"/>
                <w:sz w:val="20"/>
                <w:szCs w:val="20"/>
              </w:rPr>
            </w:pPr>
            <w:r w:rsidRPr="00D84AE0">
              <w:rPr>
                <w:rFonts w:ascii="Arial" w:hAnsi="Arial" w:cs="Arial"/>
                <w:sz w:val="20"/>
                <w:szCs w:val="20"/>
              </w:rPr>
              <w:t>34.31± 7.30</w:t>
            </w:r>
          </w:p>
        </w:tc>
        <w:tc>
          <w:tcPr>
            <w:tcW w:w="1170" w:type="dxa"/>
          </w:tcPr>
          <w:p w14:paraId="7CA23B0A"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0.01</w:t>
            </w:r>
          </w:p>
        </w:tc>
        <w:tc>
          <w:tcPr>
            <w:tcW w:w="805" w:type="dxa"/>
          </w:tcPr>
          <w:p w14:paraId="76BFE069"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S</w:t>
            </w:r>
          </w:p>
        </w:tc>
        <w:tc>
          <w:tcPr>
            <w:tcW w:w="1260" w:type="dxa"/>
          </w:tcPr>
          <w:p w14:paraId="3A11026C" w14:textId="77777777" w:rsidR="00D56410" w:rsidRPr="00D84AE0" w:rsidRDefault="00D56410" w:rsidP="00DA30A7">
            <w:pPr>
              <w:rPr>
                <w:rFonts w:ascii="Arial" w:hAnsi="Arial" w:cs="Arial"/>
                <w:sz w:val="20"/>
                <w:szCs w:val="20"/>
              </w:rPr>
            </w:pPr>
            <w:r w:rsidRPr="00D84AE0">
              <w:rPr>
                <w:rFonts w:ascii="Arial" w:hAnsi="Arial" w:cs="Arial"/>
                <w:sz w:val="20"/>
                <w:szCs w:val="20"/>
              </w:rPr>
              <w:t>2.09 ± 1.73</w:t>
            </w:r>
          </w:p>
        </w:tc>
        <w:tc>
          <w:tcPr>
            <w:tcW w:w="1080" w:type="dxa"/>
          </w:tcPr>
          <w:p w14:paraId="3996C0D4"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0.39</w:t>
            </w:r>
          </w:p>
        </w:tc>
        <w:tc>
          <w:tcPr>
            <w:tcW w:w="810" w:type="dxa"/>
          </w:tcPr>
          <w:p w14:paraId="67704574" w14:textId="77777777" w:rsidR="00D56410" w:rsidRPr="00D84AE0" w:rsidRDefault="00D56410" w:rsidP="00DA30A7">
            <w:pPr>
              <w:rPr>
                <w:rFonts w:ascii="Arial" w:hAnsi="Arial" w:cs="Arial"/>
                <w:sz w:val="20"/>
                <w:szCs w:val="20"/>
              </w:rPr>
            </w:pPr>
            <w:r w:rsidRPr="00D84AE0">
              <w:rPr>
                <w:rFonts w:ascii="Arial" w:hAnsi="Arial" w:cs="Arial"/>
                <w:sz w:val="20"/>
                <w:szCs w:val="20"/>
              </w:rPr>
              <w:t>NS</w:t>
            </w:r>
          </w:p>
        </w:tc>
        <w:tc>
          <w:tcPr>
            <w:tcW w:w="1260" w:type="dxa"/>
          </w:tcPr>
          <w:p w14:paraId="59255512" w14:textId="77777777" w:rsidR="00D56410" w:rsidRPr="00D84AE0" w:rsidRDefault="00D56410" w:rsidP="00DA30A7">
            <w:pPr>
              <w:rPr>
                <w:rFonts w:ascii="Arial" w:hAnsi="Arial" w:cs="Arial"/>
                <w:sz w:val="20"/>
                <w:szCs w:val="20"/>
              </w:rPr>
            </w:pPr>
            <w:r w:rsidRPr="00D84AE0">
              <w:rPr>
                <w:rFonts w:ascii="Arial" w:hAnsi="Arial" w:cs="Arial"/>
                <w:sz w:val="20"/>
                <w:szCs w:val="20"/>
              </w:rPr>
              <w:t>1.53± 0.10</w:t>
            </w:r>
          </w:p>
        </w:tc>
        <w:tc>
          <w:tcPr>
            <w:tcW w:w="1080" w:type="dxa"/>
          </w:tcPr>
          <w:p w14:paraId="083D7CE4"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0.35</w:t>
            </w:r>
          </w:p>
        </w:tc>
        <w:tc>
          <w:tcPr>
            <w:tcW w:w="810" w:type="dxa"/>
          </w:tcPr>
          <w:p w14:paraId="39ECF924" w14:textId="77777777" w:rsidR="00D56410" w:rsidRPr="00D84AE0" w:rsidRDefault="00D56410" w:rsidP="00DA30A7">
            <w:pPr>
              <w:rPr>
                <w:rFonts w:ascii="Arial" w:hAnsi="Arial" w:cs="Arial"/>
                <w:sz w:val="20"/>
                <w:szCs w:val="20"/>
              </w:rPr>
            </w:pPr>
            <w:r w:rsidRPr="00D84AE0">
              <w:rPr>
                <w:rFonts w:ascii="Arial" w:hAnsi="Arial" w:cs="Arial"/>
                <w:sz w:val="20"/>
                <w:szCs w:val="20"/>
              </w:rPr>
              <w:t>NS</w:t>
            </w:r>
          </w:p>
        </w:tc>
      </w:tr>
      <w:tr w:rsidR="00D56410" w:rsidRPr="00D84AE0" w14:paraId="2D907ECB" w14:textId="77777777" w:rsidTr="00DA30A7">
        <w:trPr>
          <w:trHeight w:val="350"/>
        </w:trPr>
        <w:tc>
          <w:tcPr>
            <w:tcW w:w="1525" w:type="dxa"/>
          </w:tcPr>
          <w:p w14:paraId="5A7C0077" w14:textId="77777777" w:rsidR="00D56410" w:rsidRPr="00D84AE0" w:rsidRDefault="00D56410" w:rsidP="00DA30A7">
            <w:pPr>
              <w:rPr>
                <w:rFonts w:ascii="Arial" w:hAnsi="Arial" w:cs="Arial"/>
                <w:sz w:val="20"/>
                <w:szCs w:val="20"/>
              </w:rPr>
            </w:pPr>
            <w:r w:rsidRPr="00D84AE0">
              <w:rPr>
                <w:rFonts w:ascii="Arial" w:hAnsi="Arial" w:cs="Arial"/>
                <w:sz w:val="20"/>
                <w:szCs w:val="20"/>
              </w:rPr>
              <w:t>Smokers and Alcohol Users</w:t>
            </w:r>
          </w:p>
          <w:p w14:paraId="622AC745" w14:textId="77777777" w:rsidR="00D56410" w:rsidRPr="00D84AE0" w:rsidRDefault="00D56410" w:rsidP="00DA30A7">
            <w:pPr>
              <w:rPr>
                <w:rFonts w:ascii="Arial" w:hAnsi="Arial" w:cs="Arial"/>
                <w:sz w:val="20"/>
                <w:szCs w:val="20"/>
              </w:rPr>
            </w:pPr>
            <w:r w:rsidRPr="00D84AE0">
              <w:rPr>
                <w:rFonts w:ascii="Arial" w:hAnsi="Arial" w:cs="Arial"/>
                <w:sz w:val="20"/>
                <w:szCs w:val="20"/>
              </w:rPr>
              <w:t>N-Value</w:t>
            </w:r>
          </w:p>
        </w:tc>
        <w:tc>
          <w:tcPr>
            <w:tcW w:w="1440" w:type="dxa"/>
          </w:tcPr>
          <w:p w14:paraId="1E2B8D71" w14:textId="77777777" w:rsidR="00D56410" w:rsidRPr="00D84AE0" w:rsidRDefault="00D56410" w:rsidP="00DA30A7">
            <w:pPr>
              <w:rPr>
                <w:rFonts w:ascii="Arial" w:hAnsi="Arial" w:cs="Arial"/>
                <w:sz w:val="20"/>
                <w:szCs w:val="20"/>
              </w:rPr>
            </w:pPr>
            <w:r w:rsidRPr="00D84AE0">
              <w:rPr>
                <w:rFonts w:ascii="Arial" w:hAnsi="Arial" w:cs="Arial"/>
                <w:sz w:val="20"/>
                <w:szCs w:val="20"/>
              </w:rPr>
              <w:t>53.90 ± 33.95</w:t>
            </w:r>
          </w:p>
          <w:p w14:paraId="07DDE6B2" w14:textId="77777777" w:rsidR="00D56410" w:rsidRPr="00D84AE0" w:rsidRDefault="00D56410" w:rsidP="00DA30A7">
            <w:pPr>
              <w:rPr>
                <w:rFonts w:ascii="Arial" w:hAnsi="Arial" w:cs="Arial"/>
                <w:sz w:val="20"/>
                <w:szCs w:val="20"/>
              </w:rPr>
            </w:pPr>
          </w:p>
          <w:p w14:paraId="66E7E871"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45</w:t>
            </w:r>
          </w:p>
        </w:tc>
        <w:tc>
          <w:tcPr>
            <w:tcW w:w="1170" w:type="dxa"/>
          </w:tcPr>
          <w:p w14:paraId="69CD3694" w14:textId="77777777" w:rsidR="00D56410" w:rsidRPr="00D84AE0" w:rsidRDefault="00D56410" w:rsidP="00DA30A7">
            <w:pPr>
              <w:rPr>
                <w:rFonts w:ascii="Arial" w:hAnsi="Arial" w:cs="Arial"/>
                <w:sz w:val="20"/>
                <w:szCs w:val="20"/>
              </w:rPr>
            </w:pPr>
          </w:p>
        </w:tc>
        <w:tc>
          <w:tcPr>
            <w:tcW w:w="805" w:type="dxa"/>
          </w:tcPr>
          <w:p w14:paraId="00B3AB74" w14:textId="77777777" w:rsidR="00D56410" w:rsidRPr="00D84AE0" w:rsidRDefault="00D56410" w:rsidP="00DA30A7">
            <w:pPr>
              <w:rPr>
                <w:rFonts w:ascii="Arial" w:hAnsi="Arial" w:cs="Arial"/>
                <w:sz w:val="20"/>
                <w:szCs w:val="20"/>
              </w:rPr>
            </w:pPr>
          </w:p>
        </w:tc>
        <w:tc>
          <w:tcPr>
            <w:tcW w:w="1260" w:type="dxa"/>
          </w:tcPr>
          <w:p w14:paraId="07C532E6" w14:textId="77777777" w:rsidR="00D56410" w:rsidRPr="00D84AE0" w:rsidRDefault="00D56410" w:rsidP="00DA30A7">
            <w:pPr>
              <w:rPr>
                <w:rFonts w:ascii="Arial" w:hAnsi="Arial" w:cs="Arial"/>
                <w:sz w:val="20"/>
                <w:szCs w:val="20"/>
              </w:rPr>
            </w:pPr>
            <w:r w:rsidRPr="00D84AE0">
              <w:rPr>
                <w:rFonts w:ascii="Arial" w:hAnsi="Arial" w:cs="Arial"/>
                <w:sz w:val="20"/>
                <w:szCs w:val="20"/>
              </w:rPr>
              <w:t>2.64 ± 2.09</w:t>
            </w:r>
          </w:p>
          <w:p w14:paraId="333E460C" w14:textId="77777777" w:rsidR="00D56410" w:rsidRPr="00D84AE0" w:rsidRDefault="00D56410" w:rsidP="00DA30A7">
            <w:pPr>
              <w:rPr>
                <w:rFonts w:ascii="Arial" w:hAnsi="Arial" w:cs="Arial"/>
                <w:sz w:val="20"/>
                <w:szCs w:val="20"/>
              </w:rPr>
            </w:pPr>
          </w:p>
          <w:p w14:paraId="77120AF1"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45</w:t>
            </w:r>
          </w:p>
        </w:tc>
        <w:tc>
          <w:tcPr>
            <w:tcW w:w="1080" w:type="dxa"/>
          </w:tcPr>
          <w:p w14:paraId="0A3ABA2D" w14:textId="77777777" w:rsidR="00D56410" w:rsidRPr="00D84AE0" w:rsidRDefault="00D56410" w:rsidP="00DA30A7">
            <w:pPr>
              <w:rPr>
                <w:rFonts w:ascii="Arial" w:hAnsi="Arial" w:cs="Arial"/>
                <w:sz w:val="20"/>
                <w:szCs w:val="20"/>
              </w:rPr>
            </w:pPr>
          </w:p>
        </w:tc>
        <w:tc>
          <w:tcPr>
            <w:tcW w:w="810" w:type="dxa"/>
          </w:tcPr>
          <w:p w14:paraId="0A04FA89" w14:textId="77777777" w:rsidR="00D56410" w:rsidRPr="00D84AE0" w:rsidRDefault="00D56410" w:rsidP="00DA30A7">
            <w:pPr>
              <w:rPr>
                <w:rFonts w:ascii="Arial" w:hAnsi="Arial" w:cs="Arial"/>
                <w:sz w:val="20"/>
                <w:szCs w:val="20"/>
              </w:rPr>
            </w:pPr>
          </w:p>
        </w:tc>
        <w:tc>
          <w:tcPr>
            <w:tcW w:w="1260" w:type="dxa"/>
          </w:tcPr>
          <w:p w14:paraId="7C0C175B" w14:textId="77777777" w:rsidR="00D56410" w:rsidRPr="00D84AE0" w:rsidRDefault="00D56410" w:rsidP="00DA30A7">
            <w:pPr>
              <w:rPr>
                <w:rFonts w:ascii="Arial" w:hAnsi="Arial" w:cs="Arial"/>
                <w:sz w:val="20"/>
                <w:szCs w:val="20"/>
              </w:rPr>
            </w:pPr>
            <w:r w:rsidRPr="00D84AE0">
              <w:rPr>
                <w:rFonts w:ascii="Arial" w:hAnsi="Arial" w:cs="Arial"/>
                <w:sz w:val="20"/>
                <w:szCs w:val="20"/>
              </w:rPr>
              <w:t>1.75 ± 0.96</w:t>
            </w:r>
          </w:p>
          <w:p w14:paraId="76E90A19" w14:textId="77777777" w:rsidR="00D56410" w:rsidRPr="00D84AE0" w:rsidRDefault="00D56410" w:rsidP="00DA30A7">
            <w:pPr>
              <w:rPr>
                <w:rFonts w:ascii="Arial" w:hAnsi="Arial" w:cs="Arial"/>
                <w:sz w:val="20"/>
                <w:szCs w:val="20"/>
              </w:rPr>
            </w:pPr>
          </w:p>
          <w:p w14:paraId="65354DA7"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45</w:t>
            </w:r>
          </w:p>
        </w:tc>
        <w:tc>
          <w:tcPr>
            <w:tcW w:w="1080" w:type="dxa"/>
          </w:tcPr>
          <w:p w14:paraId="48F0E126" w14:textId="77777777" w:rsidR="00D56410" w:rsidRPr="00D84AE0" w:rsidRDefault="00D56410" w:rsidP="00DA30A7">
            <w:pPr>
              <w:rPr>
                <w:rFonts w:ascii="Arial" w:hAnsi="Arial" w:cs="Arial"/>
                <w:sz w:val="20"/>
                <w:szCs w:val="20"/>
              </w:rPr>
            </w:pPr>
          </w:p>
        </w:tc>
        <w:tc>
          <w:tcPr>
            <w:tcW w:w="810" w:type="dxa"/>
          </w:tcPr>
          <w:p w14:paraId="5BFA54B5" w14:textId="77777777" w:rsidR="00D56410" w:rsidRPr="00D84AE0" w:rsidRDefault="00D56410" w:rsidP="00DA30A7">
            <w:pPr>
              <w:rPr>
                <w:rFonts w:ascii="Arial" w:hAnsi="Arial" w:cs="Arial"/>
                <w:sz w:val="20"/>
                <w:szCs w:val="20"/>
              </w:rPr>
            </w:pPr>
          </w:p>
        </w:tc>
      </w:tr>
    </w:tbl>
    <w:p w14:paraId="1B5CFFD3" w14:textId="77777777" w:rsidR="00D56410" w:rsidRDefault="00D56410" w:rsidP="00D56410">
      <w:pPr>
        <w:pStyle w:val="Body"/>
        <w:spacing w:after="0"/>
        <w:rPr>
          <w:rFonts w:ascii="Arial" w:hAnsi="Arial" w:cs="Arial"/>
        </w:rPr>
      </w:pPr>
      <w:r w:rsidRPr="00D84AE0">
        <w:rPr>
          <w:rFonts w:ascii="Arial" w:hAnsi="Arial" w:cs="Arial"/>
          <w:b/>
        </w:rPr>
        <w:t>Key:</w:t>
      </w:r>
      <w:r w:rsidRPr="00D84AE0">
        <w:rPr>
          <w:rFonts w:ascii="Arial" w:hAnsi="Arial" w:cs="Arial"/>
        </w:rPr>
        <w:t xml:space="preserve"> S = Significant. NS = Not Significant.</w:t>
      </w:r>
      <w:r w:rsidRPr="00D84AE0">
        <w:rPr>
          <w:rFonts w:ascii="Arial" w:hAnsi="Arial" w:cs="Arial"/>
          <w:b/>
        </w:rPr>
        <w:tab/>
      </w:r>
    </w:p>
    <w:p w14:paraId="59CEFF78" w14:textId="77777777" w:rsidR="00D56410" w:rsidRDefault="00D56410" w:rsidP="00D56410">
      <w:pPr>
        <w:pStyle w:val="Body"/>
        <w:spacing w:after="0"/>
        <w:rPr>
          <w:rFonts w:ascii="Arial" w:hAnsi="Arial" w:cs="Arial"/>
        </w:rPr>
      </w:pPr>
    </w:p>
    <w:p w14:paraId="752B72CF" w14:textId="77777777" w:rsidR="00D56410" w:rsidRPr="00D84AE0" w:rsidRDefault="00D56410" w:rsidP="00D56410">
      <w:pPr>
        <w:pStyle w:val="Default"/>
        <w:jc w:val="both"/>
        <w:rPr>
          <w:rFonts w:ascii="Arial" w:hAnsi="Arial" w:cs="Arial"/>
          <w:b/>
          <w:color w:val="auto"/>
          <w:sz w:val="20"/>
          <w:szCs w:val="20"/>
        </w:rPr>
      </w:pPr>
      <w:r w:rsidRPr="00D84AE0">
        <w:rPr>
          <w:rFonts w:ascii="Arial" w:hAnsi="Arial" w:cs="Arial"/>
          <w:b/>
          <w:color w:val="auto"/>
          <w:sz w:val="20"/>
          <w:szCs w:val="20"/>
        </w:rPr>
        <w:t xml:space="preserve">Table </w:t>
      </w:r>
      <w:r>
        <w:rPr>
          <w:rFonts w:ascii="Arial" w:hAnsi="Arial" w:cs="Arial"/>
          <w:b/>
          <w:color w:val="auto"/>
          <w:sz w:val="20"/>
          <w:szCs w:val="20"/>
        </w:rPr>
        <w:t>6:</w:t>
      </w:r>
      <w:r w:rsidRPr="00D84AE0">
        <w:rPr>
          <w:rFonts w:ascii="Arial" w:hAnsi="Arial" w:cs="Arial"/>
          <w:b/>
          <w:color w:val="auto"/>
          <w:sz w:val="20"/>
          <w:szCs w:val="20"/>
        </w:rPr>
        <w:t xml:space="preserve"> Effect of Age on Serum Levels of PSA, Inflammatory Markers among Male Military Cigarette Smokers</w:t>
      </w:r>
    </w:p>
    <w:tbl>
      <w:tblPr>
        <w:tblStyle w:val="TableGrid"/>
        <w:tblpPr w:leftFromText="180" w:rightFromText="180" w:vertAnchor="text" w:horzAnchor="margin" w:tblpXSpec="center" w:tblpY="238"/>
        <w:tblW w:w="11515" w:type="dxa"/>
        <w:tblLook w:val="04A0" w:firstRow="1" w:lastRow="0" w:firstColumn="1" w:lastColumn="0" w:noHBand="0" w:noVBand="1"/>
      </w:tblPr>
      <w:tblGrid>
        <w:gridCol w:w="1690"/>
        <w:gridCol w:w="1574"/>
        <w:gridCol w:w="1544"/>
        <w:gridCol w:w="1392"/>
        <w:gridCol w:w="1349"/>
        <w:gridCol w:w="1349"/>
        <w:gridCol w:w="728"/>
        <w:gridCol w:w="989"/>
        <w:gridCol w:w="900"/>
      </w:tblGrid>
      <w:tr w:rsidR="00D56410" w:rsidRPr="00D274D8" w14:paraId="3BDECA06" w14:textId="77777777" w:rsidTr="00DA30A7">
        <w:trPr>
          <w:trHeight w:val="441"/>
        </w:trPr>
        <w:tc>
          <w:tcPr>
            <w:tcW w:w="1690" w:type="dxa"/>
          </w:tcPr>
          <w:p w14:paraId="1EE075B3"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Parameters</w:t>
            </w:r>
          </w:p>
          <w:p w14:paraId="2410094E" w14:textId="77777777" w:rsidR="00D56410" w:rsidRPr="00D274D8" w:rsidRDefault="00D56410" w:rsidP="00DA30A7">
            <w:pPr>
              <w:jc w:val="center"/>
              <w:rPr>
                <w:rFonts w:ascii="Arial" w:hAnsi="Arial" w:cs="Arial"/>
                <w:b/>
                <w:sz w:val="18"/>
                <w:szCs w:val="18"/>
              </w:rPr>
            </w:pPr>
          </w:p>
        </w:tc>
        <w:tc>
          <w:tcPr>
            <w:tcW w:w="1574" w:type="dxa"/>
          </w:tcPr>
          <w:p w14:paraId="1641AE6F"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 xml:space="preserve">20-29yrs </w:t>
            </w:r>
          </w:p>
          <w:p w14:paraId="70CD9B88"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(Mean ± SD)</w:t>
            </w:r>
          </w:p>
        </w:tc>
        <w:tc>
          <w:tcPr>
            <w:tcW w:w="1544" w:type="dxa"/>
          </w:tcPr>
          <w:p w14:paraId="1AD4ADFD"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 xml:space="preserve">30-39yrs </w:t>
            </w:r>
          </w:p>
          <w:p w14:paraId="6C2386DE"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(Mean ± SD)</w:t>
            </w:r>
          </w:p>
        </w:tc>
        <w:tc>
          <w:tcPr>
            <w:tcW w:w="1392" w:type="dxa"/>
          </w:tcPr>
          <w:p w14:paraId="29F9E930"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 xml:space="preserve">40-49yrs </w:t>
            </w:r>
          </w:p>
          <w:p w14:paraId="737397B2"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(Mean ± SD)</w:t>
            </w:r>
          </w:p>
        </w:tc>
        <w:tc>
          <w:tcPr>
            <w:tcW w:w="1349" w:type="dxa"/>
          </w:tcPr>
          <w:p w14:paraId="348F8FE2"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 xml:space="preserve">50-59yrs </w:t>
            </w:r>
          </w:p>
          <w:p w14:paraId="028FB3A3"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(Mean ± SD)</w:t>
            </w:r>
          </w:p>
        </w:tc>
        <w:tc>
          <w:tcPr>
            <w:tcW w:w="1349" w:type="dxa"/>
          </w:tcPr>
          <w:p w14:paraId="5DEB2238"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 xml:space="preserve">60-69yrs </w:t>
            </w:r>
          </w:p>
          <w:p w14:paraId="208CAC6B"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(Mean ± SD)</w:t>
            </w:r>
          </w:p>
        </w:tc>
        <w:tc>
          <w:tcPr>
            <w:tcW w:w="728" w:type="dxa"/>
          </w:tcPr>
          <w:p w14:paraId="4FBF48D5"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N-value</w:t>
            </w:r>
          </w:p>
        </w:tc>
        <w:tc>
          <w:tcPr>
            <w:tcW w:w="989" w:type="dxa"/>
          </w:tcPr>
          <w:p w14:paraId="7859E38D"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P-value (p&lt;0.05)</w:t>
            </w:r>
          </w:p>
        </w:tc>
        <w:tc>
          <w:tcPr>
            <w:tcW w:w="900" w:type="dxa"/>
          </w:tcPr>
          <w:p w14:paraId="2B7B7FB3" w14:textId="77777777" w:rsidR="00D56410" w:rsidRPr="00D274D8" w:rsidRDefault="00D56410" w:rsidP="00DA30A7">
            <w:pPr>
              <w:rPr>
                <w:rFonts w:ascii="Arial" w:hAnsi="Arial" w:cs="Arial"/>
                <w:b/>
                <w:sz w:val="18"/>
                <w:szCs w:val="18"/>
              </w:rPr>
            </w:pPr>
            <w:proofErr w:type="spellStart"/>
            <w:r w:rsidRPr="00D274D8">
              <w:rPr>
                <w:rFonts w:ascii="Arial" w:hAnsi="Arial" w:cs="Arial"/>
                <w:b/>
                <w:sz w:val="18"/>
                <w:szCs w:val="18"/>
              </w:rPr>
              <w:t>Rmrk</w:t>
            </w:r>
            <w:proofErr w:type="spellEnd"/>
          </w:p>
        </w:tc>
      </w:tr>
      <w:tr w:rsidR="00D56410" w:rsidRPr="00D274D8" w14:paraId="4FD73F3A" w14:textId="77777777" w:rsidTr="00DA30A7">
        <w:tc>
          <w:tcPr>
            <w:tcW w:w="1690" w:type="dxa"/>
          </w:tcPr>
          <w:p w14:paraId="6CF91368" w14:textId="77777777" w:rsidR="00D56410" w:rsidRPr="00D274D8" w:rsidRDefault="00D56410" w:rsidP="00DA30A7">
            <w:pPr>
              <w:jc w:val="center"/>
              <w:rPr>
                <w:rFonts w:ascii="Arial" w:hAnsi="Arial" w:cs="Arial"/>
                <w:b/>
                <w:sz w:val="18"/>
                <w:szCs w:val="18"/>
              </w:rPr>
            </w:pPr>
            <w:proofErr w:type="spellStart"/>
            <w:r w:rsidRPr="00D274D8">
              <w:rPr>
                <w:rFonts w:ascii="Arial" w:hAnsi="Arial" w:cs="Arial"/>
                <w:b/>
                <w:sz w:val="18"/>
                <w:szCs w:val="18"/>
              </w:rPr>
              <w:t>fPSA</w:t>
            </w:r>
            <w:proofErr w:type="spellEnd"/>
            <w:r w:rsidRPr="00D274D8">
              <w:rPr>
                <w:rFonts w:ascii="Arial" w:hAnsi="Arial" w:cs="Arial"/>
                <w:b/>
                <w:sz w:val="18"/>
                <w:szCs w:val="18"/>
              </w:rPr>
              <w:t xml:space="preserve"> (ng/mL)</w:t>
            </w:r>
          </w:p>
        </w:tc>
        <w:tc>
          <w:tcPr>
            <w:tcW w:w="1574" w:type="dxa"/>
          </w:tcPr>
          <w:p w14:paraId="2A6A64B5"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0.11 ± 0.03</w:t>
            </w:r>
          </w:p>
        </w:tc>
        <w:tc>
          <w:tcPr>
            <w:tcW w:w="1544" w:type="dxa"/>
          </w:tcPr>
          <w:p w14:paraId="4EA64B32"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0.17 ± 0.15</w:t>
            </w:r>
          </w:p>
        </w:tc>
        <w:tc>
          <w:tcPr>
            <w:tcW w:w="1392" w:type="dxa"/>
          </w:tcPr>
          <w:p w14:paraId="5C9F9607"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0.20 ± 0.18</w:t>
            </w:r>
          </w:p>
        </w:tc>
        <w:tc>
          <w:tcPr>
            <w:tcW w:w="1349" w:type="dxa"/>
          </w:tcPr>
          <w:p w14:paraId="714B74B7"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0.24 ± 0.19</w:t>
            </w:r>
          </w:p>
        </w:tc>
        <w:tc>
          <w:tcPr>
            <w:tcW w:w="1349" w:type="dxa"/>
          </w:tcPr>
          <w:p w14:paraId="76C97914"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0.32 ± 0.20</w:t>
            </w:r>
          </w:p>
        </w:tc>
        <w:tc>
          <w:tcPr>
            <w:tcW w:w="728" w:type="dxa"/>
          </w:tcPr>
          <w:p w14:paraId="2A36E3FC"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25</w:t>
            </w:r>
          </w:p>
        </w:tc>
        <w:tc>
          <w:tcPr>
            <w:tcW w:w="989" w:type="dxa"/>
          </w:tcPr>
          <w:p w14:paraId="16D50DCC"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0.50</w:t>
            </w:r>
          </w:p>
        </w:tc>
        <w:tc>
          <w:tcPr>
            <w:tcW w:w="900" w:type="dxa"/>
          </w:tcPr>
          <w:p w14:paraId="067EF705"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NS</w:t>
            </w:r>
          </w:p>
        </w:tc>
      </w:tr>
      <w:tr w:rsidR="00D56410" w:rsidRPr="00D274D8" w14:paraId="11B30BFD" w14:textId="77777777" w:rsidTr="00DA30A7">
        <w:tc>
          <w:tcPr>
            <w:tcW w:w="1690" w:type="dxa"/>
          </w:tcPr>
          <w:p w14:paraId="0FA167B2" w14:textId="77777777" w:rsidR="00D56410" w:rsidRPr="00D274D8" w:rsidRDefault="00D56410" w:rsidP="00DA30A7">
            <w:pPr>
              <w:jc w:val="center"/>
              <w:rPr>
                <w:rFonts w:ascii="Arial" w:hAnsi="Arial" w:cs="Arial"/>
                <w:b/>
                <w:sz w:val="18"/>
                <w:szCs w:val="18"/>
              </w:rPr>
            </w:pPr>
            <w:proofErr w:type="spellStart"/>
            <w:r w:rsidRPr="00D274D8">
              <w:rPr>
                <w:rFonts w:ascii="Arial" w:hAnsi="Arial" w:cs="Arial"/>
                <w:b/>
                <w:sz w:val="18"/>
                <w:szCs w:val="18"/>
              </w:rPr>
              <w:t>tPSA</w:t>
            </w:r>
            <w:proofErr w:type="spellEnd"/>
            <w:r w:rsidRPr="00D274D8">
              <w:rPr>
                <w:rFonts w:ascii="Arial" w:hAnsi="Arial" w:cs="Arial"/>
                <w:b/>
                <w:sz w:val="18"/>
                <w:szCs w:val="18"/>
              </w:rPr>
              <w:t xml:space="preserve"> (ng/mL)</w:t>
            </w:r>
          </w:p>
        </w:tc>
        <w:tc>
          <w:tcPr>
            <w:tcW w:w="1574" w:type="dxa"/>
          </w:tcPr>
          <w:p w14:paraId="3E13C00D"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1.63 ± 0.96</w:t>
            </w:r>
          </w:p>
        </w:tc>
        <w:tc>
          <w:tcPr>
            <w:tcW w:w="1544" w:type="dxa"/>
          </w:tcPr>
          <w:p w14:paraId="16BB88E5"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3.22 ±0.23</w:t>
            </w:r>
          </w:p>
        </w:tc>
        <w:tc>
          <w:tcPr>
            <w:tcW w:w="1392" w:type="dxa"/>
          </w:tcPr>
          <w:p w14:paraId="337F6853"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5.19 ± 3.30</w:t>
            </w:r>
          </w:p>
        </w:tc>
        <w:tc>
          <w:tcPr>
            <w:tcW w:w="1349" w:type="dxa"/>
          </w:tcPr>
          <w:p w14:paraId="39D1F54B"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5.43 ± 0.13</w:t>
            </w:r>
          </w:p>
        </w:tc>
        <w:tc>
          <w:tcPr>
            <w:tcW w:w="1349" w:type="dxa"/>
          </w:tcPr>
          <w:p w14:paraId="46BC207A"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4.22 ± 0.23</w:t>
            </w:r>
          </w:p>
        </w:tc>
        <w:tc>
          <w:tcPr>
            <w:tcW w:w="728" w:type="dxa"/>
          </w:tcPr>
          <w:p w14:paraId="3A36C72E"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25</w:t>
            </w:r>
          </w:p>
        </w:tc>
        <w:tc>
          <w:tcPr>
            <w:tcW w:w="989" w:type="dxa"/>
          </w:tcPr>
          <w:p w14:paraId="628407E6"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0.00</w:t>
            </w:r>
          </w:p>
        </w:tc>
        <w:tc>
          <w:tcPr>
            <w:tcW w:w="900" w:type="dxa"/>
          </w:tcPr>
          <w:p w14:paraId="7E2FFABC"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S</w:t>
            </w:r>
          </w:p>
        </w:tc>
      </w:tr>
      <w:tr w:rsidR="00D56410" w:rsidRPr="00D274D8" w14:paraId="56978EFE" w14:textId="77777777" w:rsidTr="00DA30A7">
        <w:tc>
          <w:tcPr>
            <w:tcW w:w="1690" w:type="dxa"/>
          </w:tcPr>
          <w:p w14:paraId="1CDFAEF8"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CRP (mg/L)</w:t>
            </w:r>
          </w:p>
        </w:tc>
        <w:tc>
          <w:tcPr>
            <w:tcW w:w="1574" w:type="dxa"/>
          </w:tcPr>
          <w:p w14:paraId="4C483390"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2.15 ± 1.33</w:t>
            </w:r>
          </w:p>
        </w:tc>
        <w:tc>
          <w:tcPr>
            <w:tcW w:w="1544" w:type="dxa"/>
          </w:tcPr>
          <w:p w14:paraId="08EF027E"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2.44 ± 1.07</w:t>
            </w:r>
          </w:p>
        </w:tc>
        <w:tc>
          <w:tcPr>
            <w:tcW w:w="1392" w:type="dxa"/>
          </w:tcPr>
          <w:p w14:paraId="543F53D2"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1.22 ± 0. 23</w:t>
            </w:r>
          </w:p>
        </w:tc>
        <w:tc>
          <w:tcPr>
            <w:tcW w:w="1349" w:type="dxa"/>
          </w:tcPr>
          <w:p w14:paraId="1C7F7409"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2.33 ± 0.23</w:t>
            </w:r>
          </w:p>
        </w:tc>
        <w:tc>
          <w:tcPr>
            <w:tcW w:w="1349" w:type="dxa"/>
          </w:tcPr>
          <w:p w14:paraId="60934174" w14:textId="77777777" w:rsidR="00D56410" w:rsidRPr="00D274D8" w:rsidRDefault="00D56410" w:rsidP="00DA30A7">
            <w:pPr>
              <w:rPr>
                <w:rFonts w:ascii="Arial" w:hAnsi="Arial" w:cs="Arial"/>
                <w:sz w:val="18"/>
                <w:szCs w:val="18"/>
              </w:rPr>
            </w:pPr>
            <w:r w:rsidRPr="00D274D8">
              <w:rPr>
                <w:rFonts w:ascii="Arial" w:hAnsi="Arial" w:cs="Arial"/>
                <w:sz w:val="18"/>
                <w:szCs w:val="18"/>
              </w:rPr>
              <w:t xml:space="preserve">1.09 ± 0.02 </w:t>
            </w:r>
          </w:p>
        </w:tc>
        <w:tc>
          <w:tcPr>
            <w:tcW w:w="728" w:type="dxa"/>
          </w:tcPr>
          <w:p w14:paraId="0C42E439"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25</w:t>
            </w:r>
          </w:p>
        </w:tc>
        <w:tc>
          <w:tcPr>
            <w:tcW w:w="989" w:type="dxa"/>
          </w:tcPr>
          <w:p w14:paraId="7D3A1374"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0.68</w:t>
            </w:r>
          </w:p>
        </w:tc>
        <w:tc>
          <w:tcPr>
            <w:tcW w:w="900" w:type="dxa"/>
          </w:tcPr>
          <w:p w14:paraId="3809448C"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NS</w:t>
            </w:r>
          </w:p>
        </w:tc>
      </w:tr>
      <w:tr w:rsidR="00D56410" w:rsidRPr="00D274D8" w14:paraId="36F9CA0D" w14:textId="77777777" w:rsidTr="00DA30A7">
        <w:tc>
          <w:tcPr>
            <w:tcW w:w="1690" w:type="dxa"/>
          </w:tcPr>
          <w:p w14:paraId="0F5581D7"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IL-6 (</w:t>
            </w:r>
            <w:proofErr w:type="spellStart"/>
            <w:r w:rsidRPr="00D274D8">
              <w:rPr>
                <w:rFonts w:ascii="Arial" w:hAnsi="Arial" w:cs="Arial"/>
                <w:b/>
                <w:sz w:val="18"/>
                <w:szCs w:val="18"/>
              </w:rPr>
              <w:t>pg</w:t>
            </w:r>
            <w:proofErr w:type="spellEnd"/>
            <w:r w:rsidRPr="00D274D8">
              <w:rPr>
                <w:rFonts w:ascii="Arial" w:hAnsi="Arial" w:cs="Arial"/>
                <w:b/>
                <w:sz w:val="18"/>
                <w:szCs w:val="18"/>
              </w:rPr>
              <w:t>/mL)</w:t>
            </w:r>
          </w:p>
        </w:tc>
        <w:tc>
          <w:tcPr>
            <w:tcW w:w="1574" w:type="dxa"/>
          </w:tcPr>
          <w:p w14:paraId="5E62C73B"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2.03 ± 0.84</w:t>
            </w:r>
          </w:p>
        </w:tc>
        <w:tc>
          <w:tcPr>
            <w:tcW w:w="1544" w:type="dxa"/>
          </w:tcPr>
          <w:p w14:paraId="0E821022"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1.88 ± 0.84</w:t>
            </w:r>
          </w:p>
        </w:tc>
        <w:tc>
          <w:tcPr>
            <w:tcW w:w="1392" w:type="dxa"/>
          </w:tcPr>
          <w:p w14:paraId="2EB198D5"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2.22 ± 0.11</w:t>
            </w:r>
          </w:p>
        </w:tc>
        <w:tc>
          <w:tcPr>
            <w:tcW w:w="1349" w:type="dxa"/>
          </w:tcPr>
          <w:p w14:paraId="6E40EADC"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1.12. ± 0.03</w:t>
            </w:r>
          </w:p>
        </w:tc>
        <w:tc>
          <w:tcPr>
            <w:tcW w:w="1349" w:type="dxa"/>
          </w:tcPr>
          <w:p w14:paraId="4B7EDEB3"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1.07 ± 1.01</w:t>
            </w:r>
          </w:p>
        </w:tc>
        <w:tc>
          <w:tcPr>
            <w:tcW w:w="728" w:type="dxa"/>
          </w:tcPr>
          <w:p w14:paraId="5D325EB4"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25</w:t>
            </w:r>
          </w:p>
        </w:tc>
        <w:tc>
          <w:tcPr>
            <w:tcW w:w="989" w:type="dxa"/>
          </w:tcPr>
          <w:p w14:paraId="70680BE2"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0.80</w:t>
            </w:r>
          </w:p>
        </w:tc>
        <w:tc>
          <w:tcPr>
            <w:tcW w:w="900" w:type="dxa"/>
          </w:tcPr>
          <w:p w14:paraId="629CDDE7"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NS</w:t>
            </w:r>
          </w:p>
        </w:tc>
      </w:tr>
      <w:tr w:rsidR="00D56410" w:rsidRPr="00D274D8" w14:paraId="191A9D2C" w14:textId="77777777" w:rsidTr="00DA30A7">
        <w:tc>
          <w:tcPr>
            <w:tcW w:w="1690" w:type="dxa"/>
          </w:tcPr>
          <w:p w14:paraId="27C9141D"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GGT (U/L)</w:t>
            </w:r>
          </w:p>
        </w:tc>
        <w:tc>
          <w:tcPr>
            <w:tcW w:w="1574" w:type="dxa"/>
          </w:tcPr>
          <w:p w14:paraId="681569A2"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38.07 ± 10.86</w:t>
            </w:r>
          </w:p>
        </w:tc>
        <w:tc>
          <w:tcPr>
            <w:tcW w:w="1544" w:type="dxa"/>
          </w:tcPr>
          <w:p w14:paraId="18826889"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27.31 ± 11.20</w:t>
            </w:r>
          </w:p>
        </w:tc>
        <w:tc>
          <w:tcPr>
            <w:tcW w:w="1392" w:type="dxa"/>
          </w:tcPr>
          <w:p w14:paraId="5DF10CD6"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31.12 ± 5.23</w:t>
            </w:r>
          </w:p>
        </w:tc>
        <w:tc>
          <w:tcPr>
            <w:tcW w:w="1349" w:type="dxa"/>
          </w:tcPr>
          <w:p w14:paraId="03864902"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23.22 ± 4.03</w:t>
            </w:r>
          </w:p>
        </w:tc>
        <w:tc>
          <w:tcPr>
            <w:tcW w:w="1349" w:type="dxa"/>
          </w:tcPr>
          <w:p w14:paraId="51AB8E58"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33.22 ± 8.23</w:t>
            </w:r>
          </w:p>
        </w:tc>
        <w:tc>
          <w:tcPr>
            <w:tcW w:w="728" w:type="dxa"/>
          </w:tcPr>
          <w:p w14:paraId="3D809DC9"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25</w:t>
            </w:r>
          </w:p>
        </w:tc>
        <w:tc>
          <w:tcPr>
            <w:tcW w:w="989" w:type="dxa"/>
          </w:tcPr>
          <w:p w14:paraId="0A31FD5E"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0.07</w:t>
            </w:r>
          </w:p>
        </w:tc>
        <w:tc>
          <w:tcPr>
            <w:tcW w:w="900" w:type="dxa"/>
          </w:tcPr>
          <w:p w14:paraId="3AD1AE5B"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NS</w:t>
            </w:r>
          </w:p>
        </w:tc>
      </w:tr>
    </w:tbl>
    <w:p w14:paraId="2D0C58BC" w14:textId="77777777" w:rsidR="00D56410" w:rsidRPr="00D84AE0" w:rsidRDefault="00D56410" w:rsidP="00D56410">
      <w:pPr>
        <w:pStyle w:val="Default"/>
        <w:jc w:val="both"/>
        <w:rPr>
          <w:rFonts w:ascii="Arial" w:hAnsi="Arial" w:cs="Arial"/>
          <w:b/>
          <w:color w:val="auto"/>
          <w:sz w:val="20"/>
          <w:szCs w:val="20"/>
        </w:rPr>
      </w:pPr>
      <w:r w:rsidRPr="00D84AE0">
        <w:rPr>
          <w:rFonts w:ascii="Arial" w:hAnsi="Arial" w:cs="Arial"/>
          <w:b/>
          <w:color w:val="auto"/>
          <w:sz w:val="20"/>
          <w:szCs w:val="20"/>
        </w:rPr>
        <w:t xml:space="preserve"> </w:t>
      </w:r>
    </w:p>
    <w:p w14:paraId="4DB4DD2B" w14:textId="77777777" w:rsidR="00D56410" w:rsidRPr="00D84AE0" w:rsidRDefault="00D56410" w:rsidP="00D56410">
      <w:pPr>
        <w:tabs>
          <w:tab w:val="left" w:pos="90"/>
          <w:tab w:val="left" w:pos="270"/>
          <w:tab w:val="left" w:pos="360"/>
        </w:tabs>
        <w:rPr>
          <w:rFonts w:ascii="Arial" w:hAnsi="Arial" w:cs="Arial"/>
        </w:rPr>
      </w:pPr>
      <w:r w:rsidRPr="00D84AE0">
        <w:rPr>
          <w:rFonts w:ascii="Arial" w:hAnsi="Arial" w:cs="Arial"/>
          <w:b/>
        </w:rPr>
        <w:t>Key:</w:t>
      </w:r>
      <w:r w:rsidRPr="00D84AE0">
        <w:rPr>
          <w:rFonts w:ascii="Arial" w:hAnsi="Arial" w:cs="Arial"/>
        </w:rPr>
        <w:t xml:space="preserve"> S= Significant. NS = Not Significant.</w:t>
      </w:r>
    </w:p>
    <w:tbl>
      <w:tblPr>
        <w:tblStyle w:val="TableGrid"/>
        <w:tblpPr w:leftFromText="180" w:rightFromText="180" w:vertAnchor="text" w:horzAnchor="page" w:tblpX="351" w:tblpY="692"/>
        <w:tblW w:w="11520" w:type="dxa"/>
        <w:tblLook w:val="04A0" w:firstRow="1" w:lastRow="0" w:firstColumn="1" w:lastColumn="0" w:noHBand="0" w:noVBand="1"/>
      </w:tblPr>
      <w:tblGrid>
        <w:gridCol w:w="1576"/>
        <w:gridCol w:w="1484"/>
        <w:gridCol w:w="1338"/>
        <w:gridCol w:w="1462"/>
        <w:gridCol w:w="1553"/>
        <w:gridCol w:w="1339"/>
        <w:gridCol w:w="728"/>
        <w:gridCol w:w="978"/>
        <w:gridCol w:w="1062"/>
      </w:tblGrid>
      <w:tr w:rsidR="00D56410" w:rsidRPr="00D274D8" w14:paraId="64518EBC" w14:textId="77777777" w:rsidTr="00DA30A7">
        <w:tc>
          <w:tcPr>
            <w:tcW w:w="1576" w:type="dxa"/>
          </w:tcPr>
          <w:p w14:paraId="2E958F4B"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Parameters</w:t>
            </w:r>
          </w:p>
          <w:p w14:paraId="3AA6ED77" w14:textId="77777777" w:rsidR="00D56410" w:rsidRPr="00D274D8" w:rsidRDefault="00D56410" w:rsidP="00DA30A7">
            <w:pPr>
              <w:jc w:val="center"/>
              <w:rPr>
                <w:rFonts w:ascii="Arial" w:hAnsi="Arial" w:cs="Arial"/>
                <w:b/>
                <w:sz w:val="16"/>
                <w:szCs w:val="16"/>
              </w:rPr>
            </w:pPr>
          </w:p>
        </w:tc>
        <w:tc>
          <w:tcPr>
            <w:tcW w:w="1484" w:type="dxa"/>
          </w:tcPr>
          <w:p w14:paraId="30F0B111"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20-29yrs (Mean ± SD)</w:t>
            </w:r>
          </w:p>
        </w:tc>
        <w:tc>
          <w:tcPr>
            <w:tcW w:w="1338" w:type="dxa"/>
          </w:tcPr>
          <w:p w14:paraId="1CC5B3EB"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 xml:space="preserve">30-39yrs </w:t>
            </w:r>
          </w:p>
          <w:p w14:paraId="6793F092"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(Mean ± SD)</w:t>
            </w:r>
          </w:p>
        </w:tc>
        <w:tc>
          <w:tcPr>
            <w:tcW w:w="1462" w:type="dxa"/>
          </w:tcPr>
          <w:p w14:paraId="318105B4"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 xml:space="preserve">40-49yrs </w:t>
            </w:r>
          </w:p>
          <w:p w14:paraId="3DC49D1D"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(Mean ± SD)</w:t>
            </w:r>
          </w:p>
        </w:tc>
        <w:tc>
          <w:tcPr>
            <w:tcW w:w="1553" w:type="dxa"/>
          </w:tcPr>
          <w:p w14:paraId="3ACC2964"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 xml:space="preserve">50-59yrs </w:t>
            </w:r>
          </w:p>
          <w:p w14:paraId="455CC296"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(Mean ± SD)</w:t>
            </w:r>
          </w:p>
        </w:tc>
        <w:tc>
          <w:tcPr>
            <w:tcW w:w="1339" w:type="dxa"/>
          </w:tcPr>
          <w:p w14:paraId="12A1C57E"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 xml:space="preserve">60-69yrs </w:t>
            </w:r>
          </w:p>
          <w:p w14:paraId="632233CF"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(Mean ± SD)</w:t>
            </w:r>
          </w:p>
        </w:tc>
        <w:tc>
          <w:tcPr>
            <w:tcW w:w="728" w:type="dxa"/>
          </w:tcPr>
          <w:p w14:paraId="322A7F84"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N-value</w:t>
            </w:r>
          </w:p>
        </w:tc>
        <w:tc>
          <w:tcPr>
            <w:tcW w:w="978" w:type="dxa"/>
          </w:tcPr>
          <w:p w14:paraId="236AB356"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P-value (p&lt;0.05)</w:t>
            </w:r>
          </w:p>
        </w:tc>
        <w:tc>
          <w:tcPr>
            <w:tcW w:w="1062" w:type="dxa"/>
          </w:tcPr>
          <w:p w14:paraId="4F6EAF8D"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Remarks</w:t>
            </w:r>
          </w:p>
        </w:tc>
      </w:tr>
      <w:tr w:rsidR="00D56410" w:rsidRPr="00D274D8" w14:paraId="59BEA341" w14:textId="77777777" w:rsidTr="00DA30A7">
        <w:tc>
          <w:tcPr>
            <w:tcW w:w="1576" w:type="dxa"/>
          </w:tcPr>
          <w:p w14:paraId="27DDAC52" w14:textId="77777777" w:rsidR="00D56410" w:rsidRPr="00D274D8" w:rsidRDefault="00D56410" w:rsidP="00DA30A7">
            <w:pPr>
              <w:jc w:val="center"/>
              <w:rPr>
                <w:rFonts w:ascii="Arial" w:hAnsi="Arial" w:cs="Arial"/>
                <w:b/>
                <w:sz w:val="16"/>
                <w:szCs w:val="16"/>
              </w:rPr>
            </w:pPr>
            <w:proofErr w:type="spellStart"/>
            <w:r w:rsidRPr="00D274D8">
              <w:rPr>
                <w:rFonts w:ascii="Arial" w:hAnsi="Arial" w:cs="Arial"/>
                <w:b/>
                <w:sz w:val="16"/>
                <w:szCs w:val="16"/>
              </w:rPr>
              <w:t>fPSA</w:t>
            </w:r>
            <w:proofErr w:type="spellEnd"/>
            <w:r w:rsidRPr="00D274D8">
              <w:rPr>
                <w:rFonts w:ascii="Arial" w:hAnsi="Arial" w:cs="Arial"/>
                <w:b/>
                <w:sz w:val="16"/>
                <w:szCs w:val="16"/>
              </w:rPr>
              <w:t xml:space="preserve"> (ng/mL)</w:t>
            </w:r>
          </w:p>
        </w:tc>
        <w:tc>
          <w:tcPr>
            <w:tcW w:w="1484" w:type="dxa"/>
          </w:tcPr>
          <w:p w14:paraId="7E28A073"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0.26 ± 0.13</w:t>
            </w:r>
          </w:p>
        </w:tc>
        <w:tc>
          <w:tcPr>
            <w:tcW w:w="1338" w:type="dxa"/>
          </w:tcPr>
          <w:p w14:paraId="77A053BC"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0.36 ± 0.18</w:t>
            </w:r>
          </w:p>
        </w:tc>
        <w:tc>
          <w:tcPr>
            <w:tcW w:w="1462" w:type="dxa"/>
          </w:tcPr>
          <w:p w14:paraId="5CB94C28"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0.22 ± 0.12</w:t>
            </w:r>
          </w:p>
        </w:tc>
        <w:tc>
          <w:tcPr>
            <w:tcW w:w="1553" w:type="dxa"/>
          </w:tcPr>
          <w:p w14:paraId="4BAB73EC"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0.33 ± 0.15</w:t>
            </w:r>
          </w:p>
        </w:tc>
        <w:tc>
          <w:tcPr>
            <w:tcW w:w="1339" w:type="dxa"/>
          </w:tcPr>
          <w:p w14:paraId="0B8AF2F7"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0.34 ± 0.10</w:t>
            </w:r>
          </w:p>
        </w:tc>
        <w:tc>
          <w:tcPr>
            <w:tcW w:w="728" w:type="dxa"/>
          </w:tcPr>
          <w:p w14:paraId="6C97931E"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45</w:t>
            </w:r>
          </w:p>
        </w:tc>
        <w:tc>
          <w:tcPr>
            <w:tcW w:w="978" w:type="dxa"/>
          </w:tcPr>
          <w:p w14:paraId="0DF3D83E"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0.08</w:t>
            </w:r>
          </w:p>
        </w:tc>
        <w:tc>
          <w:tcPr>
            <w:tcW w:w="1062" w:type="dxa"/>
          </w:tcPr>
          <w:p w14:paraId="5EBB7D31"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NS</w:t>
            </w:r>
          </w:p>
        </w:tc>
      </w:tr>
      <w:tr w:rsidR="00D56410" w:rsidRPr="00D274D8" w14:paraId="461FCC77" w14:textId="77777777" w:rsidTr="00DA30A7">
        <w:tc>
          <w:tcPr>
            <w:tcW w:w="1576" w:type="dxa"/>
          </w:tcPr>
          <w:p w14:paraId="0189E862" w14:textId="77777777" w:rsidR="00D56410" w:rsidRPr="00D274D8" w:rsidRDefault="00D56410" w:rsidP="00DA30A7">
            <w:pPr>
              <w:jc w:val="center"/>
              <w:rPr>
                <w:rFonts w:ascii="Arial" w:hAnsi="Arial" w:cs="Arial"/>
                <w:b/>
                <w:sz w:val="16"/>
                <w:szCs w:val="16"/>
              </w:rPr>
            </w:pPr>
            <w:proofErr w:type="spellStart"/>
            <w:r w:rsidRPr="00D274D8">
              <w:rPr>
                <w:rFonts w:ascii="Arial" w:hAnsi="Arial" w:cs="Arial"/>
                <w:b/>
                <w:sz w:val="16"/>
                <w:szCs w:val="16"/>
              </w:rPr>
              <w:t>tPSA</w:t>
            </w:r>
            <w:proofErr w:type="spellEnd"/>
            <w:r w:rsidRPr="00D274D8">
              <w:rPr>
                <w:rFonts w:ascii="Arial" w:hAnsi="Arial" w:cs="Arial"/>
                <w:b/>
                <w:sz w:val="16"/>
                <w:szCs w:val="16"/>
              </w:rPr>
              <w:t xml:space="preserve"> (ng/mL)</w:t>
            </w:r>
          </w:p>
        </w:tc>
        <w:tc>
          <w:tcPr>
            <w:tcW w:w="1484" w:type="dxa"/>
          </w:tcPr>
          <w:p w14:paraId="22A49D11"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1.03 ± 0.79</w:t>
            </w:r>
          </w:p>
        </w:tc>
        <w:tc>
          <w:tcPr>
            <w:tcW w:w="1338" w:type="dxa"/>
          </w:tcPr>
          <w:p w14:paraId="202A6820"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2.14 ± 1.21</w:t>
            </w:r>
          </w:p>
        </w:tc>
        <w:tc>
          <w:tcPr>
            <w:tcW w:w="1462" w:type="dxa"/>
          </w:tcPr>
          <w:p w14:paraId="15E95587"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2.20 ± 1.01</w:t>
            </w:r>
          </w:p>
        </w:tc>
        <w:tc>
          <w:tcPr>
            <w:tcW w:w="1553" w:type="dxa"/>
          </w:tcPr>
          <w:p w14:paraId="3382D939"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3.14 ± 1.20</w:t>
            </w:r>
          </w:p>
        </w:tc>
        <w:tc>
          <w:tcPr>
            <w:tcW w:w="1339" w:type="dxa"/>
          </w:tcPr>
          <w:p w14:paraId="3DD4323E"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2.45 ± 1.00</w:t>
            </w:r>
          </w:p>
        </w:tc>
        <w:tc>
          <w:tcPr>
            <w:tcW w:w="728" w:type="dxa"/>
          </w:tcPr>
          <w:p w14:paraId="10983E25"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45</w:t>
            </w:r>
          </w:p>
        </w:tc>
        <w:tc>
          <w:tcPr>
            <w:tcW w:w="978" w:type="dxa"/>
          </w:tcPr>
          <w:p w14:paraId="3B94C37E"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0.00</w:t>
            </w:r>
          </w:p>
        </w:tc>
        <w:tc>
          <w:tcPr>
            <w:tcW w:w="1062" w:type="dxa"/>
          </w:tcPr>
          <w:p w14:paraId="551C9F80"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S</w:t>
            </w:r>
          </w:p>
        </w:tc>
      </w:tr>
      <w:tr w:rsidR="00D56410" w:rsidRPr="00D274D8" w14:paraId="065B7D9E" w14:textId="77777777" w:rsidTr="00DA30A7">
        <w:tc>
          <w:tcPr>
            <w:tcW w:w="1576" w:type="dxa"/>
          </w:tcPr>
          <w:p w14:paraId="4CF3B856"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CRP (mg/L)</w:t>
            </w:r>
          </w:p>
        </w:tc>
        <w:tc>
          <w:tcPr>
            <w:tcW w:w="1484" w:type="dxa"/>
          </w:tcPr>
          <w:p w14:paraId="3CF3A38B"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1.57 ± 0.67</w:t>
            </w:r>
          </w:p>
        </w:tc>
        <w:tc>
          <w:tcPr>
            <w:tcW w:w="1338" w:type="dxa"/>
          </w:tcPr>
          <w:p w14:paraId="69D5DF57"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2.60 ± 2.38</w:t>
            </w:r>
          </w:p>
        </w:tc>
        <w:tc>
          <w:tcPr>
            <w:tcW w:w="1462" w:type="dxa"/>
          </w:tcPr>
          <w:p w14:paraId="4CE5F042"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2.68 ± 2.08</w:t>
            </w:r>
          </w:p>
        </w:tc>
        <w:tc>
          <w:tcPr>
            <w:tcW w:w="1553" w:type="dxa"/>
          </w:tcPr>
          <w:p w14:paraId="2C3F0425"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2.73 ± 1.78</w:t>
            </w:r>
          </w:p>
        </w:tc>
        <w:tc>
          <w:tcPr>
            <w:tcW w:w="1339" w:type="dxa"/>
          </w:tcPr>
          <w:p w14:paraId="088ED610"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2.90 ± 2.82</w:t>
            </w:r>
          </w:p>
        </w:tc>
        <w:tc>
          <w:tcPr>
            <w:tcW w:w="728" w:type="dxa"/>
          </w:tcPr>
          <w:p w14:paraId="6AB6D663"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45</w:t>
            </w:r>
          </w:p>
        </w:tc>
        <w:tc>
          <w:tcPr>
            <w:tcW w:w="978" w:type="dxa"/>
          </w:tcPr>
          <w:p w14:paraId="034B851C"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0.16</w:t>
            </w:r>
          </w:p>
        </w:tc>
        <w:tc>
          <w:tcPr>
            <w:tcW w:w="1062" w:type="dxa"/>
          </w:tcPr>
          <w:p w14:paraId="033E414B"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NS</w:t>
            </w:r>
          </w:p>
        </w:tc>
      </w:tr>
      <w:tr w:rsidR="00D56410" w:rsidRPr="00D274D8" w14:paraId="4C103DD5" w14:textId="77777777" w:rsidTr="00DA30A7">
        <w:tc>
          <w:tcPr>
            <w:tcW w:w="1576" w:type="dxa"/>
          </w:tcPr>
          <w:p w14:paraId="7EEED6AE"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IL-6 (</w:t>
            </w:r>
            <w:proofErr w:type="spellStart"/>
            <w:r w:rsidRPr="00D274D8">
              <w:rPr>
                <w:rFonts w:ascii="Arial" w:hAnsi="Arial" w:cs="Arial"/>
                <w:b/>
                <w:sz w:val="16"/>
                <w:szCs w:val="16"/>
              </w:rPr>
              <w:t>pg</w:t>
            </w:r>
            <w:proofErr w:type="spellEnd"/>
            <w:r w:rsidRPr="00D274D8">
              <w:rPr>
                <w:rFonts w:ascii="Arial" w:hAnsi="Arial" w:cs="Arial"/>
                <w:b/>
                <w:sz w:val="16"/>
                <w:szCs w:val="16"/>
              </w:rPr>
              <w:t>/mL)</w:t>
            </w:r>
          </w:p>
        </w:tc>
        <w:tc>
          <w:tcPr>
            <w:tcW w:w="1484" w:type="dxa"/>
          </w:tcPr>
          <w:p w14:paraId="2BAEC3F1"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1.86 ± 0.75</w:t>
            </w:r>
          </w:p>
        </w:tc>
        <w:tc>
          <w:tcPr>
            <w:tcW w:w="1338" w:type="dxa"/>
          </w:tcPr>
          <w:p w14:paraId="6A9FC28D"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1.60 ± 0.35</w:t>
            </w:r>
          </w:p>
        </w:tc>
        <w:tc>
          <w:tcPr>
            <w:tcW w:w="1462" w:type="dxa"/>
          </w:tcPr>
          <w:p w14:paraId="0DF77870"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1.64 ± 0.15</w:t>
            </w:r>
          </w:p>
        </w:tc>
        <w:tc>
          <w:tcPr>
            <w:tcW w:w="1553" w:type="dxa"/>
          </w:tcPr>
          <w:p w14:paraId="69D412AA"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1.54 ± 0.13</w:t>
            </w:r>
          </w:p>
        </w:tc>
        <w:tc>
          <w:tcPr>
            <w:tcW w:w="1339" w:type="dxa"/>
          </w:tcPr>
          <w:p w14:paraId="07DCE385"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1.67 ± 0.55</w:t>
            </w:r>
          </w:p>
        </w:tc>
        <w:tc>
          <w:tcPr>
            <w:tcW w:w="728" w:type="dxa"/>
          </w:tcPr>
          <w:p w14:paraId="40111E0A"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45</w:t>
            </w:r>
          </w:p>
        </w:tc>
        <w:tc>
          <w:tcPr>
            <w:tcW w:w="978" w:type="dxa"/>
          </w:tcPr>
          <w:p w14:paraId="6BBA2C5D"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0.22</w:t>
            </w:r>
          </w:p>
        </w:tc>
        <w:tc>
          <w:tcPr>
            <w:tcW w:w="1062" w:type="dxa"/>
          </w:tcPr>
          <w:p w14:paraId="6044D79B"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NS</w:t>
            </w:r>
          </w:p>
        </w:tc>
      </w:tr>
      <w:tr w:rsidR="00D56410" w:rsidRPr="00D274D8" w14:paraId="17E7D8A1" w14:textId="77777777" w:rsidTr="00DA30A7">
        <w:tc>
          <w:tcPr>
            <w:tcW w:w="1576" w:type="dxa"/>
          </w:tcPr>
          <w:p w14:paraId="2620FD21"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GGT (U/L)</w:t>
            </w:r>
          </w:p>
        </w:tc>
        <w:tc>
          <w:tcPr>
            <w:tcW w:w="1484" w:type="dxa"/>
          </w:tcPr>
          <w:p w14:paraId="5A9BB247"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36.99 ± 21.26</w:t>
            </w:r>
          </w:p>
        </w:tc>
        <w:tc>
          <w:tcPr>
            <w:tcW w:w="1338" w:type="dxa"/>
          </w:tcPr>
          <w:p w14:paraId="22133F16"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36.77 ± 10.87</w:t>
            </w:r>
          </w:p>
        </w:tc>
        <w:tc>
          <w:tcPr>
            <w:tcW w:w="1462" w:type="dxa"/>
          </w:tcPr>
          <w:p w14:paraId="5767FB0B"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35.74 ± 13.47</w:t>
            </w:r>
          </w:p>
        </w:tc>
        <w:tc>
          <w:tcPr>
            <w:tcW w:w="1553" w:type="dxa"/>
          </w:tcPr>
          <w:p w14:paraId="4B16BCD9"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37.70 ± 10.87</w:t>
            </w:r>
          </w:p>
        </w:tc>
        <w:tc>
          <w:tcPr>
            <w:tcW w:w="1339" w:type="dxa"/>
          </w:tcPr>
          <w:p w14:paraId="4257A13B"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36.07 ± 11.87</w:t>
            </w:r>
          </w:p>
        </w:tc>
        <w:tc>
          <w:tcPr>
            <w:tcW w:w="728" w:type="dxa"/>
          </w:tcPr>
          <w:p w14:paraId="36D12A74"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45</w:t>
            </w:r>
          </w:p>
        </w:tc>
        <w:tc>
          <w:tcPr>
            <w:tcW w:w="978" w:type="dxa"/>
          </w:tcPr>
          <w:p w14:paraId="11566BB3"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0.99</w:t>
            </w:r>
          </w:p>
        </w:tc>
        <w:tc>
          <w:tcPr>
            <w:tcW w:w="1062" w:type="dxa"/>
          </w:tcPr>
          <w:p w14:paraId="3B6E7769"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NS</w:t>
            </w:r>
          </w:p>
        </w:tc>
      </w:tr>
    </w:tbl>
    <w:p w14:paraId="346E5807" w14:textId="77777777" w:rsidR="00D56410" w:rsidRDefault="00D56410" w:rsidP="00D56410">
      <w:pPr>
        <w:pStyle w:val="Default"/>
        <w:ind w:left="2160" w:hanging="1440"/>
        <w:jc w:val="both"/>
        <w:rPr>
          <w:rFonts w:ascii="Arial" w:hAnsi="Arial" w:cs="Arial"/>
          <w:b/>
          <w:color w:val="auto"/>
          <w:sz w:val="20"/>
          <w:szCs w:val="20"/>
        </w:rPr>
      </w:pPr>
    </w:p>
    <w:p w14:paraId="0833DF96" w14:textId="77777777" w:rsidR="00D56410" w:rsidRPr="00D84AE0" w:rsidRDefault="00D56410" w:rsidP="00D56410">
      <w:pPr>
        <w:pStyle w:val="Default"/>
        <w:jc w:val="both"/>
        <w:rPr>
          <w:rFonts w:ascii="Arial" w:hAnsi="Arial" w:cs="Arial"/>
          <w:b/>
          <w:color w:val="auto"/>
          <w:sz w:val="20"/>
          <w:szCs w:val="20"/>
        </w:rPr>
      </w:pPr>
      <w:r w:rsidRPr="00D84AE0">
        <w:rPr>
          <w:rFonts w:ascii="Arial" w:hAnsi="Arial" w:cs="Arial"/>
          <w:b/>
          <w:color w:val="auto"/>
          <w:sz w:val="20"/>
          <w:szCs w:val="20"/>
        </w:rPr>
        <w:t xml:space="preserve">Table </w:t>
      </w:r>
      <w:r>
        <w:rPr>
          <w:rFonts w:ascii="Arial" w:hAnsi="Arial" w:cs="Arial"/>
          <w:b/>
          <w:color w:val="auto"/>
          <w:sz w:val="20"/>
          <w:szCs w:val="20"/>
        </w:rPr>
        <w:t xml:space="preserve">7: </w:t>
      </w:r>
      <w:r w:rsidRPr="00D84AE0">
        <w:rPr>
          <w:rFonts w:ascii="Arial" w:hAnsi="Arial" w:cs="Arial"/>
          <w:b/>
          <w:color w:val="auto"/>
          <w:sz w:val="20"/>
          <w:szCs w:val="20"/>
        </w:rPr>
        <w:t>Effect of Age on Serum Levels of PSA, Inflammatory Markers among Male Military Alcohol Users</w:t>
      </w:r>
    </w:p>
    <w:p w14:paraId="49152534" w14:textId="77777777" w:rsidR="00D56410" w:rsidRPr="00D84AE0" w:rsidRDefault="00D56410" w:rsidP="00D56410">
      <w:pPr>
        <w:tabs>
          <w:tab w:val="left" w:pos="90"/>
          <w:tab w:val="left" w:pos="270"/>
          <w:tab w:val="left" w:pos="360"/>
        </w:tabs>
        <w:rPr>
          <w:rFonts w:ascii="Arial" w:hAnsi="Arial" w:cs="Arial"/>
        </w:rPr>
      </w:pPr>
      <w:r w:rsidRPr="00D84AE0">
        <w:rPr>
          <w:rFonts w:ascii="Arial" w:hAnsi="Arial" w:cs="Arial"/>
          <w:b/>
        </w:rPr>
        <w:t xml:space="preserve"> </w:t>
      </w:r>
      <w:r w:rsidRPr="00D84AE0">
        <w:rPr>
          <w:rFonts w:ascii="Arial" w:hAnsi="Arial" w:cs="Arial"/>
          <w:b/>
        </w:rPr>
        <w:tab/>
      </w:r>
      <w:r w:rsidRPr="00D84AE0">
        <w:rPr>
          <w:rFonts w:ascii="Arial" w:hAnsi="Arial" w:cs="Arial"/>
          <w:b/>
        </w:rPr>
        <w:tab/>
        <w:t>Key:</w:t>
      </w:r>
      <w:r w:rsidRPr="00D84AE0">
        <w:rPr>
          <w:rFonts w:ascii="Arial" w:hAnsi="Arial" w:cs="Arial"/>
        </w:rPr>
        <w:t xml:space="preserve"> S = Significant. NS = Not Significant.</w:t>
      </w:r>
    </w:p>
    <w:p w14:paraId="4B412012" w14:textId="77777777" w:rsidR="00D56410" w:rsidRDefault="00D56410" w:rsidP="00D56410">
      <w:pPr>
        <w:pStyle w:val="Body"/>
        <w:spacing w:after="0"/>
        <w:rPr>
          <w:rFonts w:ascii="Arial" w:hAnsi="Arial" w:cs="Arial"/>
        </w:rPr>
      </w:pPr>
    </w:p>
    <w:p w14:paraId="1C7826C3" w14:textId="77777777" w:rsidR="00D56410" w:rsidRPr="00D84AE0" w:rsidRDefault="00D56410" w:rsidP="00D56410">
      <w:pPr>
        <w:pStyle w:val="Default"/>
        <w:ind w:left="1440" w:hanging="1440"/>
        <w:jc w:val="both"/>
        <w:rPr>
          <w:rFonts w:ascii="Arial" w:hAnsi="Arial" w:cs="Arial"/>
          <w:b/>
          <w:color w:val="auto"/>
          <w:sz w:val="20"/>
          <w:szCs w:val="20"/>
        </w:rPr>
      </w:pPr>
      <w:r w:rsidRPr="00D84AE0">
        <w:rPr>
          <w:rFonts w:ascii="Arial" w:hAnsi="Arial" w:cs="Arial"/>
          <w:b/>
          <w:color w:val="auto"/>
          <w:sz w:val="20"/>
          <w:szCs w:val="20"/>
        </w:rPr>
        <w:t xml:space="preserve">Table </w:t>
      </w:r>
      <w:r>
        <w:rPr>
          <w:rFonts w:ascii="Arial" w:hAnsi="Arial" w:cs="Arial"/>
          <w:b/>
          <w:color w:val="auto"/>
          <w:sz w:val="20"/>
          <w:szCs w:val="20"/>
        </w:rPr>
        <w:t xml:space="preserve">8: </w:t>
      </w:r>
      <w:r w:rsidRPr="00D84AE0">
        <w:rPr>
          <w:rFonts w:ascii="Arial" w:hAnsi="Arial" w:cs="Arial"/>
          <w:b/>
          <w:color w:val="auto"/>
          <w:sz w:val="20"/>
          <w:szCs w:val="20"/>
        </w:rPr>
        <w:t>Duration of Smoking on Serum Levels of PSA, Inflammatory Markers among</w:t>
      </w:r>
      <w:r>
        <w:rPr>
          <w:rFonts w:ascii="Arial" w:hAnsi="Arial" w:cs="Arial"/>
          <w:b/>
          <w:color w:val="auto"/>
          <w:sz w:val="20"/>
          <w:szCs w:val="20"/>
        </w:rPr>
        <w:t xml:space="preserve"> </w:t>
      </w:r>
      <w:r w:rsidRPr="00D84AE0">
        <w:rPr>
          <w:rFonts w:ascii="Arial" w:hAnsi="Arial" w:cs="Arial"/>
          <w:b/>
          <w:color w:val="auto"/>
          <w:sz w:val="20"/>
          <w:szCs w:val="20"/>
        </w:rPr>
        <w:t>Male Military Smokers.</w:t>
      </w:r>
    </w:p>
    <w:p w14:paraId="4873C09C" w14:textId="77777777" w:rsidR="00D56410" w:rsidRDefault="00D56410" w:rsidP="00D56410">
      <w:pPr>
        <w:pStyle w:val="Body"/>
        <w:spacing w:after="0"/>
        <w:rPr>
          <w:rFonts w:ascii="Arial" w:hAnsi="Arial" w:cs="Arial"/>
        </w:rPr>
      </w:pPr>
      <w:r w:rsidRPr="00C90957">
        <w:rPr>
          <w:noProof/>
        </w:rPr>
        <w:drawing>
          <wp:inline distT="0" distB="0" distL="0" distR="0" wp14:anchorId="6FC96249" wp14:editId="1BCC7838">
            <wp:extent cx="5212080" cy="1450594"/>
            <wp:effectExtent l="0" t="0" r="0" b="0"/>
            <wp:docPr id="208228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21542" cy="1453227"/>
                    </a:xfrm>
                    <a:prstGeom prst="rect">
                      <a:avLst/>
                    </a:prstGeom>
                    <a:noFill/>
                    <a:ln>
                      <a:noFill/>
                    </a:ln>
                  </pic:spPr>
                </pic:pic>
              </a:graphicData>
            </a:graphic>
          </wp:inline>
        </w:drawing>
      </w:r>
    </w:p>
    <w:p w14:paraId="1BB0FC3D" w14:textId="77777777" w:rsidR="00D56410" w:rsidRDefault="00D56410" w:rsidP="00D56410">
      <w:pPr>
        <w:pStyle w:val="Body"/>
        <w:spacing w:after="0"/>
        <w:rPr>
          <w:rFonts w:ascii="Arial" w:hAnsi="Arial" w:cs="Arial"/>
        </w:rPr>
      </w:pPr>
    </w:p>
    <w:p w14:paraId="548DF3DF" w14:textId="77777777" w:rsidR="000F34EB" w:rsidRDefault="000F34EB" w:rsidP="00401964">
      <w:pPr>
        <w:pStyle w:val="Body"/>
        <w:spacing w:after="0"/>
        <w:rPr>
          <w:rFonts w:ascii="Arial" w:hAnsi="Arial" w:cs="Arial"/>
        </w:rPr>
      </w:pPr>
    </w:p>
    <w:p w14:paraId="4A9FB632" w14:textId="5D49CE29" w:rsidR="00E073E6" w:rsidRDefault="000F34EB" w:rsidP="000F34EB">
      <w:pPr>
        <w:pStyle w:val="Body"/>
        <w:rPr>
          <w:rFonts w:ascii="Arial" w:hAnsi="Arial" w:cs="Arial"/>
        </w:rPr>
      </w:pPr>
      <w:r w:rsidRPr="000F34EB">
        <w:rPr>
          <w:rFonts w:ascii="Arial" w:hAnsi="Arial" w:cs="Arial"/>
        </w:rPr>
        <w:t>This study assessed the effect of cigarette smoking and alcohol consumption on serum prostate-specific antigen (PSA) levels, inflammatory markers among male military personnel aged between 25 and 64 years. Findings from this study revealed that the total PSA (</w:t>
      </w:r>
      <w:proofErr w:type="spellStart"/>
      <w:r w:rsidRPr="000F34EB">
        <w:rPr>
          <w:rFonts w:ascii="Arial" w:hAnsi="Arial" w:cs="Arial"/>
        </w:rPr>
        <w:t>tPSA</w:t>
      </w:r>
      <w:proofErr w:type="spellEnd"/>
      <w:r w:rsidRPr="000F34EB">
        <w:rPr>
          <w:rFonts w:ascii="Arial" w:hAnsi="Arial" w:cs="Arial"/>
        </w:rPr>
        <w:t>) levels were significantly elevated (p&lt;0.05) in cigarette smokers and alcohol users, with the highest levels observed in participants who used both substances. Although free PSA (</w:t>
      </w:r>
      <w:proofErr w:type="spellStart"/>
      <w:r w:rsidRPr="000F34EB">
        <w:rPr>
          <w:rFonts w:ascii="Arial" w:hAnsi="Arial" w:cs="Arial"/>
        </w:rPr>
        <w:t>fPSA</w:t>
      </w:r>
      <w:proofErr w:type="spellEnd"/>
      <w:r w:rsidRPr="000F34EB">
        <w:rPr>
          <w:rFonts w:ascii="Arial" w:hAnsi="Arial" w:cs="Arial"/>
        </w:rPr>
        <w:t xml:space="preserve">) levels showed slight increases in the exposed groups, these differences were not statistically significant. The elevated </w:t>
      </w:r>
      <w:proofErr w:type="spellStart"/>
      <w:r w:rsidRPr="000F34EB">
        <w:rPr>
          <w:rFonts w:ascii="Arial" w:hAnsi="Arial" w:cs="Arial"/>
        </w:rPr>
        <w:t>tPSA</w:t>
      </w:r>
      <w:proofErr w:type="spellEnd"/>
      <w:r w:rsidRPr="000F34EB">
        <w:rPr>
          <w:rFonts w:ascii="Arial" w:hAnsi="Arial" w:cs="Arial"/>
        </w:rPr>
        <w:t xml:space="preserve"> levels among smokers and alcohol users suggest a potential effect of these substances on the prostate gland as PSA is a serine protease produced by </w:t>
      </w:r>
      <w:r w:rsidRPr="000F34EB">
        <w:rPr>
          <w:rFonts w:ascii="Arial" w:hAnsi="Arial" w:cs="Arial"/>
        </w:rPr>
        <w:lastRenderedPageBreak/>
        <w:t xml:space="preserve">the epithelial cells of the prostate and its levels are typically elevated in conditions such as benign prostatic hyperplasia, prostatitis, and prostate cancer </w:t>
      </w:r>
      <w:r w:rsidR="00BA0533">
        <w:rPr>
          <w:rFonts w:ascii="Arial" w:hAnsi="Arial" w:cs="Arial"/>
        </w:rPr>
        <w:t>[18]</w:t>
      </w:r>
      <w:r w:rsidRPr="000F34EB">
        <w:rPr>
          <w:rFonts w:ascii="Arial" w:hAnsi="Arial" w:cs="Arial"/>
        </w:rPr>
        <w:t xml:space="preserve">. The significant elevation of </w:t>
      </w:r>
      <w:proofErr w:type="spellStart"/>
      <w:r w:rsidRPr="000F34EB">
        <w:rPr>
          <w:rFonts w:ascii="Arial" w:hAnsi="Arial" w:cs="Arial"/>
        </w:rPr>
        <w:t>tPSA</w:t>
      </w:r>
      <w:proofErr w:type="spellEnd"/>
      <w:r w:rsidRPr="000F34EB">
        <w:rPr>
          <w:rFonts w:ascii="Arial" w:hAnsi="Arial" w:cs="Arial"/>
        </w:rPr>
        <w:t xml:space="preserve"> in the exposed groups, particularly among combined users, implies a synergistic effect of tobacco and alcohol on prostatic tissue. This finding aligns with the oxidative stress hypothesis, which posits that reactive oxygen species generated by cigarette smoke and alcohol metabolism can damage cellular components, promote inflammation, and increase PSA production </w:t>
      </w:r>
      <w:r w:rsidR="00A4485F">
        <w:rPr>
          <w:rFonts w:ascii="Arial" w:hAnsi="Arial" w:cs="Arial"/>
        </w:rPr>
        <w:t>[19].</w:t>
      </w:r>
    </w:p>
    <w:p w14:paraId="5A481B80" w14:textId="11763D15" w:rsidR="000F34EB" w:rsidRPr="000F34EB" w:rsidRDefault="000F34EB" w:rsidP="000F34EB">
      <w:pPr>
        <w:pStyle w:val="Body"/>
        <w:rPr>
          <w:rFonts w:ascii="Arial" w:hAnsi="Arial" w:cs="Arial"/>
        </w:rPr>
      </w:pPr>
      <w:r w:rsidRPr="000F34EB">
        <w:rPr>
          <w:rFonts w:ascii="Arial" w:hAnsi="Arial" w:cs="Arial"/>
        </w:rPr>
        <w:t xml:space="preserve">Interestingly, </w:t>
      </w:r>
      <w:proofErr w:type="spellStart"/>
      <w:r w:rsidRPr="000F34EB">
        <w:rPr>
          <w:rFonts w:ascii="Arial" w:hAnsi="Arial" w:cs="Arial"/>
        </w:rPr>
        <w:t>fPSA</w:t>
      </w:r>
      <w:proofErr w:type="spellEnd"/>
      <w:r w:rsidRPr="000F34EB">
        <w:rPr>
          <w:rFonts w:ascii="Arial" w:hAnsi="Arial" w:cs="Arial"/>
        </w:rPr>
        <w:t xml:space="preserve"> levels did not significantly differ among the groups, indicating that while total PSA increased, the proportion of free PSA remained relatively stable. Clinically, a lower free-to-total PSA ratio is often associated with prostate cancer, while a higher ratio suggests benign conditions </w:t>
      </w:r>
      <w:r w:rsidR="0039547D">
        <w:rPr>
          <w:rFonts w:ascii="Arial" w:hAnsi="Arial" w:cs="Arial"/>
        </w:rPr>
        <w:t>[20].</w:t>
      </w:r>
      <w:r w:rsidRPr="000F34EB">
        <w:rPr>
          <w:rFonts w:ascii="Arial" w:hAnsi="Arial" w:cs="Arial"/>
        </w:rPr>
        <w:t xml:space="preserve"> The stability of </w:t>
      </w:r>
      <w:proofErr w:type="spellStart"/>
      <w:r w:rsidRPr="000F34EB">
        <w:rPr>
          <w:rFonts w:ascii="Arial" w:hAnsi="Arial" w:cs="Arial"/>
        </w:rPr>
        <w:t>fPSA</w:t>
      </w:r>
      <w:proofErr w:type="spellEnd"/>
      <w:r w:rsidRPr="000F34EB">
        <w:rPr>
          <w:rFonts w:ascii="Arial" w:hAnsi="Arial" w:cs="Arial"/>
        </w:rPr>
        <w:t xml:space="preserve"> levels in this study could indicate that the elevated </w:t>
      </w:r>
      <w:proofErr w:type="spellStart"/>
      <w:r w:rsidRPr="000F34EB">
        <w:rPr>
          <w:rFonts w:ascii="Arial" w:hAnsi="Arial" w:cs="Arial"/>
        </w:rPr>
        <w:t>tPSA</w:t>
      </w:r>
      <w:proofErr w:type="spellEnd"/>
      <w:r w:rsidRPr="000F34EB">
        <w:rPr>
          <w:rFonts w:ascii="Arial" w:hAnsi="Arial" w:cs="Arial"/>
        </w:rPr>
        <w:t xml:space="preserve"> in exposed individuals is more likely due to benign prostatic hyperplasia or inflammation rather than malignancy. The results obtained in this study are consistent with results obtained by Svatek et al. </w:t>
      </w:r>
      <w:r w:rsidR="00E6344C">
        <w:rPr>
          <w:rFonts w:ascii="Arial" w:hAnsi="Arial" w:cs="Arial"/>
        </w:rPr>
        <w:t>[21]</w:t>
      </w:r>
      <w:r w:rsidRPr="000F34EB">
        <w:rPr>
          <w:rFonts w:ascii="Arial" w:hAnsi="Arial" w:cs="Arial"/>
        </w:rPr>
        <w:t xml:space="preserve"> and Chang et al. </w:t>
      </w:r>
      <w:r w:rsidR="0097386E">
        <w:rPr>
          <w:rFonts w:ascii="Arial" w:hAnsi="Arial" w:cs="Arial"/>
        </w:rPr>
        <w:t>[22]</w:t>
      </w:r>
      <w:r w:rsidRPr="000F34EB">
        <w:rPr>
          <w:rFonts w:ascii="Arial" w:hAnsi="Arial" w:cs="Arial"/>
        </w:rPr>
        <w:t xml:space="preserve"> who reported elevated PSA levels among chronic smokers. Similarly, animal studies by Ding et al. </w:t>
      </w:r>
      <w:r w:rsidR="007C298A">
        <w:rPr>
          <w:rFonts w:ascii="Arial" w:hAnsi="Arial" w:cs="Arial"/>
        </w:rPr>
        <w:t>[23]</w:t>
      </w:r>
      <w:r w:rsidRPr="000F34EB">
        <w:rPr>
          <w:rFonts w:ascii="Arial" w:hAnsi="Arial" w:cs="Arial"/>
        </w:rPr>
        <w:t xml:space="preserve"> demonstrated increased PSA expression following ethanol exposure, consistent with our observation of higher PSA levels in alcohol users. This result also agrees with report of </w:t>
      </w:r>
      <w:proofErr w:type="spellStart"/>
      <w:r w:rsidRPr="000F34EB">
        <w:rPr>
          <w:rFonts w:ascii="Arial" w:hAnsi="Arial" w:cs="Arial"/>
        </w:rPr>
        <w:t>Escandriolo-Nackauzi</w:t>
      </w:r>
      <w:proofErr w:type="spellEnd"/>
      <w:r w:rsidRPr="000F34EB">
        <w:rPr>
          <w:rFonts w:ascii="Arial" w:hAnsi="Arial" w:cs="Arial"/>
        </w:rPr>
        <w:t xml:space="preserve"> et al. </w:t>
      </w:r>
      <w:r w:rsidR="00C923A9">
        <w:rPr>
          <w:rFonts w:ascii="Arial" w:hAnsi="Arial" w:cs="Arial"/>
        </w:rPr>
        <w:t>[24]</w:t>
      </w:r>
      <w:r w:rsidRPr="000F34EB">
        <w:rPr>
          <w:rFonts w:ascii="Arial" w:hAnsi="Arial" w:cs="Arial"/>
        </w:rPr>
        <w:t xml:space="preserve"> who reported that patients consuming both alcohol and tobacco had their serum PSA values higher than in non-consumers. However, not in alignment with findings from this study, Li et al. </w:t>
      </w:r>
      <w:r w:rsidR="00600B39">
        <w:rPr>
          <w:rFonts w:ascii="Arial" w:hAnsi="Arial" w:cs="Arial"/>
        </w:rPr>
        <w:t>[25]</w:t>
      </w:r>
      <w:r w:rsidRPr="000F34EB">
        <w:rPr>
          <w:rFonts w:ascii="Arial" w:hAnsi="Arial" w:cs="Arial"/>
        </w:rPr>
        <w:t xml:space="preserve"> found significantly lower PSA levels in smokers than in non-smokers. The discrepancy between the present findings and those of Li et al. may be attributed to differences in study population, lifestyle, and environmental exposures.</w:t>
      </w:r>
      <w:r w:rsidR="00E34A27">
        <w:rPr>
          <w:rFonts w:ascii="Arial" w:hAnsi="Arial" w:cs="Arial"/>
        </w:rPr>
        <w:t xml:space="preserve"> </w:t>
      </w:r>
      <w:r w:rsidRPr="000F34EB">
        <w:rPr>
          <w:rFonts w:ascii="Arial" w:hAnsi="Arial" w:cs="Arial"/>
        </w:rPr>
        <w:t>While the present study examined relatively homogeneous military personnel in Abuja with combined smoking and alcohol use, Li et al. focused on a heterogeneous U.S. civilian population. Variations in genetic background, smoking patterns, alcohol consumption, physical activity, and healthcare access may have contributed to the observed differences in PSA levels.</w:t>
      </w:r>
    </w:p>
    <w:p w14:paraId="5C97BF24" w14:textId="1C492B91" w:rsidR="000F34EB" w:rsidRPr="000F34EB" w:rsidRDefault="000F34EB" w:rsidP="000F34EB">
      <w:pPr>
        <w:pStyle w:val="Body"/>
        <w:rPr>
          <w:rFonts w:ascii="Arial" w:hAnsi="Arial" w:cs="Arial"/>
        </w:rPr>
      </w:pPr>
      <w:r w:rsidRPr="000F34EB">
        <w:rPr>
          <w:rFonts w:ascii="Arial" w:hAnsi="Arial" w:cs="Arial"/>
        </w:rPr>
        <w:t>On inflammatory markers, this study also found that gamma-glutamyl transferase (GGT) levels were markedly elevated in alcohol users and combined users, while interleukin-6 (IL-6) was significantly increased only among alcohol users. C-reactive protein (CRP) levels exhibited a non-significant elevation across all exposed groups.</w:t>
      </w:r>
      <w:r w:rsidR="00E073E6">
        <w:rPr>
          <w:rFonts w:ascii="Arial" w:hAnsi="Arial" w:cs="Arial"/>
        </w:rPr>
        <w:t xml:space="preserve"> </w:t>
      </w:r>
      <w:r w:rsidRPr="000F34EB">
        <w:rPr>
          <w:rFonts w:ascii="Arial" w:hAnsi="Arial" w:cs="Arial"/>
        </w:rPr>
        <w:t xml:space="preserve">The significant elevation in GGT among alcohol users and combined users is consistent with the well-established role of GGT as a biomarker of hepatic stress and oxidative burden </w:t>
      </w:r>
      <w:r w:rsidR="001762EC">
        <w:rPr>
          <w:rFonts w:ascii="Arial" w:hAnsi="Arial" w:cs="Arial"/>
        </w:rPr>
        <w:t>[26]</w:t>
      </w:r>
      <w:r w:rsidRPr="000F34EB">
        <w:rPr>
          <w:rFonts w:ascii="Arial" w:hAnsi="Arial" w:cs="Arial"/>
        </w:rPr>
        <w:t xml:space="preserve">. GGT is involved in glutathione metabolism, and its expression is upregulated in response to oxidative stress and liver injury, particularly in chronic alcohol users </w:t>
      </w:r>
      <w:r w:rsidR="008112F8">
        <w:rPr>
          <w:rFonts w:ascii="Arial" w:hAnsi="Arial" w:cs="Arial"/>
        </w:rPr>
        <w:t>[27]</w:t>
      </w:r>
      <w:r w:rsidRPr="000F34EB">
        <w:rPr>
          <w:rFonts w:ascii="Arial" w:hAnsi="Arial" w:cs="Arial"/>
        </w:rPr>
        <w:t xml:space="preserve">. Elevated GGT levels observed in this study may be attributed to chronic alcohol consumption and concurrent cigarette smoking among military personnel, which induce hepatic enzyme activity and oxidative stress. Repeated exposure to ethanol and tobacco toxins likely resulted in subclinical liver dysfunction, reflected by increased GGT levels. Additionally, the physically demanding and stressful military environment may exacerbate oxidative injury. </w:t>
      </w:r>
    </w:p>
    <w:p w14:paraId="66CA1D8E" w14:textId="6DF061A9" w:rsidR="000F34EB" w:rsidRDefault="000F34EB" w:rsidP="000F34EB">
      <w:pPr>
        <w:pStyle w:val="Body"/>
        <w:spacing w:after="0"/>
        <w:rPr>
          <w:rFonts w:ascii="Arial" w:hAnsi="Arial" w:cs="Arial"/>
        </w:rPr>
      </w:pPr>
      <w:r w:rsidRPr="000F34EB">
        <w:rPr>
          <w:rFonts w:ascii="Arial" w:hAnsi="Arial" w:cs="Arial"/>
        </w:rPr>
        <w:t xml:space="preserve">IL-6, a pro-inflammatory cytokine, was significantly elevated among alcohol users, supporting evidence that chronic alcohol consumption enhances systemic inflammation through upregulation of cytokine production </w:t>
      </w:r>
      <w:r w:rsidR="00813441">
        <w:rPr>
          <w:rFonts w:ascii="Arial" w:hAnsi="Arial" w:cs="Arial"/>
        </w:rPr>
        <w:t>[28]</w:t>
      </w:r>
      <w:r w:rsidRPr="000F34EB">
        <w:rPr>
          <w:rFonts w:ascii="Arial" w:hAnsi="Arial" w:cs="Arial"/>
        </w:rPr>
        <w:t xml:space="preserve">. Elevated IL-6 levels have been implicated in prostate carcinogenesis and are associated with increased PSA expression in prostatic epithelial cells </w:t>
      </w:r>
      <w:r w:rsidR="008966BC">
        <w:rPr>
          <w:rFonts w:ascii="Arial" w:hAnsi="Arial" w:cs="Arial"/>
        </w:rPr>
        <w:t>[29]</w:t>
      </w:r>
      <w:r w:rsidRPr="000F34EB">
        <w:rPr>
          <w:rFonts w:ascii="Arial" w:hAnsi="Arial" w:cs="Arial"/>
        </w:rPr>
        <w:t xml:space="preserve">. Although IL-6 elevation in this study was only statistically significant in alcohol users, the upward trend in smokers and combined users suggests a potential pro-inflammatory milieu fostered by substance use. C-Reactive Protein (CRP), another marker of systemic inflammation, was not significant in this study. CRP synthesis is primarily regulated by IL-6 in the liver, and it serves as a nonspecific marker of inflammation and cardiovascular risk </w:t>
      </w:r>
      <w:r w:rsidR="00CF3786">
        <w:rPr>
          <w:rFonts w:ascii="Arial" w:hAnsi="Arial" w:cs="Arial"/>
        </w:rPr>
        <w:t>[30]</w:t>
      </w:r>
      <w:r w:rsidR="00D655ED">
        <w:rPr>
          <w:rFonts w:ascii="Arial" w:hAnsi="Arial" w:cs="Arial"/>
        </w:rPr>
        <w:t>.</w:t>
      </w:r>
      <w:r w:rsidRPr="000F34EB">
        <w:rPr>
          <w:rFonts w:ascii="Arial" w:hAnsi="Arial" w:cs="Arial"/>
        </w:rPr>
        <w:t xml:space="preserve"> The lack of statistical significance in CRP elevation may be due to individual variability or the presence of confounding factors such as physical exertion common among </w:t>
      </w:r>
      <w:r w:rsidRPr="000F34EB">
        <w:rPr>
          <w:rFonts w:ascii="Arial" w:hAnsi="Arial" w:cs="Arial"/>
        </w:rPr>
        <w:lastRenderedPageBreak/>
        <w:t xml:space="preserve">military personnel. The results of elevated IL-6 levels align with findings by Crews et al. </w:t>
      </w:r>
      <w:r w:rsidR="00E85BEE">
        <w:rPr>
          <w:rFonts w:ascii="Arial" w:hAnsi="Arial" w:cs="Arial"/>
        </w:rPr>
        <w:t xml:space="preserve">[28]. </w:t>
      </w:r>
      <w:r w:rsidRPr="000F34EB">
        <w:rPr>
          <w:rFonts w:ascii="Arial" w:hAnsi="Arial" w:cs="Arial"/>
        </w:rPr>
        <w:t xml:space="preserve">Shariat et al. </w:t>
      </w:r>
      <w:r w:rsidR="00FF3A4A">
        <w:rPr>
          <w:rFonts w:ascii="Arial" w:hAnsi="Arial" w:cs="Arial"/>
        </w:rPr>
        <w:t>[31]</w:t>
      </w:r>
      <w:r w:rsidRPr="000F34EB">
        <w:rPr>
          <w:rFonts w:ascii="Arial" w:hAnsi="Arial" w:cs="Arial"/>
        </w:rPr>
        <w:t xml:space="preserve"> and Del Giudice and Gangestad, </w:t>
      </w:r>
      <w:r w:rsidR="00F124DF">
        <w:rPr>
          <w:rFonts w:ascii="Arial" w:hAnsi="Arial" w:cs="Arial"/>
        </w:rPr>
        <w:t>[30]</w:t>
      </w:r>
      <w:r w:rsidRPr="000F34EB">
        <w:rPr>
          <w:rFonts w:ascii="Arial" w:hAnsi="Arial" w:cs="Arial"/>
        </w:rPr>
        <w:t>, highlighting the role of alcohol in promoting systemic inflammation and tumor progression.</w:t>
      </w:r>
    </w:p>
    <w:p w14:paraId="0383FDA0" w14:textId="4AA600F3" w:rsidR="006C613A" w:rsidRPr="006C613A" w:rsidRDefault="006C613A" w:rsidP="006C613A">
      <w:pPr>
        <w:pStyle w:val="Body"/>
        <w:rPr>
          <w:rFonts w:ascii="Arial" w:hAnsi="Arial" w:cs="Arial"/>
        </w:rPr>
      </w:pPr>
      <w:r w:rsidRPr="006C613A">
        <w:rPr>
          <w:rFonts w:ascii="Arial" w:hAnsi="Arial" w:cs="Arial"/>
        </w:rPr>
        <w:t>Analysis of age and duration of exposure revealed a significant impact on total PSA (</w:t>
      </w:r>
      <w:proofErr w:type="spellStart"/>
      <w:r w:rsidRPr="006C613A">
        <w:rPr>
          <w:rFonts w:ascii="Arial" w:hAnsi="Arial" w:cs="Arial"/>
        </w:rPr>
        <w:t>tPSA</w:t>
      </w:r>
      <w:proofErr w:type="spellEnd"/>
      <w:r w:rsidRPr="006C613A">
        <w:rPr>
          <w:rFonts w:ascii="Arial" w:hAnsi="Arial" w:cs="Arial"/>
        </w:rPr>
        <w:t xml:space="preserve">) and gamma-glutamyl transferase (GGT) levels, particularly among older individuals and those with prolonged exposure highlighting the cumulative toxicity of cigarette smoke and alcohol. While PSA levels naturally rise with age due to benign prostatic enlargement, prolonged exposure to toxic substances may exacerbate this increase by accelerating inflammatory and hyperplastic changes in the prostate </w:t>
      </w:r>
      <w:r w:rsidR="00C82EEA">
        <w:rPr>
          <w:rFonts w:ascii="Arial" w:hAnsi="Arial" w:cs="Arial"/>
        </w:rPr>
        <w:t>[32</w:t>
      </w:r>
      <w:r w:rsidR="00FA1B88">
        <w:rPr>
          <w:rFonts w:ascii="Arial" w:hAnsi="Arial" w:cs="Arial"/>
        </w:rPr>
        <w:t>]</w:t>
      </w:r>
      <w:r w:rsidRPr="006C613A">
        <w:rPr>
          <w:rFonts w:ascii="Arial" w:hAnsi="Arial" w:cs="Arial"/>
        </w:rPr>
        <w:t xml:space="preserve">. Similarly, chronic alcohol consumption contributes to progressive liver damage </w:t>
      </w:r>
      <w:r w:rsidR="00C022AF">
        <w:rPr>
          <w:rFonts w:ascii="Arial" w:hAnsi="Arial" w:cs="Arial"/>
        </w:rPr>
        <w:t>[33]</w:t>
      </w:r>
      <w:r w:rsidRPr="006C613A">
        <w:rPr>
          <w:rFonts w:ascii="Arial" w:hAnsi="Arial" w:cs="Arial"/>
        </w:rPr>
        <w:t xml:space="preserve">, as evidenced by elevated GGT levels in long-term users. These findings emphasize the need for early intervention and lifestyle modifications to prevent chronic health complications. The age- and duration-related effects observed in this study further support a dose-response relationship between prolonged substance exposure and alterations in key biomarkers </w:t>
      </w:r>
      <w:r w:rsidR="001F26F0">
        <w:rPr>
          <w:rFonts w:ascii="Arial" w:hAnsi="Arial" w:cs="Arial"/>
        </w:rPr>
        <w:t>[32]</w:t>
      </w:r>
      <w:r w:rsidRPr="006C613A">
        <w:rPr>
          <w:rFonts w:ascii="Arial" w:hAnsi="Arial" w:cs="Arial"/>
        </w:rPr>
        <w:t xml:space="preserve">. This pattern aligns with epidemiological evidence indicating that long-term smokers and alcohol users are at increased risk for prostatic, hepatic, and cardiovascular diseases </w:t>
      </w:r>
      <w:r w:rsidR="00C14A3A">
        <w:rPr>
          <w:rFonts w:ascii="Arial" w:hAnsi="Arial" w:cs="Arial"/>
        </w:rPr>
        <w:t>[32,34]</w:t>
      </w:r>
      <w:r w:rsidRPr="006C613A">
        <w:rPr>
          <w:rFonts w:ascii="Arial" w:hAnsi="Arial" w:cs="Arial"/>
        </w:rPr>
        <w:t xml:space="preserve">. These findings are consistent with those of </w:t>
      </w:r>
      <w:r w:rsidR="00E362CF" w:rsidRPr="003E5015">
        <w:rPr>
          <w:rFonts w:ascii="Arial" w:hAnsi="Arial" w:cs="Arial"/>
        </w:rPr>
        <w:t>Koc</w:t>
      </w:r>
      <w:r w:rsidRPr="003E5015">
        <w:rPr>
          <w:rFonts w:ascii="Arial" w:hAnsi="Arial" w:cs="Arial"/>
        </w:rPr>
        <w:t xml:space="preserve"> et al. </w:t>
      </w:r>
      <w:r w:rsidR="00996529" w:rsidRPr="003E5015">
        <w:rPr>
          <w:rFonts w:ascii="Arial" w:hAnsi="Arial" w:cs="Arial"/>
        </w:rPr>
        <w:t>[35]</w:t>
      </w:r>
      <w:r w:rsidRPr="003E5015">
        <w:rPr>
          <w:rFonts w:ascii="Arial" w:hAnsi="Arial" w:cs="Arial"/>
        </w:rPr>
        <w:t>,</w:t>
      </w:r>
      <w:r w:rsidRPr="006C613A">
        <w:rPr>
          <w:rFonts w:ascii="Arial" w:hAnsi="Arial" w:cs="Arial"/>
        </w:rPr>
        <w:t xml:space="preserve"> who reported that cigarette smoking significantly influences PSA levels across different age groups. </w:t>
      </w:r>
      <w:r w:rsidR="001043E5">
        <w:rPr>
          <w:rFonts w:ascii="Arial" w:hAnsi="Arial" w:cs="Arial"/>
        </w:rPr>
        <w:t xml:space="preserve"> </w:t>
      </w:r>
    </w:p>
    <w:p w14:paraId="4F5BB486" w14:textId="10F714D1" w:rsidR="00790ADA" w:rsidRPr="00FB3A86" w:rsidRDefault="006C613A" w:rsidP="00412C1D">
      <w:pPr>
        <w:pStyle w:val="Body"/>
        <w:rPr>
          <w:rFonts w:ascii="Arial" w:hAnsi="Arial" w:cs="Arial"/>
        </w:rPr>
      </w:pPr>
      <w:r w:rsidRPr="006C613A">
        <w:rPr>
          <w:rFonts w:ascii="Arial" w:hAnsi="Arial" w:cs="Arial"/>
        </w:rPr>
        <w:t>Correlation analyses revealed weak but notable associations between PSA levels and both inflammatory markers (CRP, IL-6). Despite the generally low correlation strength, these findings offer valuable insight into the complex interplay between systemic inflammation</w:t>
      </w:r>
      <w:r w:rsidR="00607FA7">
        <w:rPr>
          <w:rFonts w:ascii="Arial" w:hAnsi="Arial" w:cs="Arial"/>
        </w:rPr>
        <w:t xml:space="preserve"> </w:t>
      </w:r>
      <w:r w:rsidRPr="006C613A">
        <w:rPr>
          <w:rFonts w:ascii="Arial" w:hAnsi="Arial" w:cs="Arial"/>
        </w:rPr>
        <w:t xml:space="preserve">and prostate function. The observed positive correlations between PSA and IL-6/CRP support the role of inflammation in PSA elevation, highlighting the biological plausibility of inflammation-driven prostate changes which suggests that as systemic inflammation increases, PSA levels also tend to rise. This supports the idea that inflammation, either local (in the prostate) or systemic, can influence PSA production or release, making it a contributing factor in prostate changes such as benign prostatic hyperplasia (BPH), prostatitis, or even cancer </w:t>
      </w:r>
      <w:r w:rsidR="00BF700A">
        <w:rPr>
          <w:rFonts w:ascii="Arial" w:hAnsi="Arial" w:cs="Arial"/>
        </w:rPr>
        <w:t>[36</w:t>
      </w:r>
      <w:r w:rsidR="009438A1">
        <w:rPr>
          <w:rFonts w:ascii="Arial" w:hAnsi="Arial" w:cs="Arial"/>
        </w:rPr>
        <w:t>,</w:t>
      </w:r>
      <w:r w:rsidR="009219BE">
        <w:rPr>
          <w:rFonts w:ascii="Arial" w:hAnsi="Arial" w:cs="Arial"/>
        </w:rPr>
        <w:t>37]</w:t>
      </w:r>
      <w:r w:rsidRPr="006C613A">
        <w:rPr>
          <w:rFonts w:ascii="Arial" w:hAnsi="Arial" w:cs="Arial"/>
        </w:rPr>
        <w:t xml:space="preserve">. </w:t>
      </w:r>
    </w:p>
    <w:p w14:paraId="0C294C1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2C5F5B5" w14:textId="1D71BD1B" w:rsidR="00B01FCD" w:rsidRDefault="00AD2293" w:rsidP="00441B6F">
      <w:pPr>
        <w:pStyle w:val="Body"/>
        <w:spacing w:after="0"/>
        <w:rPr>
          <w:rFonts w:ascii="Arial" w:hAnsi="Arial" w:cs="Arial"/>
        </w:rPr>
      </w:pPr>
      <w:r w:rsidRPr="00AD2293">
        <w:rPr>
          <w:rFonts w:ascii="Arial" w:hAnsi="Arial" w:cs="Arial"/>
        </w:rPr>
        <w:t>The findings demonstrated that total PSA levels were significantly elevated in smokers and alcohol users, with the highest concentrations observed in individuals who used both substances. Cigarette smoking and alcohol use in this study were associated with elevated GGT and Interleukin-6 levels, indicating hepatic stress and systemic inflammation. Chronic alcohol intake induces hepatic enzyme activity, while cigarette smoke introduces oxidative toxins that exacerbate hepatocellular injury, resulting in increased GGT levels. Concurrently, both exposures stimulate inflammatory pathways, leading to increased IL-6 production and reflecting chronic low-grade inflammation. The combined effect of these factors, alongside the physical and psychological demands of military service, likely amplifies oxidative stress and inflammatory responses in this population.</w:t>
      </w:r>
    </w:p>
    <w:p w14:paraId="5C43B7B5" w14:textId="395430D7" w:rsidR="002B685A" w:rsidRDefault="002B685A" w:rsidP="00441B6F">
      <w:pPr>
        <w:pStyle w:val="ReferHead"/>
        <w:spacing w:after="0"/>
        <w:jc w:val="both"/>
        <w:rPr>
          <w:rFonts w:ascii="Arial" w:hAnsi="Arial" w:cs="Arial"/>
          <w:b w:val="0"/>
          <w:caps w:val="0"/>
          <w:sz w:val="20"/>
        </w:rPr>
      </w:pPr>
    </w:p>
    <w:p w14:paraId="6DE274E8" w14:textId="77777777" w:rsidR="00BD2D43" w:rsidRDefault="00BD2D43" w:rsidP="00441B6F">
      <w:pPr>
        <w:pStyle w:val="ReferHead"/>
        <w:spacing w:after="0"/>
        <w:jc w:val="both"/>
        <w:rPr>
          <w:rFonts w:ascii="Arial" w:hAnsi="Arial" w:cs="Arial"/>
          <w:b w:val="0"/>
          <w:caps w:val="0"/>
          <w:sz w:val="20"/>
        </w:rPr>
      </w:pPr>
    </w:p>
    <w:p w14:paraId="2CEB78A4" w14:textId="6210D48B"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31934423" w14:textId="77777777" w:rsidR="00FC1993" w:rsidRPr="00B83A61" w:rsidRDefault="00FC1993" w:rsidP="00FC1993">
      <w:pPr>
        <w:pStyle w:val="Body"/>
        <w:rPr>
          <w:rFonts w:ascii="Arial" w:eastAsia="Calibri" w:hAnsi="Arial" w:cs="Arial"/>
          <w:szCs w:val="22"/>
        </w:rPr>
      </w:pPr>
      <w:r w:rsidRPr="00B83A61">
        <w:rPr>
          <w:rFonts w:ascii="Arial" w:eastAsia="Calibri" w:hAnsi="Arial" w:cs="Arial"/>
          <w:szCs w:val="22"/>
        </w:rPr>
        <w:t xml:space="preserve">Written Informed consent was gotten from all participants through consent forms before questionnaires were administered to the study subjects. </w:t>
      </w:r>
    </w:p>
    <w:p w14:paraId="77F608EF" w14:textId="7735D44D"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0D9CE406" w14:textId="1DAAF59D" w:rsidR="00860000" w:rsidRDefault="002F3871" w:rsidP="003B2B3F">
      <w:pPr>
        <w:pStyle w:val="Body"/>
        <w:rPr>
          <w:rFonts w:ascii="Arial" w:eastAsia="Calibri" w:hAnsi="Arial" w:cs="Arial"/>
          <w:szCs w:val="22"/>
        </w:rPr>
      </w:pPr>
      <w:r w:rsidRPr="00B83A61">
        <w:rPr>
          <w:rFonts w:ascii="Arial" w:eastAsia="Calibri" w:hAnsi="Arial" w:cs="Arial"/>
          <w:szCs w:val="22"/>
        </w:rPr>
        <w:t>Ethical approval was obtained from Army Command and NAOWA Hospital Abuja research ethical committee with reference number ACNHA/G1/300/103.</w:t>
      </w:r>
    </w:p>
    <w:p w14:paraId="7BDAE454" w14:textId="77777777" w:rsidR="001A1544" w:rsidRPr="001A1544" w:rsidRDefault="001A1544" w:rsidP="001A1544">
      <w:pPr>
        <w:jc w:val="both"/>
        <w:rPr>
          <w:rFonts w:ascii="Arial" w:eastAsiaTheme="minorEastAsia" w:hAnsi="Arial" w:cs="Arial"/>
          <w:b/>
          <w:bCs/>
          <w:sz w:val="22"/>
          <w:szCs w:val="22"/>
          <w:highlight w:val="yellow"/>
          <w:lang w:val="en-GB" w:eastAsia="en-GB"/>
        </w:rPr>
      </w:pPr>
      <w:r w:rsidRPr="001A1544">
        <w:rPr>
          <w:rFonts w:ascii="Arial" w:eastAsiaTheme="minorEastAsia" w:hAnsi="Arial" w:cs="Arial"/>
          <w:b/>
          <w:bCs/>
          <w:sz w:val="22"/>
          <w:szCs w:val="22"/>
          <w:highlight w:val="yellow"/>
          <w:lang w:val="en-GB" w:eastAsia="en-GB"/>
        </w:rPr>
        <w:t>COMPETING INTERESTS DISCLAIMER:</w:t>
      </w:r>
    </w:p>
    <w:p w14:paraId="17765CA2" w14:textId="77777777" w:rsidR="001A1544" w:rsidRPr="001A1544" w:rsidRDefault="001A1544" w:rsidP="001A1544">
      <w:pPr>
        <w:jc w:val="both"/>
        <w:rPr>
          <w:rFonts w:ascii="Arial" w:eastAsiaTheme="minorEastAsia" w:hAnsi="Arial" w:cs="Arial"/>
          <w:b/>
          <w:bCs/>
          <w:sz w:val="22"/>
          <w:szCs w:val="22"/>
          <w:highlight w:val="yellow"/>
          <w:lang w:val="en-GB" w:eastAsia="en-GB"/>
        </w:rPr>
      </w:pPr>
    </w:p>
    <w:p w14:paraId="32CC7EE8" w14:textId="77777777" w:rsidR="001A1544" w:rsidRPr="001A1544" w:rsidRDefault="001A1544" w:rsidP="001A1544">
      <w:pPr>
        <w:jc w:val="both"/>
        <w:rPr>
          <w:rFonts w:ascii="Arial" w:eastAsiaTheme="minorEastAsia" w:hAnsi="Arial" w:cs="Arial"/>
          <w:bCs/>
          <w:sz w:val="22"/>
          <w:szCs w:val="22"/>
          <w:lang w:val="en-GB" w:eastAsia="en-GB"/>
        </w:rPr>
      </w:pPr>
      <w:r w:rsidRPr="001A1544">
        <w:rPr>
          <w:rFonts w:ascii="Arial" w:eastAsiaTheme="minorEastAsia" w:hAnsi="Arial" w:cs="Arial"/>
          <w:b/>
          <w:bCs/>
          <w:sz w:val="22"/>
          <w:szCs w:val="22"/>
          <w:highlight w:val="yellow"/>
          <w:lang w:val="en-GB" w:eastAsia="en-GB"/>
        </w:rPr>
        <w:lastRenderedPageBreak/>
        <w:t>Authors have declared that they have no known competing financial interests OR non-financial interests OR personal relationships that could have appeared to influence the work reported in this paper.</w:t>
      </w:r>
    </w:p>
    <w:p w14:paraId="204D139C" w14:textId="77777777" w:rsidR="001A1544" w:rsidRPr="003B2B3F" w:rsidRDefault="001A1544" w:rsidP="003B2B3F">
      <w:pPr>
        <w:pStyle w:val="Body"/>
        <w:rPr>
          <w:rFonts w:ascii="Arial" w:eastAsia="Calibri" w:hAnsi="Arial" w:cs="Arial"/>
          <w:szCs w:val="22"/>
        </w:rPr>
      </w:pPr>
    </w:p>
    <w:p w14:paraId="56E466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4BF8146" w14:textId="2089D48F" w:rsidR="00FE17CA" w:rsidRDefault="00FE17CA" w:rsidP="00FE17CA">
      <w:pPr>
        <w:pStyle w:val="Body"/>
        <w:spacing w:after="0"/>
      </w:pPr>
      <w:r>
        <w:t>1. National Cancer Institute. Genetics of prostate cancer (PDQ®)–Health professional version. U.S. Department of Health and Human Services, 2025. Retrieved October 25, 2025, from https://www.cancer.gov/types/prostate/hp/prostate-genetics-pdq</w:t>
      </w:r>
    </w:p>
    <w:p w14:paraId="11CF1C98" w14:textId="7334A169" w:rsidR="00FE17CA" w:rsidRDefault="00FE17CA" w:rsidP="00FE17CA">
      <w:pPr>
        <w:pStyle w:val="Body"/>
        <w:spacing w:after="0"/>
      </w:pPr>
      <w:r>
        <w:t xml:space="preserve">2. National Cancer Institute. Lobes of the prostate | SEER Training. SEER Training Modules. U.S. Department of Health and Human Services, 2025. Retrieved October 25, 2025, from https://www.training.seer.cancer.gov/prostate/anatomy/lobes.html </w:t>
      </w:r>
    </w:p>
    <w:p w14:paraId="5188B59B" w14:textId="1D403F70" w:rsidR="00FE17CA" w:rsidRDefault="00FE17CA" w:rsidP="00FE17CA">
      <w:pPr>
        <w:pStyle w:val="Body"/>
        <w:spacing w:after="0"/>
      </w:pPr>
      <w:r>
        <w:t xml:space="preserve">3. </w:t>
      </w:r>
      <w:proofErr w:type="spellStart"/>
      <w:r>
        <w:t>Ferlay</w:t>
      </w:r>
      <w:proofErr w:type="spellEnd"/>
      <w:r>
        <w:t xml:space="preserve">, J. Ervik, M., Lam, F., </w:t>
      </w:r>
      <w:proofErr w:type="spellStart"/>
      <w:r>
        <w:t>Colombet</w:t>
      </w:r>
      <w:proofErr w:type="spellEnd"/>
      <w:r>
        <w:t>, M., Mery, L. &amp; Piñeros, M. Global    cancer observatory: Cancer today. Lyon: International   Agency   for   Research on Cancer, 2020. Available: https://gco.iarc.fr/today</w:t>
      </w:r>
    </w:p>
    <w:p w14:paraId="04ABD29B" w14:textId="77777777" w:rsidR="00FE17CA" w:rsidRDefault="00FE17CA" w:rsidP="00FE17CA">
      <w:pPr>
        <w:pStyle w:val="Body"/>
        <w:spacing w:after="0"/>
      </w:pPr>
      <w:r>
        <w:t xml:space="preserve">4. </w:t>
      </w:r>
      <w:proofErr w:type="spellStart"/>
      <w:r>
        <w:t>Beega</w:t>
      </w:r>
      <w:proofErr w:type="spellEnd"/>
      <w:r>
        <w:t xml:space="preserve">, F. G., Elechi-Amadi, K., Aloy, S. C., Abiola, S. A., Ugochukwu, O., </w:t>
      </w:r>
      <w:proofErr w:type="spellStart"/>
      <w:r>
        <w:t>Elekima</w:t>
      </w:r>
      <w:proofErr w:type="spellEnd"/>
      <w:r>
        <w:t xml:space="preserve">, I., &amp; Nwachuku, E. O. Epigenetic mechanisms of metal carcinogenicity: Exploring associated therapeutic options for </w:t>
      </w:r>
      <w:proofErr w:type="spellStart"/>
      <w:r>
        <w:t>individualised</w:t>
      </w:r>
      <w:proofErr w:type="spellEnd"/>
      <w:r>
        <w:t xml:space="preserve"> treatments. International </w:t>
      </w:r>
      <w:proofErr w:type="gramStart"/>
      <w:r>
        <w:t>Research  Journal</w:t>
      </w:r>
      <w:proofErr w:type="gramEnd"/>
      <w:r>
        <w:t xml:space="preserve"> of Oncology2024, 7: 153-69.</w:t>
      </w:r>
    </w:p>
    <w:p w14:paraId="4EBB28DF" w14:textId="77777777" w:rsidR="00FE17CA" w:rsidRDefault="00FE17CA" w:rsidP="00FE17CA">
      <w:pPr>
        <w:pStyle w:val="Body"/>
        <w:spacing w:after="0"/>
      </w:pPr>
      <w:r>
        <w:t xml:space="preserve">5. Raphael, J. E., &amp; </w:t>
      </w:r>
      <w:proofErr w:type="spellStart"/>
      <w:r>
        <w:t>Ekeke</w:t>
      </w:r>
      <w:proofErr w:type="spellEnd"/>
      <w:r>
        <w:t xml:space="preserve">, O. N. Cigarette Smoking, Alcohol Consumption, and the Risk of Prostate Cancer-A Retrospective Analysis of Prostate Cancer Patients in Southern Nigeria. Nigerian Medical Journal: Journal of the Nigeria Medical Association, 2022, 62(6):  346–52. </w:t>
      </w:r>
    </w:p>
    <w:p w14:paraId="7D1BE56C" w14:textId="77777777" w:rsidR="00FE17CA" w:rsidRDefault="00FE17CA" w:rsidP="00FE17CA">
      <w:pPr>
        <w:pStyle w:val="Body"/>
        <w:spacing w:after="0"/>
      </w:pPr>
      <w:r>
        <w:t xml:space="preserve">6. Culp, M. B., </w:t>
      </w:r>
      <w:proofErr w:type="spellStart"/>
      <w:r>
        <w:t>Soerjomataram</w:t>
      </w:r>
      <w:proofErr w:type="spellEnd"/>
      <w:r>
        <w:t>, I., Efstathiou, J. A., Bray, F. &amp; Jemal, A.  Recent global patterns in prostate cancer incidence and mortality rates. European Urology, 2018, 77(1): 38–52.</w:t>
      </w:r>
    </w:p>
    <w:p w14:paraId="323D6E73" w14:textId="77777777" w:rsidR="00FE17CA" w:rsidRDefault="00FE17CA" w:rsidP="00FE17CA">
      <w:pPr>
        <w:pStyle w:val="Body"/>
        <w:spacing w:after="0"/>
      </w:pPr>
      <w:r>
        <w:t xml:space="preserve">7. Kumar, S., </w:t>
      </w:r>
      <w:proofErr w:type="spellStart"/>
      <w:r>
        <w:t>Gurshaney</w:t>
      </w:r>
      <w:proofErr w:type="spellEnd"/>
      <w:r>
        <w:t xml:space="preserve">, S., Adagunodo, Y., Gage, E., Qadri, S., Sharma, M., Malik, S., Manne, U., Singh, U. P., Singh, R. &amp; Mishra, M. K. Hsp70 and </w:t>
      </w:r>
      <w:proofErr w:type="spellStart"/>
      <w:r>
        <w:t>gama</w:t>
      </w:r>
      <w:proofErr w:type="spellEnd"/>
      <w:r>
        <w:t xml:space="preserve">-Semino protein as possible prognostic marker of prostate cancer. Frontiers in Bioscience (Landmark edition), 2018, 23(11): 1987–2000. </w:t>
      </w:r>
    </w:p>
    <w:p w14:paraId="79C30252" w14:textId="77777777" w:rsidR="00FE17CA" w:rsidRDefault="00FE17CA" w:rsidP="00FE17CA">
      <w:pPr>
        <w:pStyle w:val="Body"/>
        <w:spacing w:after="0"/>
      </w:pPr>
      <w:r>
        <w:t xml:space="preserve">8. David, M. K. &amp; Leslie, S. W. Prostate-Specific Antigen. In: </w:t>
      </w:r>
      <w:proofErr w:type="spellStart"/>
      <w:r>
        <w:t>StatPearls</w:t>
      </w:r>
      <w:proofErr w:type="spellEnd"/>
      <w:r>
        <w:t xml:space="preserve">. Treasure Island (FL): </w:t>
      </w:r>
      <w:proofErr w:type="spellStart"/>
      <w:r>
        <w:t>StatPearls</w:t>
      </w:r>
      <w:proofErr w:type="spellEnd"/>
      <w:r>
        <w:t xml:space="preserve"> Publishing; 2025 Jan-. Available from: https://www.ncbi.nlm.nih.gov/books/NBK557495/ </w:t>
      </w:r>
    </w:p>
    <w:p w14:paraId="493D0E1B" w14:textId="5D28A2B3" w:rsidR="00FE17CA" w:rsidRDefault="00FE17CA" w:rsidP="00FE17CA">
      <w:pPr>
        <w:pStyle w:val="Body"/>
        <w:spacing w:after="0"/>
      </w:pPr>
      <w:r>
        <w:t xml:space="preserve">9. Zuccolo, L., Lewis, S. J., Donovan, J. L., Hamdy, F. C., Neal, D. E. &amp; Smith, G. D. Alcohol consumption and PSA-detected prostate cancer risk--a case-control nested in the </w:t>
      </w:r>
      <w:proofErr w:type="gramStart"/>
      <w:r>
        <w:t>Protec  T</w:t>
      </w:r>
      <w:proofErr w:type="gramEnd"/>
      <w:r>
        <w:t xml:space="preserve"> study. International Journal of Cancer, 2013; 132(9): 2176–85. </w:t>
      </w:r>
    </w:p>
    <w:p w14:paraId="465307A3" w14:textId="7E94BD2F" w:rsidR="00FE17CA" w:rsidRDefault="00FE17CA" w:rsidP="00FE17CA">
      <w:pPr>
        <w:pStyle w:val="Body"/>
        <w:spacing w:after="0"/>
      </w:pPr>
      <w:r>
        <w:t xml:space="preserve">10. Simeon, C. A., </w:t>
      </w:r>
      <w:proofErr w:type="spellStart"/>
      <w:r>
        <w:t>Beega</w:t>
      </w:r>
      <w:proofErr w:type="spellEnd"/>
      <w:r>
        <w:t xml:space="preserve">, G. F., Abiola, S. A., </w:t>
      </w:r>
      <w:proofErr w:type="spellStart"/>
      <w:r>
        <w:t>Wofuru</w:t>
      </w:r>
      <w:proofErr w:type="spellEnd"/>
      <w:r>
        <w:t xml:space="preserve">, C. D. &amp; Eze, C. C. Significance of inflammatory biomarkers in clinical diagnostics: Erythrocyte sedimentation rate versus other inflammatory biomarkers—A review. International Journal of Science Research Archives, 2024; 12: 1980-95. </w:t>
      </w:r>
    </w:p>
    <w:p w14:paraId="7A58CC48" w14:textId="77777777" w:rsidR="00FE17CA" w:rsidRDefault="00FE17CA" w:rsidP="00FE17CA">
      <w:pPr>
        <w:pStyle w:val="Body"/>
        <w:spacing w:after="0"/>
      </w:pPr>
      <w:r>
        <w:t xml:space="preserve">11.World Health Organization. Tobacco. Retrieved September 15, 2025, from https://www.who.int/news-room/fact-sheets/detail/tobacco </w:t>
      </w:r>
    </w:p>
    <w:p w14:paraId="3BA1DEB7" w14:textId="77777777" w:rsidR="00FE17CA" w:rsidRDefault="00FE17CA" w:rsidP="00FE17CA">
      <w:pPr>
        <w:pStyle w:val="Body"/>
        <w:spacing w:after="0"/>
      </w:pPr>
      <w:r>
        <w:t xml:space="preserve">12. Press, D. J., Pierce, B., Lauderdale, D. S., </w:t>
      </w:r>
      <w:proofErr w:type="spellStart"/>
      <w:r>
        <w:t>Aschebrook</w:t>
      </w:r>
      <w:proofErr w:type="spellEnd"/>
      <w:r>
        <w:t xml:space="preserve">-Kilfoy, B., Lin Gomez, S., Hedeker, D., Wright, N. E., Fantus, R. J., Bettencourt, L., Ahsan, H. &amp; </w:t>
      </w:r>
      <w:proofErr w:type="spellStart"/>
      <w:r>
        <w:t>Eggener</w:t>
      </w:r>
      <w:proofErr w:type="spellEnd"/>
      <w:r>
        <w:t xml:space="preserve">, S. Tobacco and marijuana use and their association with serum prostate-specific antigen levels among  African American men in Chicago. Preventive Medicine Reports, 2020; 20: 101-17. </w:t>
      </w:r>
    </w:p>
    <w:p w14:paraId="4BE9F65C" w14:textId="77777777" w:rsidR="00FE17CA" w:rsidRDefault="00FE17CA" w:rsidP="00FE17CA">
      <w:pPr>
        <w:pStyle w:val="Body"/>
        <w:spacing w:after="0"/>
      </w:pPr>
      <w:r>
        <w:t xml:space="preserve">13. </w:t>
      </w:r>
      <w:proofErr w:type="spellStart"/>
      <w:r>
        <w:t>Elleh</w:t>
      </w:r>
      <w:proofErr w:type="spellEnd"/>
      <w:r>
        <w:t>, N.  Architecture and Politics in Nigeria: The Study of a Late Twentieth-Century Enlightenment-Inspired Modernism at Abuja, 2016, 1900–2016. Routledge.</w:t>
      </w:r>
    </w:p>
    <w:p w14:paraId="699D0621" w14:textId="7437E8E6" w:rsidR="00FE17CA" w:rsidRPr="00C2415F" w:rsidRDefault="007C7D1B" w:rsidP="00FE17CA">
      <w:pPr>
        <w:pStyle w:val="Body"/>
        <w:spacing w:after="0"/>
      </w:pPr>
      <w:r w:rsidRPr="00C2415F">
        <w:t xml:space="preserve">14. </w:t>
      </w:r>
      <w:proofErr w:type="spellStart"/>
      <w:r w:rsidR="00E362CF" w:rsidRPr="00C2415F">
        <w:t>Agunleti</w:t>
      </w:r>
      <w:proofErr w:type="spellEnd"/>
      <w:r w:rsidR="00E362CF" w:rsidRPr="00C2415F">
        <w:t xml:space="preserve">, Y. S., &amp; </w:t>
      </w:r>
      <w:proofErr w:type="spellStart"/>
      <w:r w:rsidR="00E362CF" w:rsidRPr="00C2415F">
        <w:t>Arikawe</w:t>
      </w:r>
      <w:proofErr w:type="spellEnd"/>
      <w:r w:rsidR="00E362CF" w:rsidRPr="00C2415F">
        <w:t xml:space="preserve">, E. A. Groundwater targeting within the basement complex rocks of Federal Capital Territory Abuja using remotely sensed and vertical electrical sounding data. </w:t>
      </w:r>
      <w:r w:rsidR="00E362CF" w:rsidRPr="00C2415F">
        <w:rPr>
          <w:i/>
          <w:iCs/>
        </w:rPr>
        <w:t>International Journal of Technology Enhancements and Emerging Engineering Research</w:t>
      </w:r>
      <w:r w:rsidR="00E362CF" w:rsidRPr="00C2415F">
        <w:t>,</w:t>
      </w:r>
      <w:r w:rsidR="00194E60" w:rsidRPr="00C2415F">
        <w:t xml:space="preserve"> 2014;</w:t>
      </w:r>
      <w:r w:rsidR="00E362CF" w:rsidRPr="00C2415F">
        <w:t xml:space="preserve"> 2(12), 38–47.</w:t>
      </w:r>
    </w:p>
    <w:p w14:paraId="4801109B" w14:textId="77777777" w:rsidR="00FE17CA" w:rsidRDefault="00FE17CA" w:rsidP="00FE17CA">
      <w:pPr>
        <w:pStyle w:val="Body"/>
        <w:spacing w:after="0"/>
      </w:pPr>
      <w:r w:rsidRPr="00C2415F">
        <w:t>15. Lauren, T. Simple Random</w:t>
      </w:r>
      <w:r>
        <w:t xml:space="preserve"> Sampling Definition, Steps and Examples 2023.</w:t>
      </w:r>
    </w:p>
    <w:p w14:paraId="6BE6E45F" w14:textId="12437152" w:rsidR="00FE17CA" w:rsidRDefault="00FE17CA" w:rsidP="00FE17CA">
      <w:pPr>
        <w:pStyle w:val="Body"/>
        <w:spacing w:after="0"/>
      </w:pPr>
      <w:r>
        <w:lastRenderedPageBreak/>
        <w:t xml:space="preserve">16. Yang, X., Liu, Y., Zhang, Y. &amp; Chen, L. Evaluation of serum free PSA levels using </w:t>
      </w:r>
      <w:proofErr w:type="spellStart"/>
      <w:r>
        <w:t>Fluorecare</w:t>
      </w:r>
      <w:proofErr w:type="spellEnd"/>
      <w:r>
        <w:t xml:space="preserve"> diagnostic reagent and immunochromatographic method. Journal of Clinical Laboratory Analysis, 2017; 31(6): e22145. Shenzhen </w:t>
      </w:r>
      <w:proofErr w:type="spellStart"/>
      <w:r>
        <w:t>Microprofit</w:t>
      </w:r>
      <w:proofErr w:type="spellEnd"/>
      <w:r>
        <w:t xml:space="preserve"> Biotech Company Limited.</w:t>
      </w:r>
    </w:p>
    <w:p w14:paraId="13D3F717" w14:textId="2C31A52E" w:rsidR="00FE17CA" w:rsidRDefault="00FE17CA" w:rsidP="00FE17CA">
      <w:pPr>
        <w:pStyle w:val="Body"/>
        <w:spacing w:after="0"/>
      </w:pPr>
      <w:r w:rsidRPr="00C2415F">
        <w:t xml:space="preserve">17. </w:t>
      </w:r>
      <w:r w:rsidR="007C7D1B" w:rsidRPr="00C2415F">
        <w:t xml:space="preserve">Gendler, S. J., &amp; Levine, M. J. Carboxy substrate kinetic photometric method for the determination of gamma-glutamyl transferase activity. </w:t>
      </w:r>
      <w:r w:rsidR="007C7D1B" w:rsidRPr="00C2415F">
        <w:rPr>
          <w:i/>
          <w:iCs/>
        </w:rPr>
        <w:t xml:space="preserve">Clinical </w:t>
      </w:r>
      <w:r w:rsidR="00C2415F" w:rsidRPr="00C2415F">
        <w:rPr>
          <w:i/>
          <w:iCs/>
        </w:rPr>
        <w:t>Chemistry</w:t>
      </w:r>
      <w:r w:rsidR="00C2415F" w:rsidRPr="00C2415F">
        <w:t xml:space="preserve">, 1984; </w:t>
      </w:r>
      <w:r w:rsidR="007C7D1B" w:rsidRPr="00C2415F">
        <w:t>30(3), 405–408.</w:t>
      </w:r>
      <w:r w:rsidRPr="00C2415F">
        <w:t xml:space="preserve"> </w:t>
      </w:r>
    </w:p>
    <w:p w14:paraId="45BAFA75" w14:textId="77777777" w:rsidR="00FE17CA" w:rsidRDefault="00FE17CA" w:rsidP="00FE17CA">
      <w:pPr>
        <w:pStyle w:val="Body"/>
        <w:spacing w:after="0"/>
      </w:pPr>
      <w:r>
        <w:t>18. Ke, C. C. &amp; Liu, R. S. Lentiviral-Encoded Sodium Iodide Symporter-Mediated Cancer Gene Therapy. In Gene Therapy of Cancer, 2014 (pp. 463-478). Academic Press.</w:t>
      </w:r>
    </w:p>
    <w:p w14:paraId="312730D3" w14:textId="77777777" w:rsidR="00FE17CA" w:rsidRDefault="00FE17CA" w:rsidP="00FE17CA">
      <w:pPr>
        <w:pStyle w:val="Body"/>
        <w:spacing w:after="0"/>
      </w:pPr>
      <w:r>
        <w:t xml:space="preserve">19. </w:t>
      </w:r>
      <w:proofErr w:type="spellStart"/>
      <w:r>
        <w:t>Jomova</w:t>
      </w:r>
      <w:proofErr w:type="spellEnd"/>
      <w:r>
        <w:t xml:space="preserve">, K., </w:t>
      </w:r>
      <w:proofErr w:type="spellStart"/>
      <w:r>
        <w:t>Raptova</w:t>
      </w:r>
      <w:proofErr w:type="spellEnd"/>
      <w:r>
        <w:t xml:space="preserve">, R., Alomar, S. Y., </w:t>
      </w:r>
      <w:proofErr w:type="spellStart"/>
      <w:r>
        <w:t>Alwasel</w:t>
      </w:r>
      <w:proofErr w:type="spellEnd"/>
      <w:r>
        <w:t xml:space="preserve">, S. H., </w:t>
      </w:r>
      <w:proofErr w:type="spellStart"/>
      <w:r>
        <w:t>Nepovimova</w:t>
      </w:r>
      <w:proofErr w:type="spellEnd"/>
      <w:r>
        <w:t>, E., Kuca, K. &amp; Valko, M. Reactive oxygen species, toxicity, oxidative stress, and antioxidants: Chronic diseases and aging. Archives of toxicology, 2023; 97(10): 2499-574.</w:t>
      </w:r>
    </w:p>
    <w:p w14:paraId="4788CBB8" w14:textId="17379B5D" w:rsidR="00FE17CA" w:rsidRDefault="00FE17CA" w:rsidP="00FE17CA">
      <w:pPr>
        <w:pStyle w:val="Body"/>
        <w:spacing w:after="0"/>
      </w:pPr>
      <w:r>
        <w:t xml:space="preserve">20. </w:t>
      </w:r>
      <w:proofErr w:type="spellStart"/>
      <w:r>
        <w:t>Sii</w:t>
      </w:r>
      <w:proofErr w:type="spellEnd"/>
      <w:r>
        <w:t>, S., Papa, N., Yiu, T. W., Tempo, J., Qu, L., Perera, M., Thompson, I., Ischia, J., Fleshner, N., Smith, E., Ranasinghe, W., Bolton, D. &amp; Woon, D. T. S.  Utility of PSA free-to-total ratio for clinically significant prostate cancer in men with a PSA level of &lt;4 ng/</w:t>
      </w:r>
      <w:proofErr w:type="spellStart"/>
      <w:r>
        <w:t>mL.</w:t>
      </w:r>
      <w:proofErr w:type="spellEnd"/>
      <w:r>
        <w:t xml:space="preserve"> BJU International, 2025; 135(4): 550–6. </w:t>
      </w:r>
    </w:p>
    <w:p w14:paraId="65FC2D1B" w14:textId="77777777" w:rsidR="00FE17CA" w:rsidRDefault="00FE17CA" w:rsidP="00FE17CA">
      <w:pPr>
        <w:pStyle w:val="Body"/>
        <w:spacing w:after="0"/>
      </w:pPr>
      <w:r>
        <w:t>21. Svatek, R. S., Shulman, A., Thompson, I. M. &amp; Womack, B. J.  Cigarette smoking and prostate-specific antigen levels in men without prostate cancer. Urology, 2010; 75(6): 1220–3.</w:t>
      </w:r>
    </w:p>
    <w:p w14:paraId="165B47CB" w14:textId="77777777" w:rsidR="00FE17CA" w:rsidRDefault="00FE17CA" w:rsidP="00FE17CA">
      <w:pPr>
        <w:pStyle w:val="Body"/>
        <w:spacing w:after="0"/>
      </w:pPr>
      <w:r>
        <w:t>22. Chang, L. W., Lo, W. S., Lin, P., Lee, C. C. &amp; Lee, H. Induction of oxidative stress and apoptosis in human prostate carcinoma cells by cigarette smoke condensate. Toxicology, 2005; 207(2): 193–202.</w:t>
      </w:r>
    </w:p>
    <w:p w14:paraId="46DDE833" w14:textId="71030E77" w:rsidR="00FE17CA" w:rsidRDefault="00FE17CA" w:rsidP="00FE17CA">
      <w:pPr>
        <w:pStyle w:val="Body"/>
        <w:spacing w:after="0"/>
      </w:pPr>
      <w:r>
        <w:t>23. Ding, X., Yang, Z., Xu, M., Liu, L., Li, H., Zhang, Y. &amp; Liang, W. Chronic ethanol feeding enhances prostate tumor progression in a transgenic mouse model. Journal of Cancer Research and Clinical Oncology, 2015; 141(4): 643–52.</w:t>
      </w:r>
    </w:p>
    <w:p w14:paraId="4A21C1DF" w14:textId="77777777" w:rsidR="00FE17CA" w:rsidRDefault="00FE17CA" w:rsidP="00FE17CA">
      <w:pPr>
        <w:pStyle w:val="Body"/>
        <w:spacing w:after="0"/>
      </w:pPr>
      <w:r>
        <w:t xml:space="preserve">24. </w:t>
      </w:r>
      <w:proofErr w:type="spellStart"/>
      <w:r>
        <w:t>Escandriolo</w:t>
      </w:r>
      <w:proofErr w:type="spellEnd"/>
      <w:r>
        <w:t xml:space="preserve"> Nackauzi, J. D., Colla, R. H., </w:t>
      </w:r>
      <w:proofErr w:type="spellStart"/>
      <w:r>
        <w:t>Ravazzani</w:t>
      </w:r>
      <w:proofErr w:type="spellEnd"/>
      <w:r>
        <w:t xml:space="preserve">, G. R., Gaido, M. I., </w:t>
      </w:r>
      <w:proofErr w:type="spellStart"/>
      <w:r>
        <w:t>Bertolotto</w:t>
      </w:r>
      <w:proofErr w:type="spellEnd"/>
      <w:r>
        <w:t xml:space="preserve">, P. &amp; Actis, A. B.  Prostate-specific antigen: its relationship with alcohol intake and </w:t>
      </w:r>
      <w:r>
        <w:tab/>
        <w:t>tobacco. Medical Oncology, 2012; 29: 823-6.</w:t>
      </w:r>
    </w:p>
    <w:p w14:paraId="0C175D95" w14:textId="78C48E68" w:rsidR="00FE17CA" w:rsidRDefault="00FE17CA" w:rsidP="00FE17CA">
      <w:pPr>
        <w:pStyle w:val="Body"/>
        <w:spacing w:after="0"/>
      </w:pPr>
      <w:r>
        <w:t xml:space="preserve">25. Li, J., Thompson, T., Joseph, D. A. &amp; Master, V. A. Association between smoking status, and free, total and percent free prostate specific antigen. The Journal of Urology, 2012; 187(4): 1228–33. </w:t>
      </w:r>
    </w:p>
    <w:p w14:paraId="776DE13C" w14:textId="77777777" w:rsidR="00FE17CA" w:rsidRDefault="00FE17CA" w:rsidP="00FE17CA">
      <w:pPr>
        <w:pStyle w:val="Body"/>
        <w:spacing w:after="0"/>
      </w:pPr>
      <w:r>
        <w:t>26. Koenig, G. &amp; Seneff, S. Gamma-</w:t>
      </w:r>
      <w:proofErr w:type="spellStart"/>
      <w:r>
        <w:t>Glutamyltransferase</w:t>
      </w:r>
      <w:proofErr w:type="spellEnd"/>
      <w:r>
        <w:t xml:space="preserve">: A Predictive Biomarker of Cellular Antioxidant Inadequacy and Disease Risk. Disease Markers, 2015; 818570. </w:t>
      </w:r>
    </w:p>
    <w:p w14:paraId="4D66BF45" w14:textId="77777777" w:rsidR="00FE17CA" w:rsidRDefault="00FE17CA" w:rsidP="00FE17CA">
      <w:pPr>
        <w:pStyle w:val="Body"/>
        <w:spacing w:after="0"/>
      </w:pPr>
      <w:r>
        <w:t xml:space="preserve">27. </w:t>
      </w:r>
      <w:proofErr w:type="spellStart"/>
      <w:r>
        <w:t>Mitrić</w:t>
      </w:r>
      <w:proofErr w:type="spellEnd"/>
      <w:r>
        <w:t>, A. &amp; Castellano, I. Targeting gamma-glutamyl transpeptidase: A pleiotropic enzyme involved in glutathione metabolism and in the control of redox homeostasis. Free Radical Biology and Medicine, 2023; 208: 672-83.</w:t>
      </w:r>
    </w:p>
    <w:p w14:paraId="79C4994C" w14:textId="5148E866" w:rsidR="00FE17CA" w:rsidRDefault="00FE17CA" w:rsidP="00FE17CA">
      <w:pPr>
        <w:pStyle w:val="Body"/>
        <w:spacing w:after="0"/>
      </w:pPr>
      <w:r>
        <w:t xml:space="preserve">28. Crews, F. T., Bechara, R., Brown, L. A., </w:t>
      </w:r>
      <w:proofErr w:type="spellStart"/>
      <w:r>
        <w:t>Guidot</w:t>
      </w:r>
      <w:proofErr w:type="spellEnd"/>
      <w:r>
        <w:t xml:space="preserve">, D. M., Mandrekar, P., Oak, S., Qin, L., Szabo, </w:t>
      </w:r>
      <w:proofErr w:type="spellStart"/>
      <w:proofErr w:type="gramStart"/>
      <w:r>
        <w:t>G.,Wheeler</w:t>
      </w:r>
      <w:proofErr w:type="spellEnd"/>
      <w:proofErr w:type="gramEnd"/>
      <w:r>
        <w:t xml:space="preserve">, M. &amp; Zou, J. Cytokines and alcohol. Alcoholism, Clinical and Experimental Research, 2006; 30(4): 720–30. </w:t>
      </w:r>
    </w:p>
    <w:p w14:paraId="0639F3A5" w14:textId="77777777" w:rsidR="00FE17CA" w:rsidRDefault="00FE17CA" w:rsidP="00FE17CA">
      <w:pPr>
        <w:pStyle w:val="Body"/>
        <w:spacing w:after="0"/>
      </w:pPr>
      <w:r>
        <w:t>29. Culig, Z., &amp; Puhr, M. Interleukin-6 and prostate cancer: Current developments and unsolved questions. Molecular and Cellular Endocrinology, 2018; 462: 25-30.</w:t>
      </w:r>
    </w:p>
    <w:p w14:paraId="7844BE4E" w14:textId="77777777" w:rsidR="00FE17CA" w:rsidRDefault="00FE17CA" w:rsidP="00FE17CA">
      <w:pPr>
        <w:pStyle w:val="Body"/>
        <w:spacing w:after="0"/>
      </w:pPr>
      <w:r>
        <w:t xml:space="preserve">30. Del Giudice, M. &amp; Gangestad, S. W. Rethinking IL-6 and CRP: Why they are more than inflammatory biomarkers, and why it matters. Brain, Behavior, and Immunity, 2018; 70: 61–75. </w:t>
      </w:r>
    </w:p>
    <w:p w14:paraId="0045AD7A" w14:textId="77777777" w:rsidR="00FE17CA" w:rsidRDefault="00FE17CA" w:rsidP="00FE17CA">
      <w:pPr>
        <w:pStyle w:val="Body"/>
        <w:spacing w:after="0"/>
      </w:pPr>
      <w:r>
        <w:t>31. Shariat, S. F., Kattan, M. W., Traxel, E., Andrews, B., Zhu, K., Wheeler, T. M. &amp; Slawin, K. M. Association of preoperative plasma levels of interleukin-6 and its soluble receptor with prostate cancer stage and prognosis. The Journal of Clinical Oncology, 2001; 19(5): 1132–8.</w:t>
      </w:r>
    </w:p>
    <w:p w14:paraId="0C1CCD9B" w14:textId="3BDC7523" w:rsidR="00FE17CA" w:rsidRDefault="00FE17CA" w:rsidP="00FE17CA">
      <w:pPr>
        <w:pStyle w:val="Body"/>
        <w:spacing w:after="0"/>
      </w:pPr>
      <w:r>
        <w:t>32. Gupta, S., Gill, D., Mahajan, A. &amp; Madan, R. Prostate-specific antigen: A review. Medical Journal Armed Forces India, 2018; 74(1): 10–15.</w:t>
      </w:r>
    </w:p>
    <w:p w14:paraId="48087433" w14:textId="77777777" w:rsidR="00FE17CA" w:rsidRDefault="00FE17CA" w:rsidP="00FE17CA">
      <w:pPr>
        <w:pStyle w:val="Body"/>
        <w:spacing w:after="0"/>
      </w:pPr>
      <w:r>
        <w:t xml:space="preserve">33. </w:t>
      </w:r>
      <w:proofErr w:type="spellStart"/>
      <w:r>
        <w:t>Osna</w:t>
      </w:r>
      <w:proofErr w:type="spellEnd"/>
      <w:r>
        <w:t xml:space="preserve">, N. A., </w:t>
      </w:r>
      <w:proofErr w:type="spellStart"/>
      <w:r>
        <w:t>Rasineni</w:t>
      </w:r>
      <w:proofErr w:type="spellEnd"/>
      <w:r>
        <w:t>, K., Ganesan, M., Donohue Jr, T. M. &amp; Kharbanda, K. K. Pathogenesis of alcohol-associated liver disease. Journal of Clinical and Experimental Hepatology, 2022; 12(6): 1492-513.</w:t>
      </w:r>
    </w:p>
    <w:p w14:paraId="075E95EC" w14:textId="77777777" w:rsidR="00FE17CA" w:rsidRPr="00C2415F" w:rsidRDefault="00FE17CA" w:rsidP="00FE17CA">
      <w:pPr>
        <w:pStyle w:val="Body"/>
        <w:spacing w:after="0"/>
      </w:pPr>
      <w:r>
        <w:lastRenderedPageBreak/>
        <w:t xml:space="preserve">34. Rehm, J., Room, R., Graham, K., Monteiro, M., </w:t>
      </w:r>
      <w:proofErr w:type="spellStart"/>
      <w:r>
        <w:t>Gmel</w:t>
      </w:r>
      <w:proofErr w:type="spellEnd"/>
      <w:r>
        <w:t xml:space="preserve">, G. &amp; </w:t>
      </w:r>
      <w:proofErr w:type="spellStart"/>
      <w:r>
        <w:t>Sempos</w:t>
      </w:r>
      <w:proofErr w:type="spellEnd"/>
      <w:r>
        <w:t xml:space="preserve">, C. T. The relationship of average volume of alcohol consumption and patterns of drinking to burden of disease. </w:t>
      </w:r>
      <w:r w:rsidRPr="00C2415F">
        <w:t>Addiction, 2003; 98(9): 1209–28.</w:t>
      </w:r>
    </w:p>
    <w:p w14:paraId="52AA3B47" w14:textId="523E2821" w:rsidR="00FE17CA" w:rsidRDefault="00FE17CA" w:rsidP="00FE17CA">
      <w:pPr>
        <w:pStyle w:val="Body"/>
        <w:spacing w:after="0"/>
      </w:pPr>
      <w:r w:rsidRPr="00C2415F">
        <w:t xml:space="preserve">35. </w:t>
      </w:r>
      <w:r w:rsidR="00E362CF" w:rsidRPr="00C2415F">
        <w:t xml:space="preserve">Koc, G., Akgul, K., Yilmaz, Y., </w:t>
      </w:r>
      <w:proofErr w:type="spellStart"/>
      <w:r w:rsidR="00E362CF" w:rsidRPr="00C2415F">
        <w:t>Dirik</w:t>
      </w:r>
      <w:proofErr w:type="spellEnd"/>
      <w:r w:rsidR="00E362CF" w:rsidRPr="00C2415F">
        <w:t xml:space="preserve">, A., &amp; Un, S. The effects of cigarette smoking on prostate-specific antigen in two different age groups. </w:t>
      </w:r>
      <w:r w:rsidR="00E362CF" w:rsidRPr="00C2415F">
        <w:rPr>
          <w:i/>
          <w:iCs/>
        </w:rPr>
        <w:t>Canadian Urological Association Journal</w:t>
      </w:r>
      <w:r w:rsidR="00E362CF" w:rsidRPr="00C2415F">
        <w:t>,</w:t>
      </w:r>
      <w:r w:rsidR="00C2415F" w:rsidRPr="00C2415F">
        <w:t xml:space="preserve"> 2013;</w:t>
      </w:r>
      <w:r w:rsidR="00E362CF" w:rsidRPr="00C2415F">
        <w:t xml:space="preserve"> 7(11–12), E704–E707.</w:t>
      </w:r>
    </w:p>
    <w:p w14:paraId="67B0E3A3" w14:textId="77777777" w:rsidR="00FE17CA" w:rsidRDefault="00FE17CA" w:rsidP="00FE17CA">
      <w:pPr>
        <w:pStyle w:val="Body"/>
        <w:spacing w:after="0"/>
      </w:pPr>
      <w:r>
        <w:t xml:space="preserve">36. De Marzo, A. M., Platz, E. A., Sutcliffe, S., Xu, J., </w:t>
      </w:r>
      <w:proofErr w:type="spellStart"/>
      <w:r>
        <w:t>Grönberg</w:t>
      </w:r>
      <w:proofErr w:type="spellEnd"/>
      <w:r>
        <w:t xml:space="preserve">, H., Drake, C. G., Nakai, Y., Isaacs, </w:t>
      </w:r>
      <w:r>
        <w:tab/>
        <w:t>W. B. &amp; Nelson, W. G.  Inflammation in prostate carcinogenesis. Nature Reviews Cancer, 2007: 7(4): 256–69.</w:t>
      </w:r>
    </w:p>
    <w:p w14:paraId="31F98E61" w14:textId="77777777" w:rsidR="00D65368" w:rsidRDefault="00FE17CA" w:rsidP="00FE17CA">
      <w:pPr>
        <w:pStyle w:val="Body"/>
        <w:spacing w:after="0"/>
      </w:pPr>
      <w:r>
        <w:t>37. Sfanos, K. S. &amp; De Marzo, A. M. Prostate inflammation and cancer: new insights into the role of chronic inflammation in the pathogenesis of prostate cancer. American Journal of Pathology, 2012; 181(5): 1473–7.</w:t>
      </w:r>
      <w:r w:rsidR="00D65368">
        <w:t xml:space="preserve"> </w:t>
      </w:r>
    </w:p>
    <w:p w14:paraId="6938226B" w14:textId="77777777" w:rsidR="00D65368" w:rsidRPr="006F425A" w:rsidRDefault="00D65368" w:rsidP="00D65368">
      <w:pPr>
        <w:pStyle w:val="Body"/>
        <w:rPr>
          <w:rFonts w:ascii="Arial" w:hAnsi="Arial" w:cs="Arial"/>
          <w:color w:val="222222"/>
          <w:highlight w:val="yellow"/>
          <w:shd w:val="clear" w:color="auto" w:fill="FFFFFF"/>
        </w:rPr>
      </w:pPr>
      <w:r w:rsidRPr="006F425A">
        <w:rPr>
          <w:highlight w:val="yellow"/>
          <w:lang w:val="es-US"/>
        </w:rPr>
        <w:t xml:space="preserve">38. </w:t>
      </w:r>
      <w:r w:rsidRPr="006F425A">
        <w:rPr>
          <w:rFonts w:ascii="Arial" w:hAnsi="Arial" w:cs="Arial"/>
          <w:color w:val="222222"/>
          <w:highlight w:val="yellow"/>
          <w:shd w:val="clear" w:color="auto" w:fill="FFFFFF"/>
          <w:lang w:val="es-US"/>
        </w:rPr>
        <w:t xml:space="preserve">Raee, P., Tan, S. C., Najafi, S., </w:t>
      </w:r>
      <w:proofErr w:type="spellStart"/>
      <w:r w:rsidRPr="006F425A">
        <w:rPr>
          <w:rFonts w:ascii="Arial" w:hAnsi="Arial" w:cs="Arial"/>
          <w:color w:val="222222"/>
          <w:highlight w:val="yellow"/>
          <w:shd w:val="clear" w:color="auto" w:fill="FFFFFF"/>
          <w:lang w:val="es-US"/>
        </w:rPr>
        <w:t>Zandsalimi</w:t>
      </w:r>
      <w:proofErr w:type="spellEnd"/>
      <w:r w:rsidRPr="006F425A">
        <w:rPr>
          <w:rFonts w:ascii="Arial" w:hAnsi="Arial" w:cs="Arial"/>
          <w:color w:val="222222"/>
          <w:highlight w:val="yellow"/>
          <w:shd w:val="clear" w:color="auto" w:fill="FFFFFF"/>
          <w:lang w:val="es-US"/>
        </w:rPr>
        <w:t xml:space="preserve">, F., Low, T. Y., Aghamiri, S., ... </w:t>
      </w:r>
      <w:r w:rsidRPr="006F425A">
        <w:rPr>
          <w:rFonts w:ascii="Arial" w:hAnsi="Arial" w:cs="Arial"/>
          <w:color w:val="222222"/>
          <w:highlight w:val="yellow"/>
          <w:shd w:val="clear" w:color="auto" w:fill="FFFFFF"/>
        </w:rPr>
        <w:t>&amp; Ghanbarian, H. (2023). Autophagy, a critical element in the aging male reproductive disorders and prostate cancer: a therapeutic point of view. </w:t>
      </w:r>
      <w:r w:rsidRPr="006F425A">
        <w:rPr>
          <w:rFonts w:ascii="Arial" w:hAnsi="Arial" w:cs="Arial"/>
          <w:i/>
          <w:iCs/>
          <w:color w:val="222222"/>
          <w:highlight w:val="yellow"/>
          <w:shd w:val="clear" w:color="auto" w:fill="FFFFFF"/>
        </w:rPr>
        <w:t>Reproductive Biology and Endocrinology</w:t>
      </w:r>
      <w:r w:rsidRPr="006F425A">
        <w:rPr>
          <w:rFonts w:ascii="Arial" w:hAnsi="Arial" w:cs="Arial"/>
          <w:color w:val="222222"/>
          <w:highlight w:val="yellow"/>
          <w:shd w:val="clear" w:color="auto" w:fill="FFFFFF"/>
        </w:rPr>
        <w:t>, </w:t>
      </w:r>
      <w:r w:rsidRPr="006F425A">
        <w:rPr>
          <w:rFonts w:ascii="Arial" w:hAnsi="Arial" w:cs="Arial"/>
          <w:i/>
          <w:iCs/>
          <w:color w:val="222222"/>
          <w:highlight w:val="yellow"/>
          <w:shd w:val="clear" w:color="auto" w:fill="FFFFFF"/>
        </w:rPr>
        <w:t>21</w:t>
      </w:r>
      <w:r w:rsidRPr="006F425A">
        <w:rPr>
          <w:rFonts w:ascii="Arial" w:hAnsi="Arial" w:cs="Arial"/>
          <w:color w:val="222222"/>
          <w:highlight w:val="yellow"/>
          <w:shd w:val="clear" w:color="auto" w:fill="FFFFFF"/>
        </w:rPr>
        <w:t>(1), 88.</w:t>
      </w:r>
    </w:p>
    <w:p w14:paraId="7F862187" w14:textId="77777777" w:rsidR="006F425A" w:rsidRPr="006F425A" w:rsidRDefault="00D65368" w:rsidP="006F425A">
      <w:pPr>
        <w:pStyle w:val="Body"/>
        <w:rPr>
          <w:rFonts w:ascii="Arial" w:hAnsi="Arial" w:cs="Arial"/>
          <w:color w:val="222222"/>
          <w:highlight w:val="yellow"/>
          <w:shd w:val="clear" w:color="auto" w:fill="FFFFFF"/>
        </w:rPr>
      </w:pPr>
      <w:r w:rsidRPr="006F425A">
        <w:rPr>
          <w:rFonts w:ascii="Arial" w:hAnsi="Arial" w:cs="Arial"/>
          <w:color w:val="222222"/>
          <w:highlight w:val="yellow"/>
          <w:shd w:val="clear" w:color="auto" w:fill="FFFFFF"/>
        </w:rPr>
        <w:t xml:space="preserve">39. </w:t>
      </w:r>
      <w:r w:rsidRPr="006F425A">
        <w:rPr>
          <w:rFonts w:ascii="Arial" w:hAnsi="Arial" w:cs="Arial"/>
          <w:color w:val="222222"/>
          <w:highlight w:val="yellow"/>
          <w:shd w:val="clear" w:color="auto" w:fill="FFFFFF"/>
        </w:rPr>
        <w:t>He, H., Luo, H., Xu, H., Qian, B., Zou, X., Zhang, G., Zeng, F., &amp; Zou, J. (2023). Preclinical models and evaluation criteria of prostatitis. </w:t>
      </w:r>
      <w:r w:rsidRPr="006F425A">
        <w:rPr>
          <w:rFonts w:ascii="Arial" w:hAnsi="Arial" w:cs="Arial"/>
          <w:i/>
          <w:iCs/>
          <w:color w:val="222222"/>
          <w:highlight w:val="yellow"/>
          <w:shd w:val="clear" w:color="auto" w:fill="FFFFFF"/>
        </w:rPr>
        <w:t>Frontiers in Immunology</w:t>
      </w:r>
      <w:r w:rsidRPr="006F425A">
        <w:rPr>
          <w:rFonts w:ascii="Arial" w:hAnsi="Arial" w:cs="Arial"/>
          <w:color w:val="222222"/>
          <w:highlight w:val="yellow"/>
          <w:shd w:val="clear" w:color="auto" w:fill="FFFFFF"/>
        </w:rPr>
        <w:t>, </w:t>
      </w:r>
      <w:r w:rsidRPr="006F425A">
        <w:rPr>
          <w:rFonts w:ascii="Arial" w:hAnsi="Arial" w:cs="Arial"/>
          <w:i/>
          <w:iCs/>
          <w:color w:val="222222"/>
          <w:highlight w:val="yellow"/>
          <w:shd w:val="clear" w:color="auto" w:fill="FFFFFF"/>
        </w:rPr>
        <w:t>14</w:t>
      </w:r>
      <w:r w:rsidRPr="006F425A">
        <w:rPr>
          <w:rFonts w:ascii="Arial" w:hAnsi="Arial" w:cs="Arial"/>
          <w:color w:val="222222"/>
          <w:highlight w:val="yellow"/>
          <w:shd w:val="clear" w:color="auto" w:fill="FFFFFF"/>
        </w:rPr>
        <w:t xml:space="preserve">. </w:t>
      </w:r>
      <w:hyperlink r:id="rId18" w:history="1">
        <w:r w:rsidR="006F425A" w:rsidRPr="006F425A">
          <w:rPr>
            <w:rStyle w:val="Hyperlink"/>
            <w:rFonts w:ascii="Arial" w:hAnsi="Arial" w:cs="Arial"/>
            <w:highlight w:val="yellow"/>
            <w:shd w:val="clear" w:color="auto" w:fill="FFFFFF"/>
          </w:rPr>
          <w:t>https://doi.org/10.3389/fimmu.2023.1183895</w:t>
        </w:r>
      </w:hyperlink>
      <w:r w:rsidR="006F425A" w:rsidRPr="006F425A">
        <w:rPr>
          <w:rFonts w:ascii="Arial" w:hAnsi="Arial" w:cs="Arial"/>
          <w:color w:val="222222"/>
          <w:highlight w:val="yellow"/>
          <w:shd w:val="clear" w:color="auto" w:fill="FFFFFF"/>
        </w:rPr>
        <w:t xml:space="preserve"> </w:t>
      </w:r>
    </w:p>
    <w:p w14:paraId="4D7CCC7B" w14:textId="77777777" w:rsidR="006F425A" w:rsidRPr="006F425A" w:rsidRDefault="006F425A" w:rsidP="006F425A">
      <w:pPr>
        <w:pStyle w:val="Body"/>
        <w:rPr>
          <w:rFonts w:ascii="Arial" w:hAnsi="Arial" w:cs="Arial"/>
          <w:color w:val="222222"/>
          <w:highlight w:val="yellow"/>
          <w:shd w:val="clear" w:color="auto" w:fill="FFFFFF"/>
        </w:rPr>
      </w:pPr>
      <w:r w:rsidRPr="006F425A">
        <w:rPr>
          <w:rFonts w:ascii="Arial" w:hAnsi="Arial" w:cs="Arial"/>
          <w:color w:val="222222"/>
          <w:highlight w:val="yellow"/>
          <w:shd w:val="clear" w:color="auto" w:fill="FFFFFF"/>
        </w:rPr>
        <w:t xml:space="preserve">40. </w:t>
      </w:r>
      <w:r w:rsidRPr="006F425A">
        <w:rPr>
          <w:rFonts w:ascii="Arial" w:hAnsi="Arial" w:cs="Arial"/>
          <w:color w:val="222222"/>
          <w:highlight w:val="yellow"/>
          <w:shd w:val="clear" w:color="auto" w:fill="FFFFFF"/>
        </w:rPr>
        <w:t>Babalola, I. O., Ikechukwu, E. F., David, O., Emmanuel, K. O., Daniel, A., Olamide, F. P., &amp; Effiong, F. (2023). The Treatment of Metastatic Prostate Cancer Using Hormonal Therapy: A Narrative Review. </w:t>
      </w:r>
      <w:r w:rsidRPr="006F425A">
        <w:rPr>
          <w:rFonts w:ascii="Arial" w:hAnsi="Arial" w:cs="Arial"/>
          <w:i/>
          <w:iCs/>
          <w:color w:val="222222"/>
          <w:highlight w:val="yellow"/>
          <w:shd w:val="clear" w:color="auto" w:fill="FFFFFF"/>
        </w:rPr>
        <w:t>Journal of Advances in Medical and Pharmaceutical Sciences</w:t>
      </w:r>
      <w:r w:rsidRPr="006F425A">
        <w:rPr>
          <w:rFonts w:ascii="Arial" w:hAnsi="Arial" w:cs="Arial"/>
          <w:color w:val="222222"/>
          <w:highlight w:val="yellow"/>
          <w:shd w:val="clear" w:color="auto" w:fill="FFFFFF"/>
        </w:rPr>
        <w:t>, </w:t>
      </w:r>
      <w:r w:rsidRPr="006F425A">
        <w:rPr>
          <w:rFonts w:ascii="Arial" w:hAnsi="Arial" w:cs="Arial"/>
          <w:i/>
          <w:iCs/>
          <w:color w:val="222222"/>
          <w:highlight w:val="yellow"/>
          <w:shd w:val="clear" w:color="auto" w:fill="FFFFFF"/>
        </w:rPr>
        <w:t>25</w:t>
      </w:r>
      <w:r w:rsidRPr="006F425A">
        <w:rPr>
          <w:rFonts w:ascii="Arial" w:hAnsi="Arial" w:cs="Arial"/>
          <w:color w:val="222222"/>
          <w:highlight w:val="yellow"/>
          <w:shd w:val="clear" w:color="auto" w:fill="FFFFFF"/>
        </w:rPr>
        <w:t xml:space="preserve">(6), 34–44. </w:t>
      </w:r>
      <w:r w:rsidRPr="006F425A">
        <w:rPr>
          <w:rFonts w:ascii="Arial" w:hAnsi="Arial" w:cs="Arial"/>
          <w:color w:val="222222"/>
          <w:highlight w:val="yellow"/>
          <w:shd w:val="clear" w:color="auto" w:fill="FFFFFF"/>
        </w:rPr>
        <w:fldChar w:fldCharType="begin"/>
      </w:r>
      <w:r w:rsidRPr="006F425A">
        <w:rPr>
          <w:rFonts w:ascii="Arial" w:hAnsi="Arial" w:cs="Arial"/>
          <w:color w:val="222222"/>
          <w:highlight w:val="yellow"/>
          <w:shd w:val="clear" w:color="auto" w:fill="FFFFFF"/>
        </w:rPr>
        <w:instrText xml:space="preserve">HYPERLINK "https://doi.org/10.9734/jamps/2023/v25i6624 </w:instrText>
      </w:r>
    </w:p>
    <w:p w14:paraId="47BD79F4" w14:textId="77777777" w:rsidR="006F425A" w:rsidRPr="006F425A" w:rsidRDefault="006F425A" w:rsidP="006F425A">
      <w:pPr>
        <w:pStyle w:val="Body"/>
        <w:rPr>
          <w:rStyle w:val="Hyperlink"/>
          <w:rFonts w:ascii="Arial" w:hAnsi="Arial" w:cs="Arial"/>
          <w:highlight w:val="yellow"/>
          <w:shd w:val="clear" w:color="auto" w:fill="FFFFFF"/>
        </w:rPr>
      </w:pPr>
      <w:r w:rsidRPr="006F425A">
        <w:rPr>
          <w:rFonts w:ascii="Arial" w:hAnsi="Arial" w:cs="Arial"/>
          <w:color w:val="222222"/>
          <w:highlight w:val="yellow"/>
          <w:shd w:val="clear" w:color="auto" w:fill="FFFFFF"/>
        </w:rPr>
        <w:instrText>41"</w:instrText>
      </w:r>
      <w:r w:rsidRPr="006F425A">
        <w:rPr>
          <w:rFonts w:ascii="Arial" w:hAnsi="Arial" w:cs="Arial"/>
          <w:color w:val="222222"/>
          <w:highlight w:val="yellow"/>
          <w:shd w:val="clear" w:color="auto" w:fill="FFFFFF"/>
        </w:rPr>
        <w:fldChar w:fldCharType="separate"/>
      </w:r>
      <w:r w:rsidRPr="006F425A">
        <w:rPr>
          <w:rStyle w:val="Hyperlink"/>
          <w:rFonts w:ascii="Arial" w:hAnsi="Arial" w:cs="Arial"/>
          <w:highlight w:val="yellow"/>
          <w:shd w:val="clear" w:color="auto" w:fill="FFFFFF"/>
        </w:rPr>
        <w:t xml:space="preserve">https://doi.org/10.9734/jamps/2023/v25i6624 </w:t>
      </w:r>
    </w:p>
    <w:p w14:paraId="2846AFCA" w14:textId="4AFC555D" w:rsidR="006F425A" w:rsidRPr="006F425A" w:rsidRDefault="006F425A" w:rsidP="006F425A">
      <w:pPr>
        <w:pStyle w:val="Body"/>
        <w:rPr>
          <w:rFonts w:ascii="Arial" w:hAnsi="Arial" w:cs="Arial"/>
          <w:color w:val="222222"/>
          <w:highlight w:val="yellow"/>
          <w:shd w:val="clear" w:color="auto" w:fill="FFFFFF"/>
        </w:rPr>
      </w:pPr>
      <w:r w:rsidRPr="006F425A">
        <w:rPr>
          <w:rStyle w:val="Hyperlink"/>
          <w:rFonts w:ascii="Arial" w:hAnsi="Arial" w:cs="Arial"/>
          <w:highlight w:val="yellow"/>
          <w:shd w:val="clear" w:color="auto" w:fill="FFFFFF"/>
        </w:rPr>
        <w:t>41</w:t>
      </w:r>
      <w:r w:rsidRPr="006F425A">
        <w:rPr>
          <w:rFonts w:ascii="Arial" w:hAnsi="Arial" w:cs="Arial"/>
          <w:color w:val="222222"/>
          <w:highlight w:val="yellow"/>
          <w:shd w:val="clear" w:color="auto" w:fill="FFFFFF"/>
        </w:rPr>
        <w:fldChar w:fldCharType="end"/>
      </w:r>
      <w:r w:rsidRPr="006F425A">
        <w:rPr>
          <w:rFonts w:ascii="Arial" w:hAnsi="Arial" w:cs="Arial"/>
          <w:color w:val="222222"/>
          <w:highlight w:val="yellow"/>
          <w:shd w:val="clear" w:color="auto" w:fill="FFFFFF"/>
        </w:rPr>
        <w:t xml:space="preserve">. </w:t>
      </w:r>
      <w:r w:rsidRPr="006F425A">
        <w:rPr>
          <w:rFonts w:ascii="Arial" w:hAnsi="Arial" w:cs="Arial"/>
          <w:color w:val="222222"/>
          <w:highlight w:val="yellow"/>
          <w:shd w:val="clear" w:color="auto" w:fill="FFFFFF"/>
        </w:rPr>
        <w:t xml:space="preserve">Merriel, S. W., Pocock, L., Gilbert, E., </w:t>
      </w:r>
      <w:proofErr w:type="spellStart"/>
      <w:r w:rsidRPr="006F425A">
        <w:rPr>
          <w:rFonts w:ascii="Arial" w:hAnsi="Arial" w:cs="Arial"/>
          <w:color w:val="222222"/>
          <w:highlight w:val="yellow"/>
          <w:shd w:val="clear" w:color="auto" w:fill="FFFFFF"/>
        </w:rPr>
        <w:t>Creavin</w:t>
      </w:r>
      <w:proofErr w:type="spellEnd"/>
      <w:r w:rsidRPr="006F425A">
        <w:rPr>
          <w:rFonts w:ascii="Arial" w:hAnsi="Arial" w:cs="Arial"/>
          <w:color w:val="222222"/>
          <w:highlight w:val="yellow"/>
          <w:shd w:val="clear" w:color="auto" w:fill="FFFFFF"/>
        </w:rPr>
        <w:t>, S., Walter, F. M., Spencer, A., &amp; Hamilton, W. (2022). Systematic review and meta-analysis of the diagnostic accuracy of prostate-specific antigen (PSA) for the detection of prostate cancer in symptomatic patients. </w:t>
      </w:r>
      <w:r w:rsidRPr="006F425A">
        <w:rPr>
          <w:rFonts w:ascii="Arial" w:hAnsi="Arial" w:cs="Arial"/>
          <w:i/>
          <w:iCs/>
          <w:color w:val="222222"/>
          <w:highlight w:val="yellow"/>
          <w:shd w:val="clear" w:color="auto" w:fill="FFFFFF"/>
        </w:rPr>
        <w:t>BMC medicine</w:t>
      </w:r>
      <w:r w:rsidRPr="006F425A">
        <w:rPr>
          <w:rFonts w:ascii="Arial" w:hAnsi="Arial" w:cs="Arial"/>
          <w:color w:val="222222"/>
          <w:highlight w:val="yellow"/>
          <w:shd w:val="clear" w:color="auto" w:fill="FFFFFF"/>
        </w:rPr>
        <w:t>, </w:t>
      </w:r>
      <w:r w:rsidRPr="006F425A">
        <w:rPr>
          <w:rFonts w:ascii="Arial" w:hAnsi="Arial" w:cs="Arial"/>
          <w:i/>
          <w:iCs/>
          <w:color w:val="222222"/>
          <w:highlight w:val="yellow"/>
          <w:shd w:val="clear" w:color="auto" w:fill="FFFFFF"/>
        </w:rPr>
        <w:t>20</w:t>
      </w:r>
      <w:r w:rsidRPr="006F425A">
        <w:rPr>
          <w:rFonts w:ascii="Arial" w:hAnsi="Arial" w:cs="Arial"/>
          <w:color w:val="222222"/>
          <w:highlight w:val="yellow"/>
          <w:shd w:val="clear" w:color="auto" w:fill="FFFFFF"/>
        </w:rPr>
        <w:t>(1), 54.</w:t>
      </w:r>
    </w:p>
    <w:p w14:paraId="46A866F1" w14:textId="3AD2A33D" w:rsidR="00D65368" w:rsidRPr="006F425A" w:rsidRDefault="00D65368" w:rsidP="00D65368">
      <w:pPr>
        <w:pStyle w:val="Body"/>
        <w:rPr>
          <w:rFonts w:ascii="Arial" w:hAnsi="Arial" w:cs="Arial"/>
          <w:color w:val="222222"/>
          <w:highlight w:val="yellow"/>
          <w:shd w:val="clear" w:color="auto" w:fill="FFFFFF"/>
        </w:rPr>
      </w:pPr>
    </w:p>
    <w:p w14:paraId="45820D68" w14:textId="77777777" w:rsidR="00D65368" w:rsidRPr="00D65368" w:rsidRDefault="00D65368" w:rsidP="00D65368">
      <w:pPr>
        <w:pStyle w:val="Body"/>
        <w:spacing w:after="0"/>
        <w:rPr>
          <w:rFonts w:ascii="Arial" w:hAnsi="Arial" w:cs="Arial"/>
          <w:color w:val="222222"/>
          <w:shd w:val="clear" w:color="auto" w:fill="FFFFFF"/>
        </w:rPr>
      </w:pPr>
      <w:r w:rsidRPr="006F425A">
        <w:rPr>
          <w:rFonts w:ascii="Arial" w:hAnsi="Arial" w:cs="Arial"/>
          <w:color w:val="222222"/>
          <w:highlight w:val="yellow"/>
          <w:shd w:val="clear" w:color="auto" w:fill="FFFFFF"/>
        </w:rPr>
        <w:t>‌</w:t>
      </w:r>
    </w:p>
    <w:p w14:paraId="0819E40C" w14:textId="2949312A" w:rsidR="00FE17CA" w:rsidRDefault="00FE17CA" w:rsidP="00FE17CA">
      <w:pPr>
        <w:pStyle w:val="Body"/>
        <w:spacing w:after="0"/>
      </w:pPr>
    </w:p>
    <w:p w14:paraId="6F14A7D8" w14:textId="6B75325B" w:rsidR="004D4277" w:rsidRPr="003569C5" w:rsidRDefault="00D65368" w:rsidP="003569C5">
      <w:pPr>
        <w:pStyle w:val="Body"/>
        <w:spacing w:after="0"/>
        <w:rPr>
          <w:rFonts w:ascii="Arial" w:hAnsi="Arial" w:cs="Arial"/>
        </w:rPr>
        <w:sectPr w:rsidR="004D4277" w:rsidRPr="003569C5" w:rsidSect="00BD2D43">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Pr>
          <w:rFonts w:ascii="Arial" w:hAnsi="Arial" w:cs="Arial"/>
        </w:rPr>
        <w:t xml:space="preserve">  </w:t>
      </w:r>
    </w:p>
    <w:p w14:paraId="0677FFDC" w14:textId="77777777" w:rsidR="00B01FCD" w:rsidRPr="00FB3A86" w:rsidRDefault="00B01FCD" w:rsidP="00441B6F">
      <w:pPr>
        <w:pStyle w:val="Appendix"/>
        <w:spacing w:after="0"/>
        <w:jc w:val="both"/>
        <w:rPr>
          <w:rFonts w:ascii="Arial" w:hAnsi="Arial" w:cs="Arial"/>
          <w:b w:val="0"/>
        </w:rPr>
      </w:pPr>
    </w:p>
    <w:sectPr w:rsidR="00B01FCD" w:rsidRPr="00FB3A86" w:rsidSect="00BD2D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158C6" w14:textId="77777777" w:rsidR="00075F27" w:rsidRDefault="00075F27" w:rsidP="00C37E61">
      <w:r>
        <w:separator/>
      </w:r>
    </w:p>
  </w:endnote>
  <w:endnote w:type="continuationSeparator" w:id="0">
    <w:p w14:paraId="6BD4B9F9" w14:textId="77777777" w:rsidR="00075F27" w:rsidRDefault="00075F2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CHVL H+ Whitney">
    <w:altName w:val="Calibri"/>
    <w:panose1 w:val="00000000000000000000"/>
    <w:charset w:val="00"/>
    <w:family w:val="swiss"/>
    <w:notTrueType/>
    <w:pitch w:val="default"/>
    <w:sig w:usb0="00000003" w:usb1="00000000" w:usb2="00000000" w:usb3="00000000" w:csb0="00000001" w:csb1="00000000"/>
  </w:font>
  <w:font w:name="Warnock Pro">
    <w:altName w:val="Warnock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BE01" w14:textId="77777777" w:rsidR="00BD2D43" w:rsidRDefault="00BD2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5CAC" w14:textId="77777777" w:rsidR="00BD2D43" w:rsidRDefault="00BD2D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55C2" w14:textId="77777777" w:rsidR="009E048A" w:rsidRDefault="009E048A">
    <w:pPr>
      <w:pStyle w:val="Footer"/>
      <w:rPr>
        <w:rFonts w:ascii="Arial" w:hAnsi="Arial" w:cs="Arial"/>
        <w:sz w:val="16"/>
      </w:rPr>
    </w:pPr>
  </w:p>
  <w:p w14:paraId="6C3CB92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09830E2" w14:textId="77777777" w:rsidR="009E048A" w:rsidRDefault="009E048A">
    <w:pPr>
      <w:pStyle w:val="Footer"/>
      <w:rPr>
        <w:rFonts w:ascii="Arial" w:hAnsi="Arial" w:cs="Arial"/>
        <w:sz w:val="16"/>
      </w:rPr>
    </w:pPr>
  </w:p>
  <w:p w14:paraId="199849F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805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0D96B" w14:textId="77777777" w:rsidR="00075F27" w:rsidRDefault="00075F27" w:rsidP="00C37E61">
      <w:r>
        <w:separator/>
      </w:r>
    </w:p>
  </w:footnote>
  <w:footnote w:type="continuationSeparator" w:id="0">
    <w:p w14:paraId="48141763" w14:textId="77777777" w:rsidR="00075F27" w:rsidRDefault="00075F2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44E9" w14:textId="6CED49EE" w:rsidR="00BD2D43" w:rsidRDefault="00000000">
    <w:pPr>
      <w:pStyle w:val="Header"/>
    </w:pPr>
    <w:r>
      <w:rPr>
        <w:noProof/>
      </w:rPr>
      <w:pict w14:anchorId="7AD58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0537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6110" w14:textId="30A40DBA" w:rsidR="00BD2D43" w:rsidRDefault="00000000">
    <w:pPr>
      <w:pStyle w:val="Header"/>
    </w:pPr>
    <w:r>
      <w:rPr>
        <w:noProof/>
      </w:rPr>
      <w:pict w14:anchorId="3F0B5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0537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5E9C" w14:textId="67339ADF" w:rsidR="00296529" w:rsidRPr="00296529" w:rsidRDefault="00000000" w:rsidP="00296529">
    <w:pPr>
      <w:ind w:left="2160"/>
      <w:jc w:val="center"/>
      <w:rPr>
        <w:rFonts w:ascii="Times New Roman" w:eastAsia="Calibri" w:hAnsi="Times New Roman"/>
        <w:i/>
        <w:sz w:val="18"/>
        <w:szCs w:val="22"/>
      </w:rPr>
    </w:pPr>
    <w:r>
      <w:rPr>
        <w:noProof/>
      </w:rPr>
      <w:pict w14:anchorId="2A5DA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0537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903F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EB2B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FB48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198D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582A6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5F4C2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E50D" w14:textId="40014039" w:rsidR="00BD2D43" w:rsidRDefault="00000000">
    <w:pPr>
      <w:pStyle w:val="Header"/>
    </w:pPr>
    <w:r>
      <w:rPr>
        <w:noProof/>
      </w:rPr>
      <w:pict w14:anchorId="2A84B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0537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9349" w14:textId="230EDBF9" w:rsidR="00BD2D43" w:rsidRDefault="00000000">
    <w:pPr>
      <w:pStyle w:val="Header"/>
    </w:pPr>
    <w:r>
      <w:rPr>
        <w:noProof/>
      </w:rPr>
      <w:pict w14:anchorId="5DFF3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0538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0EA3" w14:textId="5BF03FB3" w:rsidR="00BD2D43" w:rsidRDefault="00000000">
    <w:pPr>
      <w:pStyle w:val="Header"/>
    </w:pPr>
    <w:r>
      <w:rPr>
        <w:noProof/>
      </w:rPr>
      <w:pict w14:anchorId="442F0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0537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373204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78501366">
    <w:abstractNumId w:val="15"/>
  </w:num>
  <w:num w:numId="3" w16cid:durableId="1472823103">
    <w:abstractNumId w:val="23"/>
  </w:num>
  <w:num w:numId="4" w16cid:durableId="164817127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13108015">
    <w:abstractNumId w:val="7"/>
  </w:num>
  <w:num w:numId="6" w16cid:durableId="921305153">
    <w:abstractNumId w:val="6"/>
  </w:num>
  <w:num w:numId="7" w16cid:durableId="2047824349">
    <w:abstractNumId w:val="1"/>
  </w:num>
  <w:num w:numId="8" w16cid:durableId="943342411">
    <w:abstractNumId w:val="12"/>
  </w:num>
  <w:num w:numId="9" w16cid:durableId="1221988235">
    <w:abstractNumId w:val="25"/>
  </w:num>
  <w:num w:numId="10" w16cid:durableId="339165237">
    <w:abstractNumId w:val="2"/>
  </w:num>
  <w:num w:numId="11" w16cid:durableId="1244995624">
    <w:abstractNumId w:val="18"/>
  </w:num>
  <w:num w:numId="12" w16cid:durableId="497113348">
    <w:abstractNumId w:val="3"/>
  </w:num>
  <w:num w:numId="13" w16cid:durableId="960574080">
    <w:abstractNumId w:val="17"/>
  </w:num>
  <w:num w:numId="14" w16cid:durableId="1943804761">
    <w:abstractNumId w:val="8"/>
  </w:num>
  <w:num w:numId="15" w16cid:durableId="94521871">
    <w:abstractNumId w:val="21"/>
  </w:num>
  <w:num w:numId="16" w16cid:durableId="817721825">
    <w:abstractNumId w:val="5"/>
  </w:num>
  <w:num w:numId="17" w16cid:durableId="425617685">
    <w:abstractNumId w:val="22"/>
  </w:num>
  <w:num w:numId="18" w16cid:durableId="1316764782">
    <w:abstractNumId w:val="14"/>
  </w:num>
  <w:num w:numId="19" w16cid:durableId="1143809984">
    <w:abstractNumId w:val="28"/>
  </w:num>
  <w:num w:numId="20" w16cid:durableId="1296715252">
    <w:abstractNumId w:val="11"/>
  </w:num>
  <w:num w:numId="21" w16cid:durableId="449202236">
    <w:abstractNumId w:val="9"/>
  </w:num>
  <w:num w:numId="22" w16cid:durableId="1998724107">
    <w:abstractNumId w:val="13"/>
  </w:num>
  <w:num w:numId="23" w16cid:durableId="1530100696">
    <w:abstractNumId w:val="19"/>
  </w:num>
  <w:num w:numId="24" w16cid:durableId="1892112628">
    <w:abstractNumId w:val="26"/>
  </w:num>
  <w:num w:numId="25" w16cid:durableId="684671019">
    <w:abstractNumId w:val="4"/>
  </w:num>
  <w:num w:numId="26" w16cid:durableId="445584537">
    <w:abstractNumId w:val="16"/>
  </w:num>
  <w:num w:numId="27" w16cid:durableId="1380589850">
    <w:abstractNumId w:val="20"/>
  </w:num>
  <w:num w:numId="28" w16cid:durableId="1483810654">
    <w:abstractNumId w:val="27"/>
  </w:num>
  <w:num w:numId="29" w16cid:durableId="1320695237">
    <w:abstractNumId w:val="24"/>
  </w:num>
  <w:num w:numId="30" w16cid:durableId="376397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2NjayNDc1NTO0NDVS0lEKTi0uzszPAykwrAUAOMxKtywAAAA="/>
  </w:docVars>
  <w:rsids>
    <w:rsidRoot w:val="00AA6219"/>
    <w:rsid w:val="00000F8F"/>
    <w:rsid w:val="00011A3C"/>
    <w:rsid w:val="00020B0A"/>
    <w:rsid w:val="0002722A"/>
    <w:rsid w:val="00030174"/>
    <w:rsid w:val="0004579C"/>
    <w:rsid w:val="000479D7"/>
    <w:rsid w:val="00075F27"/>
    <w:rsid w:val="000834F3"/>
    <w:rsid w:val="000A47FA"/>
    <w:rsid w:val="000A65D3"/>
    <w:rsid w:val="000B1E33"/>
    <w:rsid w:val="000B1E7B"/>
    <w:rsid w:val="000B6083"/>
    <w:rsid w:val="000D689F"/>
    <w:rsid w:val="000E7B7B"/>
    <w:rsid w:val="000E7D62"/>
    <w:rsid w:val="000F34EB"/>
    <w:rsid w:val="000F41D6"/>
    <w:rsid w:val="000F7D65"/>
    <w:rsid w:val="001016BB"/>
    <w:rsid w:val="00103357"/>
    <w:rsid w:val="001043E5"/>
    <w:rsid w:val="001130C2"/>
    <w:rsid w:val="00123C9F"/>
    <w:rsid w:val="00126190"/>
    <w:rsid w:val="00127338"/>
    <w:rsid w:val="00130F17"/>
    <w:rsid w:val="001320BF"/>
    <w:rsid w:val="00140053"/>
    <w:rsid w:val="001419A9"/>
    <w:rsid w:val="00162B78"/>
    <w:rsid w:val="00163BC4"/>
    <w:rsid w:val="00174BF8"/>
    <w:rsid w:val="00175078"/>
    <w:rsid w:val="001762EC"/>
    <w:rsid w:val="00191062"/>
    <w:rsid w:val="00192B72"/>
    <w:rsid w:val="00194E60"/>
    <w:rsid w:val="001A1544"/>
    <w:rsid w:val="001A29D8"/>
    <w:rsid w:val="001A5CAA"/>
    <w:rsid w:val="001B0427"/>
    <w:rsid w:val="001B4C16"/>
    <w:rsid w:val="001B68D1"/>
    <w:rsid w:val="001B7508"/>
    <w:rsid w:val="001C3F1E"/>
    <w:rsid w:val="001C48B0"/>
    <w:rsid w:val="001D3A51"/>
    <w:rsid w:val="001D7C54"/>
    <w:rsid w:val="001E10D2"/>
    <w:rsid w:val="001E1F73"/>
    <w:rsid w:val="001E25B4"/>
    <w:rsid w:val="001E44FE"/>
    <w:rsid w:val="001F26F0"/>
    <w:rsid w:val="00200595"/>
    <w:rsid w:val="00204835"/>
    <w:rsid w:val="00231920"/>
    <w:rsid w:val="0023195C"/>
    <w:rsid w:val="0024282C"/>
    <w:rsid w:val="002460DC"/>
    <w:rsid w:val="00250985"/>
    <w:rsid w:val="002556F6"/>
    <w:rsid w:val="00283105"/>
    <w:rsid w:val="00284C4C"/>
    <w:rsid w:val="00292B87"/>
    <w:rsid w:val="00296529"/>
    <w:rsid w:val="002A5728"/>
    <w:rsid w:val="002B27FB"/>
    <w:rsid w:val="002B685A"/>
    <w:rsid w:val="002C57D2"/>
    <w:rsid w:val="002D2997"/>
    <w:rsid w:val="002E0D56"/>
    <w:rsid w:val="002F329E"/>
    <w:rsid w:val="002F3871"/>
    <w:rsid w:val="00315186"/>
    <w:rsid w:val="00315881"/>
    <w:rsid w:val="00316D5C"/>
    <w:rsid w:val="0033343E"/>
    <w:rsid w:val="00340FF2"/>
    <w:rsid w:val="003512C2"/>
    <w:rsid w:val="00355C30"/>
    <w:rsid w:val="003569C5"/>
    <w:rsid w:val="00363844"/>
    <w:rsid w:val="00371FB6"/>
    <w:rsid w:val="00375184"/>
    <w:rsid w:val="0037595E"/>
    <w:rsid w:val="003763C1"/>
    <w:rsid w:val="00376BBE"/>
    <w:rsid w:val="0039224F"/>
    <w:rsid w:val="0039547D"/>
    <w:rsid w:val="00395507"/>
    <w:rsid w:val="003A43A4"/>
    <w:rsid w:val="003A7E18"/>
    <w:rsid w:val="003B2B3F"/>
    <w:rsid w:val="003C4C86"/>
    <w:rsid w:val="003C6258"/>
    <w:rsid w:val="003E2904"/>
    <w:rsid w:val="003E5015"/>
    <w:rsid w:val="00401927"/>
    <w:rsid w:val="00401964"/>
    <w:rsid w:val="0041027F"/>
    <w:rsid w:val="00412475"/>
    <w:rsid w:val="00412C1D"/>
    <w:rsid w:val="0041719C"/>
    <w:rsid w:val="00423789"/>
    <w:rsid w:val="00440F43"/>
    <w:rsid w:val="00441B6F"/>
    <w:rsid w:val="00446221"/>
    <w:rsid w:val="00450E62"/>
    <w:rsid w:val="004539DB"/>
    <w:rsid w:val="00471A80"/>
    <w:rsid w:val="0048024A"/>
    <w:rsid w:val="00483372"/>
    <w:rsid w:val="00484B9C"/>
    <w:rsid w:val="00495FDF"/>
    <w:rsid w:val="004A1FCF"/>
    <w:rsid w:val="004C0455"/>
    <w:rsid w:val="004C1F19"/>
    <w:rsid w:val="004C1FCC"/>
    <w:rsid w:val="004D305E"/>
    <w:rsid w:val="004D4277"/>
    <w:rsid w:val="004F01F5"/>
    <w:rsid w:val="004F4AB8"/>
    <w:rsid w:val="00502516"/>
    <w:rsid w:val="005036FC"/>
    <w:rsid w:val="00505F06"/>
    <w:rsid w:val="00506828"/>
    <w:rsid w:val="005113CF"/>
    <w:rsid w:val="0053056E"/>
    <w:rsid w:val="00547C9F"/>
    <w:rsid w:val="00554FDA"/>
    <w:rsid w:val="00572EF9"/>
    <w:rsid w:val="00582A14"/>
    <w:rsid w:val="00593DA7"/>
    <w:rsid w:val="00597704"/>
    <w:rsid w:val="005B1123"/>
    <w:rsid w:val="005B1411"/>
    <w:rsid w:val="005B5A38"/>
    <w:rsid w:val="005C5D37"/>
    <w:rsid w:val="005C784C"/>
    <w:rsid w:val="005D16B7"/>
    <w:rsid w:val="005D17F6"/>
    <w:rsid w:val="005D632E"/>
    <w:rsid w:val="005E5539"/>
    <w:rsid w:val="00600B39"/>
    <w:rsid w:val="00602BF5"/>
    <w:rsid w:val="006047C1"/>
    <w:rsid w:val="00607FA7"/>
    <w:rsid w:val="006117EB"/>
    <w:rsid w:val="006120AE"/>
    <w:rsid w:val="006140DD"/>
    <w:rsid w:val="0061619B"/>
    <w:rsid w:val="00617FDD"/>
    <w:rsid w:val="00626EC9"/>
    <w:rsid w:val="00631EDD"/>
    <w:rsid w:val="00632D5A"/>
    <w:rsid w:val="00633614"/>
    <w:rsid w:val="006338BA"/>
    <w:rsid w:val="00633F68"/>
    <w:rsid w:val="00636EB2"/>
    <w:rsid w:val="006375B8"/>
    <w:rsid w:val="0066510A"/>
    <w:rsid w:val="00673F9F"/>
    <w:rsid w:val="0068158B"/>
    <w:rsid w:val="00686953"/>
    <w:rsid w:val="00687DEA"/>
    <w:rsid w:val="00687E67"/>
    <w:rsid w:val="00693DA5"/>
    <w:rsid w:val="006967F7"/>
    <w:rsid w:val="006A250C"/>
    <w:rsid w:val="006B21D3"/>
    <w:rsid w:val="006B5582"/>
    <w:rsid w:val="006B57D0"/>
    <w:rsid w:val="006C5B8F"/>
    <w:rsid w:val="006C613A"/>
    <w:rsid w:val="006C7E71"/>
    <w:rsid w:val="006D30FF"/>
    <w:rsid w:val="006D6940"/>
    <w:rsid w:val="006F11EC"/>
    <w:rsid w:val="006F425A"/>
    <w:rsid w:val="0070082C"/>
    <w:rsid w:val="00701F4F"/>
    <w:rsid w:val="00702D9C"/>
    <w:rsid w:val="00711074"/>
    <w:rsid w:val="00722625"/>
    <w:rsid w:val="00731588"/>
    <w:rsid w:val="0073569D"/>
    <w:rsid w:val="007369E6"/>
    <w:rsid w:val="00746E59"/>
    <w:rsid w:val="00754C9A"/>
    <w:rsid w:val="0075599A"/>
    <w:rsid w:val="0075725F"/>
    <w:rsid w:val="00761D52"/>
    <w:rsid w:val="00765C32"/>
    <w:rsid w:val="0077749E"/>
    <w:rsid w:val="00790ADA"/>
    <w:rsid w:val="007C298A"/>
    <w:rsid w:val="007C7D1B"/>
    <w:rsid w:val="007D2288"/>
    <w:rsid w:val="007E088F"/>
    <w:rsid w:val="007E5472"/>
    <w:rsid w:val="007F7B32"/>
    <w:rsid w:val="00804BC2"/>
    <w:rsid w:val="00806214"/>
    <w:rsid w:val="008112F8"/>
    <w:rsid w:val="00813441"/>
    <w:rsid w:val="0081431A"/>
    <w:rsid w:val="008178FF"/>
    <w:rsid w:val="00822B2B"/>
    <w:rsid w:val="008245EF"/>
    <w:rsid w:val="0082621C"/>
    <w:rsid w:val="0083216F"/>
    <w:rsid w:val="008406A0"/>
    <w:rsid w:val="00856B08"/>
    <w:rsid w:val="00860000"/>
    <w:rsid w:val="00863BD3"/>
    <w:rsid w:val="0086408B"/>
    <w:rsid w:val="00866D66"/>
    <w:rsid w:val="008671C6"/>
    <w:rsid w:val="00875803"/>
    <w:rsid w:val="00877572"/>
    <w:rsid w:val="008966BC"/>
    <w:rsid w:val="008A7CF3"/>
    <w:rsid w:val="008B459E"/>
    <w:rsid w:val="008B5645"/>
    <w:rsid w:val="008D1E92"/>
    <w:rsid w:val="008E13AE"/>
    <w:rsid w:val="008E1506"/>
    <w:rsid w:val="008E710C"/>
    <w:rsid w:val="008F22D5"/>
    <w:rsid w:val="008F69D6"/>
    <w:rsid w:val="00902823"/>
    <w:rsid w:val="00904A0C"/>
    <w:rsid w:val="00913624"/>
    <w:rsid w:val="00915CA6"/>
    <w:rsid w:val="009219BE"/>
    <w:rsid w:val="00927834"/>
    <w:rsid w:val="009278E6"/>
    <w:rsid w:val="00934ADC"/>
    <w:rsid w:val="009438A1"/>
    <w:rsid w:val="009500A6"/>
    <w:rsid w:val="00953A8E"/>
    <w:rsid w:val="00957BA4"/>
    <w:rsid w:val="00957C18"/>
    <w:rsid w:val="009659BA"/>
    <w:rsid w:val="0097386E"/>
    <w:rsid w:val="00983040"/>
    <w:rsid w:val="00996529"/>
    <w:rsid w:val="009A2F95"/>
    <w:rsid w:val="009B39B5"/>
    <w:rsid w:val="009B3FB9"/>
    <w:rsid w:val="009C0F84"/>
    <w:rsid w:val="009C1075"/>
    <w:rsid w:val="009C2465"/>
    <w:rsid w:val="009D05AC"/>
    <w:rsid w:val="009D35A0"/>
    <w:rsid w:val="009D4CD5"/>
    <w:rsid w:val="009D7EB7"/>
    <w:rsid w:val="009E048A"/>
    <w:rsid w:val="009E08E9"/>
    <w:rsid w:val="009E3DB9"/>
    <w:rsid w:val="009E6E35"/>
    <w:rsid w:val="009F0EDA"/>
    <w:rsid w:val="009F245A"/>
    <w:rsid w:val="009F3CB9"/>
    <w:rsid w:val="00A03B96"/>
    <w:rsid w:val="00A05B19"/>
    <w:rsid w:val="00A1134E"/>
    <w:rsid w:val="00A12C32"/>
    <w:rsid w:val="00A15EA3"/>
    <w:rsid w:val="00A23023"/>
    <w:rsid w:val="00A2489E"/>
    <w:rsid w:val="00A24E7E"/>
    <w:rsid w:val="00A258C3"/>
    <w:rsid w:val="00A258DC"/>
    <w:rsid w:val="00A302FE"/>
    <w:rsid w:val="00A347C0"/>
    <w:rsid w:val="00A36685"/>
    <w:rsid w:val="00A4485F"/>
    <w:rsid w:val="00A51431"/>
    <w:rsid w:val="00A539AD"/>
    <w:rsid w:val="00A60235"/>
    <w:rsid w:val="00A76129"/>
    <w:rsid w:val="00A84BBA"/>
    <w:rsid w:val="00A94063"/>
    <w:rsid w:val="00AA0561"/>
    <w:rsid w:val="00AA6219"/>
    <w:rsid w:val="00AA6B21"/>
    <w:rsid w:val="00AA74E0"/>
    <w:rsid w:val="00AB703F"/>
    <w:rsid w:val="00AB7ABC"/>
    <w:rsid w:val="00AC6BB8"/>
    <w:rsid w:val="00AD2293"/>
    <w:rsid w:val="00AD3135"/>
    <w:rsid w:val="00AE008F"/>
    <w:rsid w:val="00AE3694"/>
    <w:rsid w:val="00B01FCD"/>
    <w:rsid w:val="00B11633"/>
    <w:rsid w:val="00B1776C"/>
    <w:rsid w:val="00B24B91"/>
    <w:rsid w:val="00B25832"/>
    <w:rsid w:val="00B402AE"/>
    <w:rsid w:val="00B5273F"/>
    <w:rsid w:val="00B52896"/>
    <w:rsid w:val="00B60FD8"/>
    <w:rsid w:val="00B759EC"/>
    <w:rsid w:val="00B83A61"/>
    <w:rsid w:val="00B911A2"/>
    <w:rsid w:val="00B92918"/>
    <w:rsid w:val="00B95236"/>
    <w:rsid w:val="00B96BD9"/>
    <w:rsid w:val="00BA0533"/>
    <w:rsid w:val="00BA1B01"/>
    <w:rsid w:val="00BA2641"/>
    <w:rsid w:val="00BA7C2E"/>
    <w:rsid w:val="00BB0E4B"/>
    <w:rsid w:val="00BB37AA"/>
    <w:rsid w:val="00BB4DE3"/>
    <w:rsid w:val="00BC53A0"/>
    <w:rsid w:val="00BD1A36"/>
    <w:rsid w:val="00BD28FB"/>
    <w:rsid w:val="00BD2D43"/>
    <w:rsid w:val="00BE5920"/>
    <w:rsid w:val="00BE62AD"/>
    <w:rsid w:val="00BF121F"/>
    <w:rsid w:val="00BF1F80"/>
    <w:rsid w:val="00BF700A"/>
    <w:rsid w:val="00BF77A6"/>
    <w:rsid w:val="00C022AF"/>
    <w:rsid w:val="00C14A3A"/>
    <w:rsid w:val="00C166EF"/>
    <w:rsid w:val="00C17EB0"/>
    <w:rsid w:val="00C2415F"/>
    <w:rsid w:val="00C27F5F"/>
    <w:rsid w:val="00C30A0F"/>
    <w:rsid w:val="00C37E61"/>
    <w:rsid w:val="00C42DAA"/>
    <w:rsid w:val="00C63EE8"/>
    <w:rsid w:val="00C64CC5"/>
    <w:rsid w:val="00C70F1B"/>
    <w:rsid w:val="00C71A47"/>
    <w:rsid w:val="00C7464C"/>
    <w:rsid w:val="00C81235"/>
    <w:rsid w:val="00C82EEA"/>
    <w:rsid w:val="00C84A11"/>
    <w:rsid w:val="00C85588"/>
    <w:rsid w:val="00C923A9"/>
    <w:rsid w:val="00CA011C"/>
    <w:rsid w:val="00CA5A45"/>
    <w:rsid w:val="00CA6F02"/>
    <w:rsid w:val="00CD6755"/>
    <w:rsid w:val="00CD6856"/>
    <w:rsid w:val="00CE0089"/>
    <w:rsid w:val="00CE793C"/>
    <w:rsid w:val="00CF313E"/>
    <w:rsid w:val="00CF3786"/>
    <w:rsid w:val="00D0702F"/>
    <w:rsid w:val="00D173F1"/>
    <w:rsid w:val="00D17F79"/>
    <w:rsid w:val="00D56410"/>
    <w:rsid w:val="00D56D16"/>
    <w:rsid w:val="00D65368"/>
    <w:rsid w:val="00D655ED"/>
    <w:rsid w:val="00D8295D"/>
    <w:rsid w:val="00D86174"/>
    <w:rsid w:val="00D935C4"/>
    <w:rsid w:val="00D96AB7"/>
    <w:rsid w:val="00DA17E7"/>
    <w:rsid w:val="00DC0F0F"/>
    <w:rsid w:val="00DC2A65"/>
    <w:rsid w:val="00DD3591"/>
    <w:rsid w:val="00DE15F0"/>
    <w:rsid w:val="00DE5663"/>
    <w:rsid w:val="00DE78AA"/>
    <w:rsid w:val="00E053D0"/>
    <w:rsid w:val="00E073E6"/>
    <w:rsid w:val="00E15994"/>
    <w:rsid w:val="00E3114E"/>
    <w:rsid w:val="00E31A70"/>
    <w:rsid w:val="00E34A27"/>
    <w:rsid w:val="00E35B02"/>
    <w:rsid w:val="00E362CF"/>
    <w:rsid w:val="00E4065E"/>
    <w:rsid w:val="00E61BEB"/>
    <w:rsid w:val="00E6344C"/>
    <w:rsid w:val="00E65309"/>
    <w:rsid w:val="00E66496"/>
    <w:rsid w:val="00E66B35"/>
    <w:rsid w:val="00E66E10"/>
    <w:rsid w:val="00E70D21"/>
    <w:rsid w:val="00E769F6"/>
    <w:rsid w:val="00E8407C"/>
    <w:rsid w:val="00E84F3C"/>
    <w:rsid w:val="00E85BEE"/>
    <w:rsid w:val="00E90163"/>
    <w:rsid w:val="00EA012C"/>
    <w:rsid w:val="00EA3E99"/>
    <w:rsid w:val="00EB1D68"/>
    <w:rsid w:val="00ED0288"/>
    <w:rsid w:val="00ED1B6F"/>
    <w:rsid w:val="00ED6976"/>
    <w:rsid w:val="00EE52CB"/>
    <w:rsid w:val="00EE5F65"/>
    <w:rsid w:val="00EF105E"/>
    <w:rsid w:val="00EF2528"/>
    <w:rsid w:val="00EF290C"/>
    <w:rsid w:val="00EF581D"/>
    <w:rsid w:val="00EF7FD8"/>
    <w:rsid w:val="00F06F59"/>
    <w:rsid w:val="00F124DF"/>
    <w:rsid w:val="00F17988"/>
    <w:rsid w:val="00F204CA"/>
    <w:rsid w:val="00F469F0"/>
    <w:rsid w:val="00F53273"/>
    <w:rsid w:val="00F6092A"/>
    <w:rsid w:val="00F755E4"/>
    <w:rsid w:val="00F77D02"/>
    <w:rsid w:val="00FA1B88"/>
    <w:rsid w:val="00FB3A86"/>
    <w:rsid w:val="00FC0495"/>
    <w:rsid w:val="00FC1993"/>
    <w:rsid w:val="00FD36C8"/>
    <w:rsid w:val="00FE17CA"/>
    <w:rsid w:val="00FE2F31"/>
    <w:rsid w:val="00FF3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BC43E"/>
  <w15:docId w15:val="{CD8962BD-46D3-43FB-8572-B99731CC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customStyle="1" w:styleId="Default">
    <w:name w:val="Default"/>
    <w:rsid w:val="00D56410"/>
    <w:pPr>
      <w:autoSpaceDE w:val="0"/>
      <w:autoSpaceDN w:val="0"/>
      <w:adjustRightInd w:val="0"/>
    </w:pPr>
    <w:rPr>
      <w:rFonts w:ascii="CCHVL H+ Whitney" w:eastAsiaTheme="minorHAnsi" w:hAnsi="CCHVL H+ Whitney" w:cs="CCHVL H+ Whitney"/>
      <w:color w:val="000000"/>
      <w:sz w:val="24"/>
      <w:szCs w:val="24"/>
    </w:rPr>
  </w:style>
  <w:style w:type="character" w:customStyle="1" w:styleId="UnresolvedMention1">
    <w:name w:val="Unresolved Mention1"/>
    <w:basedOn w:val="DefaultParagraphFont"/>
    <w:uiPriority w:val="99"/>
    <w:semiHidden/>
    <w:unhideWhenUsed/>
    <w:rsid w:val="00631EDD"/>
    <w:rPr>
      <w:color w:val="605E5C"/>
      <w:shd w:val="clear" w:color="auto" w:fill="E1DFDD"/>
    </w:rPr>
  </w:style>
  <w:style w:type="paragraph" w:styleId="Revision">
    <w:name w:val="Revision"/>
    <w:hidden/>
    <w:uiPriority w:val="99"/>
    <w:semiHidden/>
    <w:rsid w:val="009B39B5"/>
    <w:rPr>
      <w:rFonts w:ascii="Helvetica" w:hAnsi="Helvetica"/>
    </w:rPr>
  </w:style>
  <w:style w:type="character" w:styleId="UnresolvedMention">
    <w:name w:val="Unresolved Mention"/>
    <w:basedOn w:val="DefaultParagraphFont"/>
    <w:uiPriority w:val="99"/>
    <w:semiHidden/>
    <w:unhideWhenUsed/>
    <w:rsid w:val="006F4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9/fimmu.2023.1183895"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tel:8.2"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tel:8.2"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C36B2-7E96-4C16-966F-75D088376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11</Pages>
  <Words>5694</Words>
  <Characters>32458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38076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17</cp:revision>
  <cp:lastPrinted>1999-07-06T11:00:00Z</cp:lastPrinted>
  <dcterms:created xsi:type="dcterms:W3CDTF">2026-04-05T18:11:00Z</dcterms:created>
  <dcterms:modified xsi:type="dcterms:W3CDTF">2026-04-22T12:48:00Z</dcterms:modified>
</cp:coreProperties>
</file>