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54A6F" w14:textId="77777777" w:rsidR="00754C9A" w:rsidRDefault="00754C9A" w:rsidP="00441B6F">
      <w:pPr>
        <w:pStyle w:val="Title"/>
        <w:spacing w:after="0"/>
        <w:jc w:val="both"/>
        <w:rPr>
          <w:rFonts w:ascii="Arial" w:hAnsi="Arial" w:cs="Arial"/>
        </w:rPr>
      </w:pPr>
    </w:p>
    <w:p w14:paraId="07B3EEF0" w14:textId="77777777" w:rsidR="000711CA" w:rsidRDefault="000711CA" w:rsidP="007E0339">
      <w:pPr>
        <w:pStyle w:val="Author"/>
        <w:spacing w:line="240" w:lineRule="auto"/>
        <w:rPr>
          <w:rFonts w:ascii="Arial" w:hAnsi="Arial" w:cs="Arial"/>
          <w:bCs/>
          <w:i/>
          <w:iCs/>
          <w:kern w:val="28"/>
          <w:sz w:val="36"/>
        </w:rPr>
      </w:pPr>
      <w:r w:rsidRPr="000711CA">
        <w:rPr>
          <w:rFonts w:ascii="Arial" w:hAnsi="Arial" w:cs="Arial"/>
          <w:bCs/>
          <w:i/>
          <w:iCs/>
          <w:kern w:val="28"/>
          <w:sz w:val="36"/>
        </w:rPr>
        <w:t xml:space="preserve">Original Research Article </w:t>
      </w:r>
    </w:p>
    <w:p w14:paraId="3DB2F95C" w14:textId="77777777" w:rsidR="00175E1B" w:rsidRDefault="00175E1B" w:rsidP="007E0339">
      <w:pPr>
        <w:pStyle w:val="Author"/>
        <w:spacing w:line="240" w:lineRule="auto"/>
        <w:rPr>
          <w:rFonts w:ascii="Arial" w:hAnsi="Arial" w:cs="Arial"/>
          <w:bCs/>
          <w:i/>
          <w:iCs/>
          <w:kern w:val="28"/>
          <w:sz w:val="36"/>
        </w:rPr>
      </w:pPr>
    </w:p>
    <w:p w14:paraId="795539AC" w14:textId="2159A8F8" w:rsidR="007E0339" w:rsidRDefault="007E0339" w:rsidP="007E0339">
      <w:pPr>
        <w:pStyle w:val="Author"/>
        <w:spacing w:line="240" w:lineRule="auto"/>
        <w:rPr>
          <w:rFonts w:ascii="Arial" w:hAnsi="Arial" w:cs="Arial"/>
          <w:bCs/>
          <w:iCs/>
          <w:kern w:val="28"/>
          <w:sz w:val="36"/>
        </w:rPr>
      </w:pPr>
      <w:r w:rsidRPr="007E0339">
        <w:rPr>
          <w:rFonts w:ascii="Arial" w:hAnsi="Arial" w:cs="Arial"/>
          <w:bCs/>
          <w:i/>
          <w:iCs/>
          <w:kern w:val="28"/>
          <w:sz w:val="36"/>
        </w:rPr>
        <w:t>Elaeagnus angustifolia</w:t>
      </w:r>
      <w:r w:rsidRPr="007E0339">
        <w:rPr>
          <w:rFonts w:ascii="Arial" w:hAnsi="Arial" w:cs="Arial"/>
          <w:bCs/>
          <w:iCs/>
          <w:kern w:val="28"/>
          <w:sz w:val="36"/>
        </w:rPr>
        <w:t xml:space="preserve"> L. Fruits as a Source </w:t>
      </w:r>
    </w:p>
    <w:p w14:paraId="559261E9" w14:textId="77777777" w:rsidR="007E0339" w:rsidRPr="007E0339" w:rsidRDefault="007E0339" w:rsidP="007E0339">
      <w:pPr>
        <w:pStyle w:val="Author"/>
        <w:spacing w:line="240" w:lineRule="auto"/>
        <w:rPr>
          <w:rFonts w:ascii="Arial" w:hAnsi="Arial" w:cs="Arial"/>
          <w:bCs/>
          <w:iCs/>
          <w:kern w:val="28"/>
          <w:sz w:val="36"/>
        </w:rPr>
      </w:pPr>
      <w:r w:rsidRPr="007E0339">
        <w:rPr>
          <w:rFonts w:ascii="Arial" w:hAnsi="Arial" w:cs="Arial"/>
          <w:bCs/>
          <w:iCs/>
          <w:kern w:val="28"/>
          <w:sz w:val="36"/>
        </w:rPr>
        <w:t xml:space="preserve">of Bioactive Phenolic Compounds: </w:t>
      </w:r>
      <w:proofErr w:type="spellStart"/>
      <w:r w:rsidRPr="007E0339">
        <w:rPr>
          <w:rFonts w:ascii="Arial" w:hAnsi="Arial" w:cs="Arial"/>
          <w:bCs/>
          <w:iCs/>
          <w:kern w:val="28"/>
          <w:sz w:val="36"/>
        </w:rPr>
        <w:t>Pharmacognostic</w:t>
      </w:r>
      <w:proofErr w:type="spellEnd"/>
      <w:r w:rsidRPr="007E0339">
        <w:rPr>
          <w:rFonts w:ascii="Arial" w:hAnsi="Arial" w:cs="Arial"/>
          <w:bCs/>
          <w:iCs/>
          <w:kern w:val="28"/>
          <w:sz w:val="36"/>
        </w:rPr>
        <w:t xml:space="preserve"> and Nutraceutical Implications</w:t>
      </w:r>
    </w:p>
    <w:p w14:paraId="6BC30D2C" w14:textId="77777777" w:rsidR="00163BC4" w:rsidRPr="00163BC4" w:rsidRDefault="00163BC4" w:rsidP="00441B6F">
      <w:pPr>
        <w:pStyle w:val="Author"/>
        <w:spacing w:line="240" w:lineRule="auto"/>
        <w:rPr>
          <w:rFonts w:ascii="Arial" w:hAnsi="Arial" w:cs="Arial"/>
          <w:bCs/>
          <w:iCs/>
          <w:kern w:val="28"/>
          <w:sz w:val="36"/>
        </w:rPr>
      </w:pPr>
    </w:p>
    <w:p w14:paraId="65556146" w14:textId="77777777" w:rsidR="00C222CC" w:rsidRDefault="00C222CC" w:rsidP="00C936EF">
      <w:pPr>
        <w:pStyle w:val="Affiliation"/>
        <w:spacing w:after="0" w:line="240" w:lineRule="auto"/>
        <w:rPr>
          <w:rFonts w:ascii="Arial" w:eastAsia="SimSun" w:hAnsi="Arial" w:cs="Arial"/>
          <w:i/>
          <w:color w:val="000000"/>
          <w:lang w:eastAsia="zh-CN"/>
        </w:rPr>
      </w:pPr>
    </w:p>
    <w:p w14:paraId="656EDB34" w14:textId="77777777" w:rsidR="00C222CC" w:rsidRDefault="00C222CC" w:rsidP="00C936EF">
      <w:pPr>
        <w:pStyle w:val="Affiliation"/>
        <w:spacing w:after="0" w:line="240" w:lineRule="auto"/>
        <w:rPr>
          <w:rFonts w:ascii="Arial" w:eastAsia="SimSun" w:hAnsi="Arial" w:cs="Arial"/>
          <w:i/>
          <w:color w:val="000000"/>
          <w:lang w:eastAsia="zh-CN"/>
        </w:rPr>
      </w:pPr>
    </w:p>
    <w:p w14:paraId="6796069B" w14:textId="77777777" w:rsidR="00C222CC" w:rsidRDefault="00C222CC" w:rsidP="00C936EF">
      <w:pPr>
        <w:pStyle w:val="Affiliation"/>
        <w:spacing w:after="0" w:line="240" w:lineRule="auto"/>
        <w:rPr>
          <w:rFonts w:ascii="Arial" w:eastAsia="SimSun" w:hAnsi="Arial" w:cs="Arial"/>
          <w:i/>
          <w:color w:val="000000"/>
          <w:lang w:eastAsia="zh-CN"/>
        </w:rPr>
      </w:pPr>
    </w:p>
    <w:p w14:paraId="6618FE0C" w14:textId="77777777" w:rsidR="00C222CC" w:rsidRDefault="00C222CC" w:rsidP="00C936EF">
      <w:pPr>
        <w:pStyle w:val="Affiliation"/>
        <w:spacing w:after="0" w:line="240" w:lineRule="auto"/>
        <w:rPr>
          <w:rFonts w:ascii="Arial" w:eastAsia="SimSun" w:hAnsi="Arial" w:cs="Arial"/>
          <w:i/>
          <w:color w:val="000000"/>
          <w:lang w:eastAsia="zh-CN"/>
        </w:rPr>
      </w:pPr>
    </w:p>
    <w:p w14:paraId="63843DBC" w14:textId="0188545C" w:rsidR="00C936EF" w:rsidRPr="005F25A2" w:rsidRDefault="00C936EF" w:rsidP="00C936EF">
      <w:pPr>
        <w:pStyle w:val="Affiliation"/>
        <w:spacing w:after="0" w:line="240" w:lineRule="auto"/>
        <w:rPr>
          <w:rFonts w:ascii="Arial" w:eastAsia="SimSun" w:hAnsi="Arial" w:cs="Arial"/>
          <w:i/>
          <w:color w:val="000000"/>
          <w:lang w:eastAsia="zh-CN"/>
        </w:rPr>
      </w:pPr>
      <w:r>
        <w:rPr>
          <w:rFonts w:ascii="Arial" w:eastAsia="SimSun" w:hAnsi="Arial" w:cs="Arial"/>
          <w:i/>
          <w:color w:val="000000"/>
          <w:lang w:eastAsia="zh-CN"/>
        </w:rPr>
        <w:t xml:space="preserve"> </w:t>
      </w:r>
    </w:p>
    <w:p w14:paraId="04FC34C2" w14:textId="77777777" w:rsidR="002C57D2" w:rsidRPr="00FB3A86" w:rsidRDefault="002C57D2" w:rsidP="00441B6F">
      <w:pPr>
        <w:pStyle w:val="Affiliation"/>
        <w:spacing w:after="0" w:line="240" w:lineRule="auto"/>
        <w:jc w:val="both"/>
        <w:rPr>
          <w:rFonts w:ascii="Arial" w:hAnsi="Arial" w:cs="Arial"/>
        </w:rPr>
      </w:pPr>
    </w:p>
    <w:p w14:paraId="5A80A501" w14:textId="77777777" w:rsidR="00B01FCD" w:rsidRPr="00FB3A86" w:rsidRDefault="005A3398" w:rsidP="00441B6F">
      <w:pPr>
        <w:pStyle w:val="Copyright"/>
        <w:spacing w:after="0" w:line="240" w:lineRule="auto"/>
        <w:jc w:val="both"/>
        <w:rPr>
          <w:rFonts w:ascii="Arial" w:hAnsi="Arial" w:cs="Arial"/>
        </w:rPr>
        <w:sectPr w:rsidR="00B01FCD" w:rsidRPr="00FB3A86" w:rsidSect="007071C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C88243E" wp14:editId="4DE328A1">
                <wp:extent cx="5303520" cy="0"/>
                <wp:effectExtent l="9525" t="9525" r="11430" b="9525"/>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2EE9A48"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I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LPMF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" strokeweight="1.5pt">
                <w10:anchorlock/>
              </v:shape>
            </w:pict>
          </mc:Fallback>
        </mc:AlternateContent>
      </w:r>
      <w:r w:rsidR="00FB3A86">
        <w:rPr>
          <w:rFonts w:ascii="Arial" w:hAnsi="Arial" w:cs="Arial"/>
        </w:rPr>
        <w:t>.</w:t>
      </w:r>
    </w:p>
    <w:p w14:paraId="14470FDA" w14:textId="77777777" w:rsidR="00790ADA"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0537D4AC" w14:textId="77777777" w:rsidR="00FB7860" w:rsidRPr="00FB3A86" w:rsidRDefault="00FB7860"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423F2817" w14:textId="77777777" w:rsidTr="001E44FE">
        <w:tc>
          <w:tcPr>
            <w:tcW w:w="9576" w:type="dxa"/>
            <w:shd w:val="clear" w:color="auto" w:fill="F2F2F2"/>
          </w:tcPr>
          <w:p w14:paraId="3C232665" w14:textId="2E10B6D1" w:rsidR="003E421D" w:rsidRDefault="003E421D" w:rsidP="00536C7F">
            <w:pPr>
              <w:pStyle w:val="Body"/>
              <w:spacing w:after="0"/>
              <w:rPr>
                <w:rFonts w:ascii="Arial" w:eastAsia="Calibri" w:hAnsi="Arial" w:cs="Arial"/>
                <w:b/>
                <w:szCs w:val="22"/>
              </w:rPr>
            </w:pPr>
            <w:r>
              <w:rPr>
                <w:rFonts w:ascii="Arial" w:eastAsia="Calibri" w:hAnsi="Arial" w:cs="Arial"/>
                <w:b/>
                <w:szCs w:val="22"/>
              </w:rPr>
              <w:t xml:space="preserve">Background: </w:t>
            </w:r>
            <w:r w:rsidRPr="00F2164B">
              <w:rPr>
                <w:rFonts w:ascii="Arial" w:hAnsi="Arial" w:cs="Arial"/>
              </w:rPr>
              <w:t xml:space="preserve">The phytochemical profile of </w:t>
            </w:r>
            <w:r w:rsidRPr="00F2164B">
              <w:rPr>
                <w:rFonts w:ascii="Arial" w:hAnsi="Arial" w:cs="Arial"/>
                <w:i/>
                <w:iCs/>
              </w:rPr>
              <w:t>E. angustifolia</w:t>
            </w:r>
            <w:r w:rsidRPr="00F2164B">
              <w:rPr>
                <w:rFonts w:ascii="Arial" w:hAnsi="Arial" w:cs="Arial"/>
              </w:rPr>
              <w:t xml:space="preserve"> comprises secondary metabolites belonging to several chemical classes. Phenolic compounds represent one of the most extensively investigated groups, being considered essential contributors to the </w:t>
            </w:r>
            <w:proofErr w:type="spellStart"/>
            <w:r w:rsidRPr="00F2164B">
              <w:rPr>
                <w:rFonts w:ascii="Arial" w:hAnsi="Arial" w:cs="Arial"/>
              </w:rPr>
              <w:t>pharmacognostic</w:t>
            </w:r>
            <w:proofErr w:type="spellEnd"/>
            <w:r w:rsidRPr="00F2164B">
              <w:rPr>
                <w:rFonts w:ascii="Arial" w:hAnsi="Arial" w:cs="Arial"/>
              </w:rPr>
              <w:t xml:space="preserve"> value of medicinal plants due to the diversity of their biological activities.</w:t>
            </w:r>
          </w:p>
          <w:p w14:paraId="49E67FFC" w14:textId="0349AA9E"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Aims:</w:t>
            </w:r>
            <w:r>
              <w:rPr>
                <w:rFonts w:ascii="Arial" w:eastAsia="Calibri" w:hAnsi="Arial" w:cs="Arial"/>
                <w:b/>
                <w:szCs w:val="22"/>
              </w:rPr>
              <w:t xml:space="preserve"> </w:t>
            </w:r>
            <w:r w:rsidRPr="00536C7F">
              <w:rPr>
                <w:rFonts w:ascii="Arial" w:eastAsia="Calibri" w:hAnsi="Arial" w:cs="Arial"/>
                <w:szCs w:val="22"/>
              </w:rPr>
              <w:t xml:space="preserve">The present study aimed to evaluate the phenolic composition of aqueous extracts obtained from </w:t>
            </w:r>
            <w:r w:rsidRPr="00536C7F">
              <w:rPr>
                <w:rFonts w:ascii="Arial" w:eastAsia="Calibri" w:hAnsi="Arial" w:cs="Arial"/>
                <w:i/>
                <w:szCs w:val="22"/>
              </w:rPr>
              <w:t>Elaeagnus angustifolia</w:t>
            </w:r>
            <w:r w:rsidRPr="00536C7F">
              <w:rPr>
                <w:rFonts w:ascii="Arial" w:eastAsia="Calibri" w:hAnsi="Arial" w:cs="Arial"/>
                <w:szCs w:val="22"/>
              </w:rPr>
              <w:t xml:space="preserve"> fruits and to investigate the influence of extraction temperature on the distribution and stability of bioactive compounds.</w:t>
            </w:r>
          </w:p>
          <w:p w14:paraId="2AC8B48D" w14:textId="77777777"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Study design:</w:t>
            </w:r>
            <w:r w:rsidR="003802C7">
              <w:rPr>
                <w:rFonts w:ascii="Arial" w:eastAsia="Calibri" w:hAnsi="Arial" w:cs="Arial"/>
                <w:b/>
                <w:szCs w:val="22"/>
              </w:rPr>
              <w:t xml:space="preserve"> </w:t>
            </w:r>
            <w:r w:rsidRPr="00536C7F">
              <w:rPr>
                <w:rFonts w:ascii="Arial" w:eastAsia="Calibri" w:hAnsi="Arial" w:cs="Arial"/>
                <w:szCs w:val="22"/>
              </w:rPr>
              <w:t xml:space="preserve">This study represents an experimental phytochemical investigation focused on the effect of thermal extraction </w:t>
            </w:r>
            <w:r w:rsidR="003802C7">
              <w:rPr>
                <w:rFonts w:ascii="Arial" w:eastAsia="Calibri" w:hAnsi="Arial" w:cs="Arial"/>
                <w:szCs w:val="22"/>
              </w:rPr>
              <w:t xml:space="preserve">parameters. </w:t>
            </w:r>
            <w:r w:rsidR="003802C7" w:rsidRPr="00536C7F">
              <w:rPr>
                <w:rFonts w:ascii="Arial" w:eastAsia="Calibri" w:hAnsi="Arial" w:cs="Arial"/>
                <w:szCs w:val="22"/>
              </w:rPr>
              <w:t>The</w:t>
            </w:r>
            <w:r w:rsidRPr="00536C7F">
              <w:rPr>
                <w:rFonts w:ascii="Arial" w:eastAsia="Calibri" w:hAnsi="Arial" w:cs="Arial"/>
                <w:szCs w:val="22"/>
              </w:rPr>
              <w:t xml:space="preserve"> study was carried out in a laboratory setting using plant material collected from the Romanian geographical area.</w:t>
            </w:r>
          </w:p>
          <w:p w14:paraId="70C33C11" w14:textId="77777777"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Methodology:</w:t>
            </w:r>
            <w:r>
              <w:rPr>
                <w:rFonts w:ascii="Arial" w:eastAsia="Calibri" w:hAnsi="Arial" w:cs="Arial"/>
                <w:b/>
                <w:szCs w:val="22"/>
              </w:rPr>
              <w:t xml:space="preserve"> </w:t>
            </w:r>
            <w:r w:rsidRPr="00536C7F">
              <w:rPr>
                <w:rFonts w:ascii="Arial" w:eastAsia="Calibri" w:hAnsi="Arial" w:cs="Arial"/>
                <w:szCs w:val="22"/>
              </w:rPr>
              <w:t xml:space="preserve">Aqueous extracts of </w:t>
            </w:r>
            <w:r w:rsidRPr="00536C7F">
              <w:rPr>
                <w:rFonts w:ascii="Arial" w:eastAsia="Calibri" w:hAnsi="Arial" w:cs="Arial"/>
                <w:i/>
                <w:szCs w:val="22"/>
              </w:rPr>
              <w:t>Elaeagnus angustifolia</w:t>
            </w:r>
            <w:r w:rsidRPr="00536C7F">
              <w:rPr>
                <w:rFonts w:ascii="Arial" w:eastAsia="Calibri" w:hAnsi="Arial" w:cs="Arial"/>
                <w:szCs w:val="22"/>
              </w:rPr>
              <w:t xml:space="preserve"> fruits were prepared under three thermal </w:t>
            </w:r>
            <w:r w:rsidR="0006626F">
              <w:rPr>
                <w:rFonts w:ascii="Arial" w:eastAsia="Calibri" w:hAnsi="Arial" w:cs="Arial"/>
                <w:szCs w:val="22"/>
              </w:rPr>
              <w:t>conditions: cold extraction, 50°C, and 80</w:t>
            </w:r>
            <w:r w:rsidRPr="00536C7F">
              <w:rPr>
                <w:rFonts w:ascii="Arial" w:eastAsia="Calibri" w:hAnsi="Arial" w:cs="Arial"/>
                <w:szCs w:val="22"/>
              </w:rPr>
              <w:t>°C. The phenolic profile was analyzed, focusing on phenolic acids and flavonoids, in or</w:t>
            </w:r>
            <w:bookmarkStart w:id="0" w:name="_GoBack"/>
            <w:bookmarkEnd w:id="0"/>
            <w:r w:rsidRPr="00536C7F">
              <w:rPr>
                <w:rFonts w:ascii="Arial" w:eastAsia="Calibri" w:hAnsi="Arial" w:cs="Arial"/>
                <w:szCs w:val="22"/>
              </w:rPr>
              <w:t>der to evaluate the effect of temperature on compound extractability and stability.</w:t>
            </w:r>
          </w:p>
          <w:p w14:paraId="0CE456E2" w14:textId="77777777" w:rsidR="00536C7F" w:rsidRPr="00536C7F" w:rsidRDefault="00536C7F" w:rsidP="00536C7F">
            <w:pPr>
              <w:pStyle w:val="Body"/>
              <w:spacing w:after="0"/>
              <w:rPr>
                <w:rFonts w:ascii="Arial" w:eastAsia="Calibri" w:hAnsi="Arial" w:cs="Arial"/>
                <w:szCs w:val="22"/>
              </w:rPr>
            </w:pPr>
            <w:r w:rsidRPr="00536C7F">
              <w:rPr>
                <w:rFonts w:ascii="Arial" w:eastAsia="Calibri" w:hAnsi="Arial" w:cs="Arial"/>
                <w:b/>
                <w:szCs w:val="22"/>
              </w:rPr>
              <w:t>Results</w:t>
            </w:r>
            <w:r>
              <w:rPr>
                <w:rFonts w:ascii="Arial" w:eastAsia="Calibri" w:hAnsi="Arial" w:cs="Arial"/>
                <w:b/>
                <w:szCs w:val="22"/>
              </w:rPr>
              <w:t>:</w:t>
            </w:r>
            <w:r w:rsidRPr="00536C7F">
              <w:rPr>
                <w:rFonts w:ascii="Arial" w:eastAsia="Calibri" w:hAnsi="Arial" w:cs="Arial"/>
                <w:szCs w:val="22"/>
              </w:rPr>
              <w:t xml:space="preserve"> The analysis revealed the presence of representative phenolic acids and flavonoids in all extracts. Significant variations were observed depending on extraction temperature. Higher temperatures led to increased concentrations of </w:t>
            </w:r>
            <w:proofErr w:type="spellStart"/>
            <w:r w:rsidRPr="00536C7F">
              <w:rPr>
                <w:rFonts w:ascii="Arial" w:eastAsia="Calibri" w:hAnsi="Arial" w:cs="Arial"/>
                <w:szCs w:val="22"/>
              </w:rPr>
              <w:t>sinapic</w:t>
            </w:r>
            <w:proofErr w:type="spellEnd"/>
            <w:r w:rsidRPr="00536C7F">
              <w:rPr>
                <w:rFonts w:ascii="Arial" w:eastAsia="Calibri" w:hAnsi="Arial" w:cs="Arial"/>
                <w:szCs w:val="22"/>
              </w:rPr>
              <w:t xml:space="preserve"> acid and gallic acid, while epicatechin content decreased under intense thermal conditions, indicating differences in thermal stability among phenolic compounds.</w:t>
            </w:r>
          </w:p>
          <w:p w14:paraId="2EE5D593" w14:textId="77777777" w:rsidR="00505F06" w:rsidRPr="00BA1B01" w:rsidRDefault="00536C7F" w:rsidP="00536C7F">
            <w:pPr>
              <w:pStyle w:val="Body"/>
              <w:spacing w:after="0"/>
              <w:rPr>
                <w:rFonts w:ascii="Arial" w:eastAsia="Calibri" w:hAnsi="Arial" w:cs="Arial"/>
                <w:szCs w:val="22"/>
              </w:rPr>
            </w:pPr>
            <w:r w:rsidRPr="00536C7F">
              <w:rPr>
                <w:rFonts w:ascii="Arial" w:eastAsia="Calibri" w:hAnsi="Arial" w:cs="Arial"/>
                <w:b/>
                <w:szCs w:val="22"/>
              </w:rPr>
              <w:t>Conclusion:</w:t>
            </w:r>
            <w:r w:rsidRPr="00536C7F">
              <w:rPr>
                <w:rFonts w:ascii="Arial" w:eastAsia="Calibri" w:hAnsi="Arial" w:cs="Arial"/>
                <w:szCs w:val="22"/>
              </w:rPr>
              <w:t xml:space="preserve"> The results support the </w:t>
            </w:r>
            <w:proofErr w:type="spellStart"/>
            <w:r w:rsidRPr="00536C7F">
              <w:rPr>
                <w:rFonts w:ascii="Arial" w:eastAsia="Calibri" w:hAnsi="Arial" w:cs="Arial"/>
                <w:szCs w:val="22"/>
              </w:rPr>
              <w:t>pharmacognostic</w:t>
            </w:r>
            <w:proofErr w:type="spellEnd"/>
            <w:r w:rsidRPr="00536C7F">
              <w:rPr>
                <w:rFonts w:ascii="Arial" w:eastAsia="Calibri" w:hAnsi="Arial" w:cs="Arial"/>
                <w:szCs w:val="22"/>
              </w:rPr>
              <w:t xml:space="preserve"> value of </w:t>
            </w:r>
            <w:r w:rsidRPr="00536C7F">
              <w:rPr>
                <w:rFonts w:ascii="Arial" w:eastAsia="Calibri" w:hAnsi="Arial" w:cs="Arial"/>
                <w:i/>
                <w:szCs w:val="22"/>
              </w:rPr>
              <w:t>Elaeagnus angustifolia</w:t>
            </w:r>
            <w:r w:rsidRPr="00536C7F">
              <w:rPr>
                <w:rFonts w:ascii="Arial" w:eastAsia="Calibri" w:hAnsi="Arial" w:cs="Arial"/>
                <w:szCs w:val="22"/>
              </w:rPr>
              <w:t xml:space="preserve"> fruits as a source of bioactive compounds with antioxidant and anti-inflammatory potential. The findings highlight the importance of optimizing extraction parameters to obtain standardized extracts suitable for nutraceutical, </w:t>
            </w:r>
            <w:proofErr w:type="spellStart"/>
            <w:r w:rsidRPr="00536C7F">
              <w:rPr>
                <w:rFonts w:ascii="Arial" w:eastAsia="Calibri" w:hAnsi="Arial" w:cs="Arial"/>
                <w:szCs w:val="22"/>
              </w:rPr>
              <w:t>phytotherapeutic</w:t>
            </w:r>
            <w:proofErr w:type="spellEnd"/>
            <w:r w:rsidRPr="00536C7F">
              <w:rPr>
                <w:rFonts w:ascii="Arial" w:eastAsia="Calibri" w:hAnsi="Arial" w:cs="Arial"/>
                <w:szCs w:val="22"/>
              </w:rPr>
              <w:t>, and dermato-cosmetic applications, and emphasize the potential of Romanian plant resources.</w:t>
            </w:r>
          </w:p>
        </w:tc>
      </w:tr>
    </w:tbl>
    <w:p w14:paraId="0BF1E355" w14:textId="77777777" w:rsidR="00636EB2" w:rsidRDefault="00636EB2" w:rsidP="00441B6F">
      <w:pPr>
        <w:pStyle w:val="Body"/>
        <w:spacing w:after="0"/>
        <w:rPr>
          <w:rFonts w:ascii="Arial" w:hAnsi="Arial" w:cs="Arial"/>
          <w:i/>
        </w:rPr>
      </w:pPr>
    </w:p>
    <w:p w14:paraId="59AAF9B6" w14:textId="77777777" w:rsidR="00A24E7E" w:rsidRDefault="00A24E7E" w:rsidP="00441B6F">
      <w:pPr>
        <w:pStyle w:val="Body"/>
        <w:spacing w:after="0"/>
        <w:rPr>
          <w:rFonts w:ascii="Arial" w:hAnsi="Arial" w:cs="Arial"/>
          <w:i/>
        </w:rPr>
      </w:pPr>
      <w:r>
        <w:rPr>
          <w:rFonts w:ascii="Arial" w:hAnsi="Arial" w:cs="Arial"/>
          <w:i/>
        </w:rPr>
        <w:t xml:space="preserve">Keywords: </w:t>
      </w:r>
      <w:r w:rsidR="00956838" w:rsidRPr="00956838">
        <w:rPr>
          <w:rFonts w:ascii="Arial" w:hAnsi="Arial" w:cs="Arial"/>
          <w:i/>
          <w:iCs/>
        </w:rPr>
        <w:t>Elaeagnus angustifolia</w:t>
      </w:r>
      <w:r w:rsidR="00956838" w:rsidRPr="00956838">
        <w:rPr>
          <w:rFonts w:ascii="Arial" w:hAnsi="Arial" w:cs="Arial"/>
          <w:i/>
        </w:rPr>
        <w:t xml:space="preserve"> L., phenolic compounds, </w:t>
      </w:r>
      <w:proofErr w:type="spellStart"/>
      <w:r w:rsidR="00956838" w:rsidRPr="00956838">
        <w:rPr>
          <w:rFonts w:ascii="Arial" w:hAnsi="Arial" w:cs="Arial"/>
          <w:i/>
        </w:rPr>
        <w:t>pharmacognostic</w:t>
      </w:r>
      <w:proofErr w:type="spellEnd"/>
      <w:r w:rsidR="00956838" w:rsidRPr="00956838">
        <w:rPr>
          <w:rFonts w:ascii="Arial" w:hAnsi="Arial" w:cs="Arial"/>
          <w:i/>
        </w:rPr>
        <w:t xml:space="preserve"> and nutraceutical value, bioactive metabolites, extraction </w:t>
      </w:r>
      <w:r w:rsidR="00524D09" w:rsidRPr="00956838">
        <w:rPr>
          <w:rFonts w:ascii="Arial" w:hAnsi="Arial" w:cs="Arial"/>
          <w:i/>
        </w:rPr>
        <w:t>optimizati</w:t>
      </w:r>
      <w:r w:rsidR="00524D09">
        <w:rPr>
          <w:rFonts w:ascii="Arial" w:hAnsi="Arial" w:cs="Arial"/>
          <w:i/>
        </w:rPr>
        <w:t>on</w:t>
      </w:r>
      <w:r w:rsidR="00956838">
        <w:rPr>
          <w:rFonts w:ascii="Arial" w:hAnsi="Arial" w:cs="Arial"/>
          <w:i/>
        </w:rPr>
        <w:t>, anti-inflammatory potential</w:t>
      </w:r>
    </w:p>
    <w:p w14:paraId="0F3AA00D" w14:textId="77777777" w:rsidR="00790ADA" w:rsidRDefault="00790ADA" w:rsidP="00441B6F">
      <w:pPr>
        <w:pStyle w:val="Body"/>
        <w:spacing w:after="0"/>
        <w:rPr>
          <w:rFonts w:ascii="Arial" w:hAnsi="Arial" w:cs="Arial"/>
          <w:i/>
        </w:rPr>
      </w:pPr>
    </w:p>
    <w:p w14:paraId="571AB989" w14:textId="77777777" w:rsidR="00536C7F" w:rsidRDefault="00536C7F" w:rsidP="00441B6F">
      <w:pPr>
        <w:pStyle w:val="Body"/>
        <w:spacing w:after="0"/>
        <w:rPr>
          <w:rFonts w:ascii="Arial" w:hAnsi="Arial" w:cs="Arial"/>
          <w:i/>
        </w:rPr>
      </w:pPr>
    </w:p>
    <w:p w14:paraId="374C9A0E" w14:textId="77777777" w:rsidR="007F7B32" w:rsidRDefault="00902823" w:rsidP="00EF3662">
      <w:pPr>
        <w:pStyle w:val="AbstHead"/>
        <w:spacing w:after="0"/>
        <w:rPr>
          <w:rFonts w:ascii="Arial" w:hAnsi="Arial" w:cs="Arial"/>
        </w:rPr>
      </w:pPr>
      <w:r>
        <w:rPr>
          <w:rFonts w:ascii="Arial" w:hAnsi="Arial" w:cs="Arial"/>
        </w:rPr>
        <w:lastRenderedPageBreak/>
        <w:t xml:space="preserve">1. </w:t>
      </w:r>
      <w:r w:rsidR="00B01FCD" w:rsidRPr="00FB3A86">
        <w:rPr>
          <w:rFonts w:ascii="Arial" w:hAnsi="Arial" w:cs="Arial"/>
        </w:rPr>
        <w:t>INTRODUCTION</w:t>
      </w:r>
      <w:r w:rsidR="007F7B32">
        <w:rPr>
          <w:rFonts w:ascii="Arial" w:hAnsi="Arial" w:cs="Arial"/>
        </w:rPr>
        <w:t xml:space="preserve"> </w:t>
      </w:r>
    </w:p>
    <w:p w14:paraId="10BEEA66" w14:textId="77777777" w:rsidR="00790ADA" w:rsidRPr="00FB3A86" w:rsidRDefault="00790ADA" w:rsidP="00441B6F">
      <w:pPr>
        <w:pStyle w:val="AbstHead"/>
        <w:spacing w:after="0"/>
        <w:jc w:val="both"/>
        <w:rPr>
          <w:rFonts w:ascii="Arial" w:hAnsi="Arial" w:cs="Arial"/>
        </w:rPr>
      </w:pPr>
    </w:p>
    <w:p w14:paraId="07330055" w14:textId="77777777" w:rsidR="00F2164B" w:rsidRPr="00F2164B" w:rsidRDefault="00F2164B" w:rsidP="00D93943">
      <w:pPr>
        <w:pStyle w:val="Body"/>
        <w:spacing w:after="0"/>
        <w:rPr>
          <w:rFonts w:ascii="Arial" w:hAnsi="Arial" w:cs="Arial"/>
        </w:rPr>
      </w:pPr>
      <w:r w:rsidRPr="00F2164B">
        <w:rPr>
          <w:rFonts w:ascii="Arial" w:hAnsi="Arial" w:cs="Arial"/>
          <w:i/>
          <w:iCs/>
        </w:rPr>
        <w:t>Elaeagnus angustifolia</w:t>
      </w:r>
      <w:r w:rsidRPr="00F2164B">
        <w:rPr>
          <w:rFonts w:ascii="Arial" w:hAnsi="Arial" w:cs="Arial"/>
        </w:rPr>
        <w:t xml:space="preserve"> L. (</w:t>
      </w:r>
      <w:proofErr w:type="spellStart"/>
      <w:r w:rsidRPr="00F2164B">
        <w:rPr>
          <w:rFonts w:ascii="Arial" w:hAnsi="Arial" w:cs="Arial"/>
        </w:rPr>
        <w:t>Elaeagnaceae</w:t>
      </w:r>
      <w:proofErr w:type="spellEnd"/>
      <w:r w:rsidRPr="00F2164B">
        <w:rPr>
          <w:rFonts w:ascii="Arial" w:hAnsi="Arial" w:cs="Arial"/>
        </w:rPr>
        <w:t xml:space="preserve">), commonly known as oleaster, </w:t>
      </w:r>
      <w:proofErr w:type="spellStart"/>
      <w:r w:rsidRPr="00F2164B">
        <w:rPr>
          <w:rFonts w:ascii="Arial" w:hAnsi="Arial" w:cs="Arial"/>
          <w:i/>
          <w:iCs/>
        </w:rPr>
        <w:t>sălcioară</w:t>
      </w:r>
      <w:proofErr w:type="spellEnd"/>
      <w:r w:rsidRPr="00F2164B">
        <w:rPr>
          <w:rFonts w:ascii="Arial" w:hAnsi="Arial" w:cs="Arial"/>
        </w:rPr>
        <w:t xml:space="preserve">, or “Russian olive”, is a perennial shrub reaching heights between 5 and 12 m </w:t>
      </w:r>
      <w:r w:rsidRPr="00531F7E">
        <w:rPr>
          <w:rFonts w:ascii="Arial" w:hAnsi="Arial" w:cs="Arial"/>
        </w:rPr>
        <w:t>(</w:t>
      </w:r>
      <w:proofErr w:type="spellStart"/>
      <w:r w:rsidRPr="00531F7E">
        <w:rPr>
          <w:rFonts w:ascii="Arial" w:hAnsi="Arial" w:cs="Arial"/>
        </w:rPr>
        <w:t>Zouhar</w:t>
      </w:r>
      <w:proofErr w:type="spellEnd"/>
      <w:r w:rsidRPr="00531F7E">
        <w:rPr>
          <w:rFonts w:ascii="Arial" w:hAnsi="Arial" w:cs="Arial"/>
        </w:rPr>
        <w:t>, 2005</w:t>
      </w:r>
      <w:r w:rsidRPr="00F2164B">
        <w:rPr>
          <w:rFonts w:ascii="Arial" w:hAnsi="Arial" w:cs="Arial"/>
        </w:rPr>
        <w:t xml:space="preserve">), adapted to arid and semi-arid conditions across Eurasia. The species is </w:t>
      </w:r>
      <w:proofErr w:type="spellStart"/>
      <w:r w:rsidRPr="00F2164B">
        <w:rPr>
          <w:rFonts w:ascii="Arial" w:hAnsi="Arial" w:cs="Arial"/>
        </w:rPr>
        <w:t>characterised</w:t>
      </w:r>
      <w:proofErr w:type="spellEnd"/>
      <w:r w:rsidRPr="00F2164B">
        <w:rPr>
          <w:rFonts w:ascii="Arial" w:hAnsi="Arial" w:cs="Arial"/>
        </w:rPr>
        <w:t xml:space="preserve"> by lanceolate silvery leaves, fragrant flowers, and edible ovoid fruits traditionally used both as food and in phytotherapy (</w:t>
      </w:r>
      <w:r w:rsidRPr="00531F7E">
        <w:rPr>
          <w:rFonts w:ascii="Arial" w:hAnsi="Arial" w:cs="Arial"/>
        </w:rPr>
        <w:t>Khadivi</w:t>
      </w:r>
      <w:r w:rsidRPr="00F2164B">
        <w:rPr>
          <w:rFonts w:ascii="Arial" w:hAnsi="Arial" w:cs="Arial"/>
        </w:rPr>
        <w:t>, 2018). Scientific interest in this species has increased significantly in recent decades, particularly due to its complex phytochemical composition and associated biological potential (</w:t>
      </w:r>
      <w:proofErr w:type="spellStart"/>
      <w:r w:rsidRPr="00531F7E">
        <w:rPr>
          <w:rFonts w:ascii="Arial" w:hAnsi="Arial" w:cs="Arial"/>
        </w:rPr>
        <w:t>Carradori</w:t>
      </w:r>
      <w:proofErr w:type="spellEnd"/>
      <w:r w:rsidRPr="00F2164B">
        <w:rPr>
          <w:rFonts w:ascii="Arial" w:hAnsi="Arial" w:cs="Arial"/>
        </w:rPr>
        <w:t xml:space="preserve"> et al., 2020).</w:t>
      </w:r>
    </w:p>
    <w:p w14:paraId="4AA075F9" w14:textId="77777777" w:rsidR="00F2164B" w:rsidRPr="00F2164B" w:rsidRDefault="00F2164B" w:rsidP="00D93943">
      <w:pPr>
        <w:pStyle w:val="Body"/>
        <w:spacing w:after="0"/>
        <w:rPr>
          <w:rFonts w:ascii="Arial" w:hAnsi="Arial" w:cs="Arial"/>
        </w:rPr>
      </w:pPr>
      <w:r w:rsidRPr="00F2164B">
        <w:rPr>
          <w:rFonts w:ascii="Arial" w:hAnsi="Arial" w:cs="Arial"/>
        </w:rPr>
        <w:t xml:space="preserve">From an </w:t>
      </w:r>
      <w:r w:rsidR="00FA46F9" w:rsidRPr="00F2164B">
        <w:rPr>
          <w:rFonts w:ascii="Arial" w:hAnsi="Arial" w:cs="Arial"/>
        </w:rPr>
        <w:t>ethno pharmacological</w:t>
      </w:r>
      <w:r w:rsidRPr="00F2164B">
        <w:rPr>
          <w:rFonts w:ascii="Arial" w:hAnsi="Arial" w:cs="Arial"/>
        </w:rPr>
        <w:t xml:space="preserve"> perspective, different parts of the plant have been used for their astringent, antitussive, anti-inflammatory, and carminative properties (</w:t>
      </w:r>
      <w:proofErr w:type="spellStart"/>
      <w:r w:rsidRPr="001A7872">
        <w:rPr>
          <w:rFonts w:ascii="Arial" w:hAnsi="Arial" w:cs="Arial"/>
        </w:rPr>
        <w:t>Hamidpour</w:t>
      </w:r>
      <w:proofErr w:type="spellEnd"/>
      <w:r w:rsidRPr="00F2164B">
        <w:rPr>
          <w:rFonts w:ascii="Arial" w:hAnsi="Arial" w:cs="Arial"/>
        </w:rPr>
        <w:t xml:space="preserve"> et al., 2017). Modern studies have confirmed multiple biological activities, including antioxidant, anti-inflammatory, antinociceptive, antiarrhythmic, hypolipidemic, wound-healing, antimicrobial, and gastroprotective effects, as well as antimutagenic and </w:t>
      </w:r>
      <w:proofErr w:type="spellStart"/>
      <w:r w:rsidRPr="00F2164B">
        <w:rPr>
          <w:rFonts w:ascii="Arial" w:hAnsi="Arial" w:cs="Arial"/>
        </w:rPr>
        <w:t>antitumour</w:t>
      </w:r>
      <w:proofErr w:type="spellEnd"/>
      <w:r w:rsidRPr="00F2164B">
        <w:rPr>
          <w:rFonts w:ascii="Arial" w:hAnsi="Arial" w:cs="Arial"/>
        </w:rPr>
        <w:t xml:space="preserve"> potential (</w:t>
      </w:r>
      <w:proofErr w:type="spellStart"/>
      <w:r w:rsidRPr="001A7872">
        <w:rPr>
          <w:rFonts w:ascii="Arial" w:hAnsi="Arial" w:cs="Arial"/>
        </w:rPr>
        <w:t>Tehranizadeh</w:t>
      </w:r>
      <w:proofErr w:type="spellEnd"/>
      <w:r w:rsidRPr="00F2164B">
        <w:rPr>
          <w:rFonts w:ascii="Arial" w:hAnsi="Arial" w:cs="Arial"/>
        </w:rPr>
        <w:t xml:space="preserve"> et al., 2016; </w:t>
      </w:r>
      <w:proofErr w:type="spellStart"/>
      <w:r w:rsidRPr="00DD3076">
        <w:rPr>
          <w:rFonts w:ascii="Arial" w:hAnsi="Arial" w:cs="Arial"/>
        </w:rPr>
        <w:t>Farzaei</w:t>
      </w:r>
      <w:proofErr w:type="spellEnd"/>
      <w:r w:rsidRPr="00F2164B">
        <w:rPr>
          <w:rFonts w:ascii="Arial" w:hAnsi="Arial" w:cs="Arial"/>
        </w:rPr>
        <w:t xml:space="preserve"> et al., 2015; </w:t>
      </w:r>
      <w:proofErr w:type="spellStart"/>
      <w:r w:rsidRPr="001A7872">
        <w:rPr>
          <w:rFonts w:ascii="Arial" w:hAnsi="Arial" w:cs="Arial"/>
        </w:rPr>
        <w:t>Okmen</w:t>
      </w:r>
      <w:proofErr w:type="spellEnd"/>
      <w:r w:rsidRPr="00F2164B">
        <w:rPr>
          <w:rFonts w:ascii="Arial" w:hAnsi="Arial" w:cs="Arial"/>
        </w:rPr>
        <w:t xml:space="preserve"> &amp; </w:t>
      </w:r>
      <w:proofErr w:type="spellStart"/>
      <w:r w:rsidRPr="00F2164B">
        <w:rPr>
          <w:rFonts w:ascii="Arial" w:hAnsi="Arial" w:cs="Arial"/>
        </w:rPr>
        <w:t>Turkcan</w:t>
      </w:r>
      <w:proofErr w:type="spellEnd"/>
      <w:r w:rsidRPr="00F2164B">
        <w:rPr>
          <w:rFonts w:ascii="Arial" w:hAnsi="Arial" w:cs="Arial"/>
        </w:rPr>
        <w:t>, 2013). In addition, certain therapeutic applications, such as the use in joint disorders, are supported by exploratory clinical data (</w:t>
      </w:r>
      <w:proofErr w:type="spellStart"/>
      <w:r w:rsidRPr="001A7872">
        <w:rPr>
          <w:rFonts w:ascii="Arial" w:hAnsi="Arial" w:cs="Arial"/>
        </w:rPr>
        <w:t>Mahboubi</w:t>
      </w:r>
      <w:proofErr w:type="spellEnd"/>
      <w:r w:rsidRPr="00F2164B">
        <w:rPr>
          <w:rFonts w:ascii="Arial" w:hAnsi="Arial" w:cs="Arial"/>
        </w:rPr>
        <w:t xml:space="preserve">, 2018; </w:t>
      </w:r>
      <w:proofErr w:type="spellStart"/>
      <w:r w:rsidRPr="001A7872">
        <w:rPr>
          <w:rFonts w:ascii="Arial" w:hAnsi="Arial" w:cs="Arial"/>
        </w:rPr>
        <w:t>Karimifar</w:t>
      </w:r>
      <w:proofErr w:type="spellEnd"/>
      <w:r w:rsidRPr="00F2164B">
        <w:rPr>
          <w:rFonts w:ascii="Arial" w:hAnsi="Arial" w:cs="Arial"/>
        </w:rPr>
        <w:t xml:space="preserve"> et al., 2017), which further strengthens the relevance of this species in contemporary </w:t>
      </w:r>
      <w:proofErr w:type="spellStart"/>
      <w:r w:rsidRPr="00F2164B">
        <w:rPr>
          <w:rFonts w:ascii="Arial" w:hAnsi="Arial" w:cs="Arial"/>
        </w:rPr>
        <w:t>pharmacognostic</w:t>
      </w:r>
      <w:proofErr w:type="spellEnd"/>
      <w:r w:rsidRPr="00F2164B">
        <w:rPr>
          <w:rFonts w:ascii="Arial" w:hAnsi="Arial" w:cs="Arial"/>
        </w:rPr>
        <w:t xml:space="preserve"> research.</w:t>
      </w:r>
    </w:p>
    <w:p w14:paraId="08DABB09" w14:textId="77777777" w:rsidR="00F2164B" w:rsidRPr="00F2164B" w:rsidRDefault="00F2164B" w:rsidP="00D93943">
      <w:pPr>
        <w:pStyle w:val="Body"/>
        <w:spacing w:after="0"/>
        <w:rPr>
          <w:rFonts w:ascii="Arial" w:hAnsi="Arial" w:cs="Arial"/>
        </w:rPr>
      </w:pPr>
      <w:r w:rsidRPr="00F2164B">
        <w:rPr>
          <w:rFonts w:ascii="Arial" w:hAnsi="Arial" w:cs="Arial"/>
        </w:rPr>
        <w:t xml:space="preserve">The phytochemical profile of </w:t>
      </w:r>
      <w:r w:rsidRPr="00F2164B">
        <w:rPr>
          <w:rFonts w:ascii="Arial" w:hAnsi="Arial" w:cs="Arial"/>
          <w:i/>
          <w:iCs/>
        </w:rPr>
        <w:t>E. angustifolia</w:t>
      </w:r>
      <w:r w:rsidRPr="00F2164B">
        <w:rPr>
          <w:rFonts w:ascii="Arial" w:hAnsi="Arial" w:cs="Arial"/>
        </w:rPr>
        <w:t xml:space="preserve"> comprises secondary metabolites belonging to several chemical classes. Phenolic compounds represent one of the most extensively investigated groups (</w:t>
      </w:r>
      <w:r w:rsidRPr="001A7872">
        <w:rPr>
          <w:rFonts w:ascii="Arial" w:hAnsi="Arial" w:cs="Arial"/>
        </w:rPr>
        <w:t>Zhang</w:t>
      </w:r>
      <w:r w:rsidRPr="00F2164B">
        <w:rPr>
          <w:rFonts w:ascii="Arial" w:hAnsi="Arial" w:cs="Arial"/>
        </w:rPr>
        <w:t xml:space="preserve"> et al., 2022), being considered essential contributors to the </w:t>
      </w:r>
      <w:proofErr w:type="spellStart"/>
      <w:r w:rsidRPr="00F2164B">
        <w:rPr>
          <w:rFonts w:ascii="Arial" w:hAnsi="Arial" w:cs="Arial"/>
        </w:rPr>
        <w:t>pharmacognostic</w:t>
      </w:r>
      <w:proofErr w:type="spellEnd"/>
      <w:r w:rsidRPr="00F2164B">
        <w:rPr>
          <w:rFonts w:ascii="Arial" w:hAnsi="Arial" w:cs="Arial"/>
        </w:rPr>
        <w:t xml:space="preserve"> value of medicinal plants due to the diversity of their biological activities. Their involvement in the development of plant-derived pharmaceutical preparations is well documented (</w:t>
      </w:r>
      <w:r w:rsidRPr="001A7872">
        <w:rPr>
          <w:rFonts w:ascii="Arial" w:hAnsi="Arial" w:cs="Arial"/>
        </w:rPr>
        <w:t xml:space="preserve">Sun &amp; </w:t>
      </w:r>
      <w:proofErr w:type="spellStart"/>
      <w:r w:rsidRPr="001A7872">
        <w:rPr>
          <w:rFonts w:ascii="Arial" w:hAnsi="Arial" w:cs="Arial"/>
        </w:rPr>
        <w:t>Shahrajabian</w:t>
      </w:r>
      <w:proofErr w:type="spellEnd"/>
      <w:r w:rsidRPr="00F2164B">
        <w:rPr>
          <w:rFonts w:ascii="Arial" w:hAnsi="Arial" w:cs="Arial"/>
        </w:rPr>
        <w:t>, 2023). In addition to polyphenols, alkaloids, cardiotonic glycosides, sterols, terpenes, esters, ketones, phenyl ethers, pyrimidines, polysaccharides, and nutritional constituents such as amino acids, vitamins, and fatty acids have been identified in different plant organs (</w:t>
      </w:r>
      <w:r w:rsidRPr="00C13043">
        <w:rPr>
          <w:rFonts w:ascii="Arial" w:hAnsi="Arial" w:cs="Arial"/>
        </w:rPr>
        <w:t>Sevindik</w:t>
      </w:r>
      <w:r w:rsidRPr="00F2164B">
        <w:rPr>
          <w:rFonts w:ascii="Arial" w:hAnsi="Arial" w:cs="Arial"/>
        </w:rPr>
        <w:t xml:space="preserve"> et al., 2025; </w:t>
      </w:r>
      <w:proofErr w:type="spellStart"/>
      <w:r w:rsidRPr="00C13043">
        <w:rPr>
          <w:rFonts w:ascii="Arial" w:hAnsi="Arial" w:cs="Arial"/>
        </w:rPr>
        <w:t>Farzaei</w:t>
      </w:r>
      <w:proofErr w:type="spellEnd"/>
      <w:r w:rsidRPr="00F2164B">
        <w:rPr>
          <w:rFonts w:ascii="Arial" w:hAnsi="Arial" w:cs="Arial"/>
        </w:rPr>
        <w:t xml:space="preserve"> et al., 2015).</w:t>
      </w:r>
    </w:p>
    <w:p w14:paraId="4A45F91F" w14:textId="77777777" w:rsidR="00F2164B" w:rsidRPr="00F2164B" w:rsidRDefault="00F2164B" w:rsidP="00D93943">
      <w:pPr>
        <w:pStyle w:val="Body"/>
        <w:spacing w:after="0"/>
        <w:rPr>
          <w:rFonts w:ascii="Arial" w:hAnsi="Arial" w:cs="Arial"/>
        </w:rPr>
      </w:pPr>
      <w:r w:rsidRPr="00F2164B">
        <w:rPr>
          <w:rFonts w:ascii="Arial" w:hAnsi="Arial" w:cs="Arial"/>
        </w:rPr>
        <w:t>Among flavonoids, aglycones and glycosides of isorhamnetin, kaempferol, and quercetin (including rutin) have been described (</w:t>
      </w:r>
      <w:proofErr w:type="spellStart"/>
      <w:r w:rsidRPr="00C13043">
        <w:rPr>
          <w:rFonts w:ascii="Arial" w:hAnsi="Arial" w:cs="Arial"/>
        </w:rPr>
        <w:t>Carradori</w:t>
      </w:r>
      <w:proofErr w:type="spellEnd"/>
      <w:r w:rsidRPr="00F2164B">
        <w:rPr>
          <w:rFonts w:ascii="Arial" w:hAnsi="Arial" w:cs="Arial"/>
        </w:rPr>
        <w:t xml:space="preserve"> et al., 2020), while commonly reported phenolic acids include chlorogenic, caffeic, </w:t>
      </w:r>
      <w:r w:rsidRPr="00F2164B">
        <w:rPr>
          <w:rFonts w:ascii="Arial" w:hAnsi="Arial" w:cs="Arial"/>
          <w:i/>
          <w:iCs/>
        </w:rPr>
        <w:t>p</w:t>
      </w:r>
      <w:r w:rsidRPr="00F2164B">
        <w:rPr>
          <w:rFonts w:ascii="Arial" w:hAnsi="Arial" w:cs="Arial"/>
        </w:rPr>
        <w:t>-coumaric, and ferulic acids, with catechin and epicatechin completing the flavan-3-ol profile (</w:t>
      </w:r>
      <w:r w:rsidRPr="00C13043">
        <w:rPr>
          <w:rFonts w:ascii="Arial" w:hAnsi="Arial" w:cs="Arial"/>
        </w:rPr>
        <w:t>Sevindik</w:t>
      </w:r>
      <w:r w:rsidRPr="00F2164B">
        <w:rPr>
          <w:rFonts w:ascii="Arial" w:hAnsi="Arial" w:cs="Arial"/>
        </w:rPr>
        <w:t xml:space="preserve"> et al., 2025). Studies focusing on the fruits indicate a phenolic core comparable to that identified in leaves and flowers, but also a significant phytopharmaceutical contribution from the non-phenolic matrix: sugars, minerals, vitamins (vitamin C, tocopherols, carotenoids), and lipids (seed oil), which influence sensory and functional properties (</w:t>
      </w:r>
      <w:r w:rsidRPr="00C13043">
        <w:rPr>
          <w:rFonts w:ascii="Arial" w:hAnsi="Arial" w:cs="Arial"/>
        </w:rPr>
        <w:t>Ayaz</w:t>
      </w:r>
      <w:r w:rsidRPr="00F2164B">
        <w:rPr>
          <w:rFonts w:ascii="Arial" w:hAnsi="Arial" w:cs="Arial"/>
        </w:rPr>
        <w:t xml:space="preserve"> &amp; </w:t>
      </w:r>
      <w:proofErr w:type="spellStart"/>
      <w:r w:rsidRPr="00F2164B">
        <w:rPr>
          <w:rFonts w:ascii="Arial" w:hAnsi="Arial" w:cs="Arial"/>
        </w:rPr>
        <w:t>Bertoft</w:t>
      </w:r>
      <w:proofErr w:type="spellEnd"/>
      <w:r w:rsidRPr="00F2164B">
        <w:rPr>
          <w:rFonts w:ascii="Arial" w:hAnsi="Arial" w:cs="Arial"/>
        </w:rPr>
        <w:t xml:space="preserve">, 2001). The quantitative composition is influenced by geographical and pedoclimatic </w:t>
      </w:r>
      <w:r w:rsidRPr="00C13043">
        <w:rPr>
          <w:rFonts w:ascii="Arial" w:hAnsi="Arial" w:cs="Arial"/>
        </w:rPr>
        <w:t>factors (</w:t>
      </w:r>
      <w:proofErr w:type="spellStart"/>
      <w:r w:rsidRPr="00C13043">
        <w:rPr>
          <w:rFonts w:ascii="Arial" w:hAnsi="Arial" w:cs="Arial"/>
        </w:rPr>
        <w:t>Fakı</w:t>
      </w:r>
      <w:proofErr w:type="spellEnd"/>
      <w:r w:rsidRPr="00F2164B">
        <w:rPr>
          <w:rFonts w:ascii="Arial" w:hAnsi="Arial" w:cs="Arial"/>
        </w:rPr>
        <w:t xml:space="preserve"> et al., 2022; </w:t>
      </w:r>
      <w:proofErr w:type="spellStart"/>
      <w:r w:rsidRPr="00C13043">
        <w:rPr>
          <w:rFonts w:ascii="Arial" w:hAnsi="Arial" w:cs="Arial"/>
        </w:rPr>
        <w:t>Simsek</w:t>
      </w:r>
      <w:proofErr w:type="spellEnd"/>
      <w:r w:rsidRPr="00F2164B">
        <w:rPr>
          <w:rFonts w:ascii="Arial" w:hAnsi="Arial" w:cs="Arial"/>
        </w:rPr>
        <w:t xml:space="preserve"> &amp; </w:t>
      </w:r>
      <w:proofErr w:type="spellStart"/>
      <w:r w:rsidRPr="00F2164B">
        <w:rPr>
          <w:rFonts w:ascii="Arial" w:hAnsi="Arial" w:cs="Arial"/>
        </w:rPr>
        <w:t>Sufer</w:t>
      </w:r>
      <w:proofErr w:type="spellEnd"/>
      <w:r w:rsidRPr="00F2164B">
        <w:rPr>
          <w:rFonts w:ascii="Arial" w:hAnsi="Arial" w:cs="Arial"/>
        </w:rPr>
        <w:t>, 2021), which justifies region-specific evaluations.</w:t>
      </w:r>
    </w:p>
    <w:p w14:paraId="79730495" w14:textId="77777777" w:rsidR="00F960C8" w:rsidRDefault="00F2164B" w:rsidP="00D93943">
      <w:pPr>
        <w:pStyle w:val="Body"/>
        <w:spacing w:after="0"/>
        <w:rPr>
          <w:rFonts w:ascii="Arial" w:hAnsi="Arial" w:cs="Arial"/>
        </w:rPr>
      </w:pPr>
      <w:r w:rsidRPr="00F2164B">
        <w:rPr>
          <w:rFonts w:ascii="Arial" w:hAnsi="Arial" w:cs="Arial"/>
        </w:rPr>
        <w:t xml:space="preserve">In the context of the development of functional foods and products with nutraceutical applicability, the fruits of </w:t>
      </w:r>
      <w:r w:rsidRPr="00F2164B">
        <w:rPr>
          <w:rFonts w:ascii="Arial" w:hAnsi="Arial" w:cs="Arial"/>
          <w:i/>
          <w:iCs/>
        </w:rPr>
        <w:t>E. angustifolia</w:t>
      </w:r>
      <w:r w:rsidRPr="00F2164B">
        <w:rPr>
          <w:rFonts w:ascii="Arial" w:hAnsi="Arial" w:cs="Arial"/>
        </w:rPr>
        <w:t xml:space="preserve"> may represent a promising resource. Recent LC–MS analyses have identified more than 50 bioactive constituents in the fruits, including phenolic acids, </w:t>
      </w:r>
      <w:proofErr w:type="spellStart"/>
      <w:r w:rsidRPr="00F2164B">
        <w:rPr>
          <w:rFonts w:ascii="Arial" w:hAnsi="Arial" w:cs="Arial"/>
        </w:rPr>
        <w:t>flavonols</w:t>
      </w:r>
      <w:proofErr w:type="spellEnd"/>
      <w:r w:rsidRPr="00F2164B">
        <w:rPr>
          <w:rFonts w:ascii="Arial" w:hAnsi="Arial" w:cs="Arial"/>
        </w:rPr>
        <w:t xml:space="preserve"> and flavan-3-ols involved in an</w:t>
      </w:r>
      <w:r w:rsidR="00F25B69">
        <w:rPr>
          <w:rFonts w:ascii="Arial" w:hAnsi="Arial" w:cs="Arial"/>
        </w:rPr>
        <w:t>ti-inflammatory mechanisms (</w:t>
      </w:r>
      <w:r w:rsidR="00F25B69" w:rsidRPr="0017428C">
        <w:rPr>
          <w:rFonts w:ascii="Arial" w:hAnsi="Arial" w:cs="Arial"/>
        </w:rPr>
        <w:t xml:space="preserve">Fu </w:t>
      </w:r>
      <w:r w:rsidRPr="0017428C">
        <w:rPr>
          <w:rFonts w:ascii="Arial" w:hAnsi="Arial" w:cs="Arial"/>
        </w:rPr>
        <w:t>et</w:t>
      </w:r>
      <w:r w:rsidRPr="00F2164B">
        <w:rPr>
          <w:rFonts w:ascii="Arial" w:hAnsi="Arial" w:cs="Arial"/>
        </w:rPr>
        <w:t xml:space="preserve"> al., 2025). </w:t>
      </w:r>
    </w:p>
    <w:p w14:paraId="4C83BEAA" w14:textId="77777777" w:rsidR="00F2164B" w:rsidRPr="00F2164B" w:rsidRDefault="00F2164B" w:rsidP="00D93943">
      <w:pPr>
        <w:pStyle w:val="Body"/>
        <w:spacing w:after="0"/>
        <w:rPr>
          <w:rFonts w:ascii="Arial" w:hAnsi="Arial" w:cs="Arial"/>
        </w:rPr>
      </w:pPr>
      <w:r w:rsidRPr="00F2164B">
        <w:rPr>
          <w:rFonts w:ascii="Arial" w:hAnsi="Arial" w:cs="Arial"/>
        </w:rPr>
        <w:t>The correlation between phenolic composition and the reported biological activities supports the inclusion of this species within the category of products with functional value, positioned at the interface between food and medicine (</w:t>
      </w:r>
      <w:r w:rsidRPr="00CF7F0E">
        <w:rPr>
          <w:rFonts w:ascii="Arial" w:hAnsi="Arial" w:cs="Arial"/>
        </w:rPr>
        <w:t>Sahan et al., 2019; Öztürk et</w:t>
      </w:r>
      <w:r w:rsidRPr="00F2164B">
        <w:rPr>
          <w:rFonts w:ascii="Arial" w:hAnsi="Arial" w:cs="Arial"/>
        </w:rPr>
        <w:t xml:space="preserve"> al., 2018).</w:t>
      </w:r>
    </w:p>
    <w:p w14:paraId="75366761" w14:textId="77777777" w:rsidR="00F2164B" w:rsidRPr="00F2164B" w:rsidRDefault="00F2164B" w:rsidP="00D93943">
      <w:pPr>
        <w:pStyle w:val="Body"/>
        <w:spacing w:after="0"/>
        <w:rPr>
          <w:rFonts w:ascii="Arial" w:hAnsi="Arial" w:cs="Arial"/>
        </w:rPr>
      </w:pPr>
      <w:r w:rsidRPr="00F2164B">
        <w:rPr>
          <w:rFonts w:ascii="Arial" w:hAnsi="Arial" w:cs="Arial"/>
        </w:rPr>
        <w:t xml:space="preserve">A significant proportion of polyphenols is present in forms bound to the plant matrix through interactions with polysaccharides, lignin or proteins, which may limit their extractability by conventional methods </w:t>
      </w:r>
      <w:r w:rsidRPr="00CF7F0E">
        <w:rPr>
          <w:rFonts w:ascii="Arial" w:hAnsi="Arial" w:cs="Arial"/>
        </w:rPr>
        <w:t xml:space="preserve">(Shahidi &amp; Hossain, 2023; </w:t>
      </w:r>
      <w:proofErr w:type="spellStart"/>
      <w:r w:rsidRPr="00CF7F0E">
        <w:rPr>
          <w:rFonts w:ascii="Arial" w:hAnsi="Arial" w:cs="Arial"/>
        </w:rPr>
        <w:t>Rocchetti</w:t>
      </w:r>
      <w:proofErr w:type="spellEnd"/>
      <w:r w:rsidRPr="00F2164B">
        <w:rPr>
          <w:rFonts w:ascii="Arial" w:hAnsi="Arial" w:cs="Arial"/>
        </w:rPr>
        <w:t xml:space="preserve"> et al., 2022). Consequently, extraction parameters — including solvent nature, </w:t>
      </w:r>
      <w:proofErr w:type="spellStart"/>
      <w:r w:rsidRPr="00F2164B">
        <w:rPr>
          <w:rFonts w:ascii="Arial" w:hAnsi="Arial" w:cs="Arial"/>
        </w:rPr>
        <w:t>solid:liquid</w:t>
      </w:r>
      <w:proofErr w:type="spellEnd"/>
      <w:r w:rsidRPr="00F2164B">
        <w:rPr>
          <w:rFonts w:ascii="Arial" w:hAnsi="Arial" w:cs="Arial"/>
        </w:rPr>
        <w:t xml:space="preserve"> ratio, temperature and contact time — may significantly influence the chemical profile obtained (</w:t>
      </w:r>
      <w:proofErr w:type="spellStart"/>
      <w:r w:rsidRPr="00F2164B">
        <w:rPr>
          <w:rFonts w:ascii="Arial" w:hAnsi="Arial" w:cs="Arial"/>
        </w:rPr>
        <w:t>Rocchetti</w:t>
      </w:r>
      <w:proofErr w:type="spellEnd"/>
      <w:r w:rsidRPr="00F2164B">
        <w:rPr>
          <w:rFonts w:ascii="Arial" w:hAnsi="Arial" w:cs="Arial"/>
        </w:rPr>
        <w:t xml:space="preserve"> et al., 2022; </w:t>
      </w:r>
      <w:proofErr w:type="spellStart"/>
      <w:r w:rsidRPr="00952CA3">
        <w:rPr>
          <w:rFonts w:ascii="Arial" w:hAnsi="Arial" w:cs="Arial"/>
        </w:rPr>
        <w:t>Ghandahari</w:t>
      </w:r>
      <w:proofErr w:type="spellEnd"/>
      <w:r w:rsidRPr="00F2164B">
        <w:rPr>
          <w:rFonts w:ascii="Arial" w:hAnsi="Arial" w:cs="Arial"/>
        </w:rPr>
        <w:t xml:space="preserve"> et al., 2019). Higher temperatures may facilitate the release of bound phenolic fractions, but may simultaneously accelerate the degradation of thermolabile compounds </w:t>
      </w:r>
      <w:r w:rsidRPr="00952CA3">
        <w:rPr>
          <w:rFonts w:ascii="Arial" w:hAnsi="Arial" w:cs="Arial"/>
        </w:rPr>
        <w:t>(Li</w:t>
      </w:r>
      <w:r w:rsidRPr="00F2164B">
        <w:rPr>
          <w:rFonts w:ascii="Arial" w:hAnsi="Arial" w:cs="Arial"/>
        </w:rPr>
        <w:t xml:space="preserve"> et al., 2024).</w:t>
      </w:r>
    </w:p>
    <w:p w14:paraId="4328FC75" w14:textId="77777777" w:rsidR="00F2164B" w:rsidRPr="00F2164B" w:rsidRDefault="00F2164B" w:rsidP="00D93943">
      <w:pPr>
        <w:pStyle w:val="Body"/>
        <w:spacing w:after="0"/>
        <w:rPr>
          <w:rFonts w:ascii="Arial" w:hAnsi="Arial" w:cs="Arial"/>
        </w:rPr>
      </w:pPr>
      <w:r w:rsidRPr="00F2164B">
        <w:rPr>
          <w:rFonts w:ascii="Arial" w:hAnsi="Arial" w:cs="Arial"/>
        </w:rPr>
        <w:lastRenderedPageBreak/>
        <w:t xml:space="preserve">Within the Romanian geographical area, existing research has focused predominantly on the vegetative organs of </w:t>
      </w:r>
      <w:r w:rsidRPr="00F2164B">
        <w:rPr>
          <w:rFonts w:ascii="Arial" w:hAnsi="Arial" w:cs="Arial"/>
          <w:i/>
          <w:iCs/>
        </w:rPr>
        <w:t>E. angustifolia</w:t>
      </w:r>
      <w:r w:rsidRPr="00F2164B">
        <w:rPr>
          <w:rFonts w:ascii="Arial" w:hAnsi="Arial" w:cs="Arial"/>
        </w:rPr>
        <w:t xml:space="preserve"> or on volatile fractions (</w:t>
      </w:r>
      <w:r w:rsidRPr="004E7EB1">
        <w:rPr>
          <w:rFonts w:ascii="Arial" w:hAnsi="Arial" w:cs="Arial"/>
        </w:rPr>
        <w:t>Bucur et al., 2007; Bucur</w:t>
      </w:r>
      <w:r w:rsidRPr="00F2164B">
        <w:rPr>
          <w:rFonts w:ascii="Arial" w:hAnsi="Arial" w:cs="Arial"/>
        </w:rPr>
        <w:t xml:space="preserve"> et al., 2009), while data regarding the phenolic composition of fruits collected from the Black Sea coastal region remain limited. Considering the dependence of the phytochemical profile on ecotype and local environmental conditions, a specific </w:t>
      </w:r>
      <w:r w:rsidR="00FA46F9" w:rsidRPr="00F2164B">
        <w:rPr>
          <w:rFonts w:ascii="Arial" w:hAnsi="Arial" w:cs="Arial"/>
        </w:rPr>
        <w:t>characterization</w:t>
      </w:r>
      <w:r w:rsidRPr="00F2164B">
        <w:rPr>
          <w:rFonts w:ascii="Arial" w:hAnsi="Arial" w:cs="Arial"/>
        </w:rPr>
        <w:t xml:space="preserve"> of plant material originating from this region was considered necessary.</w:t>
      </w:r>
    </w:p>
    <w:p w14:paraId="1669F70A" w14:textId="77777777" w:rsidR="00F2164B" w:rsidRPr="00F2164B" w:rsidRDefault="00F2164B" w:rsidP="00D93943">
      <w:pPr>
        <w:pStyle w:val="Body"/>
        <w:spacing w:after="0"/>
        <w:rPr>
          <w:rFonts w:ascii="Arial" w:hAnsi="Arial" w:cs="Arial"/>
        </w:rPr>
      </w:pPr>
      <w:r w:rsidRPr="00F2164B">
        <w:rPr>
          <w:rFonts w:ascii="Arial" w:hAnsi="Arial" w:cs="Arial"/>
        </w:rPr>
        <w:t xml:space="preserve">On the other hand, analysis of the international literature indicates that research has mainly concentrated on antioxidant activity and the </w:t>
      </w:r>
      <w:r w:rsidR="00FA46F9" w:rsidRPr="00F2164B">
        <w:rPr>
          <w:rFonts w:ascii="Arial" w:hAnsi="Arial" w:cs="Arial"/>
        </w:rPr>
        <w:t>characterization</w:t>
      </w:r>
      <w:r w:rsidRPr="00F2164B">
        <w:rPr>
          <w:rFonts w:ascii="Arial" w:hAnsi="Arial" w:cs="Arial"/>
        </w:rPr>
        <w:t xml:space="preserve"> of polyphenols, whereas the investigation of the influence of processing parameters on phenolic composition is less represented. Integrating a thematic analysis of research directions concerning </w:t>
      </w:r>
      <w:r w:rsidRPr="00F2164B">
        <w:rPr>
          <w:rFonts w:ascii="Arial" w:hAnsi="Arial" w:cs="Arial"/>
          <w:i/>
          <w:iCs/>
        </w:rPr>
        <w:t>E. angustifolia</w:t>
      </w:r>
      <w:r w:rsidRPr="00F2164B">
        <w:rPr>
          <w:rFonts w:ascii="Arial" w:hAnsi="Arial" w:cs="Arial"/>
        </w:rPr>
        <w:t xml:space="preserve"> therefore allows the experimental results to be positioned within a broader scientific framework and highlights the contribution of the present study.</w:t>
      </w:r>
    </w:p>
    <w:p w14:paraId="7A36E8A3" w14:textId="77777777" w:rsidR="00B01FCD" w:rsidRDefault="00F2164B" w:rsidP="00D93943">
      <w:pPr>
        <w:pStyle w:val="Body"/>
        <w:spacing w:after="0"/>
        <w:rPr>
          <w:rFonts w:ascii="Arial" w:hAnsi="Arial" w:cs="Arial"/>
        </w:rPr>
      </w:pPr>
      <w:r w:rsidRPr="00F2164B">
        <w:rPr>
          <w:rFonts w:ascii="Arial" w:hAnsi="Arial" w:cs="Arial"/>
        </w:rPr>
        <w:t xml:space="preserve">In this context, the objectives of the research were: the identification and quantification of selected phenolic compounds in fruits of </w:t>
      </w:r>
      <w:r w:rsidRPr="00F2164B">
        <w:rPr>
          <w:rFonts w:ascii="Arial" w:hAnsi="Arial" w:cs="Arial"/>
          <w:i/>
          <w:iCs/>
        </w:rPr>
        <w:t>Elaeagnus angustifolia</w:t>
      </w:r>
      <w:r w:rsidRPr="00F2164B">
        <w:rPr>
          <w:rFonts w:ascii="Arial" w:hAnsi="Arial" w:cs="Arial"/>
        </w:rPr>
        <w:t xml:space="preserve"> L. collected from the </w:t>
      </w:r>
      <w:proofErr w:type="spellStart"/>
      <w:r w:rsidRPr="00F2164B">
        <w:rPr>
          <w:rFonts w:ascii="Arial" w:hAnsi="Arial" w:cs="Arial"/>
        </w:rPr>
        <w:t>Faleza</w:t>
      </w:r>
      <w:proofErr w:type="spellEnd"/>
      <w:r w:rsidRPr="00F2164B">
        <w:rPr>
          <w:rFonts w:ascii="Arial" w:hAnsi="Arial" w:cs="Arial"/>
        </w:rPr>
        <w:t xml:space="preserve"> Nord–</w:t>
      </w:r>
      <w:proofErr w:type="spellStart"/>
      <w:r w:rsidRPr="00F2164B">
        <w:rPr>
          <w:rFonts w:ascii="Arial" w:hAnsi="Arial" w:cs="Arial"/>
        </w:rPr>
        <w:t>Constanța</w:t>
      </w:r>
      <w:proofErr w:type="spellEnd"/>
      <w:r w:rsidRPr="00F2164B">
        <w:rPr>
          <w:rFonts w:ascii="Arial" w:hAnsi="Arial" w:cs="Arial"/>
        </w:rPr>
        <w:t xml:space="preserve"> area; the evaluation of the influence of extraction temperature on the phenolic profile; and the correlation of the experimental results with thematic research directions identified in the international literature. The adopted approach aims to substantiate the </w:t>
      </w:r>
      <w:proofErr w:type="spellStart"/>
      <w:r w:rsidRPr="00F2164B">
        <w:rPr>
          <w:rFonts w:ascii="Arial" w:hAnsi="Arial" w:cs="Arial"/>
        </w:rPr>
        <w:t>pharmacognostic</w:t>
      </w:r>
      <w:proofErr w:type="spellEnd"/>
      <w:r w:rsidRPr="00F2164B">
        <w:rPr>
          <w:rFonts w:ascii="Arial" w:hAnsi="Arial" w:cs="Arial"/>
        </w:rPr>
        <w:t xml:space="preserve"> value of the fruits and to provide reference points for </w:t>
      </w:r>
      <w:r w:rsidR="00C847B4" w:rsidRPr="00F2164B">
        <w:rPr>
          <w:rFonts w:ascii="Arial" w:hAnsi="Arial" w:cs="Arial"/>
        </w:rPr>
        <w:t>optimizing</w:t>
      </w:r>
      <w:r w:rsidRPr="00F2164B">
        <w:rPr>
          <w:rFonts w:ascii="Arial" w:hAnsi="Arial" w:cs="Arial"/>
        </w:rPr>
        <w:t xml:space="preserve"> extraction conditions for extracts intended for </w:t>
      </w:r>
      <w:proofErr w:type="spellStart"/>
      <w:r w:rsidRPr="00F2164B">
        <w:rPr>
          <w:rFonts w:ascii="Arial" w:hAnsi="Arial" w:cs="Arial"/>
        </w:rPr>
        <w:t>phytotherapeutic</w:t>
      </w:r>
      <w:proofErr w:type="spellEnd"/>
      <w:r w:rsidRPr="00F2164B">
        <w:rPr>
          <w:rFonts w:ascii="Arial" w:hAnsi="Arial" w:cs="Arial"/>
        </w:rPr>
        <w:t xml:space="preserve"> and nutraceutical applications</w:t>
      </w:r>
      <w:r w:rsidR="00D93943">
        <w:rPr>
          <w:rFonts w:ascii="Arial" w:hAnsi="Arial" w:cs="Arial"/>
        </w:rPr>
        <w:t>.</w:t>
      </w:r>
    </w:p>
    <w:p w14:paraId="2787A349" w14:textId="77777777" w:rsidR="00790ADA" w:rsidRPr="00FB3A86" w:rsidRDefault="00790ADA" w:rsidP="00441B6F">
      <w:pPr>
        <w:pStyle w:val="Body"/>
        <w:spacing w:after="0"/>
        <w:rPr>
          <w:rFonts w:ascii="Arial" w:hAnsi="Arial" w:cs="Arial"/>
        </w:rPr>
      </w:pPr>
    </w:p>
    <w:p w14:paraId="198FFAEB" w14:textId="28D78316" w:rsidR="007F7B32" w:rsidRDefault="00902823" w:rsidP="009D46B2">
      <w:pPr>
        <w:pStyle w:val="AbstHead"/>
        <w:spacing w:after="0"/>
        <w:jc w:val="both"/>
        <w:rPr>
          <w:rFonts w:ascii="Arial" w:hAnsi="Arial" w:cs="Arial"/>
        </w:rPr>
      </w:pPr>
      <w:r>
        <w:rPr>
          <w:rFonts w:ascii="Arial" w:hAnsi="Arial" w:cs="Arial"/>
        </w:rPr>
        <w:t xml:space="preserve">2. </w:t>
      </w:r>
      <w:r w:rsidR="00DD6774">
        <w:rPr>
          <w:rFonts w:ascii="Arial" w:hAnsi="Arial" w:cs="Arial"/>
          <w:bCs/>
        </w:rPr>
        <w:t>SC</w:t>
      </w:r>
      <w:r w:rsidR="00EF3662" w:rsidRPr="00EF3662">
        <w:rPr>
          <w:rFonts w:ascii="Arial" w:hAnsi="Arial" w:cs="Arial"/>
          <w:bCs/>
        </w:rPr>
        <w:t xml:space="preserve">hematic analysis of research directions concerning the species </w:t>
      </w:r>
      <w:r w:rsidR="00EF3662" w:rsidRPr="00EF3662">
        <w:rPr>
          <w:rFonts w:ascii="Arial" w:hAnsi="Arial" w:cs="Arial"/>
          <w:bCs/>
          <w:i/>
          <w:iCs/>
        </w:rPr>
        <w:t>Elaeagnus angustifolia</w:t>
      </w:r>
      <w:r w:rsidR="00EF3662" w:rsidRPr="00EF3662">
        <w:rPr>
          <w:rFonts w:ascii="Arial" w:hAnsi="Arial" w:cs="Arial"/>
        </w:rPr>
        <w:t xml:space="preserve"> </w:t>
      </w:r>
    </w:p>
    <w:p w14:paraId="4399C337" w14:textId="77777777" w:rsidR="00790ADA" w:rsidRPr="00FB3A86" w:rsidRDefault="00790ADA" w:rsidP="00441B6F">
      <w:pPr>
        <w:pStyle w:val="AbstHead"/>
        <w:spacing w:after="0"/>
        <w:jc w:val="both"/>
        <w:rPr>
          <w:rFonts w:ascii="Arial" w:hAnsi="Arial" w:cs="Arial"/>
        </w:rPr>
      </w:pPr>
    </w:p>
    <w:p w14:paraId="7CE2F782" w14:textId="77777777" w:rsidR="00EF3662" w:rsidRPr="00EF3662" w:rsidRDefault="00EF3662" w:rsidP="00EF3662">
      <w:pPr>
        <w:pStyle w:val="Body"/>
        <w:spacing w:after="0"/>
        <w:rPr>
          <w:rFonts w:ascii="Arial" w:hAnsi="Arial" w:cs="Arial"/>
        </w:rPr>
      </w:pPr>
      <w:r w:rsidRPr="00EF3662">
        <w:rPr>
          <w:rFonts w:ascii="Arial" w:hAnsi="Arial" w:cs="Arial"/>
        </w:rPr>
        <w:t xml:space="preserve">In order to </w:t>
      </w:r>
      <w:r w:rsidR="00D27692" w:rsidRPr="00EF3662">
        <w:rPr>
          <w:rFonts w:ascii="Arial" w:hAnsi="Arial" w:cs="Arial"/>
        </w:rPr>
        <w:t>contextualize</w:t>
      </w:r>
      <w:r w:rsidRPr="00EF3662">
        <w:rPr>
          <w:rFonts w:ascii="Arial" w:hAnsi="Arial" w:cs="Arial"/>
        </w:rPr>
        <w:t xml:space="preserve"> the experimental results obtained in the present study and to evaluate their positioning within international research, a thematic analysis of the scientific literature on </w:t>
      </w:r>
      <w:r w:rsidRPr="00EF3662">
        <w:rPr>
          <w:rFonts w:ascii="Arial" w:hAnsi="Arial" w:cs="Arial"/>
          <w:i/>
          <w:iCs/>
        </w:rPr>
        <w:t>Elaeagnus angustifolia</w:t>
      </w:r>
      <w:r w:rsidRPr="00EF3662">
        <w:rPr>
          <w:rFonts w:ascii="Arial" w:hAnsi="Arial" w:cs="Arial"/>
        </w:rPr>
        <w:t xml:space="preserve"> was conducted. A search of the Web of Science database using the terms “</w:t>
      </w:r>
      <w:r w:rsidRPr="00F960C8">
        <w:rPr>
          <w:rFonts w:ascii="Arial" w:hAnsi="Arial" w:cs="Arial"/>
          <w:i/>
        </w:rPr>
        <w:t>Elaeagnus angustifolia</w:t>
      </w:r>
      <w:r w:rsidRPr="00EF3662">
        <w:rPr>
          <w:rFonts w:ascii="Arial" w:hAnsi="Arial" w:cs="Arial"/>
        </w:rPr>
        <w:t xml:space="preserve"> AND nutraceutical AND phenolic” generated a dataset of 100 publications, covering a period of approximately 50 years (1976–2026).</w:t>
      </w:r>
    </w:p>
    <w:p w14:paraId="2A3E30F6" w14:textId="65D4D206" w:rsidR="00EF3662" w:rsidRDefault="00EF3662" w:rsidP="009D46B2">
      <w:pPr>
        <w:pStyle w:val="Body"/>
        <w:spacing w:after="120"/>
        <w:rPr>
          <w:rFonts w:ascii="Arial" w:hAnsi="Arial" w:cs="Arial"/>
        </w:rPr>
      </w:pPr>
      <w:r w:rsidRPr="00EF3662">
        <w:rPr>
          <w:rFonts w:ascii="Arial" w:hAnsi="Arial" w:cs="Arial"/>
        </w:rPr>
        <w:t xml:space="preserve">The co-occurrence analysis of keywords, performed using </w:t>
      </w:r>
      <w:proofErr w:type="spellStart"/>
      <w:r w:rsidRPr="00EF3662">
        <w:rPr>
          <w:rFonts w:ascii="Arial" w:hAnsi="Arial" w:cs="Arial"/>
        </w:rPr>
        <w:t>VOSviewer</w:t>
      </w:r>
      <w:proofErr w:type="spellEnd"/>
      <w:r w:rsidRPr="00EF3662">
        <w:rPr>
          <w:rFonts w:ascii="Arial" w:hAnsi="Arial" w:cs="Arial"/>
        </w:rPr>
        <w:t xml:space="preserve"> </w:t>
      </w:r>
      <w:r w:rsidR="0022193E">
        <w:rPr>
          <w:rFonts w:ascii="Arial" w:hAnsi="Arial" w:cs="Arial"/>
        </w:rPr>
        <w:t xml:space="preserve">(version 1.6.20) </w:t>
      </w:r>
      <w:r w:rsidRPr="00EF3662">
        <w:rPr>
          <w:rFonts w:ascii="Arial" w:hAnsi="Arial" w:cs="Arial"/>
        </w:rPr>
        <w:t xml:space="preserve">software, enabled the identification of the main thematic directions and the relationships among the dominant concepts within the field. This approach provides a synthetic overview of current scientific interests and facilitates the integration of the experimental results within the broader context of research concerning the nutraceutical and </w:t>
      </w:r>
      <w:proofErr w:type="spellStart"/>
      <w:r w:rsidRPr="00EF3662">
        <w:rPr>
          <w:rFonts w:ascii="Arial" w:hAnsi="Arial" w:cs="Arial"/>
        </w:rPr>
        <w:t>pharmacognostic</w:t>
      </w:r>
      <w:proofErr w:type="spellEnd"/>
      <w:r w:rsidRPr="00EF3662">
        <w:rPr>
          <w:rFonts w:ascii="Arial" w:hAnsi="Arial" w:cs="Arial"/>
        </w:rPr>
        <w:t xml:space="preserve"> potential of the species, as illustrated in Figure 1. </w:t>
      </w:r>
    </w:p>
    <w:p w14:paraId="2EE9153A" w14:textId="77777777" w:rsidR="00EF3662" w:rsidRDefault="00EF3662" w:rsidP="009D46B2">
      <w:pPr>
        <w:pStyle w:val="Body"/>
        <w:spacing w:after="0"/>
        <w:jc w:val="center"/>
        <w:rPr>
          <w:rFonts w:ascii="Arial" w:hAnsi="Arial" w:cs="Arial"/>
        </w:rPr>
      </w:pPr>
      <w:r w:rsidRPr="008D159C">
        <w:rPr>
          <w:noProof/>
        </w:rPr>
        <w:lastRenderedPageBreak/>
        <w:drawing>
          <wp:inline distT="0" distB="0" distL="0" distR="0" wp14:anchorId="1E9A749E" wp14:editId="2BC64698">
            <wp:extent cx="4299585" cy="3059164"/>
            <wp:effectExtent l="0" t="0" r="5715" b="8255"/>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4"/>
                    <a:srcRect/>
                    <a:stretch>
                      <a:fillRect/>
                    </a:stretch>
                  </pic:blipFill>
                  <pic:spPr bwMode="auto">
                    <a:xfrm>
                      <a:off x="0" y="0"/>
                      <a:ext cx="4310982" cy="3067273"/>
                    </a:xfrm>
                    <a:prstGeom prst="rect">
                      <a:avLst/>
                    </a:prstGeom>
                    <a:noFill/>
                    <a:ln w="9525">
                      <a:noFill/>
                      <a:miter lim="800000"/>
                      <a:headEnd/>
                      <a:tailEnd/>
                    </a:ln>
                  </pic:spPr>
                </pic:pic>
              </a:graphicData>
            </a:graphic>
          </wp:inline>
        </w:drawing>
      </w:r>
    </w:p>
    <w:p w14:paraId="3EE00CF7" w14:textId="77777777" w:rsidR="00F039E0" w:rsidRPr="00B27FAD" w:rsidRDefault="00F039E0" w:rsidP="00F039E0">
      <w:pPr>
        <w:pStyle w:val="Body"/>
        <w:spacing w:after="0"/>
        <w:jc w:val="center"/>
        <w:rPr>
          <w:rFonts w:ascii="Arial" w:hAnsi="Arial" w:cs="Arial"/>
          <w:b/>
        </w:rPr>
      </w:pPr>
      <w:r w:rsidRPr="00B27FAD">
        <w:rPr>
          <w:rFonts w:ascii="Arial" w:hAnsi="Arial" w:cs="Arial"/>
          <w:b/>
          <w:bCs/>
        </w:rPr>
        <w:t>Figure 1.</w:t>
      </w:r>
      <w:r w:rsidRPr="00B27FAD">
        <w:rPr>
          <w:rFonts w:ascii="Arial" w:hAnsi="Arial" w:cs="Arial"/>
          <w:b/>
        </w:rPr>
        <w:t xml:space="preserve"> Co-occurrence analysis of the keywords “</w:t>
      </w:r>
      <w:r w:rsidRPr="00D27692">
        <w:rPr>
          <w:rFonts w:ascii="Arial" w:hAnsi="Arial" w:cs="Arial"/>
          <w:b/>
          <w:i/>
        </w:rPr>
        <w:t>Elaeagnus angustifolia</w:t>
      </w:r>
      <w:r w:rsidRPr="00B27FAD">
        <w:rPr>
          <w:rFonts w:ascii="Arial" w:hAnsi="Arial" w:cs="Arial"/>
          <w:b/>
        </w:rPr>
        <w:t xml:space="preserve"> AND nutraceutical AND phenolic” in the Web of Science database</w:t>
      </w:r>
    </w:p>
    <w:p w14:paraId="1C8036F9" w14:textId="77777777" w:rsidR="00EF3662" w:rsidRDefault="00EF3662" w:rsidP="00EF3662">
      <w:pPr>
        <w:pStyle w:val="Body"/>
        <w:spacing w:after="0"/>
        <w:rPr>
          <w:rFonts w:ascii="Arial" w:hAnsi="Arial" w:cs="Arial"/>
        </w:rPr>
      </w:pPr>
    </w:p>
    <w:p w14:paraId="7DC9BB68" w14:textId="77777777" w:rsidR="00F039E0" w:rsidRPr="00F039E0" w:rsidRDefault="00F039E0" w:rsidP="00F039E0">
      <w:pPr>
        <w:pStyle w:val="Body"/>
        <w:spacing w:after="0"/>
        <w:rPr>
          <w:rFonts w:ascii="Arial" w:hAnsi="Arial" w:cs="Arial"/>
        </w:rPr>
      </w:pPr>
      <w:r w:rsidRPr="00F039E0">
        <w:rPr>
          <w:rFonts w:ascii="Arial" w:hAnsi="Arial" w:cs="Arial"/>
        </w:rPr>
        <w:t xml:space="preserve">The co-occurrence analysis of keywords highlights a clear structuring of research on </w:t>
      </w:r>
      <w:r w:rsidRPr="00F039E0">
        <w:rPr>
          <w:rFonts w:ascii="Arial" w:hAnsi="Arial" w:cs="Arial"/>
          <w:i/>
          <w:iCs/>
        </w:rPr>
        <w:t>Elaeagnus angustifolia</w:t>
      </w:r>
      <w:r w:rsidRPr="00F039E0">
        <w:rPr>
          <w:rFonts w:ascii="Arial" w:hAnsi="Arial" w:cs="Arial"/>
        </w:rPr>
        <w:t xml:space="preserve"> around four major thematic cores. Integrating these directions with the experimental results obtained in the present study allows the </w:t>
      </w:r>
      <w:r w:rsidR="00D27692" w:rsidRPr="00F039E0">
        <w:rPr>
          <w:rFonts w:ascii="Arial" w:hAnsi="Arial" w:cs="Arial"/>
        </w:rPr>
        <w:t>contextualization</w:t>
      </w:r>
      <w:r w:rsidRPr="00F039E0">
        <w:rPr>
          <w:rFonts w:ascii="Arial" w:hAnsi="Arial" w:cs="Arial"/>
        </w:rPr>
        <w:t xml:space="preserve"> of our contribution. The keyword co-occurrence analysis revealed the existence of several distinct thematic clusters, reflecting the main research directions associated with the species </w:t>
      </w:r>
      <w:r w:rsidRPr="00F039E0">
        <w:rPr>
          <w:rFonts w:ascii="Arial" w:hAnsi="Arial" w:cs="Arial"/>
          <w:i/>
          <w:iCs/>
        </w:rPr>
        <w:t>Elaeagnus angustifolia</w:t>
      </w:r>
      <w:r w:rsidRPr="00F039E0">
        <w:rPr>
          <w:rFonts w:ascii="Arial" w:hAnsi="Arial" w:cs="Arial"/>
        </w:rPr>
        <w:t>. The central concept of the network is represented by the species name, around which terms such as “phenolic compounds”, “antioxidant activity”, “anti-inflammatory activity”, “extract”, and “bioactive compounds” are clustered. This distribution indicates a clear concentration of scientific interest on the biological potential of secondary metabolites, particularly polyphenols.</w:t>
      </w:r>
    </w:p>
    <w:p w14:paraId="3F277387" w14:textId="77777777" w:rsidR="00F039E0" w:rsidRPr="00F039E0" w:rsidRDefault="00F039E0" w:rsidP="00F039E0">
      <w:pPr>
        <w:pStyle w:val="Body"/>
        <w:spacing w:after="0"/>
        <w:rPr>
          <w:rFonts w:ascii="Arial" w:hAnsi="Arial" w:cs="Arial"/>
        </w:rPr>
      </w:pPr>
      <w:r w:rsidRPr="00F039E0">
        <w:rPr>
          <w:rFonts w:ascii="Arial" w:hAnsi="Arial" w:cs="Arial"/>
        </w:rPr>
        <w:t xml:space="preserve">A first major cluster is associated with antioxidant activity, </w:t>
      </w:r>
      <w:r w:rsidR="00ED0967" w:rsidRPr="00F039E0">
        <w:rPr>
          <w:rFonts w:ascii="Arial" w:hAnsi="Arial" w:cs="Arial"/>
        </w:rPr>
        <w:t>centered</w:t>
      </w:r>
      <w:r w:rsidRPr="00F039E0">
        <w:rPr>
          <w:rFonts w:ascii="Arial" w:hAnsi="Arial" w:cs="Arial"/>
        </w:rPr>
        <w:t xml:space="preserve"> on terms such as “flavonoids”, “antioxidant activity”, “</w:t>
      </w:r>
      <w:proofErr w:type="spellStart"/>
      <w:r w:rsidRPr="00F039E0">
        <w:rPr>
          <w:rFonts w:ascii="Arial" w:hAnsi="Arial" w:cs="Arial"/>
        </w:rPr>
        <w:t>dpph</w:t>
      </w:r>
      <w:proofErr w:type="spellEnd"/>
      <w:r w:rsidRPr="00F039E0">
        <w:rPr>
          <w:rFonts w:ascii="Arial" w:hAnsi="Arial" w:cs="Arial"/>
        </w:rPr>
        <w:t xml:space="preserve">”, “frap”, and “lipid peroxidation”, reflecting the dominant orientation of the literature towards evaluating the antioxidant capacity of extracts. The size and density of the connections around this core indicate that antioxidant activity represents the principal criterion for the </w:t>
      </w:r>
      <w:r w:rsidR="00D27692" w:rsidRPr="00F039E0">
        <w:rPr>
          <w:rFonts w:ascii="Arial" w:hAnsi="Arial" w:cs="Arial"/>
        </w:rPr>
        <w:t>valorization</w:t>
      </w:r>
      <w:r w:rsidRPr="00F039E0">
        <w:rPr>
          <w:rFonts w:ascii="Arial" w:hAnsi="Arial" w:cs="Arial"/>
        </w:rPr>
        <w:t xml:space="preserve"> of the species. In this context, the identification and quantification of phenolic compounds according to temperature become relevant, as the variations observed in the content of </w:t>
      </w:r>
      <w:proofErr w:type="spellStart"/>
      <w:r w:rsidRPr="00F039E0">
        <w:rPr>
          <w:rFonts w:ascii="Arial" w:hAnsi="Arial" w:cs="Arial"/>
        </w:rPr>
        <w:t>sinapic</w:t>
      </w:r>
      <w:proofErr w:type="spellEnd"/>
      <w:r w:rsidRPr="00F039E0">
        <w:rPr>
          <w:rFonts w:ascii="Arial" w:hAnsi="Arial" w:cs="Arial"/>
        </w:rPr>
        <w:t xml:space="preserve"> acid and gallic acid may directly influence the antioxidant potential of the extracts.</w:t>
      </w:r>
    </w:p>
    <w:p w14:paraId="6787C780" w14:textId="77777777" w:rsidR="00F039E0" w:rsidRPr="00F039E0" w:rsidRDefault="00F039E0" w:rsidP="00F039E0">
      <w:pPr>
        <w:pStyle w:val="Body"/>
        <w:spacing w:after="0"/>
        <w:rPr>
          <w:rFonts w:ascii="Arial" w:hAnsi="Arial" w:cs="Arial"/>
        </w:rPr>
      </w:pPr>
      <w:r w:rsidRPr="00F039E0">
        <w:rPr>
          <w:rFonts w:ascii="Arial" w:hAnsi="Arial" w:cs="Arial"/>
        </w:rPr>
        <w:t xml:space="preserve">A second cluster is </w:t>
      </w:r>
      <w:r w:rsidR="00ED0967" w:rsidRPr="00F039E0">
        <w:rPr>
          <w:rFonts w:ascii="Arial" w:hAnsi="Arial" w:cs="Arial"/>
        </w:rPr>
        <w:t>centered</w:t>
      </w:r>
      <w:r w:rsidRPr="00F039E0">
        <w:rPr>
          <w:rFonts w:ascii="Arial" w:hAnsi="Arial" w:cs="Arial"/>
        </w:rPr>
        <w:t xml:space="preserve"> on anti-inflammatory activity and therapeutic applications, bringing together terms such as “bioactive compounds”, “phytochemicals”, “phenolic acids”, “leaves”, and “antimicrobial activity”, indicating a broader phytochemical and biological approach. This structure suggests that the species is investigated both from the perspective of metabolic diversity and associated biological activities. Our results regarding the differentiated distribution of phenolic compounds depending on extraction conditions contribute to this direction by providing data on how technological parameters may influence the bioactive profile.</w:t>
      </w:r>
    </w:p>
    <w:p w14:paraId="5EFD61F3" w14:textId="77777777" w:rsidR="00F039E0" w:rsidRPr="00F039E0" w:rsidRDefault="00F039E0" w:rsidP="00F039E0">
      <w:pPr>
        <w:pStyle w:val="Body"/>
        <w:spacing w:after="0"/>
        <w:rPr>
          <w:rFonts w:ascii="Arial" w:hAnsi="Arial" w:cs="Arial"/>
        </w:rPr>
      </w:pPr>
      <w:r w:rsidRPr="00F039E0">
        <w:rPr>
          <w:rFonts w:ascii="Arial" w:hAnsi="Arial" w:cs="Arial"/>
        </w:rPr>
        <w:t xml:space="preserve">The third cluster (blue), </w:t>
      </w:r>
      <w:r w:rsidR="00ED0967" w:rsidRPr="00F039E0">
        <w:rPr>
          <w:rFonts w:ascii="Arial" w:hAnsi="Arial" w:cs="Arial"/>
        </w:rPr>
        <w:t>organized</w:t>
      </w:r>
      <w:r w:rsidRPr="00F039E0">
        <w:rPr>
          <w:rFonts w:ascii="Arial" w:hAnsi="Arial" w:cs="Arial"/>
        </w:rPr>
        <w:t xml:space="preserve"> around the terms “</w:t>
      </w:r>
      <w:r w:rsidRPr="00ED0967">
        <w:rPr>
          <w:rFonts w:ascii="Arial" w:hAnsi="Arial" w:cs="Arial"/>
          <w:i/>
        </w:rPr>
        <w:t>Elaeagnus angustifolia</w:t>
      </w:r>
      <w:r w:rsidRPr="00F039E0">
        <w:rPr>
          <w:rFonts w:ascii="Arial" w:hAnsi="Arial" w:cs="Arial"/>
        </w:rPr>
        <w:t>”, “oleaster”, “extract”, “</w:t>
      </w:r>
      <w:proofErr w:type="spellStart"/>
      <w:r w:rsidRPr="00F039E0">
        <w:rPr>
          <w:rFonts w:ascii="Arial" w:hAnsi="Arial" w:cs="Arial"/>
        </w:rPr>
        <w:t>hplc</w:t>
      </w:r>
      <w:proofErr w:type="spellEnd"/>
      <w:r w:rsidRPr="00F039E0">
        <w:rPr>
          <w:rFonts w:ascii="Arial" w:hAnsi="Arial" w:cs="Arial"/>
        </w:rPr>
        <w:t xml:space="preserve">-dad”, and “different parts”, highlights the concern for compositional </w:t>
      </w:r>
      <w:r w:rsidR="00ED0967" w:rsidRPr="00F039E0">
        <w:rPr>
          <w:rFonts w:ascii="Arial" w:hAnsi="Arial" w:cs="Arial"/>
        </w:rPr>
        <w:t>characterization</w:t>
      </w:r>
      <w:r w:rsidRPr="00F039E0">
        <w:rPr>
          <w:rFonts w:ascii="Arial" w:hAnsi="Arial" w:cs="Arial"/>
        </w:rPr>
        <w:t xml:space="preserve"> and the analysis of different plant organs. The presence of this core confirms </w:t>
      </w:r>
      <w:r w:rsidRPr="00F039E0">
        <w:rPr>
          <w:rFonts w:ascii="Arial" w:hAnsi="Arial" w:cs="Arial"/>
        </w:rPr>
        <w:lastRenderedPageBreak/>
        <w:t xml:space="preserve">the interest in the </w:t>
      </w:r>
      <w:r w:rsidR="00ED0967" w:rsidRPr="00F039E0">
        <w:rPr>
          <w:rFonts w:ascii="Arial" w:hAnsi="Arial" w:cs="Arial"/>
        </w:rPr>
        <w:t>standardization</w:t>
      </w:r>
      <w:r w:rsidRPr="00F039E0">
        <w:rPr>
          <w:rFonts w:ascii="Arial" w:hAnsi="Arial" w:cs="Arial"/>
        </w:rPr>
        <w:t xml:space="preserve"> and identification of constituents; however, the relatively low connectivity of terms related to extraction process </w:t>
      </w:r>
      <w:r w:rsidR="00ED0967" w:rsidRPr="00F039E0">
        <w:rPr>
          <w:rFonts w:ascii="Arial" w:hAnsi="Arial" w:cs="Arial"/>
        </w:rPr>
        <w:t>optimization</w:t>
      </w:r>
      <w:r w:rsidRPr="00F039E0">
        <w:rPr>
          <w:rFonts w:ascii="Arial" w:hAnsi="Arial" w:cs="Arial"/>
        </w:rPr>
        <w:t xml:space="preserve"> suggests that this dimension remains insufficiently explored. The present study addresses this gap by evaluating the influence of temperature on the phenolic composition of the fruits.</w:t>
      </w:r>
    </w:p>
    <w:p w14:paraId="39A3890F" w14:textId="77777777" w:rsidR="00F039E0" w:rsidRPr="00F039E0" w:rsidRDefault="00F039E0" w:rsidP="00F039E0">
      <w:pPr>
        <w:pStyle w:val="Body"/>
        <w:spacing w:after="0"/>
        <w:rPr>
          <w:rFonts w:ascii="Arial" w:hAnsi="Arial" w:cs="Arial"/>
        </w:rPr>
      </w:pPr>
      <w:r w:rsidRPr="00F039E0">
        <w:rPr>
          <w:rFonts w:ascii="Arial" w:hAnsi="Arial" w:cs="Arial"/>
        </w:rPr>
        <w:t xml:space="preserve">The purple cluster, which includes “phenolic content”, “acid”, and “bark”, indicates a focus on the overall quantification of polyphenols and their distribution in different parts of the plant. Although this core is more limited, it underlines the importance of quantitative determinations in substantiating </w:t>
      </w:r>
      <w:proofErr w:type="spellStart"/>
      <w:r w:rsidRPr="00F039E0">
        <w:rPr>
          <w:rFonts w:ascii="Arial" w:hAnsi="Arial" w:cs="Arial"/>
        </w:rPr>
        <w:t>pharmacognostic</w:t>
      </w:r>
      <w:proofErr w:type="spellEnd"/>
      <w:r w:rsidRPr="00F039E0">
        <w:rPr>
          <w:rFonts w:ascii="Arial" w:hAnsi="Arial" w:cs="Arial"/>
        </w:rPr>
        <w:t xml:space="preserve"> value.</w:t>
      </w:r>
    </w:p>
    <w:p w14:paraId="51CDDFDC" w14:textId="77777777" w:rsidR="00F039E0" w:rsidRPr="00F039E0" w:rsidRDefault="00F039E0" w:rsidP="00F039E0">
      <w:pPr>
        <w:pStyle w:val="Body"/>
        <w:spacing w:after="0"/>
        <w:rPr>
          <w:rFonts w:ascii="Arial" w:hAnsi="Arial" w:cs="Arial"/>
        </w:rPr>
      </w:pPr>
      <w:r w:rsidRPr="00F039E0">
        <w:rPr>
          <w:rFonts w:ascii="Arial" w:hAnsi="Arial" w:cs="Arial"/>
        </w:rPr>
        <w:t xml:space="preserve">A notable aspect of the network is the absence of a distinct cluster explicitly associated with the term “nutraceutical”. This observation suggests that, although functional applications are implicitly linked to antioxidant activity and phenolic composition, the nutraceutical dimension has not yet been structured as an autonomous thematic direction. In this regard, our results may be considered a step towards strengthening this direction by providing relevant data for the </w:t>
      </w:r>
      <w:r w:rsidR="00ED0967" w:rsidRPr="00F039E0">
        <w:rPr>
          <w:rFonts w:ascii="Arial" w:hAnsi="Arial" w:cs="Arial"/>
        </w:rPr>
        <w:t>standardization</w:t>
      </w:r>
      <w:r w:rsidRPr="00F039E0">
        <w:rPr>
          <w:rFonts w:ascii="Arial" w:hAnsi="Arial" w:cs="Arial"/>
        </w:rPr>
        <w:t xml:space="preserve"> of extracts intended for use in products with functional value.</w:t>
      </w:r>
    </w:p>
    <w:p w14:paraId="1D8A0F73" w14:textId="77777777" w:rsidR="009D46B2" w:rsidRDefault="00F039E0" w:rsidP="00F039E0">
      <w:pPr>
        <w:pStyle w:val="Body"/>
        <w:spacing w:after="0"/>
        <w:rPr>
          <w:rFonts w:ascii="Arial" w:hAnsi="Arial" w:cs="Arial"/>
        </w:rPr>
      </w:pPr>
      <w:r w:rsidRPr="00F039E0">
        <w:rPr>
          <w:rFonts w:ascii="Arial" w:hAnsi="Arial" w:cs="Arial"/>
        </w:rPr>
        <w:t xml:space="preserve">The integration of the experimental data with the identified thematic structure highlights that polyphenols represent the conceptual core of research on the species, while the </w:t>
      </w:r>
      <w:r w:rsidR="00ED0967" w:rsidRPr="00F039E0">
        <w:rPr>
          <w:rFonts w:ascii="Arial" w:hAnsi="Arial" w:cs="Arial"/>
        </w:rPr>
        <w:t>optimization</w:t>
      </w:r>
      <w:r w:rsidRPr="00F039E0">
        <w:rPr>
          <w:rFonts w:ascii="Arial" w:hAnsi="Arial" w:cs="Arial"/>
        </w:rPr>
        <w:t xml:space="preserve"> of extraction conditions has the potential to significantly influence the biological and nutraceutical applications of </w:t>
      </w:r>
      <w:r w:rsidRPr="00F039E0">
        <w:rPr>
          <w:rFonts w:ascii="Arial" w:hAnsi="Arial" w:cs="Arial"/>
          <w:i/>
          <w:iCs/>
        </w:rPr>
        <w:t>Elaeagnus angustifolia</w:t>
      </w:r>
      <w:r w:rsidRPr="00F039E0">
        <w:rPr>
          <w:rFonts w:ascii="Arial" w:hAnsi="Arial" w:cs="Arial"/>
        </w:rPr>
        <w:t xml:space="preserve"> fruits. </w:t>
      </w:r>
    </w:p>
    <w:p w14:paraId="6211EBD6" w14:textId="547F72A9" w:rsidR="00F039E0" w:rsidRDefault="00F039E0" w:rsidP="00F039E0">
      <w:pPr>
        <w:pStyle w:val="Body"/>
        <w:spacing w:after="0"/>
        <w:rPr>
          <w:rFonts w:ascii="Arial" w:hAnsi="Arial" w:cs="Arial"/>
        </w:rPr>
      </w:pPr>
      <w:r w:rsidRPr="00F039E0">
        <w:rPr>
          <w:rFonts w:ascii="Arial" w:hAnsi="Arial" w:cs="Arial"/>
        </w:rPr>
        <w:t xml:space="preserve">This correlation supports the </w:t>
      </w:r>
      <w:proofErr w:type="spellStart"/>
      <w:r w:rsidRPr="00F039E0">
        <w:rPr>
          <w:rFonts w:ascii="Arial" w:hAnsi="Arial" w:cs="Arial"/>
        </w:rPr>
        <w:t>pharmacognostic</w:t>
      </w:r>
      <w:proofErr w:type="spellEnd"/>
      <w:r w:rsidRPr="00F039E0">
        <w:rPr>
          <w:rFonts w:ascii="Arial" w:hAnsi="Arial" w:cs="Arial"/>
        </w:rPr>
        <w:t xml:space="preserve"> relevance of the study and indicates future research directions oriented towards </w:t>
      </w:r>
      <w:r w:rsidR="00ED0967" w:rsidRPr="00F039E0">
        <w:rPr>
          <w:rFonts w:ascii="Arial" w:hAnsi="Arial" w:cs="Arial"/>
        </w:rPr>
        <w:t>standardization</w:t>
      </w:r>
      <w:r w:rsidRPr="00F039E0">
        <w:rPr>
          <w:rFonts w:ascii="Arial" w:hAnsi="Arial" w:cs="Arial"/>
        </w:rPr>
        <w:t xml:space="preserve">, complementary biological evaluations, and functional validation. </w:t>
      </w:r>
    </w:p>
    <w:p w14:paraId="649166AD" w14:textId="77777777" w:rsidR="00F039E0" w:rsidRDefault="00F039E0" w:rsidP="00F039E0">
      <w:pPr>
        <w:pStyle w:val="Body"/>
        <w:spacing w:after="0"/>
        <w:rPr>
          <w:rFonts w:ascii="Arial" w:hAnsi="Arial" w:cs="Arial"/>
        </w:rPr>
      </w:pPr>
    </w:p>
    <w:p w14:paraId="708EF534" w14:textId="77777777" w:rsidR="009D46B2" w:rsidRDefault="009D46B2" w:rsidP="00F039E0">
      <w:pPr>
        <w:pStyle w:val="Body"/>
        <w:spacing w:after="0"/>
        <w:rPr>
          <w:rFonts w:ascii="Arial" w:hAnsi="Arial" w:cs="Arial"/>
        </w:rPr>
      </w:pPr>
    </w:p>
    <w:p w14:paraId="391CF74E" w14:textId="77777777" w:rsidR="00F039E0" w:rsidRDefault="00F039E0" w:rsidP="00584BCD">
      <w:pPr>
        <w:pStyle w:val="Body"/>
        <w:spacing w:after="0"/>
        <w:jc w:val="left"/>
        <w:rPr>
          <w:rFonts w:ascii="Arial" w:hAnsi="Arial" w:cs="Arial"/>
          <w:b/>
          <w:sz w:val="22"/>
          <w:szCs w:val="22"/>
        </w:rPr>
      </w:pPr>
      <w:r w:rsidRPr="00F039E0">
        <w:rPr>
          <w:rFonts w:ascii="Arial" w:hAnsi="Arial" w:cs="Arial"/>
          <w:b/>
          <w:sz w:val="22"/>
          <w:szCs w:val="22"/>
        </w:rPr>
        <w:t xml:space="preserve">3. </w:t>
      </w:r>
      <w:r w:rsidRPr="00584BCD">
        <w:rPr>
          <w:rFonts w:ascii="Arial" w:hAnsi="Arial" w:cs="Arial"/>
          <w:b/>
          <w:sz w:val="22"/>
          <w:szCs w:val="22"/>
        </w:rPr>
        <w:t xml:space="preserve">EXPERIMENTAL DETAILS </w:t>
      </w:r>
    </w:p>
    <w:p w14:paraId="274839DD" w14:textId="77777777" w:rsidR="00584BCD" w:rsidRPr="00F039E0" w:rsidRDefault="00584BCD" w:rsidP="00584BCD">
      <w:pPr>
        <w:pStyle w:val="Body"/>
        <w:spacing w:after="0"/>
        <w:jc w:val="left"/>
        <w:rPr>
          <w:rFonts w:ascii="Arial" w:hAnsi="Arial" w:cs="Arial"/>
          <w:sz w:val="22"/>
          <w:szCs w:val="22"/>
        </w:rPr>
      </w:pPr>
    </w:p>
    <w:p w14:paraId="18E0948D" w14:textId="77777777" w:rsidR="00AC68CF" w:rsidRPr="00673752" w:rsidRDefault="00AC68CF" w:rsidP="00AC68CF">
      <w:pPr>
        <w:pStyle w:val="Body"/>
        <w:spacing w:after="0"/>
        <w:jc w:val="left"/>
        <w:rPr>
          <w:rFonts w:ascii="Arial" w:hAnsi="Arial" w:cs="Arial"/>
          <w:sz w:val="22"/>
          <w:szCs w:val="22"/>
        </w:rPr>
      </w:pPr>
      <w:r w:rsidRPr="00673752">
        <w:rPr>
          <w:rFonts w:ascii="Arial" w:hAnsi="Arial" w:cs="Arial"/>
          <w:b/>
          <w:bCs/>
          <w:sz w:val="22"/>
          <w:szCs w:val="22"/>
        </w:rPr>
        <w:t>3.1. Plant material</w:t>
      </w:r>
    </w:p>
    <w:p w14:paraId="7AAFA0B6" w14:textId="77777777" w:rsidR="00AC68CF" w:rsidRPr="005A525E" w:rsidRDefault="00AC68CF" w:rsidP="00AC68CF">
      <w:pPr>
        <w:pStyle w:val="Body"/>
        <w:spacing w:after="0"/>
        <w:rPr>
          <w:rFonts w:ascii="Arial" w:hAnsi="Arial" w:cs="Arial"/>
        </w:rPr>
      </w:pPr>
      <w:r w:rsidRPr="005A525E">
        <w:rPr>
          <w:rFonts w:ascii="Arial" w:hAnsi="Arial" w:cs="Arial"/>
        </w:rPr>
        <w:t xml:space="preserve">Fruits of </w:t>
      </w:r>
      <w:r w:rsidRPr="005A525E">
        <w:rPr>
          <w:rFonts w:ascii="Arial" w:hAnsi="Arial" w:cs="Arial"/>
          <w:i/>
          <w:iCs/>
        </w:rPr>
        <w:t>Elaeagnus angustifolia</w:t>
      </w:r>
      <w:r w:rsidRPr="005A525E">
        <w:rPr>
          <w:rFonts w:ascii="Arial" w:hAnsi="Arial" w:cs="Arial"/>
        </w:rPr>
        <w:t xml:space="preserve"> L. were collected from the </w:t>
      </w:r>
      <w:proofErr w:type="spellStart"/>
      <w:r w:rsidRPr="005A525E">
        <w:rPr>
          <w:rFonts w:ascii="Arial" w:hAnsi="Arial" w:cs="Arial"/>
        </w:rPr>
        <w:t>Faleza</w:t>
      </w:r>
      <w:proofErr w:type="spellEnd"/>
      <w:r w:rsidRPr="005A525E">
        <w:rPr>
          <w:rFonts w:ascii="Arial" w:hAnsi="Arial" w:cs="Arial"/>
        </w:rPr>
        <w:t xml:space="preserve"> Nord area, </w:t>
      </w:r>
      <w:proofErr w:type="spellStart"/>
      <w:r w:rsidRPr="005A525E">
        <w:rPr>
          <w:rFonts w:ascii="Arial" w:hAnsi="Arial" w:cs="Arial"/>
        </w:rPr>
        <w:t>Constanța</w:t>
      </w:r>
      <w:proofErr w:type="spellEnd"/>
      <w:r w:rsidRPr="005A525E">
        <w:rPr>
          <w:rFonts w:ascii="Arial" w:hAnsi="Arial" w:cs="Arial"/>
        </w:rPr>
        <w:t>, Romania, during the period of physiological maturity. Species identification was performed based on morphological characteristics and by reference to existing botanical descriptions (</w:t>
      </w:r>
      <w:proofErr w:type="spellStart"/>
      <w:r w:rsidRPr="00BB6A02">
        <w:rPr>
          <w:rFonts w:ascii="Arial" w:hAnsi="Arial" w:cs="Arial"/>
        </w:rPr>
        <w:t>Ciocârlan</w:t>
      </w:r>
      <w:proofErr w:type="spellEnd"/>
      <w:r w:rsidR="00291505">
        <w:rPr>
          <w:rFonts w:ascii="Arial" w:hAnsi="Arial" w:cs="Arial"/>
        </w:rPr>
        <w:t>, 2000</w:t>
      </w:r>
      <w:r w:rsidRPr="005A525E">
        <w:rPr>
          <w:rFonts w:ascii="Arial" w:hAnsi="Arial" w:cs="Arial"/>
        </w:rPr>
        <w:t>).</w:t>
      </w:r>
    </w:p>
    <w:p w14:paraId="3EB56EDD" w14:textId="77777777" w:rsidR="00AC68CF" w:rsidRPr="005A525E" w:rsidRDefault="00AC68CF" w:rsidP="00AC68CF">
      <w:pPr>
        <w:pStyle w:val="Body"/>
        <w:spacing w:after="0"/>
        <w:rPr>
          <w:rFonts w:ascii="Arial" w:hAnsi="Arial" w:cs="Arial"/>
        </w:rPr>
      </w:pPr>
      <w:r w:rsidRPr="005A525E">
        <w:rPr>
          <w:rFonts w:ascii="Arial" w:hAnsi="Arial" w:cs="Arial"/>
        </w:rPr>
        <w:t xml:space="preserve">The </w:t>
      </w:r>
      <w:proofErr w:type="spellStart"/>
      <w:r w:rsidRPr="005A525E">
        <w:rPr>
          <w:rFonts w:ascii="Arial" w:hAnsi="Arial" w:cs="Arial"/>
        </w:rPr>
        <w:t>analysed</w:t>
      </w:r>
      <w:proofErr w:type="spellEnd"/>
      <w:r w:rsidRPr="005A525E">
        <w:rPr>
          <w:rFonts w:ascii="Arial" w:hAnsi="Arial" w:cs="Arial"/>
        </w:rPr>
        <w:t xml:space="preserve"> plant material consisted of the fruit pulp, manually separated from the seeds. The pulp was dried to constant weight in order to eliminate variations due to water content and subsequently finely ground to obtain a homogeneous powder.</w:t>
      </w:r>
    </w:p>
    <w:p w14:paraId="516ADACB" w14:textId="77777777" w:rsidR="00E66E10" w:rsidRPr="005A525E" w:rsidRDefault="00AC68CF" w:rsidP="00AC68CF">
      <w:pPr>
        <w:pStyle w:val="Body"/>
        <w:spacing w:after="0"/>
        <w:rPr>
          <w:rFonts w:ascii="Arial" w:hAnsi="Arial" w:cs="Arial"/>
        </w:rPr>
      </w:pPr>
      <w:r w:rsidRPr="005A525E">
        <w:rPr>
          <w:rFonts w:ascii="Arial" w:hAnsi="Arial" w:cs="Arial"/>
        </w:rPr>
        <w:t xml:space="preserve">For each experiment, 19.8 g of dried plant material (DW) were used, ensuring the constancy of the </w:t>
      </w:r>
      <w:proofErr w:type="spellStart"/>
      <w:r w:rsidRPr="005A525E">
        <w:rPr>
          <w:rFonts w:ascii="Arial" w:hAnsi="Arial" w:cs="Arial"/>
        </w:rPr>
        <w:t>solid:liquid</w:t>
      </w:r>
      <w:proofErr w:type="spellEnd"/>
      <w:r w:rsidRPr="005A525E">
        <w:rPr>
          <w:rFonts w:ascii="Arial" w:hAnsi="Arial" w:cs="Arial"/>
        </w:rPr>
        <w:t xml:space="preserve"> ratio in all extractions.</w:t>
      </w:r>
    </w:p>
    <w:p w14:paraId="0B5874AB" w14:textId="77777777" w:rsidR="001E0B30" w:rsidRPr="005A525E" w:rsidRDefault="001E0B30" w:rsidP="001E0B30">
      <w:pPr>
        <w:pStyle w:val="Body"/>
        <w:spacing w:after="0"/>
        <w:rPr>
          <w:rFonts w:ascii="Arial" w:hAnsi="Arial" w:cs="Arial"/>
          <w:b/>
          <w:bCs/>
        </w:rPr>
      </w:pPr>
    </w:p>
    <w:p w14:paraId="5B806C35" w14:textId="77777777" w:rsidR="001E0B30" w:rsidRPr="00673752" w:rsidRDefault="001E0B30" w:rsidP="001E0B30">
      <w:pPr>
        <w:pStyle w:val="Body"/>
        <w:spacing w:after="0"/>
        <w:rPr>
          <w:rFonts w:ascii="Arial" w:hAnsi="Arial" w:cs="Arial"/>
          <w:sz w:val="22"/>
          <w:szCs w:val="22"/>
        </w:rPr>
      </w:pPr>
      <w:r w:rsidRPr="00673752">
        <w:rPr>
          <w:rFonts w:ascii="Arial" w:hAnsi="Arial" w:cs="Arial"/>
          <w:b/>
          <w:bCs/>
          <w:sz w:val="22"/>
          <w:szCs w:val="22"/>
        </w:rPr>
        <w:t>3.2. Chemicals and reference standards</w:t>
      </w:r>
    </w:p>
    <w:p w14:paraId="68C40DE9" w14:textId="77777777" w:rsidR="001E0B30" w:rsidRPr="005A525E" w:rsidRDefault="001E0B30" w:rsidP="001E0B30">
      <w:pPr>
        <w:pStyle w:val="Body"/>
        <w:spacing w:after="0"/>
        <w:rPr>
          <w:rFonts w:ascii="Arial" w:hAnsi="Arial" w:cs="Arial"/>
        </w:rPr>
      </w:pPr>
      <w:r w:rsidRPr="005A525E">
        <w:rPr>
          <w:rFonts w:ascii="Arial" w:hAnsi="Arial" w:cs="Arial"/>
        </w:rPr>
        <w:t xml:space="preserve">The analytical standards used for the identification and quantification of phenolic compounds were: gallic acid, </w:t>
      </w:r>
      <w:proofErr w:type="spellStart"/>
      <w:r w:rsidRPr="005A525E">
        <w:rPr>
          <w:rFonts w:ascii="Arial" w:hAnsi="Arial" w:cs="Arial"/>
        </w:rPr>
        <w:t>sinapic</w:t>
      </w:r>
      <w:proofErr w:type="spellEnd"/>
      <w:r w:rsidRPr="005A525E">
        <w:rPr>
          <w:rFonts w:ascii="Arial" w:hAnsi="Arial" w:cs="Arial"/>
        </w:rPr>
        <w:t xml:space="preserve"> acid, chlorogenic acid, epicatechin, rutin, quercetin, and kaempferol.</w:t>
      </w:r>
    </w:p>
    <w:p w14:paraId="4456899F" w14:textId="77777777" w:rsidR="00F039E0" w:rsidRPr="005A525E" w:rsidRDefault="001E0B30" w:rsidP="001E0B30">
      <w:pPr>
        <w:pStyle w:val="Body"/>
        <w:spacing w:after="0"/>
        <w:rPr>
          <w:rFonts w:ascii="Arial" w:hAnsi="Arial" w:cs="Arial"/>
        </w:rPr>
      </w:pPr>
      <w:r w:rsidRPr="005A525E">
        <w:rPr>
          <w:rFonts w:ascii="Arial" w:hAnsi="Arial" w:cs="Arial"/>
        </w:rPr>
        <w:t>Stock solutions were prepared in methanol at the following concentrations:</w:t>
      </w:r>
    </w:p>
    <w:p w14:paraId="46EA7AC5" w14:textId="77777777" w:rsidR="00EC7644" w:rsidRPr="005A525E" w:rsidRDefault="00EC7644" w:rsidP="00EC7644">
      <w:pPr>
        <w:pStyle w:val="NormalWeb"/>
        <w:spacing w:before="0" w:beforeAutospacing="0" w:after="0" w:afterAutospacing="0"/>
        <w:rPr>
          <w:rFonts w:ascii="Arial" w:hAnsi="Arial" w:cs="Arial"/>
          <w:sz w:val="20"/>
          <w:szCs w:val="20"/>
        </w:rPr>
      </w:pPr>
      <w:r w:rsidRPr="005A525E">
        <w:rPr>
          <w:rFonts w:ascii="Arial" w:hAnsi="Arial" w:cs="Arial"/>
          <w:sz w:val="20"/>
          <w:szCs w:val="20"/>
        </w:rPr>
        <w:t>• gallic acid: 1 mg/mL</w:t>
      </w:r>
      <w:r w:rsidRPr="005A525E">
        <w:rPr>
          <w:rFonts w:ascii="Arial" w:hAnsi="Arial" w:cs="Arial"/>
          <w:sz w:val="20"/>
          <w:szCs w:val="20"/>
        </w:rPr>
        <w:br/>
        <w:t>• kaempferol: 0.1 mg/mL</w:t>
      </w:r>
      <w:r w:rsidRPr="005A525E">
        <w:rPr>
          <w:rFonts w:ascii="Arial" w:hAnsi="Arial" w:cs="Arial"/>
          <w:sz w:val="20"/>
          <w:szCs w:val="20"/>
        </w:rPr>
        <w:br/>
        <w:t xml:space="preserve">• </w:t>
      </w:r>
      <w:proofErr w:type="spellStart"/>
      <w:r w:rsidRPr="005A525E">
        <w:rPr>
          <w:rFonts w:ascii="Arial" w:hAnsi="Arial" w:cs="Arial"/>
          <w:sz w:val="20"/>
          <w:szCs w:val="20"/>
        </w:rPr>
        <w:t>sinapic</w:t>
      </w:r>
      <w:proofErr w:type="spellEnd"/>
      <w:r w:rsidRPr="005A525E">
        <w:rPr>
          <w:rFonts w:ascii="Arial" w:hAnsi="Arial" w:cs="Arial"/>
          <w:sz w:val="20"/>
          <w:szCs w:val="20"/>
        </w:rPr>
        <w:t xml:space="preserve"> acid: 0.2 mg/mL</w:t>
      </w:r>
      <w:r w:rsidRPr="005A525E">
        <w:rPr>
          <w:rFonts w:ascii="Arial" w:hAnsi="Arial" w:cs="Arial"/>
          <w:sz w:val="20"/>
          <w:szCs w:val="20"/>
        </w:rPr>
        <w:br/>
        <w:t>• other compounds: 0.1–1 mg/mL, depending on solubility</w:t>
      </w:r>
    </w:p>
    <w:p w14:paraId="2C74A186" w14:textId="46691940" w:rsidR="00F039E0" w:rsidRDefault="00EC7644" w:rsidP="00441B6F">
      <w:pPr>
        <w:pStyle w:val="Body"/>
        <w:spacing w:after="0"/>
        <w:rPr>
          <w:rFonts w:ascii="Arial" w:hAnsi="Arial" w:cs="Arial"/>
        </w:rPr>
      </w:pPr>
      <w:r w:rsidRPr="005A525E">
        <w:rPr>
          <w:rFonts w:ascii="Arial" w:hAnsi="Arial" w:cs="Arial"/>
        </w:rPr>
        <w:t xml:space="preserve">Working solutions were obtained by successive dilutions in methanol or </w:t>
      </w:r>
      <w:proofErr w:type="spellStart"/>
      <w:proofErr w:type="gramStart"/>
      <w:r w:rsidRPr="005A525E">
        <w:rPr>
          <w:rFonts w:ascii="Arial" w:hAnsi="Arial" w:cs="Arial"/>
        </w:rPr>
        <w:t>methanol:water</w:t>
      </w:r>
      <w:proofErr w:type="spellEnd"/>
      <w:proofErr w:type="gramEnd"/>
      <w:r w:rsidRPr="005A525E">
        <w:rPr>
          <w:rFonts w:ascii="Arial" w:hAnsi="Arial" w:cs="Arial"/>
        </w:rPr>
        <w:t xml:space="preserve"> so as to cover the linearity range of the method. All reagents used were of analytical grade.</w:t>
      </w:r>
    </w:p>
    <w:p w14:paraId="48FA83FE" w14:textId="77777777" w:rsidR="00C10894" w:rsidRPr="005A525E" w:rsidRDefault="00C10894" w:rsidP="00441B6F">
      <w:pPr>
        <w:pStyle w:val="Body"/>
        <w:spacing w:after="0"/>
        <w:rPr>
          <w:rFonts w:ascii="Arial" w:hAnsi="Arial" w:cs="Arial"/>
        </w:rPr>
      </w:pPr>
    </w:p>
    <w:p w14:paraId="11654FE0" w14:textId="77777777" w:rsidR="00F039E0" w:rsidRDefault="00F039E0" w:rsidP="00441B6F">
      <w:pPr>
        <w:pStyle w:val="Body"/>
        <w:spacing w:after="0"/>
        <w:rPr>
          <w:rFonts w:ascii="Arial" w:hAnsi="Arial" w:cs="Arial"/>
        </w:rPr>
      </w:pPr>
    </w:p>
    <w:p w14:paraId="76B5EEB5" w14:textId="77777777" w:rsidR="00EC7644" w:rsidRPr="00673752" w:rsidRDefault="00EC7644" w:rsidP="00EC7644">
      <w:pPr>
        <w:pStyle w:val="Body"/>
        <w:spacing w:after="0"/>
        <w:rPr>
          <w:rFonts w:ascii="Arial" w:hAnsi="Arial" w:cs="Arial"/>
          <w:sz w:val="22"/>
          <w:szCs w:val="22"/>
        </w:rPr>
      </w:pPr>
      <w:r w:rsidRPr="00673752">
        <w:rPr>
          <w:rFonts w:ascii="Arial" w:hAnsi="Arial" w:cs="Arial"/>
          <w:b/>
          <w:bCs/>
          <w:sz w:val="22"/>
          <w:szCs w:val="22"/>
        </w:rPr>
        <w:t>3.3. Extraction method</w:t>
      </w:r>
    </w:p>
    <w:p w14:paraId="3C9387A5" w14:textId="77777777" w:rsidR="00EC7644" w:rsidRPr="00EC7644" w:rsidRDefault="00EC7644" w:rsidP="00EC7644">
      <w:pPr>
        <w:pStyle w:val="Body"/>
        <w:spacing w:after="0"/>
        <w:rPr>
          <w:rFonts w:ascii="Arial" w:hAnsi="Arial" w:cs="Arial"/>
        </w:rPr>
      </w:pPr>
      <w:r w:rsidRPr="00EC7644">
        <w:rPr>
          <w:rFonts w:ascii="Arial" w:hAnsi="Arial" w:cs="Arial"/>
        </w:rPr>
        <w:t xml:space="preserve">Aqueous extracts were obtained using a constant </w:t>
      </w:r>
      <w:proofErr w:type="spellStart"/>
      <w:r w:rsidRPr="00EC7644">
        <w:rPr>
          <w:rFonts w:ascii="Arial" w:hAnsi="Arial" w:cs="Arial"/>
        </w:rPr>
        <w:t>solid:liquid</w:t>
      </w:r>
      <w:proofErr w:type="spellEnd"/>
      <w:r w:rsidRPr="00EC7644">
        <w:rPr>
          <w:rFonts w:ascii="Arial" w:hAnsi="Arial" w:cs="Arial"/>
        </w:rPr>
        <w:t xml:space="preserve"> ratio of 1:5 (</w:t>
      </w:r>
      <w:proofErr w:type="spellStart"/>
      <w:proofErr w:type="gramStart"/>
      <w:r w:rsidRPr="00EC7644">
        <w:rPr>
          <w:rFonts w:ascii="Arial" w:hAnsi="Arial" w:cs="Arial"/>
        </w:rPr>
        <w:t>g:mL</w:t>
      </w:r>
      <w:proofErr w:type="spellEnd"/>
      <w:proofErr w:type="gramEnd"/>
      <w:r w:rsidRPr="00EC7644">
        <w:rPr>
          <w:rFonts w:ascii="Arial" w:hAnsi="Arial" w:cs="Arial"/>
        </w:rPr>
        <w:t>), by adding 100 mL of distilled water to 19.8 g of dried plant powder.</w:t>
      </w:r>
    </w:p>
    <w:p w14:paraId="02C7A262" w14:textId="77777777" w:rsidR="00790ADA" w:rsidRPr="00EC7644" w:rsidRDefault="00EC7644" w:rsidP="005A525E">
      <w:pPr>
        <w:pStyle w:val="Body"/>
        <w:spacing w:after="0"/>
        <w:rPr>
          <w:rFonts w:ascii="Arial" w:hAnsi="Arial" w:cs="Arial"/>
        </w:rPr>
      </w:pPr>
      <w:r w:rsidRPr="00EC7644">
        <w:rPr>
          <w:rFonts w:ascii="Arial" w:hAnsi="Arial" w:cs="Arial"/>
        </w:rPr>
        <w:t>The extractions were carried out under three distinct thermal conditions:</w:t>
      </w:r>
    </w:p>
    <w:p w14:paraId="3FAD2A1F" w14:textId="77777777" w:rsidR="00EC7644" w:rsidRDefault="00EC7644" w:rsidP="005A525E">
      <w:pPr>
        <w:pStyle w:val="NormalWeb"/>
        <w:spacing w:before="0" w:beforeAutospacing="0" w:after="0" w:afterAutospacing="0"/>
        <w:rPr>
          <w:rFonts w:ascii="Arial" w:hAnsi="Arial" w:cs="Arial"/>
          <w:sz w:val="20"/>
          <w:szCs w:val="20"/>
        </w:rPr>
      </w:pPr>
      <w:r w:rsidRPr="00EC7644">
        <w:rPr>
          <w:rFonts w:ascii="Arial" w:hAnsi="Arial" w:cs="Arial"/>
          <w:sz w:val="20"/>
          <w:szCs w:val="20"/>
        </w:rPr>
        <w:lastRenderedPageBreak/>
        <w:t xml:space="preserve">• </w:t>
      </w:r>
      <w:r w:rsidRPr="005759E2">
        <w:rPr>
          <w:rFonts w:ascii="Arial" w:hAnsi="Arial" w:cs="Arial"/>
          <w:sz w:val="20"/>
          <w:szCs w:val="20"/>
        </w:rPr>
        <w:t>cold extracti</w:t>
      </w:r>
      <w:r w:rsidR="005759E2">
        <w:rPr>
          <w:rFonts w:ascii="Arial" w:hAnsi="Arial" w:cs="Arial"/>
          <w:sz w:val="20"/>
          <w:szCs w:val="20"/>
        </w:rPr>
        <w:t>on (2-8</w:t>
      </w:r>
      <w:r w:rsidR="0006626F" w:rsidRPr="005759E2">
        <w:rPr>
          <w:rFonts w:ascii="Arial" w:hAnsi="Arial" w:cs="Arial"/>
          <w:sz w:val="20"/>
          <w:szCs w:val="20"/>
        </w:rPr>
        <w:t>°C),</w:t>
      </w:r>
      <w:r w:rsidR="0006626F">
        <w:rPr>
          <w:rFonts w:ascii="Arial" w:hAnsi="Arial" w:cs="Arial"/>
          <w:sz w:val="20"/>
          <w:szCs w:val="20"/>
        </w:rPr>
        <w:br/>
        <w:t>• extraction at 50°C,</w:t>
      </w:r>
      <w:r w:rsidR="0006626F">
        <w:rPr>
          <w:rFonts w:ascii="Arial" w:hAnsi="Arial" w:cs="Arial"/>
          <w:sz w:val="20"/>
          <w:szCs w:val="20"/>
        </w:rPr>
        <w:br/>
        <w:t>• extraction at 80</w:t>
      </w:r>
      <w:r w:rsidRPr="00EC7644">
        <w:rPr>
          <w:rFonts w:ascii="Arial" w:hAnsi="Arial" w:cs="Arial"/>
          <w:sz w:val="20"/>
          <w:szCs w:val="20"/>
        </w:rPr>
        <w:t>°C.</w:t>
      </w:r>
    </w:p>
    <w:p w14:paraId="7135BAA8" w14:textId="77777777" w:rsidR="005A525E" w:rsidRPr="005A525E" w:rsidRDefault="005A525E" w:rsidP="005A525E">
      <w:pPr>
        <w:pStyle w:val="NormalWeb"/>
        <w:spacing w:before="0" w:beforeAutospacing="0" w:after="0" w:afterAutospacing="0"/>
        <w:jc w:val="both"/>
        <w:rPr>
          <w:rFonts w:ascii="Arial" w:hAnsi="Arial" w:cs="Arial"/>
          <w:sz w:val="20"/>
          <w:szCs w:val="20"/>
        </w:rPr>
      </w:pPr>
      <w:r w:rsidRPr="005A525E">
        <w:rPr>
          <w:rFonts w:ascii="Arial" w:hAnsi="Arial" w:cs="Arial"/>
          <w:sz w:val="20"/>
          <w:szCs w:val="20"/>
        </w:rPr>
        <w:t>The extraction time was 30 minutes under controlled orbital agitation.</w:t>
      </w:r>
    </w:p>
    <w:p w14:paraId="3546B63E" w14:textId="77777777" w:rsidR="005A525E" w:rsidRPr="00EC7644" w:rsidRDefault="005A525E" w:rsidP="005A525E">
      <w:pPr>
        <w:pStyle w:val="NormalWeb"/>
        <w:spacing w:before="0" w:beforeAutospacing="0" w:after="0" w:afterAutospacing="0"/>
        <w:jc w:val="both"/>
        <w:rPr>
          <w:rFonts w:ascii="Arial" w:hAnsi="Arial" w:cs="Arial"/>
          <w:sz w:val="20"/>
          <w:szCs w:val="20"/>
        </w:rPr>
      </w:pPr>
      <w:r w:rsidRPr="005A525E">
        <w:rPr>
          <w:rFonts w:ascii="Arial" w:hAnsi="Arial" w:cs="Arial"/>
          <w:sz w:val="20"/>
          <w:szCs w:val="20"/>
        </w:rPr>
        <w:t xml:space="preserve">After completion of the process, the samples were cooled (where applicable), centrifuged and filtered through membranes with a pore size of 0.45 </w:t>
      </w:r>
      <w:proofErr w:type="spellStart"/>
      <w:r w:rsidRPr="005A525E">
        <w:rPr>
          <w:rFonts w:ascii="Arial" w:hAnsi="Arial" w:cs="Arial" w:hint="eastAsia"/>
          <w:sz w:val="20"/>
          <w:szCs w:val="20"/>
        </w:rPr>
        <w:t>μ</w:t>
      </w:r>
      <w:r w:rsidRPr="005A525E">
        <w:rPr>
          <w:rFonts w:ascii="Arial" w:hAnsi="Arial" w:cs="Arial"/>
          <w:sz w:val="20"/>
          <w:szCs w:val="20"/>
        </w:rPr>
        <w:t>m</w:t>
      </w:r>
      <w:proofErr w:type="spellEnd"/>
      <w:r w:rsidRPr="005A525E">
        <w:rPr>
          <w:rFonts w:ascii="Arial" w:hAnsi="Arial" w:cs="Arial"/>
          <w:sz w:val="20"/>
          <w:szCs w:val="20"/>
        </w:rPr>
        <w:t xml:space="preserve">. The extracts were </w:t>
      </w:r>
      <w:proofErr w:type="spellStart"/>
      <w:r w:rsidRPr="005A525E">
        <w:rPr>
          <w:rFonts w:ascii="Arial" w:hAnsi="Arial" w:cs="Arial"/>
          <w:sz w:val="20"/>
          <w:szCs w:val="20"/>
        </w:rPr>
        <w:t>analysed</w:t>
      </w:r>
      <w:proofErr w:type="spellEnd"/>
      <w:r w:rsidRPr="005A525E">
        <w:rPr>
          <w:rFonts w:ascii="Arial" w:hAnsi="Arial" w:cs="Arial"/>
          <w:sz w:val="20"/>
          <w:szCs w:val="20"/>
        </w:rPr>
        <w:t xml:space="preserve"> either undiluted or subjected to an additional purification step depending on matrix interferences.</w:t>
      </w:r>
    </w:p>
    <w:p w14:paraId="74CA420F" w14:textId="77777777" w:rsidR="00217779" w:rsidRDefault="00217779" w:rsidP="005A525E">
      <w:pPr>
        <w:pStyle w:val="Body"/>
        <w:spacing w:after="0"/>
        <w:rPr>
          <w:rFonts w:ascii="Arial" w:hAnsi="Arial" w:cs="Arial"/>
          <w:b/>
          <w:bCs/>
        </w:rPr>
      </w:pPr>
    </w:p>
    <w:p w14:paraId="0E553BFA" w14:textId="77777777" w:rsidR="005A525E" w:rsidRPr="005A525E" w:rsidRDefault="005A525E" w:rsidP="005A525E">
      <w:pPr>
        <w:pStyle w:val="Body"/>
        <w:spacing w:after="0"/>
        <w:rPr>
          <w:rFonts w:ascii="Arial" w:hAnsi="Arial" w:cs="Arial"/>
        </w:rPr>
      </w:pPr>
      <w:r w:rsidRPr="005A525E">
        <w:rPr>
          <w:rFonts w:ascii="Arial" w:hAnsi="Arial" w:cs="Arial"/>
          <w:b/>
          <w:bCs/>
        </w:rPr>
        <w:t>Solid-phase extraction (SPE) purification</w:t>
      </w:r>
    </w:p>
    <w:p w14:paraId="76EAA97A" w14:textId="77777777" w:rsidR="005A525E" w:rsidRPr="005A525E" w:rsidRDefault="005A525E" w:rsidP="005A525E">
      <w:pPr>
        <w:pStyle w:val="Body"/>
        <w:spacing w:after="0"/>
        <w:rPr>
          <w:rFonts w:ascii="Arial" w:hAnsi="Arial" w:cs="Arial"/>
        </w:rPr>
      </w:pPr>
      <w:r w:rsidRPr="005A525E">
        <w:rPr>
          <w:rFonts w:ascii="Arial" w:hAnsi="Arial" w:cs="Arial"/>
        </w:rPr>
        <w:t xml:space="preserve">In situations where the presence of sugars, organic acids or pigments affected the signal-to-noise ratio, solid-phase extraction was applied using C18 Supra-Clean cartridges (Perkin Elmer) (Solid-phase extraction was performed using C18 Supra-Clean™ cartridges (200 mg/3 mL, PerkinElmer, USA).) with an adsorbent bed of 200 mg/3 </w:t>
      </w:r>
      <w:proofErr w:type="spellStart"/>
      <w:r w:rsidRPr="005A525E">
        <w:rPr>
          <w:rFonts w:ascii="Arial" w:hAnsi="Arial" w:cs="Arial"/>
        </w:rPr>
        <w:t>mL.</w:t>
      </w:r>
      <w:proofErr w:type="spellEnd"/>
    </w:p>
    <w:p w14:paraId="2374AE59" w14:textId="77777777" w:rsidR="005A525E" w:rsidRPr="005A525E" w:rsidRDefault="005A525E" w:rsidP="005A525E">
      <w:pPr>
        <w:pStyle w:val="Body"/>
        <w:spacing w:after="0"/>
        <w:jc w:val="left"/>
        <w:rPr>
          <w:rFonts w:ascii="Arial" w:hAnsi="Arial" w:cs="Arial"/>
        </w:rPr>
      </w:pPr>
      <w:r w:rsidRPr="005A525E">
        <w:rPr>
          <w:rFonts w:ascii="Arial" w:hAnsi="Arial" w:cs="Arial"/>
        </w:rPr>
        <w:t>The procedure included:</w:t>
      </w:r>
      <w:r w:rsidRPr="005A525E">
        <w:rPr>
          <w:rFonts w:ascii="Arial" w:hAnsi="Arial" w:cs="Arial"/>
        </w:rPr>
        <w:br/>
        <w:t>• loading 12 mL of aqueous extract onto the cartridge,</w:t>
      </w:r>
      <w:r w:rsidRPr="005A525E">
        <w:rPr>
          <w:rFonts w:ascii="Arial" w:hAnsi="Arial" w:cs="Arial"/>
        </w:rPr>
        <w:br/>
        <w:t>• elution of the phenolic fraction,</w:t>
      </w:r>
      <w:r w:rsidRPr="005A525E">
        <w:rPr>
          <w:rFonts w:ascii="Arial" w:hAnsi="Arial" w:cs="Arial"/>
        </w:rPr>
        <w:br/>
        <w:t xml:space="preserve">• reconstitution to a final volume of 5 mL using a </w:t>
      </w:r>
      <w:proofErr w:type="spellStart"/>
      <w:proofErr w:type="gramStart"/>
      <w:r w:rsidRPr="005A525E">
        <w:rPr>
          <w:rFonts w:ascii="Arial" w:hAnsi="Arial" w:cs="Arial"/>
        </w:rPr>
        <w:t>methanol:acetonitrile</w:t>
      </w:r>
      <w:proofErr w:type="spellEnd"/>
      <w:proofErr w:type="gramEnd"/>
      <w:r w:rsidRPr="005A525E">
        <w:rPr>
          <w:rFonts w:ascii="Arial" w:hAnsi="Arial" w:cs="Arial"/>
        </w:rPr>
        <w:t xml:space="preserve"> mixture (30:70, v/v),</w:t>
      </w:r>
      <w:r w:rsidRPr="005A525E">
        <w:rPr>
          <w:rFonts w:ascii="Arial" w:hAnsi="Arial" w:cs="Arial"/>
        </w:rPr>
        <w:br/>
        <w:t xml:space="preserve">• adjustment of the final volume to 100 </w:t>
      </w:r>
      <w:proofErr w:type="spellStart"/>
      <w:r w:rsidRPr="005A525E">
        <w:rPr>
          <w:rFonts w:ascii="Arial" w:hAnsi="Arial" w:cs="Arial"/>
        </w:rPr>
        <w:t>mL.</w:t>
      </w:r>
      <w:proofErr w:type="spellEnd"/>
    </w:p>
    <w:p w14:paraId="4E515E14" w14:textId="77777777" w:rsidR="00EC7644" w:rsidRDefault="005A525E" w:rsidP="005A525E">
      <w:pPr>
        <w:pStyle w:val="Body"/>
        <w:spacing w:after="0"/>
        <w:rPr>
          <w:rFonts w:ascii="Arial" w:hAnsi="Arial" w:cs="Arial"/>
        </w:rPr>
      </w:pPr>
      <w:r w:rsidRPr="005A525E">
        <w:rPr>
          <w:rFonts w:ascii="Arial" w:hAnsi="Arial" w:cs="Arial"/>
        </w:rPr>
        <w:t>The results were reported relative to the dry weight of the sample (µg/g DW).</w:t>
      </w:r>
    </w:p>
    <w:p w14:paraId="229305A0" w14:textId="77777777" w:rsidR="005A525E" w:rsidRDefault="005A525E" w:rsidP="00EC7644">
      <w:pPr>
        <w:pStyle w:val="Body"/>
        <w:spacing w:after="0"/>
        <w:rPr>
          <w:rFonts w:ascii="Arial" w:hAnsi="Arial" w:cs="Arial"/>
        </w:rPr>
      </w:pPr>
    </w:p>
    <w:p w14:paraId="7D4B953A" w14:textId="77777777" w:rsidR="005A525E" w:rsidRPr="00673752" w:rsidRDefault="005A525E" w:rsidP="005A525E">
      <w:pPr>
        <w:pStyle w:val="Body"/>
        <w:spacing w:after="0"/>
        <w:rPr>
          <w:rFonts w:ascii="Arial" w:hAnsi="Arial" w:cs="Arial"/>
          <w:sz w:val="22"/>
          <w:szCs w:val="22"/>
        </w:rPr>
      </w:pPr>
      <w:r w:rsidRPr="00673752">
        <w:rPr>
          <w:rFonts w:ascii="Arial" w:hAnsi="Arial" w:cs="Arial"/>
          <w:b/>
          <w:bCs/>
          <w:sz w:val="22"/>
          <w:szCs w:val="22"/>
        </w:rPr>
        <w:t>3.4. Analytical determinations</w:t>
      </w:r>
    </w:p>
    <w:p w14:paraId="57A8C48F" w14:textId="77777777" w:rsidR="005A525E" w:rsidRPr="005A525E" w:rsidRDefault="005A525E" w:rsidP="005A525E">
      <w:pPr>
        <w:pStyle w:val="Body"/>
        <w:spacing w:after="0"/>
        <w:rPr>
          <w:rFonts w:ascii="Arial" w:hAnsi="Arial" w:cs="Arial"/>
        </w:rPr>
      </w:pPr>
      <w:r w:rsidRPr="005A525E">
        <w:rPr>
          <w:rFonts w:ascii="Arial" w:hAnsi="Arial" w:cs="Arial"/>
        </w:rPr>
        <w:t>The analysis of phenolic compounds was performed using an HPLC–PDA LC300 system (Simplicity Chrom), according to the methodology previously described (</w:t>
      </w:r>
      <w:r w:rsidRPr="00BB6A02">
        <w:rPr>
          <w:rFonts w:ascii="Arial" w:hAnsi="Arial" w:cs="Arial"/>
        </w:rPr>
        <w:t>Chiriac</w:t>
      </w:r>
      <w:r w:rsidRPr="005A525E">
        <w:rPr>
          <w:rFonts w:ascii="Arial" w:hAnsi="Arial" w:cs="Arial"/>
        </w:rPr>
        <w:t xml:space="preserve"> et al., 2021).</w:t>
      </w:r>
    </w:p>
    <w:p w14:paraId="008990C6" w14:textId="77777777" w:rsidR="005A525E" w:rsidRDefault="005A525E" w:rsidP="005A525E">
      <w:pPr>
        <w:pStyle w:val="Body"/>
        <w:spacing w:after="0"/>
        <w:rPr>
          <w:rFonts w:ascii="Arial" w:hAnsi="Arial" w:cs="Arial"/>
        </w:rPr>
      </w:pPr>
      <w:r w:rsidRPr="005A525E">
        <w:rPr>
          <w:rFonts w:ascii="Arial" w:hAnsi="Arial" w:cs="Arial"/>
        </w:rPr>
        <w:t>Compound identification was carried out by comparing retention times and UV–Vis spectra with those of authentic standards. The wavelengths used w</w:t>
      </w:r>
      <w:r>
        <w:rPr>
          <w:rFonts w:ascii="Arial" w:hAnsi="Arial" w:cs="Arial"/>
        </w:rPr>
        <w:t>ere:</w:t>
      </w:r>
    </w:p>
    <w:p w14:paraId="3883A1D8" w14:textId="77777777" w:rsidR="005A525E" w:rsidRPr="005A525E" w:rsidRDefault="005A525E" w:rsidP="005A525E">
      <w:pPr>
        <w:pStyle w:val="Body"/>
        <w:spacing w:after="0"/>
        <w:jc w:val="left"/>
        <w:rPr>
          <w:rFonts w:ascii="Arial" w:hAnsi="Arial" w:cs="Arial"/>
        </w:rPr>
      </w:pPr>
      <w:r w:rsidRPr="005A525E">
        <w:rPr>
          <w:rFonts w:ascii="Arial" w:hAnsi="Arial" w:cs="Arial"/>
        </w:rPr>
        <w:t>280 nm – epicatechin</w:t>
      </w:r>
      <w:r w:rsidRPr="005A525E">
        <w:rPr>
          <w:rFonts w:ascii="Arial" w:hAnsi="Arial" w:cs="Arial"/>
        </w:rPr>
        <w:br/>
        <w:t>325 nm – chlorogenic acid</w:t>
      </w:r>
      <w:r w:rsidRPr="005A525E">
        <w:rPr>
          <w:rFonts w:ascii="Arial" w:hAnsi="Arial" w:cs="Arial"/>
        </w:rPr>
        <w:br/>
        <w:t xml:space="preserve">330 nm – </w:t>
      </w:r>
      <w:proofErr w:type="spellStart"/>
      <w:r w:rsidRPr="005A525E">
        <w:rPr>
          <w:rFonts w:ascii="Arial" w:hAnsi="Arial" w:cs="Arial"/>
        </w:rPr>
        <w:t>sinapic</w:t>
      </w:r>
      <w:proofErr w:type="spellEnd"/>
      <w:r w:rsidRPr="005A525E">
        <w:rPr>
          <w:rFonts w:ascii="Arial" w:hAnsi="Arial" w:cs="Arial"/>
        </w:rPr>
        <w:t xml:space="preserve"> acid</w:t>
      </w:r>
      <w:r w:rsidRPr="005A525E">
        <w:rPr>
          <w:rFonts w:ascii="Arial" w:hAnsi="Arial" w:cs="Arial"/>
        </w:rPr>
        <w:br/>
        <w:t>356 nm – rutin</w:t>
      </w:r>
      <w:r w:rsidRPr="005A525E">
        <w:rPr>
          <w:rFonts w:ascii="Arial" w:hAnsi="Arial" w:cs="Arial"/>
        </w:rPr>
        <w:br/>
        <w:t>368 nm – quercetin and kaempferol</w:t>
      </w:r>
    </w:p>
    <w:p w14:paraId="2CE4B1DD" w14:textId="77777777" w:rsidR="005A525E" w:rsidRPr="005A525E" w:rsidRDefault="005A525E" w:rsidP="000C0379">
      <w:pPr>
        <w:pStyle w:val="Body"/>
        <w:spacing w:after="0"/>
        <w:rPr>
          <w:rFonts w:ascii="Arial" w:hAnsi="Arial" w:cs="Arial"/>
        </w:rPr>
      </w:pPr>
      <w:r w:rsidRPr="005A525E">
        <w:rPr>
          <w:rFonts w:ascii="Arial" w:hAnsi="Arial" w:cs="Arial"/>
        </w:rPr>
        <w:t>The chromatographic parameters of the standards are presented in the Results section.</w:t>
      </w:r>
    </w:p>
    <w:p w14:paraId="5C883AC8" w14:textId="77777777" w:rsidR="005A525E" w:rsidRPr="005A525E" w:rsidRDefault="005A525E" w:rsidP="005A525E">
      <w:pPr>
        <w:pStyle w:val="Body"/>
        <w:spacing w:after="0"/>
        <w:jc w:val="left"/>
        <w:rPr>
          <w:rFonts w:ascii="Arial" w:hAnsi="Arial" w:cs="Arial"/>
        </w:rPr>
      </w:pPr>
      <w:r w:rsidRPr="005A525E">
        <w:rPr>
          <w:rFonts w:ascii="Arial" w:hAnsi="Arial" w:cs="Arial"/>
        </w:rPr>
        <w:t>Quantification was performed by external calibration using equations of the form:</w:t>
      </w:r>
    </w:p>
    <w:p w14:paraId="71440024" w14:textId="77777777" w:rsidR="005A525E" w:rsidRPr="005A525E" w:rsidRDefault="005A525E" w:rsidP="005A525E">
      <w:pPr>
        <w:pStyle w:val="Body"/>
        <w:spacing w:after="0"/>
        <w:jc w:val="left"/>
        <w:rPr>
          <w:rFonts w:ascii="Arial" w:hAnsi="Arial" w:cs="Arial"/>
        </w:rPr>
      </w:pPr>
      <w:r w:rsidRPr="005A525E">
        <w:rPr>
          <w:rFonts w:ascii="Arial" w:hAnsi="Arial" w:cs="Arial"/>
          <w:i/>
          <w:iCs/>
        </w:rPr>
        <w:t xml:space="preserve">y = </w:t>
      </w:r>
      <w:proofErr w:type="spellStart"/>
      <w:r w:rsidRPr="005A525E">
        <w:rPr>
          <w:rFonts w:ascii="Arial" w:hAnsi="Arial" w:cs="Arial"/>
          <w:i/>
          <w:iCs/>
        </w:rPr>
        <w:t>a·x</w:t>
      </w:r>
      <w:proofErr w:type="spellEnd"/>
      <w:r w:rsidRPr="005A525E">
        <w:rPr>
          <w:rFonts w:ascii="Arial" w:hAnsi="Arial" w:cs="Arial"/>
          <w:i/>
          <w:iCs/>
        </w:rPr>
        <w:t xml:space="preserve"> + b</w:t>
      </w:r>
    </w:p>
    <w:p w14:paraId="58C65E16" w14:textId="77777777" w:rsidR="005A525E" w:rsidRPr="005A525E" w:rsidRDefault="005A525E" w:rsidP="005A525E">
      <w:pPr>
        <w:pStyle w:val="Body"/>
        <w:spacing w:after="0"/>
        <w:jc w:val="left"/>
        <w:rPr>
          <w:rFonts w:ascii="Arial" w:hAnsi="Arial" w:cs="Arial"/>
        </w:rPr>
      </w:pPr>
      <w:r w:rsidRPr="005A525E">
        <w:rPr>
          <w:rFonts w:ascii="Arial" w:hAnsi="Arial" w:cs="Arial"/>
        </w:rPr>
        <w:t>where:</w:t>
      </w:r>
      <w:r w:rsidRPr="005A525E">
        <w:rPr>
          <w:rFonts w:ascii="Arial" w:hAnsi="Arial" w:cs="Arial"/>
        </w:rPr>
        <w:br/>
        <w:t>y = chromatographic peak area,</w:t>
      </w:r>
      <w:r w:rsidRPr="005A525E">
        <w:rPr>
          <w:rFonts w:ascii="Arial" w:hAnsi="Arial" w:cs="Arial"/>
        </w:rPr>
        <w:br/>
        <w:t>x = analyte concentration,</w:t>
      </w:r>
      <w:r w:rsidRPr="005A525E">
        <w:rPr>
          <w:rFonts w:ascii="Arial" w:hAnsi="Arial" w:cs="Arial"/>
        </w:rPr>
        <w:br/>
        <w:t>a = slope of the calibration curve,</w:t>
      </w:r>
      <w:r w:rsidRPr="005A525E">
        <w:rPr>
          <w:rFonts w:ascii="Arial" w:hAnsi="Arial" w:cs="Arial"/>
        </w:rPr>
        <w:br/>
        <w:t>b = intercept.</w:t>
      </w:r>
    </w:p>
    <w:p w14:paraId="4D145951" w14:textId="77777777" w:rsidR="005A525E" w:rsidRPr="005A525E" w:rsidRDefault="005A525E" w:rsidP="005A525E">
      <w:pPr>
        <w:pStyle w:val="Body"/>
        <w:spacing w:after="0"/>
        <w:jc w:val="left"/>
        <w:rPr>
          <w:rFonts w:ascii="Arial" w:hAnsi="Arial" w:cs="Arial"/>
        </w:rPr>
      </w:pPr>
      <w:r w:rsidRPr="005A525E">
        <w:rPr>
          <w:rFonts w:ascii="Arial" w:hAnsi="Arial" w:cs="Arial"/>
        </w:rPr>
        <w:t>The concentration in the analysis vial (</w:t>
      </w:r>
      <w:proofErr w:type="spellStart"/>
      <w:r w:rsidRPr="005A525E">
        <w:rPr>
          <w:rFonts w:ascii="Arial" w:hAnsi="Arial" w:cs="Arial"/>
        </w:rPr>
        <w:t>C_vial</w:t>
      </w:r>
      <w:proofErr w:type="spellEnd"/>
      <w:r w:rsidRPr="005A525E">
        <w:rPr>
          <w:rFonts w:ascii="Arial" w:hAnsi="Arial" w:cs="Arial"/>
        </w:rPr>
        <w:t>) was obtained by interpolation or by rearranging the calibration equation:</w:t>
      </w:r>
    </w:p>
    <w:p w14:paraId="20B364C6" w14:textId="77777777" w:rsidR="005A525E" w:rsidRPr="005A525E" w:rsidRDefault="005A525E" w:rsidP="005A525E">
      <w:pPr>
        <w:pStyle w:val="Body"/>
        <w:spacing w:after="0"/>
        <w:jc w:val="left"/>
        <w:rPr>
          <w:rFonts w:ascii="Arial" w:hAnsi="Arial" w:cs="Arial"/>
        </w:rPr>
      </w:pPr>
      <m:oMathPara>
        <m:oMath>
          <m:r>
            <m:rPr>
              <m:sty m:val="bi"/>
            </m:rPr>
            <w:rPr>
              <w:rFonts w:ascii="Cambria Math" w:hAnsi="Cambria Math" w:cs="Arial"/>
            </w:rPr>
            <m:t>x</m:t>
          </m:r>
          <m:r>
            <w:rPr>
              <w:rFonts w:ascii="Cambria Math" w:hAnsi="Cambria Math" w:cs="Arial"/>
            </w:rPr>
            <m:t>=</m:t>
          </m:r>
          <m:f>
            <m:fPr>
              <m:ctrlPr>
                <w:rPr>
                  <w:rFonts w:ascii="Cambria Math" w:hAnsi="Cambria Math" w:cs="Arial"/>
                  <w:b/>
                  <w:bCs/>
                  <w:i/>
                </w:rPr>
              </m:ctrlPr>
            </m:fPr>
            <m:num>
              <m:r>
                <m:rPr>
                  <m:sty m:val="bi"/>
                </m:rPr>
                <w:rPr>
                  <w:rFonts w:ascii="Cambria Math" w:hAnsi="Cambria Math" w:cs="Arial"/>
                </w:rPr>
                <m:t>y-b</m:t>
              </m:r>
            </m:num>
            <m:den>
              <m:r>
                <m:rPr>
                  <m:sty m:val="bi"/>
                </m:rPr>
                <w:rPr>
                  <w:rFonts w:ascii="Cambria Math" w:hAnsi="Cambria Math" w:cs="Arial"/>
                </w:rPr>
                <m:t>a</m:t>
              </m:r>
            </m:den>
          </m:f>
        </m:oMath>
      </m:oMathPara>
    </w:p>
    <w:p w14:paraId="1D2DCC6F" w14:textId="77777777" w:rsidR="005A525E" w:rsidRPr="005A525E" w:rsidRDefault="005A525E" w:rsidP="005A525E">
      <w:pPr>
        <w:pStyle w:val="Body"/>
        <w:spacing w:after="0"/>
        <w:jc w:val="left"/>
        <w:rPr>
          <w:rFonts w:ascii="Arial" w:hAnsi="Arial" w:cs="Arial"/>
        </w:rPr>
      </w:pPr>
      <w:r w:rsidRPr="005A525E">
        <w:rPr>
          <w:rFonts w:ascii="Arial" w:hAnsi="Arial" w:cs="Arial"/>
        </w:rPr>
        <w:t>The results were expressed as µg/g dry plant material (DW), using the values provided by the instrument (mg/L or µg/mL) and taking into account the dilution factors and the volumes used.</w:t>
      </w:r>
    </w:p>
    <w:p w14:paraId="01088343" w14:textId="77777777" w:rsidR="00F960C8" w:rsidRDefault="00F960C8" w:rsidP="005A525E">
      <w:pPr>
        <w:pStyle w:val="Body"/>
        <w:spacing w:after="0"/>
        <w:jc w:val="left"/>
        <w:rPr>
          <w:rFonts w:ascii="Arial" w:hAnsi="Arial" w:cs="Arial"/>
          <w:b/>
          <w:bCs/>
        </w:rPr>
      </w:pPr>
    </w:p>
    <w:p w14:paraId="3EA05903" w14:textId="77777777" w:rsidR="005A525E" w:rsidRPr="005A525E" w:rsidRDefault="005A525E" w:rsidP="005A525E">
      <w:pPr>
        <w:pStyle w:val="Body"/>
        <w:spacing w:after="0"/>
        <w:jc w:val="left"/>
        <w:rPr>
          <w:rFonts w:ascii="Arial" w:hAnsi="Arial" w:cs="Arial"/>
        </w:rPr>
      </w:pPr>
      <w:r w:rsidRPr="005A525E">
        <w:rPr>
          <w:rFonts w:ascii="Arial" w:hAnsi="Arial" w:cs="Arial"/>
          <w:b/>
          <w:bCs/>
        </w:rPr>
        <w:t>For the case without an SPE step:</w:t>
      </w:r>
    </w:p>
    <w:p w14:paraId="2883A05C" w14:textId="77777777" w:rsidR="005A525E" w:rsidRPr="005A525E" w:rsidRDefault="003E421D" w:rsidP="005A525E">
      <w:pPr>
        <w:pStyle w:val="Body"/>
        <w:spacing w:after="0"/>
        <w:jc w:val="left"/>
        <w:rPr>
          <w:rFonts w:ascii="Arial" w:hAnsi="Arial" w:cs="Arial"/>
        </w:rPr>
      </w:pPr>
      <m:oMathPara>
        <m:oMath>
          <m:sSub>
            <m:sSubPr>
              <m:ctrlPr>
                <w:rPr>
                  <w:rFonts w:ascii="Cambria Math" w:hAnsi="Cambria Math" w:cs="Arial"/>
                  <w:b/>
                  <w:bCs/>
                  <w:i/>
                </w:rPr>
              </m:ctrlPr>
            </m:sSubPr>
            <m:e>
              <m:r>
                <w:rPr>
                  <w:rFonts w:ascii="Cambria Math" w:hAnsi="Cambria Math" w:cs="Arial"/>
                </w:rPr>
                <m:t>C</m:t>
              </m:r>
            </m:e>
            <m:sub>
              <m:r>
                <m:rPr>
                  <m:sty m:val="bi"/>
                </m:rPr>
                <w:rPr>
                  <w:rFonts w:ascii="Cambria Math" w:hAnsi="Cambria Math" w:cs="Arial"/>
                </w:rPr>
                <m:t>DW</m:t>
              </m:r>
            </m:sub>
          </m:sSub>
          <m:r>
            <w:rPr>
              <w:rFonts w:ascii="Cambria Math" w:hAnsi="Cambria Math" w:cs="Arial"/>
            </w:rPr>
            <m:t>=</m:t>
          </m:r>
          <m:f>
            <m:fPr>
              <m:ctrlPr>
                <w:rPr>
                  <w:rFonts w:ascii="Cambria Math" w:hAnsi="Cambria Math" w:cs="Arial"/>
                  <w:b/>
                  <w:bCs/>
                  <w:i/>
                </w:rPr>
              </m:ctrlPr>
            </m:fPr>
            <m:num>
              <m:d>
                <m:dPr>
                  <m:ctrlPr>
                    <w:rPr>
                      <w:rFonts w:ascii="Cambria Math" w:hAnsi="Cambria Math" w:cs="Arial"/>
                      <w:b/>
                      <w:bCs/>
                      <w:i/>
                    </w:rPr>
                  </m:ctrlPr>
                </m:dPr>
                <m:e>
                  <m:sSub>
                    <m:sSubPr>
                      <m:ctrlPr>
                        <w:rPr>
                          <w:rFonts w:ascii="Cambria Math" w:hAnsi="Cambria Math" w:cs="Arial"/>
                          <w:b/>
                          <w:bCs/>
                          <w:i/>
                        </w:rPr>
                      </m:ctrlPr>
                    </m:sSubPr>
                    <m:e>
                      <m:r>
                        <w:rPr>
                          <w:rFonts w:ascii="Cambria Math" w:hAnsi="Cambria Math" w:cs="Arial"/>
                        </w:rPr>
                        <m:t>C</m:t>
                      </m:r>
                    </m:e>
                    <m:sub>
                      <m:r>
                        <m:rPr>
                          <m:sty m:val="bi"/>
                        </m:rPr>
                        <w:rPr>
                          <w:rFonts w:ascii="Cambria Math" w:hAnsi="Cambria Math" w:cs="Arial"/>
                        </w:rPr>
                        <m:t>extr</m:t>
                      </m:r>
                    </m:sub>
                  </m:sSub>
                  <m:r>
                    <w:rPr>
                      <w:rFonts w:ascii="Cambria Math" w:hAnsi="Cambria Math" w:cs="Arial"/>
                    </w:rPr>
                    <m:t xml:space="preserve">· </m:t>
                  </m:r>
                  <m:r>
                    <w:rPr>
                      <w:rFonts w:ascii="Cambria Math" w:hAnsi="Cambria Math" w:cs="Arial"/>
                    </w:rPr>
                    <m:t>DF</m:t>
                  </m:r>
                  <m:r>
                    <w:rPr>
                      <w:rFonts w:ascii="Cambria Math" w:hAnsi="Cambria Math" w:cs="Arial"/>
                    </w:rPr>
                    <m:t xml:space="preserve"> · </m:t>
                  </m:r>
                  <m:sSub>
                    <m:sSubPr>
                      <m:ctrlPr>
                        <w:rPr>
                          <w:rFonts w:ascii="Cambria Math" w:hAnsi="Cambria Math" w:cs="Arial"/>
                          <w:b/>
                          <w:bCs/>
                          <w:i/>
                        </w:rPr>
                      </m:ctrlPr>
                    </m:sSubPr>
                    <m:e>
                      <m:r>
                        <w:rPr>
                          <w:rFonts w:ascii="Cambria Math" w:hAnsi="Cambria Math" w:cs="Arial"/>
                        </w:rPr>
                        <m:t>V</m:t>
                      </m:r>
                    </m:e>
                    <m:sub>
                      <m:r>
                        <w:rPr>
                          <w:rFonts w:ascii="Cambria Math" w:hAnsi="Cambria Math" w:cs="Arial"/>
                        </w:rPr>
                        <m:t>extr</m:t>
                      </m:r>
                    </m:sub>
                  </m:sSub>
                </m:e>
              </m:d>
            </m:num>
            <m:den>
              <m:sSub>
                <m:sSubPr>
                  <m:ctrlPr>
                    <w:rPr>
                      <w:rFonts w:ascii="Cambria Math" w:hAnsi="Cambria Math" w:cs="Arial"/>
                      <w:b/>
                      <w:bCs/>
                      <w:i/>
                    </w:rPr>
                  </m:ctrlPr>
                </m:sSubPr>
                <m:e>
                  <m:r>
                    <w:rPr>
                      <w:rFonts w:ascii="Cambria Math" w:hAnsi="Cambria Math" w:cs="Arial"/>
                    </w:rPr>
                    <m:t>m</m:t>
                  </m:r>
                </m:e>
                <m:sub>
                  <m:r>
                    <m:rPr>
                      <m:sty m:val="bi"/>
                    </m:rPr>
                    <w:rPr>
                      <w:rFonts w:ascii="Cambria Math" w:hAnsi="Cambria Math" w:cs="Arial"/>
                    </w:rPr>
                    <m:t>DW</m:t>
                  </m:r>
                </m:sub>
              </m:sSub>
            </m:den>
          </m:f>
        </m:oMath>
      </m:oMathPara>
    </w:p>
    <w:p w14:paraId="5CABA750" w14:textId="77777777" w:rsidR="005A525E" w:rsidRPr="005A525E" w:rsidRDefault="005A525E" w:rsidP="005A525E">
      <w:pPr>
        <w:pStyle w:val="Body"/>
        <w:spacing w:after="0"/>
        <w:jc w:val="left"/>
        <w:rPr>
          <w:rFonts w:ascii="Arial" w:hAnsi="Arial" w:cs="Arial"/>
        </w:rPr>
      </w:pPr>
      <w:r w:rsidRPr="005A525E">
        <w:rPr>
          <w:rFonts w:ascii="Arial" w:hAnsi="Arial" w:cs="Arial"/>
        </w:rPr>
        <w:t>where:</w:t>
      </w:r>
      <w:r w:rsidRPr="005A525E">
        <w:rPr>
          <w:rFonts w:ascii="Arial" w:hAnsi="Arial" w:cs="Arial"/>
        </w:rPr>
        <w:br/>
      </w:r>
      <w:proofErr w:type="spellStart"/>
      <w:r w:rsidRPr="005A525E">
        <w:rPr>
          <w:rFonts w:ascii="Arial" w:hAnsi="Arial" w:cs="Arial"/>
        </w:rPr>
        <w:t>Vextr</w:t>
      </w:r>
      <w:proofErr w:type="spellEnd"/>
      <w:r w:rsidRPr="005A525E">
        <w:rPr>
          <w:rFonts w:ascii="Arial" w:hAnsi="Arial" w:cs="Arial"/>
        </w:rPr>
        <w:t>​=100 mL</w:t>
      </w:r>
      <w:r w:rsidRPr="005A525E">
        <w:rPr>
          <w:rFonts w:ascii="Arial" w:hAnsi="Arial" w:cs="Arial"/>
        </w:rPr>
        <w:br/>
        <w:t>DF = total dilution factor</w:t>
      </w:r>
      <w:r w:rsidRPr="005A525E">
        <w:rPr>
          <w:rFonts w:ascii="Arial" w:hAnsi="Arial" w:cs="Arial"/>
        </w:rPr>
        <w:br/>
        <w:t>M</w:t>
      </w:r>
      <w:r w:rsidRPr="005A525E">
        <w:rPr>
          <w:rFonts w:ascii="Arial" w:hAnsi="Arial" w:cs="Arial"/>
          <w:vertAlign w:val="subscript"/>
        </w:rPr>
        <w:t>DW</w:t>
      </w:r>
      <w:r w:rsidRPr="005A525E">
        <w:rPr>
          <w:rFonts w:ascii="Arial" w:hAnsi="Arial" w:cs="Arial"/>
        </w:rPr>
        <w:t xml:space="preserve"> =19.8 g</w:t>
      </w:r>
    </w:p>
    <w:p w14:paraId="403E8340" w14:textId="77777777" w:rsidR="005A525E" w:rsidRPr="005A525E" w:rsidRDefault="005A525E" w:rsidP="005A525E">
      <w:pPr>
        <w:pStyle w:val="Body"/>
        <w:spacing w:after="0"/>
        <w:jc w:val="left"/>
        <w:rPr>
          <w:rFonts w:ascii="Arial" w:hAnsi="Arial" w:cs="Arial"/>
        </w:rPr>
      </w:pPr>
      <w:r w:rsidRPr="005A525E">
        <w:rPr>
          <w:rFonts w:ascii="Arial" w:hAnsi="Arial" w:cs="Arial"/>
        </w:rPr>
        <w:lastRenderedPageBreak/>
        <w:t>For the case involving an SPE step and reconstitution, the calculation included the ratio between the initial and final volumes, as well as the additional dilution factors.</w:t>
      </w:r>
    </w:p>
    <w:p w14:paraId="393E0A43" w14:textId="77777777" w:rsidR="005A525E" w:rsidRDefault="005A525E" w:rsidP="00EC7644">
      <w:pPr>
        <w:pStyle w:val="Body"/>
        <w:spacing w:after="0"/>
        <w:rPr>
          <w:rFonts w:ascii="Arial" w:hAnsi="Arial" w:cs="Arial"/>
        </w:rPr>
      </w:pPr>
    </w:p>
    <w:p w14:paraId="1C1C8848" w14:textId="77777777" w:rsidR="00C8019F" w:rsidRPr="00C8019F" w:rsidRDefault="00C8019F" w:rsidP="00C8019F">
      <w:pPr>
        <w:pStyle w:val="Body"/>
        <w:spacing w:after="0"/>
        <w:rPr>
          <w:rFonts w:ascii="Arial" w:hAnsi="Arial" w:cs="Arial"/>
          <w:sz w:val="22"/>
          <w:szCs w:val="22"/>
        </w:rPr>
      </w:pPr>
      <w:r>
        <w:rPr>
          <w:rFonts w:ascii="Arial" w:hAnsi="Arial" w:cs="Arial"/>
          <w:b/>
          <w:bCs/>
          <w:sz w:val="22"/>
          <w:szCs w:val="22"/>
        </w:rPr>
        <w:t xml:space="preserve">3.5. </w:t>
      </w:r>
      <w:r w:rsidRPr="00C8019F">
        <w:rPr>
          <w:rFonts w:ascii="Arial" w:hAnsi="Arial" w:cs="Arial"/>
          <w:b/>
          <w:bCs/>
          <w:sz w:val="22"/>
          <w:szCs w:val="22"/>
        </w:rPr>
        <w:t>Method validation</w:t>
      </w:r>
    </w:p>
    <w:p w14:paraId="0DA4E0C4" w14:textId="77777777" w:rsidR="00C8019F" w:rsidRPr="00C8019F" w:rsidRDefault="00C8019F" w:rsidP="00C8019F">
      <w:pPr>
        <w:pStyle w:val="Body"/>
        <w:spacing w:after="0"/>
        <w:rPr>
          <w:rFonts w:ascii="Arial" w:hAnsi="Arial" w:cs="Arial"/>
        </w:rPr>
      </w:pPr>
      <w:r w:rsidRPr="00C8019F">
        <w:rPr>
          <w:rFonts w:ascii="Arial" w:hAnsi="Arial" w:cs="Arial"/>
        </w:rPr>
        <w:t>The analytical method was validated according to the ICH Q2(R2) guideline (</w:t>
      </w:r>
      <w:r w:rsidRPr="001D0C2F">
        <w:rPr>
          <w:rFonts w:ascii="Arial" w:hAnsi="Arial" w:cs="Arial"/>
        </w:rPr>
        <w:t>Guideline,</w:t>
      </w:r>
      <w:r w:rsidRPr="00C8019F">
        <w:rPr>
          <w:rFonts w:ascii="Arial" w:hAnsi="Arial" w:cs="Arial"/>
        </w:rPr>
        <w:t xml:space="preserve"> 2022). </w:t>
      </w:r>
      <w:r w:rsidRPr="00C8019F">
        <w:rPr>
          <w:rFonts w:ascii="Arial" w:hAnsi="Arial" w:cs="Arial"/>
          <w:i/>
          <w:iCs/>
        </w:rPr>
        <w:t>Validation of analytical procedures Q2 (R2).</w:t>
      </w:r>
      <w:r w:rsidRPr="00C8019F">
        <w:rPr>
          <w:rFonts w:ascii="Arial" w:hAnsi="Arial" w:cs="Arial"/>
        </w:rPr>
        <w:t xml:space="preserve"> ICH: Geneva, Switzerland, 1. </w:t>
      </w:r>
      <w:hyperlink r:id="rId15" w:tgtFrame="_new" w:history="1">
        <w:r w:rsidRPr="00C8019F">
          <w:rPr>
            <w:rStyle w:val="Hyperlink"/>
            <w:rFonts w:ascii="Arial" w:hAnsi="Arial" w:cs="Arial"/>
          </w:rPr>
          <w:t>https://www.ich.org/page/quality-guidelines</w:t>
        </w:r>
      </w:hyperlink>
      <w:r w:rsidRPr="00C8019F">
        <w:rPr>
          <w:rFonts w:ascii="Arial" w:hAnsi="Arial" w:cs="Arial"/>
        </w:rPr>
        <w:t>).</w:t>
      </w:r>
    </w:p>
    <w:p w14:paraId="094F71EF" w14:textId="77777777" w:rsidR="00C8019F" w:rsidRPr="00C8019F" w:rsidRDefault="00C8019F" w:rsidP="00C8019F">
      <w:pPr>
        <w:pStyle w:val="Body"/>
        <w:spacing w:after="0"/>
        <w:rPr>
          <w:rFonts w:ascii="Arial" w:hAnsi="Arial" w:cs="Arial"/>
        </w:rPr>
      </w:pPr>
      <w:r w:rsidRPr="00C8019F">
        <w:rPr>
          <w:rFonts w:ascii="Arial" w:hAnsi="Arial" w:cs="Arial"/>
        </w:rPr>
        <w:t>Calibration curves were constructed for each analyte using 5–7 concentration levels, obtaining determination coefficients (R²) ranging between 0.9996 and 0.99997, indicating excellent linearity.</w:t>
      </w:r>
    </w:p>
    <w:p w14:paraId="47D2902D" w14:textId="77777777" w:rsidR="00C8019F" w:rsidRPr="00C8019F" w:rsidRDefault="00C8019F" w:rsidP="00C8019F">
      <w:pPr>
        <w:pStyle w:val="Body"/>
        <w:spacing w:after="0"/>
        <w:rPr>
          <w:rFonts w:ascii="Arial" w:hAnsi="Arial" w:cs="Arial"/>
        </w:rPr>
      </w:pPr>
      <w:r w:rsidRPr="00C8019F">
        <w:rPr>
          <w:rFonts w:ascii="Arial" w:hAnsi="Arial" w:cs="Arial"/>
        </w:rPr>
        <w:t>The limits of detection (LOD) and limits of quantification (LOQ) were calculated using the following relationships:</w:t>
      </w:r>
    </w:p>
    <w:p w14:paraId="73F1EA95" w14:textId="77777777" w:rsidR="00C8019F" w:rsidRPr="00C8019F" w:rsidRDefault="00C8019F" w:rsidP="00C8019F">
      <w:pPr>
        <w:pStyle w:val="Body"/>
        <w:rPr>
          <w:rFonts w:ascii="Arial" w:hAnsi="Arial" w:cs="Arial"/>
        </w:rPr>
      </w:pPr>
      <m:oMathPara>
        <m:oMath>
          <m:r>
            <w:rPr>
              <w:rFonts w:ascii="Cambria Math" w:hAnsi="Cambria Math" w:cs="Arial"/>
            </w:rPr>
            <m:t>LOD=</m:t>
          </m:r>
          <m:f>
            <m:fPr>
              <m:ctrlPr>
                <w:rPr>
                  <w:rFonts w:ascii="Cambria Math" w:hAnsi="Cambria Math" w:cs="Arial"/>
                  <w:i/>
                </w:rPr>
              </m:ctrlPr>
            </m:fPr>
            <m:num>
              <m:r>
                <w:rPr>
                  <w:rFonts w:ascii="Cambria Math" w:hAnsi="Cambria Math" w:cs="Arial"/>
                </w:rPr>
                <m:t>3.3∙</m:t>
              </m:r>
              <m:sSub>
                <m:sSubPr>
                  <m:ctrlPr>
                    <w:rPr>
                      <w:rFonts w:ascii="Cambria Math" w:hAnsi="Cambria Math" w:cs="Arial"/>
                      <w:i/>
                    </w:rPr>
                  </m:ctrlPr>
                </m:sSubPr>
                <m:e>
                  <m:r>
                    <w:rPr>
                      <w:rFonts w:ascii="Cambria Math" w:hAnsi="Cambria Math" w:cs="Arial"/>
                    </w:rPr>
                    <m:t>S</m:t>
                  </m:r>
                </m:e>
                <m:sub>
                  <m:r>
                    <w:rPr>
                      <w:rFonts w:ascii="Cambria Math" w:hAnsi="Cambria Math" w:cs="Arial"/>
                    </w:rPr>
                    <m:t>y</m:t>
                  </m:r>
                </m:sub>
              </m:sSub>
            </m:num>
            <m:den>
              <m:r>
                <w:rPr>
                  <w:rFonts w:ascii="Cambria Math" w:hAnsi="Cambria Math" w:cs="Arial"/>
                </w:rPr>
                <m:t>a</m:t>
              </m:r>
            </m:den>
          </m:f>
        </m:oMath>
      </m:oMathPara>
    </w:p>
    <w:p w14:paraId="22C146F9" w14:textId="77777777" w:rsidR="00C8019F" w:rsidRPr="00C8019F" w:rsidRDefault="00C8019F" w:rsidP="00C8019F">
      <w:pPr>
        <w:pStyle w:val="Body"/>
        <w:rPr>
          <w:rFonts w:ascii="Arial" w:hAnsi="Arial" w:cs="Arial"/>
        </w:rPr>
      </w:pPr>
      <m:oMathPara>
        <m:oMath>
          <m:r>
            <w:rPr>
              <w:rFonts w:ascii="Cambria Math" w:hAnsi="Cambria Math" w:cs="Arial"/>
            </w:rPr>
            <m:t>LOQ=</m:t>
          </m:r>
          <m:f>
            <m:fPr>
              <m:ctrlPr>
                <w:rPr>
                  <w:rFonts w:ascii="Cambria Math" w:hAnsi="Cambria Math" w:cs="Arial"/>
                  <w:i/>
                </w:rPr>
              </m:ctrlPr>
            </m:fPr>
            <m:num>
              <m:r>
                <w:rPr>
                  <w:rFonts w:ascii="Cambria Math" w:hAnsi="Cambria Math" w:cs="Arial"/>
                </w:rPr>
                <m:t>10∙</m:t>
              </m:r>
              <m:sSub>
                <m:sSubPr>
                  <m:ctrlPr>
                    <w:rPr>
                      <w:rFonts w:ascii="Cambria Math" w:hAnsi="Cambria Math" w:cs="Arial"/>
                      <w:i/>
                    </w:rPr>
                  </m:ctrlPr>
                </m:sSubPr>
                <m:e>
                  <m:r>
                    <w:rPr>
                      <w:rFonts w:ascii="Cambria Math" w:hAnsi="Cambria Math" w:cs="Arial"/>
                    </w:rPr>
                    <m:t>S</m:t>
                  </m:r>
                </m:e>
                <m:sub>
                  <m:r>
                    <w:rPr>
                      <w:rFonts w:ascii="Cambria Math" w:hAnsi="Cambria Math" w:cs="Arial"/>
                    </w:rPr>
                    <m:t>y</m:t>
                  </m:r>
                </m:sub>
              </m:sSub>
            </m:num>
            <m:den>
              <m:r>
                <w:rPr>
                  <w:rFonts w:ascii="Cambria Math" w:hAnsi="Cambria Math" w:cs="Arial"/>
                </w:rPr>
                <m:t>a</m:t>
              </m:r>
            </m:den>
          </m:f>
        </m:oMath>
      </m:oMathPara>
    </w:p>
    <w:p w14:paraId="6BCC8736" w14:textId="77777777" w:rsidR="00C8019F" w:rsidRPr="00C8019F" w:rsidRDefault="00C8019F" w:rsidP="000C0379">
      <w:pPr>
        <w:pStyle w:val="Body"/>
        <w:spacing w:after="0"/>
        <w:jc w:val="left"/>
        <w:rPr>
          <w:rFonts w:ascii="Arial" w:hAnsi="Arial" w:cs="Arial"/>
        </w:rPr>
      </w:pPr>
      <w:r w:rsidRPr="00C8019F">
        <w:rPr>
          <w:rFonts w:ascii="Arial" w:hAnsi="Arial" w:cs="Arial"/>
        </w:rPr>
        <w:t>where:</w:t>
      </w:r>
      <w:r w:rsidRPr="00C8019F">
        <w:rPr>
          <w:rFonts w:ascii="Arial" w:hAnsi="Arial" w:cs="Arial"/>
        </w:rPr>
        <w:br/>
        <w:t>Sᵧ = standard deviation of the residuals (RSE)</w:t>
      </w:r>
      <w:r w:rsidRPr="00C8019F">
        <w:rPr>
          <w:rFonts w:ascii="Arial" w:hAnsi="Arial" w:cs="Arial"/>
        </w:rPr>
        <w:br/>
        <w:t>a = slope of the calibration curve</w:t>
      </w:r>
    </w:p>
    <w:p w14:paraId="206C0AC5" w14:textId="77777777" w:rsidR="00C8019F" w:rsidRPr="00C8019F" w:rsidRDefault="00C8019F" w:rsidP="00C8019F">
      <w:pPr>
        <w:pStyle w:val="Body"/>
        <w:spacing w:after="0"/>
        <w:rPr>
          <w:rFonts w:ascii="Arial" w:hAnsi="Arial" w:cs="Arial"/>
        </w:rPr>
      </w:pPr>
      <w:r w:rsidRPr="00C8019F">
        <w:rPr>
          <w:rFonts w:ascii="Arial" w:hAnsi="Arial" w:cs="Arial"/>
        </w:rPr>
        <w:t>The LOD and LOQ values are presented in Table 1.</w:t>
      </w:r>
    </w:p>
    <w:p w14:paraId="6BE5ED9F" w14:textId="77777777" w:rsidR="00C8019F" w:rsidRDefault="00C8019F" w:rsidP="00C8019F">
      <w:pPr>
        <w:pStyle w:val="Body"/>
        <w:spacing w:after="0"/>
        <w:rPr>
          <w:rFonts w:ascii="Arial" w:hAnsi="Arial" w:cs="Arial"/>
          <w:b/>
          <w:bCs/>
        </w:rPr>
      </w:pPr>
    </w:p>
    <w:p w14:paraId="6ED9E698" w14:textId="77777777" w:rsidR="00C8019F" w:rsidRDefault="00C8019F" w:rsidP="00220045">
      <w:pPr>
        <w:pStyle w:val="Body"/>
        <w:spacing w:after="0"/>
        <w:jc w:val="center"/>
        <w:rPr>
          <w:rFonts w:ascii="Arial" w:hAnsi="Arial" w:cs="Arial"/>
          <w:b/>
        </w:rPr>
      </w:pPr>
      <w:r w:rsidRPr="00554E31">
        <w:rPr>
          <w:rFonts w:ascii="Arial" w:hAnsi="Arial" w:cs="Arial"/>
          <w:b/>
          <w:bCs/>
        </w:rPr>
        <w:t>Table 1.</w:t>
      </w:r>
      <w:r w:rsidRPr="00554E31">
        <w:rPr>
          <w:rFonts w:ascii="Arial" w:hAnsi="Arial" w:cs="Arial"/>
          <w:b/>
        </w:rPr>
        <w:t xml:space="preserve"> Limits of detection (LOD) and quantification (LOQ) for the phe</w:t>
      </w:r>
      <w:r w:rsidR="00554E31">
        <w:rPr>
          <w:rFonts w:ascii="Arial" w:hAnsi="Arial" w:cs="Arial"/>
          <w:b/>
        </w:rPr>
        <w:t>nolic analytes</w:t>
      </w:r>
    </w:p>
    <w:p w14:paraId="38703C8C" w14:textId="77777777" w:rsidR="00F960C8" w:rsidRPr="00554E31" w:rsidRDefault="00F960C8" w:rsidP="00220045">
      <w:pPr>
        <w:pStyle w:val="Body"/>
        <w:spacing w:after="0"/>
        <w:jc w:val="center"/>
        <w:rPr>
          <w:rFonts w:ascii="Arial" w:hAnsi="Arial" w:cs="Arial"/>
          <w:b/>
        </w:rPr>
      </w:pPr>
    </w:p>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1565"/>
        <w:gridCol w:w="1880"/>
        <w:gridCol w:w="1467"/>
      </w:tblGrid>
      <w:tr w:rsidR="00C8019F" w:rsidRPr="00C8019F" w14:paraId="549D8191" w14:textId="77777777" w:rsidTr="00F960C8">
        <w:trPr>
          <w:cantSplit/>
          <w:trHeight w:val="284"/>
          <w:tblCellSpacing w:w="15" w:type="dxa"/>
          <w:jc w:val="center"/>
        </w:trPr>
        <w:tc>
          <w:tcPr>
            <w:tcW w:w="0" w:type="auto"/>
            <w:tcBorders>
              <w:top w:val="single" w:sz="4" w:space="0" w:color="auto"/>
              <w:bottom w:val="single" w:sz="4" w:space="0" w:color="auto"/>
            </w:tcBorders>
            <w:vAlign w:val="center"/>
            <w:hideMark/>
          </w:tcPr>
          <w:p w14:paraId="44CF8CEB" w14:textId="77777777" w:rsidR="00C8019F" w:rsidRPr="00C8019F" w:rsidRDefault="00C8019F" w:rsidP="0065199B">
            <w:pPr>
              <w:pStyle w:val="Body"/>
              <w:spacing w:after="0"/>
              <w:jc w:val="center"/>
              <w:rPr>
                <w:rFonts w:ascii="Arial" w:hAnsi="Arial" w:cs="Arial"/>
                <w:b/>
                <w:bCs/>
              </w:rPr>
            </w:pPr>
            <w:r w:rsidRPr="00C8019F">
              <w:rPr>
                <w:rFonts w:ascii="Arial" w:hAnsi="Arial" w:cs="Arial"/>
                <w:b/>
                <w:bCs/>
              </w:rPr>
              <w:t>Analyte</w:t>
            </w:r>
          </w:p>
        </w:tc>
        <w:tc>
          <w:tcPr>
            <w:tcW w:w="1850" w:type="dxa"/>
            <w:tcBorders>
              <w:top w:val="single" w:sz="4" w:space="0" w:color="auto"/>
              <w:bottom w:val="single" w:sz="4" w:space="0" w:color="auto"/>
            </w:tcBorders>
            <w:vAlign w:val="center"/>
            <w:hideMark/>
          </w:tcPr>
          <w:p w14:paraId="695DE6D7" w14:textId="77777777" w:rsidR="00C8019F" w:rsidRPr="00C8019F" w:rsidRDefault="00C8019F" w:rsidP="0065199B">
            <w:pPr>
              <w:pStyle w:val="Body"/>
              <w:spacing w:after="0"/>
              <w:jc w:val="center"/>
              <w:rPr>
                <w:rFonts w:ascii="Arial" w:hAnsi="Arial" w:cs="Arial"/>
                <w:b/>
                <w:bCs/>
              </w:rPr>
            </w:pPr>
            <w:r w:rsidRPr="00C8019F">
              <w:rPr>
                <w:rFonts w:ascii="Arial" w:hAnsi="Arial" w:cs="Arial"/>
                <w:b/>
                <w:bCs/>
              </w:rPr>
              <w:t>LOD (µg/mL)</w:t>
            </w:r>
          </w:p>
        </w:tc>
        <w:tc>
          <w:tcPr>
            <w:tcW w:w="1422" w:type="dxa"/>
            <w:tcBorders>
              <w:top w:val="single" w:sz="4" w:space="0" w:color="auto"/>
              <w:bottom w:val="single" w:sz="4" w:space="0" w:color="auto"/>
            </w:tcBorders>
            <w:vAlign w:val="center"/>
            <w:hideMark/>
          </w:tcPr>
          <w:p w14:paraId="526DAD48" w14:textId="77777777" w:rsidR="00C8019F" w:rsidRPr="00C8019F" w:rsidRDefault="00C8019F" w:rsidP="0065199B">
            <w:pPr>
              <w:pStyle w:val="Body"/>
              <w:spacing w:after="0"/>
              <w:jc w:val="center"/>
              <w:rPr>
                <w:rFonts w:ascii="Arial" w:hAnsi="Arial" w:cs="Arial"/>
                <w:b/>
                <w:bCs/>
              </w:rPr>
            </w:pPr>
            <w:r w:rsidRPr="00C8019F">
              <w:rPr>
                <w:rFonts w:ascii="Arial" w:hAnsi="Arial" w:cs="Arial"/>
                <w:b/>
                <w:bCs/>
              </w:rPr>
              <w:t>LOQ (µg/mL)</w:t>
            </w:r>
          </w:p>
        </w:tc>
      </w:tr>
      <w:tr w:rsidR="00C8019F" w:rsidRPr="00C8019F" w14:paraId="2DE54564" w14:textId="77777777" w:rsidTr="00F960C8">
        <w:trPr>
          <w:cantSplit/>
          <w:trHeight w:val="284"/>
          <w:tblCellSpacing w:w="15" w:type="dxa"/>
          <w:jc w:val="center"/>
        </w:trPr>
        <w:tc>
          <w:tcPr>
            <w:tcW w:w="0" w:type="auto"/>
            <w:vAlign w:val="center"/>
            <w:hideMark/>
          </w:tcPr>
          <w:p w14:paraId="39806C6C" w14:textId="77777777" w:rsidR="00C8019F" w:rsidRPr="00C8019F" w:rsidRDefault="00C8019F" w:rsidP="0065199B">
            <w:pPr>
              <w:pStyle w:val="Body"/>
              <w:spacing w:after="0"/>
              <w:jc w:val="center"/>
              <w:rPr>
                <w:rFonts w:ascii="Arial" w:hAnsi="Arial" w:cs="Arial"/>
              </w:rPr>
            </w:pPr>
            <w:r w:rsidRPr="00C8019F">
              <w:rPr>
                <w:rFonts w:ascii="Arial" w:hAnsi="Arial" w:cs="Arial"/>
              </w:rPr>
              <w:t>Gallic acid</w:t>
            </w:r>
          </w:p>
        </w:tc>
        <w:tc>
          <w:tcPr>
            <w:tcW w:w="1850" w:type="dxa"/>
            <w:vAlign w:val="center"/>
            <w:hideMark/>
          </w:tcPr>
          <w:p w14:paraId="0ECC2F6C" w14:textId="77777777" w:rsidR="00C8019F" w:rsidRPr="00C8019F" w:rsidRDefault="00C8019F" w:rsidP="0065199B">
            <w:pPr>
              <w:pStyle w:val="Body"/>
              <w:spacing w:after="0"/>
              <w:jc w:val="center"/>
              <w:rPr>
                <w:rFonts w:ascii="Arial" w:hAnsi="Arial" w:cs="Arial"/>
              </w:rPr>
            </w:pPr>
            <w:r w:rsidRPr="00C8019F">
              <w:rPr>
                <w:rFonts w:ascii="Arial" w:hAnsi="Arial" w:cs="Arial"/>
              </w:rPr>
              <w:t>0.58</w:t>
            </w:r>
          </w:p>
        </w:tc>
        <w:tc>
          <w:tcPr>
            <w:tcW w:w="1422" w:type="dxa"/>
            <w:vAlign w:val="center"/>
            <w:hideMark/>
          </w:tcPr>
          <w:p w14:paraId="4A4400F3" w14:textId="77777777" w:rsidR="00C8019F" w:rsidRPr="00C8019F" w:rsidRDefault="00C8019F" w:rsidP="0065199B">
            <w:pPr>
              <w:pStyle w:val="Body"/>
              <w:spacing w:after="0"/>
              <w:jc w:val="center"/>
              <w:rPr>
                <w:rFonts w:ascii="Arial" w:hAnsi="Arial" w:cs="Arial"/>
              </w:rPr>
            </w:pPr>
            <w:r w:rsidRPr="00C8019F">
              <w:rPr>
                <w:rFonts w:ascii="Arial" w:hAnsi="Arial" w:cs="Arial"/>
              </w:rPr>
              <w:t>1.77</w:t>
            </w:r>
          </w:p>
        </w:tc>
      </w:tr>
      <w:tr w:rsidR="00C8019F" w:rsidRPr="00C8019F" w14:paraId="2A574A77" w14:textId="77777777" w:rsidTr="00F960C8">
        <w:trPr>
          <w:cantSplit/>
          <w:trHeight w:val="284"/>
          <w:tblCellSpacing w:w="15" w:type="dxa"/>
          <w:jc w:val="center"/>
        </w:trPr>
        <w:tc>
          <w:tcPr>
            <w:tcW w:w="0" w:type="auto"/>
            <w:vAlign w:val="center"/>
            <w:hideMark/>
          </w:tcPr>
          <w:p w14:paraId="4FA3E25F" w14:textId="77777777" w:rsidR="00C8019F" w:rsidRPr="00C8019F" w:rsidRDefault="00C8019F" w:rsidP="0065199B">
            <w:pPr>
              <w:pStyle w:val="Body"/>
              <w:spacing w:after="0"/>
              <w:jc w:val="center"/>
              <w:rPr>
                <w:rFonts w:ascii="Arial" w:hAnsi="Arial" w:cs="Arial"/>
              </w:rPr>
            </w:pPr>
            <w:proofErr w:type="spellStart"/>
            <w:r w:rsidRPr="00C8019F">
              <w:rPr>
                <w:rFonts w:ascii="Arial" w:hAnsi="Arial" w:cs="Arial"/>
              </w:rPr>
              <w:t>Sinapic</w:t>
            </w:r>
            <w:proofErr w:type="spellEnd"/>
            <w:r w:rsidRPr="00C8019F">
              <w:rPr>
                <w:rFonts w:ascii="Arial" w:hAnsi="Arial" w:cs="Arial"/>
              </w:rPr>
              <w:t xml:space="preserve"> acid</w:t>
            </w:r>
          </w:p>
        </w:tc>
        <w:tc>
          <w:tcPr>
            <w:tcW w:w="1850" w:type="dxa"/>
            <w:vAlign w:val="center"/>
            <w:hideMark/>
          </w:tcPr>
          <w:p w14:paraId="5D303691" w14:textId="77777777" w:rsidR="00C8019F" w:rsidRPr="00C8019F" w:rsidRDefault="00C8019F" w:rsidP="0065199B">
            <w:pPr>
              <w:pStyle w:val="Body"/>
              <w:spacing w:after="0"/>
              <w:jc w:val="center"/>
              <w:rPr>
                <w:rFonts w:ascii="Arial" w:hAnsi="Arial" w:cs="Arial"/>
              </w:rPr>
            </w:pPr>
            <w:r w:rsidRPr="00C8019F">
              <w:rPr>
                <w:rFonts w:ascii="Arial" w:hAnsi="Arial" w:cs="Arial"/>
              </w:rPr>
              <w:t>0.051</w:t>
            </w:r>
          </w:p>
        </w:tc>
        <w:tc>
          <w:tcPr>
            <w:tcW w:w="1422" w:type="dxa"/>
            <w:vAlign w:val="center"/>
            <w:hideMark/>
          </w:tcPr>
          <w:p w14:paraId="1DAA53A3" w14:textId="77777777" w:rsidR="00C8019F" w:rsidRPr="00C8019F" w:rsidRDefault="00C8019F" w:rsidP="0065199B">
            <w:pPr>
              <w:pStyle w:val="Body"/>
              <w:spacing w:after="0"/>
              <w:jc w:val="center"/>
              <w:rPr>
                <w:rFonts w:ascii="Arial" w:hAnsi="Arial" w:cs="Arial"/>
              </w:rPr>
            </w:pPr>
            <w:r w:rsidRPr="00C8019F">
              <w:rPr>
                <w:rFonts w:ascii="Arial" w:hAnsi="Arial" w:cs="Arial"/>
              </w:rPr>
              <w:t>0.15</w:t>
            </w:r>
          </w:p>
        </w:tc>
      </w:tr>
      <w:tr w:rsidR="00C8019F" w:rsidRPr="00C8019F" w14:paraId="2B52ED99" w14:textId="77777777" w:rsidTr="00F960C8">
        <w:trPr>
          <w:cantSplit/>
          <w:trHeight w:val="284"/>
          <w:tblCellSpacing w:w="15" w:type="dxa"/>
          <w:jc w:val="center"/>
        </w:trPr>
        <w:tc>
          <w:tcPr>
            <w:tcW w:w="0" w:type="auto"/>
            <w:vAlign w:val="center"/>
            <w:hideMark/>
          </w:tcPr>
          <w:p w14:paraId="71D07E2F" w14:textId="77777777" w:rsidR="00C8019F" w:rsidRPr="00C8019F" w:rsidRDefault="00C8019F" w:rsidP="0065199B">
            <w:pPr>
              <w:pStyle w:val="Body"/>
              <w:spacing w:after="0"/>
              <w:jc w:val="center"/>
              <w:rPr>
                <w:rFonts w:ascii="Arial" w:hAnsi="Arial" w:cs="Arial"/>
              </w:rPr>
            </w:pPr>
            <w:r w:rsidRPr="00C8019F">
              <w:rPr>
                <w:rFonts w:ascii="Arial" w:hAnsi="Arial" w:cs="Arial"/>
              </w:rPr>
              <w:t>Kaempferol</w:t>
            </w:r>
          </w:p>
        </w:tc>
        <w:tc>
          <w:tcPr>
            <w:tcW w:w="1850" w:type="dxa"/>
            <w:vAlign w:val="center"/>
            <w:hideMark/>
          </w:tcPr>
          <w:p w14:paraId="6685D1CD" w14:textId="77777777" w:rsidR="00C8019F" w:rsidRPr="00C8019F" w:rsidRDefault="00C8019F" w:rsidP="0065199B">
            <w:pPr>
              <w:pStyle w:val="Body"/>
              <w:spacing w:after="0"/>
              <w:jc w:val="center"/>
              <w:rPr>
                <w:rFonts w:ascii="Arial" w:hAnsi="Arial" w:cs="Arial"/>
              </w:rPr>
            </w:pPr>
            <w:r w:rsidRPr="00C8019F">
              <w:rPr>
                <w:rFonts w:ascii="Arial" w:hAnsi="Arial" w:cs="Arial"/>
              </w:rPr>
              <w:t>0.051</w:t>
            </w:r>
          </w:p>
        </w:tc>
        <w:tc>
          <w:tcPr>
            <w:tcW w:w="1422" w:type="dxa"/>
            <w:vAlign w:val="center"/>
            <w:hideMark/>
          </w:tcPr>
          <w:p w14:paraId="36CE81B6" w14:textId="77777777" w:rsidR="00C8019F" w:rsidRPr="00C8019F" w:rsidRDefault="00C8019F" w:rsidP="0065199B">
            <w:pPr>
              <w:pStyle w:val="Body"/>
              <w:spacing w:after="0"/>
              <w:jc w:val="center"/>
              <w:rPr>
                <w:rFonts w:ascii="Arial" w:hAnsi="Arial" w:cs="Arial"/>
              </w:rPr>
            </w:pPr>
            <w:r w:rsidRPr="00C8019F">
              <w:rPr>
                <w:rFonts w:ascii="Arial" w:hAnsi="Arial" w:cs="Arial"/>
              </w:rPr>
              <w:t>0.15</w:t>
            </w:r>
          </w:p>
        </w:tc>
      </w:tr>
      <w:tr w:rsidR="00C8019F" w:rsidRPr="00C8019F" w14:paraId="252EEF13" w14:textId="77777777" w:rsidTr="00F960C8">
        <w:trPr>
          <w:cantSplit/>
          <w:trHeight w:val="284"/>
          <w:tblCellSpacing w:w="15" w:type="dxa"/>
          <w:jc w:val="center"/>
        </w:trPr>
        <w:tc>
          <w:tcPr>
            <w:tcW w:w="0" w:type="auto"/>
            <w:vAlign w:val="center"/>
            <w:hideMark/>
          </w:tcPr>
          <w:p w14:paraId="2771CF30" w14:textId="77777777" w:rsidR="00C8019F" w:rsidRPr="00C8019F" w:rsidRDefault="00C8019F" w:rsidP="0065199B">
            <w:pPr>
              <w:pStyle w:val="Body"/>
              <w:spacing w:after="0"/>
              <w:jc w:val="center"/>
              <w:rPr>
                <w:rFonts w:ascii="Arial" w:hAnsi="Arial" w:cs="Arial"/>
              </w:rPr>
            </w:pPr>
            <w:r w:rsidRPr="00C8019F">
              <w:rPr>
                <w:rFonts w:ascii="Arial" w:hAnsi="Arial" w:cs="Arial"/>
              </w:rPr>
              <w:t>Chlorogenic acid</w:t>
            </w:r>
          </w:p>
        </w:tc>
        <w:tc>
          <w:tcPr>
            <w:tcW w:w="1850" w:type="dxa"/>
            <w:vAlign w:val="center"/>
            <w:hideMark/>
          </w:tcPr>
          <w:p w14:paraId="54263EA6" w14:textId="77777777" w:rsidR="00C8019F" w:rsidRPr="00C8019F" w:rsidRDefault="00C8019F" w:rsidP="0065199B">
            <w:pPr>
              <w:pStyle w:val="Body"/>
              <w:spacing w:after="0"/>
              <w:jc w:val="center"/>
              <w:rPr>
                <w:rFonts w:ascii="Arial" w:hAnsi="Arial" w:cs="Arial"/>
              </w:rPr>
            </w:pPr>
            <w:r w:rsidRPr="00C8019F">
              <w:rPr>
                <w:rFonts w:ascii="Arial" w:hAnsi="Arial" w:cs="Arial"/>
              </w:rPr>
              <w:t>0.12</w:t>
            </w:r>
          </w:p>
        </w:tc>
        <w:tc>
          <w:tcPr>
            <w:tcW w:w="1422" w:type="dxa"/>
            <w:vAlign w:val="center"/>
            <w:hideMark/>
          </w:tcPr>
          <w:p w14:paraId="5A3E5AD1" w14:textId="77777777" w:rsidR="00C8019F" w:rsidRPr="00C8019F" w:rsidRDefault="00C8019F" w:rsidP="0065199B">
            <w:pPr>
              <w:pStyle w:val="Body"/>
              <w:spacing w:after="0"/>
              <w:jc w:val="center"/>
              <w:rPr>
                <w:rFonts w:ascii="Arial" w:hAnsi="Arial" w:cs="Arial"/>
              </w:rPr>
            </w:pPr>
            <w:r w:rsidRPr="00C8019F">
              <w:rPr>
                <w:rFonts w:ascii="Arial" w:hAnsi="Arial" w:cs="Arial"/>
              </w:rPr>
              <w:t>0.36</w:t>
            </w:r>
          </w:p>
        </w:tc>
      </w:tr>
      <w:tr w:rsidR="00C8019F" w:rsidRPr="00C8019F" w14:paraId="4C738E07" w14:textId="77777777" w:rsidTr="00F960C8">
        <w:trPr>
          <w:cantSplit/>
          <w:trHeight w:val="284"/>
          <w:tblCellSpacing w:w="15" w:type="dxa"/>
          <w:jc w:val="center"/>
        </w:trPr>
        <w:tc>
          <w:tcPr>
            <w:tcW w:w="0" w:type="auto"/>
            <w:vAlign w:val="center"/>
            <w:hideMark/>
          </w:tcPr>
          <w:p w14:paraId="14967C01" w14:textId="77777777" w:rsidR="00C8019F" w:rsidRPr="00C8019F" w:rsidRDefault="00C8019F" w:rsidP="0065199B">
            <w:pPr>
              <w:pStyle w:val="Body"/>
              <w:spacing w:after="0"/>
              <w:jc w:val="center"/>
              <w:rPr>
                <w:rFonts w:ascii="Arial" w:hAnsi="Arial" w:cs="Arial"/>
              </w:rPr>
            </w:pPr>
            <w:r w:rsidRPr="00C8019F">
              <w:rPr>
                <w:rFonts w:ascii="Arial" w:hAnsi="Arial" w:cs="Arial"/>
              </w:rPr>
              <w:t>Epicatechin</w:t>
            </w:r>
          </w:p>
        </w:tc>
        <w:tc>
          <w:tcPr>
            <w:tcW w:w="1850" w:type="dxa"/>
            <w:vAlign w:val="center"/>
            <w:hideMark/>
          </w:tcPr>
          <w:p w14:paraId="6C1FEC81" w14:textId="77777777" w:rsidR="00C8019F" w:rsidRPr="00C8019F" w:rsidRDefault="00C8019F" w:rsidP="0065199B">
            <w:pPr>
              <w:pStyle w:val="Body"/>
              <w:spacing w:after="0"/>
              <w:jc w:val="center"/>
              <w:rPr>
                <w:rFonts w:ascii="Arial" w:hAnsi="Arial" w:cs="Arial"/>
              </w:rPr>
            </w:pPr>
            <w:r w:rsidRPr="00C8019F">
              <w:rPr>
                <w:rFonts w:ascii="Arial" w:hAnsi="Arial" w:cs="Arial"/>
              </w:rPr>
              <w:t>0.11</w:t>
            </w:r>
          </w:p>
        </w:tc>
        <w:tc>
          <w:tcPr>
            <w:tcW w:w="1422" w:type="dxa"/>
            <w:vAlign w:val="center"/>
            <w:hideMark/>
          </w:tcPr>
          <w:p w14:paraId="1FC10F45" w14:textId="77777777" w:rsidR="00C8019F" w:rsidRPr="00C8019F" w:rsidRDefault="00C8019F" w:rsidP="0065199B">
            <w:pPr>
              <w:pStyle w:val="Body"/>
              <w:spacing w:after="0"/>
              <w:jc w:val="center"/>
              <w:rPr>
                <w:rFonts w:ascii="Arial" w:hAnsi="Arial" w:cs="Arial"/>
              </w:rPr>
            </w:pPr>
            <w:r w:rsidRPr="00C8019F">
              <w:rPr>
                <w:rFonts w:ascii="Arial" w:hAnsi="Arial" w:cs="Arial"/>
              </w:rPr>
              <w:t>0.34</w:t>
            </w:r>
          </w:p>
        </w:tc>
      </w:tr>
      <w:tr w:rsidR="00C8019F" w:rsidRPr="00C8019F" w14:paraId="3339CF5C" w14:textId="77777777" w:rsidTr="00F960C8">
        <w:trPr>
          <w:cantSplit/>
          <w:trHeight w:val="284"/>
          <w:tblCellSpacing w:w="15" w:type="dxa"/>
          <w:jc w:val="center"/>
        </w:trPr>
        <w:tc>
          <w:tcPr>
            <w:tcW w:w="0" w:type="auto"/>
            <w:vAlign w:val="center"/>
            <w:hideMark/>
          </w:tcPr>
          <w:p w14:paraId="081C72B8" w14:textId="77777777" w:rsidR="00C8019F" w:rsidRPr="00C8019F" w:rsidRDefault="00C8019F" w:rsidP="0065199B">
            <w:pPr>
              <w:pStyle w:val="Body"/>
              <w:spacing w:after="0"/>
              <w:jc w:val="center"/>
              <w:rPr>
                <w:rFonts w:ascii="Arial" w:hAnsi="Arial" w:cs="Arial"/>
              </w:rPr>
            </w:pPr>
            <w:r w:rsidRPr="00C8019F">
              <w:rPr>
                <w:rFonts w:ascii="Arial" w:hAnsi="Arial" w:cs="Arial"/>
              </w:rPr>
              <w:t>Quercetin</w:t>
            </w:r>
          </w:p>
        </w:tc>
        <w:tc>
          <w:tcPr>
            <w:tcW w:w="1850" w:type="dxa"/>
            <w:vAlign w:val="center"/>
            <w:hideMark/>
          </w:tcPr>
          <w:p w14:paraId="4669BDF5" w14:textId="77777777" w:rsidR="00C8019F" w:rsidRPr="00C8019F" w:rsidRDefault="00C8019F" w:rsidP="0065199B">
            <w:pPr>
              <w:pStyle w:val="Body"/>
              <w:spacing w:after="0"/>
              <w:jc w:val="center"/>
              <w:rPr>
                <w:rFonts w:ascii="Arial" w:hAnsi="Arial" w:cs="Arial"/>
              </w:rPr>
            </w:pPr>
            <w:r w:rsidRPr="00C8019F">
              <w:rPr>
                <w:rFonts w:ascii="Arial" w:hAnsi="Arial" w:cs="Arial"/>
              </w:rPr>
              <w:t>0.12</w:t>
            </w:r>
          </w:p>
        </w:tc>
        <w:tc>
          <w:tcPr>
            <w:tcW w:w="1422" w:type="dxa"/>
            <w:vAlign w:val="center"/>
            <w:hideMark/>
          </w:tcPr>
          <w:p w14:paraId="61A933EC" w14:textId="77777777" w:rsidR="00C8019F" w:rsidRPr="00C8019F" w:rsidRDefault="00C8019F" w:rsidP="0065199B">
            <w:pPr>
              <w:pStyle w:val="Body"/>
              <w:spacing w:after="0"/>
              <w:jc w:val="center"/>
              <w:rPr>
                <w:rFonts w:ascii="Arial" w:hAnsi="Arial" w:cs="Arial"/>
              </w:rPr>
            </w:pPr>
            <w:r w:rsidRPr="00C8019F">
              <w:rPr>
                <w:rFonts w:ascii="Arial" w:hAnsi="Arial" w:cs="Arial"/>
              </w:rPr>
              <w:t>0.35</w:t>
            </w:r>
          </w:p>
        </w:tc>
      </w:tr>
      <w:tr w:rsidR="00C8019F" w:rsidRPr="00C8019F" w14:paraId="5EC27C5D" w14:textId="77777777" w:rsidTr="00F960C8">
        <w:trPr>
          <w:cantSplit/>
          <w:trHeight w:val="284"/>
          <w:tblCellSpacing w:w="15" w:type="dxa"/>
          <w:jc w:val="center"/>
        </w:trPr>
        <w:tc>
          <w:tcPr>
            <w:tcW w:w="0" w:type="auto"/>
            <w:vAlign w:val="center"/>
            <w:hideMark/>
          </w:tcPr>
          <w:p w14:paraId="4BD4C21B" w14:textId="77777777" w:rsidR="00C8019F" w:rsidRPr="00C8019F" w:rsidRDefault="00C8019F" w:rsidP="0065199B">
            <w:pPr>
              <w:pStyle w:val="Body"/>
              <w:spacing w:after="0"/>
              <w:jc w:val="center"/>
              <w:rPr>
                <w:rFonts w:ascii="Arial" w:hAnsi="Arial" w:cs="Arial"/>
              </w:rPr>
            </w:pPr>
            <w:r w:rsidRPr="00C8019F">
              <w:rPr>
                <w:rFonts w:ascii="Arial" w:hAnsi="Arial" w:cs="Arial"/>
              </w:rPr>
              <w:t>Rutin</w:t>
            </w:r>
          </w:p>
        </w:tc>
        <w:tc>
          <w:tcPr>
            <w:tcW w:w="1850" w:type="dxa"/>
            <w:vAlign w:val="center"/>
            <w:hideMark/>
          </w:tcPr>
          <w:p w14:paraId="3C275CCD" w14:textId="77777777" w:rsidR="00C8019F" w:rsidRPr="00C8019F" w:rsidRDefault="00C8019F" w:rsidP="0065199B">
            <w:pPr>
              <w:pStyle w:val="Body"/>
              <w:spacing w:after="0"/>
              <w:jc w:val="center"/>
              <w:rPr>
                <w:rFonts w:ascii="Arial" w:hAnsi="Arial" w:cs="Arial"/>
              </w:rPr>
            </w:pPr>
            <w:r w:rsidRPr="00C8019F">
              <w:rPr>
                <w:rFonts w:ascii="Arial" w:hAnsi="Arial" w:cs="Arial"/>
              </w:rPr>
              <w:t>0.42</w:t>
            </w:r>
          </w:p>
        </w:tc>
        <w:tc>
          <w:tcPr>
            <w:tcW w:w="1422" w:type="dxa"/>
            <w:vAlign w:val="center"/>
            <w:hideMark/>
          </w:tcPr>
          <w:p w14:paraId="4D1FF9E4" w14:textId="77777777" w:rsidR="00C8019F" w:rsidRPr="00C8019F" w:rsidRDefault="00C8019F" w:rsidP="0065199B">
            <w:pPr>
              <w:pStyle w:val="Body"/>
              <w:spacing w:after="0"/>
              <w:jc w:val="center"/>
              <w:rPr>
                <w:rFonts w:ascii="Arial" w:hAnsi="Arial" w:cs="Arial"/>
              </w:rPr>
            </w:pPr>
            <w:r w:rsidRPr="00C8019F">
              <w:rPr>
                <w:rFonts w:ascii="Arial" w:hAnsi="Arial" w:cs="Arial"/>
              </w:rPr>
              <w:t>1.26</w:t>
            </w:r>
          </w:p>
        </w:tc>
      </w:tr>
    </w:tbl>
    <w:p w14:paraId="6629E223" w14:textId="77777777" w:rsidR="00EC7644" w:rsidRDefault="00EC7644" w:rsidP="00EC7644">
      <w:pPr>
        <w:pStyle w:val="Body"/>
        <w:spacing w:after="0"/>
        <w:rPr>
          <w:rFonts w:ascii="Arial" w:hAnsi="Arial" w:cs="Arial"/>
        </w:rPr>
      </w:pPr>
    </w:p>
    <w:p w14:paraId="6FD53732" w14:textId="77777777" w:rsidR="00EC7644" w:rsidRPr="00FB3A86" w:rsidRDefault="00EC7644" w:rsidP="00EC7644">
      <w:pPr>
        <w:pStyle w:val="Body"/>
        <w:spacing w:after="0"/>
        <w:rPr>
          <w:rFonts w:ascii="Arial" w:hAnsi="Arial" w:cs="Arial"/>
        </w:rPr>
      </w:pPr>
    </w:p>
    <w:p w14:paraId="61B37B3D" w14:textId="77777777" w:rsidR="00902823" w:rsidRDefault="00000F8F" w:rsidP="003F4E05">
      <w:pPr>
        <w:pStyle w:val="Head1"/>
        <w:spacing w:after="0"/>
        <w:rPr>
          <w:rFonts w:ascii="Arial" w:hAnsi="Arial" w:cs="Arial"/>
        </w:rPr>
      </w:pPr>
      <w:r>
        <w:rPr>
          <w:rFonts w:ascii="Arial" w:hAnsi="Arial" w:cs="Arial"/>
        </w:rPr>
        <w:t>3</w:t>
      </w:r>
      <w:r w:rsidR="00902823">
        <w:rPr>
          <w:rFonts w:ascii="Arial" w:hAnsi="Arial" w:cs="Arial"/>
        </w:rPr>
        <w:t xml:space="preserve">. </w:t>
      </w:r>
      <w:r>
        <w:rPr>
          <w:rFonts w:ascii="Arial" w:hAnsi="Arial" w:cs="Arial"/>
        </w:rPr>
        <w:t xml:space="preserve">results </w:t>
      </w:r>
    </w:p>
    <w:p w14:paraId="3D8BB996" w14:textId="77777777" w:rsidR="00790ADA" w:rsidRPr="00FB3A86" w:rsidRDefault="00790ADA" w:rsidP="00441B6F">
      <w:pPr>
        <w:pStyle w:val="Head1"/>
        <w:spacing w:after="0"/>
        <w:jc w:val="both"/>
        <w:rPr>
          <w:rFonts w:ascii="Arial" w:hAnsi="Arial" w:cs="Arial"/>
        </w:rPr>
      </w:pPr>
    </w:p>
    <w:p w14:paraId="345B94F2" w14:textId="77777777" w:rsidR="001B5BD4" w:rsidRPr="001B5BD4" w:rsidRDefault="001B5BD4" w:rsidP="001B5BD4">
      <w:pPr>
        <w:pStyle w:val="Body"/>
        <w:spacing w:after="0"/>
        <w:rPr>
          <w:rFonts w:ascii="Arial" w:hAnsi="Arial" w:cs="Arial"/>
        </w:rPr>
      </w:pPr>
      <w:r w:rsidRPr="001B5BD4">
        <w:rPr>
          <w:rFonts w:ascii="Arial" w:hAnsi="Arial" w:cs="Arial"/>
        </w:rPr>
        <w:t xml:space="preserve">The results regarding the identification and quantification of phenolic compounds detected in the fruits of </w:t>
      </w:r>
      <w:r w:rsidRPr="001B5BD4">
        <w:rPr>
          <w:rFonts w:ascii="Arial" w:hAnsi="Arial" w:cs="Arial"/>
          <w:i/>
          <w:iCs/>
        </w:rPr>
        <w:t>Elaeagnus angustifolia</w:t>
      </w:r>
      <w:r w:rsidRPr="001B5BD4">
        <w:rPr>
          <w:rFonts w:ascii="Arial" w:hAnsi="Arial" w:cs="Arial"/>
        </w:rPr>
        <w:t xml:space="preserve"> revealed a structurally diverse profile from a phytochemical perspective, with direct implications for their potential applications.</w:t>
      </w:r>
    </w:p>
    <w:p w14:paraId="386DDF82" w14:textId="77777777" w:rsidR="001B5BD4" w:rsidRPr="001B5BD4" w:rsidRDefault="001B5BD4" w:rsidP="001B5BD4">
      <w:pPr>
        <w:pStyle w:val="Body"/>
        <w:spacing w:after="0"/>
        <w:rPr>
          <w:rFonts w:ascii="Arial" w:hAnsi="Arial" w:cs="Arial"/>
        </w:rPr>
      </w:pPr>
      <w:r w:rsidRPr="001B5BD4">
        <w:rPr>
          <w:rFonts w:ascii="Arial" w:hAnsi="Arial" w:cs="Arial"/>
        </w:rPr>
        <w:t xml:space="preserve">HPLC–PDA analysis of aqueous extracts from </w:t>
      </w:r>
      <w:r w:rsidRPr="001B5BD4">
        <w:rPr>
          <w:rFonts w:ascii="Arial" w:hAnsi="Arial" w:cs="Arial"/>
          <w:i/>
          <w:iCs/>
        </w:rPr>
        <w:t>E. angustifolia</w:t>
      </w:r>
      <w:r w:rsidRPr="001B5BD4">
        <w:rPr>
          <w:rFonts w:ascii="Arial" w:hAnsi="Arial" w:cs="Arial"/>
        </w:rPr>
        <w:t xml:space="preserve"> fruits revealed the presence of five major phenolic compounds: epicatechin, rutin, chlorogenic acid, gallic acid, and </w:t>
      </w:r>
      <w:proofErr w:type="spellStart"/>
      <w:r w:rsidRPr="001B5BD4">
        <w:rPr>
          <w:rFonts w:ascii="Arial" w:hAnsi="Arial" w:cs="Arial"/>
        </w:rPr>
        <w:t>sinapic</w:t>
      </w:r>
      <w:proofErr w:type="spellEnd"/>
      <w:r w:rsidRPr="001B5BD4">
        <w:rPr>
          <w:rFonts w:ascii="Arial" w:hAnsi="Arial" w:cs="Arial"/>
        </w:rPr>
        <w:t xml:space="preserve"> acid. Kaempferol was not detected in any sample, its value being below LOD/LOQ.</w:t>
      </w:r>
    </w:p>
    <w:p w14:paraId="6A243EAA" w14:textId="77777777" w:rsidR="00D65582" w:rsidRDefault="001B5BD4" w:rsidP="001B5BD4">
      <w:pPr>
        <w:pStyle w:val="Body"/>
        <w:spacing w:after="0"/>
        <w:rPr>
          <w:rFonts w:ascii="Arial" w:hAnsi="Arial" w:cs="Arial"/>
        </w:rPr>
      </w:pPr>
      <w:r w:rsidRPr="001B5BD4">
        <w:rPr>
          <w:rFonts w:ascii="Arial" w:hAnsi="Arial" w:cs="Arial"/>
        </w:rPr>
        <w:t>The concentrations in the extract (µg/mL) and those extrapolated to dry weight (µg/g DW) are presented in Table 2 (2a and 2b).</w:t>
      </w:r>
    </w:p>
    <w:p w14:paraId="0B84E1B1" w14:textId="77777777" w:rsidR="001B5BD4" w:rsidRPr="001B5BD4" w:rsidRDefault="001B5BD4" w:rsidP="00220045">
      <w:pPr>
        <w:pStyle w:val="Body"/>
        <w:jc w:val="center"/>
        <w:rPr>
          <w:rFonts w:ascii="Arial" w:hAnsi="Arial" w:cs="Arial"/>
          <w:b/>
          <w:lang w:bidi="en-US"/>
        </w:rPr>
      </w:pPr>
      <w:r w:rsidRPr="001B5BD4">
        <w:rPr>
          <w:rFonts w:ascii="Arial" w:hAnsi="Arial" w:cs="Arial"/>
          <w:b/>
          <w:lang w:bidi="en-US"/>
        </w:rPr>
        <w:t>Table 2. Polyphenol content in aqueous extracts as a function of temperature</w:t>
      </w:r>
    </w:p>
    <w:p w14:paraId="03D3064A" w14:textId="77777777" w:rsidR="001B5BD4" w:rsidRPr="001B5BD4" w:rsidRDefault="001B5BD4" w:rsidP="00220045">
      <w:pPr>
        <w:pStyle w:val="Body"/>
        <w:spacing w:after="0"/>
        <w:jc w:val="right"/>
        <w:rPr>
          <w:rFonts w:ascii="Arial" w:hAnsi="Arial" w:cs="Arial"/>
          <w:b/>
          <w:lang w:bidi="en-US"/>
        </w:rPr>
      </w:pPr>
      <w:r w:rsidRPr="001B5BD4">
        <w:rPr>
          <w:rFonts w:ascii="Arial" w:hAnsi="Arial" w:cs="Arial"/>
          <w:b/>
          <w:lang w:bidi="en-US"/>
        </w:rPr>
        <w:t>2a. Concentrations in the extract (µg/mL)</w:t>
      </w:r>
    </w:p>
    <w:tbl>
      <w:tblPr>
        <w:tblW w:w="8345" w:type="dxa"/>
        <w:tblLook w:val="04A0" w:firstRow="1" w:lastRow="0" w:firstColumn="1" w:lastColumn="0" w:noHBand="0" w:noVBand="1"/>
      </w:tblPr>
      <w:tblGrid>
        <w:gridCol w:w="1583"/>
        <w:gridCol w:w="1376"/>
        <w:gridCol w:w="1013"/>
        <w:gridCol w:w="1559"/>
        <w:gridCol w:w="1415"/>
        <w:gridCol w:w="1399"/>
      </w:tblGrid>
      <w:tr w:rsidR="001B5BD4" w:rsidRPr="001B5BD4" w14:paraId="3892A7D0" w14:textId="77777777" w:rsidTr="00220045">
        <w:trPr>
          <w:trHeight w:val="757"/>
        </w:trPr>
        <w:tc>
          <w:tcPr>
            <w:tcW w:w="0" w:type="auto"/>
            <w:tcBorders>
              <w:top w:val="single" w:sz="4" w:space="0" w:color="auto"/>
              <w:bottom w:val="single" w:sz="4" w:space="0" w:color="auto"/>
            </w:tcBorders>
            <w:vAlign w:val="center"/>
            <w:hideMark/>
          </w:tcPr>
          <w:p w14:paraId="51A50732"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lastRenderedPageBreak/>
              <w:t>Temperature</w:t>
            </w:r>
          </w:p>
        </w:tc>
        <w:tc>
          <w:tcPr>
            <w:tcW w:w="0" w:type="auto"/>
            <w:tcBorders>
              <w:top w:val="single" w:sz="4" w:space="0" w:color="auto"/>
              <w:bottom w:val="single" w:sz="4" w:space="0" w:color="auto"/>
            </w:tcBorders>
            <w:vAlign w:val="center"/>
            <w:hideMark/>
          </w:tcPr>
          <w:p w14:paraId="4311D97D"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Epicatechin</w:t>
            </w:r>
          </w:p>
        </w:tc>
        <w:tc>
          <w:tcPr>
            <w:tcW w:w="1013" w:type="dxa"/>
            <w:tcBorders>
              <w:top w:val="single" w:sz="4" w:space="0" w:color="auto"/>
              <w:bottom w:val="single" w:sz="4" w:space="0" w:color="auto"/>
            </w:tcBorders>
            <w:vAlign w:val="center"/>
            <w:hideMark/>
          </w:tcPr>
          <w:p w14:paraId="1ED15F76"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bCs/>
                <w:lang w:val="de-DE"/>
              </w:rPr>
              <w:t>Rutin</w:t>
            </w:r>
          </w:p>
        </w:tc>
        <w:tc>
          <w:tcPr>
            <w:tcW w:w="1559" w:type="dxa"/>
            <w:tcBorders>
              <w:top w:val="single" w:sz="4" w:space="0" w:color="auto"/>
              <w:bottom w:val="single" w:sz="4" w:space="0" w:color="auto"/>
            </w:tcBorders>
            <w:vAlign w:val="center"/>
            <w:hideMark/>
          </w:tcPr>
          <w:p w14:paraId="6147FD8B"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Chlorogenic acid</w:t>
            </w:r>
          </w:p>
        </w:tc>
        <w:tc>
          <w:tcPr>
            <w:tcW w:w="1415" w:type="dxa"/>
            <w:tcBorders>
              <w:top w:val="single" w:sz="4" w:space="0" w:color="auto"/>
              <w:bottom w:val="single" w:sz="4" w:space="0" w:color="auto"/>
            </w:tcBorders>
            <w:vAlign w:val="center"/>
            <w:hideMark/>
          </w:tcPr>
          <w:p w14:paraId="21D6A8DF"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Gallic acid</w:t>
            </w:r>
          </w:p>
        </w:tc>
        <w:tc>
          <w:tcPr>
            <w:tcW w:w="1399" w:type="dxa"/>
            <w:tcBorders>
              <w:top w:val="single" w:sz="4" w:space="0" w:color="auto"/>
              <w:bottom w:val="single" w:sz="4" w:space="0" w:color="auto"/>
            </w:tcBorders>
            <w:vAlign w:val="center"/>
            <w:hideMark/>
          </w:tcPr>
          <w:p w14:paraId="431931A7"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Sinapic acid</w:t>
            </w:r>
          </w:p>
        </w:tc>
      </w:tr>
      <w:tr w:rsidR="001B5BD4" w:rsidRPr="001B5BD4" w14:paraId="127FE828" w14:textId="77777777" w:rsidTr="00220045">
        <w:trPr>
          <w:trHeight w:val="308"/>
        </w:trPr>
        <w:tc>
          <w:tcPr>
            <w:tcW w:w="0" w:type="auto"/>
            <w:tcBorders>
              <w:top w:val="single" w:sz="4" w:space="0" w:color="auto"/>
            </w:tcBorders>
            <w:vAlign w:val="center"/>
            <w:hideMark/>
          </w:tcPr>
          <w:p w14:paraId="6D3CAFBA"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cold conditions</w:t>
            </w:r>
          </w:p>
        </w:tc>
        <w:tc>
          <w:tcPr>
            <w:tcW w:w="0" w:type="auto"/>
            <w:tcBorders>
              <w:top w:val="single" w:sz="4" w:space="0" w:color="auto"/>
            </w:tcBorders>
            <w:vAlign w:val="center"/>
            <w:hideMark/>
          </w:tcPr>
          <w:p w14:paraId="4C2E5241"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3,5242</w:t>
            </w:r>
          </w:p>
        </w:tc>
        <w:tc>
          <w:tcPr>
            <w:tcW w:w="1013" w:type="dxa"/>
            <w:tcBorders>
              <w:top w:val="single" w:sz="4" w:space="0" w:color="auto"/>
            </w:tcBorders>
            <w:vAlign w:val="center"/>
            <w:hideMark/>
          </w:tcPr>
          <w:p w14:paraId="28165FCE"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1,6028</w:t>
            </w:r>
          </w:p>
        </w:tc>
        <w:tc>
          <w:tcPr>
            <w:tcW w:w="1559" w:type="dxa"/>
            <w:tcBorders>
              <w:top w:val="single" w:sz="4" w:space="0" w:color="auto"/>
            </w:tcBorders>
            <w:vAlign w:val="center"/>
            <w:hideMark/>
          </w:tcPr>
          <w:p w14:paraId="7D6633A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0,8318</w:t>
            </w:r>
          </w:p>
        </w:tc>
        <w:tc>
          <w:tcPr>
            <w:tcW w:w="1415" w:type="dxa"/>
            <w:tcBorders>
              <w:top w:val="single" w:sz="4" w:space="0" w:color="auto"/>
            </w:tcBorders>
            <w:vAlign w:val="center"/>
            <w:hideMark/>
          </w:tcPr>
          <w:p w14:paraId="54D89B5B"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4,26</w:t>
            </w:r>
          </w:p>
        </w:tc>
        <w:tc>
          <w:tcPr>
            <w:tcW w:w="1399" w:type="dxa"/>
            <w:tcBorders>
              <w:top w:val="single" w:sz="4" w:space="0" w:color="auto"/>
            </w:tcBorders>
            <w:vAlign w:val="center"/>
            <w:hideMark/>
          </w:tcPr>
          <w:p w14:paraId="14CCDE7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5,88</w:t>
            </w:r>
          </w:p>
        </w:tc>
      </w:tr>
      <w:tr w:rsidR="001B5BD4" w:rsidRPr="001B5BD4" w14:paraId="026281B8" w14:textId="77777777" w:rsidTr="00220045">
        <w:trPr>
          <w:trHeight w:val="308"/>
        </w:trPr>
        <w:tc>
          <w:tcPr>
            <w:tcW w:w="0" w:type="auto"/>
            <w:vAlign w:val="center"/>
            <w:hideMark/>
          </w:tcPr>
          <w:p w14:paraId="4FFA0758"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50°C</w:t>
            </w:r>
          </w:p>
        </w:tc>
        <w:tc>
          <w:tcPr>
            <w:tcW w:w="0" w:type="auto"/>
            <w:vAlign w:val="center"/>
            <w:hideMark/>
          </w:tcPr>
          <w:p w14:paraId="45F89961"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3,1945</w:t>
            </w:r>
          </w:p>
        </w:tc>
        <w:tc>
          <w:tcPr>
            <w:tcW w:w="1013" w:type="dxa"/>
            <w:vAlign w:val="center"/>
            <w:hideMark/>
          </w:tcPr>
          <w:p w14:paraId="6D20F2FB"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2,3949</w:t>
            </w:r>
          </w:p>
        </w:tc>
        <w:tc>
          <w:tcPr>
            <w:tcW w:w="1559" w:type="dxa"/>
            <w:vAlign w:val="center"/>
            <w:hideMark/>
          </w:tcPr>
          <w:p w14:paraId="241671B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0,8610</w:t>
            </w:r>
          </w:p>
        </w:tc>
        <w:tc>
          <w:tcPr>
            <w:tcW w:w="1415" w:type="dxa"/>
            <w:vAlign w:val="center"/>
            <w:hideMark/>
          </w:tcPr>
          <w:p w14:paraId="0C15F82A"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4,10</w:t>
            </w:r>
          </w:p>
        </w:tc>
        <w:tc>
          <w:tcPr>
            <w:tcW w:w="1399" w:type="dxa"/>
            <w:vAlign w:val="center"/>
            <w:hideMark/>
          </w:tcPr>
          <w:p w14:paraId="41DE25F2"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8,12</w:t>
            </w:r>
          </w:p>
        </w:tc>
      </w:tr>
      <w:tr w:rsidR="001B5BD4" w:rsidRPr="001B5BD4" w14:paraId="2DCE2FE7" w14:textId="77777777" w:rsidTr="00220045">
        <w:trPr>
          <w:trHeight w:val="308"/>
        </w:trPr>
        <w:tc>
          <w:tcPr>
            <w:tcW w:w="0" w:type="auto"/>
            <w:vAlign w:val="center"/>
            <w:hideMark/>
          </w:tcPr>
          <w:p w14:paraId="18172A4A"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80°C</w:t>
            </w:r>
          </w:p>
        </w:tc>
        <w:tc>
          <w:tcPr>
            <w:tcW w:w="0" w:type="auto"/>
            <w:vAlign w:val="center"/>
            <w:hideMark/>
          </w:tcPr>
          <w:p w14:paraId="4BBE2670"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2,4052</w:t>
            </w:r>
          </w:p>
        </w:tc>
        <w:tc>
          <w:tcPr>
            <w:tcW w:w="1013" w:type="dxa"/>
            <w:vAlign w:val="center"/>
            <w:hideMark/>
          </w:tcPr>
          <w:p w14:paraId="58D5611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4,6375</w:t>
            </w:r>
          </w:p>
        </w:tc>
        <w:tc>
          <w:tcPr>
            <w:tcW w:w="1559" w:type="dxa"/>
            <w:vAlign w:val="center"/>
            <w:hideMark/>
          </w:tcPr>
          <w:p w14:paraId="0CFA975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1,1293</w:t>
            </w:r>
          </w:p>
        </w:tc>
        <w:tc>
          <w:tcPr>
            <w:tcW w:w="1415" w:type="dxa"/>
            <w:vAlign w:val="center"/>
            <w:hideMark/>
          </w:tcPr>
          <w:p w14:paraId="048D5C6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5,05</w:t>
            </w:r>
          </w:p>
        </w:tc>
        <w:tc>
          <w:tcPr>
            <w:tcW w:w="1399" w:type="dxa"/>
            <w:vAlign w:val="center"/>
            <w:hideMark/>
          </w:tcPr>
          <w:p w14:paraId="3E1E5C78"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14,12</w:t>
            </w:r>
          </w:p>
        </w:tc>
      </w:tr>
      <w:tr w:rsidR="00FA21EC" w:rsidRPr="001B5BD4" w14:paraId="127F2666" w14:textId="77777777" w:rsidTr="00220045">
        <w:trPr>
          <w:trHeight w:val="308"/>
        </w:trPr>
        <w:tc>
          <w:tcPr>
            <w:tcW w:w="0" w:type="auto"/>
            <w:vAlign w:val="center"/>
          </w:tcPr>
          <w:p w14:paraId="5A106F42" w14:textId="77777777" w:rsidR="00FA21EC" w:rsidRPr="001B5BD4" w:rsidRDefault="00FA21EC" w:rsidP="00220045">
            <w:pPr>
              <w:pStyle w:val="Body"/>
              <w:jc w:val="center"/>
              <w:rPr>
                <w:rFonts w:ascii="Arial" w:hAnsi="Arial" w:cs="Arial"/>
                <w:lang w:val="de-DE"/>
              </w:rPr>
            </w:pPr>
          </w:p>
        </w:tc>
        <w:tc>
          <w:tcPr>
            <w:tcW w:w="0" w:type="auto"/>
            <w:vAlign w:val="center"/>
          </w:tcPr>
          <w:p w14:paraId="4389159C" w14:textId="77777777" w:rsidR="00FA21EC" w:rsidRPr="001B5BD4" w:rsidRDefault="00FA21EC" w:rsidP="00220045">
            <w:pPr>
              <w:pStyle w:val="Body"/>
              <w:jc w:val="center"/>
              <w:rPr>
                <w:rFonts w:ascii="Arial" w:hAnsi="Arial" w:cs="Arial"/>
                <w:lang w:val="de-DE"/>
              </w:rPr>
            </w:pPr>
          </w:p>
        </w:tc>
        <w:tc>
          <w:tcPr>
            <w:tcW w:w="1013" w:type="dxa"/>
            <w:vAlign w:val="center"/>
          </w:tcPr>
          <w:p w14:paraId="7D0EEB51" w14:textId="77777777" w:rsidR="00FA21EC" w:rsidRPr="001B5BD4" w:rsidRDefault="00FA21EC" w:rsidP="00220045">
            <w:pPr>
              <w:pStyle w:val="Body"/>
              <w:jc w:val="center"/>
              <w:rPr>
                <w:rFonts w:ascii="Arial" w:hAnsi="Arial" w:cs="Arial"/>
                <w:lang w:val="de-DE"/>
              </w:rPr>
            </w:pPr>
          </w:p>
        </w:tc>
        <w:tc>
          <w:tcPr>
            <w:tcW w:w="1559" w:type="dxa"/>
            <w:vAlign w:val="center"/>
          </w:tcPr>
          <w:p w14:paraId="406686F9" w14:textId="77777777" w:rsidR="00FA21EC" w:rsidRPr="001B5BD4" w:rsidRDefault="00FA21EC" w:rsidP="00220045">
            <w:pPr>
              <w:pStyle w:val="Body"/>
              <w:jc w:val="center"/>
              <w:rPr>
                <w:rFonts w:ascii="Arial" w:hAnsi="Arial" w:cs="Arial"/>
                <w:lang w:val="de-DE"/>
              </w:rPr>
            </w:pPr>
          </w:p>
        </w:tc>
        <w:tc>
          <w:tcPr>
            <w:tcW w:w="1415" w:type="dxa"/>
            <w:vAlign w:val="center"/>
          </w:tcPr>
          <w:p w14:paraId="3854E4BC" w14:textId="77777777" w:rsidR="00FA21EC" w:rsidRPr="001B5BD4" w:rsidRDefault="00FA21EC" w:rsidP="00220045">
            <w:pPr>
              <w:pStyle w:val="Body"/>
              <w:jc w:val="center"/>
              <w:rPr>
                <w:rFonts w:ascii="Arial" w:hAnsi="Arial" w:cs="Arial"/>
                <w:lang w:val="de-DE"/>
              </w:rPr>
            </w:pPr>
          </w:p>
        </w:tc>
        <w:tc>
          <w:tcPr>
            <w:tcW w:w="1399" w:type="dxa"/>
            <w:vAlign w:val="center"/>
          </w:tcPr>
          <w:p w14:paraId="2BD7D7D1" w14:textId="77777777" w:rsidR="00FA21EC" w:rsidRPr="001B5BD4" w:rsidRDefault="00FA21EC" w:rsidP="00220045">
            <w:pPr>
              <w:pStyle w:val="Body"/>
              <w:jc w:val="center"/>
              <w:rPr>
                <w:rFonts w:ascii="Arial" w:hAnsi="Arial" w:cs="Arial"/>
                <w:lang w:val="de-DE"/>
              </w:rPr>
            </w:pPr>
          </w:p>
        </w:tc>
      </w:tr>
    </w:tbl>
    <w:p w14:paraId="32F0D6BF" w14:textId="77777777" w:rsidR="001B5BD4" w:rsidRPr="00220045" w:rsidRDefault="001B5BD4" w:rsidP="00220045">
      <w:pPr>
        <w:pStyle w:val="Body"/>
        <w:spacing w:after="0"/>
        <w:jc w:val="right"/>
        <w:rPr>
          <w:rFonts w:ascii="Arial" w:hAnsi="Arial" w:cs="Arial"/>
          <w:b/>
          <w:bCs/>
        </w:rPr>
      </w:pPr>
      <w:r w:rsidRPr="00220045">
        <w:rPr>
          <w:rFonts w:ascii="Arial" w:hAnsi="Arial" w:cs="Arial"/>
          <w:b/>
        </w:rPr>
        <w:t>2b. Content in the plant (µg/g DW)</w:t>
      </w:r>
    </w:p>
    <w:tbl>
      <w:tblPr>
        <w:tblW w:w="0" w:type="auto"/>
        <w:tblLook w:val="04A0" w:firstRow="1" w:lastRow="0" w:firstColumn="1" w:lastColumn="0" w:noHBand="0" w:noVBand="1"/>
      </w:tblPr>
      <w:tblGrid>
        <w:gridCol w:w="1551"/>
        <w:gridCol w:w="1372"/>
        <w:gridCol w:w="972"/>
        <w:gridCol w:w="1565"/>
        <w:gridCol w:w="1378"/>
        <w:gridCol w:w="1370"/>
      </w:tblGrid>
      <w:tr w:rsidR="001B5BD4" w:rsidRPr="001B5BD4" w14:paraId="2D2BDD08" w14:textId="77777777" w:rsidTr="00220045">
        <w:trPr>
          <w:trHeight w:val="722"/>
        </w:trPr>
        <w:tc>
          <w:tcPr>
            <w:tcW w:w="1562" w:type="dxa"/>
            <w:tcBorders>
              <w:top w:val="single" w:sz="4" w:space="0" w:color="auto"/>
              <w:bottom w:val="single" w:sz="4" w:space="0" w:color="auto"/>
            </w:tcBorders>
            <w:vAlign w:val="center"/>
            <w:hideMark/>
          </w:tcPr>
          <w:p w14:paraId="5C6B1FFF"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Temperature</w:t>
            </w:r>
          </w:p>
        </w:tc>
        <w:tc>
          <w:tcPr>
            <w:tcW w:w="1375" w:type="dxa"/>
            <w:tcBorders>
              <w:top w:val="single" w:sz="4" w:space="0" w:color="auto"/>
              <w:bottom w:val="single" w:sz="4" w:space="0" w:color="auto"/>
            </w:tcBorders>
            <w:vAlign w:val="center"/>
            <w:hideMark/>
          </w:tcPr>
          <w:p w14:paraId="14B765D6"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Epicatechin</w:t>
            </w:r>
          </w:p>
        </w:tc>
        <w:tc>
          <w:tcPr>
            <w:tcW w:w="995" w:type="dxa"/>
            <w:tcBorders>
              <w:top w:val="single" w:sz="4" w:space="0" w:color="auto"/>
              <w:bottom w:val="single" w:sz="4" w:space="0" w:color="auto"/>
            </w:tcBorders>
            <w:vAlign w:val="center"/>
            <w:hideMark/>
          </w:tcPr>
          <w:p w14:paraId="5ACA814E"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bCs/>
                <w:lang w:val="de-DE"/>
              </w:rPr>
              <w:t>Rutin</w:t>
            </w:r>
          </w:p>
        </w:tc>
        <w:tc>
          <w:tcPr>
            <w:tcW w:w="1582" w:type="dxa"/>
            <w:tcBorders>
              <w:top w:val="single" w:sz="4" w:space="0" w:color="auto"/>
              <w:bottom w:val="single" w:sz="4" w:space="0" w:color="auto"/>
            </w:tcBorders>
            <w:vAlign w:val="center"/>
            <w:hideMark/>
          </w:tcPr>
          <w:p w14:paraId="25CF80E1"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Chlorogenic acid</w:t>
            </w:r>
          </w:p>
        </w:tc>
        <w:tc>
          <w:tcPr>
            <w:tcW w:w="1436" w:type="dxa"/>
            <w:tcBorders>
              <w:top w:val="single" w:sz="4" w:space="0" w:color="auto"/>
              <w:bottom w:val="single" w:sz="4" w:space="0" w:color="auto"/>
            </w:tcBorders>
            <w:vAlign w:val="center"/>
            <w:hideMark/>
          </w:tcPr>
          <w:p w14:paraId="248FEEAA"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Gallic acid</w:t>
            </w:r>
          </w:p>
        </w:tc>
        <w:tc>
          <w:tcPr>
            <w:tcW w:w="1412" w:type="dxa"/>
            <w:tcBorders>
              <w:top w:val="single" w:sz="4" w:space="0" w:color="auto"/>
              <w:bottom w:val="single" w:sz="4" w:space="0" w:color="auto"/>
            </w:tcBorders>
            <w:vAlign w:val="center"/>
            <w:hideMark/>
          </w:tcPr>
          <w:p w14:paraId="40C3A8B4" w14:textId="77777777" w:rsidR="001B5BD4" w:rsidRPr="001B5BD4" w:rsidRDefault="001B5BD4" w:rsidP="00220045">
            <w:pPr>
              <w:pStyle w:val="Body"/>
              <w:spacing w:after="0"/>
              <w:jc w:val="center"/>
              <w:rPr>
                <w:rFonts w:ascii="Arial" w:hAnsi="Arial" w:cs="Arial"/>
                <w:b/>
                <w:bCs/>
                <w:lang w:val="de-DE"/>
              </w:rPr>
            </w:pPr>
            <w:r w:rsidRPr="001B5BD4">
              <w:rPr>
                <w:rFonts w:ascii="Arial" w:hAnsi="Arial" w:cs="Arial"/>
                <w:b/>
                <w:lang w:val="de-DE"/>
              </w:rPr>
              <w:t>Sinapic acid</w:t>
            </w:r>
          </w:p>
        </w:tc>
      </w:tr>
      <w:tr w:rsidR="001B5BD4" w:rsidRPr="001B5BD4" w14:paraId="31289467" w14:textId="77777777" w:rsidTr="00220045">
        <w:trPr>
          <w:trHeight w:val="588"/>
        </w:trPr>
        <w:tc>
          <w:tcPr>
            <w:tcW w:w="1562" w:type="dxa"/>
            <w:tcBorders>
              <w:top w:val="single" w:sz="4" w:space="0" w:color="auto"/>
            </w:tcBorders>
            <w:vAlign w:val="center"/>
            <w:hideMark/>
          </w:tcPr>
          <w:p w14:paraId="06CB3501"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cold conditions</w:t>
            </w:r>
          </w:p>
        </w:tc>
        <w:tc>
          <w:tcPr>
            <w:tcW w:w="1375" w:type="dxa"/>
            <w:tcBorders>
              <w:top w:val="single" w:sz="4" w:space="0" w:color="auto"/>
            </w:tcBorders>
            <w:vAlign w:val="center"/>
            <w:hideMark/>
          </w:tcPr>
          <w:p w14:paraId="3CBD2A93"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17,8</w:t>
            </w:r>
          </w:p>
        </w:tc>
        <w:tc>
          <w:tcPr>
            <w:tcW w:w="995" w:type="dxa"/>
            <w:tcBorders>
              <w:top w:val="single" w:sz="4" w:space="0" w:color="auto"/>
            </w:tcBorders>
            <w:vAlign w:val="center"/>
            <w:hideMark/>
          </w:tcPr>
          <w:p w14:paraId="4017209F"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8,09</w:t>
            </w:r>
          </w:p>
        </w:tc>
        <w:tc>
          <w:tcPr>
            <w:tcW w:w="1582" w:type="dxa"/>
            <w:tcBorders>
              <w:top w:val="single" w:sz="4" w:space="0" w:color="auto"/>
            </w:tcBorders>
            <w:vAlign w:val="center"/>
            <w:hideMark/>
          </w:tcPr>
          <w:p w14:paraId="524B37B9"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4,20</w:t>
            </w:r>
          </w:p>
        </w:tc>
        <w:tc>
          <w:tcPr>
            <w:tcW w:w="1436" w:type="dxa"/>
            <w:tcBorders>
              <w:top w:val="single" w:sz="4" w:space="0" w:color="auto"/>
            </w:tcBorders>
            <w:vAlign w:val="center"/>
            <w:hideMark/>
          </w:tcPr>
          <w:p w14:paraId="2AA58462"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21,5</w:t>
            </w:r>
          </w:p>
        </w:tc>
        <w:tc>
          <w:tcPr>
            <w:tcW w:w="1412" w:type="dxa"/>
            <w:tcBorders>
              <w:top w:val="single" w:sz="4" w:space="0" w:color="auto"/>
            </w:tcBorders>
            <w:vAlign w:val="center"/>
            <w:hideMark/>
          </w:tcPr>
          <w:p w14:paraId="2AD464B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29,7</w:t>
            </w:r>
          </w:p>
        </w:tc>
      </w:tr>
      <w:tr w:rsidR="001B5BD4" w:rsidRPr="001B5BD4" w14:paraId="184F75F3" w14:textId="77777777" w:rsidTr="00220045">
        <w:trPr>
          <w:trHeight w:val="307"/>
        </w:trPr>
        <w:tc>
          <w:tcPr>
            <w:tcW w:w="1562" w:type="dxa"/>
            <w:vAlign w:val="center"/>
            <w:hideMark/>
          </w:tcPr>
          <w:p w14:paraId="7CD1F7AD"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50°C</w:t>
            </w:r>
          </w:p>
        </w:tc>
        <w:tc>
          <w:tcPr>
            <w:tcW w:w="1375" w:type="dxa"/>
            <w:vAlign w:val="center"/>
            <w:hideMark/>
          </w:tcPr>
          <w:p w14:paraId="1E1793E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16,1</w:t>
            </w:r>
          </w:p>
        </w:tc>
        <w:tc>
          <w:tcPr>
            <w:tcW w:w="995" w:type="dxa"/>
            <w:vAlign w:val="center"/>
            <w:hideMark/>
          </w:tcPr>
          <w:p w14:paraId="09918F5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12,1</w:t>
            </w:r>
          </w:p>
        </w:tc>
        <w:tc>
          <w:tcPr>
            <w:tcW w:w="1582" w:type="dxa"/>
            <w:vAlign w:val="center"/>
            <w:hideMark/>
          </w:tcPr>
          <w:p w14:paraId="3034933C"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4,35</w:t>
            </w:r>
          </w:p>
        </w:tc>
        <w:tc>
          <w:tcPr>
            <w:tcW w:w="1436" w:type="dxa"/>
            <w:vAlign w:val="center"/>
            <w:hideMark/>
          </w:tcPr>
          <w:p w14:paraId="6C01391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20,7</w:t>
            </w:r>
          </w:p>
        </w:tc>
        <w:tc>
          <w:tcPr>
            <w:tcW w:w="1412" w:type="dxa"/>
            <w:vAlign w:val="center"/>
            <w:hideMark/>
          </w:tcPr>
          <w:p w14:paraId="05F80E76"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41,0</w:t>
            </w:r>
          </w:p>
        </w:tc>
      </w:tr>
      <w:tr w:rsidR="001B5BD4" w:rsidRPr="001B5BD4" w14:paraId="40A29716" w14:textId="77777777" w:rsidTr="00220045">
        <w:trPr>
          <w:trHeight w:val="293"/>
        </w:trPr>
        <w:tc>
          <w:tcPr>
            <w:tcW w:w="1562" w:type="dxa"/>
            <w:vAlign w:val="center"/>
            <w:hideMark/>
          </w:tcPr>
          <w:p w14:paraId="3B6C9DC8"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80°C</w:t>
            </w:r>
          </w:p>
        </w:tc>
        <w:tc>
          <w:tcPr>
            <w:tcW w:w="1375" w:type="dxa"/>
            <w:vAlign w:val="center"/>
            <w:hideMark/>
          </w:tcPr>
          <w:p w14:paraId="50EDC57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12,1</w:t>
            </w:r>
          </w:p>
        </w:tc>
        <w:tc>
          <w:tcPr>
            <w:tcW w:w="995" w:type="dxa"/>
            <w:vAlign w:val="center"/>
            <w:hideMark/>
          </w:tcPr>
          <w:p w14:paraId="4CBD4ED4"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23,4</w:t>
            </w:r>
          </w:p>
        </w:tc>
        <w:tc>
          <w:tcPr>
            <w:tcW w:w="1582" w:type="dxa"/>
            <w:vAlign w:val="center"/>
            <w:hideMark/>
          </w:tcPr>
          <w:p w14:paraId="15860ABD"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5,70</w:t>
            </w:r>
          </w:p>
        </w:tc>
        <w:tc>
          <w:tcPr>
            <w:tcW w:w="1436" w:type="dxa"/>
            <w:vAlign w:val="center"/>
            <w:hideMark/>
          </w:tcPr>
          <w:p w14:paraId="5256A177"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25,5</w:t>
            </w:r>
          </w:p>
        </w:tc>
        <w:tc>
          <w:tcPr>
            <w:tcW w:w="1412" w:type="dxa"/>
            <w:vAlign w:val="center"/>
            <w:hideMark/>
          </w:tcPr>
          <w:p w14:paraId="607D43E5" w14:textId="77777777" w:rsidR="001B5BD4" w:rsidRPr="001B5BD4" w:rsidRDefault="001B5BD4" w:rsidP="00220045">
            <w:pPr>
              <w:pStyle w:val="Body"/>
              <w:jc w:val="center"/>
              <w:rPr>
                <w:rFonts w:ascii="Arial" w:hAnsi="Arial" w:cs="Arial"/>
                <w:lang w:val="de-DE"/>
              </w:rPr>
            </w:pPr>
            <w:r w:rsidRPr="001B5BD4">
              <w:rPr>
                <w:rFonts w:ascii="Arial" w:hAnsi="Arial" w:cs="Arial"/>
                <w:lang w:val="de-DE"/>
              </w:rPr>
              <w:t>71,3</w:t>
            </w:r>
          </w:p>
        </w:tc>
      </w:tr>
    </w:tbl>
    <w:p w14:paraId="388AFA3D" w14:textId="77777777" w:rsidR="00220045" w:rsidRDefault="00220045" w:rsidP="001B5BD4">
      <w:pPr>
        <w:pStyle w:val="Body"/>
        <w:spacing w:after="0"/>
        <w:rPr>
          <w:rFonts w:ascii="Arial" w:hAnsi="Arial" w:cs="Arial"/>
        </w:rPr>
      </w:pPr>
    </w:p>
    <w:p w14:paraId="46AEC86E" w14:textId="77777777" w:rsidR="001B5BD4" w:rsidRPr="001B5BD4" w:rsidRDefault="001B5BD4" w:rsidP="001B5BD4">
      <w:pPr>
        <w:pStyle w:val="Body"/>
        <w:spacing w:after="0"/>
        <w:rPr>
          <w:rFonts w:ascii="Arial" w:hAnsi="Arial" w:cs="Arial"/>
        </w:rPr>
      </w:pPr>
      <w:r w:rsidRPr="001B5BD4">
        <w:rPr>
          <w:rFonts w:ascii="Arial" w:hAnsi="Arial" w:cs="Arial"/>
        </w:rPr>
        <w:t>To compare the phenolic profiles as a function of extraction temperature, aqueous extracts obtain</w:t>
      </w:r>
      <w:r w:rsidR="008B0933">
        <w:rPr>
          <w:rFonts w:ascii="Arial" w:hAnsi="Arial" w:cs="Arial"/>
        </w:rPr>
        <w:t>ed under cold conditions, at 50°C and at 80</w:t>
      </w:r>
      <w:r w:rsidRPr="001B5BD4">
        <w:rPr>
          <w:rFonts w:ascii="Arial" w:hAnsi="Arial" w:cs="Arial"/>
        </w:rPr>
        <w:t xml:space="preserve">°C were </w:t>
      </w:r>
      <w:r w:rsidR="006E440E" w:rsidRPr="001B5BD4">
        <w:rPr>
          <w:rFonts w:ascii="Arial" w:hAnsi="Arial" w:cs="Arial"/>
        </w:rPr>
        <w:t>analyzed</w:t>
      </w:r>
      <w:r w:rsidRPr="001B5BD4">
        <w:rPr>
          <w:rFonts w:ascii="Arial" w:hAnsi="Arial" w:cs="Arial"/>
        </w:rPr>
        <w:t xml:space="preserve">. The chromatograms recorded by HPLC–PAD are presented in Figures </w:t>
      </w:r>
      <w:r w:rsidR="00297254">
        <w:rPr>
          <w:rFonts w:ascii="Arial" w:hAnsi="Arial" w:cs="Arial"/>
        </w:rPr>
        <w:t>2</w:t>
      </w:r>
      <w:r w:rsidRPr="001B5BD4">
        <w:rPr>
          <w:rFonts w:ascii="Arial" w:hAnsi="Arial" w:cs="Arial"/>
        </w:rPr>
        <w:t>–</w:t>
      </w:r>
      <w:r w:rsidR="00297254">
        <w:rPr>
          <w:rFonts w:ascii="Arial" w:hAnsi="Arial" w:cs="Arial"/>
        </w:rPr>
        <w:t>4</w:t>
      </w:r>
      <w:r w:rsidRPr="001B5BD4">
        <w:rPr>
          <w:rFonts w:ascii="Arial" w:hAnsi="Arial" w:cs="Arial"/>
        </w:rPr>
        <w:t xml:space="preserve"> and allow a direct comparison of the phenolic profile. The identification of each peak was carried out by correlating retention times and UV–Vis absorption maxima with the values determined for the analytical standards (Table 3), which enabled the selective confirmation of the compounds and the interpretation of signal variations according to the extraction temperature.</w:t>
      </w:r>
    </w:p>
    <w:p w14:paraId="3A4C0EBC" w14:textId="77777777" w:rsidR="00C25041" w:rsidRDefault="00C25041" w:rsidP="001B5BD4">
      <w:pPr>
        <w:pStyle w:val="Body"/>
        <w:rPr>
          <w:rFonts w:ascii="Arial" w:hAnsi="Arial" w:cs="Arial"/>
          <w:b/>
          <w:lang w:bidi="en-US"/>
        </w:rPr>
      </w:pPr>
    </w:p>
    <w:p w14:paraId="12DE15EC" w14:textId="77777777" w:rsidR="001B5BD4" w:rsidRPr="00C25041" w:rsidRDefault="001B5BD4" w:rsidP="00C25041">
      <w:pPr>
        <w:pStyle w:val="Body"/>
        <w:jc w:val="center"/>
        <w:rPr>
          <w:rFonts w:ascii="Arial" w:hAnsi="Arial" w:cs="Arial"/>
          <w:b/>
          <w:lang w:bidi="en-US"/>
        </w:rPr>
      </w:pPr>
      <w:r w:rsidRPr="00C25041">
        <w:rPr>
          <w:rFonts w:ascii="Arial" w:hAnsi="Arial" w:cs="Arial"/>
          <w:b/>
          <w:lang w:bidi="en-US"/>
        </w:rPr>
        <w:t>Table 3.</w:t>
      </w:r>
      <w:r w:rsidR="00C25041">
        <w:rPr>
          <w:rFonts w:ascii="Arial" w:hAnsi="Arial" w:cs="Arial"/>
          <w:b/>
          <w:lang w:bidi="en-US"/>
        </w:rPr>
        <w:t xml:space="preserve"> </w:t>
      </w:r>
      <w:r w:rsidRPr="00C25041">
        <w:rPr>
          <w:rFonts w:ascii="Arial" w:hAnsi="Arial" w:cs="Arial"/>
          <w:b/>
          <w:lang w:bidi="en-US"/>
        </w:rPr>
        <w:t xml:space="preserve">Chromatographic parameters and PDA response for the analytical </w:t>
      </w:r>
      <w:r w:rsidR="006E440E" w:rsidRPr="00C25041">
        <w:rPr>
          <w:rFonts w:ascii="Arial" w:hAnsi="Arial" w:cs="Arial"/>
          <w:b/>
          <w:lang w:bidi="en-US"/>
        </w:rPr>
        <w:t>standardized for</w:t>
      </w:r>
      <w:r w:rsidRPr="00C25041">
        <w:rPr>
          <w:rFonts w:ascii="Arial" w:hAnsi="Arial" w:cs="Arial"/>
          <w:b/>
          <w:lang w:bidi="en-US"/>
        </w:rPr>
        <w:t xml:space="preserve"> calibration</w:t>
      </w:r>
    </w:p>
    <w:tbl>
      <w:tblPr>
        <w:tblW w:w="77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05"/>
        <w:gridCol w:w="2341"/>
        <w:gridCol w:w="1180"/>
        <w:gridCol w:w="960"/>
        <w:gridCol w:w="1496"/>
        <w:gridCol w:w="1134"/>
      </w:tblGrid>
      <w:tr w:rsidR="001B5BD4" w:rsidRPr="001B5BD4" w14:paraId="69E9A36F" w14:textId="77777777" w:rsidTr="006226D8">
        <w:trPr>
          <w:trHeight w:val="300"/>
          <w:jc w:val="center"/>
        </w:trPr>
        <w:tc>
          <w:tcPr>
            <w:tcW w:w="605" w:type="dxa"/>
            <w:tcBorders>
              <w:top w:val="single" w:sz="4" w:space="0" w:color="auto"/>
              <w:left w:val="nil"/>
              <w:bottom w:val="single" w:sz="4" w:space="0" w:color="auto"/>
              <w:right w:val="nil"/>
            </w:tcBorders>
            <w:vAlign w:val="center"/>
          </w:tcPr>
          <w:p w14:paraId="6CFBA71E"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Nr.</w:t>
            </w:r>
          </w:p>
          <w:p w14:paraId="0D47266F" w14:textId="77777777" w:rsidR="001B5BD4" w:rsidRPr="001B5BD4" w:rsidRDefault="001B5BD4" w:rsidP="006226D8">
            <w:pPr>
              <w:pStyle w:val="Body"/>
              <w:spacing w:after="0" w:line="276" w:lineRule="auto"/>
              <w:jc w:val="center"/>
              <w:rPr>
                <w:rFonts w:ascii="Arial" w:hAnsi="Arial" w:cs="Arial"/>
                <w:b/>
                <w:bCs/>
              </w:rPr>
            </w:pPr>
            <w:proofErr w:type="spellStart"/>
            <w:r w:rsidRPr="001B5BD4">
              <w:rPr>
                <w:rFonts w:ascii="Arial" w:hAnsi="Arial" w:cs="Arial"/>
                <w:b/>
                <w:bCs/>
              </w:rPr>
              <w:t>crt</w:t>
            </w:r>
            <w:proofErr w:type="spellEnd"/>
            <w:r w:rsidRPr="001B5BD4">
              <w:rPr>
                <w:rFonts w:ascii="Arial" w:hAnsi="Arial" w:cs="Arial"/>
                <w:b/>
                <w:bCs/>
              </w:rPr>
              <w:t>.</w:t>
            </w:r>
          </w:p>
        </w:tc>
        <w:tc>
          <w:tcPr>
            <w:tcW w:w="2341" w:type="dxa"/>
            <w:tcBorders>
              <w:top w:val="single" w:sz="4" w:space="0" w:color="auto"/>
              <w:left w:val="nil"/>
              <w:bottom w:val="single" w:sz="4" w:space="0" w:color="auto"/>
              <w:right w:val="nil"/>
            </w:tcBorders>
            <w:vAlign w:val="center"/>
          </w:tcPr>
          <w:p w14:paraId="7D9A1F9A"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Analyte</w:t>
            </w:r>
          </w:p>
        </w:tc>
        <w:tc>
          <w:tcPr>
            <w:tcW w:w="1180" w:type="dxa"/>
            <w:tcBorders>
              <w:top w:val="single" w:sz="4" w:space="0" w:color="auto"/>
              <w:left w:val="nil"/>
              <w:bottom w:val="single" w:sz="4" w:space="0" w:color="auto"/>
              <w:right w:val="nil"/>
            </w:tcBorders>
            <w:vAlign w:val="center"/>
          </w:tcPr>
          <w:p w14:paraId="1CBB4864"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RT (min)</w:t>
            </w:r>
          </w:p>
        </w:tc>
        <w:tc>
          <w:tcPr>
            <w:tcW w:w="960" w:type="dxa"/>
            <w:tcBorders>
              <w:top w:val="single" w:sz="4" w:space="0" w:color="auto"/>
              <w:left w:val="nil"/>
              <w:bottom w:val="single" w:sz="4" w:space="0" w:color="auto"/>
              <w:right w:val="nil"/>
            </w:tcBorders>
            <w:vAlign w:val="center"/>
          </w:tcPr>
          <w:p w14:paraId="57D4D81A"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nm</w:t>
            </w:r>
          </w:p>
        </w:tc>
        <w:tc>
          <w:tcPr>
            <w:tcW w:w="1496" w:type="dxa"/>
            <w:tcBorders>
              <w:top w:val="single" w:sz="4" w:space="0" w:color="auto"/>
              <w:left w:val="nil"/>
              <w:bottom w:val="single" w:sz="4" w:space="0" w:color="auto"/>
              <w:right w:val="nil"/>
            </w:tcBorders>
            <w:vAlign w:val="center"/>
          </w:tcPr>
          <w:p w14:paraId="1B734AFE"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Ref sol (µg/mL)</w:t>
            </w:r>
          </w:p>
        </w:tc>
        <w:tc>
          <w:tcPr>
            <w:tcW w:w="1134" w:type="dxa"/>
            <w:tcBorders>
              <w:top w:val="single" w:sz="4" w:space="0" w:color="auto"/>
              <w:left w:val="nil"/>
              <w:bottom w:val="single" w:sz="4" w:space="0" w:color="auto"/>
              <w:right w:val="nil"/>
            </w:tcBorders>
            <w:vAlign w:val="center"/>
          </w:tcPr>
          <w:p w14:paraId="3110BB2E" w14:textId="77777777" w:rsidR="001B5BD4" w:rsidRPr="001B5BD4" w:rsidRDefault="001B5BD4" w:rsidP="006226D8">
            <w:pPr>
              <w:pStyle w:val="Body"/>
              <w:spacing w:after="0" w:line="276" w:lineRule="auto"/>
              <w:jc w:val="center"/>
              <w:rPr>
                <w:rFonts w:ascii="Arial" w:hAnsi="Arial" w:cs="Arial"/>
                <w:b/>
                <w:bCs/>
              </w:rPr>
            </w:pPr>
            <w:r w:rsidRPr="001B5BD4">
              <w:rPr>
                <w:rFonts w:ascii="Arial" w:hAnsi="Arial" w:cs="Arial"/>
                <w:b/>
                <w:bCs/>
              </w:rPr>
              <w:t>Peak area</w:t>
            </w:r>
          </w:p>
        </w:tc>
      </w:tr>
      <w:tr w:rsidR="001B5BD4" w:rsidRPr="001B5BD4" w14:paraId="6CE5BC5A" w14:textId="77777777" w:rsidTr="00F960C8">
        <w:trPr>
          <w:cantSplit/>
          <w:trHeight w:hRule="exact" w:val="340"/>
          <w:jc w:val="center"/>
        </w:trPr>
        <w:tc>
          <w:tcPr>
            <w:tcW w:w="605" w:type="dxa"/>
            <w:tcBorders>
              <w:top w:val="single" w:sz="4" w:space="0" w:color="auto"/>
              <w:left w:val="nil"/>
              <w:bottom w:val="nil"/>
              <w:right w:val="nil"/>
            </w:tcBorders>
            <w:vAlign w:val="center"/>
          </w:tcPr>
          <w:p w14:paraId="432FBD5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w:t>
            </w:r>
          </w:p>
        </w:tc>
        <w:tc>
          <w:tcPr>
            <w:tcW w:w="2341" w:type="dxa"/>
            <w:tcBorders>
              <w:top w:val="single" w:sz="4" w:space="0" w:color="auto"/>
              <w:left w:val="nil"/>
              <w:bottom w:val="nil"/>
              <w:right w:val="nil"/>
            </w:tcBorders>
            <w:vAlign w:val="center"/>
          </w:tcPr>
          <w:p w14:paraId="1980125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Chlorogenic acid</w:t>
            </w:r>
          </w:p>
        </w:tc>
        <w:tc>
          <w:tcPr>
            <w:tcW w:w="1180" w:type="dxa"/>
            <w:tcBorders>
              <w:top w:val="single" w:sz="4" w:space="0" w:color="auto"/>
              <w:left w:val="nil"/>
              <w:bottom w:val="nil"/>
              <w:right w:val="nil"/>
            </w:tcBorders>
            <w:vAlign w:val="center"/>
          </w:tcPr>
          <w:p w14:paraId="614C7BF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8,76</w:t>
            </w:r>
          </w:p>
        </w:tc>
        <w:tc>
          <w:tcPr>
            <w:tcW w:w="960" w:type="dxa"/>
            <w:tcBorders>
              <w:top w:val="single" w:sz="4" w:space="0" w:color="auto"/>
              <w:left w:val="nil"/>
              <w:bottom w:val="nil"/>
              <w:right w:val="nil"/>
            </w:tcBorders>
            <w:vAlign w:val="center"/>
          </w:tcPr>
          <w:p w14:paraId="4E3D26F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325</w:t>
            </w:r>
          </w:p>
        </w:tc>
        <w:tc>
          <w:tcPr>
            <w:tcW w:w="1496" w:type="dxa"/>
            <w:tcBorders>
              <w:top w:val="single" w:sz="4" w:space="0" w:color="auto"/>
              <w:left w:val="nil"/>
              <w:bottom w:val="nil"/>
              <w:right w:val="nil"/>
            </w:tcBorders>
            <w:vAlign w:val="center"/>
          </w:tcPr>
          <w:p w14:paraId="1B0DE42C"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single" w:sz="4" w:space="0" w:color="auto"/>
              <w:left w:val="nil"/>
              <w:bottom w:val="nil"/>
              <w:right w:val="nil"/>
            </w:tcBorders>
            <w:vAlign w:val="center"/>
          </w:tcPr>
          <w:p w14:paraId="7EF73629"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3816,38</w:t>
            </w:r>
          </w:p>
        </w:tc>
      </w:tr>
      <w:tr w:rsidR="001B5BD4" w:rsidRPr="001B5BD4" w14:paraId="1D761D84" w14:textId="77777777" w:rsidTr="00F960C8">
        <w:trPr>
          <w:cantSplit/>
          <w:trHeight w:hRule="exact" w:val="340"/>
          <w:jc w:val="center"/>
        </w:trPr>
        <w:tc>
          <w:tcPr>
            <w:tcW w:w="605" w:type="dxa"/>
            <w:tcBorders>
              <w:top w:val="nil"/>
              <w:left w:val="nil"/>
              <w:bottom w:val="nil"/>
              <w:right w:val="nil"/>
            </w:tcBorders>
            <w:vAlign w:val="center"/>
          </w:tcPr>
          <w:p w14:paraId="4477B37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w:t>
            </w:r>
          </w:p>
        </w:tc>
        <w:tc>
          <w:tcPr>
            <w:tcW w:w="2341" w:type="dxa"/>
            <w:tcBorders>
              <w:top w:val="nil"/>
              <w:left w:val="nil"/>
              <w:bottom w:val="nil"/>
              <w:right w:val="nil"/>
            </w:tcBorders>
            <w:vAlign w:val="center"/>
          </w:tcPr>
          <w:p w14:paraId="3F2CD64A" w14:textId="77777777" w:rsidR="001B5BD4" w:rsidRPr="001B5BD4" w:rsidRDefault="001B5BD4" w:rsidP="006226D8">
            <w:pPr>
              <w:pStyle w:val="Body"/>
              <w:spacing w:after="0" w:line="276" w:lineRule="auto"/>
              <w:jc w:val="center"/>
              <w:rPr>
                <w:rFonts w:ascii="Arial" w:hAnsi="Arial" w:cs="Arial"/>
              </w:rPr>
            </w:pPr>
            <w:proofErr w:type="spellStart"/>
            <w:r w:rsidRPr="001B5BD4">
              <w:rPr>
                <w:rFonts w:ascii="Arial" w:hAnsi="Arial" w:cs="Arial"/>
              </w:rPr>
              <w:t>Sinapic</w:t>
            </w:r>
            <w:proofErr w:type="spellEnd"/>
            <w:r w:rsidRPr="001B5BD4">
              <w:rPr>
                <w:rFonts w:ascii="Arial" w:hAnsi="Arial" w:cs="Arial"/>
              </w:rPr>
              <w:t xml:space="preserve"> acid</w:t>
            </w:r>
          </w:p>
        </w:tc>
        <w:tc>
          <w:tcPr>
            <w:tcW w:w="1180" w:type="dxa"/>
            <w:tcBorders>
              <w:top w:val="nil"/>
              <w:left w:val="nil"/>
              <w:bottom w:val="nil"/>
              <w:right w:val="nil"/>
            </w:tcBorders>
            <w:vAlign w:val="center"/>
          </w:tcPr>
          <w:p w14:paraId="3625AA9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10,405</w:t>
            </w:r>
          </w:p>
        </w:tc>
        <w:tc>
          <w:tcPr>
            <w:tcW w:w="960" w:type="dxa"/>
            <w:tcBorders>
              <w:top w:val="nil"/>
              <w:left w:val="nil"/>
              <w:bottom w:val="nil"/>
              <w:right w:val="nil"/>
            </w:tcBorders>
            <w:vAlign w:val="center"/>
          </w:tcPr>
          <w:p w14:paraId="5E0EA7FE"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330</w:t>
            </w:r>
          </w:p>
        </w:tc>
        <w:tc>
          <w:tcPr>
            <w:tcW w:w="1496" w:type="dxa"/>
            <w:tcBorders>
              <w:top w:val="nil"/>
              <w:left w:val="nil"/>
              <w:bottom w:val="nil"/>
              <w:right w:val="nil"/>
            </w:tcBorders>
            <w:vAlign w:val="center"/>
          </w:tcPr>
          <w:p w14:paraId="734F912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4E7FF210"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1509,00</w:t>
            </w:r>
          </w:p>
        </w:tc>
      </w:tr>
      <w:tr w:rsidR="001B5BD4" w:rsidRPr="001B5BD4" w14:paraId="4E10B390" w14:textId="77777777" w:rsidTr="00F960C8">
        <w:trPr>
          <w:cantSplit/>
          <w:trHeight w:hRule="exact" w:val="340"/>
          <w:jc w:val="center"/>
        </w:trPr>
        <w:tc>
          <w:tcPr>
            <w:tcW w:w="605" w:type="dxa"/>
            <w:tcBorders>
              <w:top w:val="nil"/>
              <w:left w:val="nil"/>
              <w:bottom w:val="nil"/>
              <w:right w:val="nil"/>
            </w:tcBorders>
            <w:vAlign w:val="center"/>
          </w:tcPr>
          <w:p w14:paraId="5757124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w:t>
            </w:r>
          </w:p>
        </w:tc>
        <w:tc>
          <w:tcPr>
            <w:tcW w:w="2341" w:type="dxa"/>
            <w:tcBorders>
              <w:top w:val="nil"/>
              <w:left w:val="nil"/>
              <w:bottom w:val="nil"/>
              <w:right w:val="nil"/>
            </w:tcBorders>
            <w:vAlign w:val="center"/>
          </w:tcPr>
          <w:p w14:paraId="426589B5"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Gallic acid</w:t>
            </w:r>
          </w:p>
        </w:tc>
        <w:tc>
          <w:tcPr>
            <w:tcW w:w="1180" w:type="dxa"/>
            <w:tcBorders>
              <w:top w:val="nil"/>
              <w:left w:val="nil"/>
              <w:bottom w:val="nil"/>
              <w:right w:val="nil"/>
            </w:tcBorders>
            <w:vAlign w:val="center"/>
          </w:tcPr>
          <w:p w14:paraId="4C60C30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2,984</w:t>
            </w:r>
          </w:p>
        </w:tc>
        <w:tc>
          <w:tcPr>
            <w:tcW w:w="960" w:type="dxa"/>
            <w:tcBorders>
              <w:top w:val="nil"/>
              <w:left w:val="nil"/>
              <w:bottom w:val="nil"/>
              <w:right w:val="nil"/>
            </w:tcBorders>
            <w:vAlign w:val="center"/>
          </w:tcPr>
          <w:p w14:paraId="3726374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271</w:t>
            </w:r>
          </w:p>
        </w:tc>
        <w:tc>
          <w:tcPr>
            <w:tcW w:w="1496" w:type="dxa"/>
            <w:tcBorders>
              <w:top w:val="nil"/>
              <w:left w:val="nil"/>
              <w:bottom w:val="nil"/>
              <w:right w:val="nil"/>
            </w:tcBorders>
            <w:vAlign w:val="center"/>
          </w:tcPr>
          <w:p w14:paraId="5022D1C4"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62D6308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82,50</w:t>
            </w:r>
          </w:p>
        </w:tc>
      </w:tr>
      <w:tr w:rsidR="001B5BD4" w:rsidRPr="001B5BD4" w14:paraId="2872A50A" w14:textId="77777777" w:rsidTr="00F960C8">
        <w:trPr>
          <w:cantSplit/>
          <w:trHeight w:hRule="exact" w:val="340"/>
          <w:jc w:val="center"/>
        </w:trPr>
        <w:tc>
          <w:tcPr>
            <w:tcW w:w="605" w:type="dxa"/>
            <w:tcBorders>
              <w:top w:val="nil"/>
              <w:left w:val="nil"/>
              <w:bottom w:val="nil"/>
              <w:right w:val="nil"/>
            </w:tcBorders>
            <w:vAlign w:val="center"/>
          </w:tcPr>
          <w:p w14:paraId="71C57333"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4.</w:t>
            </w:r>
          </w:p>
        </w:tc>
        <w:tc>
          <w:tcPr>
            <w:tcW w:w="2341" w:type="dxa"/>
            <w:tcBorders>
              <w:top w:val="nil"/>
              <w:left w:val="nil"/>
              <w:bottom w:val="nil"/>
              <w:right w:val="nil"/>
            </w:tcBorders>
            <w:vAlign w:val="center"/>
          </w:tcPr>
          <w:p w14:paraId="3EE16E34"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Epicatechin</w:t>
            </w:r>
          </w:p>
        </w:tc>
        <w:tc>
          <w:tcPr>
            <w:tcW w:w="1180" w:type="dxa"/>
            <w:tcBorders>
              <w:top w:val="nil"/>
              <w:left w:val="nil"/>
              <w:bottom w:val="nil"/>
              <w:right w:val="nil"/>
            </w:tcBorders>
            <w:vAlign w:val="center"/>
          </w:tcPr>
          <w:p w14:paraId="694D925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9,606</w:t>
            </w:r>
          </w:p>
        </w:tc>
        <w:tc>
          <w:tcPr>
            <w:tcW w:w="960" w:type="dxa"/>
            <w:tcBorders>
              <w:top w:val="nil"/>
              <w:left w:val="nil"/>
              <w:bottom w:val="nil"/>
              <w:right w:val="nil"/>
            </w:tcBorders>
            <w:vAlign w:val="center"/>
          </w:tcPr>
          <w:p w14:paraId="5FF3D817"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280</w:t>
            </w:r>
          </w:p>
        </w:tc>
        <w:tc>
          <w:tcPr>
            <w:tcW w:w="1496" w:type="dxa"/>
            <w:tcBorders>
              <w:top w:val="nil"/>
              <w:left w:val="nil"/>
              <w:bottom w:val="nil"/>
              <w:right w:val="nil"/>
            </w:tcBorders>
            <w:vAlign w:val="center"/>
          </w:tcPr>
          <w:p w14:paraId="28B5C4F2"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6051428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626,64</w:t>
            </w:r>
          </w:p>
        </w:tc>
      </w:tr>
      <w:tr w:rsidR="001B5BD4" w:rsidRPr="001B5BD4" w14:paraId="1798CDD9" w14:textId="77777777" w:rsidTr="00F960C8">
        <w:trPr>
          <w:cantSplit/>
          <w:trHeight w:hRule="exact" w:val="340"/>
          <w:jc w:val="center"/>
        </w:trPr>
        <w:tc>
          <w:tcPr>
            <w:tcW w:w="605" w:type="dxa"/>
            <w:tcBorders>
              <w:top w:val="nil"/>
              <w:left w:val="nil"/>
              <w:bottom w:val="nil"/>
              <w:right w:val="nil"/>
            </w:tcBorders>
            <w:vAlign w:val="center"/>
          </w:tcPr>
          <w:p w14:paraId="5132429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w:t>
            </w:r>
          </w:p>
        </w:tc>
        <w:tc>
          <w:tcPr>
            <w:tcW w:w="2341" w:type="dxa"/>
            <w:tcBorders>
              <w:top w:val="nil"/>
              <w:left w:val="nil"/>
              <w:bottom w:val="nil"/>
              <w:right w:val="nil"/>
            </w:tcBorders>
            <w:vAlign w:val="center"/>
          </w:tcPr>
          <w:p w14:paraId="1032033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Rutin</w:t>
            </w:r>
          </w:p>
        </w:tc>
        <w:tc>
          <w:tcPr>
            <w:tcW w:w="1180" w:type="dxa"/>
            <w:tcBorders>
              <w:top w:val="nil"/>
              <w:left w:val="nil"/>
              <w:bottom w:val="nil"/>
              <w:right w:val="nil"/>
            </w:tcBorders>
            <w:vAlign w:val="center"/>
          </w:tcPr>
          <w:p w14:paraId="69B1EC5B"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11,141</w:t>
            </w:r>
          </w:p>
        </w:tc>
        <w:tc>
          <w:tcPr>
            <w:tcW w:w="960" w:type="dxa"/>
            <w:tcBorders>
              <w:top w:val="nil"/>
              <w:left w:val="nil"/>
              <w:bottom w:val="nil"/>
              <w:right w:val="nil"/>
            </w:tcBorders>
            <w:vAlign w:val="center"/>
          </w:tcPr>
          <w:p w14:paraId="69C552AC"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356</w:t>
            </w:r>
          </w:p>
        </w:tc>
        <w:tc>
          <w:tcPr>
            <w:tcW w:w="1496" w:type="dxa"/>
            <w:tcBorders>
              <w:top w:val="nil"/>
              <w:left w:val="nil"/>
              <w:bottom w:val="nil"/>
              <w:right w:val="nil"/>
            </w:tcBorders>
            <w:vAlign w:val="center"/>
          </w:tcPr>
          <w:p w14:paraId="520174BD"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1CE851DA"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1228,43</w:t>
            </w:r>
          </w:p>
        </w:tc>
      </w:tr>
      <w:tr w:rsidR="001B5BD4" w:rsidRPr="001B5BD4" w14:paraId="44AC4761" w14:textId="77777777" w:rsidTr="00F960C8">
        <w:trPr>
          <w:cantSplit/>
          <w:trHeight w:hRule="exact" w:val="340"/>
          <w:jc w:val="center"/>
        </w:trPr>
        <w:tc>
          <w:tcPr>
            <w:tcW w:w="605" w:type="dxa"/>
            <w:tcBorders>
              <w:top w:val="nil"/>
              <w:left w:val="nil"/>
              <w:bottom w:val="nil"/>
              <w:right w:val="nil"/>
            </w:tcBorders>
            <w:vAlign w:val="center"/>
          </w:tcPr>
          <w:p w14:paraId="5C1DB36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6.</w:t>
            </w:r>
          </w:p>
        </w:tc>
        <w:tc>
          <w:tcPr>
            <w:tcW w:w="2341" w:type="dxa"/>
            <w:tcBorders>
              <w:top w:val="nil"/>
              <w:left w:val="nil"/>
              <w:bottom w:val="nil"/>
              <w:right w:val="nil"/>
            </w:tcBorders>
            <w:vAlign w:val="center"/>
          </w:tcPr>
          <w:p w14:paraId="7A7871B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Quercetin</w:t>
            </w:r>
          </w:p>
        </w:tc>
        <w:tc>
          <w:tcPr>
            <w:tcW w:w="1180" w:type="dxa"/>
            <w:tcBorders>
              <w:top w:val="nil"/>
              <w:left w:val="nil"/>
              <w:bottom w:val="nil"/>
              <w:right w:val="nil"/>
            </w:tcBorders>
            <w:vAlign w:val="center"/>
          </w:tcPr>
          <w:p w14:paraId="79B0ABD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12,373</w:t>
            </w:r>
          </w:p>
        </w:tc>
        <w:tc>
          <w:tcPr>
            <w:tcW w:w="960" w:type="dxa"/>
            <w:tcBorders>
              <w:top w:val="nil"/>
              <w:left w:val="nil"/>
              <w:bottom w:val="nil"/>
              <w:right w:val="nil"/>
            </w:tcBorders>
            <w:vAlign w:val="center"/>
          </w:tcPr>
          <w:p w14:paraId="09BD2FE6"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368</w:t>
            </w:r>
          </w:p>
        </w:tc>
        <w:tc>
          <w:tcPr>
            <w:tcW w:w="1496" w:type="dxa"/>
            <w:tcBorders>
              <w:top w:val="nil"/>
              <w:left w:val="nil"/>
              <w:bottom w:val="nil"/>
              <w:right w:val="nil"/>
            </w:tcBorders>
            <w:vAlign w:val="center"/>
          </w:tcPr>
          <w:p w14:paraId="39E34779"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5F39BA48"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2432,10</w:t>
            </w:r>
          </w:p>
        </w:tc>
      </w:tr>
      <w:tr w:rsidR="001B5BD4" w:rsidRPr="001B5BD4" w14:paraId="7D6F028E" w14:textId="77777777" w:rsidTr="00F960C8">
        <w:trPr>
          <w:cantSplit/>
          <w:trHeight w:hRule="exact" w:val="340"/>
          <w:jc w:val="center"/>
        </w:trPr>
        <w:tc>
          <w:tcPr>
            <w:tcW w:w="605" w:type="dxa"/>
            <w:tcBorders>
              <w:top w:val="nil"/>
              <w:left w:val="nil"/>
              <w:bottom w:val="nil"/>
              <w:right w:val="nil"/>
            </w:tcBorders>
            <w:vAlign w:val="center"/>
          </w:tcPr>
          <w:p w14:paraId="203B2B4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7.</w:t>
            </w:r>
          </w:p>
        </w:tc>
        <w:tc>
          <w:tcPr>
            <w:tcW w:w="2341" w:type="dxa"/>
            <w:tcBorders>
              <w:top w:val="nil"/>
              <w:left w:val="nil"/>
              <w:bottom w:val="nil"/>
              <w:right w:val="nil"/>
            </w:tcBorders>
            <w:vAlign w:val="center"/>
          </w:tcPr>
          <w:p w14:paraId="18F92BBA" w14:textId="77777777" w:rsidR="001B5BD4" w:rsidRPr="001B5BD4" w:rsidRDefault="001B5BD4" w:rsidP="006226D8">
            <w:pPr>
              <w:pStyle w:val="Body"/>
              <w:spacing w:after="0" w:line="276" w:lineRule="auto"/>
              <w:jc w:val="center"/>
              <w:rPr>
                <w:rFonts w:ascii="Arial" w:hAnsi="Arial" w:cs="Arial"/>
              </w:rPr>
            </w:pPr>
            <w:proofErr w:type="spellStart"/>
            <w:r w:rsidRPr="001B5BD4">
              <w:rPr>
                <w:rFonts w:ascii="Arial" w:hAnsi="Arial" w:cs="Arial"/>
              </w:rPr>
              <w:t>Kaemferol</w:t>
            </w:r>
            <w:proofErr w:type="spellEnd"/>
          </w:p>
        </w:tc>
        <w:tc>
          <w:tcPr>
            <w:tcW w:w="1180" w:type="dxa"/>
            <w:tcBorders>
              <w:top w:val="nil"/>
              <w:left w:val="nil"/>
              <w:bottom w:val="nil"/>
              <w:right w:val="nil"/>
            </w:tcBorders>
            <w:vAlign w:val="center"/>
          </w:tcPr>
          <w:p w14:paraId="2A0F30A0"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13,00</w:t>
            </w:r>
          </w:p>
        </w:tc>
        <w:tc>
          <w:tcPr>
            <w:tcW w:w="960" w:type="dxa"/>
            <w:tcBorders>
              <w:top w:val="nil"/>
              <w:left w:val="nil"/>
              <w:bottom w:val="nil"/>
              <w:right w:val="nil"/>
            </w:tcBorders>
            <w:vAlign w:val="center"/>
          </w:tcPr>
          <w:p w14:paraId="23C92A7E"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368</w:t>
            </w:r>
          </w:p>
        </w:tc>
        <w:tc>
          <w:tcPr>
            <w:tcW w:w="1496" w:type="dxa"/>
            <w:tcBorders>
              <w:top w:val="nil"/>
              <w:left w:val="nil"/>
              <w:bottom w:val="nil"/>
              <w:right w:val="nil"/>
            </w:tcBorders>
            <w:vAlign w:val="center"/>
          </w:tcPr>
          <w:p w14:paraId="776FD85F"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50</w:t>
            </w:r>
          </w:p>
        </w:tc>
        <w:tc>
          <w:tcPr>
            <w:tcW w:w="1134" w:type="dxa"/>
            <w:tcBorders>
              <w:top w:val="nil"/>
              <w:left w:val="nil"/>
              <w:bottom w:val="nil"/>
              <w:right w:val="nil"/>
            </w:tcBorders>
            <w:vAlign w:val="center"/>
          </w:tcPr>
          <w:p w14:paraId="18CCA1FC" w14:textId="77777777" w:rsidR="001B5BD4" w:rsidRPr="001B5BD4" w:rsidRDefault="001B5BD4" w:rsidP="006226D8">
            <w:pPr>
              <w:pStyle w:val="Body"/>
              <w:spacing w:after="0" w:line="276" w:lineRule="auto"/>
              <w:jc w:val="center"/>
              <w:rPr>
                <w:rFonts w:ascii="Arial" w:hAnsi="Arial" w:cs="Arial"/>
              </w:rPr>
            </w:pPr>
            <w:r w:rsidRPr="001B5BD4">
              <w:rPr>
                <w:rFonts w:ascii="Arial" w:hAnsi="Arial" w:cs="Arial"/>
              </w:rPr>
              <w:t>1050,00</w:t>
            </w:r>
          </w:p>
        </w:tc>
      </w:tr>
    </w:tbl>
    <w:p w14:paraId="26C202C4" w14:textId="77777777" w:rsidR="00790ADA" w:rsidRDefault="00790ADA" w:rsidP="00441B6F">
      <w:pPr>
        <w:pStyle w:val="Body"/>
        <w:spacing w:after="0"/>
        <w:rPr>
          <w:rFonts w:ascii="Arial" w:hAnsi="Arial" w:cs="Arial"/>
        </w:rPr>
      </w:pPr>
    </w:p>
    <w:p w14:paraId="7BF0D25F" w14:textId="77777777" w:rsidR="004649C3" w:rsidRPr="004649C3" w:rsidRDefault="004649C3" w:rsidP="00A5795F">
      <w:pPr>
        <w:pStyle w:val="Body"/>
        <w:spacing w:after="0"/>
        <w:jc w:val="center"/>
        <w:rPr>
          <w:rFonts w:ascii="Arial" w:hAnsi="Arial" w:cs="Arial"/>
          <w:b/>
          <w:lang w:bidi="en-US"/>
        </w:rPr>
      </w:pPr>
      <w:r w:rsidRPr="004649C3">
        <w:rPr>
          <w:rFonts w:ascii="Arial" w:hAnsi="Arial" w:cs="Arial"/>
          <w:b/>
          <w:noProof/>
        </w:rPr>
        <w:drawing>
          <wp:inline distT="0" distB="0" distL="0" distR="0" wp14:anchorId="7BB332D5" wp14:editId="24B21223">
            <wp:extent cx="4680000" cy="540000"/>
            <wp:effectExtent l="0" t="0" r="0" b="0"/>
            <wp:docPr id="3" name="image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a:picLocks noChangeAspect="1" noChangeArrowheads="1"/>
                    </pic:cNvPicPr>
                  </pic:nvPicPr>
                  <pic:blipFill>
                    <a:blip r:embed="rId16"/>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60C3770D"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lastRenderedPageBreak/>
        <w:t>a. HPLC–PDA chromatogram, λ = 280 nm (Epicatechin), retention time – 9.652 min</w:t>
      </w:r>
    </w:p>
    <w:p w14:paraId="45BB2755"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noProof/>
        </w:rPr>
        <w:drawing>
          <wp:inline distT="0" distB="0" distL="0" distR="0" wp14:anchorId="5E6E8CD3" wp14:editId="521D58C3">
            <wp:extent cx="4680000" cy="540000"/>
            <wp:effectExtent l="0" t="0" r="0" b="0"/>
            <wp:docPr id="4" name="image1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a:picLocks noChangeAspect="1" noChangeArrowheads="1"/>
                    </pic:cNvPicPr>
                  </pic:nvPicPr>
                  <pic:blipFill>
                    <a:blip r:embed="rId17"/>
                    <a:srcRect t="1614" r="514"/>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37E0BA27"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 xml:space="preserve">b. HPLC–PDA chromatogram, λ = 356 nm (Rutin), retention time – 11.256 min                 </w:t>
      </w:r>
      <w:r w:rsidRPr="004649C3">
        <w:rPr>
          <w:rFonts w:ascii="Arial" w:hAnsi="Arial" w:cs="Arial"/>
          <w:noProof/>
        </w:rPr>
        <w:drawing>
          <wp:inline distT="0" distB="0" distL="0" distR="0" wp14:anchorId="4AE31013" wp14:editId="03EC7D93">
            <wp:extent cx="4680000" cy="576000"/>
            <wp:effectExtent l="0" t="0" r="6350" b="0"/>
            <wp:docPr id="18" name="image1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a:picLocks noChangeAspect="1" noChangeArrowheads="1"/>
                    </pic:cNvPicPr>
                  </pic:nvPicPr>
                  <pic:blipFill>
                    <a:blip r:embed="rId18"/>
                    <a:srcRect/>
                    <a:stretch>
                      <a:fillRect/>
                    </a:stretch>
                  </pic:blipFill>
                  <pic:spPr bwMode="auto">
                    <a:xfrm>
                      <a:off x="0" y="0"/>
                      <a:ext cx="4680000" cy="576000"/>
                    </a:xfrm>
                    <a:prstGeom prst="rect">
                      <a:avLst/>
                    </a:prstGeom>
                    <a:noFill/>
                    <a:ln w="9525">
                      <a:noFill/>
                      <a:miter lim="800000"/>
                      <a:headEnd/>
                      <a:tailEnd/>
                    </a:ln>
                  </pic:spPr>
                </pic:pic>
              </a:graphicData>
            </a:graphic>
          </wp:inline>
        </w:drawing>
      </w:r>
    </w:p>
    <w:p w14:paraId="43522E94"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c. HPLC–PDA chromatogram, λ = 325 nm (Chlorogenic acid), retention time – 8.815 min</w:t>
      </w:r>
    </w:p>
    <w:p w14:paraId="42D1B763"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noProof/>
        </w:rPr>
        <w:drawing>
          <wp:inline distT="0" distB="0" distL="0" distR="0" wp14:anchorId="229A2D9F" wp14:editId="0FD4EF9A">
            <wp:extent cx="4680000" cy="540000"/>
            <wp:effectExtent l="0" t="0" r="0" b="0"/>
            <wp:docPr id="19"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a:picLocks noChangeAspect="1" noChangeArrowheads="1"/>
                    </pic:cNvPicPr>
                  </pic:nvPicPr>
                  <pic:blipFill>
                    <a:blip r:embed="rId19"/>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02751FB8"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 xml:space="preserve">d. HPLC–PDA chromatogram, λ = 368 nm (Quercetin) – not detected         </w:t>
      </w:r>
      <w:r w:rsidRPr="004649C3">
        <w:rPr>
          <w:rFonts w:ascii="Arial" w:hAnsi="Arial" w:cs="Arial"/>
          <w:noProof/>
        </w:rPr>
        <w:drawing>
          <wp:inline distT="0" distB="0" distL="0" distR="0" wp14:anchorId="76F89B51" wp14:editId="3A6B715B">
            <wp:extent cx="4678934" cy="540000"/>
            <wp:effectExtent l="0" t="0" r="0" b="0"/>
            <wp:docPr id="7"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a:picLocks noChangeAspect="1" noChangeArrowheads="1"/>
                    </pic:cNvPicPr>
                  </pic:nvPicPr>
                  <pic:blipFill>
                    <a:blip r:embed="rId20"/>
                    <a:srcRect/>
                    <a:stretch>
                      <a:fillRect/>
                    </a:stretch>
                  </pic:blipFill>
                  <pic:spPr bwMode="auto">
                    <a:xfrm>
                      <a:off x="0" y="0"/>
                      <a:ext cx="4678934" cy="540000"/>
                    </a:xfrm>
                    <a:prstGeom prst="rect">
                      <a:avLst/>
                    </a:prstGeom>
                    <a:noFill/>
                    <a:ln w="9525">
                      <a:noFill/>
                      <a:miter lim="800000"/>
                      <a:headEnd/>
                      <a:tailEnd/>
                    </a:ln>
                  </pic:spPr>
                </pic:pic>
              </a:graphicData>
            </a:graphic>
          </wp:inline>
        </w:drawing>
      </w:r>
    </w:p>
    <w:p w14:paraId="624E85A5" w14:textId="77777777" w:rsidR="004649C3" w:rsidRPr="004649C3" w:rsidRDefault="004649C3" w:rsidP="00A5795F">
      <w:pPr>
        <w:pStyle w:val="Body"/>
        <w:spacing w:after="0"/>
        <w:jc w:val="center"/>
        <w:rPr>
          <w:rFonts w:ascii="Arial" w:hAnsi="Arial" w:cs="Arial"/>
          <w:lang w:bidi="en-US"/>
        </w:rPr>
      </w:pPr>
      <w:r w:rsidRPr="004649C3">
        <w:rPr>
          <w:rFonts w:ascii="Arial" w:hAnsi="Arial" w:cs="Arial"/>
          <w:lang w:bidi="en-US"/>
        </w:rPr>
        <w:t>e. HPLC–PDA chromatogram, λ = 330 nm (</w:t>
      </w:r>
      <w:proofErr w:type="spellStart"/>
      <w:r w:rsidRPr="004649C3">
        <w:rPr>
          <w:rFonts w:ascii="Arial" w:hAnsi="Arial" w:cs="Arial"/>
          <w:lang w:bidi="en-US"/>
        </w:rPr>
        <w:t>Sinapic</w:t>
      </w:r>
      <w:proofErr w:type="spellEnd"/>
      <w:r w:rsidRPr="004649C3">
        <w:rPr>
          <w:rFonts w:ascii="Arial" w:hAnsi="Arial" w:cs="Arial"/>
          <w:lang w:bidi="en-US"/>
        </w:rPr>
        <w:t xml:space="preserve"> acid), retention time – 10.5 min</w:t>
      </w:r>
    </w:p>
    <w:p w14:paraId="796A06CC" w14:textId="77777777" w:rsidR="004649C3" w:rsidRPr="004649C3" w:rsidRDefault="004649C3" w:rsidP="00A5795F">
      <w:pPr>
        <w:pStyle w:val="Body"/>
        <w:spacing w:after="0"/>
        <w:jc w:val="center"/>
        <w:rPr>
          <w:rFonts w:ascii="Arial" w:hAnsi="Arial" w:cs="Arial"/>
          <w:lang w:bidi="en-US"/>
        </w:rPr>
      </w:pPr>
    </w:p>
    <w:p w14:paraId="7393BA9D" w14:textId="28BD06C8" w:rsidR="004649C3" w:rsidRDefault="004649C3" w:rsidP="00A5795F">
      <w:pPr>
        <w:pStyle w:val="Body"/>
        <w:spacing w:after="0"/>
        <w:jc w:val="center"/>
        <w:rPr>
          <w:rFonts w:ascii="Arial" w:hAnsi="Arial" w:cs="Arial"/>
          <w:b/>
          <w:lang w:bidi="en-US"/>
        </w:rPr>
      </w:pPr>
      <w:r w:rsidRPr="004649C3">
        <w:rPr>
          <w:rFonts w:ascii="Arial" w:hAnsi="Arial" w:cs="Arial"/>
          <w:b/>
          <w:lang w:bidi="en-US"/>
        </w:rPr>
        <w:t xml:space="preserve">Figure </w:t>
      </w:r>
      <w:r w:rsidR="00297254">
        <w:rPr>
          <w:rFonts w:ascii="Arial" w:hAnsi="Arial" w:cs="Arial"/>
          <w:b/>
          <w:lang w:bidi="en-US"/>
        </w:rPr>
        <w:t>2</w:t>
      </w:r>
      <w:r w:rsidRPr="004649C3">
        <w:rPr>
          <w:rFonts w:ascii="Arial" w:hAnsi="Arial" w:cs="Arial"/>
          <w:b/>
          <w:lang w:bidi="en-US"/>
        </w:rPr>
        <w:t>. Chromatograms of phenolic compounds in extracts obtained under cold extraction conditions</w:t>
      </w:r>
    </w:p>
    <w:p w14:paraId="056B18A4" w14:textId="77777777" w:rsidR="00614A95" w:rsidRPr="004649C3" w:rsidRDefault="00614A95" w:rsidP="00A5795F">
      <w:pPr>
        <w:pStyle w:val="Body"/>
        <w:spacing w:after="0"/>
        <w:jc w:val="center"/>
        <w:rPr>
          <w:rFonts w:ascii="Arial" w:hAnsi="Arial" w:cs="Arial"/>
          <w:b/>
          <w:lang w:bidi="en-US"/>
        </w:rPr>
      </w:pPr>
    </w:p>
    <w:p w14:paraId="789D0BF0"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46E87E82" wp14:editId="604A21E2">
            <wp:extent cx="4680000" cy="540000"/>
            <wp:effectExtent l="0" t="0" r="0" b="0"/>
            <wp:docPr id="8" name="imag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a:picLocks noChangeAspect="1" noChangeArrowheads="1"/>
                    </pic:cNvPicPr>
                  </pic:nvPicPr>
                  <pic:blipFill>
                    <a:blip r:embed="rId21"/>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3BDFF784"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a. HPLC–PDA chromatogram, λ = 280 nm (Epicatechin), retention time – 9.594 min</w:t>
      </w:r>
    </w:p>
    <w:p w14:paraId="1A274A3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1702C115" wp14:editId="5FB5FE45">
            <wp:extent cx="4680000" cy="540000"/>
            <wp:effectExtent l="0" t="0" r="0" b="0"/>
            <wp:docPr id="9" name="image1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a:picLocks noChangeAspect="1" noChangeArrowheads="1"/>
                    </pic:cNvPicPr>
                  </pic:nvPicPr>
                  <pic:blipFill>
                    <a:blip r:embed="rId22"/>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7056C97D"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b. HPLC–PDA chromatogram, λ = 356 nm (Rutin), retention time – 11.262 min</w:t>
      </w:r>
    </w:p>
    <w:p w14:paraId="4C7CB260"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63E88D62" wp14:editId="6B84CD27">
            <wp:extent cx="4680000" cy="540000"/>
            <wp:effectExtent l="0" t="0" r="0" b="0"/>
            <wp:docPr id="10" name="image1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a:picLocks noChangeAspect="1" noChangeArrowheads="1"/>
                    </pic:cNvPicPr>
                  </pic:nvPicPr>
                  <pic:blipFill>
                    <a:blip r:embed="rId23"/>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66D3F15A"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c. HPLC–PDA chromatogram, λ = 325 nm (Chlorogenic acid), retention time – 8.820 min</w:t>
      </w:r>
    </w:p>
    <w:p w14:paraId="6BDEF9C9"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60BF483A" wp14:editId="2542CB0A">
            <wp:extent cx="4680000" cy="540000"/>
            <wp:effectExtent l="0" t="0" r="0" b="0"/>
            <wp:docPr id="11" name="image1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a:picLocks noChangeAspect="1" noChangeArrowheads="1"/>
                    </pic:cNvPicPr>
                  </pic:nvPicPr>
                  <pic:blipFill>
                    <a:blip r:embed="rId24"/>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64218A08"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d. HPLC–PDA chromatogram, λ = 368 nm (Quercetin) – not detected</w:t>
      </w:r>
    </w:p>
    <w:p w14:paraId="75B9320A"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0E73FCAD" wp14:editId="12B13B9D">
            <wp:extent cx="4680000" cy="540000"/>
            <wp:effectExtent l="0" t="0" r="0" b="0"/>
            <wp:docPr id="12" name="imag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a:picLocks noChangeAspect="1" noChangeArrowheads="1"/>
                    </pic:cNvPicPr>
                  </pic:nvPicPr>
                  <pic:blipFill>
                    <a:blip r:embed="rId25"/>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5CC1A15E"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e. HPLC–PDA chromatogram, λ = 330 nm (</w:t>
      </w:r>
      <w:proofErr w:type="spellStart"/>
      <w:r w:rsidRPr="004649C3">
        <w:rPr>
          <w:rFonts w:ascii="Arial" w:hAnsi="Arial" w:cs="Arial"/>
          <w:lang w:bidi="en-US"/>
        </w:rPr>
        <w:t>Sinapic</w:t>
      </w:r>
      <w:proofErr w:type="spellEnd"/>
      <w:r w:rsidRPr="004649C3">
        <w:rPr>
          <w:rFonts w:ascii="Arial" w:hAnsi="Arial" w:cs="Arial"/>
          <w:lang w:bidi="en-US"/>
        </w:rPr>
        <w:t xml:space="preserve"> acid), retention time – 10.5 min</w:t>
      </w:r>
    </w:p>
    <w:p w14:paraId="0B58772E" w14:textId="77777777" w:rsidR="004649C3" w:rsidRPr="004649C3" w:rsidRDefault="004649C3" w:rsidP="004649C3">
      <w:pPr>
        <w:pStyle w:val="Body"/>
        <w:spacing w:after="0"/>
        <w:jc w:val="center"/>
        <w:rPr>
          <w:rFonts w:ascii="Arial" w:hAnsi="Arial" w:cs="Arial"/>
          <w:lang w:bidi="en-US"/>
        </w:rPr>
      </w:pPr>
    </w:p>
    <w:p w14:paraId="5BE0E5FE" w14:textId="65C71EDA" w:rsidR="004649C3" w:rsidRPr="004649C3" w:rsidRDefault="004649C3" w:rsidP="004649C3">
      <w:pPr>
        <w:pStyle w:val="Body"/>
        <w:spacing w:after="0"/>
        <w:jc w:val="center"/>
        <w:rPr>
          <w:rFonts w:ascii="Arial" w:hAnsi="Arial" w:cs="Arial"/>
          <w:b/>
          <w:lang w:bidi="en-US"/>
        </w:rPr>
      </w:pPr>
      <w:r w:rsidRPr="004649C3">
        <w:rPr>
          <w:rFonts w:ascii="Arial" w:hAnsi="Arial" w:cs="Arial"/>
          <w:b/>
          <w:lang w:bidi="en-US"/>
        </w:rPr>
        <w:t xml:space="preserve">Figure </w:t>
      </w:r>
      <w:r w:rsidR="00297254">
        <w:rPr>
          <w:rFonts w:ascii="Arial" w:hAnsi="Arial" w:cs="Arial"/>
          <w:b/>
          <w:lang w:bidi="en-US"/>
        </w:rPr>
        <w:t>3</w:t>
      </w:r>
      <w:r w:rsidRPr="004649C3">
        <w:rPr>
          <w:rFonts w:ascii="Arial" w:hAnsi="Arial" w:cs="Arial"/>
          <w:b/>
          <w:lang w:bidi="en-US"/>
        </w:rPr>
        <w:t>. Chromatograms of phenolic compounds in extracts obtained at 50°C</w:t>
      </w:r>
    </w:p>
    <w:p w14:paraId="5DE429A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3448A371" wp14:editId="61B302BC">
            <wp:extent cx="4680000" cy="540000"/>
            <wp:effectExtent l="0" t="0" r="0" b="0"/>
            <wp:docPr id="13"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a:picLocks noChangeAspect="1" noChangeArrowheads="1"/>
                    </pic:cNvPicPr>
                  </pic:nvPicPr>
                  <pic:blipFill>
                    <a:blip r:embed="rId26"/>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151EA01F"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lastRenderedPageBreak/>
        <w:t>a. HPLC–PDA chromatogram, λ = 280 nm (Epicatechin), retention time – 9.596 min</w:t>
      </w:r>
    </w:p>
    <w:p w14:paraId="52F17E6E"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2B7CDA96" wp14:editId="6FDA82BB">
            <wp:extent cx="4680000" cy="540000"/>
            <wp:effectExtent l="0" t="0" r="0" b="0"/>
            <wp:docPr id="14" name="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a:picLocks noChangeAspect="1" noChangeArrowheads="1"/>
                    </pic:cNvPicPr>
                  </pic:nvPicPr>
                  <pic:blipFill>
                    <a:blip r:embed="rId27"/>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158C3282"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b. HPLC–PDA chromatogram, λ = 356 nm (Rutin), retention time – 11.266 min</w:t>
      </w:r>
    </w:p>
    <w:p w14:paraId="3E7A51F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2CD642C3" wp14:editId="32CBEC03">
            <wp:extent cx="4680000" cy="540000"/>
            <wp:effectExtent l="0" t="0" r="0" b="0"/>
            <wp:docPr id="15"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a:picLocks noChangeAspect="1" noChangeArrowheads="1"/>
                    </pic:cNvPicPr>
                  </pic:nvPicPr>
                  <pic:blipFill>
                    <a:blip r:embed="rId28"/>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75A70EB3"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c. HPLC–PDA chromatogram, λ = 325 nm (Chlorogenic acid), retention time – 8.823 min</w:t>
      </w:r>
    </w:p>
    <w:p w14:paraId="24EBDC0B"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5429F945" wp14:editId="694C9F29">
            <wp:extent cx="4680000" cy="540000"/>
            <wp:effectExtent l="0" t="0" r="0" b="0"/>
            <wp:docPr id="16" name="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a:picLocks noChangeAspect="1" noChangeArrowheads="1"/>
                    </pic:cNvPicPr>
                  </pic:nvPicPr>
                  <pic:blipFill>
                    <a:blip r:embed="rId29"/>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076564F2"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d. HPLC–PDA chromatogram, λ = 368 nm (Quercetin) – not detected</w:t>
      </w:r>
    </w:p>
    <w:p w14:paraId="57DE4E50"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noProof/>
        </w:rPr>
        <w:drawing>
          <wp:inline distT="0" distB="0" distL="0" distR="0" wp14:anchorId="3B82D298" wp14:editId="24D5DDDF">
            <wp:extent cx="4680000" cy="540000"/>
            <wp:effectExtent l="0" t="0" r="0" b="0"/>
            <wp:docPr id="17" name="image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a:picLocks noChangeAspect="1" noChangeArrowheads="1"/>
                    </pic:cNvPicPr>
                  </pic:nvPicPr>
                  <pic:blipFill>
                    <a:blip r:embed="rId30"/>
                    <a:srcRect/>
                    <a:stretch>
                      <a:fillRect/>
                    </a:stretch>
                  </pic:blipFill>
                  <pic:spPr bwMode="auto">
                    <a:xfrm>
                      <a:off x="0" y="0"/>
                      <a:ext cx="4680000" cy="540000"/>
                    </a:xfrm>
                    <a:prstGeom prst="rect">
                      <a:avLst/>
                    </a:prstGeom>
                    <a:noFill/>
                    <a:ln w="9525">
                      <a:noFill/>
                      <a:miter lim="800000"/>
                      <a:headEnd/>
                      <a:tailEnd/>
                    </a:ln>
                  </pic:spPr>
                </pic:pic>
              </a:graphicData>
            </a:graphic>
          </wp:inline>
        </w:drawing>
      </w:r>
    </w:p>
    <w:p w14:paraId="066F27F6" w14:textId="77777777" w:rsidR="004649C3" w:rsidRPr="004649C3" w:rsidRDefault="004649C3" w:rsidP="004649C3">
      <w:pPr>
        <w:pStyle w:val="Body"/>
        <w:spacing w:after="0"/>
        <w:jc w:val="center"/>
        <w:rPr>
          <w:rFonts w:ascii="Arial" w:hAnsi="Arial" w:cs="Arial"/>
          <w:lang w:bidi="en-US"/>
        </w:rPr>
      </w:pPr>
      <w:r w:rsidRPr="004649C3">
        <w:rPr>
          <w:rFonts w:ascii="Arial" w:hAnsi="Arial" w:cs="Arial"/>
          <w:lang w:bidi="en-US"/>
        </w:rPr>
        <w:t>e. HPLC–PDA chromatogram, λ = 330 nm (</w:t>
      </w:r>
      <w:proofErr w:type="spellStart"/>
      <w:r w:rsidRPr="004649C3">
        <w:rPr>
          <w:rFonts w:ascii="Arial" w:hAnsi="Arial" w:cs="Arial"/>
          <w:lang w:bidi="en-US"/>
        </w:rPr>
        <w:t>Sinapic</w:t>
      </w:r>
      <w:proofErr w:type="spellEnd"/>
      <w:r w:rsidRPr="004649C3">
        <w:rPr>
          <w:rFonts w:ascii="Arial" w:hAnsi="Arial" w:cs="Arial"/>
          <w:lang w:bidi="en-US"/>
        </w:rPr>
        <w:t xml:space="preserve"> acid), retention time – 10.5 min</w:t>
      </w:r>
    </w:p>
    <w:p w14:paraId="715CB41F" w14:textId="77777777" w:rsidR="004649C3" w:rsidRPr="004649C3" w:rsidRDefault="004649C3" w:rsidP="004649C3">
      <w:pPr>
        <w:pStyle w:val="Body"/>
        <w:spacing w:after="0"/>
        <w:jc w:val="center"/>
        <w:rPr>
          <w:rFonts w:ascii="Arial" w:hAnsi="Arial" w:cs="Arial"/>
          <w:b/>
          <w:lang w:bidi="en-US"/>
        </w:rPr>
      </w:pPr>
    </w:p>
    <w:p w14:paraId="0C770C77" w14:textId="58C57E30" w:rsidR="004649C3" w:rsidRPr="004649C3" w:rsidRDefault="004649C3" w:rsidP="004649C3">
      <w:pPr>
        <w:pStyle w:val="Body"/>
        <w:spacing w:after="0"/>
        <w:jc w:val="center"/>
        <w:rPr>
          <w:rFonts w:ascii="Arial" w:hAnsi="Arial" w:cs="Arial"/>
          <w:b/>
          <w:lang w:bidi="en-US"/>
        </w:rPr>
      </w:pPr>
      <w:r w:rsidRPr="004649C3">
        <w:rPr>
          <w:rFonts w:ascii="Arial" w:hAnsi="Arial" w:cs="Arial"/>
          <w:b/>
          <w:lang w:bidi="en-US"/>
        </w:rPr>
        <w:t xml:space="preserve">Figure </w:t>
      </w:r>
      <w:r w:rsidR="00297254">
        <w:rPr>
          <w:rFonts w:ascii="Arial" w:hAnsi="Arial" w:cs="Arial"/>
          <w:b/>
          <w:lang w:bidi="en-US"/>
        </w:rPr>
        <w:t>4</w:t>
      </w:r>
      <w:r w:rsidRPr="004649C3">
        <w:rPr>
          <w:rFonts w:ascii="Arial" w:hAnsi="Arial" w:cs="Arial"/>
          <w:lang w:bidi="en-US"/>
        </w:rPr>
        <w:t xml:space="preserve">. </w:t>
      </w:r>
      <w:r w:rsidRPr="004649C3">
        <w:rPr>
          <w:rFonts w:ascii="Arial" w:hAnsi="Arial" w:cs="Arial"/>
          <w:b/>
          <w:lang w:bidi="en-US"/>
        </w:rPr>
        <w:t>Chromatograms of phenolic compounds in extracts obtained at 80°C</w:t>
      </w:r>
    </w:p>
    <w:p w14:paraId="4E25E6CE" w14:textId="77777777" w:rsidR="00EF7B14" w:rsidRDefault="00EF7B14" w:rsidP="00EF7B14">
      <w:pPr>
        <w:pStyle w:val="Body"/>
        <w:spacing w:after="0"/>
        <w:rPr>
          <w:rFonts w:ascii="Arial" w:hAnsi="Arial" w:cs="Arial"/>
        </w:rPr>
      </w:pPr>
    </w:p>
    <w:p w14:paraId="1F1441CF" w14:textId="77777777" w:rsidR="00EF7B14" w:rsidRPr="00EF7B14" w:rsidRDefault="00EF7B14" w:rsidP="00EF7B14">
      <w:pPr>
        <w:pStyle w:val="Body"/>
        <w:spacing w:after="0"/>
        <w:rPr>
          <w:rFonts w:ascii="Arial" w:hAnsi="Arial" w:cs="Arial"/>
        </w:rPr>
      </w:pPr>
      <w:r w:rsidRPr="00EF7B14">
        <w:rPr>
          <w:rFonts w:ascii="Arial" w:hAnsi="Arial" w:cs="Arial"/>
        </w:rPr>
        <w:t xml:space="preserve">Overall, the superimposition of the chromatograms suggests three interpretative patterns. A significant number of analytes within the 8–11 min window increase in intensity with temperature, indicating less polar compounds or compounds more strongly bound to the matrix, whose release is facilitated by thermal input. For certain constituents, the </w:t>
      </w:r>
      <w:r w:rsidR="00CD2B71">
        <w:rPr>
          <w:rFonts w:ascii="Arial" w:hAnsi="Arial" w:cs="Arial"/>
        </w:rPr>
        <w:t>maximum response observed at 50°C followed by a decrease at 80</w:t>
      </w:r>
      <w:r w:rsidRPr="00EF7B14">
        <w:rPr>
          <w:rFonts w:ascii="Arial" w:hAnsi="Arial" w:cs="Arial"/>
        </w:rPr>
        <w:t>°C is compatible with thermolability, a phenomenon frequently reported for free phenols or sensitive glycosides. The persistence of the peak around ~15.5 min under all conditions, with proportional variations in amplitude, suggests a relatively thermostable compound (potentially useful as a marker of the less volatile fraction). Co</w:t>
      </w:r>
      <w:r w:rsidR="00AC777C">
        <w:rPr>
          <w:rFonts w:ascii="Arial" w:hAnsi="Arial" w:cs="Arial"/>
        </w:rPr>
        <w:t>nsequently, a temperature of 50</w:t>
      </w:r>
      <w:r w:rsidRPr="00EF7B14">
        <w:rPr>
          <w:rFonts w:ascii="Arial" w:hAnsi="Arial" w:cs="Arial"/>
        </w:rPr>
        <w:t>°C appears, provisionally, to represent an optimal compromise between extraction yield (coherent intensification of many peaks) and the prevention of degrada</w:t>
      </w:r>
      <w:r w:rsidR="00CD2B71">
        <w:rPr>
          <w:rFonts w:ascii="Arial" w:hAnsi="Arial" w:cs="Arial"/>
        </w:rPr>
        <w:t>tion phenomena observable at 80</w:t>
      </w:r>
      <w:r w:rsidRPr="00EF7B14">
        <w:rPr>
          <w:rFonts w:ascii="Arial" w:hAnsi="Arial" w:cs="Arial"/>
        </w:rPr>
        <w:t>°C.</w:t>
      </w:r>
    </w:p>
    <w:p w14:paraId="672D54EC" w14:textId="77777777" w:rsidR="00EF7B14" w:rsidRPr="00EF7B14" w:rsidRDefault="00EF7B14" w:rsidP="00EF7B14">
      <w:pPr>
        <w:pStyle w:val="Body"/>
        <w:spacing w:after="0"/>
        <w:rPr>
          <w:rFonts w:ascii="Arial" w:hAnsi="Arial" w:cs="Arial"/>
        </w:rPr>
      </w:pPr>
      <w:r w:rsidRPr="00EF7B14">
        <w:rPr>
          <w:rFonts w:ascii="Arial" w:hAnsi="Arial" w:cs="Arial"/>
        </w:rPr>
        <w:t xml:space="preserve">The obtained results demonstrate a significant influence of temperature on the phenolic composition of aqueous extracts from </w:t>
      </w:r>
      <w:r w:rsidRPr="00EF7B14">
        <w:rPr>
          <w:rFonts w:ascii="Arial" w:hAnsi="Arial" w:cs="Arial"/>
          <w:i/>
          <w:iCs/>
        </w:rPr>
        <w:t>Elaeagnus angustifolia</w:t>
      </w:r>
      <w:r w:rsidRPr="00EF7B14">
        <w:rPr>
          <w:rFonts w:ascii="Arial" w:hAnsi="Arial" w:cs="Arial"/>
        </w:rPr>
        <w:t xml:space="preserve">. Depending on their chemical structure, the </w:t>
      </w:r>
      <w:r w:rsidR="006E440E" w:rsidRPr="00EF7B14">
        <w:rPr>
          <w:rFonts w:ascii="Arial" w:hAnsi="Arial" w:cs="Arial"/>
        </w:rPr>
        <w:t>analyzed</w:t>
      </w:r>
      <w:r w:rsidRPr="00EF7B14">
        <w:rPr>
          <w:rFonts w:ascii="Arial" w:hAnsi="Arial" w:cs="Arial"/>
        </w:rPr>
        <w:t xml:space="preserve"> compounds exhibited distinct </w:t>
      </w:r>
      <w:r w:rsidR="006E440E" w:rsidRPr="00EF7B14">
        <w:rPr>
          <w:rFonts w:ascii="Arial" w:hAnsi="Arial" w:cs="Arial"/>
        </w:rPr>
        <w:t>behaviors</w:t>
      </w:r>
      <w:r w:rsidRPr="00EF7B14">
        <w:rPr>
          <w:rFonts w:ascii="Arial" w:hAnsi="Arial" w:cs="Arial"/>
        </w:rPr>
        <w:t xml:space="preserve"> in response to the thermal factor and possess well-documented biological mechanisms of action.</w:t>
      </w:r>
    </w:p>
    <w:p w14:paraId="511FE0D0" w14:textId="77777777" w:rsidR="00EF7B14" w:rsidRPr="00EF7B14" w:rsidRDefault="00EF7B14" w:rsidP="00EF7B14">
      <w:pPr>
        <w:pStyle w:val="Body"/>
        <w:spacing w:after="0"/>
        <w:rPr>
          <w:rFonts w:ascii="Arial" w:hAnsi="Arial" w:cs="Arial"/>
        </w:rPr>
      </w:pPr>
      <w:proofErr w:type="spellStart"/>
      <w:r w:rsidRPr="00EF7B14">
        <w:rPr>
          <w:rFonts w:ascii="Arial" w:hAnsi="Arial" w:cs="Arial"/>
        </w:rPr>
        <w:t>Sinapic</w:t>
      </w:r>
      <w:proofErr w:type="spellEnd"/>
      <w:r w:rsidRPr="00EF7B14">
        <w:rPr>
          <w:rFonts w:ascii="Arial" w:hAnsi="Arial" w:cs="Arial"/>
        </w:rPr>
        <w:t xml:space="preserve"> acid and </w:t>
      </w:r>
      <w:proofErr w:type="spellStart"/>
      <w:r w:rsidRPr="00EF7B14">
        <w:rPr>
          <w:rFonts w:ascii="Arial" w:hAnsi="Arial" w:cs="Arial"/>
        </w:rPr>
        <w:t>rutin</w:t>
      </w:r>
      <w:proofErr w:type="spellEnd"/>
      <w:r w:rsidRPr="00EF7B14">
        <w:rPr>
          <w:rFonts w:ascii="Arial" w:hAnsi="Arial" w:cs="Arial"/>
        </w:rPr>
        <w:t xml:space="preserve"> contain a higher number of hydroxyl and </w:t>
      </w:r>
      <w:proofErr w:type="spellStart"/>
      <w:r w:rsidRPr="00EF7B14">
        <w:rPr>
          <w:rFonts w:ascii="Arial" w:hAnsi="Arial" w:cs="Arial"/>
        </w:rPr>
        <w:t>methoxyl</w:t>
      </w:r>
      <w:proofErr w:type="spellEnd"/>
      <w:r w:rsidRPr="00EF7B14">
        <w:rPr>
          <w:rFonts w:ascii="Arial" w:hAnsi="Arial" w:cs="Arial"/>
        </w:rPr>
        <w:t xml:space="preserve"> groups, which may be released more efficiently at higher temperatures through increased solubility in water, the disruption of bonds with polysaccharides in the matrix, and the release of bound phenolic fractions.</w:t>
      </w:r>
    </w:p>
    <w:p w14:paraId="4F0067CC" w14:textId="77777777" w:rsidR="00EF7B14" w:rsidRPr="00EF7B14" w:rsidRDefault="00AC777C" w:rsidP="00EF7B14">
      <w:pPr>
        <w:pStyle w:val="Body"/>
        <w:spacing w:after="0"/>
        <w:rPr>
          <w:rFonts w:ascii="Arial" w:hAnsi="Arial" w:cs="Arial"/>
        </w:rPr>
      </w:pPr>
      <w:r>
        <w:rPr>
          <w:rFonts w:ascii="Arial" w:hAnsi="Arial" w:cs="Arial"/>
        </w:rPr>
        <w:t>The extract obtained at 80</w:t>
      </w:r>
      <w:r w:rsidR="00EF7B14" w:rsidRPr="00EF7B14">
        <w:rPr>
          <w:rFonts w:ascii="Arial" w:hAnsi="Arial" w:cs="Arial"/>
        </w:rPr>
        <w:t xml:space="preserve">°C contains more than 2.3 times more rutin and more than 2.4 times more </w:t>
      </w:r>
      <w:proofErr w:type="spellStart"/>
      <w:r w:rsidR="00EF7B14" w:rsidRPr="00EF7B14">
        <w:rPr>
          <w:rFonts w:ascii="Arial" w:hAnsi="Arial" w:cs="Arial"/>
        </w:rPr>
        <w:t>sinapic</w:t>
      </w:r>
      <w:proofErr w:type="spellEnd"/>
      <w:r w:rsidR="00EF7B14" w:rsidRPr="00EF7B14">
        <w:rPr>
          <w:rFonts w:ascii="Arial" w:hAnsi="Arial" w:cs="Arial"/>
        </w:rPr>
        <w:t xml:space="preserve"> acid than the extract obtained under cold conditions. These results are consistent with the </w:t>
      </w:r>
      <w:r w:rsidR="006E440E" w:rsidRPr="00EF7B14">
        <w:rPr>
          <w:rFonts w:ascii="Arial" w:hAnsi="Arial" w:cs="Arial"/>
        </w:rPr>
        <w:t>specialized</w:t>
      </w:r>
      <w:r w:rsidR="00EF7B14" w:rsidRPr="00EF7B14">
        <w:rPr>
          <w:rFonts w:ascii="Arial" w:hAnsi="Arial" w:cs="Arial"/>
        </w:rPr>
        <w:t xml:space="preserve"> literature, which indicates that hydroxycinnamic acids and glycosidic flavonoids are efficiently recovered in hot aqueous media (Santos-</w:t>
      </w:r>
      <w:proofErr w:type="spellStart"/>
      <w:r w:rsidR="00EF7B14" w:rsidRPr="00EF7B14">
        <w:rPr>
          <w:rFonts w:ascii="Arial" w:hAnsi="Arial" w:cs="Arial"/>
        </w:rPr>
        <w:t>Buelga</w:t>
      </w:r>
      <w:proofErr w:type="spellEnd"/>
      <w:r w:rsidR="00EF7B14" w:rsidRPr="00EF7B14">
        <w:rPr>
          <w:rFonts w:ascii="Arial" w:hAnsi="Arial" w:cs="Arial"/>
        </w:rPr>
        <w:t xml:space="preserve"> et al., 2012).</w:t>
      </w:r>
    </w:p>
    <w:p w14:paraId="5D9AEDF3" w14:textId="77777777" w:rsidR="00EF7B14" w:rsidRPr="00EF7B14" w:rsidRDefault="00EF7B14" w:rsidP="00EF7B14">
      <w:pPr>
        <w:pStyle w:val="Body"/>
        <w:spacing w:after="0"/>
        <w:rPr>
          <w:rFonts w:ascii="Arial" w:hAnsi="Arial" w:cs="Arial"/>
        </w:rPr>
      </w:pPr>
      <w:r w:rsidRPr="00EF7B14">
        <w:rPr>
          <w:rFonts w:ascii="Arial" w:hAnsi="Arial" w:cs="Arial"/>
        </w:rPr>
        <w:t>Gallic acid is a thermally stable compound, which explains the moderate variations observed with temperature. However, at 80°C a slight increase is observed, possibly explained by improved solubili</w:t>
      </w:r>
      <w:r w:rsidR="00FA46F9">
        <w:rPr>
          <w:rFonts w:ascii="Arial" w:hAnsi="Arial" w:cs="Arial"/>
        </w:rPr>
        <w:t>z</w:t>
      </w:r>
      <w:r w:rsidRPr="00EF7B14">
        <w:rPr>
          <w:rFonts w:ascii="Arial" w:hAnsi="Arial" w:cs="Arial"/>
        </w:rPr>
        <w:t>ation and further disintegration of the cellular matrix.</w:t>
      </w:r>
    </w:p>
    <w:p w14:paraId="1BA77240" w14:textId="77777777" w:rsidR="00EF7B14" w:rsidRPr="00EF7B14" w:rsidRDefault="00EF7B14" w:rsidP="00EF7B14">
      <w:pPr>
        <w:pStyle w:val="Body"/>
        <w:spacing w:after="0"/>
        <w:rPr>
          <w:rFonts w:ascii="Arial" w:hAnsi="Arial" w:cs="Arial"/>
        </w:rPr>
      </w:pPr>
      <w:r w:rsidRPr="00EF7B14">
        <w:rPr>
          <w:rFonts w:ascii="Arial" w:hAnsi="Arial" w:cs="Arial"/>
        </w:rPr>
        <w:t xml:space="preserve">Chlorogenic acid exhibits a similar </w:t>
      </w:r>
      <w:r w:rsidR="00D9349D" w:rsidRPr="00EF7B14">
        <w:rPr>
          <w:rFonts w:ascii="Arial" w:hAnsi="Arial" w:cs="Arial"/>
        </w:rPr>
        <w:t>behavior</w:t>
      </w:r>
      <w:r w:rsidRPr="00EF7B14">
        <w:rPr>
          <w:rFonts w:ascii="Arial" w:hAnsi="Arial" w:cs="Arial"/>
        </w:rPr>
        <w:t>, but with much lower values, confirming its partially susceptible nature to degradation or transformation into derivative acids (e.g. caffeic acid).</w:t>
      </w:r>
    </w:p>
    <w:p w14:paraId="01D6B51B" w14:textId="77777777" w:rsidR="00EF7B14" w:rsidRPr="00EF7B14" w:rsidRDefault="00EF7B14" w:rsidP="00EF7B14">
      <w:pPr>
        <w:pStyle w:val="Body"/>
        <w:spacing w:after="0"/>
        <w:rPr>
          <w:rFonts w:ascii="Arial" w:hAnsi="Arial" w:cs="Arial"/>
        </w:rPr>
      </w:pPr>
      <w:r w:rsidRPr="00EF7B14">
        <w:rPr>
          <w:rFonts w:ascii="Arial" w:hAnsi="Arial" w:cs="Arial"/>
        </w:rPr>
        <w:lastRenderedPageBreak/>
        <w:t xml:space="preserve">Epicatechin decreases from 17.8 µg/g DW to 12.1 µg/g DW at higher temperatures. Thermal or oxidative degradation may justify this decrease, together with possible </w:t>
      </w:r>
      <w:r w:rsidR="006E440E" w:rsidRPr="00EF7B14">
        <w:rPr>
          <w:rFonts w:ascii="Arial" w:hAnsi="Arial" w:cs="Arial"/>
        </w:rPr>
        <w:t>polymerization</w:t>
      </w:r>
      <w:r w:rsidRPr="00EF7B14">
        <w:rPr>
          <w:rFonts w:ascii="Arial" w:hAnsi="Arial" w:cs="Arial"/>
        </w:rPr>
        <w:t xml:space="preserve"> reactions.</w:t>
      </w:r>
    </w:p>
    <w:p w14:paraId="24EE7499" w14:textId="77777777" w:rsidR="00EF7B14" w:rsidRPr="00EF7B14" w:rsidRDefault="00EF7B14" w:rsidP="00EF7B14">
      <w:pPr>
        <w:pStyle w:val="Body"/>
        <w:spacing w:after="0"/>
        <w:rPr>
          <w:rFonts w:ascii="Arial" w:hAnsi="Arial" w:cs="Arial"/>
        </w:rPr>
      </w:pPr>
      <w:r w:rsidRPr="00EF7B14">
        <w:rPr>
          <w:rFonts w:ascii="Arial" w:hAnsi="Arial" w:cs="Arial"/>
        </w:rPr>
        <w:t>Kaempferol, although present in other plant organs, was not detected in the fruits. According to the LOD/LOQ values, its concentration would be below 0.15 µg/mL, which confirms either its actual absence or its presence in strictly glycosylated forms that are not detectable under the current conditions.</w:t>
      </w:r>
    </w:p>
    <w:p w14:paraId="6AFBD65E" w14:textId="77777777" w:rsidR="00EF7B14" w:rsidRPr="00EF7B14" w:rsidRDefault="00EF7B14" w:rsidP="00EF7B14">
      <w:pPr>
        <w:pStyle w:val="Body"/>
        <w:spacing w:after="0"/>
        <w:rPr>
          <w:rFonts w:ascii="Arial" w:hAnsi="Arial" w:cs="Arial"/>
        </w:rPr>
      </w:pPr>
      <w:r w:rsidRPr="00EF7B14">
        <w:rPr>
          <w:rFonts w:ascii="Arial" w:hAnsi="Arial" w:cs="Arial"/>
        </w:rPr>
        <w:t xml:space="preserve">When comparatively </w:t>
      </w:r>
      <w:r w:rsidR="006E440E" w:rsidRPr="00EF7B14">
        <w:rPr>
          <w:rFonts w:ascii="Arial" w:hAnsi="Arial" w:cs="Arial"/>
        </w:rPr>
        <w:t>analyzing</w:t>
      </w:r>
      <w:r w:rsidRPr="00EF7B14">
        <w:rPr>
          <w:rFonts w:ascii="Arial" w:hAnsi="Arial" w:cs="Arial"/>
        </w:rPr>
        <w:t xml:space="preserve"> the two major categories of polyphenols, phenolic acids showed a constant increase in concentration with temperature, suggesting high thermal stability and more efficient extraction at higher temperatures. In contrast, flavonoids responded differently: rutin was m</w:t>
      </w:r>
      <w:r w:rsidR="009C245E">
        <w:rPr>
          <w:rFonts w:ascii="Arial" w:hAnsi="Arial" w:cs="Arial"/>
        </w:rPr>
        <w:t>ore efficiently extracted at 80</w:t>
      </w:r>
      <w:r w:rsidRPr="00EF7B14">
        <w:rPr>
          <w:rFonts w:ascii="Arial" w:hAnsi="Arial" w:cs="Arial"/>
        </w:rPr>
        <w:t>°C, while epicatechin, an oxidation-sensitive flavanol, showed a significant decrease.</w:t>
      </w:r>
    </w:p>
    <w:p w14:paraId="5A5BBB40" w14:textId="77777777" w:rsidR="00EF7B14" w:rsidRDefault="00EF7B14" w:rsidP="00EF7B14">
      <w:pPr>
        <w:pStyle w:val="Body"/>
        <w:spacing w:after="0"/>
        <w:rPr>
          <w:rFonts w:ascii="Arial" w:hAnsi="Arial" w:cs="Arial"/>
        </w:rPr>
      </w:pPr>
      <w:r w:rsidRPr="00EF7B14">
        <w:rPr>
          <w:rFonts w:ascii="Arial" w:hAnsi="Arial" w:cs="Arial"/>
        </w:rPr>
        <w:t xml:space="preserve">These results confirm that </w:t>
      </w:r>
      <w:r w:rsidR="006E440E" w:rsidRPr="00EF7B14">
        <w:rPr>
          <w:rFonts w:ascii="Arial" w:hAnsi="Arial" w:cs="Arial"/>
        </w:rPr>
        <w:t>optimization</w:t>
      </w:r>
      <w:r w:rsidRPr="00EF7B14">
        <w:rPr>
          <w:rFonts w:ascii="Arial" w:hAnsi="Arial" w:cs="Arial"/>
        </w:rPr>
        <w:t xml:space="preserve"> of the extraction temperature must be adapted to the class of compounds targeted: for phenolic </w:t>
      </w:r>
      <w:r w:rsidR="009C245E">
        <w:rPr>
          <w:rFonts w:ascii="Arial" w:hAnsi="Arial" w:cs="Arial"/>
        </w:rPr>
        <w:t>acids, higher temperatures (≈80</w:t>
      </w:r>
      <w:r w:rsidRPr="00EF7B14">
        <w:rPr>
          <w:rFonts w:ascii="Arial" w:hAnsi="Arial" w:cs="Arial"/>
        </w:rPr>
        <w:t xml:space="preserve">°C) are effective (Figure </w:t>
      </w:r>
      <w:r w:rsidR="002C5076">
        <w:rPr>
          <w:rFonts w:ascii="Arial" w:hAnsi="Arial" w:cs="Arial"/>
        </w:rPr>
        <w:t>5</w:t>
      </w:r>
      <w:r w:rsidRPr="00EF7B14">
        <w:rPr>
          <w:rFonts w:ascii="Arial" w:hAnsi="Arial" w:cs="Arial"/>
        </w:rPr>
        <w:t>); for sensitive flavonoids, extractio</w:t>
      </w:r>
      <w:r w:rsidR="009C245E">
        <w:rPr>
          <w:rFonts w:ascii="Arial" w:hAnsi="Arial" w:cs="Arial"/>
        </w:rPr>
        <w:t>n at moderate temperatures (≤50</w:t>
      </w:r>
      <w:r w:rsidRPr="00EF7B14">
        <w:rPr>
          <w:rFonts w:ascii="Arial" w:hAnsi="Arial" w:cs="Arial"/>
        </w:rPr>
        <w:t xml:space="preserve">°C) better preserves molecular integrity (Figure </w:t>
      </w:r>
      <w:r w:rsidR="002C5076">
        <w:rPr>
          <w:rFonts w:ascii="Arial" w:hAnsi="Arial" w:cs="Arial"/>
        </w:rPr>
        <w:t>6</w:t>
      </w:r>
      <w:r w:rsidRPr="00EF7B14">
        <w:rPr>
          <w:rFonts w:ascii="Arial" w:hAnsi="Arial" w:cs="Arial"/>
        </w:rPr>
        <w:t>).</w:t>
      </w:r>
    </w:p>
    <w:p w14:paraId="0C2B5DB2" w14:textId="77777777" w:rsidR="00D65582" w:rsidRPr="00EF7B14" w:rsidRDefault="00D65582" w:rsidP="00EF7B14">
      <w:pPr>
        <w:pStyle w:val="Body"/>
        <w:spacing w:after="0"/>
        <w:rPr>
          <w:rFonts w:ascii="Arial" w:hAnsi="Arial" w:cs="Arial"/>
        </w:rPr>
      </w:pPr>
    </w:p>
    <w:p w14:paraId="76B6282A" w14:textId="77777777" w:rsidR="00502516" w:rsidRDefault="00502516" w:rsidP="00441B6F">
      <w:pPr>
        <w:pStyle w:val="Body"/>
        <w:spacing w:after="0"/>
        <w:rPr>
          <w:rFonts w:ascii="Arial" w:hAnsi="Arial" w:cs="Arial"/>
        </w:rPr>
      </w:pPr>
    </w:p>
    <w:p w14:paraId="452FBD6E" w14:textId="77777777" w:rsidR="00EF7B14" w:rsidRPr="00EF7B14" w:rsidRDefault="00EF7B14" w:rsidP="00EF7B14">
      <w:pPr>
        <w:pStyle w:val="Body"/>
        <w:rPr>
          <w:rFonts w:ascii="Arial" w:hAnsi="Arial" w:cs="Arial"/>
          <w:lang w:bidi="en-US"/>
        </w:rPr>
      </w:pPr>
      <w:r w:rsidRPr="00EF7B14">
        <w:rPr>
          <w:rFonts w:ascii="Arial" w:hAnsi="Arial" w:cs="Arial"/>
          <w:noProof/>
        </w:rPr>
        <w:drawing>
          <wp:inline distT="0" distB="0" distL="0" distR="0" wp14:anchorId="3BAD86E2" wp14:editId="0B1C61E6">
            <wp:extent cx="4860000" cy="1728000"/>
            <wp:effectExtent l="0" t="0" r="0" b="0"/>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31">
                      <a:extLst>
                        <a:ext uri="{28A0092B-C50C-407E-A947-70E740481C1C}">
                          <a14:useLocalDpi xmlns:a14="http://schemas.microsoft.com/office/drawing/2010/main" val="0"/>
                        </a:ext>
                      </a:extLst>
                    </a:blip>
                    <a:srcRect t="7120" r="1056" b="6857"/>
                    <a:stretch/>
                  </pic:blipFill>
                  <pic:spPr bwMode="auto">
                    <a:xfrm>
                      <a:off x="0" y="0"/>
                      <a:ext cx="4860000"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53830DA3" w14:textId="77777777" w:rsidR="00614A95" w:rsidRDefault="00EF7B14" w:rsidP="00EF7B14">
      <w:pPr>
        <w:pStyle w:val="Body"/>
        <w:rPr>
          <w:rFonts w:ascii="Arial" w:hAnsi="Arial" w:cs="Arial"/>
          <w:b/>
          <w:lang w:val="en"/>
        </w:rPr>
      </w:pPr>
      <w:r w:rsidRPr="00EF7B14">
        <w:rPr>
          <w:rFonts w:ascii="Arial" w:hAnsi="Arial" w:cs="Arial"/>
          <w:b/>
          <w:lang w:val="en"/>
        </w:rPr>
        <w:t xml:space="preserve">Figure </w:t>
      </w:r>
      <w:r w:rsidR="002C5076">
        <w:rPr>
          <w:rFonts w:ascii="Arial" w:hAnsi="Arial" w:cs="Arial"/>
          <w:b/>
          <w:lang w:val="en"/>
        </w:rPr>
        <w:t>5</w:t>
      </w:r>
      <w:r w:rsidRPr="00EF7B14">
        <w:rPr>
          <w:rFonts w:ascii="Arial" w:hAnsi="Arial" w:cs="Arial"/>
          <w:lang w:val="en"/>
        </w:rPr>
        <w:t xml:space="preserve">. </w:t>
      </w:r>
      <w:r w:rsidRPr="00EF7B14">
        <w:rPr>
          <w:rFonts w:ascii="Arial" w:hAnsi="Arial" w:cs="Arial"/>
          <w:b/>
          <w:lang w:val="en"/>
        </w:rPr>
        <w:t>Evolution of phenolic acids as a function of extraction temperature</w:t>
      </w:r>
    </w:p>
    <w:p w14:paraId="65AEF689" w14:textId="77777777" w:rsidR="00EF7B14" w:rsidRPr="00EF7B14" w:rsidRDefault="00EF7B14" w:rsidP="00EF7B14">
      <w:pPr>
        <w:pStyle w:val="Body"/>
        <w:rPr>
          <w:rFonts w:ascii="Arial" w:hAnsi="Arial" w:cs="Arial"/>
          <w:lang w:val="en"/>
        </w:rPr>
      </w:pPr>
      <w:r w:rsidRPr="00EF7B14">
        <w:rPr>
          <w:rFonts w:ascii="Arial" w:hAnsi="Arial" w:cs="Arial"/>
          <w:noProof/>
        </w:rPr>
        <w:drawing>
          <wp:inline distT="0" distB="0" distL="0" distR="0" wp14:anchorId="5AE46734" wp14:editId="07582E01">
            <wp:extent cx="4858247" cy="1728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rotWithShape="1">
                    <a:blip r:embed="rId32">
                      <a:extLst>
                        <a:ext uri="{28A0092B-C50C-407E-A947-70E740481C1C}">
                          <a14:useLocalDpi xmlns:a14="http://schemas.microsoft.com/office/drawing/2010/main" val="0"/>
                        </a:ext>
                      </a:extLst>
                    </a:blip>
                    <a:srcRect l="-981" t="6627" r="996" b="3112"/>
                    <a:stretch/>
                  </pic:blipFill>
                  <pic:spPr bwMode="auto">
                    <a:xfrm>
                      <a:off x="0" y="0"/>
                      <a:ext cx="4858247" cy="1728000"/>
                    </a:xfrm>
                    <a:prstGeom prst="rect">
                      <a:avLst/>
                    </a:prstGeom>
                    <a:noFill/>
                    <a:ln>
                      <a:noFill/>
                    </a:ln>
                    <a:extLst>
                      <a:ext uri="{53640926-AAD7-44D8-BBD7-CCE9431645EC}">
                        <a14:shadowObscured xmlns:a14="http://schemas.microsoft.com/office/drawing/2010/main"/>
                      </a:ext>
                    </a:extLst>
                  </pic:spPr>
                </pic:pic>
              </a:graphicData>
            </a:graphic>
          </wp:inline>
        </w:drawing>
      </w:r>
    </w:p>
    <w:p w14:paraId="0434DB30" w14:textId="77777777" w:rsidR="00EF7B14" w:rsidRDefault="00EF7B14" w:rsidP="00EF7B14">
      <w:pPr>
        <w:pStyle w:val="Body"/>
        <w:jc w:val="center"/>
        <w:rPr>
          <w:rFonts w:ascii="Arial" w:hAnsi="Arial" w:cs="Arial"/>
          <w:b/>
          <w:lang w:val="en"/>
        </w:rPr>
      </w:pPr>
      <w:r w:rsidRPr="00EF7B14">
        <w:rPr>
          <w:rFonts w:ascii="Arial" w:hAnsi="Arial" w:cs="Arial"/>
          <w:b/>
          <w:lang w:val="en"/>
        </w:rPr>
        <w:t xml:space="preserve">Figure </w:t>
      </w:r>
      <w:r w:rsidR="002C5076">
        <w:rPr>
          <w:rFonts w:ascii="Arial" w:hAnsi="Arial" w:cs="Arial"/>
          <w:b/>
          <w:lang w:val="en"/>
        </w:rPr>
        <w:t>6</w:t>
      </w:r>
      <w:r w:rsidRPr="00EF7B14">
        <w:rPr>
          <w:rFonts w:ascii="Arial" w:hAnsi="Arial" w:cs="Arial"/>
          <w:b/>
          <w:lang w:val="en"/>
        </w:rPr>
        <w:t>.</w:t>
      </w:r>
      <w:r w:rsidRPr="00EF7B14">
        <w:rPr>
          <w:rFonts w:ascii="Arial" w:hAnsi="Arial" w:cs="Arial"/>
          <w:lang w:val="en"/>
        </w:rPr>
        <w:t xml:space="preserve"> </w:t>
      </w:r>
      <w:r w:rsidRPr="00EF7B14">
        <w:rPr>
          <w:rFonts w:ascii="Arial" w:hAnsi="Arial" w:cs="Arial"/>
          <w:b/>
          <w:lang w:val="en"/>
        </w:rPr>
        <w:t>Evolution of flavonoids as a function of extraction temperature</w:t>
      </w:r>
    </w:p>
    <w:p w14:paraId="7AC965C0" w14:textId="77777777" w:rsidR="00192A11" w:rsidRPr="00EF7B14" w:rsidRDefault="00192A11" w:rsidP="00EF7B14">
      <w:pPr>
        <w:pStyle w:val="Body"/>
        <w:jc w:val="center"/>
        <w:rPr>
          <w:rFonts w:ascii="Arial" w:hAnsi="Arial" w:cs="Arial"/>
          <w:lang w:val="en"/>
        </w:rPr>
      </w:pPr>
    </w:p>
    <w:p w14:paraId="1B516220" w14:textId="77777777" w:rsidR="00414A93" w:rsidRPr="00414A93" w:rsidRDefault="00414A93" w:rsidP="00414A93">
      <w:pPr>
        <w:pStyle w:val="Body"/>
        <w:spacing w:after="0"/>
        <w:rPr>
          <w:rFonts w:ascii="Arial" w:hAnsi="Arial" w:cs="Arial"/>
          <w:sz w:val="22"/>
          <w:szCs w:val="22"/>
        </w:rPr>
      </w:pPr>
      <w:r w:rsidRPr="00414A93">
        <w:rPr>
          <w:rFonts w:ascii="Arial" w:hAnsi="Arial" w:cs="Arial"/>
          <w:b/>
          <w:bCs/>
          <w:sz w:val="22"/>
          <w:szCs w:val="22"/>
        </w:rPr>
        <w:t>3.1. Comparative analysis and correlation with anti-inflammatory activity</w:t>
      </w:r>
    </w:p>
    <w:p w14:paraId="1C2E2458" w14:textId="77777777" w:rsidR="00414A93" w:rsidRPr="00414A93" w:rsidRDefault="00414A93" w:rsidP="00414A93">
      <w:pPr>
        <w:pStyle w:val="Body"/>
        <w:spacing w:after="0"/>
        <w:rPr>
          <w:rFonts w:ascii="Arial" w:hAnsi="Arial" w:cs="Arial"/>
        </w:rPr>
      </w:pPr>
      <w:r w:rsidRPr="00414A93">
        <w:rPr>
          <w:rFonts w:ascii="Arial" w:hAnsi="Arial" w:cs="Arial"/>
        </w:rPr>
        <w:t xml:space="preserve">From the perspective of anti-inflammatory activity, the </w:t>
      </w:r>
      <w:r w:rsidR="00A546C3" w:rsidRPr="00414A93">
        <w:rPr>
          <w:rFonts w:ascii="Arial" w:hAnsi="Arial" w:cs="Arial"/>
        </w:rPr>
        <w:t>specialized</w:t>
      </w:r>
      <w:r w:rsidRPr="00414A93">
        <w:rPr>
          <w:rFonts w:ascii="Arial" w:hAnsi="Arial" w:cs="Arial"/>
        </w:rPr>
        <w:t xml:space="preserve"> literature indicates that both classes of phenolic compounds contribute to the inhibition of inflammatory mediators, although </w:t>
      </w:r>
      <w:r w:rsidRPr="00414A93">
        <w:rPr>
          <w:rFonts w:ascii="Arial" w:hAnsi="Arial" w:cs="Arial"/>
        </w:rPr>
        <w:lastRenderedPageBreak/>
        <w:t xml:space="preserve">through slightly different mechanisms. Phenolic acids (e.g. gallic, </w:t>
      </w:r>
      <w:proofErr w:type="spellStart"/>
      <w:r w:rsidRPr="00414A93">
        <w:rPr>
          <w:rFonts w:ascii="Arial" w:hAnsi="Arial" w:cs="Arial"/>
        </w:rPr>
        <w:t>sinapic</w:t>
      </w:r>
      <w:proofErr w:type="spellEnd"/>
      <w:r w:rsidRPr="00414A93">
        <w:rPr>
          <w:rFonts w:ascii="Arial" w:hAnsi="Arial" w:cs="Arial"/>
        </w:rPr>
        <w:t>, chlorogenic acids) act mainly by inhibiting the cyclooxygenase (COX) and lipoxygenase (LOX) enzymes, thereby reducing the synthesis of prostaglandins and leukotrienes (</w:t>
      </w:r>
      <w:proofErr w:type="spellStart"/>
      <w:r w:rsidRPr="001D0C2F">
        <w:rPr>
          <w:rFonts w:ascii="Arial" w:hAnsi="Arial" w:cs="Arial"/>
        </w:rPr>
        <w:t>Rudrapal</w:t>
      </w:r>
      <w:proofErr w:type="spellEnd"/>
      <w:r w:rsidRPr="00414A93">
        <w:rPr>
          <w:rFonts w:ascii="Arial" w:hAnsi="Arial" w:cs="Arial"/>
        </w:rPr>
        <w:t xml:space="preserve"> et al., 2025); by scavenging free radicals and reducing oxidative stress, an indirect anti-inflammatory mechanism (</w:t>
      </w:r>
      <w:proofErr w:type="spellStart"/>
      <w:r w:rsidRPr="001D0C2F">
        <w:rPr>
          <w:rFonts w:ascii="Arial" w:hAnsi="Arial" w:cs="Arial"/>
        </w:rPr>
        <w:t>Hadidi</w:t>
      </w:r>
      <w:proofErr w:type="spellEnd"/>
      <w:r w:rsidRPr="00414A93">
        <w:rPr>
          <w:rFonts w:ascii="Arial" w:hAnsi="Arial" w:cs="Arial"/>
        </w:rPr>
        <w:t xml:space="preserve"> et al., 2024); and by </w:t>
      </w:r>
      <w:r w:rsidR="00EC7826" w:rsidRPr="00414A93">
        <w:rPr>
          <w:rFonts w:ascii="Arial" w:hAnsi="Arial" w:cs="Arial"/>
        </w:rPr>
        <w:t>stabilizing</w:t>
      </w:r>
      <w:r w:rsidRPr="00414A93">
        <w:rPr>
          <w:rFonts w:ascii="Arial" w:hAnsi="Arial" w:cs="Arial"/>
        </w:rPr>
        <w:t xml:space="preserve"> cellular membranes and protecting protein structures during inflammation (</w:t>
      </w:r>
      <w:proofErr w:type="spellStart"/>
      <w:r w:rsidRPr="00414A93">
        <w:rPr>
          <w:rFonts w:ascii="Arial" w:hAnsi="Arial" w:cs="Arial"/>
        </w:rPr>
        <w:t>Rudrapal</w:t>
      </w:r>
      <w:proofErr w:type="spellEnd"/>
      <w:r w:rsidRPr="00414A93">
        <w:rPr>
          <w:rFonts w:ascii="Arial" w:hAnsi="Arial" w:cs="Arial"/>
        </w:rPr>
        <w:t xml:space="preserve"> et al., 2025). Flavonoids (epicatechin, rutin, quercetin, kaempferol) often act more broadly: they inhibit NF-</w:t>
      </w:r>
      <w:proofErr w:type="spellStart"/>
      <w:r w:rsidRPr="00414A93">
        <w:rPr>
          <w:rFonts w:ascii="Arial" w:hAnsi="Arial" w:cs="Arial"/>
        </w:rPr>
        <w:t>κB</w:t>
      </w:r>
      <w:proofErr w:type="spellEnd"/>
      <w:r w:rsidRPr="00414A93">
        <w:rPr>
          <w:rFonts w:ascii="Arial" w:hAnsi="Arial" w:cs="Arial"/>
        </w:rPr>
        <w:t xml:space="preserve"> and </w:t>
      </w:r>
      <w:proofErr w:type="spellStart"/>
      <w:r w:rsidRPr="00414A93">
        <w:rPr>
          <w:rFonts w:ascii="Arial" w:hAnsi="Arial" w:cs="Arial"/>
        </w:rPr>
        <w:t>iNOS</w:t>
      </w:r>
      <w:proofErr w:type="spellEnd"/>
      <w:r w:rsidRPr="00414A93">
        <w:rPr>
          <w:rFonts w:ascii="Arial" w:hAnsi="Arial" w:cs="Arial"/>
        </w:rPr>
        <w:t xml:space="preserve"> expression, thereby limiting the synthesis of pro-inflammatory cytokines (IL-6, TNF-α); reduce vascular permeability and </w:t>
      </w:r>
      <w:r w:rsidR="00864423" w:rsidRPr="00414A93">
        <w:rPr>
          <w:rFonts w:ascii="Arial" w:hAnsi="Arial" w:cs="Arial"/>
        </w:rPr>
        <w:t>edematous</w:t>
      </w:r>
      <w:r w:rsidRPr="00414A93">
        <w:rPr>
          <w:rFonts w:ascii="Arial" w:hAnsi="Arial" w:cs="Arial"/>
        </w:rPr>
        <w:t xml:space="preserve"> effects (</w:t>
      </w:r>
      <w:r w:rsidRPr="001D0C2F">
        <w:rPr>
          <w:rFonts w:ascii="Arial" w:hAnsi="Arial" w:cs="Arial"/>
        </w:rPr>
        <w:t>Hämäläinen</w:t>
      </w:r>
      <w:r w:rsidRPr="00414A93">
        <w:rPr>
          <w:rFonts w:ascii="Arial" w:hAnsi="Arial" w:cs="Arial"/>
        </w:rPr>
        <w:t xml:space="preserve"> et al., 2007</w:t>
      </w:r>
      <w:r w:rsidRPr="001D0C2F">
        <w:rPr>
          <w:rFonts w:ascii="Arial" w:hAnsi="Arial" w:cs="Arial"/>
        </w:rPr>
        <w:t>;</w:t>
      </w:r>
      <w:r w:rsidRPr="00414A93">
        <w:rPr>
          <w:rFonts w:ascii="Arial" w:hAnsi="Arial" w:cs="Arial"/>
        </w:rPr>
        <w:t xml:space="preserve"> </w:t>
      </w:r>
      <w:r w:rsidRPr="001D0C2F">
        <w:rPr>
          <w:rFonts w:ascii="Arial" w:hAnsi="Arial" w:cs="Arial"/>
        </w:rPr>
        <w:t>Sun et</w:t>
      </w:r>
      <w:r w:rsidRPr="00414A93">
        <w:rPr>
          <w:rFonts w:ascii="Arial" w:hAnsi="Arial" w:cs="Arial"/>
        </w:rPr>
        <w:t xml:space="preserve"> al., 2024); and exhibit antioxidant–anti-inflammatory synergism at the cellular level (</w:t>
      </w:r>
      <w:proofErr w:type="spellStart"/>
      <w:r w:rsidRPr="00414A93">
        <w:rPr>
          <w:rFonts w:ascii="Arial" w:hAnsi="Arial" w:cs="Arial"/>
        </w:rPr>
        <w:t>Rudrapal</w:t>
      </w:r>
      <w:proofErr w:type="spellEnd"/>
      <w:r w:rsidRPr="00414A93">
        <w:rPr>
          <w:rFonts w:ascii="Arial" w:hAnsi="Arial" w:cs="Arial"/>
        </w:rPr>
        <w:t xml:space="preserve"> et al., 2025; </w:t>
      </w:r>
      <w:r w:rsidRPr="001D0C2F">
        <w:rPr>
          <w:rFonts w:ascii="Arial" w:hAnsi="Arial" w:cs="Arial"/>
        </w:rPr>
        <w:t>Al-Khayri</w:t>
      </w:r>
      <w:r w:rsidRPr="00414A93">
        <w:rPr>
          <w:rFonts w:ascii="Arial" w:hAnsi="Arial" w:cs="Arial"/>
        </w:rPr>
        <w:t xml:space="preserve"> et al., 2022).</w:t>
      </w:r>
      <w:r w:rsidR="001759C9">
        <w:rPr>
          <w:rFonts w:ascii="Arial" w:hAnsi="Arial" w:cs="Arial"/>
        </w:rPr>
        <w:t xml:space="preserve"> </w:t>
      </w:r>
      <w:r w:rsidR="00EE13F2">
        <w:rPr>
          <w:rFonts w:ascii="Arial" w:hAnsi="Arial" w:cs="Arial"/>
        </w:rPr>
        <w:t xml:space="preserve"> </w:t>
      </w:r>
    </w:p>
    <w:p w14:paraId="3134F8B8" w14:textId="77777777" w:rsidR="00414A93" w:rsidRPr="00414A93" w:rsidRDefault="00414A93" w:rsidP="00414A93">
      <w:pPr>
        <w:pStyle w:val="Body"/>
        <w:spacing w:after="0"/>
        <w:rPr>
          <w:rFonts w:ascii="Arial" w:hAnsi="Arial" w:cs="Arial"/>
        </w:rPr>
      </w:pPr>
      <w:r w:rsidRPr="00414A93">
        <w:rPr>
          <w:rFonts w:ascii="Arial" w:hAnsi="Arial" w:cs="Arial"/>
        </w:rPr>
        <w:t xml:space="preserve">Therefore, in the context of the extracts obtained and the experimental conditions applied, phenolic acids are those that contribute most significantly to the overall anti-inflammatory potential of </w:t>
      </w:r>
      <w:r w:rsidRPr="00414A93">
        <w:rPr>
          <w:rFonts w:ascii="Arial" w:hAnsi="Arial" w:cs="Arial"/>
          <w:i/>
          <w:iCs/>
        </w:rPr>
        <w:t>Elaeagnus angustifolia</w:t>
      </w:r>
      <w:r w:rsidRPr="00414A93">
        <w:rPr>
          <w:rFonts w:ascii="Arial" w:hAnsi="Arial" w:cs="Arial"/>
        </w:rPr>
        <w:t xml:space="preserve"> fruit extracts. This conclusion is supported by the quantitative dominance of phenolic acids in all extracts (particularly </w:t>
      </w:r>
      <w:proofErr w:type="spellStart"/>
      <w:r w:rsidRPr="00414A93">
        <w:rPr>
          <w:rFonts w:ascii="Arial" w:hAnsi="Arial" w:cs="Arial"/>
        </w:rPr>
        <w:t>sinapic</w:t>
      </w:r>
      <w:proofErr w:type="spellEnd"/>
      <w:r w:rsidRPr="00414A93">
        <w:rPr>
          <w:rFonts w:ascii="Arial" w:hAnsi="Arial" w:cs="Arial"/>
        </w:rPr>
        <w:t xml:space="preserve"> acid), their higher thermal stability compared with flavonoids, and the well-known direct correlation between </w:t>
      </w:r>
      <w:proofErr w:type="spellStart"/>
      <w:r w:rsidRPr="00414A93">
        <w:rPr>
          <w:rFonts w:ascii="Arial" w:hAnsi="Arial" w:cs="Arial"/>
        </w:rPr>
        <w:t>sinapic</w:t>
      </w:r>
      <w:proofErr w:type="spellEnd"/>
      <w:r w:rsidRPr="00414A93">
        <w:rPr>
          <w:rFonts w:ascii="Arial" w:hAnsi="Arial" w:cs="Arial"/>
        </w:rPr>
        <w:t xml:space="preserve"> acid and the inhibition of COX-2 and nitric oxide synthase.</w:t>
      </w:r>
    </w:p>
    <w:p w14:paraId="58367FE3" w14:textId="77777777" w:rsidR="00EF7B14" w:rsidRDefault="00EF7B14" w:rsidP="00441B6F">
      <w:pPr>
        <w:pStyle w:val="Body"/>
        <w:spacing w:after="0"/>
        <w:rPr>
          <w:rFonts w:ascii="Arial" w:hAnsi="Arial" w:cs="Arial"/>
        </w:rPr>
      </w:pPr>
    </w:p>
    <w:p w14:paraId="3DD50786" w14:textId="77777777" w:rsidR="00EF7B14" w:rsidRPr="001F7D89" w:rsidRDefault="001F7D89" w:rsidP="00441B6F">
      <w:pPr>
        <w:pStyle w:val="Body"/>
        <w:spacing w:after="0"/>
        <w:rPr>
          <w:rFonts w:ascii="Arial" w:hAnsi="Arial" w:cs="Arial"/>
          <w:b/>
          <w:sz w:val="22"/>
          <w:szCs w:val="22"/>
        </w:rPr>
      </w:pPr>
      <w:r>
        <w:rPr>
          <w:rFonts w:ascii="Arial" w:hAnsi="Arial" w:cs="Arial"/>
          <w:b/>
          <w:sz w:val="22"/>
          <w:szCs w:val="22"/>
        </w:rPr>
        <w:t xml:space="preserve">4. </w:t>
      </w:r>
      <w:r w:rsidRPr="001F7D89">
        <w:rPr>
          <w:rFonts w:ascii="Arial" w:hAnsi="Arial" w:cs="Arial"/>
          <w:b/>
          <w:sz w:val="22"/>
          <w:szCs w:val="22"/>
        </w:rPr>
        <w:t>DISCUSSION</w:t>
      </w:r>
    </w:p>
    <w:p w14:paraId="308E7446" w14:textId="77777777" w:rsidR="00EF7B14" w:rsidRDefault="00EF7B14" w:rsidP="00441B6F">
      <w:pPr>
        <w:pStyle w:val="Body"/>
        <w:spacing w:after="0"/>
        <w:rPr>
          <w:rFonts w:ascii="Arial" w:hAnsi="Arial" w:cs="Arial"/>
        </w:rPr>
      </w:pPr>
    </w:p>
    <w:p w14:paraId="640F7E0A" w14:textId="77777777" w:rsidR="001F7D89" w:rsidRPr="001F7D89" w:rsidRDefault="001F7D89" w:rsidP="001F7D89">
      <w:pPr>
        <w:pStyle w:val="Body"/>
        <w:spacing w:after="0"/>
        <w:rPr>
          <w:rFonts w:ascii="Arial" w:hAnsi="Arial" w:cs="Arial"/>
        </w:rPr>
      </w:pPr>
      <w:r w:rsidRPr="001F7D89">
        <w:rPr>
          <w:rFonts w:ascii="Arial" w:hAnsi="Arial" w:cs="Arial"/>
        </w:rPr>
        <w:t xml:space="preserve">In order to </w:t>
      </w:r>
      <w:r w:rsidR="004010B6" w:rsidRPr="001F7D89">
        <w:rPr>
          <w:rFonts w:ascii="Arial" w:hAnsi="Arial" w:cs="Arial"/>
        </w:rPr>
        <w:t>contextualize</w:t>
      </w:r>
      <w:r w:rsidRPr="001F7D89">
        <w:rPr>
          <w:rFonts w:ascii="Arial" w:hAnsi="Arial" w:cs="Arial"/>
        </w:rPr>
        <w:t xml:space="preserve"> the </w:t>
      </w:r>
      <w:proofErr w:type="spellStart"/>
      <w:r w:rsidRPr="001F7D89">
        <w:rPr>
          <w:rFonts w:ascii="Arial" w:hAnsi="Arial" w:cs="Arial"/>
        </w:rPr>
        <w:t>pharmacognostic</w:t>
      </w:r>
      <w:proofErr w:type="spellEnd"/>
      <w:r w:rsidRPr="001F7D89">
        <w:rPr>
          <w:rFonts w:ascii="Arial" w:hAnsi="Arial" w:cs="Arial"/>
        </w:rPr>
        <w:t xml:space="preserve"> relevance of the identified compounds, Table </w:t>
      </w:r>
      <w:r w:rsidR="00217779">
        <w:rPr>
          <w:rFonts w:ascii="Arial" w:hAnsi="Arial" w:cs="Arial"/>
        </w:rPr>
        <w:t>4</w:t>
      </w:r>
      <w:r w:rsidRPr="001F7D89">
        <w:rPr>
          <w:rFonts w:ascii="Arial" w:hAnsi="Arial" w:cs="Arial"/>
        </w:rPr>
        <w:t xml:space="preserve"> </w:t>
      </w:r>
      <w:r w:rsidR="004010B6" w:rsidRPr="001F7D89">
        <w:rPr>
          <w:rFonts w:ascii="Arial" w:hAnsi="Arial" w:cs="Arial"/>
        </w:rPr>
        <w:t>summarizes</w:t>
      </w:r>
      <w:r w:rsidRPr="001F7D89">
        <w:rPr>
          <w:rFonts w:ascii="Arial" w:hAnsi="Arial" w:cs="Arial"/>
        </w:rPr>
        <w:t xml:space="preserve"> data from the recent literature regarding their biological mechanisms and associated therapeutic applications.</w:t>
      </w:r>
    </w:p>
    <w:p w14:paraId="416332F4" w14:textId="77777777" w:rsidR="001F7D89" w:rsidRDefault="001F7D89" w:rsidP="001F7D89">
      <w:pPr>
        <w:pStyle w:val="Body"/>
        <w:spacing w:after="0"/>
        <w:rPr>
          <w:rFonts w:ascii="Arial" w:hAnsi="Arial" w:cs="Arial"/>
        </w:rPr>
      </w:pPr>
    </w:p>
    <w:p w14:paraId="15A69502" w14:textId="77777777" w:rsidR="001F7D89" w:rsidRDefault="001F7D89" w:rsidP="001F7D89">
      <w:pPr>
        <w:pStyle w:val="Body"/>
        <w:spacing w:after="0"/>
        <w:jc w:val="center"/>
        <w:rPr>
          <w:rFonts w:ascii="Arial" w:hAnsi="Arial" w:cs="Arial"/>
          <w:b/>
        </w:rPr>
      </w:pPr>
      <w:r w:rsidRPr="001F7D89">
        <w:rPr>
          <w:rFonts w:ascii="Arial" w:hAnsi="Arial" w:cs="Arial"/>
          <w:b/>
        </w:rPr>
        <w:t xml:space="preserve">Table </w:t>
      </w:r>
      <w:r w:rsidR="00217779">
        <w:rPr>
          <w:rFonts w:ascii="Arial" w:hAnsi="Arial" w:cs="Arial"/>
          <w:b/>
        </w:rPr>
        <w:t>4</w:t>
      </w:r>
      <w:r w:rsidRPr="001F7D89">
        <w:rPr>
          <w:rFonts w:ascii="Arial" w:hAnsi="Arial" w:cs="Arial"/>
          <w:b/>
        </w:rPr>
        <w:t>. Literature overview on the biological mechanisms and applications</w:t>
      </w:r>
    </w:p>
    <w:p w14:paraId="32AF2374" w14:textId="77777777" w:rsidR="001F7D89" w:rsidRPr="001F7D89" w:rsidRDefault="001F7D89" w:rsidP="001F7D89">
      <w:pPr>
        <w:pStyle w:val="Body"/>
        <w:spacing w:after="0"/>
        <w:jc w:val="center"/>
        <w:rPr>
          <w:rFonts w:ascii="Arial" w:hAnsi="Arial" w:cs="Arial"/>
          <w:b/>
        </w:rPr>
      </w:pPr>
      <w:r w:rsidRPr="001F7D89">
        <w:rPr>
          <w:rFonts w:ascii="Arial" w:hAnsi="Arial" w:cs="Arial"/>
          <w:b/>
        </w:rPr>
        <w:t xml:space="preserve"> of selected phenolic compounds</w:t>
      </w:r>
    </w:p>
    <w:p w14:paraId="03EFD5B0" w14:textId="77777777" w:rsidR="001F7D89" w:rsidRDefault="001F7D89" w:rsidP="001F7D89">
      <w:pPr>
        <w:pStyle w:val="Body"/>
        <w:spacing w:after="0"/>
        <w:rPr>
          <w:rFonts w:ascii="Arial" w:hAnsi="Arial" w:cs="Arial"/>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5"/>
        <w:gridCol w:w="1195"/>
        <w:gridCol w:w="1770"/>
        <w:gridCol w:w="2060"/>
        <w:gridCol w:w="2048"/>
      </w:tblGrid>
      <w:tr w:rsidR="001F7D89" w:rsidRPr="001F7D89" w14:paraId="4763365D" w14:textId="77777777" w:rsidTr="00713FA1">
        <w:trPr>
          <w:tblHeader/>
          <w:tblCellSpacing w:w="15" w:type="dxa"/>
        </w:trPr>
        <w:tc>
          <w:tcPr>
            <w:tcW w:w="0" w:type="auto"/>
            <w:hideMark/>
          </w:tcPr>
          <w:p w14:paraId="22E56B6D"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Compound</w:t>
            </w:r>
          </w:p>
        </w:tc>
        <w:tc>
          <w:tcPr>
            <w:tcW w:w="0" w:type="auto"/>
            <w:hideMark/>
          </w:tcPr>
          <w:p w14:paraId="5656E7B3"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Authors (Year)</w:t>
            </w:r>
          </w:p>
        </w:tc>
        <w:tc>
          <w:tcPr>
            <w:tcW w:w="0" w:type="auto"/>
            <w:hideMark/>
          </w:tcPr>
          <w:p w14:paraId="5F039338"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Title of the study</w:t>
            </w:r>
          </w:p>
        </w:tc>
        <w:tc>
          <w:tcPr>
            <w:tcW w:w="0" w:type="auto"/>
            <w:hideMark/>
          </w:tcPr>
          <w:p w14:paraId="2733B957"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Main idea summary</w:t>
            </w:r>
          </w:p>
        </w:tc>
        <w:tc>
          <w:tcPr>
            <w:tcW w:w="0" w:type="auto"/>
            <w:hideMark/>
          </w:tcPr>
          <w:p w14:paraId="065A0AF6" w14:textId="77777777" w:rsidR="001F7D89" w:rsidRPr="00713FA1" w:rsidRDefault="001F7D89" w:rsidP="00713FA1">
            <w:pPr>
              <w:pStyle w:val="Body"/>
              <w:spacing w:after="0"/>
              <w:jc w:val="left"/>
              <w:rPr>
                <w:rFonts w:ascii="Arial" w:hAnsi="Arial" w:cs="Arial"/>
                <w:b/>
                <w:bCs/>
                <w:sz w:val="18"/>
                <w:szCs w:val="18"/>
              </w:rPr>
            </w:pPr>
            <w:r w:rsidRPr="00713FA1">
              <w:rPr>
                <w:rFonts w:ascii="Arial" w:hAnsi="Arial" w:cs="Arial"/>
                <w:b/>
                <w:bCs/>
                <w:sz w:val="18"/>
                <w:szCs w:val="18"/>
              </w:rPr>
              <w:t>Applied relevance</w:t>
            </w:r>
          </w:p>
        </w:tc>
      </w:tr>
      <w:tr w:rsidR="001F7D89" w:rsidRPr="001F7D89" w14:paraId="60D9C699" w14:textId="77777777" w:rsidTr="00713FA1">
        <w:trPr>
          <w:tblCellSpacing w:w="15" w:type="dxa"/>
        </w:trPr>
        <w:tc>
          <w:tcPr>
            <w:tcW w:w="0" w:type="auto"/>
            <w:hideMark/>
          </w:tcPr>
          <w:p w14:paraId="4429741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Gallic acid</w:t>
            </w:r>
          </w:p>
        </w:tc>
        <w:tc>
          <w:tcPr>
            <w:tcW w:w="0" w:type="auto"/>
            <w:hideMark/>
          </w:tcPr>
          <w:p w14:paraId="05566155"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sz w:val="18"/>
                <w:szCs w:val="18"/>
              </w:rPr>
              <w:t>Harwansh</w:t>
            </w:r>
            <w:proofErr w:type="spellEnd"/>
            <w:r w:rsidRPr="00713FA1">
              <w:rPr>
                <w:rFonts w:ascii="Arial" w:hAnsi="Arial" w:cs="Arial"/>
                <w:sz w:val="18"/>
                <w:szCs w:val="18"/>
              </w:rPr>
              <w:t xml:space="preserve"> et al., 2024</w:t>
            </w:r>
          </w:p>
        </w:tc>
        <w:tc>
          <w:tcPr>
            <w:tcW w:w="0" w:type="auto"/>
            <w:hideMark/>
          </w:tcPr>
          <w:p w14:paraId="5DE0B35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Recent Advancements in Gallic Acid-Based Drug Delivery: Applications, Clinical Trials, and Future Directions</w:t>
            </w:r>
          </w:p>
        </w:tc>
        <w:tc>
          <w:tcPr>
            <w:tcW w:w="0" w:type="auto"/>
            <w:hideMark/>
          </w:tcPr>
          <w:p w14:paraId="104D436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The study </w:t>
            </w:r>
            <w:proofErr w:type="spellStart"/>
            <w:r w:rsidRPr="00713FA1">
              <w:rPr>
                <w:rFonts w:ascii="Arial" w:hAnsi="Arial" w:cs="Arial"/>
                <w:sz w:val="18"/>
                <w:szCs w:val="18"/>
              </w:rPr>
              <w:t>summarises</w:t>
            </w:r>
            <w:proofErr w:type="spellEnd"/>
            <w:r w:rsidRPr="00713FA1">
              <w:rPr>
                <w:rFonts w:ascii="Arial" w:hAnsi="Arial" w:cs="Arial"/>
                <w:sz w:val="18"/>
                <w:szCs w:val="18"/>
              </w:rPr>
              <w:t xml:space="preserve"> recent advances in nanocarrier-based delivery systems for gallic acid (liposomes, SLN, NLC, dendrimers, </w:t>
            </w:r>
            <w:proofErr w:type="spellStart"/>
            <w:r w:rsidRPr="00713FA1">
              <w:rPr>
                <w:rFonts w:ascii="Arial" w:hAnsi="Arial" w:cs="Arial"/>
                <w:sz w:val="18"/>
                <w:szCs w:val="18"/>
              </w:rPr>
              <w:t>nanoemulsions</w:t>
            </w:r>
            <w:proofErr w:type="spellEnd"/>
            <w:r w:rsidRPr="00713FA1">
              <w:rPr>
                <w:rFonts w:ascii="Arial" w:hAnsi="Arial" w:cs="Arial"/>
                <w:sz w:val="18"/>
                <w:szCs w:val="18"/>
              </w:rPr>
              <w:t>), highlighting improvements in bioavailability, stability and therapeutic efficiency, as well as potential clinical applications.</w:t>
            </w:r>
          </w:p>
        </w:tc>
        <w:tc>
          <w:tcPr>
            <w:tcW w:w="0" w:type="auto"/>
            <w:hideMark/>
          </w:tcPr>
          <w:p w14:paraId="7F1EEF9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development of modern pharmaceutical and nutraceutical formulations based on gallic acid through improved permeability and targeted delivery.</w:t>
            </w:r>
          </w:p>
        </w:tc>
      </w:tr>
      <w:tr w:rsidR="001F7D89" w:rsidRPr="001F7D89" w14:paraId="5A99E824" w14:textId="77777777" w:rsidTr="00713FA1">
        <w:trPr>
          <w:tblCellSpacing w:w="15" w:type="dxa"/>
        </w:trPr>
        <w:tc>
          <w:tcPr>
            <w:tcW w:w="0" w:type="auto"/>
            <w:hideMark/>
          </w:tcPr>
          <w:p w14:paraId="1DA4C083"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547A2EC4"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sz w:val="18"/>
                <w:szCs w:val="18"/>
              </w:rPr>
              <w:t>Hadidi</w:t>
            </w:r>
            <w:proofErr w:type="spellEnd"/>
            <w:r w:rsidRPr="00713FA1">
              <w:rPr>
                <w:rFonts w:ascii="Arial" w:hAnsi="Arial" w:cs="Arial"/>
                <w:sz w:val="18"/>
                <w:szCs w:val="18"/>
              </w:rPr>
              <w:t xml:space="preserve"> et al., 2024</w:t>
            </w:r>
          </w:p>
        </w:tc>
        <w:tc>
          <w:tcPr>
            <w:tcW w:w="0" w:type="auto"/>
            <w:hideMark/>
          </w:tcPr>
          <w:p w14:paraId="6E60F27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The potential health benefits of gallic acid: Therapeutic and food applications</w:t>
            </w:r>
          </w:p>
        </w:tc>
        <w:tc>
          <w:tcPr>
            <w:tcW w:w="0" w:type="auto"/>
            <w:hideMark/>
          </w:tcPr>
          <w:p w14:paraId="184384B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Analyses the antioxidant and anti-inflammatory mechanisms of gallic acid and its applicability in functional food products.</w:t>
            </w:r>
          </w:p>
        </w:tc>
        <w:tc>
          <w:tcPr>
            <w:tcW w:w="0" w:type="auto"/>
            <w:hideMark/>
          </w:tcPr>
          <w:p w14:paraId="7147627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Antioxidant, antimicrobial and anti-inflammatory potential; applicable in nutraceutical and dermato-cosmetic products.</w:t>
            </w:r>
          </w:p>
        </w:tc>
      </w:tr>
      <w:tr w:rsidR="001F7D89" w:rsidRPr="001F7D89" w14:paraId="2465D8BB" w14:textId="77777777" w:rsidTr="00713FA1">
        <w:trPr>
          <w:tblCellSpacing w:w="15" w:type="dxa"/>
        </w:trPr>
        <w:tc>
          <w:tcPr>
            <w:tcW w:w="0" w:type="auto"/>
            <w:hideMark/>
          </w:tcPr>
          <w:p w14:paraId="5D6B96CD"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b/>
                <w:bCs/>
                <w:sz w:val="18"/>
                <w:szCs w:val="18"/>
              </w:rPr>
              <w:t>Sinapic</w:t>
            </w:r>
            <w:proofErr w:type="spellEnd"/>
            <w:r w:rsidRPr="00713FA1">
              <w:rPr>
                <w:rFonts w:ascii="Arial" w:hAnsi="Arial" w:cs="Arial"/>
                <w:b/>
                <w:bCs/>
                <w:sz w:val="18"/>
                <w:szCs w:val="18"/>
              </w:rPr>
              <w:t xml:space="preserve"> acid</w:t>
            </w:r>
          </w:p>
        </w:tc>
        <w:tc>
          <w:tcPr>
            <w:tcW w:w="0" w:type="auto"/>
            <w:hideMark/>
          </w:tcPr>
          <w:p w14:paraId="03851BA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Chen, 2016</w:t>
            </w:r>
          </w:p>
        </w:tc>
        <w:tc>
          <w:tcPr>
            <w:tcW w:w="0" w:type="auto"/>
            <w:hideMark/>
          </w:tcPr>
          <w:p w14:paraId="2481AB35"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i/>
                <w:iCs/>
                <w:sz w:val="18"/>
                <w:szCs w:val="18"/>
              </w:rPr>
              <w:t>Sinapic</w:t>
            </w:r>
            <w:proofErr w:type="spellEnd"/>
            <w:r w:rsidRPr="00713FA1">
              <w:rPr>
                <w:rFonts w:ascii="Arial" w:hAnsi="Arial" w:cs="Arial"/>
                <w:i/>
                <w:iCs/>
                <w:sz w:val="18"/>
                <w:szCs w:val="18"/>
              </w:rPr>
              <w:t xml:space="preserve"> acid and its derivatives as medicine in oxidative stress-induced diseases and aging</w:t>
            </w:r>
          </w:p>
        </w:tc>
        <w:tc>
          <w:tcPr>
            <w:tcW w:w="0" w:type="auto"/>
            <w:hideMark/>
          </w:tcPr>
          <w:p w14:paraId="1D91E12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Highlights the role of </w:t>
            </w:r>
            <w:proofErr w:type="spellStart"/>
            <w:r w:rsidRPr="00713FA1">
              <w:rPr>
                <w:rFonts w:ascii="Arial" w:hAnsi="Arial" w:cs="Arial"/>
                <w:sz w:val="18"/>
                <w:szCs w:val="18"/>
              </w:rPr>
              <w:t>sinapic</w:t>
            </w:r>
            <w:proofErr w:type="spellEnd"/>
            <w:r w:rsidRPr="00713FA1">
              <w:rPr>
                <w:rFonts w:ascii="Arial" w:hAnsi="Arial" w:cs="Arial"/>
                <w:sz w:val="18"/>
                <w:szCs w:val="18"/>
              </w:rPr>
              <w:t xml:space="preserve"> acid in reducing oxidative stress and inhibiting inflammatory mediators.</w:t>
            </w:r>
          </w:p>
        </w:tc>
        <w:tc>
          <w:tcPr>
            <w:tcW w:w="0" w:type="auto"/>
            <w:hideMark/>
          </w:tcPr>
          <w:p w14:paraId="00785BC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Promising compound for anti-inflammatory formulations and anti-ageing products.</w:t>
            </w:r>
          </w:p>
        </w:tc>
      </w:tr>
      <w:tr w:rsidR="001F7D89" w:rsidRPr="001F7D89" w14:paraId="44DD0094" w14:textId="77777777" w:rsidTr="00713FA1">
        <w:trPr>
          <w:tblCellSpacing w:w="15" w:type="dxa"/>
        </w:trPr>
        <w:tc>
          <w:tcPr>
            <w:tcW w:w="0" w:type="auto"/>
            <w:hideMark/>
          </w:tcPr>
          <w:p w14:paraId="723845F0"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73E002E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Hameed et al., 2016</w:t>
            </w:r>
          </w:p>
        </w:tc>
        <w:tc>
          <w:tcPr>
            <w:tcW w:w="0" w:type="auto"/>
            <w:hideMark/>
          </w:tcPr>
          <w:p w14:paraId="73DB6F8A"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i/>
                <w:iCs/>
                <w:sz w:val="18"/>
                <w:szCs w:val="18"/>
              </w:rPr>
              <w:t>Sinapic</w:t>
            </w:r>
            <w:proofErr w:type="spellEnd"/>
            <w:r w:rsidRPr="00713FA1">
              <w:rPr>
                <w:rFonts w:ascii="Arial" w:hAnsi="Arial" w:cs="Arial"/>
                <w:i/>
                <w:iCs/>
                <w:sz w:val="18"/>
                <w:szCs w:val="18"/>
              </w:rPr>
              <w:t xml:space="preserve"> Acid: Is It Safe for Humans?</w:t>
            </w:r>
          </w:p>
        </w:tc>
        <w:tc>
          <w:tcPr>
            <w:tcW w:w="0" w:type="auto"/>
            <w:hideMark/>
          </w:tcPr>
          <w:p w14:paraId="4453007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The study analyses the pharmacological properties, pharmacokinetics and safety profile of </w:t>
            </w:r>
            <w:proofErr w:type="spellStart"/>
            <w:r w:rsidRPr="00713FA1">
              <w:rPr>
                <w:rFonts w:ascii="Arial" w:hAnsi="Arial" w:cs="Arial"/>
                <w:sz w:val="18"/>
                <w:szCs w:val="18"/>
              </w:rPr>
              <w:t>sinapic</w:t>
            </w:r>
            <w:proofErr w:type="spellEnd"/>
            <w:r w:rsidRPr="00713FA1">
              <w:rPr>
                <w:rFonts w:ascii="Arial" w:hAnsi="Arial" w:cs="Arial"/>
                <w:sz w:val="18"/>
                <w:szCs w:val="18"/>
              </w:rPr>
              <w:t xml:space="preserve"> acid, highlighting antioxidant, anti-inflammatory, antimicrobial, neuroprotective and cardioprotective activities with low cytotoxicity at physiological concentrations.</w:t>
            </w:r>
          </w:p>
        </w:tc>
        <w:tc>
          <w:tcPr>
            <w:tcW w:w="0" w:type="auto"/>
            <w:hideMark/>
          </w:tcPr>
          <w:p w14:paraId="3F44938B"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Supports the use of </w:t>
            </w:r>
            <w:proofErr w:type="spellStart"/>
            <w:r w:rsidRPr="00713FA1">
              <w:rPr>
                <w:rFonts w:ascii="Arial" w:hAnsi="Arial" w:cs="Arial"/>
                <w:sz w:val="18"/>
                <w:szCs w:val="18"/>
              </w:rPr>
              <w:t>sinapic</w:t>
            </w:r>
            <w:proofErr w:type="spellEnd"/>
            <w:r w:rsidRPr="00713FA1">
              <w:rPr>
                <w:rFonts w:ascii="Arial" w:hAnsi="Arial" w:cs="Arial"/>
                <w:sz w:val="18"/>
                <w:szCs w:val="18"/>
              </w:rPr>
              <w:t xml:space="preserve"> acid as a promising ingredient in pharmaceutical and nutraceutical products due to its </w:t>
            </w:r>
            <w:proofErr w:type="spellStart"/>
            <w:r w:rsidRPr="00713FA1">
              <w:rPr>
                <w:rFonts w:ascii="Arial" w:hAnsi="Arial" w:cs="Arial"/>
                <w:sz w:val="18"/>
                <w:szCs w:val="18"/>
              </w:rPr>
              <w:t>favourable</w:t>
            </w:r>
            <w:proofErr w:type="spellEnd"/>
            <w:r w:rsidRPr="00713FA1">
              <w:rPr>
                <w:rFonts w:ascii="Arial" w:hAnsi="Arial" w:cs="Arial"/>
                <w:sz w:val="18"/>
                <w:szCs w:val="18"/>
              </w:rPr>
              <w:t xml:space="preserve"> safety profile and multiple validated biological mechanisms.</w:t>
            </w:r>
          </w:p>
        </w:tc>
      </w:tr>
      <w:tr w:rsidR="001F7D89" w:rsidRPr="001F7D89" w14:paraId="76FFD299" w14:textId="77777777" w:rsidTr="00713FA1">
        <w:trPr>
          <w:tblCellSpacing w:w="15" w:type="dxa"/>
        </w:trPr>
        <w:tc>
          <w:tcPr>
            <w:tcW w:w="0" w:type="auto"/>
            <w:hideMark/>
          </w:tcPr>
          <w:p w14:paraId="6D6C19B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Chlorogenic acid</w:t>
            </w:r>
          </w:p>
        </w:tc>
        <w:tc>
          <w:tcPr>
            <w:tcW w:w="0" w:type="auto"/>
            <w:hideMark/>
          </w:tcPr>
          <w:p w14:paraId="672437A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Sun &amp; </w:t>
            </w:r>
            <w:proofErr w:type="spellStart"/>
            <w:r w:rsidRPr="00713FA1">
              <w:rPr>
                <w:rFonts w:ascii="Arial" w:hAnsi="Arial" w:cs="Arial"/>
                <w:sz w:val="18"/>
                <w:szCs w:val="18"/>
              </w:rPr>
              <w:t>Shahrajabian</w:t>
            </w:r>
            <w:proofErr w:type="spellEnd"/>
            <w:r w:rsidRPr="00713FA1">
              <w:rPr>
                <w:rFonts w:ascii="Arial" w:hAnsi="Arial" w:cs="Arial"/>
                <w:sz w:val="18"/>
                <w:szCs w:val="18"/>
              </w:rPr>
              <w:t>, 2023</w:t>
            </w:r>
          </w:p>
        </w:tc>
        <w:tc>
          <w:tcPr>
            <w:tcW w:w="0" w:type="auto"/>
            <w:hideMark/>
          </w:tcPr>
          <w:p w14:paraId="73790E1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Therapeutic Potential of Phenolic Compounds in Medicinal Plants</w:t>
            </w:r>
          </w:p>
        </w:tc>
        <w:tc>
          <w:tcPr>
            <w:tcW w:w="0" w:type="auto"/>
            <w:hideMark/>
          </w:tcPr>
          <w:p w14:paraId="061F4AB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Discusses the role of phenolic acids in the regulation of carbohydrate metabolism and hepatic protection.</w:t>
            </w:r>
          </w:p>
        </w:tc>
        <w:tc>
          <w:tcPr>
            <w:tcW w:w="0" w:type="auto"/>
            <w:hideMark/>
          </w:tcPr>
          <w:p w14:paraId="798178AF"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Applicability in supplements for metabolic control and liver health.</w:t>
            </w:r>
          </w:p>
        </w:tc>
      </w:tr>
      <w:tr w:rsidR="001F7D89" w:rsidRPr="001F7D89" w14:paraId="16F4D390" w14:textId="77777777" w:rsidTr="00713FA1">
        <w:trPr>
          <w:tblCellSpacing w:w="15" w:type="dxa"/>
        </w:trPr>
        <w:tc>
          <w:tcPr>
            <w:tcW w:w="0" w:type="auto"/>
            <w:hideMark/>
          </w:tcPr>
          <w:p w14:paraId="4F3F2FB1"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461579B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Huang et al., 2023</w:t>
            </w:r>
          </w:p>
        </w:tc>
        <w:tc>
          <w:tcPr>
            <w:tcW w:w="0" w:type="auto"/>
            <w:hideMark/>
          </w:tcPr>
          <w:p w14:paraId="40EBF25F"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Chlorogenic acid: a review on its mechanisms of anti-inflammation, disease treatment, and related delivery systems</w:t>
            </w:r>
          </w:p>
        </w:tc>
        <w:tc>
          <w:tcPr>
            <w:tcW w:w="0" w:type="auto"/>
            <w:hideMark/>
          </w:tcPr>
          <w:p w14:paraId="36BDEE85"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Demonstrates that chlorogenic acid inhibits pro-inflammatory mediators through modulation of NF-</w:t>
            </w:r>
            <w:proofErr w:type="spellStart"/>
            <w:r w:rsidRPr="00713FA1">
              <w:rPr>
                <w:rFonts w:ascii="Arial" w:hAnsi="Arial" w:cs="Arial"/>
                <w:sz w:val="18"/>
                <w:szCs w:val="18"/>
              </w:rPr>
              <w:t>κB</w:t>
            </w:r>
            <w:proofErr w:type="spellEnd"/>
            <w:r w:rsidRPr="00713FA1">
              <w:rPr>
                <w:rFonts w:ascii="Arial" w:hAnsi="Arial" w:cs="Arial"/>
                <w:sz w:val="18"/>
                <w:szCs w:val="18"/>
              </w:rPr>
              <w:t>/MAPK pathways and activation of Nrf2, showing cardiovascular and metabolic protective effects supported by modern delivery systems.</w:t>
            </w:r>
          </w:p>
        </w:tc>
        <w:tc>
          <w:tcPr>
            <w:tcW w:w="0" w:type="auto"/>
            <w:hideMark/>
          </w:tcPr>
          <w:p w14:paraId="2F742D26"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value of chlorogenic acid as a pharmacological and nutraceutical ingredient with translational potential and advanced formulation perspectives.</w:t>
            </w:r>
          </w:p>
        </w:tc>
      </w:tr>
      <w:tr w:rsidR="001F7D89" w:rsidRPr="001F7D89" w14:paraId="0AC14925" w14:textId="77777777" w:rsidTr="00713FA1">
        <w:trPr>
          <w:tblCellSpacing w:w="15" w:type="dxa"/>
        </w:trPr>
        <w:tc>
          <w:tcPr>
            <w:tcW w:w="0" w:type="auto"/>
            <w:hideMark/>
          </w:tcPr>
          <w:p w14:paraId="4964FD1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Quercetin</w:t>
            </w:r>
          </w:p>
        </w:tc>
        <w:tc>
          <w:tcPr>
            <w:tcW w:w="0" w:type="auto"/>
            <w:hideMark/>
          </w:tcPr>
          <w:p w14:paraId="424E945B"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Hämäläinen et al., 2007</w:t>
            </w:r>
          </w:p>
        </w:tc>
        <w:tc>
          <w:tcPr>
            <w:tcW w:w="0" w:type="auto"/>
            <w:hideMark/>
          </w:tcPr>
          <w:p w14:paraId="5B9E2C9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Anti-inflammatory effects of flavonoids</w:t>
            </w:r>
          </w:p>
        </w:tc>
        <w:tc>
          <w:tcPr>
            <w:tcW w:w="0" w:type="auto"/>
            <w:hideMark/>
          </w:tcPr>
          <w:p w14:paraId="5E218C46"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Demonstrates inhibition of NF-</w:t>
            </w:r>
            <w:proofErr w:type="spellStart"/>
            <w:r w:rsidRPr="00713FA1">
              <w:rPr>
                <w:rFonts w:ascii="Arial" w:hAnsi="Arial" w:cs="Arial"/>
                <w:sz w:val="18"/>
                <w:szCs w:val="18"/>
              </w:rPr>
              <w:t>κB</w:t>
            </w:r>
            <w:proofErr w:type="spellEnd"/>
            <w:r w:rsidRPr="00713FA1">
              <w:rPr>
                <w:rFonts w:ascii="Arial" w:hAnsi="Arial" w:cs="Arial"/>
                <w:sz w:val="18"/>
                <w:szCs w:val="18"/>
              </w:rPr>
              <w:t xml:space="preserve"> and </w:t>
            </w:r>
            <w:proofErr w:type="spellStart"/>
            <w:r w:rsidRPr="00713FA1">
              <w:rPr>
                <w:rFonts w:ascii="Arial" w:hAnsi="Arial" w:cs="Arial"/>
                <w:sz w:val="18"/>
                <w:szCs w:val="18"/>
              </w:rPr>
              <w:t>iNOS</w:t>
            </w:r>
            <w:proofErr w:type="spellEnd"/>
            <w:r w:rsidRPr="00713FA1">
              <w:rPr>
                <w:rFonts w:ascii="Arial" w:hAnsi="Arial" w:cs="Arial"/>
                <w:sz w:val="18"/>
                <w:szCs w:val="18"/>
              </w:rPr>
              <w:t xml:space="preserve"> by </w:t>
            </w:r>
            <w:proofErr w:type="spellStart"/>
            <w:r w:rsidRPr="00713FA1">
              <w:rPr>
                <w:rFonts w:ascii="Arial" w:hAnsi="Arial" w:cs="Arial"/>
                <w:sz w:val="18"/>
                <w:szCs w:val="18"/>
              </w:rPr>
              <w:t>flavonols</w:t>
            </w:r>
            <w:proofErr w:type="spellEnd"/>
            <w:r w:rsidRPr="00713FA1">
              <w:rPr>
                <w:rFonts w:ascii="Arial" w:hAnsi="Arial" w:cs="Arial"/>
                <w:sz w:val="18"/>
                <w:szCs w:val="18"/>
              </w:rPr>
              <w:t>.</w:t>
            </w:r>
          </w:p>
        </w:tc>
        <w:tc>
          <w:tcPr>
            <w:tcW w:w="0" w:type="auto"/>
            <w:hideMark/>
          </w:tcPr>
          <w:p w14:paraId="480F371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Applicable in products with anti-inflammatory and immunomodulatory roles.</w:t>
            </w:r>
          </w:p>
        </w:tc>
      </w:tr>
      <w:tr w:rsidR="001F7D89" w:rsidRPr="001F7D89" w14:paraId="17A12026" w14:textId="77777777" w:rsidTr="00713FA1">
        <w:trPr>
          <w:tblCellSpacing w:w="15" w:type="dxa"/>
        </w:trPr>
        <w:tc>
          <w:tcPr>
            <w:tcW w:w="0" w:type="auto"/>
            <w:hideMark/>
          </w:tcPr>
          <w:p w14:paraId="341FD779"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449A1E4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Aggarwal et al., 2025</w:t>
            </w:r>
          </w:p>
        </w:tc>
        <w:tc>
          <w:tcPr>
            <w:tcW w:w="0" w:type="auto"/>
            <w:hideMark/>
          </w:tcPr>
          <w:p w14:paraId="6788D4D9"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 xml:space="preserve">Anti-inflammatory potential of quercetin: From chemistry and mechanistic insight to </w:t>
            </w:r>
            <w:proofErr w:type="spellStart"/>
            <w:r w:rsidRPr="00713FA1">
              <w:rPr>
                <w:rFonts w:ascii="Arial" w:hAnsi="Arial" w:cs="Arial"/>
                <w:i/>
                <w:iCs/>
                <w:sz w:val="18"/>
                <w:szCs w:val="18"/>
              </w:rPr>
              <w:t>nanoformulations</w:t>
            </w:r>
            <w:proofErr w:type="spellEnd"/>
          </w:p>
        </w:tc>
        <w:tc>
          <w:tcPr>
            <w:tcW w:w="0" w:type="auto"/>
            <w:hideMark/>
          </w:tcPr>
          <w:p w14:paraId="075A6C1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Highlights inhibition of TLR4/NF-</w:t>
            </w:r>
            <w:proofErr w:type="spellStart"/>
            <w:r w:rsidRPr="00713FA1">
              <w:rPr>
                <w:rFonts w:ascii="Arial" w:hAnsi="Arial" w:cs="Arial"/>
                <w:sz w:val="18"/>
                <w:szCs w:val="18"/>
              </w:rPr>
              <w:t>κB</w:t>
            </w:r>
            <w:proofErr w:type="spellEnd"/>
            <w:r w:rsidRPr="00713FA1">
              <w:rPr>
                <w:rFonts w:ascii="Arial" w:hAnsi="Arial" w:cs="Arial"/>
                <w:sz w:val="18"/>
                <w:szCs w:val="18"/>
              </w:rPr>
              <w:t xml:space="preserve"> and MAPK pathways and reduction of TNF-α, IL-1β and IL-6, </w:t>
            </w:r>
            <w:proofErr w:type="spellStart"/>
            <w:r w:rsidRPr="00713FA1">
              <w:rPr>
                <w:rFonts w:ascii="Arial" w:hAnsi="Arial" w:cs="Arial"/>
                <w:sz w:val="18"/>
                <w:szCs w:val="18"/>
              </w:rPr>
              <w:t>emphasising</w:t>
            </w:r>
            <w:proofErr w:type="spellEnd"/>
            <w:r w:rsidRPr="00713FA1">
              <w:rPr>
                <w:rFonts w:ascii="Arial" w:hAnsi="Arial" w:cs="Arial"/>
                <w:sz w:val="18"/>
                <w:szCs w:val="18"/>
              </w:rPr>
              <w:t xml:space="preserve"> the role of </w:t>
            </w:r>
            <w:proofErr w:type="spellStart"/>
            <w:r w:rsidRPr="00713FA1">
              <w:rPr>
                <w:rFonts w:ascii="Arial" w:hAnsi="Arial" w:cs="Arial"/>
                <w:sz w:val="18"/>
                <w:szCs w:val="18"/>
              </w:rPr>
              <w:t>nanoformulations</w:t>
            </w:r>
            <w:proofErr w:type="spellEnd"/>
            <w:r w:rsidRPr="00713FA1">
              <w:rPr>
                <w:rFonts w:ascii="Arial" w:hAnsi="Arial" w:cs="Arial"/>
                <w:sz w:val="18"/>
                <w:szCs w:val="18"/>
              </w:rPr>
              <w:t xml:space="preserve"> in improving bioavailability.</w:t>
            </w:r>
          </w:p>
        </w:tc>
        <w:tc>
          <w:tcPr>
            <w:tcW w:w="0" w:type="auto"/>
            <w:hideMark/>
          </w:tcPr>
          <w:p w14:paraId="32F261D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use of quercetin in anti-inflammatory pharmaceutical and nutraceutical formulations with improved delivery systems.</w:t>
            </w:r>
          </w:p>
        </w:tc>
      </w:tr>
      <w:tr w:rsidR="001F7D89" w:rsidRPr="001F7D89" w14:paraId="70ABECFE" w14:textId="77777777" w:rsidTr="00713FA1">
        <w:trPr>
          <w:tblCellSpacing w:w="15" w:type="dxa"/>
        </w:trPr>
        <w:tc>
          <w:tcPr>
            <w:tcW w:w="0" w:type="auto"/>
            <w:hideMark/>
          </w:tcPr>
          <w:p w14:paraId="1B5B028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Kaempferol</w:t>
            </w:r>
          </w:p>
        </w:tc>
        <w:tc>
          <w:tcPr>
            <w:tcW w:w="0" w:type="auto"/>
            <w:hideMark/>
          </w:tcPr>
          <w:p w14:paraId="0D7C119E"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Dong et al., 2025</w:t>
            </w:r>
          </w:p>
        </w:tc>
        <w:tc>
          <w:tcPr>
            <w:tcW w:w="0" w:type="auto"/>
            <w:hideMark/>
          </w:tcPr>
          <w:p w14:paraId="6BBC8C73"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Kaempferol as a multifaceted immunomodulator: implications for inflammation, autoimmunity, and cancer</w:t>
            </w:r>
          </w:p>
        </w:tc>
        <w:tc>
          <w:tcPr>
            <w:tcW w:w="0" w:type="auto"/>
            <w:hideMark/>
          </w:tcPr>
          <w:p w14:paraId="3B64FE8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Systematic review highlighting the immunomodulatory role of kaempferol through regulation of T-cell activation (calcineurin, NF-</w:t>
            </w:r>
            <w:proofErr w:type="spellStart"/>
            <w:r w:rsidRPr="00713FA1">
              <w:rPr>
                <w:rFonts w:ascii="Arial" w:hAnsi="Arial" w:cs="Arial"/>
                <w:sz w:val="18"/>
                <w:szCs w:val="18"/>
              </w:rPr>
              <w:t>κB</w:t>
            </w:r>
            <w:proofErr w:type="spellEnd"/>
            <w:r w:rsidRPr="00713FA1">
              <w:rPr>
                <w:rFonts w:ascii="Arial" w:hAnsi="Arial" w:cs="Arial"/>
                <w:sz w:val="18"/>
                <w:szCs w:val="18"/>
              </w:rPr>
              <w:t xml:space="preserve">, MAPK), macrophage </w:t>
            </w:r>
            <w:proofErr w:type="spellStart"/>
            <w:r w:rsidRPr="00713FA1">
              <w:rPr>
                <w:rFonts w:ascii="Arial" w:hAnsi="Arial" w:cs="Arial"/>
                <w:sz w:val="18"/>
                <w:szCs w:val="18"/>
              </w:rPr>
              <w:t>polarisation</w:t>
            </w:r>
            <w:proofErr w:type="spellEnd"/>
            <w:r w:rsidRPr="00713FA1">
              <w:rPr>
                <w:rFonts w:ascii="Arial" w:hAnsi="Arial" w:cs="Arial"/>
                <w:sz w:val="18"/>
                <w:szCs w:val="18"/>
              </w:rPr>
              <w:t xml:space="preserve"> (M1/M2), NLRP3 inhibition and modulation </w:t>
            </w:r>
            <w:r w:rsidRPr="00713FA1">
              <w:rPr>
                <w:rFonts w:ascii="Arial" w:hAnsi="Arial" w:cs="Arial"/>
                <w:sz w:val="18"/>
                <w:szCs w:val="18"/>
              </w:rPr>
              <w:lastRenderedPageBreak/>
              <w:t>of inflammatory responses.</w:t>
            </w:r>
          </w:p>
        </w:tc>
        <w:tc>
          <w:tcPr>
            <w:tcW w:w="0" w:type="auto"/>
            <w:hideMark/>
          </w:tcPr>
          <w:p w14:paraId="2C8475E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lastRenderedPageBreak/>
              <w:t>Supports the use of kaempferol as an anti-inflammatory and immunomodulatory agent with pharmacological and nutraceutical potential.</w:t>
            </w:r>
          </w:p>
        </w:tc>
      </w:tr>
      <w:tr w:rsidR="001F7D89" w:rsidRPr="001F7D89" w14:paraId="466FD22E" w14:textId="77777777" w:rsidTr="00713FA1">
        <w:trPr>
          <w:tblCellSpacing w:w="15" w:type="dxa"/>
        </w:trPr>
        <w:tc>
          <w:tcPr>
            <w:tcW w:w="0" w:type="auto"/>
            <w:hideMark/>
          </w:tcPr>
          <w:p w14:paraId="0EAFB075"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0511267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Shahbaz et al., 2023</w:t>
            </w:r>
          </w:p>
        </w:tc>
        <w:tc>
          <w:tcPr>
            <w:tcW w:w="0" w:type="auto"/>
            <w:hideMark/>
          </w:tcPr>
          <w:p w14:paraId="7DFC576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Anticancer, antioxidant, ameliorative and therapeutic properties of kaempferol</w:t>
            </w:r>
          </w:p>
        </w:tc>
        <w:tc>
          <w:tcPr>
            <w:tcW w:w="0" w:type="auto"/>
            <w:hideMark/>
          </w:tcPr>
          <w:p w14:paraId="54B2C80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Review article highlighting the molecular anticancer mechanisms of kaempferol and discussing limitations related to bioavailability and the need for modern delivery systems.</w:t>
            </w:r>
          </w:p>
        </w:tc>
        <w:tc>
          <w:tcPr>
            <w:tcW w:w="0" w:type="auto"/>
            <w:hideMark/>
          </w:tcPr>
          <w:p w14:paraId="69B10092"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Confirms the </w:t>
            </w:r>
            <w:proofErr w:type="spellStart"/>
            <w:r w:rsidRPr="00713FA1">
              <w:rPr>
                <w:rFonts w:ascii="Arial" w:hAnsi="Arial" w:cs="Arial"/>
                <w:sz w:val="18"/>
                <w:szCs w:val="18"/>
              </w:rPr>
              <w:t>pharmacognostic</w:t>
            </w:r>
            <w:proofErr w:type="spellEnd"/>
            <w:r w:rsidRPr="00713FA1">
              <w:rPr>
                <w:rFonts w:ascii="Arial" w:hAnsi="Arial" w:cs="Arial"/>
                <w:sz w:val="18"/>
                <w:szCs w:val="18"/>
              </w:rPr>
              <w:t xml:space="preserve"> value and nutraceutical potential of kaempferol as an antioxidant, anti-inflammatory and anticancer compound.</w:t>
            </w:r>
          </w:p>
        </w:tc>
      </w:tr>
      <w:tr w:rsidR="001F7D89" w:rsidRPr="001F7D89" w14:paraId="2BF3F226" w14:textId="77777777" w:rsidTr="00713FA1">
        <w:trPr>
          <w:tblCellSpacing w:w="15" w:type="dxa"/>
        </w:trPr>
        <w:tc>
          <w:tcPr>
            <w:tcW w:w="0" w:type="auto"/>
            <w:hideMark/>
          </w:tcPr>
          <w:p w14:paraId="4ADF133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Rutin</w:t>
            </w:r>
          </w:p>
        </w:tc>
        <w:tc>
          <w:tcPr>
            <w:tcW w:w="0" w:type="auto"/>
            <w:hideMark/>
          </w:tcPr>
          <w:p w14:paraId="6AF0088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Madkour et al., 2024</w:t>
            </w:r>
          </w:p>
        </w:tc>
        <w:tc>
          <w:tcPr>
            <w:tcW w:w="0" w:type="auto"/>
            <w:hideMark/>
          </w:tcPr>
          <w:p w14:paraId="1584190F"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Rutin: Chemical properties, Pharmacokinetic properties and Biological activities</w:t>
            </w:r>
          </w:p>
        </w:tc>
        <w:tc>
          <w:tcPr>
            <w:tcW w:w="0" w:type="auto"/>
            <w:hideMark/>
          </w:tcPr>
          <w:p w14:paraId="07C20B3A"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Review </w:t>
            </w:r>
            <w:proofErr w:type="spellStart"/>
            <w:r w:rsidRPr="00713FA1">
              <w:rPr>
                <w:rFonts w:ascii="Arial" w:hAnsi="Arial" w:cs="Arial"/>
                <w:sz w:val="18"/>
                <w:szCs w:val="18"/>
              </w:rPr>
              <w:t>summarising</w:t>
            </w:r>
            <w:proofErr w:type="spellEnd"/>
            <w:r w:rsidRPr="00713FA1">
              <w:rPr>
                <w:rFonts w:ascii="Arial" w:hAnsi="Arial" w:cs="Arial"/>
                <w:sz w:val="18"/>
                <w:szCs w:val="18"/>
              </w:rPr>
              <w:t xml:space="preserve"> the antioxidant, hepatoprotective, neuroprotective, antidiabetic and anticancer properties of </w:t>
            </w:r>
            <w:proofErr w:type="spellStart"/>
            <w:r w:rsidRPr="00713FA1">
              <w:rPr>
                <w:rFonts w:ascii="Arial" w:hAnsi="Arial" w:cs="Arial"/>
                <w:sz w:val="18"/>
                <w:szCs w:val="18"/>
              </w:rPr>
              <w:t>rutin</w:t>
            </w:r>
            <w:proofErr w:type="spellEnd"/>
            <w:r w:rsidRPr="00713FA1">
              <w:rPr>
                <w:rFonts w:ascii="Arial" w:hAnsi="Arial" w:cs="Arial"/>
                <w:sz w:val="18"/>
                <w:szCs w:val="18"/>
              </w:rPr>
              <w:t xml:space="preserve">, </w:t>
            </w:r>
            <w:proofErr w:type="spellStart"/>
            <w:r w:rsidRPr="00713FA1">
              <w:rPr>
                <w:rFonts w:ascii="Arial" w:hAnsi="Arial" w:cs="Arial"/>
                <w:sz w:val="18"/>
                <w:szCs w:val="18"/>
              </w:rPr>
              <w:t>emphasising</w:t>
            </w:r>
            <w:proofErr w:type="spellEnd"/>
            <w:r w:rsidRPr="00713FA1">
              <w:rPr>
                <w:rFonts w:ascii="Arial" w:hAnsi="Arial" w:cs="Arial"/>
                <w:sz w:val="18"/>
                <w:szCs w:val="18"/>
              </w:rPr>
              <w:t xml:space="preserve"> limitations in bioavailability.</w:t>
            </w:r>
          </w:p>
        </w:tc>
        <w:tc>
          <w:tcPr>
            <w:tcW w:w="0" w:type="auto"/>
            <w:hideMark/>
          </w:tcPr>
          <w:p w14:paraId="3A355B14"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 xml:space="preserve">Supports the use of </w:t>
            </w:r>
            <w:proofErr w:type="spellStart"/>
            <w:r w:rsidRPr="00713FA1">
              <w:rPr>
                <w:rFonts w:ascii="Arial" w:hAnsi="Arial" w:cs="Arial"/>
                <w:sz w:val="18"/>
                <w:szCs w:val="18"/>
              </w:rPr>
              <w:t>rutin</w:t>
            </w:r>
            <w:proofErr w:type="spellEnd"/>
            <w:r w:rsidRPr="00713FA1">
              <w:rPr>
                <w:rFonts w:ascii="Arial" w:hAnsi="Arial" w:cs="Arial"/>
                <w:sz w:val="18"/>
                <w:szCs w:val="18"/>
              </w:rPr>
              <w:t xml:space="preserve"> as a </w:t>
            </w:r>
            <w:proofErr w:type="spellStart"/>
            <w:r w:rsidRPr="00713FA1">
              <w:rPr>
                <w:rFonts w:ascii="Arial" w:hAnsi="Arial" w:cs="Arial"/>
                <w:sz w:val="18"/>
                <w:szCs w:val="18"/>
              </w:rPr>
              <w:t>pharmacognostic</w:t>
            </w:r>
            <w:proofErr w:type="spellEnd"/>
            <w:r w:rsidRPr="00713FA1">
              <w:rPr>
                <w:rFonts w:ascii="Arial" w:hAnsi="Arial" w:cs="Arial"/>
                <w:sz w:val="18"/>
                <w:szCs w:val="18"/>
              </w:rPr>
              <w:t xml:space="preserve"> phytocompound with broad therapeutic potential.</w:t>
            </w:r>
          </w:p>
        </w:tc>
      </w:tr>
      <w:tr w:rsidR="001F7D89" w:rsidRPr="001F7D89" w14:paraId="2A1E3795" w14:textId="77777777" w:rsidTr="00713FA1">
        <w:trPr>
          <w:tblCellSpacing w:w="15" w:type="dxa"/>
        </w:trPr>
        <w:tc>
          <w:tcPr>
            <w:tcW w:w="0" w:type="auto"/>
            <w:hideMark/>
          </w:tcPr>
          <w:p w14:paraId="489D5427"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56B2266C" w14:textId="77777777" w:rsidR="001F7D89" w:rsidRPr="00713FA1" w:rsidRDefault="001F7D89" w:rsidP="00713FA1">
            <w:pPr>
              <w:pStyle w:val="Body"/>
              <w:spacing w:after="0"/>
              <w:jc w:val="left"/>
              <w:rPr>
                <w:rFonts w:ascii="Arial" w:hAnsi="Arial" w:cs="Arial"/>
                <w:sz w:val="18"/>
                <w:szCs w:val="18"/>
              </w:rPr>
            </w:pPr>
            <w:proofErr w:type="spellStart"/>
            <w:r w:rsidRPr="00713FA1">
              <w:rPr>
                <w:rFonts w:ascii="Arial" w:hAnsi="Arial" w:cs="Arial"/>
                <w:sz w:val="18"/>
                <w:szCs w:val="18"/>
              </w:rPr>
              <w:t>Iriti</w:t>
            </w:r>
            <w:proofErr w:type="spellEnd"/>
            <w:r w:rsidRPr="00713FA1">
              <w:rPr>
                <w:rFonts w:ascii="Arial" w:hAnsi="Arial" w:cs="Arial"/>
                <w:sz w:val="18"/>
                <w:szCs w:val="18"/>
              </w:rPr>
              <w:t xml:space="preserve"> et al., 2023</w:t>
            </w:r>
          </w:p>
        </w:tc>
        <w:tc>
          <w:tcPr>
            <w:tcW w:w="0" w:type="auto"/>
            <w:hideMark/>
          </w:tcPr>
          <w:p w14:paraId="0B78D74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Bioactive Compounds in Health and Disease – Focus on Rutin</w:t>
            </w:r>
          </w:p>
        </w:tc>
        <w:tc>
          <w:tcPr>
            <w:tcW w:w="0" w:type="auto"/>
            <w:hideMark/>
          </w:tcPr>
          <w:p w14:paraId="35E8653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Analysis of bioavailability, safety and clinical evidence regarding the effects of rutin on metabolic status, inflammation and oxidative stress.</w:t>
            </w:r>
          </w:p>
        </w:tc>
        <w:tc>
          <w:tcPr>
            <w:tcW w:w="0" w:type="auto"/>
            <w:hideMark/>
          </w:tcPr>
          <w:p w14:paraId="2F7EAF77"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Highlights the nutraceutical potential of rutin and its integration into functional foods and adjuvant therapies.</w:t>
            </w:r>
          </w:p>
        </w:tc>
      </w:tr>
      <w:tr w:rsidR="001F7D89" w:rsidRPr="001F7D89" w14:paraId="3A770661" w14:textId="77777777" w:rsidTr="00713FA1">
        <w:trPr>
          <w:tblCellSpacing w:w="15" w:type="dxa"/>
        </w:trPr>
        <w:tc>
          <w:tcPr>
            <w:tcW w:w="0" w:type="auto"/>
            <w:hideMark/>
          </w:tcPr>
          <w:p w14:paraId="6447105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b/>
                <w:bCs/>
                <w:sz w:val="18"/>
                <w:szCs w:val="18"/>
              </w:rPr>
              <w:t>Epicatechin</w:t>
            </w:r>
          </w:p>
        </w:tc>
        <w:tc>
          <w:tcPr>
            <w:tcW w:w="0" w:type="auto"/>
            <w:hideMark/>
          </w:tcPr>
          <w:p w14:paraId="1549CE51"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Azmat et al., 2025</w:t>
            </w:r>
          </w:p>
        </w:tc>
        <w:tc>
          <w:tcPr>
            <w:tcW w:w="0" w:type="auto"/>
            <w:hideMark/>
          </w:tcPr>
          <w:p w14:paraId="4B7CB990"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Exploring the Multifaceted Potential of Elaeagnus angustifolia L.</w:t>
            </w:r>
          </w:p>
        </w:tc>
        <w:tc>
          <w:tcPr>
            <w:tcW w:w="0" w:type="auto"/>
            <w:hideMark/>
          </w:tcPr>
          <w:p w14:paraId="0AE7B5BD"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Presents the antioxidant and cardioprotective activities of flavanols found in the species.</w:t>
            </w:r>
          </w:p>
        </w:tc>
        <w:tc>
          <w:tcPr>
            <w:tcW w:w="0" w:type="auto"/>
            <w:hideMark/>
          </w:tcPr>
          <w:p w14:paraId="7633C0C4"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Neuroprotective and cardioprotective potential in nutraceutical formulations.</w:t>
            </w:r>
          </w:p>
        </w:tc>
      </w:tr>
      <w:tr w:rsidR="001F7D89" w:rsidRPr="001F7D89" w14:paraId="4DC90506" w14:textId="77777777" w:rsidTr="00713FA1">
        <w:trPr>
          <w:tblCellSpacing w:w="15" w:type="dxa"/>
        </w:trPr>
        <w:tc>
          <w:tcPr>
            <w:tcW w:w="0" w:type="auto"/>
            <w:hideMark/>
          </w:tcPr>
          <w:p w14:paraId="033C95BA" w14:textId="77777777" w:rsidR="001F7D89" w:rsidRPr="00713FA1" w:rsidRDefault="001F7D89" w:rsidP="00713FA1">
            <w:pPr>
              <w:pStyle w:val="Body"/>
              <w:spacing w:after="0"/>
              <w:jc w:val="left"/>
              <w:rPr>
                <w:rFonts w:ascii="Arial" w:hAnsi="Arial" w:cs="Arial"/>
                <w:sz w:val="18"/>
                <w:szCs w:val="18"/>
              </w:rPr>
            </w:pPr>
          </w:p>
        </w:tc>
        <w:tc>
          <w:tcPr>
            <w:tcW w:w="0" w:type="auto"/>
            <w:hideMark/>
          </w:tcPr>
          <w:p w14:paraId="4648B5EB"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Sevindik et al., 2025</w:t>
            </w:r>
          </w:p>
        </w:tc>
        <w:tc>
          <w:tcPr>
            <w:tcW w:w="0" w:type="auto"/>
            <w:hideMark/>
          </w:tcPr>
          <w:p w14:paraId="6E77DECC"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i/>
                <w:iCs/>
                <w:sz w:val="18"/>
                <w:szCs w:val="18"/>
              </w:rPr>
              <w:t>Elaeagnus angustifolia L.: A Comprehensive Review of Its Biological Activities, Phenolic and Chemical Constituents, and Applications</w:t>
            </w:r>
          </w:p>
        </w:tc>
        <w:tc>
          <w:tcPr>
            <w:tcW w:w="0" w:type="auto"/>
            <w:hideMark/>
          </w:tcPr>
          <w:p w14:paraId="07AB3492"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Review highlighting the presence of (-)-epicatechin in fruits and seeds and its role in the antioxidant, anti-inflammatory and antimicrobial activity of the species.</w:t>
            </w:r>
          </w:p>
        </w:tc>
        <w:tc>
          <w:tcPr>
            <w:tcW w:w="0" w:type="auto"/>
            <w:hideMark/>
          </w:tcPr>
          <w:p w14:paraId="4E0C6D46" w14:textId="77777777" w:rsidR="001F7D89" w:rsidRPr="00713FA1" w:rsidRDefault="001F7D89" w:rsidP="00713FA1">
            <w:pPr>
              <w:pStyle w:val="Body"/>
              <w:spacing w:after="0"/>
              <w:jc w:val="left"/>
              <w:rPr>
                <w:rFonts w:ascii="Arial" w:hAnsi="Arial" w:cs="Arial"/>
                <w:sz w:val="18"/>
                <w:szCs w:val="18"/>
              </w:rPr>
            </w:pPr>
            <w:r w:rsidRPr="00713FA1">
              <w:rPr>
                <w:rFonts w:ascii="Arial" w:hAnsi="Arial" w:cs="Arial"/>
                <w:sz w:val="18"/>
                <w:szCs w:val="18"/>
              </w:rPr>
              <w:t>Supports the importance of epicatechin as a bioactive flavanol relevant for nutraceutical and phytopharmaceutical applications.</w:t>
            </w:r>
          </w:p>
        </w:tc>
      </w:tr>
    </w:tbl>
    <w:p w14:paraId="33D294EB" w14:textId="77777777" w:rsidR="00EF7B14" w:rsidRDefault="00EF7B14" w:rsidP="001F7D89">
      <w:pPr>
        <w:pStyle w:val="Body"/>
        <w:spacing w:after="0"/>
        <w:rPr>
          <w:rFonts w:ascii="Arial" w:hAnsi="Arial" w:cs="Arial"/>
        </w:rPr>
      </w:pPr>
    </w:p>
    <w:p w14:paraId="30A7B7C4" w14:textId="77777777" w:rsidR="00713FA1" w:rsidRPr="00713FA1" w:rsidRDefault="00713FA1" w:rsidP="00713FA1">
      <w:pPr>
        <w:pStyle w:val="Body"/>
        <w:spacing w:after="0"/>
        <w:rPr>
          <w:rFonts w:ascii="Arial" w:hAnsi="Arial" w:cs="Arial"/>
        </w:rPr>
      </w:pPr>
      <w:r w:rsidRPr="00713FA1">
        <w:rPr>
          <w:rFonts w:ascii="Arial" w:hAnsi="Arial" w:cs="Arial"/>
        </w:rPr>
        <w:t xml:space="preserve">With regard to the results obtained in this research, they confirm that extraction temperature is a critical factor influencing both the qualitative composition and the biological potential of polyphenolic extracts, and they are consistent with the </w:t>
      </w:r>
      <w:proofErr w:type="spellStart"/>
      <w:r w:rsidRPr="00713FA1">
        <w:rPr>
          <w:rFonts w:ascii="Arial" w:hAnsi="Arial" w:cs="Arial"/>
        </w:rPr>
        <w:t>specialised</w:t>
      </w:r>
      <w:proofErr w:type="spellEnd"/>
      <w:r w:rsidRPr="00713FA1">
        <w:rPr>
          <w:rFonts w:ascii="Arial" w:hAnsi="Arial" w:cs="Arial"/>
        </w:rPr>
        <w:t xml:space="preserve"> literature, which consistently highlights the determining influence of temperature on the extractability and stability of polyphenolic compounds </w:t>
      </w:r>
      <w:r w:rsidRPr="00C10894">
        <w:rPr>
          <w:rFonts w:ascii="Arial" w:hAnsi="Arial" w:cs="Arial"/>
        </w:rPr>
        <w:t>(</w:t>
      </w:r>
      <w:proofErr w:type="spellStart"/>
      <w:r w:rsidRPr="00C10894">
        <w:rPr>
          <w:rFonts w:ascii="Arial" w:hAnsi="Arial" w:cs="Arial"/>
        </w:rPr>
        <w:t>Zagoskina</w:t>
      </w:r>
      <w:proofErr w:type="spellEnd"/>
      <w:r w:rsidRPr="00C10894">
        <w:rPr>
          <w:rFonts w:ascii="Arial" w:hAnsi="Arial" w:cs="Arial"/>
        </w:rPr>
        <w:t xml:space="preserve"> et al., 2023; Antony &amp; Farid, 2022; </w:t>
      </w:r>
      <w:proofErr w:type="spellStart"/>
      <w:r w:rsidRPr="00C10894">
        <w:rPr>
          <w:rFonts w:ascii="Arial" w:hAnsi="Arial" w:cs="Arial"/>
        </w:rPr>
        <w:t>Ruenroengklin</w:t>
      </w:r>
      <w:proofErr w:type="spellEnd"/>
      <w:r w:rsidRPr="00C10894">
        <w:rPr>
          <w:rFonts w:ascii="Arial" w:hAnsi="Arial" w:cs="Arial"/>
        </w:rPr>
        <w:t xml:space="preserve"> et al., 2008). In the review conducted by Antony &amp; Farid (2022) on the effect of temperature on total polyphenol yield and</w:t>
      </w:r>
      <w:r w:rsidRPr="00713FA1">
        <w:rPr>
          <w:rFonts w:ascii="Arial" w:hAnsi="Arial" w:cs="Arial"/>
        </w:rPr>
        <w:t xml:space="preserve"> on the </w:t>
      </w:r>
      <w:r w:rsidR="001A505C" w:rsidRPr="00713FA1">
        <w:rPr>
          <w:rFonts w:ascii="Arial" w:hAnsi="Arial" w:cs="Arial"/>
        </w:rPr>
        <w:t>behavior</w:t>
      </w:r>
      <w:r w:rsidRPr="00713FA1">
        <w:rPr>
          <w:rFonts w:ascii="Arial" w:hAnsi="Arial" w:cs="Arial"/>
        </w:rPr>
        <w:t xml:space="preserve"> of thermolabile compounds versus those released at higher temperatures, it is reiterated that, in general, for traditional extraction methods, the total phenolic content (TPC) is highest at e</w:t>
      </w:r>
      <w:r w:rsidR="00BF6854">
        <w:rPr>
          <w:rFonts w:ascii="Arial" w:hAnsi="Arial" w:cs="Arial"/>
        </w:rPr>
        <w:t>xtraction temperatures of 60–80</w:t>
      </w:r>
      <w:r w:rsidRPr="00713FA1">
        <w:rPr>
          <w:rFonts w:ascii="Arial" w:hAnsi="Arial" w:cs="Arial"/>
        </w:rPr>
        <w:t>°C. Moder</w:t>
      </w:r>
      <w:r w:rsidR="00BF6854">
        <w:rPr>
          <w:rFonts w:ascii="Arial" w:hAnsi="Arial" w:cs="Arial"/>
        </w:rPr>
        <w:t>ate to high temperatures (50–80</w:t>
      </w:r>
      <w:r w:rsidRPr="00713FA1">
        <w:rPr>
          <w:rFonts w:ascii="Arial" w:hAnsi="Arial" w:cs="Arial"/>
        </w:rPr>
        <w:t xml:space="preserve">°C) </w:t>
      </w:r>
      <w:proofErr w:type="spellStart"/>
      <w:r w:rsidRPr="00713FA1">
        <w:rPr>
          <w:rFonts w:ascii="Arial" w:hAnsi="Arial" w:cs="Arial"/>
        </w:rPr>
        <w:t>favour</w:t>
      </w:r>
      <w:proofErr w:type="spellEnd"/>
      <w:r w:rsidRPr="00713FA1">
        <w:rPr>
          <w:rFonts w:ascii="Arial" w:hAnsi="Arial" w:cs="Arial"/>
        </w:rPr>
        <w:t xml:space="preserve"> the production of extracts with a balanced bioactive profile, </w:t>
      </w:r>
      <w:proofErr w:type="spellStart"/>
      <w:r w:rsidRPr="00713FA1">
        <w:rPr>
          <w:rFonts w:ascii="Arial" w:hAnsi="Arial" w:cs="Arial"/>
        </w:rPr>
        <w:t>characterised</w:t>
      </w:r>
      <w:proofErr w:type="spellEnd"/>
      <w:r w:rsidRPr="00713FA1">
        <w:rPr>
          <w:rFonts w:ascii="Arial" w:hAnsi="Arial" w:cs="Arial"/>
        </w:rPr>
        <w:t xml:space="preserve"> by increased levels of stable phenolic acids and glycosidic flavonoids capable of exerting synergistic antioxidant and anti-inflammatory effects.</w:t>
      </w:r>
    </w:p>
    <w:p w14:paraId="2D419D1E" w14:textId="77777777" w:rsidR="00713FA1" w:rsidRPr="00713FA1" w:rsidRDefault="00713FA1" w:rsidP="00713FA1">
      <w:pPr>
        <w:pStyle w:val="Body"/>
        <w:spacing w:after="0"/>
        <w:rPr>
          <w:rFonts w:ascii="Arial" w:hAnsi="Arial" w:cs="Arial"/>
        </w:rPr>
      </w:pPr>
      <w:r w:rsidRPr="00713FA1">
        <w:rPr>
          <w:rFonts w:ascii="Arial" w:hAnsi="Arial" w:cs="Arial"/>
        </w:rPr>
        <w:lastRenderedPageBreak/>
        <w:t xml:space="preserve">An increase in temperature </w:t>
      </w:r>
      <w:proofErr w:type="spellStart"/>
      <w:r w:rsidRPr="00713FA1">
        <w:rPr>
          <w:rFonts w:ascii="Arial" w:hAnsi="Arial" w:cs="Arial"/>
        </w:rPr>
        <w:t>favours</w:t>
      </w:r>
      <w:proofErr w:type="spellEnd"/>
      <w:r w:rsidRPr="00713FA1">
        <w:rPr>
          <w:rFonts w:ascii="Arial" w:hAnsi="Arial" w:cs="Arial"/>
        </w:rPr>
        <w:t xml:space="preserve"> the recovery of free compounds, but may simultaneously generate losses through oxidative degradation. For this reason, the establishment of an optimal protocol including controlled thermal conditions and, where appropriate, antioxidant protective agents is recommended. Chlorogenic acid, although less abundant, remains stable within the </w:t>
      </w:r>
      <w:r w:rsidR="00780CEB" w:rsidRPr="00713FA1">
        <w:rPr>
          <w:rFonts w:ascii="Arial" w:hAnsi="Arial" w:cs="Arial"/>
        </w:rPr>
        <w:t>analyzed</w:t>
      </w:r>
      <w:r w:rsidRPr="00713FA1">
        <w:rPr>
          <w:rFonts w:ascii="Arial" w:hAnsi="Arial" w:cs="Arial"/>
        </w:rPr>
        <w:t xml:space="preserve"> temperature range, confirming its resistance to oxidation and moderate thermal transformations. This stability recommends it as a potential marker of the quality of phenolic extracts obtained through controlled thermal methods. Quercetin and kaempferol were not detected, which may be attributed to very low concentrations or their conversion into more stable glycosylated forms. These observations are consistent with data from the </w:t>
      </w:r>
      <w:r w:rsidR="00BF6854" w:rsidRPr="00713FA1">
        <w:rPr>
          <w:rFonts w:ascii="Arial" w:hAnsi="Arial" w:cs="Arial"/>
        </w:rPr>
        <w:t>specialized</w:t>
      </w:r>
      <w:r w:rsidRPr="00713FA1">
        <w:rPr>
          <w:rFonts w:ascii="Arial" w:hAnsi="Arial" w:cs="Arial"/>
        </w:rPr>
        <w:t xml:space="preserve"> literature indicating that flavonoids exhibit structural stability dependent on glycosidic substitutions and that aglycone molecules are more susceptible to oxidative degradation under intense thermal conditions (Sun et al., 2024). This dual </w:t>
      </w:r>
      <w:r w:rsidR="00D139F5" w:rsidRPr="00713FA1">
        <w:rPr>
          <w:rFonts w:ascii="Arial" w:hAnsi="Arial" w:cs="Arial"/>
        </w:rPr>
        <w:t>behavior</w:t>
      </w:r>
      <w:r w:rsidRPr="00713FA1">
        <w:rPr>
          <w:rFonts w:ascii="Arial" w:hAnsi="Arial" w:cs="Arial"/>
        </w:rPr>
        <w:t xml:space="preserve"> is frequently reported in flavonoid-rich </w:t>
      </w:r>
      <w:proofErr w:type="spellStart"/>
      <w:r w:rsidRPr="00713FA1">
        <w:rPr>
          <w:rFonts w:ascii="Arial" w:hAnsi="Arial" w:cs="Arial"/>
        </w:rPr>
        <w:t>phytosystems</w:t>
      </w:r>
      <w:proofErr w:type="spellEnd"/>
      <w:r w:rsidRPr="00713FA1">
        <w:rPr>
          <w:rFonts w:ascii="Arial" w:hAnsi="Arial" w:cs="Arial"/>
        </w:rPr>
        <w:t xml:space="preserve"> (</w:t>
      </w:r>
      <w:proofErr w:type="spellStart"/>
      <w:r w:rsidRPr="00713FA1">
        <w:rPr>
          <w:rFonts w:ascii="Arial" w:hAnsi="Arial" w:cs="Arial"/>
        </w:rPr>
        <w:t>Hämäläinen</w:t>
      </w:r>
      <w:proofErr w:type="spellEnd"/>
      <w:r w:rsidRPr="00713FA1">
        <w:rPr>
          <w:rFonts w:ascii="Arial" w:hAnsi="Arial" w:cs="Arial"/>
        </w:rPr>
        <w:t xml:space="preserve"> et al., 2007) and justifies the selection of moderate extraction temperatures (≈50 °C) as a balance between yield and the preservation of the integrity of thermolabile compounds.</w:t>
      </w:r>
    </w:p>
    <w:p w14:paraId="4935433E" w14:textId="77777777" w:rsidR="00713FA1" w:rsidRPr="00713FA1" w:rsidRDefault="00713FA1" w:rsidP="00713FA1">
      <w:pPr>
        <w:pStyle w:val="Body"/>
        <w:spacing w:after="0"/>
        <w:rPr>
          <w:rFonts w:ascii="Arial" w:hAnsi="Arial" w:cs="Arial"/>
        </w:rPr>
      </w:pPr>
      <w:r w:rsidRPr="00713FA1">
        <w:rPr>
          <w:rFonts w:ascii="Arial" w:hAnsi="Arial" w:cs="Arial"/>
        </w:rPr>
        <w:t xml:space="preserve">Furthermore, an important interpretation arises from the fact that the polyphenolic profile depends on the fruit matrix and the processing method, as also reported by other authors </w:t>
      </w:r>
      <w:r w:rsidRPr="00780CEB">
        <w:rPr>
          <w:rFonts w:ascii="Arial" w:hAnsi="Arial" w:cs="Arial"/>
        </w:rPr>
        <w:t>(Salazar-</w:t>
      </w:r>
      <w:proofErr w:type="spellStart"/>
      <w:r w:rsidRPr="00780CEB">
        <w:rPr>
          <w:rFonts w:ascii="Arial" w:hAnsi="Arial" w:cs="Arial"/>
        </w:rPr>
        <w:t>Orbea</w:t>
      </w:r>
      <w:proofErr w:type="spellEnd"/>
      <w:r w:rsidRPr="00780CEB">
        <w:rPr>
          <w:rFonts w:ascii="Arial" w:hAnsi="Arial" w:cs="Arial"/>
        </w:rPr>
        <w:t xml:space="preserve"> et al., 2023; Martins et al., 2022; Chiriac et al., 2021; Arfaoui, 2021).</w:t>
      </w:r>
      <w:r w:rsidRPr="00713FA1">
        <w:rPr>
          <w:rFonts w:ascii="Arial" w:hAnsi="Arial" w:cs="Arial"/>
        </w:rPr>
        <w:t xml:space="preserve"> Increasing temperature </w:t>
      </w:r>
      <w:proofErr w:type="spellStart"/>
      <w:r w:rsidRPr="00713FA1">
        <w:rPr>
          <w:rFonts w:ascii="Arial" w:hAnsi="Arial" w:cs="Arial"/>
        </w:rPr>
        <w:t>favours</w:t>
      </w:r>
      <w:proofErr w:type="spellEnd"/>
      <w:r w:rsidRPr="00713FA1">
        <w:rPr>
          <w:rFonts w:ascii="Arial" w:hAnsi="Arial" w:cs="Arial"/>
        </w:rPr>
        <w:t xml:space="preserve"> the release of conjugated phenols and flavonoid glycosides from plant matrices, leading to higher concentrations of compounds such as </w:t>
      </w:r>
      <w:proofErr w:type="spellStart"/>
      <w:r w:rsidRPr="00713FA1">
        <w:rPr>
          <w:rFonts w:ascii="Arial" w:hAnsi="Arial" w:cs="Arial"/>
        </w:rPr>
        <w:t>rutin</w:t>
      </w:r>
      <w:proofErr w:type="spellEnd"/>
      <w:r w:rsidRPr="00713FA1">
        <w:rPr>
          <w:rFonts w:ascii="Arial" w:hAnsi="Arial" w:cs="Arial"/>
        </w:rPr>
        <w:t xml:space="preserve"> or </w:t>
      </w:r>
      <w:proofErr w:type="spellStart"/>
      <w:r w:rsidRPr="00713FA1">
        <w:rPr>
          <w:rFonts w:ascii="Arial" w:hAnsi="Arial" w:cs="Arial"/>
        </w:rPr>
        <w:t>sinapic</w:t>
      </w:r>
      <w:proofErr w:type="spellEnd"/>
      <w:r w:rsidRPr="00713FA1">
        <w:rPr>
          <w:rFonts w:ascii="Arial" w:hAnsi="Arial" w:cs="Arial"/>
        </w:rPr>
        <w:t xml:space="preserve"> acid, a phenomenon also observed in our data. At the same time, the decrease of certain thermolabile compounds, such as epicatechin, reproduces previously reported trends, demonstrating their susceptibility to thermal or oxidative degradation. Thus, the differentiated </w:t>
      </w:r>
      <w:r w:rsidR="00E00B5E" w:rsidRPr="00713FA1">
        <w:rPr>
          <w:rFonts w:ascii="Arial" w:hAnsi="Arial" w:cs="Arial"/>
        </w:rPr>
        <w:t>behavior</w:t>
      </w:r>
      <w:r w:rsidRPr="00713FA1">
        <w:rPr>
          <w:rFonts w:ascii="Arial" w:hAnsi="Arial" w:cs="Arial"/>
        </w:rPr>
        <w:t xml:space="preserve"> of polyphenols depending on temperature supports the well-documented model of interactions between intrinsic chemical stability and extraction process efficiency, confirming the alignment of the present results with the experimental evidence reported in the </w:t>
      </w:r>
      <w:r w:rsidR="00BF6854" w:rsidRPr="00713FA1">
        <w:rPr>
          <w:rFonts w:ascii="Arial" w:hAnsi="Arial" w:cs="Arial"/>
        </w:rPr>
        <w:t>specialized</w:t>
      </w:r>
      <w:r w:rsidRPr="00713FA1">
        <w:rPr>
          <w:rFonts w:ascii="Arial" w:hAnsi="Arial" w:cs="Arial"/>
        </w:rPr>
        <w:t xml:space="preserve"> literature </w:t>
      </w:r>
      <w:r w:rsidRPr="00780CEB">
        <w:rPr>
          <w:rFonts w:ascii="Arial" w:hAnsi="Arial" w:cs="Arial"/>
        </w:rPr>
        <w:t>(Ameer et al., 2017; Shakeel et al., 2016; Ajila et al., 2011).</w:t>
      </w:r>
    </w:p>
    <w:p w14:paraId="1B6175F8" w14:textId="77777777" w:rsidR="00713FA1" w:rsidRPr="00713FA1" w:rsidRDefault="00713FA1" w:rsidP="00713FA1">
      <w:pPr>
        <w:pStyle w:val="Body"/>
        <w:spacing w:after="0"/>
        <w:rPr>
          <w:rFonts w:ascii="Arial" w:hAnsi="Arial" w:cs="Arial"/>
        </w:rPr>
      </w:pPr>
      <w:r w:rsidRPr="00713FA1">
        <w:rPr>
          <w:rFonts w:ascii="Arial" w:hAnsi="Arial" w:cs="Arial"/>
        </w:rPr>
        <w:t xml:space="preserve">By correlating the experimental data with this information on pharmacological mechanisms, it can be stated that, in the case of extracts obtained from </w:t>
      </w:r>
      <w:r w:rsidRPr="00713FA1">
        <w:rPr>
          <w:rFonts w:ascii="Arial" w:hAnsi="Arial" w:cs="Arial"/>
          <w:i/>
          <w:iCs/>
        </w:rPr>
        <w:t>Elaeagnus angustifolia</w:t>
      </w:r>
      <w:r w:rsidRPr="00713FA1">
        <w:rPr>
          <w:rFonts w:ascii="Arial" w:hAnsi="Arial" w:cs="Arial"/>
        </w:rPr>
        <w:t xml:space="preserve"> L. fruits, phenolic acids constitute the principal mediators of the anti-inflammatory effect, while flavonoids contribute in a complementary manner, particularly rutin, which through its antioxidant effects and its role in regulating the expression of pro-inflammatory cytokines enhances the overall anti-inflammatory response. Nevertheless, the decrease in epicatechin content indicates the need for </w:t>
      </w:r>
      <w:r w:rsidR="006458A9" w:rsidRPr="00713FA1">
        <w:rPr>
          <w:rFonts w:ascii="Arial" w:hAnsi="Arial" w:cs="Arial"/>
        </w:rPr>
        <w:t>optimization</w:t>
      </w:r>
      <w:r w:rsidRPr="00713FA1">
        <w:rPr>
          <w:rFonts w:ascii="Arial" w:hAnsi="Arial" w:cs="Arial"/>
        </w:rPr>
        <w:t xml:space="preserve"> of extraction parameters in order to preserve the integrity of thermolabile compounds while maintaining the yield of phenolic acids.</w:t>
      </w:r>
    </w:p>
    <w:p w14:paraId="04F779C6" w14:textId="77777777" w:rsidR="00713FA1" w:rsidRPr="00713FA1" w:rsidRDefault="00713FA1" w:rsidP="00713FA1">
      <w:pPr>
        <w:pStyle w:val="Body"/>
        <w:spacing w:after="0"/>
        <w:rPr>
          <w:rFonts w:ascii="Arial" w:hAnsi="Arial" w:cs="Arial"/>
        </w:rPr>
      </w:pPr>
      <w:r w:rsidRPr="00713FA1">
        <w:rPr>
          <w:rFonts w:ascii="Arial" w:hAnsi="Arial" w:cs="Arial"/>
        </w:rPr>
        <w:t xml:space="preserve">This synergistic effect is also supported by recent studies indicating that phenols and flavonoids act in concert in reducing the expression of pro-inflammatory genes and </w:t>
      </w:r>
      <w:r w:rsidR="00EB04B1" w:rsidRPr="00713FA1">
        <w:rPr>
          <w:rFonts w:ascii="Arial" w:hAnsi="Arial" w:cs="Arial"/>
        </w:rPr>
        <w:t>stabilizing</w:t>
      </w:r>
      <w:r w:rsidRPr="00713FA1">
        <w:rPr>
          <w:rFonts w:ascii="Arial" w:hAnsi="Arial" w:cs="Arial"/>
        </w:rPr>
        <w:t xml:space="preserve"> cellular redox status (</w:t>
      </w:r>
      <w:r w:rsidR="007A1E09" w:rsidRPr="00780CEB">
        <w:rPr>
          <w:rFonts w:ascii="Arial" w:hAnsi="Arial" w:cs="Arial"/>
        </w:rPr>
        <w:t>Santangelo</w:t>
      </w:r>
      <w:r w:rsidRPr="00713FA1">
        <w:rPr>
          <w:rFonts w:ascii="Arial" w:hAnsi="Arial" w:cs="Arial"/>
        </w:rPr>
        <w:t xml:space="preserve"> et al., 20</w:t>
      </w:r>
      <w:r w:rsidR="00FF0887">
        <w:rPr>
          <w:rFonts w:ascii="Arial" w:hAnsi="Arial" w:cs="Arial"/>
        </w:rPr>
        <w:t>07</w:t>
      </w:r>
      <w:r w:rsidRPr="00713FA1">
        <w:rPr>
          <w:rFonts w:ascii="Arial" w:hAnsi="Arial" w:cs="Arial"/>
        </w:rPr>
        <w:t>).</w:t>
      </w:r>
    </w:p>
    <w:p w14:paraId="250749C5" w14:textId="77777777" w:rsidR="00713FA1" w:rsidRPr="00713FA1" w:rsidRDefault="00713FA1" w:rsidP="00713FA1">
      <w:pPr>
        <w:pStyle w:val="Body"/>
        <w:spacing w:after="0"/>
        <w:rPr>
          <w:rFonts w:ascii="Arial" w:hAnsi="Arial" w:cs="Arial"/>
        </w:rPr>
      </w:pPr>
      <w:r w:rsidRPr="00713FA1">
        <w:rPr>
          <w:rFonts w:ascii="Arial" w:hAnsi="Arial" w:cs="Arial"/>
        </w:rPr>
        <w:t xml:space="preserve">For </w:t>
      </w:r>
      <w:proofErr w:type="spellStart"/>
      <w:r w:rsidRPr="00713FA1">
        <w:rPr>
          <w:rFonts w:ascii="Arial" w:hAnsi="Arial" w:cs="Arial"/>
        </w:rPr>
        <w:t>sinapic</w:t>
      </w:r>
      <w:proofErr w:type="spellEnd"/>
      <w:r w:rsidRPr="00713FA1">
        <w:rPr>
          <w:rFonts w:ascii="Arial" w:hAnsi="Arial" w:cs="Arial"/>
        </w:rPr>
        <w:t xml:space="preserve"> acid, the </w:t>
      </w:r>
      <w:r w:rsidR="006458A9" w:rsidRPr="00713FA1">
        <w:rPr>
          <w:rFonts w:ascii="Arial" w:hAnsi="Arial" w:cs="Arial"/>
        </w:rPr>
        <w:t>specialized</w:t>
      </w:r>
      <w:r w:rsidRPr="00713FA1">
        <w:rPr>
          <w:rFonts w:ascii="Arial" w:hAnsi="Arial" w:cs="Arial"/>
        </w:rPr>
        <w:t xml:space="preserve"> literature indicates a relevant systemic anti-inflammatory and antioxidant potential, supported by the ability of this compound to inhibit COX and LOX and to reduce oxidative stress, which supports interest in its use in nutraceutical products (Chen, 2016; </w:t>
      </w:r>
      <w:proofErr w:type="spellStart"/>
      <w:r w:rsidRPr="00713FA1">
        <w:rPr>
          <w:rFonts w:ascii="Arial" w:hAnsi="Arial" w:cs="Arial"/>
        </w:rPr>
        <w:t>Rudrapal</w:t>
      </w:r>
      <w:proofErr w:type="spellEnd"/>
      <w:r w:rsidRPr="00713FA1">
        <w:rPr>
          <w:rFonts w:ascii="Arial" w:hAnsi="Arial" w:cs="Arial"/>
        </w:rPr>
        <w:t xml:space="preserve"> et al., 2025).</w:t>
      </w:r>
    </w:p>
    <w:p w14:paraId="23A5BDD2" w14:textId="77777777" w:rsidR="00713FA1" w:rsidRPr="00713FA1" w:rsidRDefault="00713FA1" w:rsidP="00713FA1">
      <w:pPr>
        <w:pStyle w:val="Body"/>
        <w:spacing w:after="0"/>
        <w:rPr>
          <w:rFonts w:ascii="Arial" w:hAnsi="Arial" w:cs="Arial"/>
        </w:rPr>
      </w:pPr>
      <w:r w:rsidRPr="00713FA1">
        <w:rPr>
          <w:rFonts w:ascii="Arial" w:hAnsi="Arial" w:cs="Arial"/>
        </w:rPr>
        <w:t xml:space="preserve">Gallic acid is </w:t>
      </w:r>
      <w:r w:rsidR="00EB04B1" w:rsidRPr="00713FA1">
        <w:rPr>
          <w:rFonts w:ascii="Arial" w:hAnsi="Arial" w:cs="Arial"/>
        </w:rPr>
        <w:t>recognized</w:t>
      </w:r>
      <w:r w:rsidRPr="00713FA1">
        <w:rPr>
          <w:rFonts w:ascii="Arial" w:hAnsi="Arial" w:cs="Arial"/>
        </w:rPr>
        <w:t xml:space="preserve"> for its antimicrobial and anti-inflammatory properties, exerted through free radical scavenging and modulation of inflammatory mediators, which recommends it for dermato-cosmetic and topical applications (</w:t>
      </w:r>
      <w:proofErr w:type="spellStart"/>
      <w:r w:rsidRPr="00713FA1">
        <w:rPr>
          <w:rFonts w:ascii="Arial" w:hAnsi="Arial" w:cs="Arial"/>
        </w:rPr>
        <w:t>Hadidi</w:t>
      </w:r>
      <w:proofErr w:type="spellEnd"/>
      <w:r w:rsidRPr="00713FA1">
        <w:rPr>
          <w:rFonts w:ascii="Arial" w:hAnsi="Arial" w:cs="Arial"/>
        </w:rPr>
        <w:t xml:space="preserve"> et al., 2024; </w:t>
      </w:r>
      <w:r w:rsidRPr="00780CEB">
        <w:rPr>
          <w:rFonts w:ascii="Arial" w:hAnsi="Arial" w:cs="Arial"/>
        </w:rPr>
        <w:t>Rahman</w:t>
      </w:r>
      <w:r w:rsidRPr="00713FA1">
        <w:rPr>
          <w:rFonts w:ascii="Arial" w:hAnsi="Arial" w:cs="Arial"/>
        </w:rPr>
        <w:t xml:space="preserve"> et al., 2021).</w:t>
      </w:r>
    </w:p>
    <w:p w14:paraId="286FDE0F" w14:textId="77777777" w:rsidR="00713FA1" w:rsidRPr="00713FA1" w:rsidRDefault="00713FA1" w:rsidP="00713FA1">
      <w:pPr>
        <w:pStyle w:val="Body"/>
        <w:spacing w:after="0"/>
        <w:rPr>
          <w:rFonts w:ascii="Arial" w:hAnsi="Arial" w:cs="Arial"/>
        </w:rPr>
      </w:pPr>
      <w:r w:rsidRPr="00713FA1">
        <w:rPr>
          <w:rFonts w:ascii="Arial" w:hAnsi="Arial" w:cs="Arial"/>
        </w:rPr>
        <w:t xml:space="preserve">Chlorogenic acid is known for its </w:t>
      </w:r>
      <w:proofErr w:type="spellStart"/>
      <w:r w:rsidRPr="00713FA1">
        <w:rPr>
          <w:rFonts w:ascii="Arial" w:hAnsi="Arial" w:cs="Arial"/>
        </w:rPr>
        <w:t>hypoglycaemic</w:t>
      </w:r>
      <w:proofErr w:type="spellEnd"/>
      <w:r w:rsidRPr="00713FA1">
        <w:rPr>
          <w:rFonts w:ascii="Arial" w:hAnsi="Arial" w:cs="Arial"/>
        </w:rPr>
        <w:t xml:space="preserve">, hepatoprotective and antioxidant effects, its mechanisms being associated with the inhibition of glucose absorption and the protection of tissues against oxidative stress. These properties justify its inclusion in products intended for individuals at metabolic risk or with diabetes (Ayaz &amp; </w:t>
      </w:r>
      <w:proofErr w:type="spellStart"/>
      <w:r w:rsidRPr="00713FA1">
        <w:rPr>
          <w:rFonts w:ascii="Arial" w:hAnsi="Arial" w:cs="Arial"/>
        </w:rPr>
        <w:t>Bertoft</w:t>
      </w:r>
      <w:proofErr w:type="spellEnd"/>
      <w:r w:rsidRPr="00713FA1">
        <w:rPr>
          <w:rFonts w:ascii="Arial" w:hAnsi="Arial" w:cs="Arial"/>
        </w:rPr>
        <w:t xml:space="preserve">, 2001; Sun &amp; </w:t>
      </w:r>
      <w:proofErr w:type="spellStart"/>
      <w:r w:rsidRPr="00713FA1">
        <w:rPr>
          <w:rFonts w:ascii="Arial" w:hAnsi="Arial" w:cs="Arial"/>
        </w:rPr>
        <w:t>Shahrajabian</w:t>
      </w:r>
      <w:proofErr w:type="spellEnd"/>
      <w:r w:rsidRPr="00713FA1">
        <w:rPr>
          <w:rFonts w:ascii="Arial" w:hAnsi="Arial" w:cs="Arial"/>
        </w:rPr>
        <w:t>, 2023).</w:t>
      </w:r>
    </w:p>
    <w:p w14:paraId="66A6A4D6" w14:textId="77777777" w:rsidR="00713FA1" w:rsidRPr="00713FA1" w:rsidRDefault="00713FA1" w:rsidP="00713FA1">
      <w:pPr>
        <w:pStyle w:val="Body"/>
        <w:spacing w:after="0"/>
        <w:rPr>
          <w:rFonts w:ascii="Arial" w:hAnsi="Arial" w:cs="Arial"/>
        </w:rPr>
      </w:pPr>
      <w:r w:rsidRPr="00713FA1">
        <w:rPr>
          <w:rFonts w:ascii="Arial" w:hAnsi="Arial" w:cs="Arial"/>
        </w:rPr>
        <w:t xml:space="preserve">The identified flavonoids, rutin and epicatechin, contribute complementarily to the bioactive profile of the fruits. Rutin is also well documented for its </w:t>
      </w:r>
      <w:proofErr w:type="spellStart"/>
      <w:r w:rsidRPr="00713FA1">
        <w:rPr>
          <w:rFonts w:ascii="Arial" w:hAnsi="Arial" w:cs="Arial"/>
        </w:rPr>
        <w:t>vasoprotective</w:t>
      </w:r>
      <w:proofErr w:type="spellEnd"/>
      <w:r w:rsidRPr="00713FA1">
        <w:rPr>
          <w:rFonts w:ascii="Arial" w:hAnsi="Arial" w:cs="Arial"/>
        </w:rPr>
        <w:t>, anti-</w:t>
      </w:r>
      <w:r w:rsidR="002A5E6F" w:rsidRPr="00713FA1">
        <w:rPr>
          <w:rFonts w:ascii="Arial" w:hAnsi="Arial" w:cs="Arial"/>
        </w:rPr>
        <w:t>edematous</w:t>
      </w:r>
      <w:r w:rsidRPr="00713FA1">
        <w:rPr>
          <w:rFonts w:ascii="Arial" w:hAnsi="Arial" w:cs="Arial"/>
        </w:rPr>
        <w:t xml:space="preserve"> and </w:t>
      </w:r>
      <w:r w:rsidRPr="00713FA1">
        <w:rPr>
          <w:rFonts w:ascii="Arial" w:hAnsi="Arial" w:cs="Arial"/>
        </w:rPr>
        <w:lastRenderedPageBreak/>
        <w:t xml:space="preserve">antioxidant effects, associated with the </w:t>
      </w:r>
      <w:r w:rsidR="002A5E6F" w:rsidRPr="00713FA1">
        <w:rPr>
          <w:rFonts w:ascii="Arial" w:hAnsi="Arial" w:cs="Arial"/>
        </w:rPr>
        <w:t>stabilization</w:t>
      </w:r>
      <w:r w:rsidRPr="00713FA1">
        <w:rPr>
          <w:rFonts w:ascii="Arial" w:hAnsi="Arial" w:cs="Arial"/>
        </w:rPr>
        <w:t xml:space="preserve"> of vascular walls and the reduction of capillary permeability (</w:t>
      </w:r>
      <w:r w:rsidRPr="00780CEB">
        <w:rPr>
          <w:rFonts w:ascii="Arial" w:hAnsi="Arial" w:cs="Arial"/>
        </w:rPr>
        <w:t>Choi</w:t>
      </w:r>
      <w:r w:rsidRPr="00713FA1">
        <w:rPr>
          <w:rFonts w:ascii="Arial" w:hAnsi="Arial" w:cs="Arial"/>
        </w:rPr>
        <w:t xml:space="preserve"> et al., 2021; Hämäläinen et al., 2007, </w:t>
      </w:r>
      <w:r w:rsidRPr="00780CEB">
        <w:rPr>
          <w:rFonts w:ascii="Arial" w:hAnsi="Arial" w:cs="Arial"/>
        </w:rPr>
        <w:t>Chagas et</w:t>
      </w:r>
      <w:r w:rsidRPr="00713FA1">
        <w:rPr>
          <w:rFonts w:ascii="Arial" w:hAnsi="Arial" w:cs="Arial"/>
        </w:rPr>
        <w:t xml:space="preserve"> al., 2022).</w:t>
      </w:r>
    </w:p>
    <w:p w14:paraId="220E9935" w14:textId="77777777" w:rsidR="00713FA1" w:rsidRPr="00713FA1" w:rsidRDefault="00713FA1" w:rsidP="00713FA1">
      <w:pPr>
        <w:pStyle w:val="Body"/>
        <w:spacing w:after="0"/>
        <w:rPr>
          <w:rFonts w:ascii="Arial" w:hAnsi="Arial" w:cs="Arial"/>
        </w:rPr>
      </w:pPr>
      <w:r w:rsidRPr="00713FA1">
        <w:rPr>
          <w:rFonts w:ascii="Arial" w:hAnsi="Arial" w:cs="Arial"/>
        </w:rPr>
        <w:t xml:space="preserve">Epicatechin, a flavan-3-ol with neuro- and </w:t>
      </w:r>
      <w:r w:rsidR="002A5E6F" w:rsidRPr="00713FA1">
        <w:rPr>
          <w:rFonts w:ascii="Arial" w:hAnsi="Arial" w:cs="Arial"/>
        </w:rPr>
        <w:t>cardio protective</w:t>
      </w:r>
      <w:r w:rsidRPr="00713FA1">
        <w:rPr>
          <w:rFonts w:ascii="Arial" w:hAnsi="Arial" w:cs="Arial"/>
        </w:rPr>
        <w:t xml:space="preserve"> activity, acts by reducing oxidative stress and modulating NF-</w:t>
      </w:r>
      <w:proofErr w:type="spellStart"/>
      <w:r w:rsidRPr="00713FA1">
        <w:rPr>
          <w:rFonts w:ascii="Arial" w:hAnsi="Arial" w:cs="Arial"/>
        </w:rPr>
        <w:t>κB</w:t>
      </w:r>
      <w:proofErr w:type="spellEnd"/>
      <w:r w:rsidRPr="00713FA1">
        <w:rPr>
          <w:rFonts w:ascii="Arial" w:hAnsi="Arial" w:cs="Arial"/>
        </w:rPr>
        <w:t xml:space="preserve"> pathways, but it is sensitive to thermal and oxidative degradation, which requires extraction at moderate temperatures in order to preserve molecula</w:t>
      </w:r>
      <w:r w:rsidR="00336D70">
        <w:rPr>
          <w:rFonts w:ascii="Arial" w:hAnsi="Arial" w:cs="Arial"/>
        </w:rPr>
        <w:t>r integrity (Azmat et al., 2025</w:t>
      </w:r>
      <w:r w:rsidRPr="00713FA1">
        <w:rPr>
          <w:rFonts w:ascii="Arial" w:hAnsi="Arial" w:cs="Arial"/>
        </w:rPr>
        <w:t xml:space="preserve">). The absence of kaempferol in the fruits, in contrast with its presence reported in leaves and flowers, indicates a phytochemical distribution dependent on plant organs, a phenomenon frequently reported in the </w:t>
      </w:r>
      <w:r w:rsidR="002A5E6F" w:rsidRPr="00713FA1">
        <w:rPr>
          <w:rFonts w:ascii="Arial" w:hAnsi="Arial" w:cs="Arial"/>
        </w:rPr>
        <w:t>specialized</w:t>
      </w:r>
      <w:r w:rsidRPr="00713FA1">
        <w:rPr>
          <w:rFonts w:ascii="Arial" w:hAnsi="Arial" w:cs="Arial"/>
        </w:rPr>
        <w:t xml:space="preserve"> literature for this species. This specificity suggests the need for the selection of plant raw material according to the target compound, the fruits being more suitable for obtaining phenolic acids and glycosylated flavonoids such as </w:t>
      </w:r>
      <w:proofErr w:type="spellStart"/>
      <w:r w:rsidRPr="00713FA1">
        <w:rPr>
          <w:rFonts w:ascii="Arial" w:hAnsi="Arial" w:cs="Arial"/>
        </w:rPr>
        <w:t>rutin</w:t>
      </w:r>
      <w:proofErr w:type="spellEnd"/>
      <w:r w:rsidRPr="00713FA1">
        <w:rPr>
          <w:rFonts w:ascii="Arial" w:hAnsi="Arial" w:cs="Arial"/>
        </w:rPr>
        <w:t xml:space="preserve"> (</w:t>
      </w:r>
      <w:proofErr w:type="spellStart"/>
      <w:r w:rsidRPr="00713FA1">
        <w:rPr>
          <w:rFonts w:ascii="Arial" w:hAnsi="Arial" w:cs="Arial"/>
        </w:rPr>
        <w:t>Carradori</w:t>
      </w:r>
      <w:proofErr w:type="spellEnd"/>
      <w:r w:rsidRPr="00713FA1">
        <w:rPr>
          <w:rFonts w:ascii="Arial" w:hAnsi="Arial" w:cs="Arial"/>
        </w:rPr>
        <w:t xml:space="preserve"> et al., 2020; Sevindik et al., 2025).</w:t>
      </w:r>
    </w:p>
    <w:p w14:paraId="25185C93" w14:textId="77777777" w:rsidR="00713FA1" w:rsidRPr="00713FA1" w:rsidRDefault="00713FA1" w:rsidP="00713FA1">
      <w:pPr>
        <w:pStyle w:val="Body"/>
        <w:spacing w:after="0"/>
        <w:rPr>
          <w:rFonts w:ascii="Arial" w:hAnsi="Arial" w:cs="Arial"/>
        </w:rPr>
      </w:pPr>
      <w:r w:rsidRPr="00713FA1">
        <w:rPr>
          <w:rFonts w:ascii="Arial" w:hAnsi="Arial" w:cs="Arial"/>
        </w:rPr>
        <w:t xml:space="preserve">The differentiated </w:t>
      </w:r>
      <w:r w:rsidR="002A5E6F" w:rsidRPr="00713FA1">
        <w:rPr>
          <w:rFonts w:ascii="Arial" w:hAnsi="Arial" w:cs="Arial"/>
        </w:rPr>
        <w:t>behavior</w:t>
      </w:r>
      <w:r w:rsidRPr="00713FA1">
        <w:rPr>
          <w:rFonts w:ascii="Arial" w:hAnsi="Arial" w:cs="Arial"/>
        </w:rPr>
        <w:t xml:space="preserve"> of polyphenols depending on extraction temperature provides a solid basis for the </w:t>
      </w:r>
      <w:r w:rsidR="002A5E6F" w:rsidRPr="00713FA1">
        <w:rPr>
          <w:rFonts w:ascii="Arial" w:hAnsi="Arial" w:cs="Arial"/>
        </w:rPr>
        <w:t>optimization</w:t>
      </w:r>
      <w:r w:rsidRPr="00713FA1">
        <w:rPr>
          <w:rFonts w:ascii="Arial" w:hAnsi="Arial" w:cs="Arial"/>
        </w:rPr>
        <w:t xml:space="preserve"> of technological processes. Higher temperatures </w:t>
      </w:r>
      <w:r w:rsidR="002A5E6F" w:rsidRPr="00713FA1">
        <w:rPr>
          <w:rFonts w:ascii="Arial" w:hAnsi="Arial" w:cs="Arial"/>
        </w:rPr>
        <w:t>favor</w:t>
      </w:r>
      <w:r w:rsidRPr="00713FA1">
        <w:rPr>
          <w:rFonts w:ascii="Arial" w:hAnsi="Arial" w:cs="Arial"/>
        </w:rPr>
        <w:t xml:space="preserve"> the production of extracts rich in phenolic acids and glycosylated flavonoids with pronounced anti-inflammatory potential, while extraction at moderate temperatures allows the preservation of sensitive compounds such as epicatechin, maintaining a synergistic antioxidant balance (Antony &amp; Farid, 2022; Santos-</w:t>
      </w:r>
      <w:proofErr w:type="spellStart"/>
      <w:r w:rsidRPr="00713FA1">
        <w:rPr>
          <w:rFonts w:ascii="Arial" w:hAnsi="Arial" w:cs="Arial"/>
        </w:rPr>
        <w:t>Buelga</w:t>
      </w:r>
      <w:proofErr w:type="spellEnd"/>
      <w:r w:rsidRPr="00713FA1">
        <w:rPr>
          <w:rFonts w:ascii="Arial" w:hAnsi="Arial" w:cs="Arial"/>
        </w:rPr>
        <w:t xml:space="preserve"> et al., 2012).</w:t>
      </w:r>
    </w:p>
    <w:p w14:paraId="32A43078" w14:textId="77777777" w:rsidR="00EF7B14" w:rsidRDefault="00713FA1" w:rsidP="00713FA1">
      <w:pPr>
        <w:pStyle w:val="Body"/>
        <w:spacing w:after="0"/>
        <w:rPr>
          <w:rFonts w:ascii="Arial" w:hAnsi="Arial" w:cs="Arial"/>
        </w:rPr>
      </w:pPr>
      <w:r w:rsidRPr="00713FA1">
        <w:rPr>
          <w:rFonts w:ascii="Arial" w:hAnsi="Arial" w:cs="Arial"/>
        </w:rPr>
        <w:t xml:space="preserve">These results support the use of </w:t>
      </w:r>
      <w:r w:rsidRPr="00713FA1">
        <w:rPr>
          <w:rFonts w:ascii="Arial" w:hAnsi="Arial" w:cs="Arial"/>
          <w:i/>
          <w:iCs/>
        </w:rPr>
        <w:t>Elaeagnus angustifolia</w:t>
      </w:r>
      <w:r w:rsidRPr="00713FA1">
        <w:rPr>
          <w:rFonts w:ascii="Arial" w:hAnsi="Arial" w:cs="Arial"/>
        </w:rPr>
        <w:t xml:space="preserve"> L. fruits as a versatile raw material for obtaining functional products. The extracts may be directed towards nutraceutical formulations with anti-inflammatory and antioxidant roles, </w:t>
      </w:r>
      <w:r w:rsidR="002A5E6F" w:rsidRPr="00713FA1">
        <w:rPr>
          <w:rFonts w:ascii="Arial" w:hAnsi="Arial" w:cs="Arial"/>
        </w:rPr>
        <w:t>standardized</w:t>
      </w:r>
      <w:r w:rsidRPr="00713FA1">
        <w:rPr>
          <w:rFonts w:ascii="Arial" w:hAnsi="Arial" w:cs="Arial"/>
        </w:rPr>
        <w:t xml:space="preserve"> cosmetic ingredients with soothing and anti-ageing effects, or </w:t>
      </w:r>
      <w:proofErr w:type="spellStart"/>
      <w:r w:rsidRPr="00713FA1">
        <w:rPr>
          <w:rFonts w:ascii="Arial" w:hAnsi="Arial" w:cs="Arial"/>
        </w:rPr>
        <w:t>phytotherapeutic</w:t>
      </w:r>
      <w:proofErr w:type="spellEnd"/>
      <w:r w:rsidRPr="00713FA1">
        <w:rPr>
          <w:rFonts w:ascii="Arial" w:hAnsi="Arial" w:cs="Arial"/>
        </w:rPr>
        <w:t xml:space="preserve"> preparations intended to support vascular and metabolic health, the selection of extraction conditions being essential for obtaining a phytochemical profile appropriate to the intended application.</w:t>
      </w:r>
    </w:p>
    <w:p w14:paraId="5FE446DB" w14:textId="77777777" w:rsidR="00EF7B14" w:rsidRDefault="00EF7B14" w:rsidP="001F7D89">
      <w:pPr>
        <w:pStyle w:val="Body"/>
        <w:spacing w:after="0"/>
        <w:rPr>
          <w:rFonts w:ascii="Arial" w:hAnsi="Arial" w:cs="Arial"/>
        </w:rPr>
      </w:pPr>
    </w:p>
    <w:p w14:paraId="537F228A" w14:textId="77777777" w:rsidR="00B01FCD" w:rsidRDefault="00713FA1"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4F5CDFF3" w14:textId="77777777" w:rsidR="00790ADA" w:rsidRPr="00FB3A86" w:rsidRDefault="00790ADA" w:rsidP="00441B6F">
      <w:pPr>
        <w:pStyle w:val="ConcHead"/>
        <w:spacing w:after="0"/>
        <w:jc w:val="both"/>
        <w:rPr>
          <w:rFonts w:ascii="Arial" w:hAnsi="Arial" w:cs="Arial"/>
        </w:rPr>
      </w:pPr>
    </w:p>
    <w:p w14:paraId="3908429F" w14:textId="77777777" w:rsidR="00713FA1" w:rsidRPr="00713FA1" w:rsidRDefault="00713FA1" w:rsidP="00713FA1">
      <w:pPr>
        <w:pStyle w:val="Body"/>
        <w:spacing w:after="0"/>
        <w:rPr>
          <w:rFonts w:ascii="Arial" w:hAnsi="Arial" w:cs="Arial"/>
          <w:lang w:bidi="en-US"/>
        </w:rPr>
      </w:pPr>
      <w:r w:rsidRPr="00713FA1">
        <w:rPr>
          <w:rFonts w:ascii="Arial" w:hAnsi="Arial" w:cs="Arial"/>
          <w:lang w:bidi="en-US"/>
        </w:rPr>
        <w:t xml:space="preserve">The analysis of the phenolic profile of </w:t>
      </w:r>
      <w:r w:rsidRPr="00713FA1">
        <w:rPr>
          <w:rFonts w:ascii="Arial" w:hAnsi="Arial" w:cs="Arial"/>
          <w:i/>
          <w:iCs/>
          <w:lang w:bidi="en-US"/>
        </w:rPr>
        <w:t>Elaeagnus angustifolia</w:t>
      </w:r>
      <w:r w:rsidRPr="00713FA1">
        <w:rPr>
          <w:rFonts w:ascii="Arial" w:hAnsi="Arial" w:cs="Arial"/>
          <w:lang w:bidi="en-US"/>
        </w:rPr>
        <w:t xml:space="preserve"> L. fruits confirms the relevance of this organ as a phytopharmaceutical source, although it is less explored compared with leaves or flowers. The present study demonstrates that aqueous extracts obtained from </w:t>
      </w:r>
      <w:r w:rsidRPr="00713FA1">
        <w:rPr>
          <w:rFonts w:ascii="Arial" w:hAnsi="Arial" w:cs="Arial"/>
          <w:i/>
          <w:iCs/>
          <w:lang w:bidi="en-US"/>
        </w:rPr>
        <w:t>Elaeagnus angustifolia</w:t>
      </w:r>
      <w:r w:rsidRPr="00713FA1">
        <w:rPr>
          <w:rFonts w:ascii="Arial" w:hAnsi="Arial" w:cs="Arial"/>
          <w:lang w:bidi="en-US"/>
        </w:rPr>
        <w:t xml:space="preserve"> L. fruits exhibit a diverse phenolic profile, with a quantitative and functional predominance of phenolic acids over flavonoids. Among these, </w:t>
      </w:r>
      <w:proofErr w:type="spellStart"/>
      <w:r w:rsidRPr="00713FA1">
        <w:rPr>
          <w:rFonts w:ascii="Arial" w:hAnsi="Arial" w:cs="Arial"/>
          <w:lang w:bidi="en-US"/>
        </w:rPr>
        <w:t>sinapic</w:t>
      </w:r>
      <w:proofErr w:type="spellEnd"/>
      <w:r w:rsidRPr="00713FA1">
        <w:rPr>
          <w:rFonts w:ascii="Arial" w:hAnsi="Arial" w:cs="Arial"/>
          <w:lang w:bidi="en-US"/>
        </w:rPr>
        <w:t xml:space="preserve"> and gallic acids are distinguished by high concentrations and superior thermal stability, suggesting a major contribution to the anti-inflammatory activity of the extracts. The results confirm that temperature is an essential factor in determining extraction efficiency, significantly influencing the concentration of each individual compound, and that the optimal temperature for obtaining an extract rich in hydroxycinnamic acids and glycosylated flavonoids is 80°C, whereas moderate temperatures (50°C) are favorable for sensitive compounds such as epicatechin.</w:t>
      </w:r>
    </w:p>
    <w:p w14:paraId="0CF0A355" w14:textId="77777777" w:rsidR="00713FA1" w:rsidRPr="00713FA1" w:rsidRDefault="00713FA1" w:rsidP="00713FA1">
      <w:pPr>
        <w:pStyle w:val="Body"/>
        <w:spacing w:after="0"/>
        <w:rPr>
          <w:rFonts w:ascii="Arial" w:hAnsi="Arial" w:cs="Arial"/>
          <w:lang w:bidi="en-US"/>
        </w:rPr>
      </w:pPr>
      <w:r w:rsidRPr="00713FA1">
        <w:rPr>
          <w:rFonts w:ascii="Arial" w:hAnsi="Arial" w:cs="Arial"/>
          <w:lang w:bidi="en-US"/>
        </w:rPr>
        <w:t xml:space="preserve">From an applicative perspective, these findings support the valorization of </w:t>
      </w:r>
      <w:r w:rsidRPr="00713FA1">
        <w:rPr>
          <w:rFonts w:ascii="Arial" w:hAnsi="Arial" w:cs="Arial"/>
          <w:i/>
          <w:iCs/>
          <w:lang w:bidi="en-US"/>
        </w:rPr>
        <w:t>E. angustifolia</w:t>
      </w:r>
      <w:r w:rsidRPr="00713FA1">
        <w:rPr>
          <w:rFonts w:ascii="Arial" w:hAnsi="Arial" w:cs="Arial"/>
          <w:lang w:bidi="en-US"/>
        </w:rPr>
        <w:t xml:space="preserve"> L.</w:t>
      </w:r>
      <w:r w:rsidR="00092F82">
        <w:rPr>
          <w:rFonts w:ascii="Arial" w:hAnsi="Arial" w:cs="Arial"/>
          <w:lang w:bidi="en-US"/>
        </w:rPr>
        <w:t xml:space="preserve"> </w:t>
      </w:r>
      <w:r w:rsidRPr="00713FA1">
        <w:rPr>
          <w:rFonts w:ascii="Arial" w:hAnsi="Arial" w:cs="Arial"/>
          <w:lang w:bidi="en-US"/>
        </w:rPr>
        <w:t xml:space="preserve">for </w:t>
      </w:r>
      <w:r w:rsidR="00092F82" w:rsidRPr="00713FA1">
        <w:rPr>
          <w:rFonts w:ascii="Arial" w:hAnsi="Arial" w:cs="Arial"/>
          <w:lang w:bidi="en-US"/>
        </w:rPr>
        <w:t>developing an</w:t>
      </w:r>
      <w:r w:rsidRPr="00713FA1">
        <w:rPr>
          <w:rFonts w:ascii="Arial" w:hAnsi="Arial" w:cs="Arial"/>
          <w:lang w:bidi="en-US"/>
        </w:rPr>
        <w:t xml:space="preserve"> area as a local source of bioactive compounds with potential anti-inflammatory activity, relevant for the development of nutraceutical and dermato-cosmetic preparations. The profile obtained for the local plant material (Black Sea coast) may serve as a regional benchmark in comparative </w:t>
      </w:r>
      <w:r w:rsidR="00092F82" w:rsidRPr="00713FA1">
        <w:rPr>
          <w:rFonts w:ascii="Arial" w:hAnsi="Arial" w:cs="Arial"/>
          <w:lang w:bidi="en-US"/>
        </w:rPr>
        <w:t>chemo metric</w:t>
      </w:r>
      <w:r w:rsidRPr="00713FA1">
        <w:rPr>
          <w:rFonts w:ascii="Arial" w:hAnsi="Arial" w:cs="Arial"/>
          <w:lang w:bidi="en-US"/>
        </w:rPr>
        <w:t xml:space="preserve"> analyses, facilitating the selection of raw material sources and the optimization of processes according to phenolic structure. The study makes an original contribution to documenting the relationship between process parameters and the distribution of phenolic compounds specific to the fruits, providing a useful scientific basis for the formulation of standardized extracts as a valuable </w:t>
      </w:r>
      <w:proofErr w:type="spellStart"/>
      <w:r w:rsidRPr="00713FA1">
        <w:rPr>
          <w:rFonts w:ascii="Arial" w:hAnsi="Arial" w:cs="Arial"/>
          <w:lang w:bidi="en-US"/>
        </w:rPr>
        <w:t>phytotherapeutic</w:t>
      </w:r>
      <w:proofErr w:type="spellEnd"/>
      <w:r w:rsidRPr="00713FA1">
        <w:rPr>
          <w:rFonts w:ascii="Arial" w:hAnsi="Arial" w:cs="Arial"/>
          <w:lang w:bidi="en-US"/>
        </w:rPr>
        <w:t xml:space="preserve"> source for the development of natural anti-inflammatory products and functional supplements.</w:t>
      </w:r>
    </w:p>
    <w:p w14:paraId="06B6B7FE" w14:textId="77777777" w:rsidR="00713FA1" w:rsidRDefault="00713FA1" w:rsidP="00713FA1">
      <w:pPr>
        <w:pStyle w:val="Body"/>
        <w:spacing w:after="0"/>
        <w:rPr>
          <w:rFonts w:ascii="Arial" w:hAnsi="Arial" w:cs="Arial"/>
          <w:lang w:bidi="en-US"/>
        </w:rPr>
      </w:pPr>
      <w:r w:rsidRPr="00713FA1">
        <w:rPr>
          <w:rFonts w:ascii="Arial" w:hAnsi="Arial" w:cs="Arial"/>
          <w:lang w:bidi="en-US"/>
        </w:rPr>
        <w:t xml:space="preserve">The practical implications and future directions proposed include the continuation of studies aimed at confirming </w:t>
      </w:r>
      <w:r w:rsidR="00092F82" w:rsidRPr="00713FA1">
        <w:rPr>
          <w:rFonts w:ascii="Arial" w:hAnsi="Arial" w:cs="Arial"/>
          <w:lang w:bidi="en-US"/>
        </w:rPr>
        <w:t>pharmacodynamics</w:t>
      </w:r>
      <w:r w:rsidRPr="00713FA1">
        <w:rPr>
          <w:rFonts w:ascii="Arial" w:hAnsi="Arial" w:cs="Arial"/>
          <w:lang w:bidi="en-US"/>
        </w:rPr>
        <w:t xml:space="preserve"> effects and establishing a well-founded dose–effect relationship.</w:t>
      </w:r>
    </w:p>
    <w:p w14:paraId="59F6614D" w14:textId="77777777" w:rsidR="001C1BCE" w:rsidRPr="00713FA1" w:rsidRDefault="001C1BCE" w:rsidP="00713FA1">
      <w:pPr>
        <w:pStyle w:val="Body"/>
        <w:spacing w:after="0"/>
        <w:rPr>
          <w:rFonts w:ascii="Arial" w:hAnsi="Arial" w:cs="Arial"/>
          <w:lang w:bidi="en-US"/>
        </w:rPr>
      </w:pPr>
    </w:p>
    <w:p w14:paraId="6ADEEF41" w14:textId="77777777" w:rsidR="005F7A0B" w:rsidRPr="00C046CA" w:rsidRDefault="005F7A0B" w:rsidP="00C046CA">
      <w:pPr>
        <w:keepNext/>
        <w:keepLines/>
        <w:spacing w:after="120"/>
        <w:jc w:val="both"/>
        <w:outlineLvl w:val="1"/>
        <w:rPr>
          <w:rFonts w:ascii="Arial" w:hAnsi="Arial" w:cs="Arial"/>
          <w:b/>
          <w:bCs/>
          <w:sz w:val="22"/>
          <w:szCs w:val="22"/>
          <w:lang w:val="en-GB" w:eastAsia="en-IN"/>
        </w:rPr>
      </w:pPr>
      <w:bookmarkStart w:id="1" w:name="_Hlk218867759"/>
      <w:r w:rsidRPr="00C046CA">
        <w:rPr>
          <w:rFonts w:ascii="Arial" w:hAnsi="Arial" w:cs="Arial"/>
          <w:b/>
          <w:bCs/>
          <w:sz w:val="22"/>
          <w:szCs w:val="22"/>
          <w:lang w:val="en-GB" w:eastAsia="en-IN"/>
        </w:rPr>
        <w:lastRenderedPageBreak/>
        <w:t>Disclaimer (Artificial intelligence)</w:t>
      </w:r>
    </w:p>
    <w:p w14:paraId="058D825C" w14:textId="7B7713DE" w:rsidR="005F7A0B" w:rsidRPr="00C046CA" w:rsidRDefault="00C046CA" w:rsidP="00C046CA">
      <w:pPr>
        <w:keepNext/>
        <w:keepLines/>
        <w:spacing w:after="120"/>
        <w:jc w:val="both"/>
        <w:outlineLvl w:val="1"/>
        <w:rPr>
          <w:rFonts w:ascii="Arial" w:hAnsi="Arial" w:cs="Arial"/>
          <w:bCs/>
          <w:lang w:val="en-GB" w:eastAsia="en-IN"/>
        </w:rPr>
      </w:pPr>
      <w:r>
        <w:rPr>
          <w:rFonts w:ascii="Arial" w:hAnsi="Arial" w:cs="Arial"/>
          <w:bCs/>
          <w:lang w:val="en-GB" w:eastAsia="en-IN"/>
        </w:rPr>
        <w:t>Author</w:t>
      </w:r>
      <w:r w:rsidR="005F7A0B" w:rsidRPr="00C046CA">
        <w:rPr>
          <w:rFonts w:ascii="Arial" w:hAnsi="Arial" w:cs="Arial"/>
          <w:bCs/>
          <w:lang w:val="en-GB" w:eastAsia="en-IN"/>
        </w:rPr>
        <w:t xml:space="preserve">s hereby declare that NO generative AI technologies such as Large Language Models (ChatGPT, COPILOT, etc.) and text-to-image generators have been used during the writing or editing of this manuscript. </w:t>
      </w:r>
    </w:p>
    <w:bookmarkEnd w:id="1"/>
    <w:p w14:paraId="79762564" w14:textId="77777777" w:rsidR="00860000" w:rsidRDefault="00860000" w:rsidP="00441B6F">
      <w:pPr>
        <w:pStyle w:val="ReferHead"/>
        <w:spacing w:after="0"/>
        <w:jc w:val="both"/>
        <w:rPr>
          <w:rFonts w:ascii="Arial" w:hAnsi="Arial" w:cs="Arial"/>
        </w:rPr>
      </w:pPr>
    </w:p>
    <w:p w14:paraId="4485534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49D9B96B" w14:textId="77777777" w:rsidR="00790ADA" w:rsidRPr="00FB3A86" w:rsidRDefault="00790ADA" w:rsidP="00441B6F">
      <w:pPr>
        <w:pStyle w:val="ReferHead"/>
        <w:spacing w:after="0"/>
        <w:jc w:val="both"/>
        <w:rPr>
          <w:rFonts w:ascii="Arial" w:hAnsi="Arial" w:cs="Arial"/>
        </w:rPr>
      </w:pPr>
    </w:p>
    <w:p w14:paraId="5D2AE6D9" w14:textId="77777777" w:rsidR="00C046CA" w:rsidRPr="006B268E" w:rsidRDefault="00C046CA" w:rsidP="00C046CA">
      <w:pPr>
        <w:pStyle w:val="Body"/>
        <w:spacing w:after="120"/>
        <w:ind w:left="720" w:hanging="720"/>
        <w:rPr>
          <w:rFonts w:ascii="Arial" w:hAnsi="Arial" w:cs="Arial"/>
        </w:rPr>
      </w:pPr>
      <w:r w:rsidRPr="006B268E">
        <w:rPr>
          <w:rFonts w:ascii="Arial" w:hAnsi="Arial" w:cs="Arial"/>
        </w:rPr>
        <w:t xml:space="preserve">Aggarwal, </w:t>
      </w:r>
      <w:r>
        <w:rPr>
          <w:rFonts w:ascii="Arial" w:hAnsi="Arial" w:cs="Arial"/>
        </w:rPr>
        <w:t xml:space="preserve">D., Chaudhary, M., </w:t>
      </w:r>
      <w:proofErr w:type="spellStart"/>
      <w:r>
        <w:rPr>
          <w:rFonts w:ascii="Arial" w:hAnsi="Arial" w:cs="Arial"/>
        </w:rPr>
        <w:t>Mandotra</w:t>
      </w:r>
      <w:proofErr w:type="spellEnd"/>
      <w:r>
        <w:rPr>
          <w:rFonts w:ascii="Arial" w:hAnsi="Arial" w:cs="Arial"/>
        </w:rPr>
        <w:t>, SK., Tuli, H. S., Chauhan, R., Joshi, N. C., et al.</w:t>
      </w:r>
      <w:r w:rsidRPr="006B268E">
        <w:rPr>
          <w:rFonts w:ascii="Arial" w:hAnsi="Arial" w:cs="Arial"/>
        </w:rPr>
        <w:t xml:space="preserve"> (2025). Anti-inflammatory potential of quercetin: From chemistry and mechanistic insight to </w:t>
      </w:r>
      <w:proofErr w:type="spellStart"/>
      <w:r w:rsidRPr="006B268E">
        <w:rPr>
          <w:rFonts w:ascii="Arial" w:hAnsi="Arial" w:cs="Arial"/>
        </w:rPr>
        <w:t>nanoformulations</w:t>
      </w:r>
      <w:proofErr w:type="spellEnd"/>
      <w:r w:rsidRPr="006B268E">
        <w:rPr>
          <w:rFonts w:ascii="Arial" w:hAnsi="Arial" w:cs="Arial"/>
        </w:rPr>
        <w:t>. </w:t>
      </w:r>
      <w:r w:rsidRPr="006B268E">
        <w:rPr>
          <w:rFonts w:ascii="Arial" w:hAnsi="Arial" w:cs="Arial"/>
          <w:iCs/>
        </w:rPr>
        <w:t xml:space="preserve">Current </w:t>
      </w:r>
      <w:r>
        <w:rPr>
          <w:rFonts w:ascii="Arial" w:hAnsi="Arial" w:cs="Arial"/>
          <w:iCs/>
        </w:rPr>
        <w:t>R</w:t>
      </w:r>
      <w:r w:rsidRPr="006B268E">
        <w:rPr>
          <w:rFonts w:ascii="Arial" w:hAnsi="Arial" w:cs="Arial"/>
          <w:iCs/>
        </w:rPr>
        <w:t xml:space="preserve">esearch in </w:t>
      </w:r>
      <w:r>
        <w:rPr>
          <w:rFonts w:ascii="Arial" w:hAnsi="Arial" w:cs="Arial"/>
          <w:iCs/>
        </w:rPr>
        <w:t>P</w:t>
      </w:r>
      <w:r w:rsidRPr="006B268E">
        <w:rPr>
          <w:rFonts w:ascii="Arial" w:hAnsi="Arial" w:cs="Arial"/>
          <w:iCs/>
        </w:rPr>
        <w:t xml:space="preserve">harmacology and </w:t>
      </w:r>
      <w:r>
        <w:rPr>
          <w:rFonts w:ascii="Arial" w:hAnsi="Arial" w:cs="Arial"/>
          <w:iCs/>
        </w:rPr>
        <w:t>D</w:t>
      </w:r>
      <w:r w:rsidRPr="006B268E">
        <w:rPr>
          <w:rFonts w:ascii="Arial" w:hAnsi="Arial" w:cs="Arial"/>
          <w:iCs/>
        </w:rPr>
        <w:t xml:space="preserve">rug </w:t>
      </w:r>
      <w:r>
        <w:rPr>
          <w:rFonts w:ascii="Arial" w:hAnsi="Arial" w:cs="Arial"/>
          <w:iCs/>
        </w:rPr>
        <w:t>D</w:t>
      </w:r>
      <w:r w:rsidRPr="006B268E">
        <w:rPr>
          <w:rFonts w:ascii="Arial" w:hAnsi="Arial" w:cs="Arial"/>
          <w:iCs/>
        </w:rPr>
        <w:t>iscovery</w:t>
      </w:r>
      <w:r w:rsidRPr="006B268E">
        <w:rPr>
          <w:rFonts w:ascii="Arial" w:hAnsi="Arial" w:cs="Arial"/>
        </w:rPr>
        <w:t>, </w:t>
      </w:r>
      <w:r w:rsidRPr="006B268E">
        <w:rPr>
          <w:rFonts w:ascii="Arial" w:hAnsi="Arial" w:cs="Arial"/>
          <w:i/>
          <w:iCs/>
        </w:rPr>
        <w:t>8</w:t>
      </w:r>
      <w:r w:rsidRPr="006B268E">
        <w:rPr>
          <w:rFonts w:ascii="Arial" w:hAnsi="Arial" w:cs="Arial"/>
        </w:rPr>
        <w:t>, 100217.</w:t>
      </w:r>
      <w:r>
        <w:rPr>
          <w:rFonts w:ascii="Arial" w:hAnsi="Arial" w:cs="Arial"/>
        </w:rPr>
        <w:t xml:space="preserve"> </w:t>
      </w:r>
      <w:hyperlink r:id="rId33" w:history="1">
        <w:r w:rsidRPr="00671DB2">
          <w:rPr>
            <w:rStyle w:val="Hyperlink"/>
            <w:rFonts w:ascii="Arial" w:hAnsi="Arial" w:cs="Arial"/>
          </w:rPr>
          <w:t>https://doi.org/10.1016/j.crphar.2025.100217</w:t>
        </w:r>
      </w:hyperlink>
      <w:r>
        <w:rPr>
          <w:rFonts w:ascii="Arial" w:hAnsi="Arial" w:cs="Arial"/>
        </w:rPr>
        <w:t xml:space="preserve"> </w:t>
      </w:r>
    </w:p>
    <w:p w14:paraId="51E70BEA" w14:textId="77777777" w:rsidR="00C046CA" w:rsidRPr="00E00B5E" w:rsidRDefault="00C046CA" w:rsidP="00C046CA">
      <w:pPr>
        <w:pStyle w:val="Body"/>
        <w:spacing w:after="120"/>
        <w:ind w:left="720" w:hanging="720"/>
        <w:rPr>
          <w:rFonts w:ascii="Arial" w:hAnsi="Arial" w:cs="Arial"/>
        </w:rPr>
      </w:pPr>
      <w:r w:rsidRPr="00E00B5E">
        <w:rPr>
          <w:rFonts w:ascii="Arial" w:hAnsi="Arial" w:cs="Arial"/>
        </w:rPr>
        <w:t>Ajila, C.</w:t>
      </w:r>
      <w:r>
        <w:rPr>
          <w:rFonts w:ascii="Arial" w:hAnsi="Arial" w:cs="Arial"/>
        </w:rPr>
        <w:t xml:space="preserve"> </w:t>
      </w:r>
      <w:r w:rsidRPr="00E00B5E">
        <w:rPr>
          <w:rFonts w:ascii="Arial" w:hAnsi="Arial" w:cs="Arial"/>
        </w:rPr>
        <w:t>M., Brar, S.</w:t>
      </w:r>
      <w:r>
        <w:rPr>
          <w:rFonts w:ascii="Arial" w:hAnsi="Arial" w:cs="Arial"/>
        </w:rPr>
        <w:t xml:space="preserve"> </w:t>
      </w:r>
      <w:r w:rsidRPr="00E00B5E">
        <w:rPr>
          <w:rFonts w:ascii="Arial" w:hAnsi="Arial" w:cs="Arial"/>
        </w:rPr>
        <w:t>K., Verma, M., Tyagi, R.</w:t>
      </w:r>
      <w:r>
        <w:rPr>
          <w:rFonts w:ascii="Arial" w:hAnsi="Arial" w:cs="Arial"/>
        </w:rPr>
        <w:t xml:space="preserve"> </w:t>
      </w:r>
      <w:r w:rsidRPr="00E00B5E">
        <w:rPr>
          <w:rFonts w:ascii="Arial" w:hAnsi="Arial" w:cs="Arial"/>
        </w:rPr>
        <w:t xml:space="preserve">D., Godbout, S., </w:t>
      </w:r>
      <w:r w:rsidRPr="008641ED">
        <w:rPr>
          <w:rFonts w:ascii="Arial" w:hAnsi="Arial" w:cs="Arial"/>
        </w:rPr>
        <w:t>&amp;</w:t>
      </w:r>
      <w:r>
        <w:rPr>
          <w:rFonts w:ascii="Arial" w:hAnsi="Arial" w:cs="Arial"/>
        </w:rPr>
        <w:t xml:space="preserve"> </w:t>
      </w:r>
      <w:proofErr w:type="spellStart"/>
      <w:r w:rsidRPr="00E00B5E">
        <w:rPr>
          <w:rFonts w:ascii="Arial" w:hAnsi="Arial" w:cs="Arial"/>
        </w:rPr>
        <w:t>Valéro</w:t>
      </w:r>
      <w:proofErr w:type="spellEnd"/>
      <w:r w:rsidRPr="00E00B5E">
        <w:rPr>
          <w:rFonts w:ascii="Arial" w:hAnsi="Arial" w:cs="Arial"/>
        </w:rPr>
        <w:t>, J.</w:t>
      </w:r>
      <w:r>
        <w:rPr>
          <w:rFonts w:ascii="Arial" w:hAnsi="Arial" w:cs="Arial"/>
        </w:rPr>
        <w:t xml:space="preserve"> </w:t>
      </w:r>
      <w:r w:rsidRPr="00E00B5E">
        <w:rPr>
          <w:rFonts w:ascii="Arial" w:hAnsi="Arial" w:cs="Arial"/>
        </w:rPr>
        <w:t xml:space="preserve">R. </w:t>
      </w:r>
      <w:r>
        <w:rPr>
          <w:rFonts w:ascii="Arial" w:hAnsi="Arial" w:cs="Arial"/>
        </w:rPr>
        <w:t xml:space="preserve">(2011). </w:t>
      </w:r>
      <w:r w:rsidRPr="00E00B5E">
        <w:rPr>
          <w:rFonts w:ascii="Arial" w:hAnsi="Arial" w:cs="Arial"/>
        </w:rPr>
        <w:t xml:space="preserve">Extraction and analysis of polyphenols: recent trends. </w:t>
      </w:r>
      <w:r w:rsidRPr="00FA53F1">
        <w:rPr>
          <w:rFonts w:ascii="Arial" w:hAnsi="Arial" w:cs="Arial"/>
        </w:rPr>
        <w:t>Critical Reviews in Biotechnology</w:t>
      </w:r>
      <w:r w:rsidRPr="00E00B5E">
        <w:rPr>
          <w:rFonts w:ascii="Arial" w:hAnsi="Arial" w:cs="Arial"/>
        </w:rPr>
        <w:t xml:space="preserve">, 31, 227–249. </w:t>
      </w:r>
      <w:hyperlink r:id="rId34" w:history="1">
        <w:r w:rsidRPr="002C53EB">
          <w:rPr>
            <w:rStyle w:val="Hyperlink"/>
            <w:rFonts w:ascii="Arial" w:hAnsi="Arial" w:cs="Arial"/>
          </w:rPr>
          <w:t>https://doi.org/10.3109/07388551.2010.513677</w:t>
        </w:r>
      </w:hyperlink>
      <w:r>
        <w:rPr>
          <w:rFonts w:ascii="Arial" w:hAnsi="Arial" w:cs="Arial"/>
        </w:rPr>
        <w:t xml:space="preserve"> </w:t>
      </w:r>
      <w:r w:rsidRPr="00E00B5E">
        <w:rPr>
          <w:rFonts w:ascii="Arial" w:hAnsi="Arial" w:cs="Arial"/>
        </w:rPr>
        <w:t xml:space="preserve"> </w:t>
      </w:r>
    </w:p>
    <w:p w14:paraId="27C0FE3B" w14:textId="77777777" w:rsidR="00C046CA" w:rsidRPr="00820BDF" w:rsidRDefault="00C046CA" w:rsidP="00C046CA">
      <w:pPr>
        <w:pStyle w:val="Body"/>
        <w:spacing w:after="120"/>
        <w:ind w:left="720" w:hanging="720"/>
        <w:rPr>
          <w:rFonts w:ascii="Arial" w:hAnsi="Arial" w:cs="Arial"/>
        </w:rPr>
      </w:pPr>
      <w:r>
        <w:rPr>
          <w:rFonts w:ascii="Arial" w:hAnsi="Arial" w:cs="Arial"/>
        </w:rPr>
        <w:t xml:space="preserve">Al-Khayri, J. </w:t>
      </w:r>
      <w:r w:rsidRPr="00820BDF">
        <w:rPr>
          <w:rFonts w:ascii="Arial" w:hAnsi="Arial" w:cs="Arial"/>
        </w:rPr>
        <w:t>M.</w:t>
      </w:r>
      <w:r>
        <w:rPr>
          <w:rFonts w:ascii="Arial" w:hAnsi="Arial" w:cs="Arial"/>
        </w:rPr>
        <w:t xml:space="preserve">, Sahana, G. </w:t>
      </w:r>
      <w:r w:rsidRPr="00820BDF">
        <w:rPr>
          <w:rFonts w:ascii="Arial" w:hAnsi="Arial" w:cs="Arial"/>
        </w:rPr>
        <w:t>R.</w:t>
      </w:r>
      <w:r>
        <w:rPr>
          <w:rFonts w:ascii="Arial" w:hAnsi="Arial" w:cs="Arial"/>
        </w:rPr>
        <w:t>,</w:t>
      </w:r>
      <w:r w:rsidRPr="00820BDF">
        <w:rPr>
          <w:rFonts w:ascii="Arial" w:hAnsi="Arial" w:cs="Arial"/>
        </w:rPr>
        <w:t xml:space="preserve"> </w:t>
      </w:r>
      <w:proofErr w:type="spellStart"/>
      <w:r w:rsidRPr="00820BDF">
        <w:rPr>
          <w:rFonts w:ascii="Arial" w:hAnsi="Arial" w:cs="Arial"/>
        </w:rPr>
        <w:t>Nagella</w:t>
      </w:r>
      <w:proofErr w:type="spellEnd"/>
      <w:r w:rsidRPr="00820BDF">
        <w:rPr>
          <w:rFonts w:ascii="Arial" w:hAnsi="Arial" w:cs="Arial"/>
        </w:rPr>
        <w:t>, P.</w:t>
      </w:r>
      <w:r>
        <w:rPr>
          <w:rFonts w:ascii="Arial" w:hAnsi="Arial" w:cs="Arial"/>
        </w:rPr>
        <w:t xml:space="preserve">, Joseph, B. </w:t>
      </w:r>
      <w:r w:rsidRPr="00820BDF">
        <w:rPr>
          <w:rFonts w:ascii="Arial" w:hAnsi="Arial" w:cs="Arial"/>
        </w:rPr>
        <w:t>V.</w:t>
      </w:r>
      <w:r>
        <w:rPr>
          <w:rFonts w:ascii="Arial" w:hAnsi="Arial" w:cs="Arial"/>
        </w:rPr>
        <w:t xml:space="preserve">, Alessa, F. </w:t>
      </w:r>
      <w:r w:rsidRPr="00820BDF">
        <w:rPr>
          <w:rFonts w:ascii="Arial" w:hAnsi="Arial" w:cs="Arial"/>
        </w:rPr>
        <w:t>M.</w:t>
      </w:r>
      <w:r>
        <w:rPr>
          <w:rFonts w:ascii="Arial" w:hAnsi="Arial" w:cs="Arial"/>
        </w:rPr>
        <w:t xml:space="preserve">, </w:t>
      </w:r>
      <w:r w:rsidRPr="008641ED">
        <w:rPr>
          <w:rFonts w:ascii="Arial" w:hAnsi="Arial" w:cs="Arial"/>
        </w:rPr>
        <w:t>&amp;</w:t>
      </w:r>
      <w:r>
        <w:rPr>
          <w:rFonts w:ascii="Arial" w:hAnsi="Arial" w:cs="Arial"/>
        </w:rPr>
        <w:t xml:space="preserve"> Al-</w:t>
      </w:r>
      <w:proofErr w:type="spellStart"/>
      <w:r>
        <w:rPr>
          <w:rFonts w:ascii="Arial" w:hAnsi="Arial" w:cs="Arial"/>
        </w:rPr>
        <w:t>Mssallem</w:t>
      </w:r>
      <w:proofErr w:type="spellEnd"/>
      <w:r>
        <w:rPr>
          <w:rFonts w:ascii="Arial" w:hAnsi="Arial" w:cs="Arial"/>
        </w:rPr>
        <w:t xml:space="preserve">, M. </w:t>
      </w:r>
      <w:r w:rsidRPr="00820BDF">
        <w:rPr>
          <w:rFonts w:ascii="Arial" w:hAnsi="Arial" w:cs="Arial"/>
        </w:rPr>
        <w:t xml:space="preserve">Q. </w:t>
      </w:r>
      <w:r>
        <w:rPr>
          <w:rFonts w:ascii="Arial" w:hAnsi="Arial" w:cs="Arial"/>
        </w:rPr>
        <w:t>(</w:t>
      </w:r>
      <w:r w:rsidRPr="00820BDF">
        <w:rPr>
          <w:rFonts w:ascii="Arial" w:hAnsi="Arial" w:cs="Arial"/>
        </w:rPr>
        <w:t>2022</w:t>
      </w:r>
      <w:r>
        <w:rPr>
          <w:rFonts w:ascii="Arial" w:hAnsi="Arial" w:cs="Arial"/>
        </w:rPr>
        <w:t>). Flavonoids as potential an</w:t>
      </w:r>
      <w:r w:rsidRPr="00820BDF">
        <w:rPr>
          <w:rFonts w:ascii="Arial" w:hAnsi="Arial" w:cs="Arial"/>
        </w:rPr>
        <w:t xml:space="preserve">ti-inflammatory molecules: A review. Molecules, 27, 2901. </w:t>
      </w:r>
      <w:hyperlink r:id="rId35" w:history="1">
        <w:r w:rsidRPr="002C53EB">
          <w:rPr>
            <w:rStyle w:val="Hyperlink"/>
            <w:rFonts w:ascii="Arial" w:hAnsi="Arial" w:cs="Arial"/>
          </w:rPr>
          <w:t>https://doi.org/10.3390/molecules27092901</w:t>
        </w:r>
      </w:hyperlink>
      <w:r>
        <w:rPr>
          <w:rFonts w:ascii="Arial" w:hAnsi="Arial" w:cs="Arial"/>
        </w:rPr>
        <w:t xml:space="preserve"> </w:t>
      </w:r>
    </w:p>
    <w:p w14:paraId="31E5D854" w14:textId="77777777" w:rsidR="00C046CA" w:rsidRPr="00E00B5E" w:rsidRDefault="00C046CA" w:rsidP="00C046CA">
      <w:pPr>
        <w:pStyle w:val="Body"/>
        <w:spacing w:after="120"/>
        <w:ind w:left="720" w:hanging="720"/>
        <w:rPr>
          <w:rFonts w:ascii="Arial" w:hAnsi="Arial" w:cs="Arial"/>
        </w:rPr>
      </w:pPr>
      <w:r w:rsidRPr="00E00B5E">
        <w:rPr>
          <w:rFonts w:ascii="Arial" w:hAnsi="Arial" w:cs="Arial"/>
        </w:rPr>
        <w:t>Ameer, K.,</w:t>
      </w:r>
      <w:r>
        <w:rPr>
          <w:rFonts w:ascii="Arial" w:hAnsi="Arial" w:cs="Arial"/>
        </w:rPr>
        <w:t xml:space="preserve"> Shahbaz, H. </w:t>
      </w:r>
      <w:r w:rsidRPr="00E00B5E">
        <w:rPr>
          <w:rFonts w:ascii="Arial" w:hAnsi="Arial" w:cs="Arial"/>
        </w:rPr>
        <w:t>M.,</w:t>
      </w:r>
      <w:r w:rsidRPr="00EA2B59">
        <w:rPr>
          <w:rFonts w:ascii="Arial" w:hAnsi="Arial" w:cs="Arial"/>
        </w:rPr>
        <w:t xml:space="preserve"> </w:t>
      </w:r>
      <w:r w:rsidRPr="008641ED">
        <w:rPr>
          <w:rFonts w:ascii="Arial" w:hAnsi="Arial" w:cs="Arial"/>
        </w:rPr>
        <w:t>&amp;</w:t>
      </w:r>
      <w:r>
        <w:rPr>
          <w:rFonts w:ascii="Arial" w:hAnsi="Arial" w:cs="Arial"/>
        </w:rPr>
        <w:t xml:space="preserve"> Kwon, J. </w:t>
      </w:r>
      <w:r w:rsidRPr="00E00B5E">
        <w:rPr>
          <w:rFonts w:ascii="Arial" w:hAnsi="Arial" w:cs="Arial"/>
        </w:rPr>
        <w:t xml:space="preserve">H. </w:t>
      </w:r>
      <w:r>
        <w:rPr>
          <w:rFonts w:ascii="Arial" w:hAnsi="Arial" w:cs="Arial"/>
        </w:rPr>
        <w:t>(</w:t>
      </w:r>
      <w:r w:rsidRPr="00E00B5E">
        <w:rPr>
          <w:rFonts w:ascii="Arial" w:hAnsi="Arial" w:cs="Arial"/>
        </w:rPr>
        <w:t>2017</w:t>
      </w:r>
      <w:r>
        <w:rPr>
          <w:rFonts w:ascii="Arial" w:hAnsi="Arial" w:cs="Arial"/>
        </w:rPr>
        <w:t xml:space="preserve">). </w:t>
      </w:r>
      <w:r w:rsidRPr="00E00B5E">
        <w:rPr>
          <w:rFonts w:ascii="Arial" w:hAnsi="Arial" w:cs="Arial"/>
        </w:rPr>
        <w:t xml:space="preserve">Green extraction methods for polyphenols from plant matrices and their </w:t>
      </w:r>
      <w:proofErr w:type="spellStart"/>
      <w:r w:rsidRPr="00E00B5E">
        <w:rPr>
          <w:rFonts w:ascii="Arial" w:hAnsi="Arial" w:cs="Arial"/>
        </w:rPr>
        <w:t>byprod-ucts</w:t>
      </w:r>
      <w:proofErr w:type="spellEnd"/>
      <w:r w:rsidRPr="00E00B5E">
        <w:rPr>
          <w:rFonts w:ascii="Arial" w:hAnsi="Arial" w:cs="Arial"/>
        </w:rPr>
        <w:t xml:space="preserve">: A review. </w:t>
      </w:r>
      <w:r w:rsidRPr="00854847">
        <w:rPr>
          <w:rFonts w:ascii="Arial" w:hAnsi="Arial" w:cs="Arial"/>
        </w:rPr>
        <w:t>Comprehensive Reviews in Food Science and Food Safety</w:t>
      </w:r>
      <w:r w:rsidRPr="00E00B5E">
        <w:rPr>
          <w:rFonts w:ascii="Arial" w:hAnsi="Arial" w:cs="Arial"/>
        </w:rPr>
        <w:t xml:space="preserve">, 16, 295–315. </w:t>
      </w:r>
      <w:hyperlink r:id="rId36" w:history="1">
        <w:r w:rsidRPr="002C53EB">
          <w:rPr>
            <w:rStyle w:val="Hyperlink"/>
            <w:rFonts w:ascii="Arial" w:hAnsi="Arial" w:cs="Arial"/>
          </w:rPr>
          <w:t>https://doi.org/10.1111/1541-4337.12241</w:t>
        </w:r>
      </w:hyperlink>
      <w:r>
        <w:rPr>
          <w:rFonts w:ascii="Arial" w:hAnsi="Arial" w:cs="Arial"/>
        </w:rPr>
        <w:t xml:space="preserve"> </w:t>
      </w:r>
    </w:p>
    <w:p w14:paraId="59A8DF83" w14:textId="77777777" w:rsidR="00C046CA" w:rsidRPr="00E453C6" w:rsidRDefault="00C046CA" w:rsidP="00C046CA">
      <w:pPr>
        <w:pStyle w:val="Body"/>
        <w:spacing w:after="120"/>
        <w:ind w:left="720" w:hanging="720"/>
        <w:rPr>
          <w:rFonts w:ascii="Arial" w:hAnsi="Arial" w:cs="Arial"/>
        </w:rPr>
      </w:pPr>
      <w:r w:rsidRPr="00673232">
        <w:rPr>
          <w:rFonts w:ascii="Arial" w:hAnsi="Arial" w:cs="Arial"/>
        </w:rPr>
        <w:t>Antony, A.</w:t>
      </w:r>
      <w:r>
        <w:rPr>
          <w:rFonts w:ascii="Arial" w:hAnsi="Arial" w:cs="Arial"/>
        </w:rPr>
        <w:t>,</w:t>
      </w:r>
      <w:r w:rsidRPr="00673232">
        <w:rPr>
          <w:rFonts w:ascii="Arial" w:hAnsi="Arial" w:cs="Arial"/>
        </w:rPr>
        <w:t xml:space="preserve"> </w:t>
      </w:r>
      <w:r w:rsidRPr="008641ED">
        <w:rPr>
          <w:rFonts w:ascii="Arial" w:hAnsi="Arial" w:cs="Arial"/>
        </w:rPr>
        <w:t>&amp;</w:t>
      </w:r>
      <w:r>
        <w:rPr>
          <w:rFonts w:ascii="Arial" w:hAnsi="Arial" w:cs="Arial"/>
        </w:rPr>
        <w:t xml:space="preserve"> </w:t>
      </w:r>
      <w:r w:rsidRPr="00673232">
        <w:rPr>
          <w:rFonts w:ascii="Arial" w:hAnsi="Arial" w:cs="Arial"/>
        </w:rPr>
        <w:t xml:space="preserve">Farid, M. </w:t>
      </w:r>
      <w:r>
        <w:rPr>
          <w:rFonts w:ascii="Arial" w:hAnsi="Arial" w:cs="Arial"/>
        </w:rPr>
        <w:t xml:space="preserve">(2022). </w:t>
      </w:r>
      <w:r w:rsidRPr="00673232">
        <w:rPr>
          <w:rFonts w:ascii="Arial" w:hAnsi="Arial" w:cs="Arial"/>
        </w:rPr>
        <w:t xml:space="preserve">Effect of temperatures on polyphenols during extraction. </w:t>
      </w:r>
      <w:r w:rsidRPr="00AE5B15">
        <w:rPr>
          <w:rFonts w:ascii="Arial" w:hAnsi="Arial" w:cs="Arial"/>
        </w:rPr>
        <w:t>Applied Sciences</w:t>
      </w:r>
      <w:r w:rsidRPr="00673232">
        <w:rPr>
          <w:rFonts w:ascii="Arial" w:hAnsi="Arial" w:cs="Arial"/>
        </w:rPr>
        <w:t xml:space="preserve">, 12, 2107. </w:t>
      </w:r>
      <w:hyperlink r:id="rId37" w:history="1">
        <w:r w:rsidRPr="002C53EB">
          <w:rPr>
            <w:rStyle w:val="Hyperlink"/>
            <w:rFonts w:ascii="Arial" w:hAnsi="Arial" w:cs="Arial"/>
          </w:rPr>
          <w:t>https://doi.org/10.3390/app12042107</w:t>
        </w:r>
      </w:hyperlink>
      <w:r>
        <w:rPr>
          <w:rFonts w:ascii="Arial" w:hAnsi="Arial" w:cs="Arial"/>
        </w:rPr>
        <w:t xml:space="preserve">  </w:t>
      </w:r>
    </w:p>
    <w:p w14:paraId="3E938BFE"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 xml:space="preserve">Arfaoui, L. </w:t>
      </w:r>
      <w:r>
        <w:rPr>
          <w:rFonts w:ascii="Arial" w:hAnsi="Arial" w:cs="Arial"/>
        </w:rPr>
        <w:t xml:space="preserve">(2021). </w:t>
      </w:r>
      <w:r w:rsidRPr="00820BDF">
        <w:rPr>
          <w:rFonts w:ascii="Arial" w:hAnsi="Arial" w:cs="Arial"/>
        </w:rPr>
        <w:t xml:space="preserve">Dietary plant polyphenols: Effects of food processing on their content and bioavailability. Molecules, 26, 2959. </w:t>
      </w:r>
      <w:hyperlink r:id="rId38" w:history="1">
        <w:r w:rsidRPr="002C53EB">
          <w:rPr>
            <w:rStyle w:val="Hyperlink"/>
            <w:rFonts w:ascii="Arial" w:hAnsi="Arial" w:cs="Arial"/>
          </w:rPr>
          <w:t>https://doi.org/10.3390/molecules26102959</w:t>
        </w:r>
      </w:hyperlink>
      <w:r>
        <w:rPr>
          <w:rFonts w:ascii="Arial" w:hAnsi="Arial" w:cs="Arial"/>
        </w:rPr>
        <w:t xml:space="preserve"> </w:t>
      </w:r>
    </w:p>
    <w:p w14:paraId="3D6E5C3A"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Ayaz, F.A.</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proofErr w:type="spellStart"/>
      <w:r w:rsidRPr="00820BDF">
        <w:rPr>
          <w:rFonts w:ascii="Arial" w:hAnsi="Arial" w:cs="Arial"/>
        </w:rPr>
        <w:t>Bertoft</w:t>
      </w:r>
      <w:proofErr w:type="spellEnd"/>
      <w:r w:rsidRPr="00820BDF">
        <w:rPr>
          <w:rFonts w:ascii="Arial" w:hAnsi="Arial" w:cs="Arial"/>
        </w:rPr>
        <w:t xml:space="preserve">, E. </w:t>
      </w:r>
      <w:r>
        <w:rPr>
          <w:rFonts w:ascii="Arial" w:hAnsi="Arial" w:cs="Arial"/>
        </w:rPr>
        <w:t>(</w:t>
      </w:r>
      <w:r w:rsidRPr="00820BDF">
        <w:rPr>
          <w:rFonts w:ascii="Arial" w:hAnsi="Arial" w:cs="Arial"/>
        </w:rPr>
        <w:t>2001</w:t>
      </w:r>
      <w:r>
        <w:rPr>
          <w:rFonts w:ascii="Arial" w:hAnsi="Arial" w:cs="Arial"/>
        </w:rPr>
        <w:t xml:space="preserve">). </w:t>
      </w:r>
      <w:r w:rsidRPr="00820BDF">
        <w:rPr>
          <w:rFonts w:ascii="Arial" w:hAnsi="Arial" w:cs="Arial"/>
        </w:rPr>
        <w:t xml:space="preserve">Sugar and phenolic acid composition of stored commercial oleaster fruits. </w:t>
      </w:r>
      <w:r w:rsidRPr="00285A0D">
        <w:rPr>
          <w:rFonts w:ascii="Arial" w:hAnsi="Arial" w:cs="Arial"/>
        </w:rPr>
        <w:t>Journal of Food Composition and Analysis</w:t>
      </w:r>
      <w:r w:rsidRPr="00820BDF">
        <w:rPr>
          <w:rFonts w:ascii="Arial" w:hAnsi="Arial" w:cs="Arial"/>
        </w:rPr>
        <w:t xml:space="preserve">, 14, 505–511. </w:t>
      </w:r>
      <w:hyperlink r:id="rId39" w:history="1">
        <w:r w:rsidRPr="002C53EB">
          <w:rPr>
            <w:rStyle w:val="Hyperlink"/>
            <w:rFonts w:ascii="Arial" w:hAnsi="Arial" w:cs="Arial"/>
          </w:rPr>
          <w:t>https://doi.org/10.1006/jfca.2001.1004</w:t>
        </w:r>
      </w:hyperlink>
      <w:r>
        <w:rPr>
          <w:rFonts w:ascii="Arial" w:hAnsi="Arial" w:cs="Arial"/>
        </w:rPr>
        <w:t xml:space="preserve"> </w:t>
      </w:r>
    </w:p>
    <w:p w14:paraId="4DD4E573" w14:textId="77777777" w:rsidR="00C046CA" w:rsidRPr="00BA3B3F" w:rsidRDefault="00C046CA" w:rsidP="00C046CA">
      <w:pPr>
        <w:pStyle w:val="Body"/>
        <w:spacing w:after="120"/>
        <w:ind w:left="720" w:hanging="720"/>
        <w:rPr>
          <w:rFonts w:ascii="Arial" w:hAnsi="Arial" w:cs="Arial"/>
        </w:rPr>
      </w:pPr>
      <w:r>
        <w:rPr>
          <w:rFonts w:ascii="Arial" w:hAnsi="Arial" w:cs="Arial"/>
        </w:rPr>
        <w:t xml:space="preserve">Azmat, M. </w:t>
      </w:r>
      <w:r w:rsidRPr="00BA3B3F">
        <w:rPr>
          <w:rFonts w:ascii="Arial" w:hAnsi="Arial" w:cs="Arial"/>
        </w:rPr>
        <w:t>A., S</w:t>
      </w:r>
      <w:r>
        <w:rPr>
          <w:rFonts w:ascii="Arial" w:hAnsi="Arial" w:cs="Arial"/>
        </w:rPr>
        <w:t>hahzad, A., Shaban, M., Khan, A. A.</w:t>
      </w:r>
      <w:r w:rsidRPr="00BA3B3F">
        <w:rPr>
          <w:rFonts w:ascii="Arial" w:hAnsi="Arial" w:cs="Arial"/>
        </w:rPr>
        <w:t xml:space="preserve"> &amp; Shakoor, S. (2025). Exploring the Multifaceted Potential of </w:t>
      </w:r>
      <w:r w:rsidRPr="00BA3B3F">
        <w:rPr>
          <w:rFonts w:ascii="Arial" w:hAnsi="Arial" w:cs="Arial"/>
          <w:i/>
        </w:rPr>
        <w:t>Elaeagnus angustifolia</w:t>
      </w:r>
      <w:r w:rsidRPr="00BA3B3F">
        <w:rPr>
          <w:rFonts w:ascii="Arial" w:hAnsi="Arial" w:cs="Arial"/>
        </w:rPr>
        <w:t xml:space="preserve"> L.: A Comprehensive Review of Its Nutritional, Pharmacological, and Environmental Significance. </w:t>
      </w:r>
      <w:r w:rsidRPr="00BA3B3F">
        <w:rPr>
          <w:rFonts w:ascii="Arial" w:hAnsi="Arial" w:cs="Arial"/>
          <w:iCs/>
        </w:rPr>
        <w:t>Food Science &amp; Nutrition</w:t>
      </w:r>
      <w:r w:rsidRPr="00BA3B3F">
        <w:rPr>
          <w:rFonts w:ascii="Arial" w:hAnsi="Arial" w:cs="Arial"/>
        </w:rPr>
        <w:t>, </w:t>
      </w:r>
      <w:r w:rsidRPr="00BA3B3F">
        <w:rPr>
          <w:rFonts w:ascii="Arial" w:hAnsi="Arial" w:cs="Arial"/>
          <w:iCs/>
        </w:rPr>
        <w:t>13</w:t>
      </w:r>
      <w:r w:rsidRPr="00BA3B3F">
        <w:rPr>
          <w:rFonts w:ascii="Arial" w:hAnsi="Arial" w:cs="Arial"/>
        </w:rPr>
        <w:t>(7), e70486.</w:t>
      </w:r>
      <w:r w:rsidRPr="00BA3B3F">
        <w:t xml:space="preserve"> </w:t>
      </w:r>
      <w:hyperlink r:id="rId40" w:history="1">
        <w:r w:rsidRPr="00BA3B3F">
          <w:rPr>
            <w:rStyle w:val="Hyperlink"/>
            <w:rFonts w:ascii="Arial" w:hAnsi="Arial" w:cs="Arial"/>
            <w:bCs/>
          </w:rPr>
          <w:t>https://doi.org/10.1002/fsn3.70486</w:t>
        </w:r>
      </w:hyperlink>
      <w:r>
        <w:rPr>
          <w:rFonts w:ascii="Arial" w:hAnsi="Arial" w:cs="Arial"/>
          <w:b/>
          <w:bCs/>
        </w:rPr>
        <w:t xml:space="preserve"> </w:t>
      </w:r>
    </w:p>
    <w:p w14:paraId="7B735872"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Bucur, L.</w:t>
      </w:r>
      <w:r>
        <w:rPr>
          <w:rFonts w:ascii="Arial" w:hAnsi="Arial" w:cs="Arial"/>
        </w:rPr>
        <w:t>,</w:t>
      </w:r>
      <w:r w:rsidRPr="00820BDF">
        <w:rPr>
          <w:rFonts w:ascii="Arial" w:hAnsi="Arial" w:cs="Arial"/>
        </w:rPr>
        <w:t xml:space="preserve"> Stanciu, G.</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proofErr w:type="spellStart"/>
      <w:r w:rsidRPr="00820BDF">
        <w:rPr>
          <w:rFonts w:ascii="Arial" w:hAnsi="Arial" w:cs="Arial"/>
        </w:rPr>
        <w:t>Istudor</w:t>
      </w:r>
      <w:proofErr w:type="spellEnd"/>
      <w:r w:rsidRPr="00820BDF">
        <w:rPr>
          <w:rFonts w:ascii="Arial" w:hAnsi="Arial" w:cs="Arial"/>
        </w:rPr>
        <w:t xml:space="preserve">, V. </w:t>
      </w:r>
      <w:r>
        <w:rPr>
          <w:rFonts w:ascii="Arial" w:hAnsi="Arial" w:cs="Arial"/>
        </w:rPr>
        <w:t>(</w:t>
      </w:r>
      <w:r w:rsidRPr="00820BDF">
        <w:rPr>
          <w:rFonts w:ascii="Arial" w:hAnsi="Arial" w:cs="Arial"/>
        </w:rPr>
        <w:t>2007</w:t>
      </w:r>
      <w:r>
        <w:rPr>
          <w:rFonts w:ascii="Arial" w:hAnsi="Arial" w:cs="Arial"/>
        </w:rPr>
        <w:t xml:space="preserve">). </w:t>
      </w:r>
      <w:r w:rsidRPr="00820BDF">
        <w:rPr>
          <w:rFonts w:ascii="Arial" w:hAnsi="Arial" w:cs="Arial"/>
        </w:rPr>
        <w:t xml:space="preserve">The GC–MS analysis of </w:t>
      </w:r>
      <w:r w:rsidRPr="00211B73">
        <w:rPr>
          <w:rFonts w:ascii="Arial" w:hAnsi="Arial" w:cs="Arial"/>
          <w:i/>
        </w:rPr>
        <w:t>Elaeagnus angustifolia</w:t>
      </w:r>
      <w:r w:rsidRPr="00820BDF">
        <w:rPr>
          <w:rFonts w:ascii="Arial" w:hAnsi="Arial" w:cs="Arial"/>
        </w:rPr>
        <w:t xml:space="preserve"> L. flowers essential oil. </w:t>
      </w:r>
      <w:r w:rsidRPr="00C01E14">
        <w:rPr>
          <w:rFonts w:ascii="Arial" w:hAnsi="Arial" w:cs="Arial"/>
        </w:rPr>
        <w:t xml:space="preserve">Revue </w:t>
      </w:r>
      <w:proofErr w:type="spellStart"/>
      <w:r w:rsidRPr="00C01E14">
        <w:rPr>
          <w:rFonts w:ascii="Arial" w:hAnsi="Arial" w:cs="Arial"/>
        </w:rPr>
        <w:t>Roumaine</w:t>
      </w:r>
      <w:proofErr w:type="spellEnd"/>
      <w:r w:rsidRPr="00C01E14">
        <w:rPr>
          <w:rFonts w:ascii="Arial" w:hAnsi="Arial" w:cs="Arial"/>
        </w:rPr>
        <w:t xml:space="preserve"> de </w:t>
      </w:r>
      <w:proofErr w:type="spellStart"/>
      <w:r w:rsidRPr="00C01E14">
        <w:rPr>
          <w:rFonts w:ascii="Arial" w:hAnsi="Arial" w:cs="Arial"/>
        </w:rPr>
        <w:t>Chimie</w:t>
      </w:r>
      <w:proofErr w:type="spellEnd"/>
      <w:r w:rsidRPr="00820BDF">
        <w:rPr>
          <w:rFonts w:ascii="Arial" w:hAnsi="Arial" w:cs="Arial"/>
        </w:rPr>
        <w:t>, 58(11), 1027.</w:t>
      </w:r>
    </w:p>
    <w:p w14:paraId="13150E4B" w14:textId="77777777" w:rsidR="00C046CA" w:rsidRDefault="00C046CA" w:rsidP="00C046CA">
      <w:pPr>
        <w:pStyle w:val="Body"/>
        <w:spacing w:after="120"/>
        <w:ind w:left="720" w:hanging="720"/>
        <w:rPr>
          <w:rFonts w:ascii="Arial" w:hAnsi="Arial" w:cs="Arial"/>
        </w:rPr>
      </w:pPr>
      <w:r w:rsidRPr="00820BDF">
        <w:rPr>
          <w:rFonts w:ascii="Arial" w:hAnsi="Arial" w:cs="Arial"/>
        </w:rPr>
        <w:t>Bucur, L.</w:t>
      </w:r>
      <w:r>
        <w:rPr>
          <w:rFonts w:ascii="Arial" w:hAnsi="Arial" w:cs="Arial"/>
        </w:rPr>
        <w:t>,</w:t>
      </w:r>
      <w:r w:rsidRPr="00820BDF">
        <w:rPr>
          <w:rFonts w:ascii="Arial" w:hAnsi="Arial" w:cs="Arial"/>
        </w:rPr>
        <w:t xml:space="preserve"> </w:t>
      </w:r>
      <w:proofErr w:type="spellStart"/>
      <w:r w:rsidRPr="00820BDF">
        <w:rPr>
          <w:rFonts w:ascii="Arial" w:hAnsi="Arial" w:cs="Arial"/>
        </w:rPr>
        <w:t>Vlase</w:t>
      </w:r>
      <w:proofErr w:type="spellEnd"/>
      <w:r w:rsidRPr="00820BDF">
        <w:rPr>
          <w:rFonts w:ascii="Arial" w:hAnsi="Arial" w:cs="Arial"/>
        </w:rPr>
        <w:t>, L.</w:t>
      </w:r>
      <w:r>
        <w:rPr>
          <w:rFonts w:ascii="Arial" w:hAnsi="Arial" w:cs="Arial"/>
        </w:rPr>
        <w:t>,</w:t>
      </w:r>
      <w:r w:rsidRPr="00820BDF">
        <w:rPr>
          <w:rFonts w:ascii="Arial" w:hAnsi="Arial" w:cs="Arial"/>
        </w:rPr>
        <w:t xml:space="preserve"> </w:t>
      </w:r>
      <w:proofErr w:type="spellStart"/>
      <w:r w:rsidRPr="00820BDF">
        <w:rPr>
          <w:rFonts w:ascii="Arial" w:hAnsi="Arial" w:cs="Arial"/>
        </w:rPr>
        <w:t>Istudor</w:t>
      </w:r>
      <w:proofErr w:type="spellEnd"/>
      <w:r w:rsidRPr="00820BDF">
        <w:rPr>
          <w:rFonts w:ascii="Arial" w:hAnsi="Arial" w:cs="Arial"/>
        </w:rPr>
        <w:t>, V.</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Popescu, A. </w:t>
      </w:r>
      <w:r>
        <w:rPr>
          <w:rFonts w:ascii="Arial" w:hAnsi="Arial" w:cs="Arial"/>
        </w:rPr>
        <w:t>(</w:t>
      </w:r>
      <w:r w:rsidRPr="00820BDF">
        <w:rPr>
          <w:rFonts w:ascii="Arial" w:hAnsi="Arial" w:cs="Arial"/>
        </w:rPr>
        <w:t>2009</w:t>
      </w:r>
      <w:r>
        <w:rPr>
          <w:rFonts w:ascii="Arial" w:hAnsi="Arial" w:cs="Arial"/>
        </w:rPr>
        <w:t xml:space="preserve">). </w:t>
      </w:r>
      <w:r w:rsidRPr="00820BDF">
        <w:rPr>
          <w:rFonts w:ascii="Arial" w:hAnsi="Arial" w:cs="Arial"/>
        </w:rPr>
        <w:t xml:space="preserve">HPLC–MS analysis of the polyphenols in two soft extracts of </w:t>
      </w:r>
      <w:r w:rsidRPr="00211B73">
        <w:rPr>
          <w:rFonts w:ascii="Arial" w:hAnsi="Arial" w:cs="Arial"/>
          <w:i/>
        </w:rPr>
        <w:t>Elaeagnus angustifolia</w:t>
      </w:r>
      <w:r w:rsidRPr="00820BDF">
        <w:rPr>
          <w:rFonts w:ascii="Arial" w:hAnsi="Arial" w:cs="Arial"/>
        </w:rPr>
        <w:t xml:space="preserve"> L. Farmacia, 57(6), 736–742.</w:t>
      </w:r>
    </w:p>
    <w:p w14:paraId="29D216E8"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Carradori</w:t>
      </w:r>
      <w:proofErr w:type="spellEnd"/>
      <w:r w:rsidRPr="00820BDF">
        <w:rPr>
          <w:rFonts w:ascii="Arial" w:hAnsi="Arial" w:cs="Arial"/>
        </w:rPr>
        <w:t>, S.</w:t>
      </w:r>
      <w:r>
        <w:rPr>
          <w:rFonts w:ascii="Arial" w:hAnsi="Arial" w:cs="Arial"/>
        </w:rPr>
        <w:t>,</w:t>
      </w:r>
      <w:r w:rsidRPr="00820BDF">
        <w:rPr>
          <w:rFonts w:ascii="Arial" w:hAnsi="Arial" w:cs="Arial"/>
        </w:rPr>
        <w:t xml:space="preserve"> Cairone, F.</w:t>
      </w:r>
      <w:r>
        <w:rPr>
          <w:rFonts w:ascii="Arial" w:hAnsi="Arial" w:cs="Arial"/>
        </w:rPr>
        <w:t>,</w:t>
      </w:r>
      <w:r w:rsidRPr="00820BDF">
        <w:rPr>
          <w:rFonts w:ascii="Arial" w:hAnsi="Arial" w:cs="Arial"/>
        </w:rPr>
        <w:t xml:space="preserve"> </w:t>
      </w:r>
      <w:proofErr w:type="spellStart"/>
      <w:r w:rsidRPr="00820BDF">
        <w:rPr>
          <w:rFonts w:ascii="Arial" w:hAnsi="Arial" w:cs="Arial"/>
        </w:rPr>
        <w:t>Garzoli</w:t>
      </w:r>
      <w:proofErr w:type="spellEnd"/>
      <w:r w:rsidRPr="00820BDF">
        <w:rPr>
          <w:rFonts w:ascii="Arial" w:hAnsi="Arial" w:cs="Arial"/>
        </w:rPr>
        <w:t>, S.</w:t>
      </w:r>
      <w:r>
        <w:rPr>
          <w:rFonts w:ascii="Arial" w:hAnsi="Arial" w:cs="Arial"/>
        </w:rPr>
        <w:t>,</w:t>
      </w:r>
      <w:r w:rsidRPr="00820BDF">
        <w:rPr>
          <w:rFonts w:ascii="Arial" w:hAnsi="Arial" w:cs="Arial"/>
        </w:rPr>
        <w:t xml:space="preserve"> Fabrizi,</w:t>
      </w:r>
      <w:r>
        <w:rPr>
          <w:rFonts w:ascii="Arial" w:hAnsi="Arial" w:cs="Arial"/>
        </w:rPr>
        <w:t xml:space="preserve"> G., Iazzetti, A., Giusti, A. M.,</w:t>
      </w:r>
      <w:r w:rsidRPr="00820BDF">
        <w:rPr>
          <w:rFonts w:ascii="Arial" w:hAnsi="Arial" w:cs="Arial"/>
        </w:rPr>
        <w:t xml:space="preserve"> et al. </w:t>
      </w:r>
      <w:r>
        <w:rPr>
          <w:rFonts w:ascii="Arial" w:hAnsi="Arial" w:cs="Arial"/>
        </w:rPr>
        <w:t>(</w:t>
      </w:r>
      <w:r w:rsidRPr="00820BDF">
        <w:rPr>
          <w:rFonts w:ascii="Arial" w:hAnsi="Arial" w:cs="Arial"/>
        </w:rPr>
        <w:t>2020</w:t>
      </w:r>
      <w:r>
        <w:rPr>
          <w:rFonts w:ascii="Arial" w:hAnsi="Arial" w:cs="Arial"/>
        </w:rPr>
        <w:t xml:space="preserve">). </w:t>
      </w:r>
      <w:proofErr w:type="spellStart"/>
      <w:r w:rsidRPr="00820BDF">
        <w:rPr>
          <w:rFonts w:ascii="Arial" w:hAnsi="Arial" w:cs="Arial"/>
        </w:rPr>
        <w:t>Phytocomplex</w:t>
      </w:r>
      <w:proofErr w:type="spellEnd"/>
      <w:r w:rsidRPr="00820BDF">
        <w:rPr>
          <w:rFonts w:ascii="Arial" w:hAnsi="Arial" w:cs="Arial"/>
        </w:rPr>
        <w:t xml:space="preserve"> characterization and biological evaluation of powdered fruits and leaves from </w:t>
      </w:r>
      <w:r w:rsidRPr="00E9491C">
        <w:rPr>
          <w:rFonts w:ascii="Arial" w:hAnsi="Arial" w:cs="Arial"/>
          <w:i/>
        </w:rPr>
        <w:t>Elaeagnus angustifolia</w:t>
      </w:r>
      <w:r>
        <w:rPr>
          <w:rFonts w:ascii="Arial" w:hAnsi="Arial" w:cs="Arial"/>
        </w:rPr>
        <w:t xml:space="preserve">. Molecules, </w:t>
      </w:r>
      <w:r w:rsidRPr="00820BDF">
        <w:rPr>
          <w:rFonts w:ascii="Arial" w:hAnsi="Arial" w:cs="Arial"/>
        </w:rPr>
        <w:t xml:space="preserve">25, 2021. </w:t>
      </w:r>
      <w:hyperlink r:id="rId41" w:history="1">
        <w:r w:rsidRPr="002C53EB">
          <w:rPr>
            <w:rStyle w:val="Hyperlink"/>
            <w:rFonts w:ascii="Arial" w:hAnsi="Arial" w:cs="Arial"/>
          </w:rPr>
          <w:t>https://doi.org/10.3390/molecules25092021</w:t>
        </w:r>
      </w:hyperlink>
      <w:r>
        <w:rPr>
          <w:rFonts w:ascii="Arial" w:hAnsi="Arial" w:cs="Arial"/>
        </w:rPr>
        <w:t xml:space="preserve"> </w:t>
      </w:r>
      <w:r w:rsidRPr="00820BDF">
        <w:rPr>
          <w:rFonts w:ascii="Arial" w:hAnsi="Arial" w:cs="Arial"/>
        </w:rPr>
        <w:t xml:space="preserve"> </w:t>
      </w:r>
    </w:p>
    <w:p w14:paraId="7BC59CF1" w14:textId="77777777" w:rsidR="00C046CA" w:rsidRDefault="00C046CA" w:rsidP="00C046CA">
      <w:pPr>
        <w:pStyle w:val="Body"/>
        <w:spacing w:after="120"/>
        <w:ind w:left="720" w:hanging="720"/>
        <w:rPr>
          <w:rStyle w:val="Hyperlink"/>
          <w:rFonts w:ascii="Arial" w:hAnsi="Arial" w:cs="Arial"/>
        </w:rPr>
      </w:pPr>
      <w:r>
        <w:rPr>
          <w:rFonts w:ascii="Arial" w:hAnsi="Arial" w:cs="Arial"/>
        </w:rPr>
        <w:t>Chagas, M.D.S.</w:t>
      </w:r>
      <w:r w:rsidRPr="00336D70">
        <w:rPr>
          <w:rFonts w:ascii="Arial" w:hAnsi="Arial" w:cs="Arial"/>
        </w:rPr>
        <w:t>S.,</w:t>
      </w:r>
      <w:r>
        <w:rPr>
          <w:rFonts w:ascii="Arial" w:hAnsi="Arial" w:cs="Arial"/>
        </w:rPr>
        <w:t xml:space="preserve"> Behrens, M. </w:t>
      </w:r>
      <w:r w:rsidRPr="00336D70">
        <w:rPr>
          <w:rFonts w:ascii="Arial" w:hAnsi="Arial" w:cs="Arial"/>
        </w:rPr>
        <w:t>D.,</w:t>
      </w:r>
      <w:r>
        <w:rPr>
          <w:rFonts w:ascii="Arial" w:hAnsi="Arial" w:cs="Arial"/>
        </w:rPr>
        <w:t xml:space="preserve"> </w:t>
      </w:r>
      <w:proofErr w:type="spellStart"/>
      <w:r>
        <w:rPr>
          <w:rFonts w:ascii="Arial" w:hAnsi="Arial" w:cs="Arial"/>
        </w:rPr>
        <w:t>Moragas-Tellis</w:t>
      </w:r>
      <w:proofErr w:type="spellEnd"/>
      <w:r>
        <w:rPr>
          <w:rFonts w:ascii="Arial" w:hAnsi="Arial" w:cs="Arial"/>
        </w:rPr>
        <w:t xml:space="preserve">, C. </w:t>
      </w:r>
      <w:r w:rsidRPr="00336D70">
        <w:rPr>
          <w:rFonts w:ascii="Arial" w:hAnsi="Arial" w:cs="Arial"/>
        </w:rPr>
        <w:t>J.,</w:t>
      </w:r>
      <w:r>
        <w:rPr>
          <w:rFonts w:ascii="Arial" w:hAnsi="Arial" w:cs="Arial"/>
        </w:rPr>
        <w:t xml:space="preserve"> Penedo, G. </w:t>
      </w:r>
      <w:r w:rsidRPr="00336D70">
        <w:rPr>
          <w:rFonts w:ascii="Arial" w:hAnsi="Arial" w:cs="Arial"/>
        </w:rPr>
        <w:t>X.,</w:t>
      </w:r>
      <w:r>
        <w:rPr>
          <w:rFonts w:ascii="Arial" w:hAnsi="Arial" w:cs="Arial"/>
        </w:rPr>
        <w:t xml:space="preserve"> Silva, A. </w:t>
      </w:r>
      <w:r w:rsidRPr="00336D70">
        <w:rPr>
          <w:rFonts w:ascii="Arial" w:hAnsi="Arial" w:cs="Arial"/>
        </w:rPr>
        <w:t xml:space="preserve">R., </w:t>
      </w:r>
      <w:r w:rsidRPr="008641ED">
        <w:rPr>
          <w:rFonts w:ascii="Arial" w:hAnsi="Arial" w:cs="Arial"/>
        </w:rPr>
        <w:t>&amp;</w:t>
      </w:r>
      <w:r>
        <w:rPr>
          <w:rFonts w:ascii="Arial" w:hAnsi="Arial" w:cs="Arial"/>
        </w:rPr>
        <w:t xml:space="preserve"> </w:t>
      </w:r>
      <w:r w:rsidRPr="00336D70">
        <w:rPr>
          <w:rFonts w:ascii="Arial" w:hAnsi="Arial" w:cs="Arial"/>
        </w:rPr>
        <w:t>Gonçalves-de-Albuquerque, C.</w:t>
      </w:r>
      <w:r>
        <w:rPr>
          <w:rFonts w:ascii="Arial" w:hAnsi="Arial" w:cs="Arial"/>
        </w:rPr>
        <w:t xml:space="preserve"> </w:t>
      </w:r>
      <w:r w:rsidRPr="00336D70">
        <w:rPr>
          <w:rFonts w:ascii="Arial" w:hAnsi="Arial" w:cs="Arial"/>
        </w:rPr>
        <w:t xml:space="preserve">F. </w:t>
      </w:r>
      <w:r>
        <w:rPr>
          <w:rFonts w:ascii="Arial" w:hAnsi="Arial" w:cs="Arial"/>
        </w:rPr>
        <w:t>(</w:t>
      </w:r>
      <w:r w:rsidRPr="00336D70">
        <w:rPr>
          <w:rFonts w:ascii="Arial" w:hAnsi="Arial" w:cs="Arial"/>
        </w:rPr>
        <w:t>2022</w:t>
      </w:r>
      <w:r>
        <w:rPr>
          <w:rFonts w:ascii="Arial" w:hAnsi="Arial" w:cs="Arial"/>
        </w:rPr>
        <w:t xml:space="preserve">). </w:t>
      </w:r>
      <w:proofErr w:type="spellStart"/>
      <w:r w:rsidRPr="00336D70">
        <w:rPr>
          <w:rFonts w:ascii="Arial" w:hAnsi="Arial" w:cs="Arial"/>
        </w:rPr>
        <w:t>Flavonols</w:t>
      </w:r>
      <w:proofErr w:type="spellEnd"/>
      <w:r w:rsidRPr="00336D70">
        <w:rPr>
          <w:rFonts w:ascii="Arial" w:hAnsi="Arial" w:cs="Arial"/>
        </w:rPr>
        <w:t xml:space="preserve"> and flavones as potential anti</w:t>
      </w:r>
      <w:r>
        <w:rPr>
          <w:rFonts w:ascii="Arial" w:hAnsi="Arial" w:cs="Arial"/>
        </w:rPr>
        <w:t>-</w:t>
      </w:r>
      <w:r w:rsidRPr="00336D70">
        <w:rPr>
          <w:rFonts w:ascii="Arial" w:hAnsi="Arial" w:cs="Arial"/>
        </w:rPr>
        <w:t xml:space="preserve">inflammatory, antioxidant, and antibacterial compounds. </w:t>
      </w:r>
      <w:r w:rsidRPr="003E19F2">
        <w:rPr>
          <w:rFonts w:ascii="Arial" w:hAnsi="Arial" w:cs="Arial"/>
        </w:rPr>
        <w:t>Oxidative Medicine and Cellular Longevity</w:t>
      </w:r>
      <w:r>
        <w:rPr>
          <w:rFonts w:ascii="Arial" w:hAnsi="Arial" w:cs="Arial"/>
        </w:rPr>
        <w:t xml:space="preserve">, </w:t>
      </w:r>
      <w:r w:rsidRPr="00336D70">
        <w:rPr>
          <w:rFonts w:ascii="Arial" w:hAnsi="Arial" w:cs="Arial"/>
        </w:rPr>
        <w:t xml:space="preserve">9966750. </w:t>
      </w:r>
      <w:hyperlink r:id="rId42" w:history="1">
        <w:r w:rsidRPr="002C53EB">
          <w:rPr>
            <w:rStyle w:val="Hyperlink"/>
            <w:rFonts w:ascii="Arial" w:hAnsi="Arial" w:cs="Arial"/>
          </w:rPr>
          <w:t>https://doi.org/10.1155/2022/9966750</w:t>
        </w:r>
      </w:hyperlink>
    </w:p>
    <w:p w14:paraId="5C047F6E"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 xml:space="preserve">Chen, C. </w:t>
      </w:r>
      <w:r>
        <w:rPr>
          <w:rFonts w:ascii="Arial" w:hAnsi="Arial" w:cs="Arial"/>
        </w:rPr>
        <w:t>(</w:t>
      </w:r>
      <w:r w:rsidRPr="00820BDF">
        <w:rPr>
          <w:rFonts w:ascii="Arial" w:hAnsi="Arial" w:cs="Arial"/>
        </w:rPr>
        <w:t>2016</w:t>
      </w:r>
      <w:r>
        <w:rPr>
          <w:rFonts w:ascii="Arial" w:hAnsi="Arial" w:cs="Arial"/>
        </w:rPr>
        <w:t xml:space="preserve">). </w:t>
      </w:r>
      <w:proofErr w:type="spellStart"/>
      <w:r w:rsidRPr="00820BDF">
        <w:rPr>
          <w:rFonts w:ascii="Arial" w:hAnsi="Arial" w:cs="Arial"/>
        </w:rPr>
        <w:t>Sinapic</w:t>
      </w:r>
      <w:proofErr w:type="spellEnd"/>
      <w:r w:rsidRPr="00820BDF">
        <w:rPr>
          <w:rFonts w:ascii="Arial" w:hAnsi="Arial" w:cs="Arial"/>
        </w:rPr>
        <w:t xml:space="preserve"> acid and its derivatives as medicine in oxidative stress-induced diseases and aging. </w:t>
      </w:r>
      <w:r w:rsidRPr="009D1708">
        <w:rPr>
          <w:rFonts w:ascii="Arial" w:hAnsi="Arial" w:cs="Arial"/>
        </w:rPr>
        <w:t>Oxidative Medicine and Cellular Longevity</w:t>
      </w:r>
      <w:r w:rsidRPr="00820BDF">
        <w:rPr>
          <w:rFonts w:ascii="Arial" w:hAnsi="Arial" w:cs="Arial"/>
        </w:rPr>
        <w:t xml:space="preserve">, 2016, 3571614. </w:t>
      </w:r>
      <w:hyperlink r:id="rId43" w:history="1">
        <w:r w:rsidRPr="002C53EB">
          <w:rPr>
            <w:rStyle w:val="Hyperlink"/>
            <w:rFonts w:ascii="Arial" w:hAnsi="Arial" w:cs="Arial"/>
          </w:rPr>
          <w:t>https://doi.org/10.1155/2016/3571614</w:t>
        </w:r>
      </w:hyperlink>
      <w:r>
        <w:rPr>
          <w:rFonts w:ascii="Arial" w:hAnsi="Arial" w:cs="Arial"/>
        </w:rPr>
        <w:t xml:space="preserve"> </w:t>
      </w:r>
    </w:p>
    <w:p w14:paraId="33997E59" w14:textId="77777777" w:rsidR="00C046CA" w:rsidRDefault="00C046CA" w:rsidP="00C046CA">
      <w:pPr>
        <w:pStyle w:val="Body"/>
        <w:spacing w:after="120"/>
        <w:ind w:left="720" w:hanging="720"/>
        <w:rPr>
          <w:rFonts w:ascii="Arial" w:hAnsi="Arial" w:cs="Arial"/>
        </w:rPr>
      </w:pPr>
      <w:r>
        <w:rPr>
          <w:rFonts w:ascii="Arial" w:hAnsi="Arial" w:cs="Arial"/>
        </w:rPr>
        <w:lastRenderedPageBreak/>
        <w:t xml:space="preserve">Chiriac, E. </w:t>
      </w:r>
      <w:r w:rsidRPr="00820BDF">
        <w:rPr>
          <w:rFonts w:ascii="Arial" w:hAnsi="Arial" w:cs="Arial"/>
        </w:rPr>
        <w:t>R.</w:t>
      </w:r>
      <w:r>
        <w:rPr>
          <w:rFonts w:ascii="Arial" w:hAnsi="Arial" w:cs="Arial"/>
        </w:rPr>
        <w:t xml:space="preserve">, Chiţescu, C. </w:t>
      </w:r>
      <w:r w:rsidRPr="00820BDF">
        <w:rPr>
          <w:rFonts w:ascii="Arial" w:hAnsi="Arial" w:cs="Arial"/>
        </w:rPr>
        <w:t>L.</w:t>
      </w:r>
      <w:r>
        <w:rPr>
          <w:rFonts w:ascii="Arial" w:hAnsi="Arial" w:cs="Arial"/>
        </w:rPr>
        <w:t xml:space="preserve">, </w:t>
      </w:r>
      <w:proofErr w:type="spellStart"/>
      <w:r>
        <w:rPr>
          <w:rFonts w:ascii="Arial" w:hAnsi="Arial" w:cs="Arial"/>
        </w:rPr>
        <w:t>Geană</w:t>
      </w:r>
      <w:proofErr w:type="spellEnd"/>
      <w:r>
        <w:rPr>
          <w:rFonts w:ascii="Arial" w:hAnsi="Arial" w:cs="Arial"/>
        </w:rPr>
        <w:t xml:space="preserve">, E. </w:t>
      </w:r>
      <w:r w:rsidRPr="00820BDF">
        <w:rPr>
          <w:rFonts w:ascii="Arial" w:hAnsi="Arial" w:cs="Arial"/>
        </w:rPr>
        <w:t>I.</w:t>
      </w:r>
      <w:r>
        <w:rPr>
          <w:rFonts w:ascii="Arial" w:hAnsi="Arial" w:cs="Arial"/>
        </w:rPr>
        <w:t xml:space="preserve">, Gird, C. </w:t>
      </w:r>
      <w:r w:rsidRPr="00820BDF">
        <w:rPr>
          <w:rFonts w:ascii="Arial" w:hAnsi="Arial" w:cs="Arial"/>
        </w:rPr>
        <w:t>E.</w:t>
      </w:r>
      <w:r>
        <w:rPr>
          <w:rFonts w:ascii="Arial" w:hAnsi="Arial" w:cs="Arial"/>
        </w:rPr>
        <w:t xml:space="preserve">, </w:t>
      </w:r>
      <w:proofErr w:type="spellStart"/>
      <w:r>
        <w:rPr>
          <w:rFonts w:ascii="Arial" w:hAnsi="Arial" w:cs="Arial"/>
        </w:rPr>
        <w:t>Socoteanu</w:t>
      </w:r>
      <w:proofErr w:type="spellEnd"/>
      <w:r>
        <w:rPr>
          <w:rFonts w:ascii="Arial" w:hAnsi="Arial" w:cs="Arial"/>
        </w:rPr>
        <w:t>, R.</w:t>
      </w:r>
      <w:r w:rsidRPr="00820BDF">
        <w:rPr>
          <w:rFonts w:ascii="Arial" w:hAnsi="Arial" w:cs="Arial"/>
        </w:rPr>
        <w:t>P.</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proofErr w:type="spellStart"/>
      <w:r w:rsidRPr="00820BDF">
        <w:rPr>
          <w:rFonts w:ascii="Arial" w:hAnsi="Arial" w:cs="Arial"/>
        </w:rPr>
        <w:t>Boscencu</w:t>
      </w:r>
      <w:proofErr w:type="spellEnd"/>
      <w:r w:rsidRPr="00820BDF">
        <w:rPr>
          <w:rFonts w:ascii="Arial" w:hAnsi="Arial" w:cs="Arial"/>
        </w:rPr>
        <w:t xml:space="preserve">, R. </w:t>
      </w:r>
      <w:r>
        <w:rPr>
          <w:rFonts w:ascii="Arial" w:hAnsi="Arial" w:cs="Arial"/>
        </w:rPr>
        <w:t>(</w:t>
      </w:r>
      <w:r w:rsidRPr="00820BDF">
        <w:rPr>
          <w:rFonts w:ascii="Arial" w:hAnsi="Arial" w:cs="Arial"/>
        </w:rPr>
        <w:t>2021</w:t>
      </w:r>
      <w:r>
        <w:rPr>
          <w:rFonts w:ascii="Arial" w:hAnsi="Arial" w:cs="Arial"/>
        </w:rPr>
        <w:t xml:space="preserve">). </w:t>
      </w:r>
      <w:r w:rsidRPr="00820BDF">
        <w:rPr>
          <w:rFonts w:ascii="Arial" w:hAnsi="Arial" w:cs="Arial"/>
        </w:rPr>
        <w:t xml:space="preserve">Advanced analytical approaches for the analysis of polyphenols in plants matrices—A review. Separations, 8, 65. </w:t>
      </w:r>
      <w:hyperlink r:id="rId44" w:history="1">
        <w:r w:rsidRPr="002C53EB">
          <w:rPr>
            <w:rStyle w:val="Hyperlink"/>
            <w:rFonts w:ascii="Arial" w:hAnsi="Arial" w:cs="Arial"/>
          </w:rPr>
          <w:t>https://doi.org/10.3390/separations8050065</w:t>
        </w:r>
      </w:hyperlink>
      <w:r>
        <w:rPr>
          <w:rFonts w:ascii="Arial" w:hAnsi="Arial" w:cs="Arial"/>
        </w:rPr>
        <w:t xml:space="preserve"> </w:t>
      </w:r>
    </w:p>
    <w:p w14:paraId="2290D894" w14:textId="77777777" w:rsidR="00C046CA" w:rsidRDefault="00C046CA" w:rsidP="00C046CA">
      <w:pPr>
        <w:pStyle w:val="Body"/>
        <w:spacing w:after="120"/>
        <w:ind w:left="720" w:hanging="720"/>
        <w:rPr>
          <w:rFonts w:ascii="Arial" w:hAnsi="Arial" w:cs="Arial"/>
        </w:rPr>
      </w:pPr>
      <w:r>
        <w:rPr>
          <w:rFonts w:ascii="Arial" w:hAnsi="Arial" w:cs="Arial"/>
        </w:rPr>
        <w:t xml:space="preserve">Choi, S. </w:t>
      </w:r>
      <w:r w:rsidRPr="00820BDF">
        <w:rPr>
          <w:rFonts w:ascii="Arial" w:hAnsi="Arial" w:cs="Arial"/>
        </w:rPr>
        <w:t>S.</w:t>
      </w:r>
      <w:r>
        <w:rPr>
          <w:rFonts w:ascii="Arial" w:hAnsi="Arial" w:cs="Arial"/>
        </w:rPr>
        <w:t xml:space="preserve">, Park, H. </w:t>
      </w:r>
      <w:r w:rsidRPr="00820BDF">
        <w:rPr>
          <w:rFonts w:ascii="Arial" w:hAnsi="Arial" w:cs="Arial"/>
        </w:rPr>
        <w:t>R.</w:t>
      </w:r>
      <w:r>
        <w:rPr>
          <w:rFonts w:ascii="Arial" w:hAnsi="Arial" w:cs="Arial"/>
        </w:rPr>
        <w:t xml:space="preserve">, </w:t>
      </w:r>
      <w:r w:rsidRPr="008641ED">
        <w:rPr>
          <w:rFonts w:ascii="Arial" w:hAnsi="Arial" w:cs="Arial"/>
        </w:rPr>
        <w:t>&amp;</w:t>
      </w:r>
      <w:r>
        <w:rPr>
          <w:rFonts w:ascii="Arial" w:hAnsi="Arial" w:cs="Arial"/>
        </w:rPr>
        <w:t xml:space="preserve"> Lee, K. </w:t>
      </w:r>
      <w:r w:rsidRPr="00820BDF">
        <w:rPr>
          <w:rFonts w:ascii="Arial" w:hAnsi="Arial" w:cs="Arial"/>
        </w:rPr>
        <w:t xml:space="preserve">A. </w:t>
      </w:r>
      <w:r>
        <w:rPr>
          <w:rFonts w:ascii="Arial" w:hAnsi="Arial" w:cs="Arial"/>
        </w:rPr>
        <w:t xml:space="preserve">(2021). </w:t>
      </w:r>
      <w:r w:rsidRPr="00820BDF">
        <w:rPr>
          <w:rFonts w:ascii="Arial" w:hAnsi="Arial" w:cs="Arial"/>
        </w:rPr>
        <w:t>Comparative study of rutin and rutin glycoside: Antio</w:t>
      </w:r>
      <w:r>
        <w:rPr>
          <w:rFonts w:ascii="Arial" w:hAnsi="Arial" w:cs="Arial"/>
        </w:rPr>
        <w:t>xidant activity and an</w:t>
      </w:r>
      <w:r w:rsidRPr="00820BDF">
        <w:rPr>
          <w:rFonts w:ascii="Arial" w:hAnsi="Arial" w:cs="Arial"/>
        </w:rPr>
        <w:t xml:space="preserve">ti-inflammatory effects. Antioxidants, 10, 1696. </w:t>
      </w:r>
      <w:hyperlink r:id="rId45" w:history="1">
        <w:r w:rsidRPr="002C53EB">
          <w:rPr>
            <w:rStyle w:val="Hyperlink"/>
            <w:rFonts w:ascii="Arial" w:hAnsi="Arial" w:cs="Arial"/>
          </w:rPr>
          <w:t>https://doi.org/10.3390/antiox10111696</w:t>
        </w:r>
      </w:hyperlink>
      <w:r>
        <w:rPr>
          <w:rFonts w:ascii="Arial" w:hAnsi="Arial" w:cs="Arial"/>
        </w:rPr>
        <w:t xml:space="preserve"> </w:t>
      </w:r>
      <w:r w:rsidRPr="00820BDF">
        <w:rPr>
          <w:rFonts w:ascii="Arial" w:hAnsi="Arial" w:cs="Arial"/>
        </w:rPr>
        <w:t xml:space="preserve"> </w:t>
      </w:r>
      <w:r>
        <w:rPr>
          <w:rFonts w:ascii="Arial" w:hAnsi="Arial" w:cs="Arial"/>
        </w:rPr>
        <w:t xml:space="preserve"> </w:t>
      </w:r>
    </w:p>
    <w:p w14:paraId="29D15ABE" w14:textId="77777777" w:rsidR="00C046CA" w:rsidRPr="00CD2E05" w:rsidRDefault="00C046CA" w:rsidP="00C046CA">
      <w:pPr>
        <w:pStyle w:val="Body"/>
        <w:spacing w:after="120"/>
        <w:ind w:left="720" w:hanging="720"/>
        <w:rPr>
          <w:rFonts w:ascii="Arial" w:hAnsi="Arial" w:cs="Arial"/>
        </w:rPr>
      </w:pPr>
      <w:proofErr w:type="spellStart"/>
      <w:r w:rsidRPr="00CD2E05">
        <w:rPr>
          <w:rFonts w:ascii="Arial" w:hAnsi="Arial" w:cs="Arial"/>
        </w:rPr>
        <w:t>Ciocârlan</w:t>
      </w:r>
      <w:proofErr w:type="spellEnd"/>
      <w:r w:rsidRPr="00CD2E05">
        <w:rPr>
          <w:rFonts w:ascii="Arial" w:hAnsi="Arial" w:cs="Arial"/>
        </w:rPr>
        <w:t xml:space="preserve"> V</w:t>
      </w:r>
      <w:r>
        <w:rPr>
          <w:rFonts w:ascii="Arial" w:hAnsi="Arial" w:cs="Arial"/>
        </w:rPr>
        <w:t>. (</w:t>
      </w:r>
      <w:r w:rsidRPr="00CD2E05">
        <w:rPr>
          <w:rFonts w:ascii="Arial" w:hAnsi="Arial" w:cs="Arial"/>
        </w:rPr>
        <w:t>2000</w:t>
      </w:r>
      <w:r>
        <w:rPr>
          <w:rFonts w:ascii="Arial" w:hAnsi="Arial" w:cs="Arial"/>
        </w:rPr>
        <w:t xml:space="preserve">). </w:t>
      </w:r>
      <w:r w:rsidRPr="00CD2E05">
        <w:rPr>
          <w:rFonts w:ascii="Arial" w:hAnsi="Arial" w:cs="Arial"/>
        </w:rPr>
        <w:t xml:space="preserve">Illustrated Flora of Romania: </w:t>
      </w:r>
      <w:proofErr w:type="spellStart"/>
      <w:r w:rsidRPr="00CD2E05">
        <w:rPr>
          <w:rFonts w:ascii="Arial" w:hAnsi="Arial" w:cs="Arial"/>
        </w:rPr>
        <w:t>Pteriodophyta</w:t>
      </w:r>
      <w:proofErr w:type="spellEnd"/>
      <w:r w:rsidRPr="00CD2E05">
        <w:rPr>
          <w:rFonts w:ascii="Arial" w:hAnsi="Arial" w:cs="Arial"/>
        </w:rPr>
        <w:t xml:space="preserve"> et </w:t>
      </w:r>
      <w:proofErr w:type="spellStart"/>
      <w:r w:rsidRPr="00CD2E05">
        <w:rPr>
          <w:rFonts w:ascii="Arial" w:hAnsi="Arial" w:cs="Arial"/>
        </w:rPr>
        <w:t>Spermatophyta</w:t>
      </w:r>
      <w:proofErr w:type="spellEnd"/>
      <w:r>
        <w:rPr>
          <w:rFonts w:ascii="Arial" w:hAnsi="Arial" w:cs="Arial"/>
        </w:rPr>
        <w:t>, Ceres, Bucharest.</w:t>
      </w:r>
    </w:p>
    <w:p w14:paraId="5F92EE9B" w14:textId="77777777" w:rsidR="00C046CA" w:rsidRDefault="00C046CA" w:rsidP="00C046CA">
      <w:pPr>
        <w:pStyle w:val="Body"/>
        <w:spacing w:after="120"/>
        <w:ind w:left="720" w:hanging="720"/>
        <w:rPr>
          <w:rFonts w:ascii="Arial" w:hAnsi="Arial" w:cs="Arial"/>
        </w:rPr>
      </w:pPr>
      <w:r w:rsidRPr="00671DB2">
        <w:rPr>
          <w:rFonts w:ascii="Arial" w:hAnsi="Arial" w:cs="Arial"/>
        </w:rPr>
        <w:t xml:space="preserve">Dong, H., Song, G., Wang, Z., Wu, X., Wang, Q., &amp; Wang, Y. H. (2025). Kaempferol as a multifaceted immunomodulator: implications for inflammation, autoimmunity, and cancer. Frontiers in Immunology, 16, 1671519. </w:t>
      </w:r>
      <w:hyperlink r:id="rId46" w:history="1">
        <w:r w:rsidRPr="002C53EB">
          <w:rPr>
            <w:rStyle w:val="Hyperlink"/>
            <w:rFonts w:ascii="Arial" w:hAnsi="Arial" w:cs="Arial"/>
          </w:rPr>
          <w:t>https://doi.org/10.3389/fimmu.2025.1671519</w:t>
        </w:r>
      </w:hyperlink>
      <w:r>
        <w:rPr>
          <w:rFonts w:ascii="Arial" w:hAnsi="Arial" w:cs="Arial"/>
        </w:rPr>
        <w:t xml:space="preserve">. </w:t>
      </w:r>
    </w:p>
    <w:p w14:paraId="22D8AA5E"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Fakı</w:t>
      </w:r>
      <w:proofErr w:type="spellEnd"/>
      <w:r w:rsidRPr="00820BDF">
        <w:rPr>
          <w:rFonts w:ascii="Arial" w:hAnsi="Arial" w:cs="Arial"/>
        </w:rPr>
        <w:t>, R.</w:t>
      </w:r>
      <w:r>
        <w:rPr>
          <w:rFonts w:ascii="Arial" w:hAnsi="Arial" w:cs="Arial"/>
        </w:rPr>
        <w:t>,</w:t>
      </w:r>
      <w:r w:rsidRPr="00820BDF">
        <w:rPr>
          <w:rFonts w:ascii="Arial" w:hAnsi="Arial" w:cs="Arial"/>
        </w:rPr>
        <w:t xml:space="preserve"> </w:t>
      </w:r>
      <w:proofErr w:type="spellStart"/>
      <w:r w:rsidRPr="00820BDF">
        <w:rPr>
          <w:rFonts w:ascii="Arial" w:hAnsi="Arial" w:cs="Arial"/>
        </w:rPr>
        <w:t>Canbay</w:t>
      </w:r>
      <w:proofErr w:type="spellEnd"/>
      <w:r w:rsidRPr="00820BDF">
        <w:rPr>
          <w:rFonts w:ascii="Arial" w:hAnsi="Arial" w:cs="Arial"/>
        </w:rPr>
        <w:t>, H.</w:t>
      </w:r>
      <w:r>
        <w:rPr>
          <w:rFonts w:ascii="Arial" w:hAnsi="Arial" w:cs="Arial"/>
        </w:rPr>
        <w:t xml:space="preserve"> </w:t>
      </w:r>
      <w:r w:rsidRPr="00820BDF">
        <w:rPr>
          <w:rFonts w:ascii="Arial" w:hAnsi="Arial" w:cs="Arial"/>
        </w:rPr>
        <w:t>S.</w:t>
      </w:r>
      <w:r>
        <w:rPr>
          <w:rFonts w:ascii="Arial" w:hAnsi="Arial" w:cs="Arial"/>
        </w:rPr>
        <w:t>,</w:t>
      </w:r>
      <w:r w:rsidRPr="00820BDF">
        <w:rPr>
          <w:rFonts w:ascii="Arial" w:hAnsi="Arial" w:cs="Arial"/>
        </w:rPr>
        <w:t xml:space="preserve"> Gürsoy, O.</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Yılmaz, Y. </w:t>
      </w:r>
      <w:r>
        <w:rPr>
          <w:rFonts w:ascii="Arial" w:hAnsi="Arial" w:cs="Arial"/>
        </w:rPr>
        <w:t>(</w:t>
      </w:r>
      <w:r w:rsidRPr="00820BDF">
        <w:rPr>
          <w:rFonts w:ascii="Arial" w:hAnsi="Arial" w:cs="Arial"/>
        </w:rPr>
        <w:t>2022</w:t>
      </w:r>
      <w:r>
        <w:rPr>
          <w:rFonts w:ascii="Arial" w:hAnsi="Arial" w:cs="Arial"/>
        </w:rPr>
        <w:t xml:space="preserve">). </w:t>
      </w:r>
      <w:r w:rsidRPr="00820BDF">
        <w:rPr>
          <w:rFonts w:ascii="Arial" w:hAnsi="Arial" w:cs="Arial"/>
        </w:rPr>
        <w:t xml:space="preserve">Antioxidant activity, </w:t>
      </w:r>
      <w:proofErr w:type="spellStart"/>
      <w:r w:rsidRPr="00820BDF">
        <w:rPr>
          <w:rFonts w:ascii="Arial" w:hAnsi="Arial" w:cs="Arial"/>
        </w:rPr>
        <w:t>physico</w:t>
      </w:r>
      <w:proofErr w:type="spellEnd"/>
      <w:r w:rsidRPr="00820BDF">
        <w:rPr>
          <w:rFonts w:ascii="Arial" w:hAnsi="Arial" w:cs="Arial"/>
        </w:rPr>
        <w:t>-chemical and fatty acid composition of oleaster (</w:t>
      </w:r>
      <w:r w:rsidRPr="00CD5C26">
        <w:rPr>
          <w:rFonts w:ascii="Arial" w:hAnsi="Arial" w:cs="Arial"/>
          <w:i/>
        </w:rPr>
        <w:t>Elaeagnus angustifolia</w:t>
      </w:r>
      <w:r w:rsidRPr="00820BDF">
        <w:rPr>
          <w:rFonts w:ascii="Arial" w:hAnsi="Arial" w:cs="Arial"/>
        </w:rPr>
        <w:t xml:space="preserve"> L.) varieties naturally grown in the western Mediterranean region of Turkey. </w:t>
      </w:r>
      <w:r w:rsidRPr="00285A0D">
        <w:rPr>
          <w:rFonts w:ascii="Arial" w:hAnsi="Arial" w:cs="Arial"/>
        </w:rPr>
        <w:t>Academic Food Journal</w:t>
      </w:r>
      <w:r w:rsidRPr="00820BDF">
        <w:rPr>
          <w:rFonts w:ascii="Arial" w:hAnsi="Arial" w:cs="Arial"/>
        </w:rPr>
        <w:t xml:space="preserve">, 20, 329–335. </w:t>
      </w:r>
      <w:hyperlink r:id="rId47" w:history="1">
        <w:r w:rsidRPr="002C53EB">
          <w:rPr>
            <w:rStyle w:val="Hyperlink"/>
            <w:rFonts w:ascii="Arial" w:hAnsi="Arial" w:cs="Arial"/>
          </w:rPr>
          <w:t>https://doi.org/10.24323/akademik-gida.1224295</w:t>
        </w:r>
      </w:hyperlink>
      <w:r>
        <w:rPr>
          <w:rFonts w:ascii="Arial" w:hAnsi="Arial" w:cs="Arial"/>
        </w:rPr>
        <w:t xml:space="preserve"> </w:t>
      </w:r>
    </w:p>
    <w:p w14:paraId="6D0CADDD"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Farzaei</w:t>
      </w:r>
      <w:proofErr w:type="spellEnd"/>
      <w:r w:rsidRPr="00820BDF">
        <w:rPr>
          <w:rFonts w:ascii="Arial" w:hAnsi="Arial" w:cs="Arial"/>
        </w:rPr>
        <w:t>, M.</w:t>
      </w:r>
      <w:r>
        <w:rPr>
          <w:rFonts w:ascii="Arial" w:hAnsi="Arial" w:cs="Arial"/>
        </w:rPr>
        <w:t xml:space="preserve"> </w:t>
      </w:r>
      <w:r w:rsidRPr="00820BDF">
        <w:rPr>
          <w:rFonts w:ascii="Arial" w:hAnsi="Arial" w:cs="Arial"/>
        </w:rPr>
        <w:t>H.</w:t>
      </w:r>
      <w:r>
        <w:rPr>
          <w:rFonts w:ascii="Arial" w:hAnsi="Arial" w:cs="Arial"/>
        </w:rPr>
        <w:t>,</w:t>
      </w:r>
      <w:r w:rsidRPr="00820BDF">
        <w:rPr>
          <w:rFonts w:ascii="Arial" w:hAnsi="Arial" w:cs="Arial"/>
        </w:rPr>
        <w:t xml:space="preserve"> </w:t>
      </w:r>
      <w:proofErr w:type="spellStart"/>
      <w:r w:rsidRPr="00820BDF">
        <w:rPr>
          <w:rFonts w:ascii="Arial" w:hAnsi="Arial" w:cs="Arial"/>
        </w:rPr>
        <w:t>Bahramsoltani</w:t>
      </w:r>
      <w:proofErr w:type="spellEnd"/>
      <w:r w:rsidRPr="00820BDF">
        <w:rPr>
          <w:rFonts w:ascii="Arial" w:hAnsi="Arial" w:cs="Arial"/>
        </w:rPr>
        <w:t>, R.</w:t>
      </w:r>
      <w:r>
        <w:rPr>
          <w:rFonts w:ascii="Arial" w:hAnsi="Arial" w:cs="Arial"/>
        </w:rPr>
        <w:t>,</w:t>
      </w:r>
      <w:r w:rsidRPr="00820BDF">
        <w:rPr>
          <w:rFonts w:ascii="Arial" w:hAnsi="Arial" w:cs="Arial"/>
        </w:rPr>
        <w:t xml:space="preserve"> </w:t>
      </w:r>
      <w:proofErr w:type="spellStart"/>
      <w:r w:rsidRPr="00820BDF">
        <w:rPr>
          <w:rFonts w:ascii="Arial" w:hAnsi="Arial" w:cs="Arial"/>
        </w:rPr>
        <w:t>Abbasabadi</w:t>
      </w:r>
      <w:proofErr w:type="spellEnd"/>
      <w:r w:rsidRPr="00820BDF">
        <w:rPr>
          <w:rFonts w:ascii="Arial" w:hAnsi="Arial" w:cs="Arial"/>
        </w:rPr>
        <w:t>, Z.</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Rahimi, R. </w:t>
      </w:r>
      <w:r>
        <w:rPr>
          <w:rFonts w:ascii="Arial" w:hAnsi="Arial" w:cs="Arial"/>
        </w:rPr>
        <w:t>(</w:t>
      </w:r>
      <w:r w:rsidRPr="00820BDF">
        <w:rPr>
          <w:rFonts w:ascii="Arial" w:hAnsi="Arial" w:cs="Arial"/>
        </w:rPr>
        <w:t>2015</w:t>
      </w:r>
      <w:r>
        <w:rPr>
          <w:rFonts w:ascii="Arial" w:hAnsi="Arial" w:cs="Arial"/>
        </w:rPr>
        <w:t xml:space="preserve">). </w:t>
      </w:r>
      <w:r w:rsidRPr="00820BDF">
        <w:rPr>
          <w:rFonts w:ascii="Arial" w:hAnsi="Arial" w:cs="Arial"/>
        </w:rPr>
        <w:t xml:space="preserve">Phytochemical and pharmacological aspects of </w:t>
      </w:r>
      <w:r>
        <w:rPr>
          <w:rFonts w:ascii="Arial" w:hAnsi="Arial" w:cs="Arial"/>
          <w:i/>
        </w:rPr>
        <w:t>Elaeagnus an</w:t>
      </w:r>
      <w:r w:rsidRPr="00012D37">
        <w:rPr>
          <w:rFonts w:ascii="Arial" w:hAnsi="Arial" w:cs="Arial"/>
          <w:i/>
        </w:rPr>
        <w:t>gustifolia</w:t>
      </w:r>
      <w:r w:rsidRPr="00820BDF">
        <w:rPr>
          <w:rFonts w:ascii="Arial" w:hAnsi="Arial" w:cs="Arial"/>
        </w:rPr>
        <w:t xml:space="preserve"> L. </w:t>
      </w:r>
      <w:r w:rsidRPr="00984F99">
        <w:rPr>
          <w:rFonts w:ascii="Arial" w:hAnsi="Arial" w:cs="Arial"/>
        </w:rPr>
        <w:t>Journal of Pharmacology</w:t>
      </w:r>
      <w:r>
        <w:rPr>
          <w:rFonts w:ascii="Arial" w:hAnsi="Arial" w:cs="Arial"/>
        </w:rPr>
        <w:t>,</w:t>
      </w:r>
      <w:r w:rsidRPr="00820BDF">
        <w:rPr>
          <w:rFonts w:ascii="Arial" w:hAnsi="Arial" w:cs="Arial"/>
        </w:rPr>
        <w:t xml:space="preserve"> 67, 1467–1480. </w:t>
      </w:r>
      <w:hyperlink r:id="rId48" w:history="1">
        <w:r w:rsidRPr="002C53EB">
          <w:rPr>
            <w:rStyle w:val="Hyperlink"/>
            <w:rFonts w:ascii="Arial" w:hAnsi="Arial" w:cs="Arial"/>
          </w:rPr>
          <w:t>https://doi.org/10.1111/jphp.12442</w:t>
        </w:r>
      </w:hyperlink>
      <w:r>
        <w:rPr>
          <w:rFonts w:ascii="Arial" w:hAnsi="Arial" w:cs="Arial"/>
        </w:rPr>
        <w:t xml:space="preserve"> </w:t>
      </w:r>
    </w:p>
    <w:p w14:paraId="1A76EFB3"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Fu, Y.</w:t>
      </w:r>
      <w:r>
        <w:rPr>
          <w:rFonts w:ascii="Arial" w:hAnsi="Arial" w:cs="Arial"/>
        </w:rPr>
        <w:t>,</w:t>
      </w:r>
      <w:r w:rsidRPr="00820BDF">
        <w:rPr>
          <w:rFonts w:ascii="Arial" w:hAnsi="Arial" w:cs="Arial"/>
        </w:rPr>
        <w:t xml:space="preserve"> Ruan, J.</w:t>
      </w:r>
      <w:r>
        <w:rPr>
          <w:rFonts w:ascii="Arial" w:hAnsi="Arial" w:cs="Arial"/>
        </w:rPr>
        <w:t>,</w:t>
      </w:r>
      <w:r w:rsidRPr="00820BDF">
        <w:rPr>
          <w:rFonts w:ascii="Arial" w:hAnsi="Arial" w:cs="Arial"/>
        </w:rPr>
        <w:t xml:space="preserve"> Zhang, P.</w:t>
      </w:r>
      <w:r>
        <w:rPr>
          <w:rFonts w:ascii="Arial" w:hAnsi="Arial" w:cs="Arial"/>
        </w:rPr>
        <w:t>,</w:t>
      </w:r>
      <w:r w:rsidRPr="00820BDF">
        <w:rPr>
          <w:rFonts w:ascii="Arial" w:hAnsi="Arial" w:cs="Arial"/>
        </w:rPr>
        <w:t xml:space="preserve"> Zhang, W.</w:t>
      </w:r>
      <w:r>
        <w:rPr>
          <w:rFonts w:ascii="Arial" w:hAnsi="Arial" w:cs="Arial"/>
        </w:rPr>
        <w:t>,</w:t>
      </w:r>
      <w:r w:rsidRPr="00820BDF">
        <w:rPr>
          <w:rFonts w:ascii="Arial" w:hAnsi="Arial" w:cs="Arial"/>
        </w:rPr>
        <w:t xml:space="preserve"> Yang, D.</w:t>
      </w:r>
      <w:r>
        <w:rPr>
          <w:rFonts w:ascii="Arial" w:hAnsi="Arial" w:cs="Arial"/>
        </w:rPr>
        <w:t>,</w:t>
      </w:r>
      <w:r w:rsidRPr="00820BDF">
        <w:rPr>
          <w:rFonts w:ascii="Arial" w:hAnsi="Arial" w:cs="Arial"/>
        </w:rPr>
        <w:t xml:space="preserve"> Zhang, Y.</w:t>
      </w:r>
      <w:r>
        <w:rPr>
          <w:rFonts w:ascii="Arial" w:hAnsi="Arial" w:cs="Arial"/>
        </w:rPr>
        <w:t>,</w:t>
      </w:r>
      <w:r w:rsidRPr="00820BDF">
        <w:rPr>
          <w:rFonts w:ascii="Arial" w:hAnsi="Arial" w:cs="Arial"/>
        </w:rPr>
        <w:t xml:space="preserve"> </w:t>
      </w:r>
      <w:r>
        <w:rPr>
          <w:rFonts w:ascii="Arial" w:hAnsi="Arial" w:cs="Arial"/>
        </w:rPr>
        <w:t>et al.</w:t>
      </w:r>
      <w:r w:rsidRPr="00820BDF">
        <w:rPr>
          <w:rFonts w:ascii="Arial" w:hAnsi="Arial" w:cs="Arial"/>
        </w:rPr>
        <w:t xml:space="preserve"> </w:t>
      </w:r>
      <w:r>
        <w:rPr>
          <w:rFonts w:ascii="Arial" w:hAnsi="Arial" w:cs="Arial"/>
        </w:rPr>
        <w:t>(</w:t>
      </w:r>
      <w:r w:rsidRPr="00820BDF">
        <w:rPr>
          <w:rFonts w:ascii="Arial" w:hAnsi="Arial" w:cs="Arial"/>
        </w:rPr>
        <w:t>2025</w:t>
      </w:r>
      <w:r>
        <w:rPr>
          <w:rFonts w:ascii="Arial" w:hAnsi="Arial" w:cs="Arial"/>
        </w:rPr>
        <w:t xml:space="preserve">). </w:t>
      </w:r>
      <w:r w:rsidRPr="00820BDF">
        <w:rPr>
          <w:rFonts w:ascii="Arial" w:hAnsi="Arial" w:cs="Arial"/>
        </w:rPr>
        <w:t xml:space="preserve">The bioactive constituents from the fruits of </w:t>
      </w:r>
      <w:r w:rsidRPr="00C17E15">
        <w:rPr>
          <w:rFonts w:ascii="Arial" w:hAnsi="Arial" w:cs="Arial"/>
          <w:i/>
        </w:rPr>
        <w:t>Elaeagnus angustifolia</w:t>
      </w:r>
      <w:r w:rsidRPr="00820BDF">
        <w:rPr>
          <w:rFonts w:ascii="Arial" w:hAnsi="Arial" w:cs="Arial"/>
        </w:rPr>
        <w:t xml:space="preserve"> L. Phytochemistry, 230, 114334. </w:t>
      </w:r>
      <w:hyperlink r:id="rId49" w:history="1">
        <w:r w:rsidRPr="002C53EB">
          <w:rPr>
            <w:rStyle w:val="Hyperlink"/>
            <w:rFonts w:ascii="Arial" w:hAnsi="Arial" w:cs="Arial"/>
          </w:rPr>
          <w:t>https://doi.org/10.1016/j.phytochem.2024.114334</w:t>
        </w:r>
      </w:hyperlink>
      <w:r>
        <w:rPr>
          <w:rFonts w:ascii="Arial" w:hAnsi="Arial" w:cs="Arial"/>
        </w:rPr>
        <w:t xml:space="preserve"> </w:t>
      </w:r>
    </w:p>
    <w:p w14:paraId="5FD6559B"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Ghandahari</w:t>
      </w:r>
      <w:proofErr w:type="spellEnd"/>
      <w:r w:rsidRPr="00820BDF">
        <w:rPr>
          <w:rFonts w:ascii="Arial" w:hAnsi="Arial" w:cs="Arial"/>
        </w:rPr>
        <w:t xml:space="preserve"> </w:t>
      </w:r>
      <w:proofErr w:type="spellStart"/>
      <w:r>
        <w:rPr>
          <w:rFonts w:ascii="Arial" w:hAnsi="Arial" w:cs="Arial"/>
        </w:rPr>
        <w:t>Yazdi</w:t>
      </w:r>
      <w:proofErr w:type="spellEnd"/>
      <w:r>
        <w:rPr>
          <w:rFonts w:ascii="Arial" w:hAnsi="Arial" w:cs="Arial"/>
        </w:rPr>
        <w:t xml:space="preserve">, A. </w:t>
      </w:r>
      <w:r w:rsidRPr="00820BDF">
        <w:rPr>
          <w:rFonts w:ascii="Arial" w:hAnsi="Arial" w:cs="Arial"/>
        </w:rPr>
        <w:t>P.</w:t>
      </w:r>
      <w:r>
        <w:rPr>
          <w:rFonts w:ascii="Arial" w:hAnsi="Arial" w:cs="Arial"/>
        </w:rPr>
        <w:t>,</w:t>
      </w:r>
      <w:r w:rsidRPr="00820BDF">
        <w:rPr>
          <w:rFonts w:ascii="Arial" w:hAnsi="Arial" w:cs="Arial"/>
        </w:rPr>
        <w:t xml:space="preserve"> Barzegar, M.</w:t>
      </w:r>
      <w:r>
        <w:rPr>
          <w:rFonts w:ascii="Arial" w:hAnsi="Arial" w:cs="Arial"/>
        </w:rPr>
        <w:t>,</w:t>
      </w:r>
      <w:r w:rsidRPr="00820BDF">
        <w:rPr>
          <w:rFonts w:ascii="Arial" w:hAnsi="Arial" w:cs="Arial"/>
        </w:rPr>
        <w:t xml:space="preserve"> Sa</w:t>
      </w:r>
      <w:r>
        <w:rPr>
          <w:rFonts w:ascii="Arial" w:hAnsi="Arial" w:cs="Arial"/>
        </w:rPr>
        <w:t xml:space="preserve">hari, M. </w:t>
      </w:r>
      <w:r w:rsidRPr="00820BDF">
        <w:rPr>
          <w:rFonts w:ascii="Arial" w:hAnsi="Arial" w:cs="Arial"/>
        </w:rPr>
        <w:t>A.</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Ahmadi Gavlighi, H. </w:t>
      </w:r>
      <w:r>
        <w:rPr>
          <w:rFonts w:ascii="Arial" w:hAnsi="Arial" w:cs="Arial"/>
        </w:rPr>
        <w:t>(</w:t>
      </w:r>
      <w:r w:rsidRPr="00820BDF">
        <w:rPr>
          <w:rFonts w:ascii="Arial" w:hAnsi="Arial" w:cs="Arial"/>
        </w:rPr>
        <w:t>2019</w:t>
      </w:r>
      <w:r>
        <w:rPr>
          <w:rFonts w:ascii="Arial" w:hAnsi="Arial" w:cs="Arial"/>
        </w:rPr>
        <w:t xml:space="preserve">). </w:t>
      </w:r>
      <w:r w:rsidRPr="00820BDF">
        <w:rPr>
          <w:rFonts w:ascii="Arial" w:hAnsi="Arial" w:cs="Arial"/>
        </w:rPr>
        <w:t xml:space="preserve">Optimization of the enzyme-assisted aqueous ex-traction of phenolic compounds from pistachio green hull. </w:t>
      </w:r>
      <w:r w:rsidRPr="00110E4A">
        <w:rPr>
          <w:rFonts w:ascii="Arial" w:hAnsi="Arial" w:cs="Arial"/>
        </w:rPr>
        <w:t>Food Sciences and Nutrition</w:t>
      </w:r>
      <w:r w:rsidRPr="00820BDF">
        <w:rPr>
          <w:rFonts w:ascii="Arial" w:hAnsi="Arial" w:cs="Arial"/>
        </w:rPr>
        <w:t xml:space="preserve">, 7, 356–366. </w:t>
      </w:r>
      <w:hyperlink r:id="rId50" w:history="1">
        <w:r w:rsidRPr="002C53EB">
          <w:rPr>
            <w:rStyle w:val="Hyperlink"/>
            <w:rFonts w:ascii="Arial" w:hAnsi="Arial" w:cs="Arial"/>
          </w:rPr>
          <w:t>https://doi.org/10.1002/fsn3.900</w:t>
        </w:r>
      </w:hyperlink>
      <w:r>
        <w:rPr>
          <w:rFonts w:ascii="Arial" w:hAnsi="Arial" w:cs="Arial"/>
        </w:rPr>
        <w:t xml:space="preserve"> </w:t>
      </w:r>
    </w:p>
    <w:p w14:paraId="3C9F0243" w14:textId="77777777" w:rsidR="00C046CA" w:rsidRPr="00C8019F" w:rsidRDefault="00C046CA" w:rsidP="00C046CA">
      <w:pPr>
        <w:pStyle w:val="Body"/>
        <w:spacing w:after="120"/>
        <w:ind w:left="720" w:hanging="720"/>
        <w:rPr>
          <w:rFonts w:ascii="Arial" w:hAnsi="Arial" w:cs="Arial"/>
        </w:rPr>
      </w:pPr>
      <w:r>
        <w:rPr>
          <w:rFonts w:ascii="Arial" w:hAnsi="Arial" w:cs="Arial"/>
        </w:rPr>
        <w:t>Guideline, IH</w:t>
      </w:r>
      <w:r w:rsidRPr="00C8019F">
        <w:rPr>
          <w:rFonts w:ascii="Arial" w:hAnsi="Arial" w:cs="Arial"/>
        </w:rPr>
        <w:t xml:space="preserve">T. (2022). </w:t>
      </w:r>
      <w:r w:rsidRPr="00C8019F">
        <w:rPr>
          <w:rFonts w:ascii="Arial" w:hAnsi="Arial" w:cs="Arial"/>
          <w:i/>
          <w:iCs/>
        </w:rPr>
        <w:t>Validation of analytical procedures Q2 (R2).</w:t>
      </w:r>
      <w:r w:rsidRPr="00C8019F">
        <w:rPr>
          <w:rFonts w:ascii="Arial" w:hAnsi="Arial" w:cs="Arial"/>
        </w:rPr>
        <w:t xml:space="preserve"> ICH: Geneva, Switzerland, 1. </w:t>
      </w:r>
      <w:hyperlink r:id="rId51" w:tgtFrame="_new" w:history="1">
        <w:r w:rsidRPr="00C8019F">
          <w:rPr>
            <w:rStyle w:val="Hyperlink"/>
            <w:rFonts w:ascii="Arial" w:hAnsi="Arial" w:cs="Arial"/>
          </w:rPr>
          <w:t>https://www.ich.org/page/quality-guidelines</w:t>
        </w:r>
      </w:hyperlink>
      <w:r w:rsidRPr="00C8019F">
        <w:rPr>
          <w:rFonts w:ascii="Arial" w:hAnsi="Arial" w:cs="Arial"/>
        </w:rPr>
        <w:t>).</w:t>
      </w:r>
    </w:p>
    <w:p w14:paraId="3B268DD8" w14:textId="77777777" w:rsidR="00C046CA" w:rsidRDefault="00C046CA" w:rsidP="00C046CA">
      <w:pPr>
        <w:pStyle w:val="Body"/>
        <w:spacing w:after="120"/>
        <w:ind w:left="720" w:hanging="720"/>
        <w:rPr>
          <w:rFonts w:ascii="Arial" w:hAnsi="Arial" w:cs="Arial"/>
        </w:rPr>
      </w:pPr>
      <w:proofErr w:type="spellStart"/>
      <w:r w:rsidRPr="00820BDF">
        <w:rPr>
          <w:rFonts w:ascii="Arial" w:hAnsi="Arial" w:cs="Arial"/>
        </w:rPr>
        <w:t>Hadidi</w:t>
      </w:r>
      <w:proofErr w:type="spellEnd"/>
      <w:r w:rsidRPr="00820BDF">
        <w:rPr>
          <w:rFonts w:ascii="Arial" w:hAnsi="Arial" w:cs="Arial"/>
        </w:rPr>
        <w:t>, M.</w:t>
      </w:r>
      <w:r>
        <w:rPr>
          <w:rFonts w:ascii="Arial" w:hAnsi="Arial" w:cs="Arial"/>
        </w:rPr>
        <w:t>,</w:t>
      </w:r>
      <w:r w:rsidRPr="00820BDF">
        <w:rPr>
          <w:rFonts w:ascii="Arial" w:hAnsi="Arial" w:cs="Arial"/>
        </w:rPr>
        <w:t xml:space="preserve"> </w:t>
      </w:r>
      <w:proofErr w:type="spellStart"/>
      <w:r w:rsidRPr="00820BDF">
        <w:rPr>
          <w:rFonts w:ascii="Arial" w:hAnsi="Arial" w:cs="Arial"/>
        </w:rPr>
        <w:t>Liñán-Atero</w:t>
      </w:r>
      <w:proofErr w:type="spellEnd"/>
      <w:r w:rsidRPr="00820BDF">
        <w:rPr>
          <w:rFonts w:ascii="Arial" w:hAnsi="Arial" w:cs="Arial"/>
        </w:rPr>
        <w:t>, R.</w:t>
      </w:r>
      <w:r>
        <w:rPr>
          <w:rFonts w:ascii="Arial" w:hAnsi="Arial" w:cs="Arial"/>
        </w:rPr>
        <w:t>,</w:t>
      </w:r>
      <w:r w:rsidRPr="00820BDF">
        <w:rPr>
          <w:rFonts w:ascii="Arial" w:hAnsi="Arial" w:cs="Arial"/>
        </w:rPr>
        <w:t xml:space="preserve"> Tarahi, M.</w:t>
      </w:r>
      <w:r>
        <w:rPr>
          <w:rFonts w:ascii="Arial" w:hAnsi="Arial" w:cs="Arial"/>
        </w:rPr>
        <w:t>,</w:t>
      </w:r>
      <w:r w:rsidRPr="00820BDF">
        <w:rPr>
          <w:rFonts w:ascii="Arial" w:hAnsi="Arial" w:cs="Arial"/>
        </w:rPr>
        <w:t xml:space="preserve"> Christodoulou, M.</w:t>
      </w:r>
      <w:r>
        <w:rPr>
          <w:rFonts w:ascii="Arial" w:hAnsi="Arial" w:cs="Arial"/>
        </w:rPr>
        <w:t xml:space="preserve"> </w:t>
      </w:r>
      <w:r w:rsidRPr="00820BDF">
        <w:rPr>
          <w:rFonts w:ascii="Arial" w:hAnsi="Arial" w:cs="Arial"/>
        </w:rPr>
        <w:t>C.</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proofErr w:type="spellStart"/>
      <w:r w:rsidRPr="00820BDF">
        <w:rPr>
          <w:rFonts w:ascii="Arial" w:hAnsi="Arial" w:cs="Arial"/>
        </w:rPr>
        <w:t>Aghababaei</w:t>
      </w:r>
      <w:proofErr w:type="spellEnd"/>
      <w:r w:rsidRPr="00820BDF">
        <w:rPr>
          <w:rFonts w:ascii="Arial" w:hAnsi="Arial" w:cs="Arial"/>
        </w:rPr>
        <w:t xml:space="preserve">, F. </w:t>
      </w:r>
      <w:r>
        <w:rPr>
          <w:rFonts w:ascii="Arial" w:hAnsi="Arial" w:cs="Arial"/>
        </w:rPr>
        <w:t>(</w:t>
      </w:r>
      <w:r w:rsidRPr="00820BDF">
        <w:rPr>
          <w:rFonts w:ascii="Arial" w:hAnsi="Arial" w:cs="Arial"/>
        </w:rPr>
        <w:t>2024</w:t>
      </w:r>
      <w:r>
        <w:rPr>
          <w:rFonts w:ascii="Arial" w:hAnsi="Arial" w:cs="Arial"/>
        </w:rPr>
        <w:t xml:space="preserve">). </w:t>
      </w:r>
      <w:r w:rsidRPr="00820BDF">
        <w:rPr>
          <w:rFonts w:ascii="Arial" w:hAnsi="Arial" w:cs="Arial"/>
        </w:rPr>
        <w:t xml:space="preserve">The Potential Health Benefits of Gallic Acid: Therapeutic and Food Applications. Antioxidants, 13, 1001. </w:t>
      </w:r>
      <w:hyperlink r:id="rId52" w:history="1">
        <w:r w:rsidRPr="002C53EB">
          <w:rPr>
            <w:rStyle w:val="Hyperlink"/>
            <w:rFonts w:ascii="Arial" w:hAnsi="Arial" w:cs="Arial"/>
          </w:rPr>
          <w:t>https://doi.org/10.3390/antiox13081001</w:t>
        </w:r>
      </w:hyperlink>
      <w:r>
        <w:rPr>
          <w:rFonts w:ascii="Arial" w:hAnsi="Arial" w:cs="Arial"/>
        </w:rPr>
        <w:t xml:space="preserve"> </w:t>
      </w:r>
    </w:p>
    <w:p w14:paraId="511C7893" w14:textId="77777777" w:rsidR="00C046CA" w:rsidRDefault="00C046CA" w:rsidP="00C046CA">
      <w:pPr>
        <w:pStyle w:val="Body"/>
        <w:spacing w:after="120"/>
        <w:ind w:left="720" w:hanging="720"/>
        <w:rPr>
          <w:rFonts w:ascii="Arial" w:hAnsi="Arial" w:cs="Arial"/>
        </w:rPr>
      </w:pPr>
      <w:r w:rsidRPr="00820BDF">
        <w:rPr>
          <w:rFonts w:ascii="Arial" w:hAnsi="Arial" w:cs="Arial"/>
        </w:rPr>
        <w:t>Hämäläinen, M.</w:t>
      </w:r>
      <w:r>
        <w:rPr>
          <w:rFonts w:ascii="Arial" w:hAnsi="Arial" w:cs="Arial"/>
        </w:rPr>
        <w:t>,</w:t>
      </w:r>
      <w:r w:rsidRPr="00820BDF">
        <w:rPr>
          <w:rFonts w:ascii="Arial" w:hAnsi="Arial" w:cs="Arial"/>
        </w:rPr>
        <w:t xml:space="preserve"> Nieminen, R.</w:t>
      </w:r>
      <w:r>
        <w:rPr>
          <w:rFonts w:ascii="Arial" w:hAnsi="Arial" w:cs="Arial"/>
        </w:rPr>
        <w:t>,</w:t>
      </w:r>
      <w:r w:rsidRPr="00820BDF">
        <w:rPr>
          <w:rFonts w:ascii="Arial" w:hAnsi="Arial" w:cs="Arial"/>
        </w:rPr>
        <w:t xml:space="preserve"> Vuorela, P.</w:t>
      </w:r>
      <w:r>
        <w:rPr>
          <w:rFonts w:ascii="Arial" w:hAnsi="Arial" w:cs="Arial"/>
        </w:rPr>
        <w:t>,</w:t>
      </w:r>
      <w:r w:rsidRPr="00820BDF">
        <w:rPr>
          <w:rFonts w:ascii="Arial" w:hAnsi="Arial" w:cs="Arial"/>
        </w:rPr>
        <w:t xml:space="preserve"> Heinonen, M.</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Moilanen, E. </w:t>
      </w:r>
      <w:r>
        <w:rPr>
          <w:rFonts w:ascii="Arial" w:hAnsi="Arial" w:cs="Arial"/>
        </w:rPr>
        <w:t>(</w:t>
      </w:r>
      <w:r w:rsidRPr="00820BDF">
        <w:rPr>
          <w:rFonts w:ascii="Arial" w:hAnsi="Arial" w:cs="Arial"/>
        </w:rPr>
        <w:t>2007</w:t>
      </w:r>
      <w:r>
        <w:rPr>
          <w:rFonts w:ascii="Arial" w:hAnsi="Arial" w:cs="Arial"/>
        </w:rPr>
        <w:t xml:space="preserve">). </w:t>
      </w:r>
      <w:r w:rsidRPr="00820BDF">
        <w:rPr>
          <w:rFonts w:ascii="Arial" w:hAnsi="Arial" w:cs="Arial"/>
        </w:rPr>
        <w:t xml:space="preserve">Anti-inflammatory effects of flavonoids. </w:t>
      </w:r>
      <w:r w:rsidRPr="00BC7F04">
        <w:rPr>
          <w:rFonts w:ascii="Arial" w:hAnsi="Arial" w:cs="Arial"/>
        </w:rPr>
        <w:t>Mediators of Inflammation</w:t>
      </w:r>
      <w:r w:rsidRPr="00820BDF">
        <w:rPr>
          <w:rFonts w:ascii="Arial" w:hAnsi="Arial" w:cs="Arial"/>
        </w:rPr>
        <w:t xml:space="preserve">, 45673. </w:t>
      </w:r>
      <w:hyperlink r:id="rId53" w:history="1">
        <w:r w:rsidRPr="002C53EB">
          <w:rPr>
            <w:rStyle w:val="Hyperlink"/>
            <w:rFonts w:ascii="Arial" w:hAnsi="Arial" w:cs="Arial"/>
          </w:rPr>
          <w:t>https://doi.org/10.1155/2007/45673</w:t>
        </w:r>
      </w:hyperlink>
      <w:r>
        <w:rPr>
          <w:rFonts w:ascii="Arial" w:hAnsi="Arial" w:cs="Arial"/>
        </w:rPr>
        <w:t xml:space="preserve"> </w:t>
      </w:r>
    </w:p>
    <w:p w14:paraId="4C4A88D3" w14:textId="77777777" w:rsidR="00C046CA" w:rsidRDefault="00C046CA" w:rsidP="00C046CA">
      <w:pPr>
        <w:pStyle w:val="Body"/>
        <w:spacing w:after="120"/>
        <w:ind w:left="720" w:hanging="720"/>
        <w:rPr>
          <w:rFonts w:ascii="Arial" w:hAnsi="Arial" w:cs="Arial"/>
          <w:color w:val="222222"/>
          <w:shd w:val="clear" w:color="auto" w:fill="FFFFFF"/>
        </w:rPr>
      </w:pPr>
      <w:r>
        <w:rPr>
          <w:rFonts w:ascii="Arial" w:hAnsi="Arial" w:cs="Arial"/>
          <w:color w:val="222222"/>
          <w:shd w:val="clear" w:color="auto" w:fill="FFFFFF"/>
        </w:rPr>
        <w:t xml:space="preserve">Hameed, H., Aydin, S., &amp; Başaran, N. (2016). </w:t>
      </w:r>
      <w:proofErr w:type="spellStart"/>
      <w:r>
        <w:rPr>
          <w:rFonts w:ascii="Arial" w:hAnsi="Arial" w:cs="Arial"/>
          <w:color w:val="222222"/>
          <w:shd w:val="clear" w:color="auto" w:fill="FFFFFF"/>
        </w:rPr>
        <w:t>Sinapic</w:t>
      </w:r>
      <w:proofErr w:type="spellEnd"/>
      <w:r>
        <w:rPr>
          <w:rFonts w:ascii="Arial" w:hAnsi="Arial" w:cs="Arial"/>
          <w:color w:val="222222"/>
          <w:shd w:val="clear" w:color="auto" w:fill="FFFFFF"/>
        </w:rPr>
        <w:t xml:space="preserve"> acid: is it safe for humans. </w:t>
      </w:r>
      <w:r w:rsidRPr="00745772">
        <w:rPr>
          <w:rFonts w:ascii="Arial" w:hAnsi="Arial" w:cs="Arial"/>
          <w:iCs/>
          <w:color w:val="222222"/>
          <w:shd w:val="clear" w:color="auto" w:fill="FFFFFF"/>
        </w:rPr>
        <w:t xml:space="preserve">Fabad </w:t>
      </w:r>
      <w:r w:rsidRPr="009D1708">
        <w:rPr>
          <w:rFonts w:ascii="Arial" w:hAnsi="Arial" w:cs="Arial"/>
          <w:iCs/>
          <w:color w:val="222222"/>
          <w:shd w:val="clear" w:color="auto" w:fill="FFFFFF"/>
        </w:rPr>
        <w:t>Journal of Pharmaceutical Sciences</w:t>
      </w:r>
      <w:r w:rsidRPr="00745772">
        <w:rPr>
          <w:rFonts w:ascii="Arial" w:hAnsi="Arial" w:cs="Arial"/>
          <w:color w:val="222222"/>
          <w:shd w:val="clear" w:color="auto" w:fill="FFFFFF"/>
        </w:rPr>
        <w:t>, </w:t>
      </w:r>
      <w:r w:rsidRPr="00745772">
        <w:rPr>
          <w:rFonts w:ascii="Arial" w:hAnsi="Arial" w:cs="Arial"/>
          <w:iCs/>
          <w:color w:val="222222"/>
          <w:shd w:val="clear" w:color="auto" w:fill="FFFFFF"/>
        </w:rPr>
        <w:t>41</w:t>
      </w:r>
      <w:r w:rsidRPr="00745772">
        <w:rPr>
          <w:rFonts w:ascii="Arial" w:hAnsi="Arial" w:cs="Arial"/>
          <w:color w:val="222222"/>
          <w:shd w:val="clear" w:color="auto" w:fill="FFFFFF"/>
        </w:rPr>
        <w:t>(1),</w:t>
      </w:r>
      <w:r>
        <w:rPr>
          <w:rFonts w:ascii="Arial" w:hAnsi="Arial" w:cs="Arial"/>
          <w:color w:val="222222"/>
          <w:shd w:val="clear" w:color="auto" w:fill="FFFFFF"/>
        </w:rPr>
        <w:t xml:space="preserve"> 39-49.</w:t>
      </w:r>
    </w:p>
    <w:p w14:paraId="626FF64B"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Hamidpour</w:t>
      </w:r>
      <w:proofErr w:type="spellEnd"/>
      <w:r w:rsidRPr="00820BDF">
        <w:rPr>
          <w:rFonts w:ascii="Arial" w:hAnsi="Arial" w:cs="Arial"/>
        </w:rPr>
        <w:t>, R.</w:t>
      </w:r>
      <w:r>
        <w:rPr>
          <w:rFonts w:ascii="Arial" w:hAnsi="Arial" w:cs="Arial"/>
        </w:rPr>
        <w:t>,</w:t>
      </w:r>
      <w:r w:rsidRPr="00820BDF">
        <w:rPr>
          <w:rFonts w:ascii="Arial" w:hAnsi="Arial" w:cs="Arial"/>
        </w:rPr>
        <w:t xml:space="preserve"> </w:t>
      </w:r>
      <w:proofErr w:type="spellStart"/>
      <w:r w:rsidRPr="00820BDF">
        <w:rPr>
          <w:rFonts w:ascii="Arial" w:hAnsi="Arial" w:cs="Arial"/>
        </w:rPr>
        <w:t>Hamidpour</w:t>
      </w:r>
      <w:proofErr w:type="spellEnd"/>
      <w:r w:rsidRPr="00820BDF">
        <w:rPr>
          <w:rFonts w:ascii="Arial" w:hAnsi="Arial" w:cs="Arial"/>
        </w:rPr>
        <w:t>, S.</w:t>
      </w:r>
      <w:r>
        <w:rPr>
          <w:rFonts w:ascii="Arial" w:hAnsi="Arial" w:cs="Arial"/>
        </w:rPr>
        <w:t>,</w:t>
      </w:r>
      <w:r w:rsidRPr="00820BDF">
        <w:rPr>
          <w:rFonts w:ascii="Arial" w:hAnsi="Arial" w:cs="Arial"/>
        </w:rPr>
        <w:t xml:space="preserve"> </w:t>
      </w:r>
      <w:proofErr w:type="spellStart"/>
      <w:r w:rsidRPr="00820BDF">
        <w:rPr>
          <w:rFonts w:ascii="Arial" w:hAnsi="Arial" w:cs="Arial"/>
        </w:rPr>
        <w:t>Hamidpour</w:t>
      </w:r>
      <w:proofErr w:type="spellEnd"/>
      <w:r w:rsidRPr="00820BDF">
        <w:rPr>
          <w:rFonts w:ascii="Arial" w:hAnsi="Arial" w:cs="Arial"/>
        </w:rPr>
        <w:t>, M.</w:t>
      </w:r>
      <w:r>
        <w:rPr>
          <w:rFonts w:ascii="Arial" w:hAnsi="Arial" w:cs="Arial"/>
        </w:rPr>
        <w:t>,</w:t>
      </w:r>
      <w:r w:rsidRPr="00820BDF">
        <w:rPr>
          <w:rFonts w:ascii="Arial" w:hAnsi="Arial" w:cs="Arial"/>
        </w:rPr>
        <w:t xml:space="preserve"> Shahlari, M.</w:t>
      </w:r>
      <w:r>
        <w:rPr>
          <w:rFonts w:ascii="Arial" w:hAnsi="Arial" w:cs="Arial"/>
        </w:rPr>
        <w:t>,</w:t>
      </w:r>
      <w:r w:rsidRPr="00820BDF">
        <w:rPr>
          <w:rFonts w:ascii="Arial" w:hAnsi="Arial" w:cs="Arial"/>
        </w:rPr>
        <w:t xml:space="preserve"> </w:t>
      </w:r>
      <w:proofErr w:type="spellStart"/>
      <w:r w:rsidRPr="00820BDF">
        <w:rPr>
          <w:rFonts w:ascii="Arial" w:hAnsi="Arial" w:cs="Arial"/>
        </w:rPr>
        <w:t>Sohraby</w:t>
      </w:r>
      <w:proofErr w:type="spellEnd"/>
      <w:r w:rsidRPr="00820BDF">
        <w:rPr>
          <w:rFonts w:ascii="Arial" w:hAnsi="Arial" w:cs="Arial"/>
        </w:rPr>
        <w:t>, M.</w:t>
      </w:r>
      <w:r>
        <w:rPr>
          <w:rFonts w:ascii="Arial" w:hAnsi="Arial" w:cs="Arial"/>
        </w:rPr>
        <w:t>,</w:t>
      </w:r>
      <w:r w:rsidRPr="00820BDF">
        <w:rPr>
          <w:rFonts w:ascii="Arial" w:hAnsi="Arial" w:cs="Arial"/>
        </w:rPr>
        <w:t xml:space="preserve"> Shahlari, N.</w:t>
      </w:r>
      <w:r>
        <w:rPr>
          <w:rFonts w:ascii="Arial" w:hAnsi="Arial" w:cs="Arial"/>
        </w:rPr>
        <w:t>, et al.</w:t>
      </w:r>
      <w:r w:rsidRPr="00820BDF">
        <w:rPr>
          <w:rFonts w:ascii="Arial" w:hAnsi="Arial" w:cs="Arial"/>
        </w:rPr>
        <w:t xml:space="preserve"> </w:t>
      </w:r>
      <w:r>
        <w:rPr>
          <w:rFonts w:ascii="Arial" w:hAnsi="Arial" w:cs="Arial"/>
        </w:rPr>
        <w:t>(</w:t>
      </w:r>
      <w:r w:rsidRPr="00820BDF">
        <w:rPr>
          <w:rFonts w:ascii="Arial" w:hAnsi="Arial" w:cs="Arial"/>
        </w:rPr>
        <w:t>2017</w:t>
      </w:r>
      <w:r>
        <w:rPr>
          <w:rFonts w:ascii="Arial" w:hAnsi="Arial" w:cs="Arial"/>
        </w:rPr>
        <w:t xml:space="preserve">). </w:t>
      </w:r>
      <w:r w:rsidRPr="00820BDF">
        <w:rPr>
          <w:rFonts w:ascii="Arial" w:hAnsi="Arial" w:cs="Arial"/>
        </w:rPr>
        <w:t>Russian olive (</w:t>
      </w:r>
      <w:r w:rsidRPr="00E9491C">
        <w:rPr>
          <w:rFonts w:ascii="Arial" w:hAnsi="Arial" w:cs="Arial"/>
          <w:i/>
        </w:rPr>
        <w:t>Elaeagnus angustifolia</w:t>
      </w:r>
      <w:r w:rsidRPr="00820BDF">
        <w:rPr>
          <w:rFonts w:ascii="Arial" w:hAnsi="Arial" w:cs="Arial"/>
        </w:rPr>
        <w:t xml:space="preserve"> L.): From a variety of traditional medicinal applications to its novel roles as active antioxidant, an-</w:t>
      </w:r>
      <w:proofErr w:type="spellStart"/>
      <w:r w:rsidRPr="00820BDF">
        <w:rPr>
          <w:rFonts w:ascii="Arial" w:hAnsi="Arial" w:cs="Arial"/>
        </w:rPr>
        <w:t>ti</w:t>
      </w:r>
      <w:proofErr w:type="spellEnd"/>
      <w:r w:rsidRPr="00820BDF">
        <w:rPr>
          <w:rFonts w:ascii="Arial" w:hAnsi="Arial" w:cs="Arial"/>
        </w:rPr>
        <w:t xml:space="preserve">-inflammatory, anti-mutagenic, and analgesic agent. </w:t>
      </w:r>
      <w:r w:rsidRPr="001B3B11">
        <w:rPr>
          <w:rFonts w:ascii="Arial" w:hAnsi="Arial" w:cs="Arial"/>
        </w:rPr>
        <w:t>Journal of Traditional and Complementary Medicine</w:t>
      </w:r>
      <w:r>
        <w:rPr>
          <w:rFonts w:ascii="Arial" w:hAnsi="Arial" w:cs="Arial"/>
        </w:rPr>
        <w:t xml:space="preserve">, </w:t>
      </w:r>
      <w:r w:rsidRPr="00820BDF">
        <w:rPr>
          <w:rFonts w:ascii="Arial" w:hAnsi="Arial" w:cs="Arial"/>
        </w:rPr>
        <w:t xml:space="preserve">7, 24–29. </w:t>
      </w:r>
      <w:hyperlink r:id="rId54" w:history="1">
        <w:r w:rsidRPr="002C53EB">
          <w:rPr>
            <w:rStyle w:val="Hyperlink"/>
            <w:rFonts w:ascii="Arial" w:hAnsi="Arial" w:cs="Arial"/>
          </w:rPr>
          <w:t>https://doi.org/10.1016/j.jtcme.2015.09.004</w:t>
        </w:r>
      </w:hyperlink>
      <w:r>
        <w:rPr>
          <w:rFonts w:ascii="Arial" w:hAnsi="Arial" w:cs="Arial"/>
        </w:rPr>
        <w:t xml:space="preserve"> </w:t>
      </w:r>
    </w:p>
    <w:p w14:paraId="7C488DCF" w14:textId="77777777" w:rsidR="00C046CA" w:rsidRDefault="00C046CA" w:rsidP="00C046CA">
      <w:pPr>
        <w:pStyle w:val="Body"/>
        <w:spacing w:after="120"/>
        <w:ind w:left="720" w:hanging="720"/>
        <w:rPr>
          <w:rFonts w:ascii="Arial" w:hAnsi="Arial" w:cs="Arial"/>
          <w:color w:val="222222"/>
          <w:shd w:val="clear" w:color="auto" w:fill="FFFFFF"/>
        </w:rPr>
      </w:pPr>
      <w:proofErr w:type="spellStart"/>
      <w:r>
        <w:rPr>
          <w:rFonts w:ascii="Arial" w:hAnsi="Arial" w:cs="Arial"/>
          <w:color w:val="222222"/>
          <w:shd w:val="clear" w:color="auto" w:fill="FFFFFF"/>
        </w:rPr>
        <w:t>Harwansh</w:t>
      </w:r>
      <w:proofErr w:type="spellEnd"/>
      <w:r>
        <w:rPr>
          <w:rFonts w:ascii="Arial" w:hAnsi="Arial" w:cs="Arial"/>
          <w:color w:val="222222"/>
          <w:shd w:val="clear" w:color="auto" w:fill="FFFFFF"/>
        </w:rPr>
        <w:t xml:space="preserve">, R. K., Deshmukh, R., Shukla, V. P., </w:t>
      </w:r>
      <w:proofErr w:type="spellStart"/>
      <w:r>
        <w:rPr>
          <w:rFonts w:ascii="Arial" w:hAnsi="Arial" w:cs="Arial"/>
          <w:color w:val="222222"/>
          <w:shd w:val="clear" w:color="auto" w:fill="FFFFFF"/>
        </w:rPr>
        <w:t>Khunt</w:t>
      </w:r>
      <w:proofErr w:type="spellEnd"/>
      <w:r>
        <w:rPr>
          <w:rFonts w:ascii="Arial" w:hAnsi="Arial" w:cs="Arial"/>
          <w:color w:val="222222"/>
          <w:shd w:val="clear" w:color="auto" w:fill="FFFFFF"/>
        </w:rPr>
        <w:t>, D., Prajapati, B. G., Rashid, S., et al. (2024). Recent advancements in gallic acid-based drug delivery: applications, clinical trials, and future directions. </w:t>
      </w:r>
      <w:r w:rsidRPr="001F6EF8">
        <w:rPr>
          <w:rFonts w:ascii="Arial" w:hAnsi="Arial" w:cs="Arial"/>
          <w:iCs/>
          <w:color w:val="222222"/>
          <w:shd w:val="clear" w:color="auto" w:fill="FFFFFF"/>
        </w:rPr>
        <w:t>Pharmaceutics</w:t>
      </w:r>
      <w:r>
        <w:rPr>
          <w:rFonts w:ascii="Arial" w:hAnsi="Arial" w:cs="Arial"/>
          <w:color w:val="222222"/>
          <w:shd w:val="clear" w:color="auto" w:fill="FFFFFF"/>
        </w:rPr>
        <w:t>, </w:t>
      </w:r>
      <w:r>
        <w:rPr>
          <w:rFonts w:ascii="Arial" w:hAnsi="Arial" w:cs="Arial"/>
          <w:i/>
          <w:iCs/>
          <w:color w:val="222222"/>
          <w:shd w:val="clear" w:color="auto" w:fill="FFFFFF"/>
        </w:rPr>
        <w:t>16</w:t>
      </w:r>
      <w:r>
        <w:rPr>
          <w:rFonts w:ascii="Arial" w:hAnsi="Arial" w:cs="Arial"/>
          <w:color w:val="222222"/>
          <w:shd w:val="clear" w:color="auto" w:fill="FFFFFF"/>
        </w:rPr>
        <w:t xml:space="preserve">(9), 1202, </w:t>
      </w:r>
      <w:hyperlink r:id="rId55" w:history="1">
        <w:r w:rsidRPr="002C53EB">
          <w:rPr>
            <w:rStyle w:val="Hyperlink"/>
            <w:rFonts w:ascii="Arial" w:hAnsi="Arial" w:cs="Arial"/>
            <w:shd w:val="clear" w:color="auto" w:fill="FFFFFF"/>
          </w:rPr>
          <w:t>https://doi.org/10.3390/pharmaceutics16091202</w:t>
        </w:r>
      </w:hyperlink>
      <w:r>
        <w:rPr>
          <w:rFonts w:ascii="Arial" w:hAnsi="Arial" w:cs="Arial"/>
          <w:color w:val="222222"/>
          <w:shd w:val="clear" w:color="auto" w:fill="FFFFFF"/>
        </w:rPr>
        <w:t>.</w:t>
      </w:r>
    </w:p>
    <w:p w14:paraId="067533FE" w14:textId="77777777" w:rsidR="00C046CA" w:rsidRDefault="00C046CA" w:rsidP="00C046CA">
      <w:pPr>
        <w:pStyle w:val="Body"/>
        <w:spacing w:after="120"/>
        <w:ind w:left="720" w:hanging="720"/>
        <w:rPr>
          <w:rFonts w:ascii="Arial" w:hAnsi="Arial" w:cs="Arial"/>
          <w:color w:val="222222"/>
          <w:shd w:val="clear" w:color="auto" w:fill="FFFFFF"/>
        </w:rPr>
      </w:pPr>
      <w:r w:rsidRPr="00F1719A">
        <w:rPr>
          <w:rFonts w:ascii="Arial" w:hAnsi="Arial" w:cs="Arial"/>
          <w:color w:val="222222"/>
          <w:shd w:val="clear" w:color="auto" w:fill="FFFFFF"/>
        </w:rPr>
        <w:lastRenderedPageBreak/>
        <w:t>Huang, J., Xie, M., He, L., Song, X., &amp; Cao, T. (2023). Chlorogenic acid: A review on its mechanisms of anti-inflammation, disease treatment, and related delivery systems. </w:t>
      </w:r>
      <w:r w:rsidRPr="00F1719A">
        <w:rPr>
          <w:rFonts w:ascii="Arial" w:hAnsi="Arial" w:cs="Arial"/>
          <w:iCs/>
          <w:color w:val="222222"/>
          <w:shd w:val="clear" w:color="auto" w:fill="FFFFFF"/>
        </w:rPr>
        <w:t xml:space="preserve">Frontiers in </w:t>
      </w:r>
      <w:r>
        <w:rPr>
          <w:rFonts w:ascii="Arial" w:hAnsi="Arial" w:cs="Arial"/>
          <w:iCs/>
          <w:color w:val="222222"/>
          <w:shd w:val="clear" w:color="auto" w:fill="FFFFFF"/>
        </w:rPr>
        <w:t>P</w:t>
      </w:r>
      <w:r w:rsidRPr="00F1719A">
        <w:rPr>
          <w:rFonts w:ascii="Arial" w:hAnsi="Arial" w:cs="Arial"/>
          <w:iCs/>
          <w:color w:val="222222"/>
          <w:shd w:val="clear" w:color="auto" w:fill="FFFFFF"/>
        </w:rPr>
        <w:t>harmacology</w:t>
      </w:r>
      <w:r w:rsidRPr="00F1719A">
        <w:rPr>
          <w:rFonts w:ascii="Arial" w:hAnsi="Arial" w:cs="Arial"/>
          <w:color w:val="222222"/>
          <w:shd w:val="clear" w:color="auto" w:fill="FFFFFF"/>
        </w:rPr>
        <w:t>, </w:t>
      </w:r>
      <w:r w:rsidRPr="00F1719A">
        <w:rPr>
          <w:rFonts w:ascii="Arial" w:hAnsi="Arial" w:cs="Arial"/>
          <w:i/>
          <w:iCs/>
          <w:color w:val="222222"/>
          <w:shd w:val="clear" w:color="auto" w:fill="FFFFFF"/>
        </w:rPr>
        <w:t>14</w:t>
      </w:r>
      <w:r w:rsidRPr="00F1719A">
        <w:rPr>
          <w:rFonts w:ascii="Arial" w:hAnsi="Arial" w:cs="Arial"/>
          <w:color w:val="222222"/>
          <w:shd w:val="clear" w:color="auto" w:fill="FFFFFF"/>
        </w:rPr>
        <w:t>, 1218015</w:t>
      </w:r>
      <w:r>
        <w:rPr>
          <w:rFonts w:ascii="Arial" w:hAnsi="Arial" w:cs="Arial"/>
          <w:color w:val="222222"/>
          <w:shd w:val="clear" w:color="auto" w:fill="FFFFFF"/>
        </w:rPr>
        <w:t xml:space="preserve">, </w:t>
      </w:r>
      <w:hyperlink r:id="rId56" w:history="1">
        <w:r w:rsidRPr="00671DB2">
          <w:rPr>
            <w:rStyle w:val="Hyperlink"/>
            <w:rFonts w:ascii="Arial" w:hAnsi="Arial" w:cs="Arial"/>
            <w:shd w:val="clear" w:color="auto" w:fill="FFFFFF"/>
          </w:rPr>
          <w:t>https://doi.org/10.3389/fphar.2023.1218015</w:t>
        </w:r>
      </w:hyperlink>
      <w:r w:rsidRPr="00671DB2">
        <w:rPr>
          <w:rFonts w:ascii="Arial" w:hAnsi="Arial" w:cs="Arial"/>
          <w:color w:val="222222"/>
          <w:u w:val="single"/>
          <w:shd w:val="clear" w:color="auto" w:fill="FFFFFF"/>
        </w:rPr>
        <w:t>.</w:t>
      </w:r>
    </w:p>
    <w:p w14:paraId="59583911" w14:textId="77777777" w:rsidR="00C046CA" w:rsidRDefault="00C046CA" w:rsidP="00C046CA">
      <w:pPr>
        <w:pStyle w:val="Body"/>
        <w:spacing w:after="120"/>
        <w:ind w:left="720" w:hanging="720"/>
        <w:rPr>
          <w:rFonts w:ascii="Arial" w:hAnsi="Arial" w:cs="Arial"/>
        </w:rPr>
      </w:pPr>
      <w:proofErr w:type="spellStart"/>
      <w:r>
        <w:rPr>
          <w:rFonts w:ascii="Arial" w:hAnsi="Arial" w:cs="Arial"/>
        </w:rPr>
        <w:t>Iriti</w:t>
      </w:r>
      <w:proofErr w:type="spellEnd"/>
      <w:r>
        <w:rPr>
          <w:rFonts w:ascii="Arial" w:hAnsi="Arial" w:cs="Arial"/>
        </w:rPr>
        <w:t>, M., Varoni, E. M.</w:t>
      </w:r>
      <w:r w:rsidRPr="00BA3B3F">
        <w:rPr>
          <w:rFonts w:ascii="Arial" w:hAnsi="Arial" w:cs="Arial"/>
        </w:rPr>
        <w:t xml:space="preserve"> &amp; </w:t>
      </w:r>
      <w:proofErr w:type="spellStart"/>
      <w:r w:rsidRPr="00BA3B3F">
        <w:rPr>
          <w:rFonts w:ascii="Arial" w:hAnsi="Arial" w:cs="Arial"/>
        </w:rPr>
        <w:t>Vitalini</w:t>
      </w:r>
      <w:proofErr w:type="spellEnd"/>
      <w:r w:rsidRPr="00BA3B3F">
        <w:rPr>
          <w:rFonts w:ascii="Arial" w:hAnsi="Arial" w:cs="Arial"/>
        </w:rPr>
        <w:t>, S. (2023). Bioactive Compounds in Health and Disease–Focus on Rutin. </w:t>
      </w:r>
      <w:r w:rsidRPr="00BA3B3F">
        <w:rPr>
          <w:rFonts w:ascii="Arial" w:hAnsi="Arial" w:cs="Arial"/>
          <w:iCs/>
        </w:rPr>
        <w:t>Bioactive Compounds in Health and Disease-Online</w:t>
      </w:r>
      <w:r w:rsidRPr="00BA3B3F">
        <w:rPr>
          <w:rFonts w:ascii="Arial" w:hAnsi="Arial" w:cs="Arial"/>
          <w:i/>
          <w:iCs/>
        </w:rPr>
        <w:t xml:space="preserve"> </w:t>
      </w:r>
      <w:r w:rsidRPr="00BA3B3F">
        <w:rPr>
          <w:rFonts w:ascii="Arial" w:hAnsi="Arial" w:cs="Arial"/>
          <w:iCs/>
        </w:rPr>
        <w:t>ISSN: 2574-0334</w:t>
      </w:r>
      <w:r w:rsidRPr="00BA3B3F">
        <w:rPr>
          <w:rFonts w:ascii="Arial" w:hAnsi="Arial" w:cs="Arial"/>
        </w:rPr>
        <w:t>, </w:t>
      </w:r>
      <w:r w:rsidRPr="00BA3B3F">
        <w:rPr>
          <w:rFonts w:ascii="Arial" w:hAnsi="Arial" w:cs="Arial"/>
          <w:i/>
          <w:iCs/>
        </w:rPr>
        <w:t>6</w:t>
      </w:r>
      <w:r w:rsidRPr="00BA3B3F">
        <w:rPr>
          <w:rFonts w:ascii="Arial" w:hAnsi="Arial" w:cs="Arial"/>
        </w:rPr>
        <w:t>(10), 235-242.</w:t>
      </w:r>
      <w:r>
        <w:rPr>
          <w:rFonts w:ascii="Arial" w:hAnsi="Arial" w:cs="Arial"/>
        </w:rPr>
        <w:t xml:space="preserve"> </w:t>
      </w:r>
      <w:r w:rsidRPr="00BA3B3F">
        <w:rPr>
          <w:rFonts w:ascii="Arial" w:hAnsi="Arial" w:cs="Arial"/>
          <w:bCs/>
        </w:rPr>
        <w:t>DOI: </w:t>
      </w:r>
      <w:hyperlink r:id="rId57" w:history="1">
        <w:r w:rsidRPr="00BA3B3F">
          <w:rPr>
            <w:rStyle w:val="Hyperlink"/>
            <w:rFonts w:ascii="Arial" w:hAnsi="Arial" w:cs="Arial"/>
          </w:rPr>
          <w:t>https://doi.org/10.31989/bchd.v6i10.1145</w:t>
        </w:r>
      </w:hyperlink>
    </w:p>
    <w:p w14:paraId="289217F2"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Karimifar</w:t>
      </w:r>
      <w:proofErr w:type="spellEnd"/>
      <w:r w:rsidRPr="00820BDF">
        <w:rPr>
          <w:rFonts w:ascii="Arial" w:hAnsi="Arial" w:cs="Arial"/>
        </w:rPr>
        <w:t>, M.</w:t>
      </w:r>
      <w:r>
        <w:rPr>
          <w:rFonts w:ascii="Arial" w:hAnsi="Arial" w:cs="Arial"/>
        </w:rPr>
        <w:t>,</w:t>
      </w:r>
      <w:r w:rsidRPr="00820BDF">
        <w:rPr>
          <w:rFonts w:ascii="Arial" w:hAnsi="Arial" w:cs="Arial"/>
        </w:rPr>
        <w:t xml:space="preserve"> Soltani, R.</w:t>
      </w:r>
      <w:r>
        <w:rPr>
          <w:rFonts w:ascii="Arial" w:hAnsi="Arial" w:cs="Arial"/>
        </w:rPr>
        <w:t>,</w:t>
      </w:r>
      <w:r w:rsidRPr="00820BDF">
        <w:rPr>
          <w:rFonts w:ascii="Arial" w:hAnsi="Arial" w:cs="Arial"/>
        </w:rPr>
        <w:t xml:space="preserve"> Hajhashemi, V.</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proofErr w:type="spellStart"/>
      <w:r w:rsidRPr="00820BDF">
        <w:rPr>
          <w:rFonts w:ascii="Arial" w:hAnsi="Arial" w:cs="Arial"/>
        </w:rPr>
        <w:t>Sarrafchi</w:t>
      </w:r>
      <w:proofErr w:type="spellEnd"/>
      <w:r w:rsidRPr="00820BDF">
        <w:rPr>
          <w:rFonts w:ascii="Arial" w:hAnsi="Arial" w:cs="Arial"/>
        </w:rPr>
        <w:t xml:space="preserve">, S. </w:t>
      </w:r>
      <w:r>
        <w:rPr>
          <w:rFonts w:ascii="Arial" w:hAnsi="Arial" w:cs="Arial"/>
        </w:rPr>
        <w:t>(</w:t>
      </w:r>
      <w:r w:rsidRPr="00820BDF">
        <w:rPr>
          <w:rFonts w:ascii="Arial" w:hAnsi="Arial" w:cs="Arial"/>
        </w:rPr>
        <w:t>2017</w:t>
      </w:r>
      <w:r>
        <w:rPr>
          <w:rFonts w:ascii="Arial" w:hAnsi="Arial" w:cs="Arial"/>
        </w:rPr>
        <w:t xml:space="preserve">). </w:t>
      </w:r>
      <w:r w:rsidRPr="00820BDF">
        <w:rPr>
          <w:rFonts w:ascii="Arial" w:hAnsi="Arial" w:cs="Arial"/>
        </w:rPr>
        <w:t xml:space="preserve">Evaluation of </w:t>
      </w:r>
      <w:r w:rsidRPr="00CE0537">
        <w:rPr>
          <w:rFonts w:ascii="Arial" w:hAnsi="Arial" w:cs="Arial"/>
          <w:i/>
        </w:rPr>
        <w:t>Elaeagnus angustifolia</w:t>
      </w:r>
      <w:r w:rsidRPr="00820BDF">
        <w:rPr>
          <w:rFonts w:ascii="Arial" w:hAnsi="Arial" w:cs="Arial"/>
        </w:rPr>
        <w:t xml:space="preserve"> in </w:t>
      </w:r>
      <w:r>
        <w:rPr>
          <w:rFonts w:ascii="Arial" w:hAnsi="Arial" w:cs="Arial"/>
        </w:rPr>
        <w:t xml:space="preserve">knee osteoarthritis. </w:t>
      </w:r>
      <w:r w:rsidRPr="00F61E81">
        <w:rPr>
          <w:rFonts w:ascii="Arial" w:hAnsi="Arial" w:cs="Arial"/>
        </w:rPr>
        <w:t>Clinical Rheumatology</w:t>
      </w:r>
      <w:r>
        <w:rPr>
          <w:rFonts w:ascii="Arial" w:hAnsi="Arial" w:cs="Arial"/>
        </w:rPr>
        <w:t xml:space="preserve">, 36, </w:t>
      </w:r>
      <w:r w:rsidRPr="00820BDF">
        <w:rPr>
          <w:rFonts w:ascii="Arial" w:hAnsi="Arial" w:cs="Arial"/>
        </w:rPr>
        <w:t xml:space="preserve">1849–1853. </w:t>
      </w:r>
      <w:hyperlink r:id="rId58" w:history="1">
        <w:r w:rsidRPr="002C53EB">
          <w:rPr>
            <w:rStyle w:val="Hyperlink"/>
            <w:rFonts w:ascii="Arial" w:hAnsi="Arial" w:cs="Arial"/>
          </w:rPr>
          <w:t>https://doi.org/10.1007/s10067-017-3603-z</w:t>
        </w:r>
      </w:hyperlink>
      <w:r>
        <w:rPr>
          <w:rFonts w:ascii="Arial" w:hAnsi="Arial" w:cs="Arial"/>
        </w:rPr>
        <w:t xml:space="preserve"> </w:t>
      </w:r>
    </w:p>
    <w:p w14:paraId="07AD5F6E"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 xml:space="preserve">Khadivi, A. </w:t>
      </w:r>
      <w:r>
        <w:rPr>
          <w:rFonts w:ascii="Arial" w:hAnsi="Arial" w:cs="Arial"/>
        </w:rPr>
        <w:t>(</w:t>
      </w:r>
      <w:r w:rsidRPr="00820BDF">
        <w:rPr>
          <w:rFonts w:ascii="Arial" w:hAnsi="Arial" w:cs="Arial"/>
        </w:rPr>
        <w:t>2018</w:t>
      </w:r>
      <w:r>
        <w:rPr>
          <w:rFonts w:ascii="Arial" w:hAnsi="Arial" w:cs="Arial"/>
        </w:rPr>
        <w:t>).</w:t>
      </w:r>
      <w:r w:rsidRPr="00820BDF">
        <w:rPr>
          <w:rFonts w:ascii="Arial" w:hAnsi="Arial" w:cs="Arial"/>
        </w:rPr>
        <w:t xml:space="preserve"> Phenotypic characterization of </w:t>
      </w:r>
      <w:r w:rsidRPr="00E9491C">
        <w:rPr>
          <w:rFonts w:ascii="Arial" w:hAnsi="Arial" w:cs="Arial"/>
          <w:i/>
        </w:rPr>
        <w:t>Elaeagnus angustifolia</w:t>
      </w:r>
      <w:r w:rsidRPr="00820BDF">
        <w:rPr>
          <w:rFonts w:ascii="Arial" w:hAnsi="Arial" w:cs="Arial"/>
        </w:rPr>
        <w:t xml:space="preserve"> using multivariate analysis. </w:t>
      </w:r>
      <w:r>
        <w:rPr>
          <w:rFonts w:ascii="Arial" w:hAnsi="Arial" w:cs="Arial"/>
        </w:rPr>
        <w:t>Industrial Crops and Products</w:t>
      </w:r>
      <w:r w:rsidRPr="001B3B11">
        <w:rPr>
          <w:rFonts w:ascii="Arial" w:hAnsi="Arial" w:cs="Arial"/>
        </w:rPr>
        <w:t xml:space="preserve"> Journal</w:t>
      </w:r>
      <w:r>
        <w:rPr>
          <w:rFonts w:ascii="Arial" w:hAnsi="Arial" w:cs="Arial"/>
        </w:rPr>
        <w:t xml:space="preserve">, </w:t>
      </w:r>
      <w:r w:rsidRPr="00820BDF">
        <w:rPr>
          <w:rFonts w:ascii="Arial" w:hAnsi="Arial" w:cs="Arial"/>
        </w:rPr>
        <w:t>120, 155–161.</w:t>
      </w:r>
    </w:p>
    <w:p w14:paraId="2132C180"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Li, L.</w:t>
      </w:r>
      <w:r>
        <w:rPr>
          <w:rFonts w:ascii="Arial" w:hAnsi="Arial" w:cs="Arial"/>
        </w:rPr>
        <w:t>,</w:t>
      </w:r>
      <w:r w:rsidRPr="00820BDF">
        <w:rPr>
          <w:rFonts w:ascii="Arial" w:hAnsi="Arial" w:cs="Arial"/>
        </w:rPr>
        <w:t xml:space="preserve"> </w:t>
      </w:r>
      <w:proofErr w:type="spellStart"/>
      <w:r w:rsidRPr="00820BDF">
        <w:rPr>
          <w:rFonts w:ascii="Arial" w:hAnsi="Arial" w:cs="Arial"/>
        </w:rPr>
        <w:t>Lv</w:t>
      </w:r>
      <w:proofErr w:type="spellEnd"/>
      <w:r w:rsidRPr="00820BDF">
        <w:rPr>
          <w:rFonts w:ascii="Arial" w:hAnsi="Arial" w:cs="Arial"/>
        </w:rPr>
        <w:t>, J.</w:t>
      </w:r>
      <w:r>
        <w:rPr>
          <w:rFonts w:ascii="Arial" w:hAnsi="Arial" w:cs="Arial"/>
        </w:rPr>
        <w:t>,</w:t>
      </w:r>
      <w:r w:rsidRPr="00820BDF">
        <w:rPr>
          <w:rFonts w:ascii="Arial" w:hAnsi="Arial" w:cs="Arial"/>
        </w:rPr>
        <w:t xml:space="preserve"> Wang, X.</w:t>
      </w:r>
      <w:r>
        <w:rPr>
          <w:rFonts w:ascii="Arial" w:hAnsi="Arial" w:cs="Arial"/>
        </w:rPr>
        <w:t>,</w:t>
      </w:r>
      <w:r w:rsidRPr="00820BDF">
        <w:rPr>
          <w:rFonts w:ascii="Arial" w:hAnsi="Arial" w:cs="Arial"/>
        </w:rPr>
        <w:t xml:space="preserve"> Li, X.</w:t>
      </w:r>
      <w:r>
        <w:rPr>
          <w:rFonts w:ascii="Arial" w:hAnsi="Arial" w:cs="Arial"/>
        </w:rPr>
        <w:t>,</w:t>
      </w:r>
      <w:r w:rsidRPr="00820BDF">
        <w:rPr>
          <w:rFonts w:ascii="Arial" w:hAnsi="Arial" w:cs="Arial"/>
        </w:rPr>
        <w:t xml:space="preserve"> Guo, D.</w:t>
      </w:r>
      <w:r>
        <w:rPr>
          <w:rFonts w:ascii="Arial" w:hAnsi="Arial" w:cs="Arial"/>
        </w:rPr>
        <w:t>,</w:t>
      </w:r>
      <w:r w:rsidRPr="00820BDF">
        <w:rPr>
          <w:rFonts w:ascii="Arial" w:hAnsi="Arial" w:cs="Arial"/>
        </w:rPr>
        <w:t xml:space="preserve"> Wang, L.</w:t>
      </w:r>
      <w:r>
        <w:rPr>
          <w:rFonts w:ascii="Arial" w:hAnsi="Arial" w:cs="Arial"/>
        </w:rPr>
        <w:t>, et al</w:t>
      </w:r>
      <w:r w:rsidRPr="00820BDF">
        <w:rPr>
          <w:rFonts w:ascii="Arial" w:hAnsi="Arial" w:cs="Arial"/>
        </w:rPr>
        <w:t xml:space="preserve">. </w:t>
      </w:r>
      <w:r>
        <w:rPr>
          <w:rFonts w:ascii="Arial" w:hAnsi="Arial" w:cs="Arial"/>
        </w:rPr>
        <w:t>(</w:t>
      </w:r>
      <w:r w:rsidRPr="00820BDF">
        <w:rPr>
          <w:rFonts w:ascii="Arial" w:hAnsi="Arial" w:cs="Arial"/>
        </w:rPr>
        <w:t>2024</w:t>
      </w:r>
      <w:r>
        <w:rPr>
          <w:rFonts w:ascii="Arial" w:hAnsi="Arial" w:cs="Arial"/>
        </w:rPr>
        <w:t xml:space="preserve">). </w:t>
      </w:r>
      <w:r w:rsidRPr="00820BDF">
        <w:rPr>
          <w:rFonts w:ascii="Arial" w:hAnsi="Arial" w:cs="Arial"/>
        </w:rPr>
        <w:t xml:space="preserve">Green Extraction of Polyphenols from </w:t>
      </w:r>
      <w:r w:rsidRPr="00211B73">
        <w:rPr>
          <w:rFonts w:ascii="Arial" w:hAnsi="Arial" w:cs="Arial"/>
          <w:i/>
        </w:rPr>
        <w:t>Elaeagnus angustifolia</w:t>
      </w:r>
      <w:r w:rsidRPr="00820BDF">
        <w:rPr>
          <w:rFonts w:ascii="Arial" w:hAnsi="Arial" w:cs="Arial"/>
        </w:rPr>
        <w:t xml:space="preserve"> L. Using Natural Deep Eutectic Solvents and Evaluation of Bioactivity. Molecules, 29, 2412. </w:t>
      </w:r>
      <w:hyperlink r:id="rId59" w:history="1">
        <w:r w:rsidRPr="002C53EB">
          <w:rPr>
            <w:rStyle w:val="Hyperlink"/>
            <w:rFonts w:ascii="Arial" w:hAnsi="Arial" w:cs="Arial"/>
          </w:rPr>
          <w:t>https://doi.org/10.3390/molecules29112412</w:t>
        </w:r>
      </w:hyperlink>
      <w:r>
        <w:rPr>
          <w:rFonts w:ascii="Arial" w:hAnsi="Arial" w:cs="Arial"/>
        </w:rPr>
        <w:t xml:space="preserve"> </w:t>
      </w:r>
    </w:p>
    <w:p w14:paraId="33360A5E" w14:textId="77777777" w:rsidR="00C046CA" w:rsidRDefault="00C046CA" w:rsidP="00C046CA">
      <w:pPr>
        <w:pStyle w:val="Body"/>
        <w:spacing w:after="120"/>
        <w:ind w:left="720" w:hanging="720"/>
        <w:rPr>
          <w:rFonts w:ascii="Arial" w:hAnsi="Arial" w:cs="Arial"/>
        </w:rPr>
      </w:pPr>
      <w:r>
        <w:rPr>
          <w:rFonts w:ascii="Arial" w:hAnsi="Arial" w:cs="Arial"/>
        </w:rPr>
        <w:t xml:space="preserve">Madkour, D. A., Ahmed, M., </w:t>
      </w:r>
      <w:proofErr w:type="spellStart"/>
      <w:r>
        <w:rPr>
          <w:rFonts w:ascii="Arial" w:hAnsi="Arial" w:cs="Arial"/>
        </w:rPr>
        <w:t>Elkirdasy</w:t>
      </w:r>
      <w:proofErr w:type="spellEnd"/>
      <w:r>
        <w:rPr>
          <w:rFonts w:ascii="Arial" w:hAnsi="Arial" w:cs="Arial"/>
        </w:rPr>
        <w:t xml:space="preserve">, A. F., Orabi, S. H. &amp; Mousa, A. </w:t>
      </w:r>
      <w:r w:rsidRPr="001C30BB">
        <w:rPr>
          <w:rFonts w:ascii="Arial" w:hAnsi="Arial" w:cs="Arial"/>
        </w:rPr>
        <w:t>A. (2024). Rutin: Chemical properties, Pharmacokinetic properties and Biological activities. </w:t>
      </w:r>
      <w:proofErr w:type="spellStart"/>
      <w:r w:rsidRPr="00745772">
        <w:rPr>
          <w:rFonts w:ascii="Arial" w:hAnsi="Arial" w:cs="Arial"/>
          <w:iCs/>
        </w:rPr>
        <w:t>Matrouh</w:t>
      </w:r>
      <w:proofErr w:type="spellEnd"/>
      <w:r w:rsidRPr="00745772">
        <w:rPr>
          <w:rFonts w:ascii="Arial" w:hAnsi="Arial" w:cs="Arial"/>
          <w:iCs/>
        </w:rPr>
        <w:t xml:space="preserve"> Journal of Veterinary Medicine</w:t>
      </w:r>
      <w:r w:rsidRPr="00745772">
        <w:rPr>
          <w:rFonts w:ascii="Arial" w:hAnsi="Arial" w:cs="Arial"/>
        </w:rPr>
        <w:t>, </w:t>
      </w:r>
      <w:r w:rsidRPr="00745772">
        <w:rPr>
          <w:rFonts w:ascii="Arial" w:hAnsi="Arial" w:cs="Arial"/>
          <w:iCs/>
        </w:rPr>
        <w:t>4</w:t>
      </w:r>
      <w:r w:rsidRPr="00745772">
        <w:rPr>
          <w:rFonts w:ascii="Arial" w:hAnsi="Arial" w:cs="Arial"/>
        </w:rPr>
        <w:t>(</w:t>
      </w:r>
      <w:r w:rsidRPr="001C30BB">
        <w:rPr>
          <w:rFonts w:ascii="Arial" w:hAnsi="Arial" w:cs="Arial"/>
        </w:rPr>
        <w:t>1), 26-34.</w:t>
      </w:r>
      <w:r>
        <w:rPr>
          <w:rFonts w:ascii="Arial" w:hAnsi="Arial" w:cs="Arial"/>
        </w:rPr>
        <w:t xml:space="preserve"> </w:t>
      </w:r>
      <w:r w:rsidRPr="001C30BB">
        <w:rPr>
          <w:rFonts w:ascii="Arial" w:hAnsi="Arial" w:cs="Arial"/>
        </w:rPr>
        <w:t>DOI: </w:t>
      </w:r>
      <w:hyperlink r:id="rId60" w:history="1">
        <w:r w:rsidRPr="001C30BB">
          <w:rPr>
            <w:rStyle w:val="Hyperlink"/>
            <w:rFonts w:ascii="Arial" w:hAnsi="Arial" w:cs="Arial"/>
          </w:rPr>
          <w:t>10.21608/mjvm.2024.341806</w:t>
        </w:r>
      </w:hyperlink>
    </w:p>
    <w:p w14:paraId="3B387AD6"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 xml:space="preserve">Mahboubi, M. </w:t>
      </w:r>
      <w:r>
        <w:rPr>
          <w:rFonts w:ascii="Arial" w:hAnsi="Arial" w:cs="Arial"/>
        </w:rPr>
        <w:t>(</w:t>
      </w:r>
      <w:r w:rsidRPr="00820BDF">
        <w:rPr>
          <w:rFonts w:ascii="Arial" w:hAnsi="Arial" w:cs="Arial"/>
        </w:rPr>
        <w:t>2018</w:t>
      </w:r>
      <w:r>
        <w:rPr>
          <w:rFonts w:ascii="Arial" w:hAnsi="Arial" w:cs="Arial"/>
        </w:rPr>
        <w:t xml:space="preserve">). </w:t>
      </w:r>
      <w:r w:rsidRPr="00277D50">
        <w:rPr>
          <w:rFonts w:ascii="Arial" w:hAnsi="Arial" w:cs="Arial"/>
          <w:i/>
        </w:rPr>
        <w:t>Elaeagnus angustifolia</w:t>
      </w:r>
      <w:r w:rsidRPr="00820BDF">
        <w:rPr>
          <w:rFonts w:ascii="Arial" w:hAnsi="Arial" w:cs="Arial"/>
        </w:rPr>
        <w:t xml:space="preserve"> and its therapeutic </w:t>
      </w:r>
      <w:r>
        <w:rPr>
          <w:rFonts w:ascii="Arial" w:hAnsi="Arial" w:cs="Arial"/>
        </w:rPr>
        <w:t xml:space="preserve">applications in osteoarthritis. </w:t>
      </w:r>
      <w:r w:rsidRPr="00F61E81">
        <w:rPr>
          <w:rFonts w:ascii="Arial" w:hAnsi="Arial" w:cs="Arial"/>
        </w:rPr>
        <w:t>Industrial Crops and Products Journal</w:t>
      </w:r>
      <w:r w:rsidRPr="00820BDF">
        <w:rPr>
          <w:rFonts w:ascii="Arial" w:hAnsi="Arial" w:cs="Arial"/>
        </w:rPr>
        <w:t xml:space="preserve">, 121, 36–45. </w:t>
      </w:r>
      <w:hyperlink r:id="rId61" w:history="1">
        <w:r w:rsidRPr="002C53EB">
          <w:rPr>
            <w:rStyle w:val="Hyperlink"/>
            <w:rFonts w:ascii="Arial" w:hAnsi="Arial" w:cs="Arial"/>
          </w:rPr>
          <w:t>https://doi.org/10.1016/j.indcrop.2018.04.051</w:t>
        </w:r>
      </w:hyperlink>
      <w:r>
        <w:rPr>
          <w:rFonts w:ascii="Arial" w:hAnsi="Arial" w:cs="Arial"/>
        </w:rPr>
        <w:t xml:space="preserve"> </w:t>
      </w:r>
      <w:r w:rsidRPr="00820BDF">
        <w:rPr>
          <w:rFonts w:ascii="Arial" w:hAnsi="Arial" w:cs="Arial"/>
        </w:rPr>
        <w:t xml:space="preserve"> </w:t>
      </w:r>
    </w:p>
    <w:p w14:paraId="00CD308C" w14:textId="77777777" w:rsidR="00C046CA" w:rsidRPr="00820BDF" w:rsidRDefault="00C046CA" w:rsidP="00C046CA">
      <w:pPr>
        <w:pStyle w:val="Body"/>
        <w:spacing w:after="120"/>
        <w:ind w:left="720" w:hanging="720"/>
        <w:rPr>
          <w:rFonts w:ascii="Arial" w:hAnsi="Arial" w:cs="Arial"/>
        </w:rPr>
      </w:pPr>
      <w:r>
        <w:rPr>
          <w:rFonts w:ascii="Arial" w:hAnsi="Arial" w:cs="Arial"/>
        </w:rPr>
        <w:t xml:space="preserve">Martins, C. </w:t>
      </w:r>
      <w:r w:rsidRPr="00820BDF">
        <w:rPr>
          <w:rFonts w:ascii="Arial" w:hAnsi="Arial" w:cs="Arial"/>
        </w:rPr>
        <w:t>C.</w:t>
      </w:r>
      <w:r>
        <w:rPr>
          <w:rFonts w:ascii="Arial" w:hAnsi="Arial" w:cs="Arial"/>
        </w:rPr>
        <w:t xml:space="preserve">, Rodrigues, R. </w:t>
      </w:r>
      <w:r w:rsidRPr="00820BDF">
        <w:rPr>
          <w:rFonts w:ascii="Arial" w:hAnsi="Arial" w:cs="Arial"/>
        </w:rPr>
        <w:t>C.</w:t>
      </w:r>
      <w:r>
        <w:rPr>
          <w:rFonts w:ascii="Arial" w:hAnsi="Arial" w:cs="Arial"/>
        </w:rPr>
        <w:t>,</w:t>
      </w:r>
      <w:r w:rsidRPr="00820BDF">
        <w:rPr>
          <w:rFonts w:ascii="Arial" w:hAnsi="Arial" w:cs="Arial"/>
        </w:rPr>
        <w:t xml:space="preserve"> </w:t>
      </w:r>
      <w:proofErr w:type="spellStart"/>
      <w:r w:rsidRPr="00820BDF">
        <w:rPr>
          <w:rFonts w:ascii="Arial" w:hAnsi="Arial" w:cs="Arial"/>
        </w:rPr>
        <w:t>Mercal</w:t>
      </w:r>
      <w:r>
        <w:rPr>
          <w:rFonts w:ascii="Arial" w:hAnsi="Arial" w:cs="Arial"/>
        </w:rPr>
        <w:t>i</w:t>
      </w:r>
      <w:proofErr w:type="spellEnd"/>
      <w:r>
        <w:rPr>
          <w:rFonts w:ascii="Arial" w:hAnsi="Arial" w:cs="Arial"/>
        </w:rPr>
        <w:t xml:space="preserve">, G. </w:t>
      </w:r>
      <w:r w:rsidRPr="00820BDF">
        <w:rPr>
          <w:rFonts w:ascii="Arial" w:hAnsi="Arial" w:cs="Arial"/>
        </w:rPr>
        <w:t>D.</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Rodrigues, E. </w:t>
      </w:r>
      <w:r>
        <w:rPr>
          <w:rFonts w:ascii="Arial" w:hAnsi="Arial" w:cs="Arial"/>
        </w:rPr>
        <w:t>(</w:t>
      </w:r>
      <w:r w:rsidRPr="00820BDF">
        <w:rPr>
          <w:rFonts w:ascii="Arial" w:hAnsi="Arial" w:cs="Arial"/>
        </w:rPr>
        <w:t>2022</w:t>
      </w:r>
      <w:r>
        <w:rPr>
          <w:rFonts w:ascii="Arial" w:hAnsi="Arial" w:cs="Arial"/>
        </w:rPr>
        <w:t xml:space="preserve">). </w:t>
      </w:r>
      <w:r w:rsidRPr="00820BDF">
        <w:rPr>
          <w:rFonts w:ascii="Arial" w:hAnsi="Arial" w:cs="Arial"/>
        </w:rPr>
        <w:t>New insights into non-extra</w:t>
      </w:r>
      <w:r>
        <w:rPr>
          <w:rFonts w:ascii="Arial" w:hAnsi="Arial" w:cs="Arial"/>
        </w:rPr>
        <w:t>ctable phenolic compounds analy</w:t>
      </w:r>
      <w:r w:rsidRPr="00820BDF">
        <w:rPr>
          <w:rFonts w:ascii="Arial" w:hAnsi="Arial" w:cs="Arial"/>
        </w:rPr>
        <w:t xml:space="preserve">sis. </w:t>
      </w:r>
      <w:r w:rsidRPr="00F021E2">
        <w:rPr>
          <w:rFonts w:ascii="Arial" w:hAnsi="Arial" w:cs="Arial"/>
        </w:rPr>
        <w:t>Food Research International</w:t>
      </w:r>
      <w:r w:rsidRPr="00820BDF">
        <w:rPr>
          <w:rFonts w:ascii="Arial" w:hAnsi="Arial" w:cs="Arial"/>
        </w:rPr>
        <w:t xml:space="preserve">, 157, 111487. </w:t>
      </w:r>
      <w:hyperlink r:id="rId62" w:history="1">
        <w:r w:rsidRPr="002C53EB">
          <w:rPr>
            <w:rStyle w:val="Hyperlink"/>
            <w:rFonts w:ascii="Arial" w:hAnsi="Arial" w:cs="Arial"/>
          </w:rPr>
          <w:t>https://doi.org/10.1016/j.foodres.2022.111487</w:t>
        </w:r>
      </w:hyperlink>
      <w:r>
        <w:rPr>
          <w:rFonts w:ascii="Arial" w:hAnsi="Arial" w:cs="Arial"/>
        </w:rPr>
        <w:t xml:space="preserve"> </w:t>
      </w:r>
    </w:p>
    <w:p w14:paraId="5ACC254D"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Okmen</w:t>
      </w:r>
      <w:proofErr w:type="spellEnd"/>
      <w:r w:rsidRPr="00820BDF">
        <w:rPr>
          <w:rFonts w:ascii="Arial" w:hAnsi="Arial" w:cs="Arial"/>
        </w:rPr>
        <w:t>, G.</w:t>
      </w:r>
      <w:r>
        <w:rPr>
          <w:rFonts w:ascii="Arial" w:hAnsi="Arial" w:cs="Arial"/>
        </w:rPr>
        <w:t xml:space="preserve"> &amp;</w:t>
      </w:r>
      <w:r w:rsidRPr="00820BDF">
        <w:rPr>
          <w:rFonts w:ascii="Arial" w:hAnsi="Arial" w:cs="Arial"/>
        </w:rPr>
        <w:t xml:space="preserve"> Turkcan, O. </w:t>
      </w:r>
      <w:r>
        <w:rPr>
          <w:rFonts w:ascii="Arial" w:hAnsi="Arial" w:cs="Arial"/>
        </w:rPr>
        <w:t>(</w:t>
      </w:r>
      <w:r w:rsidRPr="00820BDF">
        <w:rPr>
          <w:rFonts w:ascii="Arial" w:hAnsi="Arial" w:cs="Arial"/>
        </w:rPr>
        <w:t>2013</w:t>
      </w:r>
      <w:r>
        <w:rPr>
          <w:rFonts w:ascii="Arial" w:hAnsi="Arial" w:cs="Arial"/>
        </w:rPr>
        <w:t>).</w:t>
      </w:r>
      <w:r w:rsidRPr="00820BDF">
        <w:rPr>
          <w:rFonts w:ascii="Arial" w:hAnsi="Arial" w:cs="Arial"/>
        </w:rPr>
        <w:t xml:space="preserve"> A study on antimicrobial, antioxidant and antimutagenic activities of </w:t>
      </w:r>
      <w:r w:rsidRPr="00E86888">
        <w:rPr>
          <w:rFonts w:ascii="Arial" w:hAnsi="Arial" w:cs="Arial"/>
          <w:i/>
        </w:rPr>
        <w:t>Elaeagnus angustifolia</w:t>
      </w:r>
      <w:r w:rsidRPr="00820BDF">
        <w:rPr>
          <w:rFonts w:ascii="Arial" w:hAnsi="Arial" w:cs="Arial"/>
        </w:rPr>
        <w:t xml:space="preserve"> L. leaves. </w:t>
      </w:r>
      <w:r w:rsidRPr="00984F99">
        <w:rPr>
          <w:rFonts w:ascii="Arial" w:hAnsi="Arial" w:cs="Arial"/>
        </w:rPr>
        <w:t>African Journal of Traditional, Complementary and Alternative Medicines</w:t>
      </w:r>
      <w:r>
        <w:rPr>
          <w:rFonts w:ascii="Arial" w:hAnsi="Arial" w:cs="Arial"/>
        </w:rPr>
        <w:t xml:space="preserve">, </w:t>
      </w:r>
      <w:r w:rsidRPr="00820BDF">
        <w:rPr>
          <w:rFonts w:ascii="Arial" w:hAnsi="Arial" w:cs="Arial"/>
        </w:rPr>
        <w:t xml:space="preserve">11, 116–120. </w:t>
      </w:r>
      <w:hyperlink r:id="rId63" w:history="1">
        <w:r w:rsidRPr="002C53EB">
          <w:rPr>
            <w:rStyle w:val="Hyperlink"/>
            <w:rFonts w:ascii="Arial" w:hAnsi="Arial" w:cs="Arial"/>
          </w:rPr>
          <w:t>https://doi.org/10.4314/ajtcam.v11i1.17</w:t>
        </w:r>
      </w:hyperlink>
      <w:r>
        <w:rPr>
          <w:rFonts w:ascii="Arial" w:hAnsi="Arial" w:cs="Arial"/>
        </w:rPr>
        <w:t xml:space="preserve"> </w:t>
      </w:r>
      <w:r w:rsidRPr="00820BDF">
        <w:rPr>
          <w:rFonts w:ascii="Arial" w:hAnsi="Arial" w:cs="Arial"/>
        </w:rPr>
        <w:t xml:space="preserve"> </w:t>
      </w:r>
    </w:p>
    <w:p w14:paraId="64BFEEE3"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Öztürk, H.</w:t>
      </w:r>
      <w:r>
        <w:rPr>
          <w:rFonts w:ascii="Arial" w:hAnsi="Arial" w:cs="Arial"/>
        </w:rPr>
        <w:t xml:space="preserve"> </w:t>
      </w:r>
      <w:r w:rsidRPr="00820BDF">
        <w:rPr>
          <w:rFonts w:ascii="Arial" w:hAnsi="Arial" w:cs="Arial"/>
        </w:rPr>
        <w:t>İ.</w:t>
      </w:r>
      <w:r>
        <w:rPr>
          <w:rFonts w:ascii="Arial" w:hAnsi="Arial" w:cs="Arial"/>
        </w:rPr>
        <w:t>,</w:t>
      </w:r>
      <w:r w:rsidRPr="00820BDF">
        <w:rPr>
          <w:rFonts w:ascii="Arial" w:hAnsi="Arial" w:cs="Arial"/>
        </w:rPr>
        <w:t xml:space="preserve"> Aydın, S.</w:t>
      </w:r>
      <w:r>
        <w:rPr>
          <w:rFonts w:ascii="Arial" w:hAnsi="Arial" w:cs="Arial"/>
        </w:rPr>
        <w:t>,</w:t>
      </w:r>
      <w:r w:rsidRPr="00820BDF">
        <w:rPr>
          <w:rFonts w:ascii="Arial" w:hAnsi="Arial" w:cs="Arial"/>
        </w:rPr>
        <w:t xml:space="preserve"> Sözeri, D.</w:t>
      </w:r>
      <w:r>
        <w:rPr>
          <w:rFonts w:ascii="Arial" w:hAnsi="Arial" w:cs="Arial"/>
        </w:rPr>
        <w:t>,</w:t>
      </w:r>
      <w:r w:rsidRPr="00820BDF">
        <w:rPr>
          <w:rFonts w:ascii="Arial" w:hAnsi="Arial" w:cs="Arial"/>
        </w:rPr>
        <w:t xml:space="preserve"> Demirci, T.</w:t>
      </w:r>
      <w:r>
        <w:rPr>
          <w:rFonts w:ascii="Arial" w:hAnsi="Arial" w:cs="Arial"/>
        </w:rPr>
        <w:t>,</w:t>
      </w:r>
      <w:r w:rsidRPr="00820BDF">
        <w:rPr>
          <w:rFonts w:ascii="Arial" w:hAnsi="Arial" w:cs="Arial"/>
        </w:rPr>
        <w:t xml:space="preserve"> </w:t>
      </w:r>
      <w:proofErr w:type="spellStart"/>
      <w:r w:rsidRPr="00820BDF">
        <w:rPr>
          <w:rFonts w:ascii="Arial" w:hAnsi="Arial" w:cs="Arial"/>
        </w:rPr>
        <w:t>Sert</w:t>
      </w:r>
      <w:proofErr w:type="spellEnd"/>
      <w:r w:rsidRPr="00820BDF">
        <w:rPr>
          <w:rFonts w:ascii="Arial" w:hAnsi="Arial" w:cs="Arial"/>
        </w:rPr>
        <w:t>, D.</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Akın, N. </w:t>
      </w:r>
      <w:r>
        <w:rPr>
          <w:rFonts w:ascii="Arial" w:hAnsi="Arial" w:cs="Arial"/>
        </w:rPr>
        <w:t>(</w:t>
      </w:r>
      <w:r w:rsidRPr="00820BDF">
        <w:rPr>
          <w:rFonts w:ascii="Arial" w:hAnsi="Arial" w:cs="Arial"/>
        </w:rPr>
        <w:t>2018</w:t>
      </w:r>
      <w:r>
        <w:rPr>
          <w:rFonts w:ascii="Arial" w:hAnsi="Arial" w:cs="Arial"/>
        </w:rPr>
        <w:t xml:space="preserve">). </w:t>
      </w:r>
      <w:r w:rsidRPr="00820BDF">
        <w:rPr>
          <w:rFonts w:ascii="Arial" w:hAnsi="Arial" w:cs="Arial"/>
        </w:rPr>
        <w:t xml:space="preserve">Fortification of set-type yoghurts with Elaeagnus angustifolia L. flours: Effects on physicochemical, textural, and microstructural characteristics. LWT, 90, 620–626. </w:t>
      </w:r>
      <w:hyperlink r:id="rId64" w:history="1">
        <w:r w:rsidRPr="002C53EB">
          <w:rPr>
            <w:rStyle w:val="Hyperlink"/>
            <w:rFonts w:ascii="Arial" w:hAnsi="Arial" w:cs="Arial"/>
          </w:rPr>
          <w:t>https://doi.org/10.1007/s10068-019-00589-6</w:t>
        </w:r>
      </w:hyperlink>
      <w:r>
        <w:rPr>
          <w:rFonts w:ascii="Arial" w:hAnsi="Arial" w:cs="Arial"/>
        </w:rPr>
        <w:t xml:space="preserve"> </w:t>
      </w:r>
      <w:r w:rsidRPr="00820BDF">
        <w:rPr>
          <w:rFonts w:ascii="Arial" w:hAnsi="Arial" w:cs="Arial"/>
        </w:rPr>
        <w:t xml:space="preserve"> </w:t>
      </w:r>
    </w:p>
    <w:p w14:paraId="323C5FB2" w14:textId="77777777" w:rsidR="00C046CA" w:rsidRDefault="00C046CA" w:rsidP="00C046CA">
      <w:pPr>
        <w:pStyle w:val="Body"/>
        <w:spacing w:after="120"/>
        <w:ind w:left="720" w:hanging="720"/>
        <w:rPr>
          <w:rFonts w:ascii="Arial" w:hAnsi="Arial" w:cs="Arial"/>
        </w:rPr>
      </w:pPr>
      <w:r w:rsidRPr="007B7333">
        <w:rPr>
          <w:rFonts w:ascii="Arial" w:hAnsi="Arial" w:cs="Arial"/>
        </w:rPr>
        <w:t>Rahman, M</w:t>
      </w:r>
      <w:r>
        <w:rPr>
          <w:rFonts w:ascii="Arial" w:hAnsi="Arial" w:cs="Arial"/>
        </w:rPr>
        <w:t xml:space="preserve">. </w:t>
      </w:r>
      <w:r w:rsidRPr="007B7333">
        <w:rPr>
          <w:rFonts w:ascii="Arial" w:hAnsi="Arial" w:cs="Arial"/>
        </w:rPr>
        <w:t>M., Rahaman, M</w:t>
      </w:r>
      <w:r>
        <w:rPr>
          <w:rFonts w:ascii="Arial" w:hAnsi="Arial" w:cs="Arial"/>
        </w:rPr>
        <w:t xml:space="preserve">. </w:t>
      </w:r>
      <w:r w:rsidRPr="007B7333">
        <w:rPr>
          <w:rFonts w:ascii="Arial" w:hAnsi="Arial" w:cs="Arial"/>
        </w:rPr>
        <w:t>S., Islam, M</w:t>
      </w:r>
      <w:r>
        <w:rPr>
          <w:rFonts w:ascii="Arial" w:hAnsi="Arial" w:cs="Arial"/>
        </w:rPr>
        <w:t xml:space="preserve">. </w:t>
      </w:r>
      <w:r w:rsidRPr="007B7333">
        <w:rPr>
          <w:rFonts w:ascii="Arial" w:hAnsi="Arial" w:cs="Arial"/>
        </w:rPr>
        <w:t>R., Rahman, F., Mithi, F.</w:t>
      </w:r>
      <w:r>
        <w:rPr>
          <w:rFonts w:ascii="Arial" w:hAnsi="Arial" w:cs="Arial"/>
        </w:rPr>
        <w:t xml:space="preserve"> </w:t>
      </w:r>
      <w:r w:rsidRPr="007B7333">
        <w:rPr>
          <w:rFonts w:ascii="Arial" w:hAnsi="Arial" w:cs="Arial"/>
        </w:rPr>
        <w:t>M., Alqahtani, T.</w:t>
      </w:r>
      <w:r>
        <w:rPr>
          <w:rFonts w:ascii="Arial" w:hAnsi="Arial" w:cs="Arial"/>
        </w:rPr>
        <w:t xml:space="preserve"> et al. (2021).</w:t>
      </w:r>
      <w:r w:rsidRPr="007B7333">
        <w:rPr>
          <w:rFonts w:ascii="Arial" w:hAnsi="Arial" w:cs="Arial"/>
        </w:rPr>
        <w:t xml:space="preserve"> Role of phenolic compounds in human disease: Current knowledge and </w:t>
      </w:r>
      <w:r>
        <w:rPr>
          <w:rFonts w:ascii="Arial" w:hAnsi="Arial" w:cs="Arial"/>
        </w:rPr>
        <w:t>future prospects. Molecules</w:t>
      </w:r>
      <w:r w:rsidRPr="007B7333">
        <w:rPr>
          <w:rFonts w:ascii="Arial" w:hAnsi="Arial" w:cs="Arial"/>
        </w:rPr>
        <w:t>, 27, 233.</w:t>
      </w:r>
      <w:r>
        <w:rPr>
          <w:rFonts w:ascii="Arial" w:hAnsi="Arial" w:cs="Arial"/>
        </w:rPr>
        <w:t xml:space="preserve"> </w:t>
      </w:r>
      <w:hyperlink r:id="rId65" w:history="1">
        <w:r w:rsidRPr="002C53EB">
          <w:rPr>
            <w:rStyle w:val="Hyperlink"/>
            <w:rFonts w:ascii="Arial" w:hAnsi="Arial" w:cs="Arial"/>
          </w:rPr>
          <w:t>https://doi.org/10.3390/molecules27010233</w:t>
        </w:r>
      </w:hyperlink>
      <w:r>
        <w:rPr>
          <w:rFonts w:ascii="Arial" w:hAnsi="Arial" w:cs="Arial"/>
        </w:rPr>
        <w:t xml:space="preserve">  </w:t>
      </w:r>
    </w:p>
    <w:p w14:paraId="512FF259"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Rocchetti, G.</w:t>
      </w:r>
      <w:r>
        <w:rPr>
          <w:rFonts w:ascii="Arial" w:hAnsi="Arial" w:cs="Arial"/>
        </w:rPr>
        <w:t>,</w:t>
      </w:r>
      <w:r w:rsidRPr="00820BDF">
        <w:rPr>
          <w:rFonts w:ascii="Arial" w:hAnsi="Arial" w:cs="Arial"/>
        </w:rPr>
        <w:t xml:space="preserve"> Gregorio, R</w:t>
      </w:r>
      <w:r>
        <w:rPr>
          <w:rFonts w:ascii="Arial" w:hAnsi="Arial" w:cs="Arial"/>
        </w:rPr>
        <w:t>.</w:t>
      </w:r>
      <w:r w:rsidRPr="00820BDF">
        <w:rPr>
          <w:rFonts w:ascii="Arial" w:hAnsi="Arial" w:cs="Arial"/>
        </w:rPr>
        <w:t>P.</w:t>
      </w:r>
      <w:r>
        <w:rPr>
          <w:rFonts w:ascii="Arial" w:hAnsi="Arial" w:cs="Arial"/>
        </w:rPr>
        <w:t>,</w:t>
      </w:r>
      <w:r w:rsidRPr="00820BDF">
        <w:rPr>
          <w:rFonts w:ascii="Arial" w:hAnsi="Arial" w:cs="Arial"/>
        </w:rPr>
        <w:t xml:space="preserve"> Lorenzo, J</w:t>
      </w:r>
      <w:r>
        <w:rPr>
          <w:rFonts w:ascii="Arial" w:hAnsi="Arial" w:cs="Arial"/>
        </w:rPr>
        <w:t xml:space="preserve">. </w:t>
      </w:r>
      <w:r w:rsidRPr="00820BDF">
        <w:rPr>
          <w:rFonts w:ascii="Arial" w:hAnsi="Arial" w:cs="Arial"/>
        </w:rPr>
        <w:t>M.</w:t>
      </w:r>
      <w:r>
        <w:rPr>
          <w:rFonts w:ascii="Arial" w:hAnsi="Arial" w:cs="Arial"/>
        </w:rPr>
        <w:t>,</w:t>
      </w:r>
      <w:r w:rsidRPr="00820BDF">
        <w:rPr>
          <w:rFonts w:ascii="Arial" w:hAnsi="Arial" w:cs="Arial"/>
        </w:rPr>
        <w:t xml:space="preserve"> Barba, F</w:t>
      </w:r>
      <w:r>
        <w:rPr>
          <w:rFonts w:ascii="Arial" w:hAnsi="Arial" w:cs="Arial"/>
        </w:rPr>
        <w:t xml:space="preserve">. </w:t>
      </w:r>
      <w:r w:rsidRPr="00820BDF">
        <w:rPr>
          <w:rFonts w:ascii="Arial" w:hAnsi="Arial" w:cs="Arial"/>
        </w:rPr>
        <w:t>J.</w:t>
      </w:r>
      <w:r>
        <w:rPr>
          <w:rFonts w:ascii="Arial" w:hAnsi="Arial" w:cs="Arial"/>
        </w:rPr>
        <w:t>,</w:t>
      </w:r>
      <w:r w:rsidRPr="00820BDF">
        <w:rPr>
          <w:rFonts w:ascii="Arial" w:hAnsi="Arial" w:cs="Arial"/>
        </w:rPr>
        <w:t xml:space="preserve"> Oliveira, P</w:t>
      </w:r>
      <w:r>
        <w:rPr>
          <w:rFonts w:ascii="Arial" w:hAnsi="Arial" w:cs="Arial"/>
        </w:rPr>
        <w:t xml:space="preserve">. </w:t>
      </w:r>
      <w:r w:rsidRPr="00820BDF">
        <w:rPr>
          <w:rFonts w:ascii="Arial" w:hAnsi="Arial" w:cs="Arial"/>
        </w:rPr>
        <w:t>G.</w:t>
      </w:r>
      <w:r>
        <w:rPr>
          <w:rFonts w:ascii="Arial" w:hAnsi="Arial" w:cs="Arial"/>
        </w:rPr>
        <w:t>,</w:t>
      </w:r>
      <w:r w:rsidRPr="00820BDF">
        <w:rPr>
          <w:rFonts w:ascii="Arial" w:hAnsi="Arial" w:cs="Arial"/>
        </w:rPr>
        <w:t xml:space="preserve"> Prieto, M</w:t>
      </w:r>
      <w:r>
        <w:rPr>
          <w:rFonts w:ascii="Arial" w:hAnsi="Arial" w:cs="Arial"/>
        </w:rPr>
        <w:t xml:space="preserve">. </w:t>
      </w:r>
      <w:r w:rsidRPr="00820BDF">
        <w:rPr>
          <w:rFonts w:ascii="Arial" w:hAnsi="Arial" w:cs="Arial"/>
        </w:rPr>
        <w:t>A.</w:t>
      </w:r>
      <w:r>
        <w:rPr>
          <w:rFonts w:ascii="Arial" w:hAnsi="Arial" w:cs="Arial"/>
        </w:rPr>
        <w:t>,</w:t>
      </w:r>
      <w:r w:rsidRPr="00820BDF">
        <w:rPr>
          <w:rFonts w:ascii="Arial" w:hAnsi="Arial" w:cs="Arial"/>
        </w:rPr>
        <w:t xml:space="preserve"> et al.</w:t>
      </w:r>
      <w:r>
        <w:rPr>
          <w:rFonts w:ascii="Arial" w:hAnsi="Arial" w:cs="Arial"/>
        </w:rPr>
        <w:t xml:space="preserve"> (</w:t>
      </w:r>
      <w:r w:rsidRPr="00820BDF">
        <w:rPr>
          <w:rFonts w:ascii="Arial" w:hAnsi="Arial" w:cs="Arial"/>
        </w:rPr>
        <w:t>2022</w:t>
      </w:r>
      <w:r>
        <w:rPr>
          <w:rFonts w:ascii="Arial" w:hAnsi="Arial" w:cs="Arial"/>
        </w:rPr>
        <w:t xml:space="preserve">). </w:t>
      </w:r>
      <w:r w:rsidRPr="00820BDF">
        <w:rPr>
          <w:rFonts w:ascii="Arial" w:hAnsi="Arial" w:cs="Arial"/>
        </w:rPr>
        <w:t xml:space="preserve">Functional implications of bound phenolic compounds and phenolics–food interaction: A review. </w:t>
      </w:r>
      <w:r w:rsidRPr="00D057F1">
        <w:rPr>
          <w:rFonts w:ascii="Arial" w:hAnsi="Arial" w:cs="Arial"/>
        </w:rPr>
        <w:t>Comprehensive Reviews in Food Science and Food Safety</w:t>
      </w:r>
      <w:r w:rsidRPr="00820BDF">
        <w:rPr>
          <w:rFonts w:ascii="Arial" w:hAnsi="Arial" w:cs="Arial"/>
        </w:rPr>
        <w:t xml:space="preserve">, 21, 811–842. </w:t>
      </w:r>
      <w:hyperlink r:id="rId66" w:history="1">
        <w:r w:rsidRPr="002C53EB">
          <w:rPr>
            <w:rStyle w:val="Hyperlink"/>
            <w:rFonts w:ascii="Arial" w:hAnsi="Arial" w:cs="Arial"/>
          </w:rPr>
          <w:t>https://doi.org/10.1111/1541-4337.12921</w:t>
        </w:r>
      </w:hyperlink>
      <w:r>
        <w:rPr>
          <w:rFonts w:ascii="Arial" w:hAnsi="Arial" w:cs="Arial"/>
        </w:rPr>
        <w:t xml:space="preserve"> </w:t>
      </w:r>
    </w:p>
    <w:p w14:paraId="3771337F"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Rudrapal</w:t>
      </w:r>
      <w:proofErr w:type="spellEnd"/>
      <w:r w:rsidRPr="00820BDF">
        <w:rPr>
          <w:rFonts w:ascii="Arial" w:hAnsi="Arial" w:cs="Arial"/>
        </w:rPr>
        <w:t>, M.</w:t>
      </w:r>
      <w:r>
        <w:rPr>
          <w:rFonts w:ascii="Arial" w:hAnsi="Arial" w:cs="Arial"/>
        </w:rPr>
        <w:t>,</w:t>
      </w:r>
      <w:r w:rsidRPr="00820BDF">
        <w:rPr>
          <w:rFonts w:ascii="Arial" w:hAnsi="Arial" w:cs="Arial"/>
        </w:rPr>
        <w:t xml:space="preserve"> de Oliveira, A.</w:t>
      </w:r>
      <w:r>
        <w:rPr>
          <w:rFonts w:ascii="Arial" w:hAnsi="Arial" w:cs="Arial"/>
        </w:rPr>
        <w:t xml:space="preserve"> </w:t>
      </w:r>
      <w:r w:rsidRPr="00820BDF">
        <w:rPr>
          <w:rFonts w:ascii="Arial" w:hAnsi="Arial" w:cs="Arial"/>
        </w:rPr>
        <w:t>M.</w:t>
      </w:r>
      <w:r>
        <w:rPr>
          <w:rFonts w:ascii="Arial" w:hAnsi="Arial" w:cs="Arial"/>
        </w:rPr>
        <w:t>,</w:t>
      </w:r>
      <w:r w:rsidRPr="00820BDF">
        <w:rPr>
          <w:rFonts w:ascii="Arial" w:hAnsi="Arial" w:cs="Arial"/>
        </w:rPr>
        <w:t xml:space="preserve"> de Abreu, H.</w:t>
      </w:r>
      <w:r>
        <w:rPr>
          <w:rFonts w:ascii="Arial" w:hAnsi="Arial" w:cs="Arial"/>
        </w:rPr>
        <w:t xml:space="preserve"> </w:t>
      </w:r>
      <w:r w:rsidRPr="00820BDF">
        <w:rPr>
          <w:rFonts w:ascii="Arial" w:hAnsi="Arial" w:cs="Arial"/>
        </w:rPr>
        <w:t>A.</w:t>
      </w:r>
      <w:r>
        <w:rPr>
          <w:rFonts w:ascii="Arial" w:hAnsi="Arial" w:cs="Arial"/>
        </w:rPr>
        <w:t>,</w:t>
      </w:r>
      <w:r w:rsidRPr="00820BDF">
        <w:rPr>
          <w:rFonts w:ascii="Arial" w:hAnsi="Arial" w:cs="Arial"/>
        </w:rPr>
        <w:t xml:space="preserve"> Rakshit, G.</w:t>
      </w:r>
      <w:r>
        <w:rPr>
          <w:rFonts w:ascii="Arial" w:hAnsi="Arial" w:cs="Arial"/>
        </w:rPr>
        <w:t>,</w:t>
      </w:r>
      <w:r w:rsidRPr="00820BDF">
        <w:rPr>
          <w:rFonts w:ascii="Arial" w:hAnsi="Arial" w:cs="Arial"/>
        </w:rPr>
        <w:t xml:space="preserve"> Tripathi, M.</w:t>
      </w:r>
      <w:r>
        <w:rPr>
          <w:rFonts w:ascii="Arial" w:hAnsi="Arial" w:cs="Arial"/>
        </w:rPr>
        <w:t xml:space="preserve"> </w:t>
      </w:r>
      <w:r w:rsidRPr="00820BDF">
        <w:rPr>
          <w:rFonts w:ascii="Arial" w:hAnsi="Arial" w:cs="Arial"/>
        </w:rPr>
        <w:t>K.</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Khan, J. </w:t>
      </w:r>
      <w:r>
        <w:rPr>
          <w:rFonts w:ascii="Arial" w:hAnsi="Arial" w:cs="Arial"/>
        </w:rPr>
        <w:t>(</w:t>
      </w:r>
      <w:r w:rsidRPr="00820BDF">
        <w:rPr>
          <w:rFonts w:ascii="Arial" w:hAnsi="Arial" w:cs="Arial"/>
        </w:rPr>
        <w:t>2025</w:t>
      </w:r>
      <w:r>
        <w:rPr>
          <w:rFonts w:ascii="Arial" w:hAnsi="Arial" w:cs="Arial"/>
        </w:rPr>
        <w:t xml:space="preserve">). </w:t>
      </w:r>
      <w:r w:rsidRPr="00820BDF">
        <w:rPr>
          <w:rFonts w:ascii="Arial" w:hAnsi="Arial" w:cs="Arial"/>
        </w:rPr>
        <w:t xml:space="preserve">Anti-inflammatory and antioxidant potential of plant-derived phenolic acids as triple COX, LOX, and NOX inhibitors: A computational approach. </w:t>
      </w:r>
      <w:r w:rsidRPr="00C01E14">
        <w:rPr>
          <w:rFonts w:ascii="Arial" w:hAnsi="Arial" w:cs="Arial"/>
        </w:rPr>
        <w:t>Chemistry and Biodiversity</w:t>
      </w:r>
      <w:r w:rsidRPr="00820BDF">
        <w:rPr>
          <w:rFonts w:ascii="Arial" w:hAnsi="Arial" w:cs="Arial"/>
        </w:rPr>
        <w:t xml:space="preserve">, 22, e03505. </w:t>
      </w:r>
      <w:hyperlink r:id="rId67" w:history="1">
        <w:r w:rsidRPr="002C53EB">
          <w:rPr>
            <w:rStyle w:val="Hyperlink"/>
            <w:rFonts w:ascii="Arial" w:hAnsi="Arial" w:cs="Arial"/>
          </w:rPr>
          <w:t>https://doi.org/10.1002/cbdv.202403505</w:t>
        </w:r>
      </w:hyperlink>
      <w:r>
        <w:rPr>
          <w:rFonts w:ascii="Arial" w:hAnsi="Arial" w:cs="Arial"/>
        </w:rPr>
        <w:t xml:space="preserve"> </w:t>
      </w:r>
    </w:p>
    <w:p w14:paraId="0CD16FF3" w14:textId="77777777" w:rsidR="00C046CA" w:rsidRPr="00E453C6" w:rsidRDefault="00C046CA" w:rsidP="00C046CA">
      <w:pPr>
        <w:pStyle w:val="Body"/>
        <w:spacing w:after="120"/>
        <w:ind w:left="720" w:hanging="720"/>
        <w:rPr>
          <w:rFonts w:ascii="Arial" w:hAnsi="Arial" w:cs="Arial"/>
        </w:rPr>
      </w:pPr>
      <w:proofErr w:type="spellStart"/>
      <w:r w:rsidRPr="00E453C6">
        <w:rPr>
          <w:rFonts w:ascii="Arial" w:hAnsi="Arial" w:cs="Arial"/>
        </w:rPr>
        <w:t>Ruenroengklin</w:t>
      </w:r>
      <w:proofErr w:type="spellEnd"/>
      <w:r w:rsidRPr="00E453C6">
        <w:rPr>
          <w:rFonts w:ascii="Arial" w:hAnsi="Arial" w:cs="Arial"/>
        </w:rPr>
        <w:t xml:space="preserve">, N., Zhong, J., Duan, X., Yang, B., Li, J., </w:t>
      </w:r>
      <w:r w:rsidRPr="008641ED">
        <w:rPr>
          <w:rFonts w:ascii="Arial" w:hAnsi="Arial" w:cs="Arial"/>
        </w:rPr>
        <w:t>&amp;</w:t>
      </w:r>
      <w:r>
        <w:rPr>
          <w:rFonts w:ascii="Arial" w:hAnsi="Arial" w:cs="Arial"/>
        </w:rPr>
        <w:t xml:space="preserve"> </w:t>
      </w:r>
      <w:r w:rsidRPr="00E453C6">
        <w:rPr>
          <w:rFonts w:ascii="Arial" w:hAnsi="Arial" w:cs="Arial"/>
        </w:rPr>
        <w:t xml:space="preserve">Jiang, Y. </w:t>
      </w:r>
      <w:r>
        <w:rPr>
          <w:rFonts w:ascii="Arial" w:hAnsi="Arial" w:cs="Arial"/>
        </w:rPr>
        <w:t>(</w:t>
      </w:r>
      <w:r w:rsidRPr="00E453C6">
        <w:rPr>
          <w:rFonts w:ascii="Arial" w:hAnsi="Arial" w:cs="Arial"/>
        </w:rPr>
        <w:t>2008</w:t>
      </w:r>
      <w:r>
        <w:rPr>
          <w:rFonts w:ascii="Arial" w:hAnsi="Arial" w:cs="Arial"/>
        </w:rPr>
        <w:t xml:space="preserve">). </w:t>
      </w:r>
      <w:r w:rsidRPr="00E453C6">
        <w:rPr>
          <w:rFonts w:ascii="Arial" w:hAnsi="Arial" w:cs="Arial"/>
        </w:rPr>
        <w:t xml:space="preserve">Effects of different temperatures and pH values on the ex-traction yield of phenolic compounds from </w:t>
      </w:r>
      <w:proofErr w:type="spellStart"/>
      <w:r w:rsidRPr="00E453C6">
        <w:rPr>
          <w:rFonts w:ascii="Arial" w:hAnsi="Arial" w:cs="Arial"/>
        </w:rPr>
        <w:t>lci</w:t>
      </w:r>
      <w:proofErr w:type="spellEnd"/>
      <w:r w:rsidRPr="00E453C6">
        <w:rPr>
          <w:rFonts w:ascii="Arial" w:hAnsi="Arial" w:cs="Arial"/>
        </w:rPr>
        <w:t xml:space="preserve"> fruit pericarp tissue and the antioxidant activity of extracted anthocyanins. </w:t>
      </w:r>
      <w:r w:rsidRPr="00CC0AEB">
        <w:rPr>
          <w:rFonts w:ascii="Arial" w:hAnsi="Arial" w:cs="Arial"/>
        </w:rPr>
        <w:lastRenderedPageBreak/>
        <w:t>International Journal of Molecular Sciences</w:t>
      </w:r>
      <w:r w:rsidRPr="00E453C6">
        <w:rPr>
          <w:rFonts w:ascii="Arial" w:hAnsi="Arial" w:cs="Arial"/>
        </w:rPr>
        <w:t xml:space="preserve">, 9, 1333–1341. </w:t>
      </w:r>
      <w:hyperlink r:id="rId68" w:history="1">
        <w:r w:rsidRPr="002C53EB">
          <w:rPr>
            <w:rStyle w:val="Hyperlink"/>
            <w:rFonts w:ascii="Arial" w:hAnsi="Arial" w:cs="Arial"/>
          </w:rPr>
          <w:t>https://doi.org/10.3390/ijms9071333</w:t>
        </w:r>
      </w:hyperlink>
      <w:r>
        <w:rPr>
          <w:rFonts w:ascii="Arial" w:hAnsi="Arial" w:cs="Arial"/>
        </w:rPr>
        <w:t xml:space="preserve"> </w:t>
      </w:r>
    </w:p>
    <w:p w14:paraId="59C06477"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Sahan, Y.</w:t>
      </w:r>
      <w:r>
        <w:rPr>
          <w:rFonts w:ascii="Arial" w:hAnsi="Arial" w:cs="Arial"/>
        </w:rPr>
        <w:t>,</w:t>
      </w:r>
      <w:r w:rsidRPr="00820BDF">
        <w:rPr>
          <w:rFonts w:ascii="Arial" w:hAnsi="Arial" w:cs="Arial"/>
        </w:rPr>
        <w:t xml:space="preserve"> Aydin, E.</w:t>
      </w:r>
      <w:r>
        <w:rPr>
          <w:rFonts w:ascii="Arial" w:hAnsi="Arial" w:cs="Arial"/>
        </w:rPr>
        <w:t>,</w:t>
      </w:r>
      <w:r w:rsidRPr="00820BDF">
        <w:rPr>
          <w:rFonts w:ascii="Arial" w:hAnsi="Arial" w:cs="Arial"/>
        </w:rPr>
        <w:t xml:space="preserve"> </w:t>
      </w:r>
      <w:proofErr w:type="spellStart"/>
      <w:r w:rsidRPr="00820BDF">
        <w:rPr>
          <w:rFonts w:ascii="Arial" w:hAnsi="Arial" w:cs="Arial"/>
        </w:rPr>
        <w:t>Dundar</w:t>
      </w:r>
      <w:proofErr w:type="spellEnd"/>
      <w:r w:rsidRPr="00820BDF">
        <w:rPr>
          <w:rFonts w:ascii="Arial" w:hAnsi="Arial" w:cs="Arial"/>
        </w:rPr>
        <w:t>, A.</w:t>
      </w:r>
      <w:r>
        <w:rPr>
          <w:rFonts w:ascii="Arial" w:hAnsi="Arial" w:cs="Arial"/>
        </w:rPr>
        <w:t xml:space="preserve"> </w:t>
      </w:r>
      <w:r w:rsidRPr="00820BDF">
        <w:rPr>
          <w:rFonts w:ascii="Arial" w:hAnsi="Arial" w:cs="Arial"/>
        </w:rPr>
        <w:t>I.</w:t>
      </w:r>
      <w:r>
        <w:rPr>
          <w:rFonts w:ascii="Arial" w:hAnsi="Arial" w:cs="Arial"/>
        </w:rPr>
        <w:t>,</w:t>
      </w:r>
      <w:r w:rsidRPr="00820BDF">
        <w:rPr>
          <w:rFonts w:ascii="Arial" w:hAnsi="Arial" w:cs="Arial"/>
        </w:rPr>
        <w:t xml:space="preserve"> </w:t>
      </w:r>
      <w:proofErr w:type="spellStart"/>
      <w:r w:rsidRPr="00820BDF">
        <w:rPr>
          <w:rFonts w:ascii="Arial" w:hAnsi="Arial" w:cs="Arial"/>
        </w:rPr>
        <w:t>Altiner</w:t>
      </w:r>
      <w:proofErr w:type="spellEnd"/>
      <w:r w:rsidRPr="00820BDF">
        <w:rPr>
          <w:rFonts w:ascii="Arial" w:hAnsi="Arial" w:cs="Arial"/>
        </w:rPr>
        <w:t>, D.</w:t>
      </w:r>
      <w:r>
        <w:rPr>
          <w:rFonts w:ascii="Arial" w:hAnsi="Arial" w:cs="Arial"/>
        </w:rPr>
        <w:t xml:space="preserve"> </w:t>
      </w:r>
      <w:r w:rsidRPr="00820BDF">
        <w:rPr>
          <w:rFonts w:ascii="Arial" w:hAnsi="Arial" w:cs="Arial"/>
        </w:rPr>
        <w:t>D.</w:t>
      </w:r>
      <w:r>
        <w:rPr>
          <w:rFonts w:ascii="Arial" w:hAnsi="Arial" w:cs="Arial"/>
        </w:rPr>
        <w:t>,</w:t>
      </w:r>
      <w:r w:rsidRPr="00820BDF">
        <w:rPr>
          <w:rFonts w:ascii="Arial" w:hAnsi="Arial" w:cs="Arial"/>
        </w:rPr>
        <w:t xml:space="preserve"> Celik, G.</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proofErr w:type="spellStart"/>
      <w:r w:rsidRPr="00820BDF">
        <w:rPr>
          <w:rFonts w:ascii="Arial" w:hAnsi="Arial" w:cs="Arial"/>
        </w:rPr>
        <w:t>Gocmen</w:t>
      </w:r>
      <w:proofErr w:type="spellEnd"/>
      <w:r w:rsidRPr="00820BDF">
        <w:rPr>
          <w:rFonts w:ascii="Arial" w:hAnsi="Arial" w:cs="Arial"/>
        </w:rPr>
        <w:t xml:space="preserve">, D. </w:t>
      </w:r>
      <w:r>
        <w:rPr>
          <w:rFonts w:ascii="Arial" w:hAnsi="Arial" w:cs="Arial"/>
        </w:rPr>
        <w:t>(</w:t>
      </w:r>
      <w:r w:rsidRPr="00820BDF">
        <w:rPr>
          <w:rFonts w:ascii="Arial" w:hAnsi="Arial" w:cs="Arial"/>
        </w:rPr>
        <w:t>2019</w:t>
      </w:r>
      <w:r>
        <w:rPr>
          <w:rFonts w:ascii="Arial" w:hAnsi="Arial" w:cs="Arial"/>
        </w:rPr>
        <w:t xml:space="preserve">). </w:t>
      </w:r>
      <w:r w:rsidRPr="00820BDF">
        <w:rPr>
          <w:rFonts w:ascii="Arial" w:hAnsi="Arial" w:cs="Arial"/>
        </w:rPr>
        <w:t xml:space="preserve">Effects of oleaster flour supplementation on total phenolic contents, antioxidant capacities, and their </w:t>
      </w:r>
      <w:proofErr w:type="spellStart"/>
      <w:r w:rsidRPr="00820BDF">
        <w:rPr>
          <w:rFonts w:ascii="Arial" w:hAnsi="Arial" w:cs="Arial"/>
        </w:rPr>
        <w:t>bioaccessibilities</w:t>
      </w:r>
      <w:proofErr w:type="spellEnd"/>
      <w:r w:rsidRPr="00820BDF">
        <w:rPr>
          <w:rFonts w:ascii="Arial" w:hAnsi="Arial" w:cs="Arial"/>
        </w:rPr>
        <w:t xml:space="preserve"> of cookies. </w:t>
      </w:r>
      <w:r>
        <w:rPr>
          <w:rFonts w:ascii="Arial" w:hAnsi="Arial" w:cs="Arial"/>
        </w:rPr>
        <w:t>Food Science. Biotechnology</w:t>
      </w:r>
      <w:r w:rsidRPr="00820BDF">
        <w:rPr>
          <w:rFonts w:ascii="Arial" w:hAnsi="Arial" w:cs="Arial"/>
        </w:rPr>
        <w:t xml:space="preserve">, 28, 1401–1408. </w:t>
      </w:r>
      <w:hyperlink r:id="rId69" w:history="1">
        <w:r w:rsidRPr="002C53EB">
          <w:rPr>
            <w:rStyle w:val="Hyperlink"/>
            <w:rFonts w:ascii="Arial" w:hAnsi="Arial" w:cs="Arial"/>
          </w:rPr>
          <w:t>https://doi.org/10.1007/s10068-019-00589-6</w:t>
        </w:r>
      </w:hyperlink>
      <w:r>
        <w:rPr>
          <w:rFonts w:ascii="Arial" w:hAnsi="Arial" w:cs="Arial"/>
        </w:rPr>
        <w:t xml:space="preserve"> </w:t>
      </w:r>
      <w:r w:rsidRPr="00820BDF">
        <w:rPr>
          <w:rFonts w:ascii="Arial" w:hAnsi="Arial" w:cs="Arial"/>
        </w:rPr>
        <w:t xml:space="preserve"> </w:t>
      </w:r>
      <w:r>
        <w:rPr>
          <w:rFonts w:ascii="Arial" w:hAnsi="Arial" w:cs="Arial"/>
        </w:rPr>
        <w:t xml:space="preserve"> </w:t>
      </w:r>
    </w:p>
    <w:p w14:paraId="44DB02FF" w14:textId="77777777" w:rsidR="00C046CA" w:rsidRPr="00820BDF" w:rsidRDefault="00C046CA" w:rsidP="00C046CA">
      <w:pPr>
        <w:pStyle w:val="Body"/>
        <w:spacing w:after="120"/>
        <w:ind w:left="720" w:hanging="720"/>
        <w:rPr>
          <w:rFonts w:ascii="Arial" w:hAnsi="Arial" w:cs="Arial"/>
        </w:rPr>
      </w:pPr>
      <w:r>
        <w:rPr>
          <w:rFonts w:ascii="Arial" w:hAnsi="Arial" w:cs="Arial"/>
        </w:rPr>
        <w:t>Salazar-</w:t>
      </w:r>
      <w:proofErr w:type="spellStart"/>
      <w:r>
        <w:rPr>
          <w:rFonts w:ascii="Arial" w:hAnsi="Arial" w:cs="Arial"/>
        </w:rPr>
        <w:t>Orbea</w:t>
      </w:r>
      <w:proofErr w:type="spellEnd"/>
      <w:r>
        <w:rPr>
          <w:rFonts w:ascii="Arial" w:hAnsi="Arial" w:cs="Arial"/>
        </w:rPr>
        <w:t xml:space="preserve">, G. </w:t>
      </w:r>
      <w:r w:rsidRPr="00820BDF">
        <w:rPr>
          <w:rFonts w:ascii="Arial" w:hAnsi="Arial" w:cs="Arial"/>
        </w:rPr>
        <w:t>L.</w:t>
      </w:r>
      <w:r>
        <w:rPr>
          <w:rFonts w:ascii="Arial" w:hAnsi="Arial" w:cs="Arial"/>
        </w:rPr>
        <w:t>,</w:t>
      </w:r>
      <w:r w:rsidRPr="00820BDF">
        <w:rPr>
          <w:rFonts w:ascii="Arial" w:hAnsi="Arial" w:cs="Arial"/>
        </w:rPr>
        <w:t xml:space="preserve"> García-Villalba, R.</w:t>
      </w:r>
      <w:r>
        <w:rPr>
          <w:rFonts w:ascii="Arial" w:hAnsi="Arial" w:cs="Arial"/>
        </w:rPr>
        <w:t xml:space="preserve">, Bernal, M. </w:t>
      </w:r>
      <w:r w:rsidRPr="00820BDF">
        <w:rPr>
          <w:rFonts w:ascii="Arial" w:hAnsi="Arial" w:cs="Arial"/>
        </w:rPr>
        <w:t>J.</w:t>
      </w:r>
      <w:r>
        <w:rPr>
          <w:rFonts w:ascii="Arial" w:hAnsi="Arial" w:cs="Arial"/>
        </w:rPr>
        <w:t>,</w:t>
      </w:r>
      <w:r w:rsidRPr="00820BDF">
        <w:rPr>
          <w:rFonts w:ascii="Arial" w:hAnsi="Arial" w:cs="Arial"/>
        </w:rPr>
        <w:t xml:space="preserve"> Hernández, A.</w:t>
      </w:r>
      <w:r>
        <w:rPr>
          <w:rFonts w:ascii="Arial" w:hAnsi="Arial" w:cs="Arial"/>
        </w:rPr>
        <w:t xml:space="preserve">, Tomás-Barberán, F. </w:t>
      </w:r>
      <w:r w:rsidRPr="00820BDF">
        <w:rPr>
          <w:rFonts w:ascii="Arial" w:hAnsi="Arial" w:cs="Arial"/>
        </w:rPr>
        <w:t>A.</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Sánch</w:t>
      </w:r>
      <w:r>
        <w:rPr>
          <w:rFonts w:ascii="Arial" w:hAnsi="Arial" w:cs="Arial"/>
        </w:rPr>
        <w:t xml:space="preserve">ez-Siles, L. </w:t>
      </w:r>
      <w:r w:rsidRPr="00820BDF">
        <w:rPr>
          <w:rFonts w:ascii="Arial" w:hAnsi="Arial" w:cs="Arial"/>
        </w:rPr>
        <w:t xml:space="preserve">M. </w:t>
      </w:r>
      <w:r>
        <w:rPr>
          <w:rFonts w:ascii="Arial" w:hAnsi="Arial" w:cs="Arial"/>
        </w:rPr>
        <w:t>(</w:t>
      </w:r>
      <w:r w:rsidRPr="00820BDF">
        <w:rPr>
          <w:rFonts w:ascii="Arial" w:hAnsi="Arial" w:cs="Arial"/>
        </w:rPr>
        <w:t>2023</w:t>
      </w:r>
      <w:r>
        <w:rPr>
          <w:rFonts w:ascii="Arial" w:hAnsi="Arial" w:cs="Arial"/>
        </w:rPr>
        <w:t xml:space="preserve">). </w:t>
      </w:r>
      <w:r w:rsidRPr="00820BDF">
        <w:rPr>
          <w:rFonts w:ascii="Arial" w:hAnsi="Arial" w:cs="Arial"/>
        </w:rPr>
        <w:t xml:space="preserve">Stability of phenolic compounds in apple and strawberry: Effect of different processing techniques in industrial set-up. </w:t>
      </w:r>
      <w:r>
        <w:rPr>
          <w:rFonts w:ascii="Arial" w:hAnsi="Arial" w:cs="Arial"/>
        </w:rPr>
        <w:t>Food Chemistry</w:t>
      </w:r>
      <w:r w:rsidRPr="00820BDF">
        <w:rPr>
          <w:rFonts w:ascii="Arial" w:hAnsi="Arial" w:cs="Arial"/>
        </w:rPr>
        <w:t xml:space="preserve">, 401, 134099. </w:t>
      </w:r>
      <w:hyperlink r:id="rId70" w:history="1">
        <w:r w:rsidRPr="002C53EB">
          <w:rPr>
            <w:rStyle w:val="Hyperlink"/>
            <w:rFonts w:ascii="Arial" w:hAnsi="Arial" w:cs="Arial"/>
          </w:rPr>
          <w:t>https://doi.org/10.1016/j.foodchem.2022.134099</w:t>
        </w:r>
      </w:hyperlink>
      <w:r>
        <w:rPr>
          <w:rFonts w:ascii="Arial" w:hAnsi="Arial" w:cs="Arial"/>
        </w:rPr>
        <w:t xml:space="preserve"> </w:t>
      </w:r>
      <w:r w:rsidRPr="00820BDF">
        <w:rPr>
          <w:rFonts w:ascii="Arial" w:hAnsi="Arial" w:cs="Arial"/>
        </w:rPr>
        <w:t xml:space="preserve"> </w:t>
      </w:r>
    </w:p>
    <w:p w14:paraId="210EBB58" w14:textId="77777777" w:rsidR="00C046CA" w:rsidRDefault="00C046CA" w:rsidP="00C046CA">
      <w:pPr>
        <w:pStyle w:val="Body"/>
        <w:spacing w:after="120"/>
        <w:ind w:left="720" w:hanging="720"/>
        <w:rPr>
          <w:rFonts w:ascii="Arial" w:hAnsi="Arial" w:cs="Arial"/>
        </w:rPr>
      </w:pPr>
      <w:r w:rsidRPr="007A1E09">
        <w:rPr>
          <w:rFonts w:ascii="Arial" w:hAnsi="Arial" w:cs="Arial"/>
        </w:rPr>
        <w:t xml:space="preserve">Santangelo, C., Vari, R., </w:t>
      </w:r>
      <w:proofErr w:type="spellStart"/>
      <w:r w:rsidRPr="007A1E09">
        <w:rPr>
          <w:rFonts w:ascii="Arial" w:hAnsi="Arial" w:cs="Arial"/>
        </w:rPr>
        <w:t>Scazzocchio</w:t>
      </w:r>
      <w:proofErr w:type="spellEnd"/>
      <w:r w:rsidRPr="007A1E09">
        <w:rPr>
          <w:rFonts w:ascii="Arial" w:hAnsi="Arial" w:cs="Arial"/>
        </w:rPr>
        <w:t xml:space="preserve">, B., Di Benedetto, R., </w:t>
      </w:r>
      <w:proofErr w:type="spellStart"/>
      <w:r w:rsidRPr="007A1E09">
        <w:rPr>
          <w:rFonts w:ascii="Arial" w:hAnsi="Arial" w:cs="Arial"/>
        </w:rPr>
        <w:t>Filesi</w:t>
      </w:r>
      <w:proofErr w:type="spellEnd"/>
      <w:r w:rsidRPr="007A1E09">
        <w:rPr>
          <w:rFonts w:ascii="Arial" w:hAnsi="Arial" w:cs="Arial"/>
        </w:rPr>
        <w:t>, C., &amp; Masella, R. (2007). Polyphenols, intracellular signaling and inflammation. </w:t>
      </w:r>
      <w:proofErr w:type="spellStart"/>
      <w:r w:rsidRPr="007A1E09">
        <w:rPr>
          <w:rFonts w:ascii="Arial" w:hAnsi="Arial" w:cs="Arial"/>
          <w:iCs/>
        </w:rPr>
        <w:t>Annali-istituto</w:t>
      </w:r>
      <w:proofErr w:type="spellEnd"/>
      <w:r w:rsidRPr="007A1E09">
        <w:rPr>
          <w:rFonts w:ascii="Arial" w:hAnsi="Arial" w:cs="Arial"/>
          <w:iCs/>
        </w:rPr>
        <w:t xml:space="preserve"> </w:t>
      </w:r>
      <w:proofErr w:type="spellStart"/>
      <w:r w:rsidRPr="007A1E09">
        <w:rPr>
          <w:rFonts w:ascii="Arial" w:hAnsi="Arial" w:cs="Arial"/>
          <w:iCs/>
        </w:rPr>
        <w:t>superiore</w:t>
      </w:r>
      <w:proofErr w:type="spellEnd"/>
      <w:r w:rsidRPr="007A1E09">
        <w:rPr>
          <w:rFonts w:ascii="Arial" w:hAnsi="Arial" w:cs="Arial"/>
          <w:iCs/>
        </w:rPr>
        <w:t xml:space="preserve"> di </w:t>
      </w:r>
      <w:proofErr w:type="spellStart"/>
      <w:r w:rsidRPr="007A1E09">
        <w:rPr>
          <w:rFonts w:ascii="Arial" w:hAnsi="Arial" w:cs="Arial"/>
          <w:iCs/>
        </w:rPr>
        <w:t>sanita</w:t>
      </w:r>
      <w:proofErr w:type="spellEnd"/>
      <w:r w:rsidRPr="007A1E09">
        <w:rPr>
          <w:rFonts w:ascii="Arial" w:hAnsi="Arial" w:cs="Arial"/>
        </w:rPr>
        <w:t>, </w:t>
      </w:r>
      <w:r w:rsidRPr="007A1E09">
        <w:rPr>
          <w:rFonts w:ascii="Arial" w:hAnsi="Arial" w:cs="Arial"/>
          <w:i/>
          <w:iCs/>
        </w:rPr>
        <w:t>43</w:t>
      </w:r>
      <w:r w:rsidRPr="007A1E09">
        <w:rPr>
          <w:rFonts w:ascii="Arial" w:hAnsi="Arial" w:cs="Arial"/>
        </w:rPr>
        <w:t>(4), 394</w:t>
      </w:r>
      <w:r>
        <w:rPr>
          <w:rFonts w:ascii="Arial" w:hAnsi="Arial" w:cs="Arial"/>
        </w:rPr>
        <w:t xml:space="preserve"> - 405</w:t>
      </w:r>
      <w:r w:rsidRPr="007A1E09">
        <w:rPr>
          <w:rFonts w:ascii="Arial" w:hAnsi="Arial" w:cs="Arial"/>
        </w:rPr>
        <w:t>.</w:t>
      </w:r>
    </w:p>
    <w:p w14:paraId="4D35D61E" w14:textId="77777777" w:rsidR="00C046CA" w:rsidRPr="00445426" w:rsidRDefault="00C046CA" w:rsidP="00C046CA">
      <w:pPr>
        <w:pStyle w:val="Body"/>
        <w:spacing w:after="120"/>
        <w:ind w:left="720" w:hanging="720"/>
        <w:rPr>
          <w:rFonts w:ascii="Arial" w:hAnsi="Arial" w:cs="Arial"/>
        </w:rPr>
      </w:pPr>
      <w:r w:rsidRPr="00445426">
        <w:rPr>
          <w:rFonts w:ascii="Arial" w:hAnsi="Arial" w:cs="Arial"/>
        </w:rPr>
        <w:t>Santos-</w:t>
      </w:r>
      <w:proofErr w:type="spellStart"/>
      <w:r w:rsidRPr="00445426">
        <w:rPr>
          <w:rFonts w:ascii="Arial" w:hAnsi="Arial" w:cs="Arial"/>
        </w:rPr>
        <w:t>Buelga</w:t>
      </w:r>
      <w:proofErr w:type="spellEnd"/>
      <w:r w:rsidRPr="00445426">
        <w:rPr>
          <w:rFonts w:ascii="Arial" w:hAnsi="Arial" w:cs="Arial"/>
        </w:rPr>
        <w:t xml:space="preserve">, C., Gonzalez-Manzano, S., Dueñas, M., </w:t>
      </w:r>
      <w:r w:rsidRPr="008641ED">
        <w:rPr>
          <w:rFonts w:ascii="Arial" w:hAnsi="Arial" w:cs="Arial"/>
        </w:rPr>
        <w:t>&amp;</w:t>
      </w:r>
      <w:r>
        <w:rPr>
          <w:rFonts w:ascii="Arial" w:hAnsi="Arial" w:cs="Arial"/>
        </w:rPr>
        <w:t xml:space="preserve"> </w:t>
      </w:r>
      <w:r w:rsidRPr="00445426">
        <w:rPr>
          <w:rFonts w:ascii="Arial" w:hAnsi="Arial" w:cs="Arial"/>
        </w:rPr>
        <w:t>Gonzalez-</w:t>
      </w:r>
      <w:proofErr w:type="spellStart"/>
      <w:r w:rsidRPr="00445426">
        <w:rPr>
          <w:rFonts w:ascii="Arial" w:hAnsi="Arial" w:cs="Arial"/>
        </w:rPr>
        <w:t>Paramas</w:t>
      </w:r>
      <w:proofErr w:type="spellEnd"/>
      <w:r w:rsidRPr="00445426">
        <w:rPr>
          <w:rFonts w:ascii="Arial" w:hAnsi="Arial" w:cs="Arial"/>
        </w:rPr>
        <w:t>, A.</w:t>
      </w:r>
      <w:r>
        <w:rPr>
          <w:rFonts w:ascii="Arial" w:hAnsi="Arial" w:cs="Arial"/>
        </w:rPr>
        <w:t xml:space="preserve"> </w:t>
      </w:r>
      <w:r w:rsidRPr="00445426">
        <w:rPr>
          <w:rFonts w:ascii="Arial" w:hAnsi="Arial" w:cs="Arial"/>
        </w:rPr>
        <w:t xml:space="preserve">M. (2012). Extraction and Isolation of Phenolic Compounds. In Natural Products Isolation, Sarker, S., Nahar, L., Eds., Methods in Molecular Biology, Vol. 864, Humana Press: New York, NY, </w:t>
      </w:r>
      <w:proofErr w:type="gramStart"/>
      <w:r w:rsidRPr="00445426">
        <w:rPr>
          <w:rFonts w:ascii="Arial" w:hAnsi="Arial" w:cs="Arial"/>
        </w:rPr>
        <w:t>USA,;</w:t>
      </w:r>
      <w:proofErr w:type="gramEnd"/>
      <w:r w:rsidRPr="00445426">
        <w:rPr>
          <w:rFonts w:ascii="Arial" w:hAnsi="Arial" w:cs="Arial"/>
        </w:rPr>
        <w:t xml:space="preserve"> pp. 427–464. </w:t>
      </w:r>
      <w:hyperlink r:id="rId71" w:history="1">
        <w:r w:rsidRPr="00445426">
          <w:rPr>
            <w:rStyle w:val="Hyperlink"/>
            <w:rFonts w:ascii="Arial" w:hAnsi="Arial" w:cs="Arial"/>
          </w:rPr>
          <w:t>https://doi.org/10.1007/978-1-61779-624-1_17</w:t>
        </w:r>
      </w:hyperlink>
    </w:p>
    <w:p w14:paraId="25640AC0"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Sevindik, M.</w:t>
      </w:r>
      <w:r>
        <w:rPr>
          <w:rFonts w:ascii="Arial" w:hAnsi="Arial" w:cs="Arial"/>
        </w:rPr>
        <w:t>,</w:t>
      </w:r>
      <w:r w:rsidRPr="00820BDF">
        <w:rPr>
          <w:rFonts w:ascii="Arial" w:hAnsi="Arial" w:cs="Arial"/>
        </w:rPr>
        <w:t xml:space="preserve"> Krupodorova, T.</w:t>
      </w:r>
      <w:r>
        <w:rPr>
          <w:rFonts w:ascii="Arial" w:hAnsi="Arial" w:cs="Arial"/>
        </w:rPr>
        <w:t>,</w:t>
      </w:r>
      <w:r w:rsidRPr="00820BDF">
        <w:rPr>
          <w:rFonts w:ascii="Arial" w:hAnsi="Arial" w:cs="Arial"/>
        </w:rPr>
        <w:t xml:space="preserve"> Sevindik, E.</w:t>
      </w:r>
      <w:r>
        <w:rPr>
          <w:rFonts w:ascii="Arial" w:hAnsi="Arial" w:cs="Arial"/>
        </w:rPr>
        <w:t>,</w:t>
      </w:r>
      <w:r w:rsidRPr="00820BDF">
        <w:rPr>
          <w:rFonts w:ascii="Arial" w:hAnsi="Arial" w:cs="Arial"/>
        </w:rPr>
        <w:t xml:space="preserve"> Oğuzhan, K.</w:t>
      </w:r>
      <w:r>
        <w:rPr>
          <w:rFonts w:ascii="Arial" w:hAnsi="Arial" w:cs="Arial"/>
        </w:rPr>
        <w:t>,</w:t>
      </w:r>
      <w:r w:rsidRPr="00820BDF">
        <w:rPr>
          <w:rFonts w:ascii="Arial" w:hAnsi="Arial" w:cs="Arial"/>
        </w:rPr>
        <w:t xml:space="preserve"> İmran, U.</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Orhan, U. </w:t>
      </w:r>
      <w:r>
        <w:rPr>
          <w:rFonts w:ascii="Arial" w:hAnsi="Arial" w:cs="Arial"/>
        </w:rPr>
        <w:t>(</w:t>
      </w:r>
      <w:r w:rsidRPr="00820BDF">
        <w:rPr>
          <w:rFonts w:ascii="Arial" w:hAnsi="Arial" w:cs="Arial"/>
        </w:rPr>
        <w:t>2025</w:t>
      </w:r>
      <w:r>
        <w:rPr>
          <w:rFonts w:ascii="Arial" w:hAnsi="Arial" w:cs="Arial"/>
        </w:rPr>
        <w:t xml:space="preserve">). </w:t>
      </w:r>
      <w:r w:rsidRPr="00DD3076">
        <w:rPr>
          <w:rFonts w:ascii="Arial" w:hAnsi="Arial" w:cs="Arial"/>
          <w:i/>
        </w:rPr>
        <w:t>Elaeagnus angustifolia</w:t>
      </w:r>
      <w:r w:rsidRPr="00820BDF">
        <w:rPr>
          <w:rFonts w:ascii="Arial" w:hAnsi="Arial" w:cs="Arial"/>
        </w:rPr>
        <w:t xml:space="preserve"> L.: A comprehensive review of its biological activities, phenolic and chemical constituents, and applications. </w:t>
      </w:r>
      <w:r w:rsidRPr="00285A0D">
        <w:rPr>
          <w:rFonts w:ascii="Arial" w:hAnsi="Arial" w:cs="Arial"/>
        </w:rPr>
        <w:t>Applied Fruit Science</w:t>
      </w:r>
      <w:r w:rsidRPr="00820BDF">
        <w:rPr>
          <w:rFonts w:ascii="Arial" w:hAnsi="Arial" w:cs="Arial"/>
        </w:rPr>
        <w:t xml:space="preserve">, 67, 70. </w:t>
      </w:r>
      <w:hyperlink r:id="rId72" w:history="1">
        <w:r w:rsidRPr="002C53EB">
          <w:rPr>
            <w:rStyle w:val="Hyperlink"/>
            <w:rFonts w:ascii="Arial" w:hAnsi="Arial" w:cs="Arial"/>
          </w:rPr>
          <w:t>https://doi.org/10.1007/s10341-025-01294-x</w:t>
        </w:r>
      </w:hyperlink>
      <w:r>
        <w:rPr>
          <w:rFonts w:ascii="Arial" w:hAnsi="Arial" w:cs="Arial"/>
        </w:rPr>
        <w:t xml:space="preserve"> </w:t>
      </w:r>
    </w:p>
    <w:p w14:paraId="09FD3707" w14:textId="77777777" w:rsidR="00C046CA" w:rsidRDefault="00C046CA" w:rsidP="00C046CA">
      <w:pPr>
        <w:pStyle w:val="Body"/>
        <w:spacing w:after="120"/>
        <w:ind w:left="720" w:hanging="720"/>
        <w:rPr>
          <w:rFonts w:ascii="Arial" w:hAnsi="Arial" w:cs="Arial"/>
        </w:rPr>
      </w:pPr>
      <w:r w:rsidRPr="001B48CE">
        <w:rPr>
          <w:rFonts w:ascii="Arial" w:hAnsi="Arial" w:cs="Arial"/>
        </w:rPr>
        <w:t xml:space="preserve">Shahbaz, M., Imran, M., </w:t>
      </w:r>
      <w:proofErr w:type="spellStart"/>
      <w:r w:rsidRPr="001B48CE">
        <w:rPr>
          <w:rFonts w:ascii="Arial" w:hAnsi="Arial" w:cs="Arial"/>
        </w:rPr>
        <w:t>Alsagaby</w:t>
      </w:r>
      <w:proofErr w:type="spellEnd"/>
      <w:r w:rsidRPr="001B48CE">
        <w:rPr>
          <w:rFonts w:ascii="Arial" w:hAnsi="Arial" w:cs="Arial"/>
        </w:rPr>
        <w:t>, S. A., Naeem, H., Al Abdulmonem, W., Hussain, M.</w:t>
      </w:r>
      <w:r>
        <w:rPr>
          <w:rFonts w:ascii="Arial" w:hAnsi="Arial" w:cs="Arial"/>
        </w:rPr>
        <w:t>, et al.</w:t>
      </w:r>
      <w:r w:rsidRPr="001B48CE">
        <w:rPr>
          <w:rFonts w:ascii="Arial" w:hAnsi="Arial" w:cs="Arial"/>
        </w:rPr>
        <w:t xml:space="preserve"> (2023). Anticancer, antioxidant, ameliorative and therapeutic properties of kaempferol. </w:t>
      </w:r>
      <w:r w:rsidRPr="001B48CE">
        <w:rPr>
          <w:rFonts w:ascii="Arial" w:hAnsi="Arial" w:cs="Arial"/>
          <w:iCs/>
        </w:rPr>
        <w:t>International Journal of Food Properties</w:t>
      </w:r>
      <w:r w:rsidRPr="001B48CE">
        <w:rPr>
          <w:rFonts w:ascii="Arial" w:hAnsi="Arial" w:cs="Arial"/>
        </w:rPr>
        <w:t>, </w:t>
      </w:r>
      <w:r w:rsidRPr="001B48CE">
        <w:rPr>
          <w:rFonts w:ascii="Arial" w:hAnsi="Arial" w:cs="Arial"/>
          <w:i/>
          <w:iCs/>
        </w:rPr>
        <w:t>26</w:t>
      </w:r>
      <w:r w:rsidRPr="001B48CE">
        <w:rPr>
          <w:rFonts w:ascii="Arial" w:hAnsi="Arial" w:cs="Arial"/>
        </w:rPr>
        <w:t xml:space="preserve">(1), 1140-1166. </w:t>
      </w:r>
      <w:hyperlink r:id="rId73" w:history="1">
        <w:r w:rsidRPr="001B48CE">
          <w:rPr>
            <w:rStyle w:val="Hyperlink"/>
            <w:rFonts w:ascii="Arial" w:hAnsi="Arial" w:cs="Arial"/>
          </w:rPr>
          <w:t>https://doi.org/10.1080/10942912.2023.2205040</w:t>
        </w:r>
      </w:hyperlink>
    </w:p>
    <w:p w14:paraId="5234C1C3"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Shahidi, F.</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Hossain, A. </w:t>
      </w:r>
      <w:r>
        <w:rPr>
          <w:rFonts w:ascii="Arial" w:hAnsi="Arial" w:cs="Arial"/>
        </w:rPr>
        <w:t>(</w:t>
      </w:r>
      <w:r w:rsidRPr="00820BDF">
        <w:rPr>
          <w:rFonts w:ascii="Arial" w:hAnsi="Arial" w:cs="Arial"/>
        </w:rPr>
        <w:t>2023</w:t>
      </w:r>
      <w:r>
        <w:rPr>
          <w:rFonts w:ascii="Arial" w:hAnsi="Arial" w:cs="Arial"/>
        </w:rPr>
        <w:t xml:space="preserve">). </w:t>
      </w:r>
      <w:r w:rsidRPr="00820BDF">
        <w:rPr>
          <w:rFonts w:ascii="Arial" w:hAnsi="Arial" w:cs="Arial"/>
        </w:rPr>
        <w:t xml:space="preserve">Importance of insoluble-bound phenolic. Antioxidants, 12, 203. </w:t>
      </w:r>
      <w:hyperlink r:id="rId74" w:history="1">
        <w:r w:rsidRPr="002C53EB">
          <w:rPr>
            <w:rStyle w:val="Hyperlink"/>
            <w:rFonts w:ascii="Arial" w:hAnsi="Arial" w:cs="Arial"/>
          </w:rPr>
          <w:t>https://doi.org/10.3390/antiox12010203</w:t>
        </w:r>
      </w:hyperlink>
      <w:r>
        <w:rPr>
          <w:rFonts w:ascii="Arial" w:hAnsi="Arial" w:cs="Arial"/>
        </w:rPr>
        <w:t xml:space="preserve"> </w:t>
      </w:r>
    </w:p>
    <w:p w14:paraId="4CFA34D9" w14:textId="77777777" w:rsidR="00C046CA" w:rsidRPr="00E00B5E" w:rsidRDefault="00C046CA" w:rsidP="00C046CA">
      <w:pPr>
        <w:pStyle w:val="Body"/>
        <w:spacing w:after="120"/>
        <w:ind w:left="720" w:hanging="720"/>
        <w:rPr>
          <w:rFonts w:ascii="Arial" w:hAnsi="Arial" w:cs="Arial"/>
        </w:rPr>
      </w:pPr>
      <w:r w:rsidRPr="00E00B5E">
        <w:rPr>
          <w:rFonts w:ascii="Arial" w:hAnsi="Arial" w:cs="Arial"/>
        </w:rPr>
        <w:t xml:space="preserve">Shakeel, F., Haq, N., Raish, M., Anwer, M. K., </w:t>
      </w:r>
      <w:r w:rsidRPr="008641ED">
        <w:rPr>
          <w:rFonts w:ascii="Arial" w:hAnsi="Arial" w:cs="Arial"/>
        </w:rPr>
        <w:t>&amp;</w:t>
      </w:r>
      <w:r>
        <w:rPr>
          <w:rFonts w:ascii="Arial" w:hAnsi="Arial" w:cs="Arial"/>
        </w:rPr>
        <w:t xml:space="preserve"> </w:t>
      </w:r>
      <w:r w:rsidRPr="00E00B5E">
        <w:rPr>
          <w:rFonts w:ascii="Arial" w:hAnsi="Arial" w:cs="Arial"/>
        </w:rPr>
        <w:t>Al-</w:t>
      </w:r>
      <w:proofErr w:type="spellStart"/>
      <w:r w:rsidRPr="00E00B5E">
        <w:rPr>
          <w:rFonts w:ascii="Arial" w:hAnsi="Arial" w:cs="Arial"/>
        </w:rPr>
        <w:t>Shdefat</w:t>
      </w:r>
      <w:proofErr w:type="spellEnd"/>
      <w:r w:rsidRPr="00E00B5E">
        <w:rPr>
          <w:rFonts w:ascii="Arial" w:hAnsi="Arial" w:cs="Arial"/>
        </w:rPr>
        <w:t xml:space="preserve">, R. </w:t>
      </w:r>
      <w:r>
        <w:rPr>
          <w:rFonts w:ascii="Arial" w:hAnsi="Arial" w:cs="Arial"/>
        </w:rPr>
        <w:t>(</w:t>
      </w:r>
      <w:r w:rsidRPr="00E00B5E">
        <w:rPr>
          <w:rFonts w:ascii="Arial" w:hAnsi="Arial" w:cs="Arial"/>
        </w:rPr>
        <w:t>2016</w:t>
      </w:r>
      <w:r>
        <w:rPr>
          <w:rFonts w:ascii="Arial" w:hAnsi="Arial" w:cs="Arial"/>
        </w:rPr>
        <w:t xml:space="preserve">). </w:t>
      </w:r>
      <w:r w:rsidRPr="00E00B5E">
        <w:rPr>
          <w:rFonts w:ascii="Arial" w:hAnsi="Arial" w:cs="Arial"/>
        </w:rPr>
        <w:t xml:space="preserve">Solubility and thermodynamic analysis of </w:t>
      </w:r>
      <w:proofErr w:type="spellStart"/>
      <w:r w:rsidRPr="00E00B5E">
        <w:rPr>
          <w:rFonts w:ascii="Arial" w:hAnsi="Arial" w:cs="Arial"/>
        </w:rPr>
        <w:t>sinapic</w:t>
      </w:r>
      <w:proofErr w:type="spellEnd"/>
      <w:r w:rsidRPr="00E00B5E">
        <w:rPr>
          <w:rFonts w:ascii="Arial" w:hAnsi="Arial" w:cs="Arial"/>
        </w:rPr>
        <w:t xml:space="preserve"> acid in </w:t>
      </w:r>
      <w:proofErr w:type="spellStart"/>
      <w:r w:rsidRPr="00E00B5E">
        <w:rPr>
          <w:rFonts w:ascii="Arial" w:hAnsi="Arial" w:cs="Arial"/>
        </w:rPr>
        <w:t>vari-ous</w:t>
      </w:r>
      <w:proofErr w:type="spellEnd"/>
      <w:r w:rsidRPr="00E00B5E">
        <w:rPr>
          <w:rFonts w:ascii="Arial" w:hAnsi="Arial" w:cs="Arial"/>
        </w:rPr>
        <w:t xml:space="preserve"> neat solvents at different temperatures. </w:t>
      </w:r>
      <w:r w:rsidRPr="0071608C">
        <w:rPr>
          <w:rFonts w:ascii="Arial" w:hAnsi="Arial" w:cs="Arial"/>
        </w:rPr>
        <w:t>Journal of Molecular Liquids</w:t>
      </w:r>
      <w:r w:rsidRPr="00E00B5E">
        <w:rPr>
          <w:rFonts w:ascii="Arial" w:hAnsi="Arial" w:cs="Arial"/>
        </w:rPr>
        <w:t xml:space="preserve">, 222, 167–171. </w:t>
      </w:r>
      <w:hyperlink r:id="rId75" w:history="1">
        <w:r w:rsidRPr="002C53EB">
          <w:rPr>
            <w:rStyle w:val="Hyperlink"/>
            <w:rFonts w:ascii="Arial" w:hAnsi="Arial" w:cs="Arial"/>
          </w:rPr>
          <w:t>https://doi.org/10.1016/j.molliq.2016.07.050</w:t>
        </w:r>
      </w:hyperlink>
      <w:r>
        <w:rPr>
          <w:rFonts w:ascii="Arial" w:hAnsi="Arial" w:cs="Arial"/>
        </w:rPr>
        <w:t xml:space="preserve"> </w:t>
      </w:r>
      <w:r w:rsidRPr="00E00B5E">
        <w:rPr>
          <w:rFonts w:ascii="Arial" w:hAnsi="Arial" w:cs="Arial"/>
        </w:rPr>
        <w:t xml:space="preserve"> </w:t>
      </w:r>
    </w:p>
    <w:p w14:paraId="35CA4EF6" w14:textId="77777777" w:rsidR="00C046CA" w:rsidRDefault="00C046CA" w:rsidP="00C046CA">
      <w:pPr>
        <w:pStyle w:val="Body"/>
        <w:spacing w:after="120"/>
        <w:ind w:left="720" w:hanging="720"/>
        <w:rPr>
          <w:rFonts w:ascii="Arial" w:hAnsi="Arial" w:cs="Arial"/>
        </w:rPr>
      </w:pPr>
      <w:r w:rsidRPr="00820BDF">
        <w:rPr>
          <w:rFonts w:ascii="Arial" w:hAnsi="Arial" w:cs="Arial"/>
        </w:rPr>
        <w:t>Simsek, M.</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proofErr w:type="spellStart"/>
      <w:r w:rsidRPr="00820BDF">
        <w:rPr>
          <w:rFonts w:ascii="Arial" w:hAnsi="Arial" w:cs="Arial"/>
        </w:rPr>
        <w:t>Sufer</w:t>
      </w:r>
      <w:proofErr w:type="spellEnd"/>
      <w:r w:rsidRPr="00820BDF">
        <w:rPr>
          <w:rFonts w:ascii="Arial" w:hAnsi="Arial" w:cs="Arial"/>
        </w:rPr>
        <w:t xml:space="preserve">, Ö. </w:t>
      </w:r>
      <w:r>
        <w:rPr>
          <w:rFonts w:ascii="Arial" w:hAnsi="Arial" w:cs="Arial"/>
        </w:rPr>
        <w:t xml:space="preserve">(2021). </w:t>
      </w:r>
      <w:r w:rsidRPr="00820BDF">
        <w:rPr>
          <w:rFonts w:ascii="Arial" w:hAnsi="Arial" w:cs="Arial"/>
        </w:rPr>
        <w:t>Physical, bioactive and textural properties of oleaster (</w:t>
      </w:r>
      <w:r w:rsidRPr="00CD5C26">
        <w:rPr>
          <w:rFonts w:ascii="Arial" w:hAnsi="Arial" w:cs="Arial"/>
          <w:i/>
        </w:rPr>
        <w:t>Elaeagnus angustifolia</w:t>
      </w:r>
      <w:r w:rsidRPr="00820BDF">
        <w:rPr>
          <w:rFonts w:ascii="Arial" w:hAnsi="Arial" w:cs="Arial"/>
        </w:rPr>
        <w:t xml:space="preserve"> L.) fruit from different lo-cations in Turkey. </w:t>
      </w:r>
      <w:r w:rsidRPr="000C2A1C">
        <w:rPr>
          <w:rFonts w:ascii="Arial" w:hAnsi="Arial" w:cs="Arial"/>
        </w:rPr>
        <w:t>Turkish Journal of Agriculture - Food Science and Technology</w:t>
      </w:r>
      <w:r w:rsidRPr="00820BDF">
        <w:rPr>
          <w:rFonts w:ascii="Arial" w:hAnsi="Arial" w:cs="Arial"/>
        </w:rPr>
        <w:t xml:space="preserve">, 9, 723–727. </w:t>
      </w:r>
      <w:hyperlink r:id="rId76" w:history="1">
        <w:r w:rsidRPr="002C53EB">
          <w:rPr>
            <w:rStyle w:val="Hyperlink"/>
            <w:rFonts w:ascii="Arial" w:hAnsi="Arial" w:cs="Arial"/>
          </w:rPr>
          <w:t>https://doi.org/10.24925/turjaf.v9i4.723-727.4025</w:t>
        </w:r>
      </w:hyperlink>
    </w:p>
    <w:p w14:paraId="2D43FCF3"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Sun, S.</w:t>
      </w:r>
      <w:r>
        <w:rPr>
          <w:rFonts w:ascii="Arial" w:hAnsi="Arial" w:cs="Arial"/>
        </w:rPr>
        <w:t>,</w:t>
      </w:r>
      <w:r w:rsidRPr="00820BDF">
        <w:rPr>
          <w:rFonts w:ascii="Arial" w:hAnsi="Arial" w:cs="Arial"/>
        </w:rPr>
        <w:t xml:space="preserve"> Liu, Z.</w:t>
      </w:r>
      <w:r>
        <w:rPr>
          <w:rFonts w:ascii="Arial" w:hAnsi="Arial" w:cs="Arial"/>
        </w:rPr>
        <w:t>,</w:t>
      </w:r>
      <w:r w:rsidRPr="00820BDF">
        <w:rPr>
          <w:rFonts w:ascii="Arial" w:hAnsi="Arial" w:cs="Arial"/>
        </w:rPr>
        <w:t xml:space="preserve"> Lin, M.</w:t>
      </w:r>
      <w:r>
        <w:rPr>
          <w:rFonts w:ascii="Arial" w:hAnsi="Arial" w:cs="Arial"/>
        </w:rPr>
        <w:t>,</w:t>
      </w:r>
      <w:r w:rsidRPr="00820BDF">
        <w:rPr>
          <w:rFonts w:ascii="Arial" w:hAnsi="Arial" w:cs="Arial"/>
        </w:rPr>
        <w:t xml:space="preserve"> Gao, N.</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Wang, X. </w:t>
      </w:r>
      <w:r>
        <w:rPr>
          <w:rFonts w:ascii="Arial" w:hAnsi="Arial" w:cs="Arial"/>
        </w:rPr>
        <w:t>(</w:t>
      </w:r>
      <w:r w:rsidRPr="00820BDF">
        <w:rPr>
          <w:rFonts w:ascii="Arial" w:hAnsi="Arial" w:cs="Arial"/>
        </w:rPr>
        <w:t>2024</w:t>
      </w:r>
      <w:r>
        <w:rPr>
          <w:rFonts w:ascii="Arial" w:hAnsi="Arial" w:cs="Arial"/>
        </w:rPr>
        <w:t xml:space="preserve">). </w:t>
      </w:r>
      <w:r w:rsidRPr="00820BDF">
        <w:rPr>
          <w:rFonts w:ascii="Arial" w:hAnsi="Arial" w:cs="Arial"/>
        </w:rPr>
        <w:t xml:space="preserve">Polyphenols in health and food processing: Antibacterial, anti-inflammatory, and antioxidant insights. </w:t>
      </w:r>
      <w:r w:rsidRPr="00BC7F04">
        <w:rPr>
          <w:rFonts w:ascii="Arial" w:hAnsi="Arial" w:cs="Arial"/>
        </w:rPr>
        <w:t>Frontiers in Nutrition</w:t>
      </w:r>
      <w:r w:rsidRPr="00820BDF">
        <w:rPr>
          <w:rFonts w:ascii="Arial" w:hAnsi="Arial" w:cs="Arial"/>
        </w:rPr>
        <w:t xml:space="preserve">, 11, 1456730. </w:t>
      </w:r>
      <w:hyperlink r:id="rId77" w:history="1">
        <w:r w:rsidRPr="002C53EB">
          <w:rPr>
            <w:rStyle w:val="Hyperlink"/>
            <w:rFonts w:ascii="Arial" w:hAnsi="Arial" w:cs="Arial"/>
          </w:rPr>
          <w:t>https://doi.org/10.3389/fnut.2024.1456730</w:t>
        </w:r>
      </w:hyperlink>
      <w:r>
        <w:rPr>
          <w:rFonts w:ascii="Arial" w:hAnsi="Arial" w:cs="Arial"/>
        </w:rPr>
        <w:t xml:space="preserve"> </w:t>
      </w:r>
    </w:p>
    <w:p w14:paraId="244BB7FE" w14:textId="77777777" w:rsidR="00C046CA" w:rsidRPr="00820BDF" w:rsidRDefault="00C046CA" w:rsidP="00C046CA">
      <w:pPr>
        <w:pStyle w:val="Body"/>
        <w:spacing w:after="120"/>
        <w:ind w:left="720" w:hanging="720"/>
        <w:rPr>
          <w:rFonts w:ascii="Arial" w:hAnsi="Arial" w:cs="Arial"/>
        </w:rPr>
      </w:pPr>
      <w:r w:rsidRPr="00820BDF">
        <w:rPr>
          <w:rFonts w:ascii="Arial" w:hAnsi="Arial" w:cs="Arial"/>
        </w:rPr>
        <w:t>Sun, W.</w:t>
      </w:r>
      <w:r>
        <w:rPr>
          <w:rFonts w:ascii="Arial" w:hAnsi="Arial" w:cs="Arial"/>
        </w:rPr>
        <w:t xml:space="preserve">, </w:t>
      </w:r>
      <w:r w:rsidRPr="008641ED">
        <w:rPr>
          <w:rFonts w:ascii="Arial" w:hAnsi="Arial" w:cs="Arial"/>
        </w:rPr>
        <w:t>&amp;</w:t>
      </w:r>
      <w:r>
        <w:rPr>
          <w:rFonts w:ascii="Arial" w:hAnsi="Arial" w:cs="Arial"/>
        </w:rPr>
        <w:t xml:space="preserve"> </w:t>
      </w:r>
      <w:proofErr w:type="spellStart"/>
      <w:r>
        <w:rPr>
          <w:rFonts w:ascii="Arial" w:hAnsi="Arial" w:cs="Arial"/>
        </w:rPr>
        <w:t>Shahrajabian</w:t>
      </w:r>
      <w:proofErr w:type="spellEnd"/>
      <w:r>
        <w:rPr>
          <w:rFonts w:ascii="Arial" w:hAnsi="Arial" w:cs="Arial"/>
        </w:rPr>
        <w:t xml:space="preserve">, M. </w:t>
      </w:r>
      <w:r w:rsidRPr="00820BDF">
        <w:rPr>
          <w:rFonts w:ascii="Arial" w:hAnsi="Arial" w:cs="Arial"/>
        </w:rPr>
        <w:t xml:space="preserve">H. </w:t>
      </w:r>
      <w:r>
        <w:rPr>
          <w:rFonts w:ascii="Arial" w:hAnsi="Arial" w:cs="Arial"/>
        </w:rPr>
        <w:t>(</w:t>
      </w:r>
      <w:r w:rsidRPr="00820BDF">
        <w:rPr>
          <w:rFonts w:ascii="Arial" w:hAnsi="Arial" w:cs="Arial"/>
        </w:rPr>
        <w:t>2023</w:t>
      </w:r>
      <w:r>
        <w:rPr>
          <w:rFonts w:ascii="Arial" w:hAnsi="Arial" w:cs="Arial"/>
        </w:rPr>
        <w:t xml:space="preserve">). </w:t>
      </w:r>
      <w:r w:rsidRPr="00820BDF">
        <w:rPr>
          <w:rFonts w:ascii="Arial" w:hAnsi="Arial" w:cs="Arial"/>
        </w:rPr>
        <w:t xml:space="preserve">Therapeutic potential of phenolic compounds in medicinal plants—Natural health products for human health. Molecules, 28, 1845. </w:t>
      </w:r>
      <w:hyperlink r:id="rId78" w:history="1">
        <w:r w:rsidRPr="002C53EB">
          <w:rPr>
            <w:rStyle w:val="Hyperlink"/>
            <w:rFonts w:ascii="Arial" w:hAnsi="Arial" w:cs="Arial"/>
          </w:rPr>
          <w:t>https://doi.org/10.3390/molecules28041845</w:t>
        </w:r>
      </w:hyperlink>
      <w:r>
        <w:rPr>
          <w:rFonts w:ascii="Arial" w:hAnsi="Arial" w:cs="Arial"/>
        </w:rPr>
        <w:t xml:space="preserve"> </w:t>
      </w:r>
    </w:p>
    <w:p w14:paraId="07DE4A38"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Tehranizadeh</w:t>
      </w:r>
      <w:proofErr w:type="spellEnd"/>
      <w:r w:rsidRPr="00820BDF">
        <w:rPr>
          <w:rFonts w:ascii="Arial" w:hAnsi="Arial" w:cs="Arial"/>
        </w:rPr>
        <w:t>, A.</w:t>
      </w:r>
      <w:r>
        <w:rPr>
          <w:rFonts w:ascii="Arial" w:hAnsi="Arial" w:cs="Arial"/>
        </w:rPr>
        <w:t xml:space="preserve"> </w:t>
      </w:r>
      <w:r w:rsidRPr="00820BDF">
        <w:rPr>
          <w:rFonts w:ascii="Arial" w:hAnsi="Arial" w:cs="Arial"/>
        </w:rPr>
        <w:t>Z.</w:t>
      </w:r>
      <w:r>
        <w:rPr>
          <w:rFonts w:ascii="Arial" w:hAnsi="Arial" w:cs="Arial"/>
        </w:rPr>
        <w:t>,</w:t>
      </w:r>
      <w:r w:rsidRPr="00820BDF">
        <w:rPr>
          <w:rFonts w:ascii="Arial" w:hAnsi="Arial" w:cs="Arial"/>
        </w:rPr>
        <w:t xml:space="preserve"> </w:t>
      </w:r>
      <w:proofErr w:type="spellStart"/>
      <w:r w:rsidRPr="00820BDF">
        <w:rPr>
          <w:rFonts w:ascii="Arial" w:hAnsi="Arial" w:cs="Arial"/>
        </w:rPr>
        <w:t>Baratian</w:t>
      </w:r>
      <w:proofErr w:type="spellEnd"/>
      <w:r w:rsidRPr="00820BDF">
        <w:rPr>
          <w:rFonts w:ascii="Arial" w:hAnsi="Arial" w:cs="Arial"/>
        </w:rPr>
        <w:t>, A.</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Hosseinzadeh, H. </w:t>
      </w:r>
      <w:r>
        <w:rPr>
          <w:rFonts w:ascii="Arial" w:hAnsi="Arial" w:cs="Arial"/>
        </w:rPr>
        <w:t>(</w:t>
      </w:r>
      <w:r w:rsidRPr="00820BDF">
        <w:rPr>
          <w:rFonts w:ascii="Arial" w:hAnsi="Arial" w:cs="Arial"/>
        </w:rPr>
        <w:t>2016</w:t>
      </w:r>
      <w:r>
        <w:rPr>
          <w:rFonts w:ascii="Arial" w:hAnsi="Arial" w:cs="Arial"/>
        </w:rPr>
        <w:t xml:space="preserve">). </w:t>
      </w:r>
      <w:r w:rsidRPr="00820BDF">
        <w:rPr>
          <w:rFonts w:ascii="Arial" w:hAnsi="Arial" w:cs="Arial"/>
        </w:rPr>
        <w:t>Russian olive (</w:t>
      </w:r>
      <w:r w:rsidRPr="00E9491C">
        <w:rPr>
          <w:rFonts w:ascii="Arial" w:hAnsi="Arial" w:cs="Arial"/>
          <w:i/>
        </w:rPr>
        <w:t>Elaeagnus angustifolia</w:t>
      </w:r>
      <w:r w:rsidRPr="00820BDF">
        <w:rPr>
          <w:rFonts w:ascii="Arial" w:hAnsi="Arial" w:cs="Arial"/>
        </w:rPr>
        <w:t xml:space="preserve">) as </w:t>
      </w:r>
      <w:proofErr w:type="gramStart"/>
      <w:r w:rsidRPr="00820BDF">
        <w:rPr>
          <w:rFonts w:ascii="Arial" w:hAnsi="Arial" w:cs="Arial"/>
        </w:rPr>
        <w:t>a</w:t>
      </w:r>
      <w:proofErr w:type="gramEnd"/>
      <w:r w:rsidRPr="00820BDF">
        <w:rPr>
          <w:rFonts w:ascii="Arial" w:hAnsi="Arial" w:cs="Arial"/>
        </w:rPr>
        <w:t xml:space="preserve"> herbal healer. Bio Impacts</w:t>
      </w:r>
      <w:r>
        <w:rPr>
          <w:rFonts w:ascii="Arial" w:hAnsi="Arial" w:cs="Arial"/>
        </w:rPr>
        <w:t>,</w:t>
      </w:r>
      <w:r w:rsidRPr="00820BDF">
        <w:rPr>
          <w:rFonts w:ascii="Arial" w:hAnsi="Arial" w:cs="Arial"/>
        </w:rPr>
        <w:t xml:space="preserve"> 6, 155–167. </w:t>
      </w:r>
      <w:hyperlink r:id="rId79" w:history="1">
        <w:r w:rsidRPr="002C53EB">
          <w:rPr>
            <w:rStyle w:val="Hyperlink"/>
            <w:rFonts w:ascii="Arial" w:hAnsi="Arial" w:cs="Arial"/>
          </w:rPr>
          <w:t>https://doi.org/10.15171/bi.2016.22</w:t>
        </w:r>
      </w:hyperlink>
      <w:r>
        <w:rPr>
          <w:rFonts w:ascii="Arial" w:hAnsi="Arial" w:cs="Arial"/>
        </w:rPr>
        <w:t xml:space="preserve"> </w:t>
      </w:r>
      <w:r w:rsidRPr="00820BDF">
        <w:rPr>
          <w:rFonts w:ascii="Arial" w:hAnsi="Arial" w:cs="Arial"/>
        </w:rPr>
        <w:t xml:space="preserve"> </w:t>
      </w:r>
      <w:r>
        <w:rPr>
          <w:rFonts w:ascii="Arial" w:hAnsi="Arial" w:cs="Arial"/>
        </w:rPr>
        <w:t xml:space="preserve"> </w:t>
      </w:r>
    </w:p>
    <w:p w14:paraId="75D1E9A2" w14:textId="77777777" w:rsidR="00C046CA" w:rsidRPr="001A505C" w:rsidRDefault="00C046CA" w:rsidP="00C046CA">
      <w:pPr>
        <w:pStyle w:val="Body"/>
        <w:spacing w:after="120"/>
        <w:ind w:left="720" w:hanging="720"/>
        <w:rPr>
          <w:rFonts w:ascii="Arial" w:hAnsi="Arial" w:cs="Arial"/>
        </w:rPr>
      </w:pPr>
      <w:proofErr w:type="spellStart"/>
      <w:r>
        <w:rPr>
          <w:rFonts w:ascii="Arial" w:hAnsi="Arial" w:cs="Arial"/>
        </w:rPr>
        <w:t>Zagoskina</w:t>
      </w:r>
      <w:proofErr w:type="spellEnd"/>
      <w:r>
        <w:rPr>
          <w:rFonts w:ascii="Arial" w:hAnsi="Arial" w:cs="Arial"/>
        </w:rPr>
        <w:t xml:space="preserve">, N. </w:t>
      </w:r>
      <w:r w:rsidRPr="001A505C">
        <w:rPr>
          <w:rFonts w:ascii="Arial" w:hAnsi="Arial" w:cs="Arial"/>
        </w:rPr>
        <w:t>V.,</w:t>
      </w:r>
      <w:r>
        <w:rPr>
          <w:rFonts w:ascii="Arial" w:hAnsi="Arial" w:cs="Arial"/>
        </w:rPr>
        <w:t xml:space="preserve"> Zubova, M. </w:t>
      </w:r>
      <w:r w:rsidRPr="001A505C">
        <w:rPr>
          <w:rFonts w:ascii="Arial" w:hAnsi="Arial" w:cs="Arial"/>
        </w:rPr>
        <w:t>Y.,</w:t>
      </w:r>
      <w:r>
        <w:rPr>
          <w:rFonts w:ascii="Arial" w:hAnsi="Arial" w:cs="Arial"/>
        </w:rPr>
        <w:t xml:space="preserve"> Nechaeva, T. </w:t>
      </w:r>
      <w:r w:rsidRPr="001A505C">
        <w:rPr>
          <w:rFonts w:ascii="Arial" w:hAnsi="Arial" w:cs="Arial"/>
        </w:rPr>
        <w:t>L.,</w:t>
      </w:r>
      <w:r>
        <w:rPr>
          <w:rFonts w:ascii="Arial" w:hAnsi="Arial" w:cs="Arial"/>
        </w:rPr>
        <w:t xml:space="preserve"> Kazantseva, V. </w:t>
      </w:r>
      <w:r w:rsidRPr="001A505C">
        <w:rPr>
          <w:rFonts w:ascii="Arial" w:hAnsi="Arial" w:cs="Arial"/>
        </w:rPr>
        <w:t>V.,</w:t>
      </w:r>
      <w:r>
        <w:rPr>
          <w:rFonts w:ascii="Arial" w:hAnsi="Arial" w:cs="Arial"/>
        </w:rPr>
        <w:t xml:space="preserve"> Goncharuk, E. </w:t>
      </w:r>
      <w:r w:rsidRPr="001A505C">
        <w:rPr>
          <w:rFonts w:ascii="Arial" w:hAnsi="Arial" w:cs="Arial"/>
        </w:rPr>
        <w:t>A.,</w:t>
      </w:r>
      <w:r>
        <w:rPr>
          <w:rFonts w:ascii="Arial" w:hAnsi="Arial" w:cs="Arial"/>
        </w:rPr>
        <w:t xml:space="preserve">  </w:t>
      </w:r>
      <w:proofErr w:type="spellStart"/>
      <w:r>
        <w:rPr>
          <w:rFonts w:ascii="Arial" w:hAnsi="Arial" w:cs="Arial"/>
        </w:rPr>
        <w:t>Katanskaya</w:t>
      </w:r>
      <w:proofErr w:type="spellEnd"/>
      <w:r>
        <w:rPr>
          <w:rFonts w:ascii="Arial" w:hAnsi="Arial" w:cs="Arial"/>
        </w:rPr>
        <w:t>, V. M., et al. (</w:t>
      </w:r>
      <w:r w:rsidRPr="001A505C">
        <w:rPr>
          <w:rFonts w:ascii="Arial" w:hAnsi="Arial" w:cs="Arial"/>
        </w:rPr>
        <w:t>2023</w:t>
      </w:r>
      <w:r>
        <w:rPr>
          <w:rFonts w:ascii="Arial" w:hAnsi="Arial" w:cs="Arial"/>
        </w:rPr>
        <w:t>). Pol</w:t>
      </w:r>
      <w:r w:rsidRPr="001A505C">
        <w:rPr>
          <w:rFonts w:ascii="Arial" w:hAnsi="Arial" w:cs="Arial"/>
        </w:rPr>
        <w:t xml:space="preserve">yphenols in plants: Structure, biosynthesis, abiotic </w:t>
      </w:r>
      <w:r w:rsidRPr="001A505C">
        <w:rPr>
          <w:rFonts w:ascii="Arial" w:hAnsi="Arial" w:cs="Arial"/>
        </w:rPr>
        <w:lastRenderedPageBreak/>
        <w:t xml:space="preserve">stress regulation, and practical applications. </w:t>
      </w:r>
      <w:r w:rsidRPr="00FD4F88">
        <w:rPr>
          <w:rFonts w:ascii="Arial" w:hAnsi="Arial" w:cs="Arial"/>
        </w:rPr>
        <w:t>International Journal of Molecular Sciences</w:t>
      </w:r>
      <w:r w:rsidRPr="001A505C">
        <w:rPr>
          <w:rFonts w:ascii="Arial" w:hAnsi="Arial" w:cs="Arial"/>
        </w:rPr>
        <w:t xml:space="preserve">, 24, 13874. </w:t>
      </w:r>
      <w:hyperlink r:id="rId80" w:history="1">
        <w:r w:rsidRPr="002C53EB">
          <w:rPr>
            <w:rStyle w:val="Hyperlink"/>
            <w:rFonts w:ascii="Arial" w:hAnsi="Arial" w:cs="Arial"/>
          </w:rPr>
          <w:t>https://doi.org/10.3390/ijms241813874</w:t>
        </w:r>
      </w:hyperlink>
      <w:r>
        <w:rPr>
          <w:rFonts w:ascii="Arial" w:hAnsi="Arial" w:cs="Arial"/>
        </w:rPr>
        <w:t xml:space="preserve"> </w:t>
      </w:r>
    </w:p>
    <w:p w14:paraId="10FCDAE6" w14:textId="77777777" w:rsidR="00C046CA" w:rsidRDefault="00C046CA" w:rsidP="00C046CA">
      <w:pPr>
        <w:pStyle w:val="Body"/>
        <w:spacing w:after="120"/>
        <w:ind w:left="720" w:hanging="720"/>
        <w:rPr>
          <w:rFonts w:ascii="Arial" w:hAnsi="Arial" w:cs="Arial"/>
        </w:rPr>
      </w:pPr>
      <w:r w:rsidRPr="00820BDF">
        <w:rPr>
          <w:rFonts w:ascii="Arial" w:hAnsi="Arial" w:cs="Arial"/>
        </w:rPr>
        <w:t>Zhang, Y.</w:t>
      </w:r>
      <w:r>
        <w:rPr>
          <w:rFonts w:ascii="Arial" w:hAnsi="Arial" w:cs="Arial"/>
        </w:rPr>
        <w:t>,</w:t>
      </w:r>
      <w:r w:rsidRPr="00820BDF">
        <w:rPr>
          <w:rFonts w:ascii="Arial" w:hAnsi="Arial" w:cs="Arial"/>
        </w:rPr>
        <w:t xml:space="preserve"> Cai, P.</w:t>
      </w:r>
      <w:r>
        <w:rPr>
          <w:rFonts w:ascii="Arial" w:hAnsi="Arial" w:cs="Arial"/>
        </w:rPr>
        <w:t>,</w:t>
      </w:r>
      <w:r w:rsidRPr="00820BDF">
        <w:rPr>
          <w:rFonts w:ascii="Arial" w:hAnsi="Arial" w:cs="Arial"/>
        </w:rPr>
        <w:t xml:space="preserve"> Cheng, G.</w:t>
      </w:r>
      <w:r>
        <w:rPr>
          <w:rFonts w:ascii="Arial" w:hAnsi="Arial" w:cs="Arial"/>
        </w:rPr>
        <w:t>,</w:t>
      </w:r>
      <w:r w:rsidRPr="00820BDF">
        <w:rPr>
          <w:rFonts w:ascii="Arial" w:hAnsi="Arial" w:cs="Arial"/>
        </w:rPr>
        <w:t xml:space="preserve"> </w:t>
      </w:r>
      <w:r w:rsidRPr="008641ED">
        <w:rPr>
          <w:rFonts w:ascii="Arial" w:hAnsi="Arial" w:cs="Arial"/>
        </w:rPr>
        <w:t>&amp;</w:t>
      </w:r>
      <w:r>
        <w:rPr>
          <w:rFonts w:ascii="Arial" w:hAnsi="Arial" w:cs="Arial"/>
        </w:rPr>
        <w:t xml:space="preserve"> </w:t>
      </w:r>
      <w:r w:rsidRPr="00820BDF">
        <w:rPr>
          <w:rFonts w:ascii="Arial" w:hAnsi="Arial" w:cs="Arial"/>
        </w:rPr>
        <w:t xml:space="preserve">Zhang, Y. </w:t>
      </w:r>
      <w:r>
        <w:rPr>
          <w:rFonts w:ascii="Arial" w:hAnsi="Arial" w:cs="Arial"/>
        </w:rPr>
        <w:t>(</w:t>
      </w:r>
      <w:r w:rsidRPr="00820BDF">
        <w:rPr>
          <w:rFonts w:ascii="Arial" w:hAnsi="Arial" w:cs="Arial"/>
        </w:rPr>
        <w:t>2022</w:t>
      </w:r>
      <w:r>
        <w:rPr>
          <w:rFonts w:ascii="Arial" w:hAnsi="Arial" w:cs="Arial"/>
        </w:rPr>
        <w:t xml:space="preserve">). </w:t>
      </w:r>
      <w:r w:rsidRPr="00820BDF">
        <w:rPr>
          <w:rFonts w:ascii="Arial" w:hAnsi="Arial" w:cs="Arial"/>
        </w:rPr>
        <w:t xml:space="preserve">A brief review of phenolic compounds identified from plants: Their extraction, analysis, and biological activity. </w:t>
      </w:r>
      <w:r w:rsidRPr="00471CBC">
        <w:rPr>
          <w:rFonts w:ascii="Arial" w:hAnsi="Arial" w:cs="Arial"/>
        </w:rPr>
        <w:t>Natural Product Communications</w:t>
      </w:r>
      <w:r w:rsidRPr="00820BDF">
        <w:rPr>
          <w:rFonts w:ascii="Arial" w:hAnsi="Arial" w:cs="Arial"/>
        </w:rPr>
        <w:t xml:space="preserve">, 17(1). </w:t>
      </w:r>
      <w:hyperlink r:id="rId81" w:history="1">
        <w:r w:rsidRPr="002C53EB">
          <w:rPr>
            <w:rStyle w:val="Hyperlink"/>
            <w:rFonts w:ascii="Arial" w:hAnsi="Arial" w:cs="Arial"/>
          </w:rPr>
          <w:t>https://doi.org/10.1177/1934578X211069721</w:t>
        </w:r>
      </w:hyperlink>
      <w:r>
        <w:rPr>
          <w:rFonts w:ascii="Arial" w:hAnsi="Arial" w:cs="Arial"/>
        </w:rPr>
        <w:t xml:space="preserve"> </w:t>
      </w:r>
    </w:p>
    <w:p w14:paraId="4F666486" w14:textId="77777777" w:rsidR="00C046CA" w:rsidRPr="00820BDF" w:rsidRDefault="00C046CA" w:rsidP="00C046CA">
      <w:pPr>
        <w:pStyle w:val="Body"/>
        <w:spacing w:after="120"/>
        <w:ind w:left="720" w:hanging="720"/>
        <w:rPr>
          <w:rFonts w:ascii="Arial" w:hAnsi="Arial" w:cs="Arial"/>
        </w:rPr>
      </w:pPr>
      <w:proofErr w:type="spellStart"/>
      <w:r w:rsidRPr="00820BDF">
        <w:rPr>
          <w:rFonts w:ascii="Arial" w:hAnsi="Arial" w:cs="Arial"/>
        </w:rPr>
        <w:t>Zouhar</w:t>
      </w:r>
      <w:proofErr w:type="spellEnd"/>
      <w:r w:rsidRPr="00820BDF">
        <w:rPr>
          <w:rFonts w:ascii="Arial" w:hAnsi="Arial" w:cs="Arial"/>
        </w:rPr>
        <w:t xml:space="preserve">, K. </w:t>
      </w:r>
      <w:r>
        <w:rPr>
          <w:rFonts w:ascii="Arial" w:hAnsi="Arial" w:cs="Arial"/>
        </w:rPr>
        <w:t>(</w:t>
      </w:r>
      <w:r w:rsidRPr="00820BDF">
        <w:rPr>
          <w:rFonts w:ascii="Arial" w:hAnsi="Arial" w:cs="Arial"/>
        </w:rPr>
        <w:t>2005</w:t>
      </w:r>
      <w:r>
        <w:rPr>
          <w:rFonts w:ascii="Arial" w:hAnsi="Arial" w:cs="Arial"/>
        </w:rPr>
        <w:t>)</w:t>
      </w:r>
      <w:r w:rsidRPr="00820BDF">
        <w:rPr>
          <w:rFonts w:ascii="Arial" w:hAnsi="Arial" w:cs="Arial"/>
        </w:rPr>
        <w:t>.</w:t>
      </w:r>
      <w:r>
        <w:rPr>
          <w:rFonts w:ascii="Arial" w:hAnsi="Arial" w:cs="Arial"/>
        </w:rPr>
        <w:t xml:space="preserve"> </w:t>
      </w:r>
      <w:r w:rsidRPr="00BC44C8">
        <w:rPr>
          <w:rFonts w:ascii="Arial" w:hAnsi="Arial" w:cs="Arial"/>
          <w:i/>
        </w:rPr>
        <w:t>Elaeagnus angustifolia</w:t>
      </w:r>
      <w:r w:rsidRPr="00820BDF">
        <w:rPr>
          <w:rFonts w:ascii="Arial" w:hAnsi="Arial" w:cs="Arial"/>
        </w:rPr>
        <w:t xml:space="preserve">. In: Fire Effects Information System, [Online]. U.S. Department of Agriculture, Forest Service, Rocky Mountain Research Station, Fire Sciences Laboratory (Producer), Available: </w:t>
      </w:r>
      <w:hyperlink r:id="rId82" w:history="1">
        <w:r w:rsidRPr="002C53EB">
          <w:rPr>
            <w:rStyle w:val="Hyperlink"/>
            <w:rFonts w:ascii="Arial" w:hAnsi="Arial" w:cs="Arial"/>
          </w:rPr>
          <w:t>https://www.fs.usda.gov/database/feis/plants/tree/elaang/all.html</w:t>
        </w:r>
      </w:hyperlink>
      <w:r>
        <w:rPr>
          <w:rFonts w:ascii="Arial" w:hAnsi="Arial" w:cs="Arial"/>
        </w:rPr>
        <w:t xml:space="preserve"> </w:t>
      </w:r>
    </w:p>
    <w:p w14:paraId="60782F0A" w14:textId="77777777" w:rsidR="00C046CA" w:rsidRDefault="00C046CA" w:rsidP="00C920F9">
      <w:pPr>
        <w:pStyle w:val="Body"/>
        <w:spacing w:after="120"/>
        <w:rPr>
          <w:rStyle w:val="Hyperlink"/>
          <w:rFonts w:ascii="Arial" w:hAnsi="Arial" w:cs="Arial"/>
        </w:rPr>
      </w:pPr>
    </w:p>
    <w:p w14:paraId="14FD9CE1" w14:textId="77777777" w:rsidR="00C046CA" w:rsidRPr="00E07BA0" w:rsidRDefault="00C046CA" w:rsidP="00C920F9">
      <w:pPr>
        <w:pStyle w:val="Body"/>
        <w:spacing w:after="120"/>
        <w:rPr>
          <w:rFonts w:ascii="Arial" w:hAnsi="Arial" w:cs="Arial"/>
        </w:rPr>
        <w:sectPr w:rsidR="00C046CA" w:rsidRPr="00E07BA0" w:rsidSect="007071CE">
          <w:headerReference w:type="even" r:id="rId83"/>
          <w:headerReference w:type="default" r:id="rId84"/>
          <w:footerReference w:type="default" r:id="rId85"/>
          <w:headerReference w:type="first" r:id="rId86"/>
          <w:type w:val="continuous"/>
          <w:pgSz w:w="12240" w:h="15840"/>
          <w:pgMar w:top="1440" w:right="2016" w:bottom="2016" w:left="2016" w:header="720" w:footer="1123" w:gutter="0"/>
          <w:cols w:space="720"/>
          <w:docGrid w:linePitch="272"/>
        </w:sectPr>
      </w:pPr>
    </w:p>
    <w:p w14:paraId="6434114A" w14:textId="77777777" w:rsidR="00B01FCD" w:rsidRPr="00FB3A86" w:rsidRDefault="00B01FCD" w:rsidP="009D45D7">
      <w:pPr>
        <w:pStyle w:val="Appendix"/>
        <w:spacing w:after="0"/>
        <w:jc w:val="both"/>
        <w:rPr>
          <w:rFonts w:ascii="Arial" w:hAnsi="Arial" w:cs="Arial"/>
          <w:b w:val="0"/>
        </w:rPr>
      </w:pPr>
    </w:p>
    <w:sectPr w:rsidR="00B01FCD" w:rsidRPr="00FB3A86" w:rsidSect="007071CE">
      <w:headerReference w:type="even" r:id="rId87"/>
      <w:headerReference w:type="default" r:id="rId88"/>
      <w:footerReference w:type="default" r:id="rId89"/>
      <w:headerReference w:type="first" r:id="rId9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D0452" w14:textId="77777777" w:rsidR="00856AF5" w:rsidRDefault="00856AF5" w:rsidP="00C37E61">
      <w:r>
        <w:separator/>
      </w:r>
    </w:p>
  </w:endnote>
  <w:endnote w:type="continuationSeparator" w:id="0">
    <w:p w14:paraId="0C4BE2D5" w14:textId="77777777" w:rsidR="00856AF5" w:rsidRDefault="00856AF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4C1B7" w14:textId="77777777" w:rsidR="00C046CA" w:rsidRDefault="00C046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ADA8A" w14:textId="77777777" w:rsidR="00C046CA" w:rsidRDefault="00C046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2A2B" w14:textId="77777777" w:rsidR="00C046CA" w:rsidRDefault="00C046CA">
    <w:pPr>
      <w:pStyle w:val="Footer"/>
      <w:rPr>
        <w:rFonts w:ascii="Arial" w:hAnsi="Arial" w:cs="Arial"/>
        <w:sz w:val="16"/>
      </w:rPr>
    </w:pPr>
  </w:p>
  <w:p w14:paraId="4DDD7422" w14:textId="77777777" w:rsidR="00C046CA" w:rsidRDefault="00C046CA"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43BD2540" w14:textId="77777777" w:rsidR="00C046CA" w:rsidRDefault="00C046CA">
    <w:pPr>
      <w:pStyle w:val="Footer"/>
      <w:rPr>
        <w:rFonts w:ascii="Arial" w:hAnsi="Arial" w:cs="Arial"/>
        <w:sz w:val="16"/>
      </w:rPr>
    </w:pPr>
  </w:p>
  <w:p w14:paraId="4A4AED7A" w14:textId="22946A50" w:rsidR="00C046CA" w:rsidRPr="009E048A" w:rsidRDefault="00C046CA">
    <w:pPr>
      <w:pStyle w:val="Footer"/>
      <w:rPr>
        <w:rFonts w:ascii="Arial" w:hAnsi="Arial" w:cs="Arial"/>
        <w:i/>
        <w:sz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915E0" w14:textId="77777777" w:rsidR="00C046CA" w:rsidRPr="00C37E61" w:rsidRDefault="00C046CA" w:rsidP="00C37E6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2EB51" w14:textId="77777777" w:rsidR="00C046CA" w:rsidRPr="00C37E61" w:rsidRDefault="00C046C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1C7414" w14:textId="77777777" w:rsidR="00856AF5" w:rsidRDefault="00856AF5" w:rsidP="00C37E61">
      <w:r>
        <w:separator/>
      </w:r>
    </w:p>
  </w:footnote>
  <w:footnote w:type="continuationSeparator" w:id="0">
    <w:p w14:paraId="796BEFDD" w14:textId="77777777" w:rsidR="00856AF5" w:rsidRDefault="00856AF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938C8E" w14:textId="57C592A6" w:rsidR="00C046CA" w:rsidRDefault="003E421D">
    <w:pPr>
      <w:pStyle w:val="Header"/>
    </w:pPr>
    <w:r>
      <w:rPr>
        <w:noProof/>
      </w:rPr>
      <w:pict w14:anchorId="6D89BA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3" o:spid="_x0000_s1026" type="#_x0000_t136" style="position:absolute;margin-left:0;margin-top:0;width:520.65pt;height:57.85pt;rotation:315;z-index:-25165875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731DB7" w14:textId="61CEB811" w:rsidR="00C046CA" w:rsidRDefault="003E421D">
    <w:pPr>
      <w:pStyle w:val="Header"/>
    </w:pPr>
    <w:r>
      <w:rPr>
        <w:noProof/>
      </w:rPr>
      <w:pict w14:anchorId="7F32FAD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4" o:spid="_x0000_s1027" type="#_x0000_t136" style="position:absolute;margin-left:0;margin-top:0;width:520.65pt;height:57.85pt;rotation:315;z-index:-25165772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A3669" w14:textId="4092288F" w:rsidR="00C046CA" w:rsidRPr="00296529" w:rsidRDefault="003E421D" w:rsidP="00296529">
    <w:pPr>
      <w:ind w:left="2160"/>
      <w:jc w:val="center"/>
      <w:rPr>
        <w:rFonts w:ascii="Times New Roman" w:eastAsia="Calibri" w:hAnsi="Times New Roman"/>
        <w:i/>
        <w:sz w:val="18"/>
        <w:szCs w:val="22"/>
      </w:rPr>
    </w:pPr>
    <w:r>
      <w:rPr>
        <w:noProof/>
      </w:rPr>
      <w:pict w14:anchorId="1CF00F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2" o:spid="_x0000_s1025" type="#_x0000_t136" style="position:absolute;left:0;text-align:left;margin-left:0;margin-top:0;width:520.65pt;height:57.85pt;rotation:315;z-index:-2516597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FA61DF5" w14:textId="77777777" w:rsidR="00C046CA" w:rsidRPr="00296529" w:rsidRDefault="00C046C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2D8023E" w14:textId="77777777" w:rsidR="00C046CA" w:rsidRPr="00296529" w:rsidRDefault="00C046C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3DAE4E1" w14:textId="77777777" w:rsidR="00C046CA" w:rsidRPr="00296529" w:rsidRDefault="00C046C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F8B7C35" w14:textId="77777777" w:rsidR="00C046CA" w:rsidRDefault="00C046C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528C975" w14:textId="77777777" w:rsidR="00C046CA" w:rsidRDefault="00C046C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8C55CED" w14:textId="77777777" w:rsidR="00C046CA" w:rsidRDefault="00C046C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18E6D" w14:textId="77777777" w:rsidR="00C046CA" w:rsidRDefault="003E421D">
    <w:pPr>
      <w:pStyle w:val="Header"/>
    </w:pPr>
    <w:r>
      <w:rPr>
        <w:noProof/>
      </w:rPr>
      <w:pict w14:anchorId="6B1944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6" o:spid="_x0000_s1032" type="#_x0000_t136" style="position:absolute;margin-left:0;margin-top:0;width:520.65pt;height:57.85pt;rotation:315;z-index:-25166284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A0AE" w14:textId="77777777" w:rsidR="00C046CA" w:rsidRDefault="003E421D">
    <w:pPr>
      <w:pStyle w:val="Header"/>
    </w:pPr>
    <w:r>
      <w:rPr>
        <w:noProof/>
      </w:rPr>
      <w:pict w14:anchorId="4361C3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7" o:spid="_x0000_s1033" type="#_x0000_t136" style="position:absolute;margin-left:0;margin-top:0;width:520.65pt;height:57.85pt;rotation:315;z-index:-2516618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4C4DB" w14:textId="77777777" w:rsidR="00C046CA" w:rsidRDefault="003E421D">
    <w:pPr>
      <w:pStyle w:val="Header"/>
    </w:pPr>
    <w:r>
      <w:rPr>
        <w:noProof/>
      </w:rPr>
      <w:pict w14:anchorId="1889E2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13532065" o:spid="_x0000_s1031" type="#_x0000_t136" style="position:absolute;margin-left:0;margin-top:0;width:520.65pt;height:57.85pt;rotation:315;z-index:-25166080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05873" w14:textId="74E91DFE" w:rsidR="00C046CA" w:rsidRDefault="003E421D">
    <w:pPr>
      <w:pStyle w:val="Header"/>
    </w:pPr>
    <w:r>
      <w:rPr>
        <w:noProof/>
      </w:rPr>
      <w:pict w14:anchorId="1F1B49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520.65pt;height:57.85pt;rotation:315;z-index:-25165568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5A5C35" w14:textId="7FB9D4D2" w:rsidR="00C046CA" w:rsidRDefault="003E421D">
    <w:pPr>
      <w:pStyle w:val="Header"/>
    </w:pPr>
    <w:r>
      <w:rPr>
        <w:noProof/>
      </w:rPr>
      <w:pict w14:anchorId="16FCEA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0" type="#_x0000_t136" style="position:absolute;margin-left:0;margin-top:0;width:520.65pt;height:57.85pt;rotation:315;z-index:-25165465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B3332" w14:textId="59157EEE" w:rsidR="00C046CA" w:rsidRDefault="003E421D">
    <w:pPr>
      <w:pStyle w:val="Header"/>
    </w:pPr>
    <w:r>
      <w:rPr>
        <w:noProof/>
      </w:rPr>
      <w:pict w14:anchorId="752CF7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20.65pt;height:57.85pt;rotation:315;z-index:-25165670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12D37"/>
    <w:rsid w:val="00030174"/>
    <w:rsid w:val="0004579C"/>
    <w:rsid w:val="00062E32"/>
    <w:rsid w:val="0006626F"/>
    <w:rsid w:val="000711CA"/>
    <w:rsid w:val="00073C88"/>
    <w:rsid w:val="00092F82"/>
    <w:rsid w:val="000A2589"/>
    <w:rsid w:val="000A3D2C"/>
    <w:rsid w:val="000A47FA"/>
    <w:rsid w:val="000A65D3"/>
    <w:rsid w:val="000B1968"/>
    <w:rsid w:val="000B1E33"/>
    <w:rsid w:val="000C0379"/>
    <w:rsid w:val="000C2A1C"/>
    <w:rsid w:val="000D6821"/>
    <w:rsid w:val="000D689F"/>
    <w:rsid w:val="000E7B7B"/>
    <w:rsid w:val="000E7D62"/>
    <w:rsid w:val="00103357"/>
    <w:rsid w:val="00110E4A"/>
    <w:rsid w:val="00123C9F"/>
    <w:rsid w:val="00126190"/>
    <w:rsid w:val="00130F17"/>
    <w:rsid w:val="001320BF"/>
    <w:rsid w:val="00153240"/>
    <w:rsid w:val="00163BC4"/>
    <w:rsid w:val="0017428C"/>
    <w:rsid w:val="001759C9"/>
    <w:rsid w:val="00175E1B"/>
    <w:rsid w:val="00191062"/>
    <w:rsid w:val="00192843"/>
    <w:rsid w:val="00192A11"/>
    <w:rsid w:val="00192B72"/>
    <w:rsid w:val="001A29D8"/>
    <w:rsid w:val="001A505C"/>
    <w:rsid w:val="001A5CAA"/>
    <w:rsid w:val="001A7872"/>
    <w:rsid w:val="001B0427"/>
    <w:rsid w:val="001B3B11"/>
    <w:rsid w:val="001B48CE"/>
    <w:rsid w:val="001B538B"/>
    <w:rsid w:val="001B5BD4"/>
    <w:rsid w:val="001C1BCE"/>
    <w:rsid w:val="001C30BB"/>
    <w:rsid w:val="001C7144"/>
    <w:rsid w:val="001D0C2F"/>
    <w:rsid w:val="001D3A51"/>
    <w:rsid w:val="001E0B30"/>
    <w:rsid w:val="001E10D2"/>
    <w:rsid w:val="001E25B4"/>
    <w:rsid w:val="001E44FE"/>
    <w:rsid w:val="001F6EF8"/>
    <w:rsid w:val="001F7D89"/>
    <w:rsid w:val="00200595"/>
    <w:rsid w:val="00204835"/>
    <w:rsid w:val="00211B73"/>
    <w:rsid w:val="00217779"/>
    <w:rsid w:val="00220045"/>
    <w:rsid w:val="0022193E"/>
    <w:rsid w:val="00231920"/>
    <w:rsid w:val="0023195C"/>
    <w:rsid w:val="0024282C"/>
    <w:rsid w:val="002460DC"/>
    <w:rsid w:val="0024711E"/>
    <w:rsid w:val="00250985"/>
    <w:rsid w:val="002556F6"/>
    <w:rsid w:val="00277D50"/>
    <w:rsid w:val="00283105"/>
    <w:rsid w:val="00284C4C"/>
    <w:rsid w:val="00285A0D"/>
    <w:rsid w:val="00287E68"/>
    <w:rsid w:val="00291505"/>
    <w:rsid w:val="00296529"/>
    <w:rsid w:val="00297254"/>
    <w:rsid w:val="002A5E6F"/>
    <w:rsid w:val="002B27FB"/>
    <w:rsid w:val="002B685A"/>
    <w:rsid w:val="002C4421"/>
    <w:rsid w:val="002C5076"/>
    <w:rsid w:val="002C57D2"/>
    <w:rsid w:val="002C57F8"/>
    <w:rsid w:val="002E0D56"/>
    <w:rsid w:val="002E6294"/>
    <w:rsid w:val="00315186"/>
    <w:rsid w:val="0033343E"/>
    <w:rsid w:val="00336D70"/>
    <w:rsid w:val="00346C71"/>
    <w:rsid w:val="003512C2"/>
    <w:rsid w:val="00371FB6"/>
    <w:rsid w:val="003763C1"/>
    <w:rsid w:val="00376BBE"/>
    <w:rsid w:val="003802C7"/>
    <w:rsid w:val="0039224F"/>
    <w:rsid w:val="003A43A4"/>
    <w:rsid w:val="003A55DD"/>
    <w:rsid w:val="003A7E18"/>
    <w:rsid w:val="003B51DB"/>
    <w:rsid w:val="003C4C86"/>
    <w:rsid w:val="003C6258"/>
    <w:rsid w:val="003E19F2"/>
    <w:rsid w:val="003E2904"/>
    <w:rsid w:val="003E421D"/>
    <w:rsid w:val="003F4E05"/>
    <w:rsid w:val="004010B6"/>
    <w:rsid w:val="00401927"/>
    <w:rsid w:val="0041027F"/>
    <w:rsid w:val="00410D2B"/>
    <w:rsid w:val="00412475"/>
    <w:rsid w:val="00414A93"/>
    <w:rsid w:val="00423789"/>
    <w:rsid w:val="0042711B"/>
    <w:rsid w:val="00440F43"/>
    <w:rsid w:val="00441B6F"/>
    <w:rsid w:val="0044252E"/>
    <w:rsid w:val="00445426"/>
    <w:rsid w:val="00446221"/>
    <w:rsid w:val="00450E62"/>
    <w:rsid w:val="004514BB"/>
    <w:rsid w:val="004539DB"/>
    <w:rsid w:val="004649C3"/>
    <w:rsid w:val="00471A80"/>
    <w:rsid w:val="00471CBC"/>
    <w:rsid w:val="004C30ED"/>
    <w:rsid w:val="004D305E"/>
    <w:rsid w:val="004D4277"/>
    <w:rsid w:val="004E7EB1"/>
    <w:rsid w:val="00502516"/>
    <w:rsid w:val="00505F06"/>
    <w:rsid w:val="00506828"/>
    <w:rsid w:val="00524D09"/>
    <w:rsid w:val="0053056E"/>
    <w:rsid w:val="00531F7E"/>
    <w:rsid w:val="00536C7F"/>
    <w:rsid w:val="00554E31"/>
    <w:rsid w:val="00554FDA"/>
    <w:rsid w:val="0056593A"/>
    <w:rsid w:val="005759E2"/>
    <w:rsid w:val="00584BCD"/>
    <w:rsid w:val="005A3398"/>
    <w:rsid w:val="005A525E"/>
    <w:rsid w:val="005C7522"/>
    <w:rsid w:val="005C784C"/>
    <w:rsid w:val="005D17F6"/>
    <w:rsid w:val="005E5539"/>
    <w:rsid w:val="005F25A2"/>
    <w:rsid w:val="005F55D1"/>
    <w:rsid w:val="005F6724"/>
    <w:rsid w:val="005F7A0B"/>
    <w:rsid w:val="00602BF5"/>
    <w:rsid w:val="00614A95"/>
    <w:rsid w:val="00617FDD"/>
    <w:rsid w:val="006226D8"/>
    <w:rsid w:val="00633614"/>
    <w:rsid w:val="00633F68"/>
    <w:rsid w:val="00636EB2"/>
    <w:rsid w:val="006375B8"/>
    <w:rsid w:val="006458A9"/>
    <w:rsid w:val="00647E3A"/>
    <w:rsid w:val="006506B6"/>
    <w:rsid w:val="0065199B"/>
    <w:rsid w:val="006568D9"/>
    <w:rsid w:val="0066510A"/>
    <w:rsid w:val="006674FE"/>
    <w:rsid w:val="00671DB2"/>
    <w:rsid w:val="00673232"/>
    <w:rsid w:val="00673752"/>
    <w:rsid w:val="00673F9F"/>
    <w:rsid w:val="00674FB1"/>
    <w:rsid w:val="00686953"/>
    <w:rsid w:val="00687DEA"/>
    <w:rsid w:val="00687E67"/>
    <w:rsid w:val="006967F7"/>
    <w:rsid w:val="006A250C"/>
    <w:rsid w:val="006B21D3"/>
    <w:rsid w:val="006B268E"/>
    <w:rsid w:val="006B57D0"/>
    <w:rsid w:val="006B6B5D"/>
    <w:rsid w:val="006D30FF"/>
    <w:rsid w:val="006D4B39"/>
    <w:rsid w:val="006D6940"/>
    <w:rsid w:val="006E28FE"/>
    <w:rsid w:val="006E440E"/>
    <w:rsid w:val="006F11EC"/>
    <w:rsid w:val="0070082C"/>
    <w:rsid w:val="007071CE"/>
    <w:rsid w:val="00713FA1"/>
    <w:rsid w:val="0071608C"/>
    <w:rsid w:val="00731AB6"/>
    <w:rsid w:val="00732EA5"/>
    <w:rsid w:val="007369E6"/>
    <w:rsid w:val="007376A5"/>
    <w:rsid w:val="00745772"/>
    <w:rsid w:val="00746E59"/>
    <w:rsid w:val="00754C9A"/>
    <w:rsid w:val="0075599A"/>
    <w:rsid w:val="00761743"/>
    <w:rsid w:val="00761D52"/>
    <w:rsid w:val="0077054A"/>
    <w:rsid w:val="00774777"/>
    <w:rsid w:val="0077749E"/>
    <w:rsid w:val="00777FFE"/>
    <w:rsid w:val="00780CEB"/>
    <w:rsid w:val="00781FB3"/>
    <w:rsid w:val="00790ADA"/>
    <w:rsid w:val="007A1E09"/>
    <w:rsid w:val="007B7333"/>
    <w:rsid w:val="007D2288"/>
    <w:rsid w:val="007E0339"/>
    <w:rsid w:val="007E088F"/>
    <w:rsid w:val="007E5FCF"/>
    <w:rsid w:val="007F2AA6"/>
    <w:rsid w:val="007F7B32"/>
    <w:rsid w:val="00804BC2"/>
    <w:rsid w:val="0081181E"/>
    <w:rsid w:val="0081431A"/>
    <w:rsid w:val="008167EC"/>
    <w:rsid w:val="00820BDF"/>
    <w:rsid w:val="0082798F"/>
    <w:rsid w:val="0083216F"/>
    <w:rsid w:val="0083596A"/>
    <w:rsid w:val="00854847"/>
    <w:rsid w:val="00855F8F"/>
    <w:rsid w:val="00856AF5"/>
    <w:rsid w:val="00860000"/>
    <w:rsid w:val="00863BD3"/>
    <w:rsid w:val="008641ED"/>
    <w:rsid w:val="00864423"/>
    <w:rsid w:val="00866D66"/>
    <w:rsid w:val="008671C6"/>
    <w:rsid w:val="00875803"/>
    <w:rsid w:val="00885B63"/>
    <w:rsid w:val="008B0933"/>
    <w:rsid w:val="008B459E"/>
    <w:rsid w:val="008D0208"/>
    <w:rsid w:val="008E1117"/>
    <w:rsid w:val="008E13AE"/>
    <w:rsid w:val="008E1506"/>
    <w:rsid w:val="008E710C"/>
    <w:rsid w:val="008F0530"/>
    <w:rsid w:val="008F69D6"/>
    <w:rsid w:val="00902823"/>
    <w:rsid w:val="00915CA6"/>
    <w:rsid w:val="00927834"/>
    <w:rsid w:val="009500A6"/>
    <w:rsid w:val="00952CA3"/>
    <w:rsid w:val="009538BB"/>
    <w:rsid w:val="00956838"/>
    <w:rsid w:val="00956E76"/>
    <w:rsid w:val="00957C18"/>
    <w:rsid w:val="009659BA"/>
    <w:rsid w:val="00983040"/>
    <w:rsid w:val="00984F99"/>
    <w:rsid w:val="009A68BF"/>
    <w:rsid w:val="009B3FB9"/>
    <w:rsid w:val="009C245E"/>
    <w:rsid w:val="009C2465"/>
    <w:rsid w:val="009D1708"/>
    <w:rsid w:val="009D35A0"/>
    <w:rsid w:val="009D45D7"/>
    <w:rsid w:val="009D46B2"/>
    <w:rsid w:val="009D7EB7"/>
    <w:rsid w:val="009E048A"/>
    <w:rsid w:val="009E08E9"/>
    <w:rsid w:val="009E3DB9"/>
    <w:rsid w:val="009E531C"/>
    <w:rsid w:val="009E54D4"/>
    <w:rsid w:val="009E6E35"/>
    <w:rsid w:val="009F0EDA"/>
    <w:rsid w:val="009F5350"/>
    <w:rsid w:val="00A03B96"/>
    <w:rsid w:val="00A05B19"/>
    <w:rsid w:val="00A075D5"/>
    <w:rsid w:val="00A1134E"/>
    <w:rsid w:val="00A24E7E"/>
    <w:rsid w:val="00A258C3"/>
    <w:rsid w:val="00A27CE0"/>
    <w:rsid w:val="00A347C0"/>
    <w:rsid w:val="00A34FA9"/>
    <w:rsid w:val="00A51431"/>
    <w:rsid w:val="00A5335B"/>
    <w:rsid w:val="00A539AD"/>
    <w:rsid w:val="00A53C87"/>
    <w:rsid w:val="00A546C3"/>
    <w:rsid w:val="00A5795F"/>
    <w:rsid w:val="00A6005F"/>
    <w:rsid w:val="00A765AC"/>
    <w:rsid w:val="00A94063"/>
    <w:rsid w:val="00AA6219"/>
    <w:rsid w:val="00AA74E0"/>
    <w:rsid w:val="00AB703F"/>
    <w:rsid w:val="00AC68CF"/>
    <w:rsid w:val="00AC6BB8"/>
    <w:rsid w:val="00AC777C"/>
    <w:rsid w:val="00AE008F"/>
    <w:rsid w:val="00AE5B15"/>
    <w:rsid w:val="00AF55FE"/>
    <w:rsid w:val="00B01FCD"/>
    <w:rsid w:val="00B06D20"/>
    <w:rsid w:val="00B1776C"/>
    <w:rsid w:val="00B27FAD"/>
    <w:rsid w:val="00B52583"/>
    <w:rsid w:val="00B52896"/>
    <w:rsid w:val="00B759B1"/>
    <w:rsid w:val="00B8618F"/>
    <w:rsid w:val="00B95236"/>
    <w:rsid w:val="00B96BD9"/>
    <w:rsid w:val="00BA0FAF"/>
    <w:rsid w:val="00BA1B01"/>
    <w:rsid w:val="00BA2641"/>
    <w:rsid w:val="00BA3B3F"/>
    <w:rsid w:val="00BB37AA"/>
    <w:rsid w:val="00BB5558"/>
    <w:rsid w:val="00BB6A02"/>
    <w:rsid w:val="00BC44C8"/>
    <w:rsid w:val="00BC53A0"/>
    <w:rsid w:val="00BC7F04"/>
    <w:rsid w:val="00BE34BE"/>
    <w:rsid w:val="00BE62AD"/>
    <w:rsid w:val="00BF121F"/>
    <w:rsid w:val="00BF1F80"/>
    <w:rsid w:val="00BF6854"/>
    <w:rsid w:val="00BF6E30"/>
    <w:rsid w:val="00C01E14"/>
    <w:rsid w:val="00C046CA"/>
    <w:rsid w:val="00C10894"/>
    <w:rsid w:val="00C13043"/>
    <w:rsid w:val="00C13AF3"/>
    <w:rsid w:val="00C166EF"/>
    <w:rsid w:val="00C17E15"/>
    <w:rsid w:val="00C17EB0"/>
    <w:rsid w:val="00C222CC"/>
    <w:rsid w:val="00C25041"/>
    <w:rsid w:val="00C27F5F"/>
    <w:rsid w:val="00C30A0F"/>
    <w:rsid w:val="00C30C9E"/>
    <w:rsid w:val="00C37E61"/>
    <w:rsid w:val="00C472AC"/>
    <w:rsid w:val="00C70F1B"/>
    <w:rsid w:val="00C71A47"/>
    <w:rsid w:val="00C7464C"/>
    <w:rsid w:val="00C8019F"/>
    <w:rsid w:val="00C847B4"/>
    <w:rsid w:val="00C85588"/>
    <w:rsid w:val="00C86A02"/>
    <w:rsid w:val="00C920F9"/>
    <w:rsid w:val="00C936EF"/>
    <w:rsid w:val="00CC0AEB"/>
    <w:rsid w:val="00CD2B71"/>
    <w:rsid w:val="00CD2E05"/>
    <w:rsid w:val="00CD5C26"/>
    <w:rsid w:val="00CD6755"/>
    <w:rsid w:val="00CD6856"/>
    <w:rsid w:val="00CE0089"/>
    <w:rsid w:val="00CE0537"/>
    <w:rsid w:val="00CE793C"/>
    <w:rsid w:val="00CF193C"/>
    <w:rsid w:val="00CF7F0E"/>
    <w:rsid w:val="00D057F1"/>
    <w:rsid w:val="00D139F5"/>
    <w:rsid w:val="00D173F1"/>
    <w:rsid w:val="00D27692"/>
    <w:rsid w:val="00D30B7D"/>
    <w:rsid w:val="00D43DFD"/>
    <w:rsid w:val="00D65582"/>
    <w:rsid w:val="00D74CB0"/>
    <w:rsid w:val="00D8295D"/>
    <w:rsid w:val="00D9349D"/>
    <w:rsid w:val="00D93943"/>
    <w:rsid w:val="00DC2A65"/>
    <w:rsid w:val="00DD3076"/>
    <w:rsid w:val="00DD6774"/>
    <w:rsid w:val="00DD78B5"/>
    <w:rsid w:val="00DE15F0"/>
    <w:rsid w:val="00DE5663"/>
    <w:rsid w:val="00DE78AA"/>
    <w:rsid w:val="00E00B5E"/>
    <w:rsid w:val="00E053D0"/>
    <w:rsid w:val="00E07BA0"/>
    <w:rsid w:val="00E15994"/>
    <w:rsid w:val="00E2529F"/>
    <w:rsid w:val="00E27918"/>
    <w:rsid w:val="00E3114E"/>
    <w:rsid w:val="00E31A70"/>
    <w:rsid w:val="00E35B02"/>
    <w:rsid w:val="00E453C6"/>
    <w:rsid w:val="00E459C6"/>
    <w:rsid w:val="00E51EB8"/>
    <w:rsid w:val="00E54F71"/>
    <w:rsid w:val="00E66496"/>
    <w:rsid w:val="00E66B35"/>
    <w:rsid w:val="00E66E10"/>
    <w:rsid w:val="00E769F6"/>
    <w:rsid w:val="00E8407C"/>
    <w:rsid w:val="00E84F3C"/>
    <w:rsid w:val="00E86888"/>
    <w:rsid w:val="00E9491C"/>
    <w:rsid w:val="00EA012C"/>
    <w:rsid w:val="00EA2B59"/>
    <w:rsid w:val="00EA3B1D"/>
    <w:rsid w:val="00EB04B1"/>
    <w:rsid w:val="00EC6A55"/>
    <w:rsid w:val="00EC7644"/>
    <w:rsid w:val="00EC7826"/>
    <w:rsid w:val="00ED0288"/>
    <w:rsid w:val="00ED0967"/>
    <w:rsid w:val="00EE088C"/>
    <w:rsid w:val="00EE13F2"/>
    <w:rsid w:val="00EE52CB"/>
    <w:rsid w:val="00EF3662"/>
    <w:rsid w:val="00EF581D"/>
    <w:rsid w:val="00EF7B14"/>
    <w:rsid w:val="00EF7FD8"/>
    <w:rsid w:val="00F021E2"/>
    <w:rsid w:val="00F039E0"/>
    <w:rsid w:val="00F06F59"/>
    <w:rsid w:val="00F1719A"/>
    <w:rsid w:val="00F17988"/>
    <w:rsid w:val="00F2164B"/>
    <w:rsid w:val="00F25B69"/>
    <w:rsid w:val="00F27A37"/>
    <w:rsid w:val="00F4077E"/>
    <w:rsid w:val="00F469F0"/>
    <w:rsid w:val="00F53273"/>
    <w:rsid w:val="00F61E81"/>
    <w:rsid w:val="00F755E4"/>
    <w:rsid w:val="00F77D02"/>
    <w:rsid w:val="00F868FB"/>
    <w:rsid w:val="00F87509"/>
    <w:rsid w:val="00F960C8"/>
    <w:rsid w:val="00FA21EC"/>
    <w:rsid w:val="00FA46F9"/>
    <w:rsid w:val="00FA4B0C"/>
    <w:rsid w:val="00FA53F1"/>
    <w:rsid w:val="00FB2B29"/>
    <w:rsid w:val="00FB3A86"/>
    <w:rsid w:val="00FB7860"/>
    <w:rsid w:val="00FC3D6E"/>
    <w:rsid w:val="00FD36C8"/>
    <w:rsid w:val="00FD4F88"/>
    <w:rsid w:val="00FE1A5B"/>
    <w:rsid w:val="00FF0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1AE3F9"/>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BA3B3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E0339"/>
    <w:pPr>
      <w:ind w:left="720"/>
      <w:contextualSpacing/>
    </w:pPr>
  </w:style>
  <w:style w:type="character" w:styleId="Strong">
    <w:name w:val="Strong"/>
    <w:basedOn w:val="DefaultParagraphFont"/>
    <w:uiPriority w:val="22"/>
    <w:qFormat/>
    <w:rsid w:val="00EF3662"/>
    <w:rPr>
      <w:b/>
      <w:bCs/>
    </w:rPr>
  </w:style>
  <w:style w:type="paragraph" w:styleId="NormalWeb">
    <w:name w:val="Normal (Web)"/>
    <w:basedOn w:val="Normal"/>
    <w:uiPriority w:val="99"/>
    <w:unhideWhenUsed/>
    <w:rsid w:val="00EC7644"/>
    <w:pPr>
      <w:spacing w:before="100" w:beforeAutospacing="1" w:after="100" w:afterAutospacing="1"/>
    </w:pPr>
    <w:rPr>
      <w:rFonts w:ascii="Times New Roman" w:hAnsi="Times New Roman"/>
      <w:sz w:val="24"/>
      <w:szCs w:val="24"/>
    </w:rPr>
  </w:style>
  <w:style w:type="character" w:customStyle="1" w:styleId="Heading2Char">
    <w:name w:val="Heading 2 Char"/>
    <w:basedOn w:val="DefaultParagraphFont"/>
    <w:link w:val="Heading2"/>
    <w:semiHidden/>
    <w:rsid w:val="00BA3B3F"/>
    <w:rPr>
      <w:rFonts w:asciiTheme="majorHAnsi" w:eastAsiaTheme="majorEastAsia" w:hAnsiTheme="majorHAnsi" w:cstheme="majorBidi"/>
      <w:color w:val="365F91" w:themeColor="accent1" w:themeShade="BF"/>
      <w:sz w:val="26"/>
      <w:szCs w:val="26"/>
    </w:rPr>
  </w:style>
  <w:style w:type="character" w:customStyle="1" w:styleId="UnresolvedMention2">
    <w:name w:val="Unresolved Mention2"/>
    <w:basedOn w:val="DefaultParagraphFont"/>
    <w:uiPriority w:val="99"/>
    <w:semiHidden/>
    <w:unhideWhenUsed/>
    <w:rsid w:val="00C936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66298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hyperlink" Target="https://doi.org/10.1155/2022/9966750" TargetMode="External"/><Relationship Id="rId47" Type="http://schemas.openxmlformats.org/officeDocument/2006/relationships/hyperlink" Target="https://doi.org/10.24323/akademik-gida.1224295" TargetMode="External"/><Relationship Id="rId63" Type="http://schemas.openxmlformats.org/officeDocument/2006/relationships/hyperlink" Target="https://doi.org/10.4314/ajtcam.v11i1.17" TargetMode="External"/><Relationship Id="rId68" Type="http://schemas.openxmlformats.org/officeDocument/2006/relationships/hyperlink" Target="https://doi.org/10.3390/ijms9071333" TargetMode="External"/><Relationship Id="rId84" Type="http://schemas.openxmlformats.org/officeDocument/2006/relationships/header" Target="header5.xml"/><Relationship Id="rId89" Type="http://schemas.openxmlformats.org/officeDocument/2006/relationships/footer" Target="footer5.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hyperlink" Target="https://doi.org/10.3390/app12042107" TargetMode="External"/><Relationship Id="rId53" Type="http://schemas.openxmlformats.org/officeDocument/2006/relationships/hyperlink" Target="https://doi.org/10.1155/2007/45673" TargetMode="External"/><Relationship Id="rId58" Type="http://schemas.openxmlformats.org/officeDocument/2006/relationships/hyperlink" Target="https://doi.org/10.1007/s10067-017-3603-z" TargetMode="External"/><Relationship Id="rId74" Type="http://schemas.openxmlformats.org/officeDocument/2006/relationships/hyperlink" Target="https://doi.org/10.3390/antiox12010203" TargetMode="External"/><Relationship Id="rId79" Type="http://schemas.openxmlformats.org/officeDocument/2006/relationships/hyperlink" Target="https://doi.org/10.15171/bi.2016.22" TargetMode="External"/><Relationship Id="rId5" Type="http://schemas.openxmlformats.org/officeDocument/2006/relationships/webSettings" Target="webSettings.xml"/><Relationship Id="rId90" Type="http://schemas.openxmlformats.org/officeDocument/2006/relationships/header" Target="header9.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doi.org/10.3390/molecules27092901" TargetMode="External"/><Relationship Id="rId43" Type="http://schemas.openxmlformats.org/officeDocument/2006/relationships/hyperlink" Target="https://doi.org/10.1155/2016/3571614" TargetMode="External"/><Relationship Id="rId48" Type="http://schemas.openxmlformats.org/officeDocument/2006/relationships/hyperlink" Target="https://doi.org/10.1111/jphp.12442" TargetMode="External"/><Relationship Id="rId56" Type="http://schemas.openxmlformats.org/officeDocument/2006/relationships/hyperlink" Target="https://doi.org/10.3389/fphar.2023.1218015" TargetMode="External"/><Relationship Id="rId64" Type="http://schemas.openxmlformats.org/officeDocument/2006/relationships/hyperlink" Target="https://doi.org/10.1007/s10068-019-00589-6" TargetMode="External"/><Relationship Id="rId69" Type="http://schemas.openxmlformats.org/officeDocument/2006/relationships/hyperlink" Target="https://doi.org/10.1007/s10068-019-00589-6" TargetMode="External"/><Relationship Id="rId77" Type="http://schemas.openxmlformats.org/officeDocument/2006/relationships/hyperlink" Target="https://doi.org/10.3389/fnut.2024.1456730" TargetMode="External"/><Relationship Id="rId8" Type="http://schemas.openxmlformats.org/officeDocument/2006/relationships/header" Target="header1.xml"/><Relationship Id="rId51" Type="http://schemas.openxmlformats.org/officeDocument/2006/relationships/hyperlink" Target="https://www.ich.org/page/quality-guidelines" TargetMode="External"/><Relationship Id="rId72" Type="http://schemas.openxmlformats.org/officeDocument/2006/relationships/hyperlink" Target="https://doi.org/10.1007/s10341-025-01294-x" TargetMode="External"/><Relationship Id="rId80" Type="http://schemas.openxmlformats.org/officeDocument/2006/relationships/hyperlink" Target="https://doi.org/10.3390/ijms241813874" TargetMode="Externa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doi.org/10.1016/j.crphar.2025.100217" TargetMode="External"/><Relationship Id="rId38" Type="http://schemas.openxmlformats.org/officeDocument/2006/relationships/hyperlink" Target="https://doi.org/10.3390/molecules26102959" TargetMode="External"/><Relationship Id="rId46" Type="http://schemas.openxmlformats.org/officeDocument/2006/relationships/hyperlink" Target="https://doi.org/10.3389/fimmu.2025.1671519" TargetMode="External"/><Relationship Id="rId59" Type="http://schemas.openxmlformats.org/officeDocument/2006/relationships/hyperlink" Target="https://doi.org/10.3390/molecules29112412" TargetMode="External"/><Relationship Id="rId67" Type="http://schemas.openxmlformats.org/officeDocument/2006/relationships/hyperlink" Target="https://doi.org/10.1002/cbdv.202403505" TargetMode="External"/><Relationship Id="rId20" Type="http://schemas.openxmlformats.org/officeDocument/2006/relationships/image" Target="media/image6.png"/><Relationship Id="rId41" Type="http://schemas.openxmlformats.org/officeDocument/2006/relationships/hyperlink" Target="https://doi.org/10.3390/molecules25092021" TargetMode="External"/><Relationship Id="rId54" Type="http://schemas.openxmlformats.org/officeDocument/2006/relationships/hyperlink" Target="https://doi.org/10.1016/j.jtcme.2015.09.004" TargetMode="External"/><Relationship Id="rId62" Type="http://schemas.openxmlformats.org/officeDocument/2006/relationships/hyperlink" Target="https://doi.org/10.1016/j.foodres.2022.111487" TargetMode="External"/><Relationship Id="rId70" Type="http://schemas.openxmlformats.org/officeDocument/2006/relationships/hyperlink" Target="https://doi.org/10.1016/j.foodchem.2022.134099" TargetMode="External"/><Relationship Id="rId75" Type="http://schemas.openxmlformats.org/officeDocument/2006/relationships/hyperlink" Target="https://doi.org/10.1016/j.molliq.2016.07.050" TargetMode="External"/><Relationship Id="rId83" Type="http://schemas.openxmlformats.org/officeDocument/2006/relationships/header" Target="header4.xml"/><Relationship Id="rId88" Type="http://schemas.openxmlformats.org/officeDocument/2006/relationships/header" Target="header8.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ch.org/page/quality-guideline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doi.org/10.1111/1541-4337.12241" TargetMode="External"/><Relationship Id="rId49" Type="http://schemas.openxmlformats.org/officeDocument/2006/relationships/hyperlink" Target="https://doi.org/10.1016/j.phytochem.2024.114334" TargetMode="External"/><Relationship Id="rId57" Type="http://schemas.openxmlformats.org/officeDocument/2006/relationships/hyperlink" Target="https://doi.org/10.31989/bchd.v6i10.1145"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doi.org/10.3390/separations8050065" TargetMode="External"/><Relationship Id="rId52" Type="http://schemas.openxmlformats.org/officeDocument/2006/relationships/hyperlink" Target="https://doi.org/10.3390/antiox13081001" TargetMode="External"/><Relationship Id="rId60" Type="http://schemas.openxmlformats.org/officeDocument/2006/relationships/hyperlink" Target="https://doi.org/10.21608/mjvm.2024.341806" TargetMode="External"/><Relationship Id="rId65" Type="http://schemas.openxmlformats.org/officeDocument/2006/relationships/hyperlink" Target="https://doi.org/10.3390/molecules27010233" TargetMode="External"/><Relationship Id="rId73" Type="http://schemas.openxmlformats.org/officeDocument/2006/relationships/hyperlink" Target="https://doi.org/10.1080/10942912.2023.2205040" TargetMode="External"/><Relationship Id="rId78" Type="http://schemas.openxmlformats.org/officeDocument/2006/relationships/hyperlink" Target="https://doi.org/10.3390/molecules28041845" TargetMode="External"/><Relationship Id="rId81" Type="http://schemas.openxmlformats.org/officeDocument/2006/relationships/hyperlink" Target="https://doi.org/10.1177/1934578X211069721" TargetMode="External"/><Relationship Id="rId86"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hyperlink" Target="https://doi.org/10.1006/jfca.2001.1004" TargetMode="External"/><Relationship Id="rId34" Type="http://schemas.openxmlformats.org/officeDocument/2006/relationships/hyperlink" Target="https://doi.org/10.3109/07388551.2010.513677" TargetMode="External"/><Relationship Id="rId50" Type="http://schemas.openxmlformats.org/officeDocument/2006/relationships/hyperlink" Target="https://doi.org/10.1002/fsn3.900" TargetMode="External"/><Relationship Id="rId55" Type="http://schemas.openxmlformats.org/officeDocument/2006/relationships/hyperlink" Target="https://doi.org/10.3390/pharmaceutics16091202" TargetMode="External"/><Relationship Id="rId76" Type="http://schemas.openxmlformats.org/officeDocument/2006/relationships/hyperlink" Target="https://doi.org/10.24925/turjaf.v9i4.723-727.4025" TargetMode="External"/><Relationship Id="rId7" Type="http://schemas.openxmlformats.org/officeDocument/2006/relationships/endnotes" Target="endnotes.xml"/><Relationship Id="rId71" Type="http://schemas.openxmlformats.org/officeDocument/2006/relationships/hyperlink" Target="https://doi.org/10.1007/978-1-61779-624-1_17"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hyperlink" Target="https://doi.org/10.1002/fsn3.70486" TargetMode="External"/><Relationship Id="rId45" Type="http://schemas.openxmlformats.org/officeDocument/2006/relationships/hyperlink" Target="https://doi.org/10.3390/antiox10111696" TargetMode="External"/><Relationship Id="rId66" Type="http://schemas.openxmlformats.org/officeDocument/2006/relationships/hyperlink" Target="https://doi.org/10.1111/1541-4337.12921" TargetMode="External"/><Relationship Id="rId87" Type="http://schemas.openxmlformats.org/officeDocument/2006/relationships/header" Target="header7.xml"/><Relationship Id="rId61" Type="http://schemas.openxmlformats.org/officeDocument/2006/relationships/hyperlink" Target="https://doi.org/10.1016/j.indcrop.2018.04.051" TargetMode="External"/><Relationship Id="rId82" Type="http://schemas.openxmlformats.org/officeDocument/2006/relationships/hyperlink" Target="https://www.fs.usda.gov/database/feis/plants/tree/elaang/all.html" TargetMode="External"/><Relationship Id="rId19"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EB0DE3-3660-482F-B60D-FD81E38E8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645</TotalTime>
  <Pages>21</Pages>
  <Words>7699</Words>
  <Characters>53178</Characters>
  <Application>Microsoft Office Word</Application>
  <DocSecurity>0</DocSecurity>
  <Lines>443</Lines>
  <Paragraphs>121</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60756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51</cp:revision>
  <cp:lastPrinted>1999-07-06T11:00:00Z</cp:lastPrinted>
  <dcterms:created xsi:type="dcterms:W3CDTF">2026-04-02T14:43:00Z</dcterms:created>
  <dcterms:modified xsi:type="dcterms:W3CDTF">2026-04-11T06:39:00Z</dcterms:modified>
</cp:coreProperties>
</file>