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4BEB6" w14:textId="6E095AA7" w:rsidR="006D0E01" w:rsidRPr="00E845D3" w:rsidRDefault="00305C7D" w:rsidP="0087275B">
      <w:pPr>
        <w:spacing w:line="360" w:lineRule="auto"/>
        <w:jc w:val="both"/>
        <w:rPr>
          <w:rFonts w:asciiTheme="majorHAnsi" w:hAnsiTheme="majorHAnsi" w:cstheme="majorHAnsi"/>
        </w:rPr>
      </w:pPr>
      <w:r w:rsidRPr="00E845D3">
        <w:rPr>
          <w:rFonts w:asciiTheme="majorHAnsi" w:hAnsiTheme="majorHAnsi" w:cstheme="majorHAnsi"/>
          <w:b/>
          <w:sz w:val="30"/>
        </w:rPr>
        <w:t xml:space="preserve">Access, Adherence and Patient-Reported Outcomes of Hydroxyurea Therapy in Sickle Cell Disease: A </w:t>
      </w:r>
      <w:r w:rsidR="00006A37" w:rsidRPr="00E845D3">
        <w:rPr>
          <w:rFonts w:asciiTheme="majorHAnsi" w:hAnsiTheme="majorHAnsi" w:cstheme="majorHAnsi"/>
          <w:b/>
          <w:sz w:val="30"/>
        </w:rPr>
        <w:t>C</w:t>
      </w:r>
      <w:r w:rsidRPr="00E845D3">
        <w:rPr>
          <w:rFonts w:asciiTheme="majorHAnsi" w:hAnsiTheme="majorHAnsi" w:cstheme="majorHAnsi"/>
          <w:b/>
          <w:sz w:val="30"/>
        </w:rPr>
        <w:t xml:space="preserve">ross-Sectional </w:t>
      </w:r>
      <w:r w:rsidR="00006A37" w:rsidRPr="00E845D3">
        <w:rPr>
          <w:rFonts w:asciiTheme="majorHAnsi" w:hAnsiTheme="majorHAnsi" w:cstheme="majorHAnsi"/>
          <w:b/>
          <w:sz w:val="30"/>
        </w:rPr>
        <w:t xml:space="preserve">Study from </w:t>
      </w:r>
      <w:r w:rsidRPr="00E845D3">
        <w:rPr>
          <w:rFonts w:asciiTheme="majorHAnsi" w:hAnsiTheme="majorHAnsi" w:cstheme="majorHAnsi"/>
          <w:b/>
          <w:sz w:val="30"/>
        </w:rPr>
        <w:t>Nigeria</w:t>
      </w:r>
    </w:p>
    <w:p w14:paraId="16B6B757" w14:textId="77777777" w:rsidR="00E845D3" w:rsidRPr="00E845D3" w:rsidRDefault="00E845D3" w:rsidP="0087275B">
      <w:pPr>
        <w:spacing w:before="100" w:beforeAutospacing="1" w:after="100" w:afterAutospacing="1" w:line="360" w:lineRule="auto"/>
        <w:rPr>
          <w:rFonts w:ascii="Calibri" w:eastAsia="Times New Roman" w:hAnsi="Calibri" w:cs="Calibri"/>
          <w:sz w:val="24"/>
        </w:rPr>
      </w:pPr>
    </w:p>
    <w:p w14:paraId="19E55984" w14:textId="1CCA7188" w:rsidR="006D0E01" w:rsidRPr="00E845D3" w:rsidRDefault="00305C7D" w:rsidP="0087275B">
      <w:pPr>
        <w:pStyle w:val="Heading1"/>
        <w:spacing w:line="360" w:lineRule="auto"/>
        <w:jc w:val="both"/>
        <w:rPr>
          <w:rFonts w:cstheme="majorHAnsi"/>
          <w:color w:val="auto"/>
          <w:sz w:val="24"/>
          <w:szCs w:val="24"/>
        </w:rPr>
      </w:pPr>
      <w:r w:rsidRPr="00E845D3">
        <w:rPr>
          <w:rFonts w:cstheme="majorHAnsi"/>
          <w:color w:val="auto"/>
          <w:sz w:val="24"/>
          <w:szCs w:val="24"/>
        </w:rPr>
        <w:t>Abstract</w:t>
      </w:r>
    </w:p>
    <w:p w14:paraId="0EA7EE54" w14:textId="707ACC72" w:rsidR="006D0E01" w:rsidRPr="00E845D3" w:rsidRDefault="00305C7D" w:rsidP="0087275B">
      <w:pPr>
        <w:spacing w:line="360" w:lineRule="auto"/>
        <w:jc w:val="both"/>
        <w:rPr>
          <w:rFonts w:asciiTheme="majorHAnsi" w:hAnsiTheme="majorHAnsi" w:cstheme="majorHAnsi"/>
          <w:sz w:val="24"/>
          <w:szCs w:val="24"/>
        </w:rPr>
      </w:pPr>
      <w:r w:rsidRPr="00E845D3">
        <w:rPr>
          <w:rFonts w:asciiTheme="majorHAnsi" w:hAnsiTheme="majorHAnsi" w:cstheme="majorHAnsi"/>
          <w:b/>
          <w:sz w:val="24"/>
          <w:szCs w:val="24"/>
        </w:rPr>
        <w:t xml:space="preserve">Background: </w:t>
      </w:r>
      <w:r w:rsidRPr="00E845D3">
        <w:rPr>
          <w:rFonts w:asciiTheme="majorHAnsi" w:hAnsiTheme="majorHAnsi" w:cstheme="majorHAnsi"/>
          <w:sz w:val="24"/>
          <w:szCs w:val="24"/>
        </w:rPr>
        <w:t>Hydroxyurea is the most accessible disease-modifying therapy for sickle cell disease (SCD), but in many low- and middle-income countries its real-world benefit is constrained by gaps in awareness, uptake, continuity, and adherence. We analy</w:t>
      </w:r>
      <w:r w:rsidR="00D65248" w:rsidRPr="00E845D3">
        <w:rPr>
          <w:rFonts w:asciiTheme="majorHAnsi" w:hAnsiTheme="majorHAnsi" w:cstheme="majorHAnsi"/>
          <w:sz w:val="24"/>
          <w:szCs w:val="24"/>
        </w:rPr>
        <w:t>z</w:t>
      </w:r>
      <w:r w:rsidRPr="00E845D3">
        <w:rPr>
          <w:rFonts w:asciiTheme="majorHAnsi" w:hAnsiTheme="majorHAnsi" w:cstheme="majorHAnsi"/>
          <w:sz w:val="24"/>
          <w:szCs w:val="24"/>
        </w:rPr>
        <w:t>ed the full hydroxyurea pathway—uptake, discontinuation, adherence, and patient-reported outcomes—in a Nigerian cross-sectional cohort.</w:t>
      </w:r>
    </w:p>
    <w:p w14:paraId="5B6ECA08" w14:textId="1A9A7924" w:rsidR="006D0E01" w:rsidRPr="00E845D3" w:rsidRDefault="00305C7D" w:rsidP="0087275B">
      <w:pPr>
        <w:spacing w:line="360" w:lineRule="auto"/>
        <w:jc w:val="both"/>
        <w:rPr>
          <w:rFonts w:asciiTheme="majorHAnsi" w:hAnsiTheme="majorHAnsi" w:cstheme="majorHAnsi"/>
          <w:sz w:val="24"/>
          <w:szCs w:val="24"/>
        </w:rPr>
      </w:pPr>
      <w:r w:rsidRPr="00E845D3">
        <w:rPr>
          <w:rFonts w:asciiTheme="majorHAnsi" w:hAnsiTheme="majorHAnsi" w:cstheme="majorHAnsi"/>
          <w:b/>
          <w:sz w:val="24"/>
          <w:szCs w:val="24"/>
        </w:rPr>
        <w:t xml:space="preserve">Methods: </w:t>
      </w:r>
      <w:r w:rsidR="00D03E3C" w:rsidRPr="00E577A7">
        <w:rPr>
          <w:rFonts w:eastAsia="Times New Roman"/>
          <w:color w:val="EE0000"/>
          <w:lang w:val="en-GB"/>
        </w:rPr>
        <w:t xml:space="preserve">We conducted a cross-sectional analysis of </w:t>
      </w:r>
      <w:bookmarkStart w:id="0" w:name="_Hlk228190909"/>
      <w:r w:rsidR="00D03E3C" w:rsidRPr="00E577A7">
        <w:rPr>
          <w:rFonts w:eastAsia="Times New Roman"/>
          <w:color w:val="EE0000"/>
          <w:lang w:val="en-GB"/>
        </w:rPr>
        <w:t xml:space="preserve">questionnaire </w:t>
      </w:r>
      <w:bookmarkEnd w:id="0"/>
      <w:r w:rsidR="00D03E3C" w:rsidRPr="00E577A7">
        <w:rPr>
          <w:rFonts w:eastAsia="Times New Roman"/>
          <w:color w:val="EE0000"/>
          <w:lang w:val="en-GB"/>
        </w:rPr>
        <w:t>data from 117 adult respondents with self-reported sickle cell disease</w:t>
      </w:r>
      <w:r w:rsidRPr="00E845D3">
        <w:rPr>
          <w:rFonts w:asciiTheme="majorHAnsi" w:hAnsiTheme="majorHAnsi" w:cstheme="majorHAnsi"/>
          <w:sz w:val="24"/>
          <w:szCs w:val="24"/>
        </w:rPr>
        <w:t>. Composite scores were derived for patient-reported quality of life (QoL) and disease burden using ordinal survey items. Four multivariable logistic regression models were fitted to identify predictors of current hydroxyurea uptake (all respondents), discontinuation (ever-users), full adherence (current users), and better patient-reported outcome defined as a high QoL composite score. Adjusted odds ratios (</w:t>
      </w:r>
      <w:proofErr w:type="spellStart"/>
      <w:r w:rsidRPr="00E845D3">
        <w:rPr>
          <w:rFonts w:asciiTheme="majorHAnsi" w:hAnsiTheme="majorHAnsi" w:cstheme="majorHAnsi"/>
          <w:sz w:val="24"/>
          <w:szCs w:val="24"/>
        </w:rPr>
        <w:t>aORs</w:t>
      </w:r>
      <w:proofErr w:type="spellEnd"/>
      <w:r w:rsidRPr="00E845D3">
        <w:rPr>
          <w:rFonts w:asciiTheme="majorHAnsi" w:hAnsiTheme="majorHAnsi" w:cstheme="majorHAnsi"/>
          <w:sz w:val="24"/>
          <w:szCs w:val="24"/>
        </w:rPr>
        <w:t xml:space="preserve">) with 95% confidence intervals (CIs) were reported. </w:t>
      </w:r>
    </w:p>
    <w:p w14:paraId="4449739E" w14:textId="112AC52C" w:rsidR="006D0E01" w:rsidRPr="00E845D3" w:rsidRDefault="00305C7D" w:rsidP="0087275B">
      <w:pPr>
        <w:spacing w:line="360" w:lineRule="auto"/>
        <w:jc w:val="both"/>
        <w:rPr>
          <w:rFonts w:asciiTheme="majorHAnsi" w:hAnsiTheme="majorHAnsi" w:cstheme="majorHAnsi"/>
          <w:sz w:val="24"/>
          <w:szCs w:val="24"/>
        </w:rPr>
      </w:pPr>
      <w:r w:rsidRPr="00E845D3">
        <w:rPr>
          <w:rFonts w:asciiTheme="majorHAnsi" w:hAnsiTheme="majorHAnsi" w:cstheme="majorHAnsi"/>
          <w:b/>
          <w:sz w:val="24"/>
          <w:szCs w:val="24"/>
        </w:rPr>
        <w:t xml:space="preserve">Results: </w:t>
      </w:r>
      <w:r w:rsidRPr="00E845D3">
        <w:rPr>
          <w:rFonts w:asciiTheme="majorHAnsi" w:hAnsiTheme="majorHAnsi" w:cstheme="majorHAnsi"/>
          <w:sz w:val="24"/>
          <w:szCs w:val="24"/>
        </w:rPr>
        <w:t xml:space="preserve">The mean age was 30.8 ± 10.2 years, and 83 (70.9%) were female. Current hydroxyurea use was reported by 50 (42.7%), while 17 (14.5%) had discontinued and 8 (6.8%) had never heard of hydroxyurea. </w:t>
      </w:r>
      <w:r w:rsidR="00D65248" w:rsidRPr="00E845D3">
        <w:rPr>
          <w:rFonts w:asciiTheme="majorHAnsi" w:hAnsiTheme="majorHAnsi" w:cstheme="majorHAnsi"/>
          <w:sz w:val="24"/>
          <w:szCs w:val="24"/>
        </w:rPr>
        <w:t xml:space="preserve">Among ever-users, 50 (74.6%) were current hydroxyurea users, while 17 (25.4%) had discontinued treatment. </w:t>
      </w:r>
      <w:r w:rsidRPr="00E845D3">
        <w:rPr>
          <w:rFonts w:asciiTheme="majorHAnsi" w:hAnsiTheme="majorHAnsi" w:cstheme="majorHAnsi"/>
          <w:sz w:val="24"/>
          <w:szCs w:val="24"/>
        </w:rPr>
        <w:t>Full adherence among current users was 36 (72.0%). In multivariable analysis, higher disease burden independently predicted hydroxyurea uptake (</w:t>
      </w:r>
      <w:proofErr w:type="spellStart"/>
      <w:r w:rsidRPr="00E845D3">
        <w:rPr>
          <w:rFonts w:asciiTheme="majorHAnsi" w:hAnsiTheme="majorHAnsi" w:cstheme="majorHAnsi"/>
          <w:sz w:val="24"/>
          <w:szCs w:val="24"/>
        </w:rPr>
        <w:t>aOR</w:t>
      </w:r>
      <w:proofErr w:type="spellEnd"/>
      <w:r w:rsidRPr="00E845D3">
        <w:rPr>
          <w:rFonts w:asciiTheme="majorHAnsi" w:hAnsiTheme="majorHAnsi" w:cstheme="majorHAnsi"/>
          <w:sz w:val="24"/>
          <w:szCs w:val="24"/>
        </w:rPr>
        <w:t xml:space="preserve"> 2.06, 95% CI 1.02–4.13; p=0.043), whereas lower disease burden predicted full adherence (</w:t>
      </w:r>
      <w:proofErr w:type="spellStart"/>
      <w:r w:rsidRPr="00E845D3">
        <w:rPr>
          <w:rFonts w:asciiTheme="majorHAnsi" w:hAnsiTheme="majorHAnsi" w:cstheme="majorHAnsi"/>
          <w:sz w:val="24"/>
          <w:szCs w:val="24"/>
        </w:rPr>
        <w:t>aOR</w:t>
      </w:r>
      <w:proofErr w:type="spellEnd"/>
      <w:r w:rsidRPr="00E845D3">
        <w:rPr>
          <w:rFonts w:asciiTheme="majorHAnsi" w:hAnsiTheme="majorHAnsi" w:cstheme="majorHAnsi"/>
          <w:sz w:val="24"/>
          <w:szCs w:val="24"/>
        </w:rPr>
        <w:t xml:space="preserve"> 0.27, 95% CI 0.08–0.89; p=0.032). Higher disease burden strongly predicted worse patient-reported outcome (</w:t>
      </w:r>
      <w:proofErr w:type="spellStart"/>
      <w:r w:rsidRPr="00E845D3">
        <w:rPr>
          <w:rFonts w:asciiTheme="majorHAnsi" w:hAnsiTheme="majorHAnsi" w:cstheme="majorHAnsi"/>
          <w:sz w:val="24"/>
          <w:szCs w:val="24"/>
        </w:rPr>
        <w:t>aOR</w:t>
      </w:r>
      <w:proofErr w:type="spellEnd"/>
      <w:r w:rsidRPr="00E845D3">
        <w:rPr>
          <w:rFonts w:asciiTheme="majorHAnsi" w:hAnsiTheme="majorHAnsi" w:cstheme="majorHAnsi"/>
          <w:sz w:val="24"/>
          <w:szCs w:val="24"/>
        </w:rPr>
        <w:t xml:space="preserve"> 0.19, 95% CI 0.08–0.44; p&lt;0.001). Adherent current users had lower disease-burden scores than non-adherent current users (median 2.00 vs 2.71; p=0.009) and numerically higher QoL scores (median 3.75 vs 3.25; p=0.111). Cost was the dominant barrier to use.</w:t>
      </w:r>
    </w:p>
    <w:p w14:paraId="50E53EA7" w14:textId="64791BF5" w:rsidR="006D0E01" w:rsidRPr="00E845D3" w:rsidRDefault="00305C7D" w:rsidP="0087275B">
      <w:pPr>
        <w:spacing w:line="360" w:lineRule="auto"/>
        <w:jc w:val="both"/>
        <w:rPr>
          <w:rFonts w:asciiTheme="majorHAnsi" w:hAnsiTheme="majorHAnsi" w:cstheme="majorHAnsi"/>
          <w:sz w:val="24"/>
          <w:szCs w:val="24"/>
        </w:rPr>
      </w:pPr>
      <w:r w:rsidRPr="00E845D3">
        <w:rPr>
          <w:rFonts w:asciiTheme="majorHAnsi" w:hAnsiTheme="majorHAnsi" w:cstheme="majorHAnsi"/>
          <w:b/>
          <w:bCs/>
          <w:sz w:val="24"/>
          <w:szCs w:val="24"/>
        </w:rPr>
        <w:t>Conclusion</w:t>
      </w:r>
      <w:r w:rsidRPr="00E845D3">
        <w:rPr>
          <w:rFonts w:asciiTheme="majorHAnsi" w:hAnsiTheme="majorHAnsi" w:cstheme="majorHAnsi"/>
          <w:sz w:val="24"/>
          <w:szCs w:val="24"/>
        </w:rPr>
        <w:t xml:space="preserve">: </w:t>
      </w:r>
      <w:r w:rsidR="00C770AC" w:rsidRPr="00E845D3">
        <w:rPr>
          <w:rFonts w:asciiTheme="majorHAnsi" w:hAnsiTheme="majorHAnsi" w:cstheme="majorHAnsi"/>
          <w:sz w:val="24"/>
          <w:szCs w:val="24"/>
        </w:rPr>
        <w:t xml:space="preserve">Hydroxyurea use was limited by gaps in uptake, continuity, and adherence. The greatest benefit was seen among patients able to sustain regular treatment, while cost remained the major </w:t>
      </w:r>
      <w:r w:rsidR="00C770AC" w:rsidRPr="00E845D3">
        <w:rPr>
          <w:rFonts w:asciiTheme="majorHAnsi" w:hAnsiTheme="majorHAnsi" w:cstheme="majorHAnsi"/>
          <w:sz w:val="24"/>
          <w:szCs w:val="24"/>
        </w:rPr>
        <w:lastRenderedPageBreak/>
        <w:t xml:space="preserve">barrier. </w:t>
      </w:r>
      <w:r w:rsidR="00F07C3B" w:rsidRPr="00E845D3">
        <w:rPr>
          <w:rFonts w:asciiTheme="majorHAnsi" w:hAnsiTheme="majorHAnsi" w:cstheme="majorHAnsi"/>
          <w:sz w:val="24"/>
          <w:szCs w:val="24"/>
        </w:rPr>
        <w:t>These findings support</w:t>
      </w:r>
      <w:r w:rsidR="007B707F" w:rsidRPr="00E845D3">
        <w:rPr>
          <w:rFonts w:asciiTheme="majorHAnsi" w:hAnsiTheme="majorHAnsi" w:cstheme="majorHAnsi"/>
          <w:sz w:val="24"/>
          <w:szCs w:val="24"/>
        </w:rPr>
        <w:t xml:space="preserve"> hydroxyurea</w:t>
      </w:r>
      <w:r w:rsidR="00F07C3B" w:rsidRPr="00E845D3">
        <w:rPr>
          <w:rFonts w:asciiTheme="majorHAnsi" w:hAnsiTheme="majorHAnsi" w:cstheme="majorHAnsi"/>
          <w:sz w:val="24"/>
          <w:szCs w:val="24"/>
        </w:rPr>
        <w:t xml:space="preserve"> subsidization, </w:t>
      </w:r>
      <w:r w:rsidR="007B707F" w:rsidRPr="00E845D3">
        <w:rPr>
          <w:rFonts w:asciiTheme="majorHAnsi" w:hAnsiTheme="majorHAnsi" w:cstheme="majorHAnsi"/>
          <w:sz w:val="24"/>
          <w:szCs w:val="24"/>
        </w:rPr>
        <w:t>adherence support</w:t>
      </w:r>
      <w:r w:rsidR="00F07C3B" w:rsidRPr="00E845D3">
        <w:rPr>
          <w:rFonts w:asciiTheme="majorHAnsi" w:hAnsiTheme="majorHAnsi" w:cstheme="majorHAnsi"/>
          <w:sz w:val="24"/>
          <w:szCs w:val="24"/>
        </w:rPr>
        <w:t xml:space="preserve">, and stronger integration of hydroxyurea into comprehensive SCD care in Nigeria. </w:t>
      </w:r>
    </w:p>
    <w:p w14:paraId="7337090D" w14:textId="77777777" w:rsidR="0087275B" w:rsidRPr="00E845D3" w:rsidRDefault="00305C7D" w:rsidP="0087275B">
      <w:pPr>
        <w:spacing w:line="360" w:lineRule="auto"/>
        <w:jc w:val="both"/>
        <w:rPr>
          <w:rFonts w:asciiTheme="majorHAnsi" w:hAnsiTheme="majorHAnsi" w:cstheme="majorHAnsi"/>
          <w:sz w:val="24"/>
          <w:szCs w:val="24"/>
        </w:rPr>
      </w:pPr>
      <w:r w:rsidRPr="00E845D3">
        <w:rPr>
          <w:rFonts w:asciiTheme="majorHAnsi" w:hAnsiTheme="majorHAnsi" w:cstheme="majorHAnsi"/>
          <w:b/>
          <w:bCs/>
          <w:sz w:val="24"/>
          <w:szCs w:val="24"/>
        </w:rPr>
        <w:t>Keywords:</w:t>
      </w:r>
      <w:r w:rsidRPr="00E845D3">
        <w:rPr>
          <w:rFonts w:asciiTheme="majorHAnsi" w:hAnsiTheme="majorHAnsi" w:cstheme="majorHAnsi"/>
          <w:sz w:val="24"/>
          <w:szCs w:val="24"/>
        </w:rPr>
        <w:t xml:space="preserve"> </w:t>
      </w:r>
    </w:p>
    <w:p w14:paraId="05A166BC" w14:textId="58A8E02B" w:rsidR="006D0E01" w:rsidRPr="00E845D3" w:rsidRDefault="00305C7D" w:rsidP="0087275B">
      <w:pPr>
        <w:spacing w:line="360" w:lineRule="auto"/>
        <w:jc w:val="both"/>
        <w:rPr>
          <w:rFonts w:asciiTheme="majorHAnsi" w:hAnsiTheme="majorHAnsi" w:cstheme="majorHAnsi"/>
          <w:sz w:val="24"/>
          <w:szCs w:val="24"/>
        </w:rPr>
      </w:pPr>
      <w:r w:rsidRPr="00E845D3">
        <w:rPr>
          <w:rFonts w:asciiTheme="majorHAnsi" w:hAnsiTheme="majorHAnsi" w:cstheme="majorHAnsi"/>
          <w:sz w:val="24"/>
          <w:szCs w:val="24"/>
        </w:rPr>
        <w:t>sickle cell disease; hydroxyurea; adherence; discontinuation; access to care; patient-reported outcomes</w:t>
      </w:r>
    </w:p>
    <w:p w14:paraId="1BEEFA83" w14:textId="77777777" w:rsidR="006D0E01" w:rsidRPr="00E845D3" w:rsidRDefault="00305C7D" w:rsidP="0087275B">
      <w:pPr>
        <w:pStyle w:val="Heading1"/>
        <w:spacing w:line="360" w:lineRule="auto"/>
        <w:jc w:val="both"/>
        <w:rPr>
          <w:rFonts w:cstheme="majorHAnsi"/>
          <w:color w:val="auto"/>
          <w:sz w:val="24"/>
          <w:szCs w:val="24"/>
        </w:rPr>
      </w:pPr>
      <w:r w:rsidRPr="00E845D3">
        <w:rPr>
          <w:rFonts w:cstheme="majorHAnsi"/>
          <w:color w:val="auto"/>
          <w:sz w:val="24"/>
          <w:szCs w:val="24"/>
        </w:rPr>
        <w:t>Introduction</w:t>
      </w:r>
    </w:p>
    <w:p w14:paraId="3A0D409E" w14:textId="35385FD0" w:rsidR="006D0E01" w:rsidRPr="00E845D3" w:rsidRDefault="00305C7D" w:rsidP="0087275B">
      <w:pPr>
        <w:spacing w:line="360" w:lineRule="auto"/>
        <w:jc w:val="both"/>
        <w:rPr>
          <w:rFonts w:asciiTheme="majorHAnsi" w:hAnsiTheme="majorHAnsi" w:cstheme="majorHAnsi"/>
          <w:sz w:val="24"/>
          <w:szCs w:val="24"/>
          <w:vertAlign w:val="superscript"/>
        </w:rPr>
      </w:pPr>
      <w:r w:rsidRPr="00E845D3">
        <w:rPr>
          <w:rFonts w:asciiTheme="majorHAnsi" w:hAnsiTheme="majorHAnsi" w:cstheme="majorHAnsi"/>
          <w:sz w:val="24"/>
          <w:szCs w:val="24"/>
        </w:rPr>
        <w:t>Sickle cell disease is one of the most important inherited blood disorders globally</w:t>
      </w:r>
      <w:r w:rsidR="00C770AC" w:rsidRPr="00E845D3">
        <w:rPr>
          <w:rFonts w:asciiTheme="majorHAnsi" w:hAnsiTheme="majorHAnsi" w:cstheme="majorHAnsi"/>
          <w:sz w:val="24"/>
          <w:szCs w:val="24"/>
        </w:rPr>
        <w:t>, with Sub-Saharan Africa bearing the highest burden of morbidity and mortality from the disease.</w:t>
      </w:r>
      <w:r w:rsidR="002A6DBC" w:rsidRPr="00E845D3">
        <w:rPr>
          <w:rFonts w:asciiTheme="majorHAnsi" w:hAnsiTheme="majorHAnsi" w:cstheme="majorHAnsi"/>
          <w:sz w:val="24"/>
          <w:szCs w:val="24"/>
          <w:vertAlign w:val="superscript"/>
        </w:rPr>
        <w:t>1</w:t>
      </w:r>
      <w:r w:rsidRPr="00E845D3">
        <w:rPr>
          <w:rFonts w:asciiTheme="majorHAnsi" w:hAnsiTheme="majorHAnsi" w:cstheme="majorHAnsi"/>
          <w:sz w:val="24"/>
          <w:szCs w:val="24"/>
        </w:rPr>
        <w:t xml:space="preserve"> Recent global estimates underscore not only the scale of </w:t>
      </w:r>
      <w:r w:rsidR="003628E3" w:rsidRPr="00E845D3">
        <w:rPr>
          <w:rFonts w:asciiTheme="majorHAnsi" w:hAnsiTheme="majorHAnsi" w:cstheme="majorHAnsi"/>
          <w:sz w:val="24"/>
          <w:szCs w:val="24"/>
        </w:rPr>
        <w:t xml:space="preserve">sickle cell </w:t>
      </w:r>
      <w:r w:rsidRPr="00E845D3">
        <w:rPr>
          <w:rFonts w:asciiTheme="majorHAnsi" w:hAnsiTheme="majorHAnsi" w:cstheme="majorHAnsi"/>
          <w:sz w:val="24"/>
          <w:szCs w:val="24"/>
        </w:rPr>
        <w:t>disease burden but also the persistent inequity in outcomes between well-resourced and resource-constrained settings.</w:t>
      </w:r>
      <w:r w:rsidR="002A6DBC" w:rsidRPr="00E845D3">
        <w:rPr>
          <w:rFonts w:asciiTheme="majorHAnsi" w:hAnsiTheme="majorHAnsi" w:cstheme="majorHAnsi"/>
          <w:sz w:val="24"/>
          <w:szCs w:val="24"/>
          <w:vertAlign w:val="superscript"/>
        </w:rPr>
        <w:t>2,3</w:t>
      </w:r>
      <w:r w:rsidRPr="00E845D3">
        <w:rPr>
          <w:rFonts w:asciiTheme="majorHAnsi" w:hAnsiTheme="majorHAnsi" w:cstheme="majorHAnsi"/>
          <w:sz w:val="24"/>
          <w:szCs w:val="24"/>
        </w:rPr>
        <w:t xml:space="preserve"> Nigeria occupies a central position in this burden narrative because of its large absolute number of affected individuals and the structural challenges that often complicate comprehensive care delivery.</w:t>
      </w:r>
      <w:r w:rsidR="00FF1052" w:rsidRPr="00E845D3">
        <w:rPr>
          <w:rFonts w:asciiTheme="majorHAnsi" w:hAnsiTheme="majorHAnsi" w:cstheme="majorHAnsi"/>
          <w:sz w:val="24"/>
          <w:szCs w:val="24"/>
          <w:vertAlign w:val="superscript"/>
        </w:rPr>
        <w:t>4</w:t>
      </w:r>
    </w:p>
    <w:p w14:paraId="2974BCC0" w14:textId="7561A643" w:rsidR="006D0E01" w:rsidRPr="00E845D3" w:rsidRDefault="00305C7D" w:rsidP="0087275B">
      <w:pPr>
        <w:spacing w:line="360" w:lineRule="auto"/>
        <w:jc w:val="both"/>
        <w:rPr>
          <w:rFonts w:asciiTheme="majorHAnsi" w:hAnsiTheme="majorHAnsi" w:cstheme="majorHAnsi"/>
          <w:sz w:val="24"/>
          <w:szCs w:val="24"/>
          <w:vertAlign w:val="superscript"/>
        </w:rPr>
      </w:pPr>
      <w:r w:rsidRPr="00E845D3">
        <w:rPr>
          <w:rFonts w:asciiTheme="majorHAnsi" w:hAnsiTheme="majorHAnsi" w:cstheme="majorHAnsi"/>
          <w:sz w:val="24"/>
          <w:szCs w:val="24"/>
        </w:rPr>
        <w:t xml:space="preserve">Hydroxyurea is </w:t>
      </w:r>
      <w:r w:rsidR="00C770AC" w:rsidRPr="00E845D3">
        <w:rPr>
          <w:rFonts w:asciiTheme="majorHAnsi" w:hAnsiTheme="majorHAnsi" w:cstheme="majorHAnsi"/>
          <w:sz w:val="24"/>
          <w:szCs w:val="24"/>
        </w:rPr>
        <w:t>a</w:t>
      </w:r>
      <w:r w:rsidRPr="00E845D3">
        <w:rPr>
          <w:rFonts w:asciiTheme="majorHAnsi" w:hAnsiTheme="majorHAnsi" w:cstheme="majorHAnsi"/>
          <w:sz w:val="24"/>
          <w:szCs w:val="24"/>
        </w:rPr>
        <w:t xml:space="preserve"> disease-modifying </w:t>
      </w:r>
      <w:r w:rsidR="00C770AC" w:rsidRPr="00E845D3">
        <w:rPr>
          <w:rFonts w:asciiTheme="majorHAnsi" w:hAnsiTheme="majorHAnsi" w:cstheme="majorHAnsi"/>
          <w:sz w:val="24"/>
          <w:szCs w:val="24"/>
        </w:rPr>
        <w:t>agent</w:t>
      </w:r>
      <w:r w:rsidRPr="00E845D3">
        <w:rPr>
          <w:rFonts w:asciiTheme="majorHAnsi" w:hAnsiTheme="majorHAnsi" w:cstheme="majorHAnsi"/>
          <w:sz w:val="24"/>
          <w:szCs w:val="24"/>
        </w:rPr>
        <w:t xml:space="preserve"> for SCD</w:t>
      </w:r>
      <w:r w:rsidR="00C770AC" w:rsidRPr="00E845D3">
        <w:rPr>
          <w:rFonts w:asciiTheme="majorHAnsi" w:hAnsiTheme="majorHAnsi" w:cstheme="majorHAnsi"/>
          <w:sz w:val="24"/>
          <w:szCs w:val="24"/>
        </w:rPr>
        <w:t xml:space="preserve"> that</w:t>
      </w:r>
      <w:r w:rsidRPr="00E845D3">
        <w:rPr>
          <w:rFonts w:asciiTheme="majorHAnsi" w:hAnsiTheme="majorHAnsi" w:cstheme="majorHAnsi"/>
          <w:sz w:val="24"/>
          <w:szCs w:val="24"/>
        </w:rPr>
        <w:t xml:space="preserve"> reduce</w:t>
      </w:r>
      <w:r w:rsidR="00C770AC" w:rsidRPr="00E845D3">
        <w:rPr>
          <w:rFonts w:asciiTheme="majorHAnsi" w:hAnsiTheme="majorHAnsi" w:cstheme="majorHAnsi"/>
          <w:sz w:val="24"/>
          <w:szCs w:val="24"/>
        </w:rPr>
        <w:t>s</w:t>
      </w:r>
      <w:r w:rsidRPr="00E845D3">
        <w:rPr>
          <w:rFonts w:asciiTheme="majorHAnsi" w:hAnsiTheme="majorHAnsi" w:cstheme="majorHAnsi"/>
          <w:sz w:val="24"/>
          <w:szCs w:val="24"/>
        </w:rPr>
        <w:t xml:space="preserve"> painful crises, </w:t>
      </w:r>
      <w:r w:rsidR="00C770AC" w:rsidRPr="00E845D3">
        <w:rPr>
          <w:rFonts w:asciiTheme="majorHAnsi" w:hAnsiTheme="majorHAnsi" w:cstheme="majorHAnsi"/>
          <w:sz w:val="24"/>
          <w:szCs w:val="24"/>
        </w:rPr>
        <w:t xml:space="preserve">leads to </w:t>
      </w:r>
      <w:r w:rsidRPr="00E845D3">
        <w:rPr>
          <w:rFonts w:asciiTheme="majorHAnsi" w:hAnsiTheme="majorHAnsi" w:cstheme="majorHAnsi"/>
          <w:sz w:val="24"/>
          <w:szCs w:val="24"/>
        </w:rPr>
        <w:t>fewer</w:t>
      </w:r>
      <w:r w:rsidR="00C770AC" w:rsidRPr="00E845D3">
        <w:rPr>
          <w:rFonts w:asciiTheme="majorHAnsi" w:hAnsiTheme="majorHAnsi" w:cstheme="majorHAnsi"/>
          <w:sz w:val="24"/>
          <w:szCs w:val="24"/>
        </w:rPr>
        <w:t xml:space="preserve"> blood</w:t>
      </w:r>
      <w:r w:rsidRPr="00E845D3">
        <w:rPr>
          <w:rFonts w:asciiTheme="majorHAnsi" w:hAnsiTheme="majorHAnsi" w:cstheme="majorHAnsi"/>
          <w:sz w:val="24"/>
          <w:szCs w:val="24"/>
        </w:rPr>
        <w:t xml:space="preserve"> transfusions, and </w:t>
      </w:r>
      <w:r w:rsidR="00C770AC" w:rsidRPr="00E845D3">
        <w:rPr>
          <w:rFonts w:asciiTheme="majorHAnsi" w:hAnsiTheme="majorHAnsi" w:cstheme="majorHAnsi"/>
          <w:sz w:val="24"/>
          <w:szCs w:val="24"/>
        </w:rPr>
        <w:t xml:space="preserve">has </w:t>
      </w:r>
      <w:r w:rsidRPr="00E845D3">
        <w:rPr>
          <w:rFonts w:asciiTheme="majorHAnsi" w:hAnsiTheme="majorHAnsi" w:cstheme="majorHAnsi"/>
          <w:sz w:val="24"/>
          <w:szCs w:val="24"/>
        </w:rPr>
        <w:t>clinical benefit in both adults and children.</w:t>
      </w:r>
      <w:r w:rsidR="00FF1052" w:rsidRPr="00E845D3">
        <w:rPr>
          <w:rFonts w:asciiTheme="majorHAnsi" w:hAnsiTheme="majorHAnsi" w:cstheme="majorHAnsi"/>
          <w:sz w:val="24"/>
          <w:szCs w:val="24"/>
          <w:vertAlign w:val="superscript"/>
        </w:rPr>
        <w:t>5</w:t>
      </w:r>
      <w:r w:rsidRPr="00E845D3">
        <w:rPr>
          <w:rFonts w:asciiTheme="majorHAnsi" w:hAnsiTheme="majorHAnsi" w:cstheme="majorHAnsi"/>
          <w:sz w:val="24"/>
          <w:szCs w:val="24"/>
        </w:rPr>
        <w:t xml:space="preserve"> </w:t>
      </w:r>
      <w:r w:rsidR="006B3EF7" w:rsidRPr="00E845D3">
        <w:rPr>
          <w:rFonts w:asciiTheme="majorHAnsi" w:hAnsiTheme="majorHAnsi" w:cstheme="majorHAnsi"/>
          <w:sz w:val="24"/>
          <w:szCs w:val="24"/>
        </w:rPr>
        <w:t>Some</w:t>
      </w:r>
      <w:r w:rsidRPr="00E845D3">
        <w:rPr>
          <w:rFonts w:asciiTheme="majorHAnsi" w:hAnsiTheme="majorHAnsi" w:cstheme="majorHAnsi"/>
          <w:sz w:val="24"/>
          <w:szCs w:val="24"/>
        </w:rPr>
        <w:t xml:space="preserve"> recent African studies have reinforced that hydroxyurea is feasible, safe, and effective in sub-Saharan settings when delivery systems are strong enough to support consistent treatment and monitoring.</w:t>
      </w:r>
      <w:r w:rsidR="00FF1052" w:rsidRPr="00E845D3">
        <w:rPr>
          <w:rFonts w:asciiTheme="majorHAnsi" w:hAnsiTheme="majorHAnsi" w:cstheme="majorHAnsi"/>
          <w:sz w:val="24"/>
          <w:szCs w:val="24"/>
          <w:vertAlign w:val="superscript"/>
        </w:rPr>
        <w:t>6.7</w:t>
      </w:r>
      <w:r w:rsidR="003624EE" w:rsidRPr="00E845D3">
        <w:rPr>
          <w:rFonts w:asciiTheme="majorHAnsi" w:hAnsiTheme="majorHAnsi" w:cstheme="majorHAnsi"/>
          <w:sz w:val="24"/>
          <w:szCs w:val="24"/>
          <w:vertAlign w:val="superscript"/>
        </w:rPr>
        <w:t>,</w:t>
      </w:r>
      <w:r w:rsidR="00FF1052" w:rsidRPr="00E845D3">
        <w:rPr>
          <w:rFonts w:asciiTheme="majorHAnsi" w:hAnsiTheme="majorHAnsi" w:cstheme="majorHAnsi"/>
          <w:sz w:val="24"/>
          <w:szCs w:val="24"/>
          <w:vertAlign w:val="superscript"/>
        </w:rPr>
        <w:t>8</w:t>
      </w:r>
      <w:r w:rsidRPr="00E845D3">
        <w:rPr>
          <w:rFonts w:asciiTheme="majorHAnsi" w:hAnsiTheme="majorHAnsi" w:cstheme="majorHAnsi"/>
          <w:sz w:val="24"/>
          <w:szCs w:val="24"/>
        </w:rPr>
        <w:t xml:space="preserve"> </w:t>
      </w:r>
      <w:r w:rsidR="006B3EF7" w:rsidRPr="00E845D3">
        <w:rPr>
          <w:rFonts w:asciiTheme="majorHAnsi" w:hAnsiTheme="majorHAnsi" w:cstheme="majorHAnsi"/>
          <w:sz w:val="24"/>
          <w:szCs w:val="24"/>
        </w:rPr>
        <w:t xml:space="preserve">The benefits of hydroxyurea in low- and middle-income settings remain substantial and cannot be overstated, even in the emerging era of newer agents, </w:t>
      </w:r>
      <w:proofErr w:type="spellStart"/>
      <w:r w:rsidR="006B3EF7" w:rsidRPr="00E845D3">
        <w:rPr>
          <w:rFonts w:asciiTheme="majorHAnsi" w:hAnsiTheme="majorHAnsi" w:cstheme="majorHAnsi"/>
          <w:sz w:val="24"/>
          <w:szCs w:val="24"/>
        </w:rPr>
        <w:t>haematopoietic</w:t>
      </w:r>
      <w:proofErr w:type="spellEnd"/>
      <w:r w:rsidR="006B3EF7" w:rsidRPr="00E845D3">
        <w:rPr>
          <w:rFonts w:asciiTheme="majorHAnsi" w:hAnsiTheme="majorHAnsi" w:cstheme="majorHAnsi"/>
          <w:sz w:val="24"/>
          <w:szCs w:val="24"/>
        </w:rPr>
        <w:t xml:space="preserve"> stem cell transplantation and gene therapy.</w:t>
      </w:r>
      <w:r w:rsidR="00FF1052" w:rsidRPr="00E845D3">
        <w:rPr>
          <w:rFonts w:asciiTheme="majorHAnsi" w:hAnsiTheme="majorHAnsi" w:cstheme="majorHAnsi"/>
          <w:sz w:val="24"/>
          <w:szCs w:val="24"/>
          <w:vertAlign w:val="superscript"/>
        </w:rPr>
        <w:t>9</w:t>
      </w:r>
    </w:p>
    <w:p w14:paraId="6442DF24" w14:textId="53B8C161" w:rsidR="00067A1E" w:rsidRPr="00E845D3" w:rsidRDefault="00305C7D" w:rsidP="0087275B">
      <w:pPr>
        <w:spacing w:line="360" w:lineRule="auto"/>
        <w:jc w:val="both"/>
        <w:rPr>
          <w:rFonts w:asciiTheme="majorHAnsi" w:hAnsiTheme="majorHAnsi" w:cstheme="majorHAnsi"/>
          <w:sz w:val="24"/>
          <w:szCs w:val="24"/>
        </w:rPr>
      </w:pPr>
      <w:r w:rsidRPr="00E845D3">
        <w:rPr>
          <w:rFonts w:asciiTheme="majorHAnsi" w:hAnsiTheme="majorHAnsi" w:cstheme="majorHAnsi"/>
          <w:sz w:val="24"/>
          <w:szCs w:val="24"/>
        </w:rPr>
        <w:t xml:space="preserve">In resource-constrained settings, hydroxyurea performance depends on a sequence of implementation steps: patients must first know about the drug, then </w:t>
      </w:r>
      <w:r w:rsidR="0027762E" w:rsidRPr="00E845D3">
        <w:rPr>
          <w:rFonts w:asciiTheme="majorHAnsi" w:hAnsiTheme="majorHAnsi" w:cstheme="majorHAnsi"/>
          <w:sz w:val="24"/>
          <w:szCs w:val="24"/>
        </w:rPr>
        <w:t xml:space="preserve">be able to </w:t>
      </w:r>
      <w:r w:rsidRPr="00E845D3">
        <w:rPr>
          <w:rFonts w:asciiTheme="majorHAnsi" w:hAnsiTheme="majorHAnsi" w:cstheme="majorHAnsi"/>
          <w:sz w:val="24"/>
          <w:szCs w:val="24"/>
        </w:rPr>
        <w:t xml:space="preserve">access it, </w:t>
      </w:r>
      <w:r w:rsidR="0027762E" w:rsidRPr="00E845D3">
        <w:rPr>
          <w:rFonts w:asciiTheme="majorHAnsi" w:hAnsiTheme="majorHAnsi" w:cstheme="majorHAnsi"/>
          <w:sz w:val="24"/>
          <w:szCs w:val="24"/>
        </w:rPr>
        <w:t>commence treatment and adhere to i</w:t>
      </w:r>
      <w:r w:rsidRPr="00E845D3">
        <w:rPr>
          <w:rFonts w:asciiTheme="majorHAnsi" w:hAnsiTheme="majorHAnsi" w:cstheme="majorHAnsi"/>
          <w:sz w:val="24"/>
          <w:szCs w:val="24"/>
        </w:rPr>
        <w:t xml:space="preserve">t, </w:t>
      </w:r>
      <w:r w:rsidR="0027762E" w:rsidRPr="00E845D3">
        <w:rPr>
          <w:rFonts w:asciiTheme="majorHAnsi" w:hAnsiTheme="majorHAnsi" w:cstheme="majorHAnsi"/>
          <w:sz w:val="24"/>
          <w:szCs w:val="24"/>
        </w:rPr>
        <w:t>in order</w:t>
      </w:r>
      <w:r w:rsidRPr="00E845D3">
        <w:rPr>
          <w:rFonts w:asciiTheme="majorHAnsi" w:hAnsiTheme="majorHAnsi" w:cstheme="majorHAnsi"/>
          <w:sz w:val="24"/>
          <w:szCs w:val="24"/>
        </w:rPr>
        <w:t xml:space="preserve"> to achieve meaningful therapeutic exposure.</w:t>
      </w:r>
      <w:r w:rsidR="00FF1052" w:rsidRPr="00E845D3">
        <w:rPr>
          <w:rFonts w:asciiTheme="majorHAnsi" w:hAnsiTheme="majorHAnsi" w:cstheme="majorHAnsi"/>
          <w:sz w:val="24"/>
          <w:szCs w:val="24"/>
          <w:vertAlign w:val="superscript"/>
        </w:rPr>
        <w:t>10</w:t>
      </w:r>
      <w:r w:rsidRPr="00E845D3">
        <w:rPr>
          <w:rFonts w:asciiTheme="majorHAnsi" w:hAnsiTheme="majorHAnsi" w:cstheme="majorHAnsi"/>
          <w:sz w:val="24"/>
          <w:szCs w:val="24"/>
        </w:rPr>
        <w:t xml:space="preserve"> Attrition at any stage of this pathway can erode population-level benefit. </w:t>
      </w:r>
      <w:r w:rsidR="005A2FB8" w:rsidRPr="00E845D3">
        <w:rPr>
          <w:rFonts w:asciiTheme="majorHAnsi" w:hAnsiTheme="majorHAnsi" w:cstheme="majorHAnsi"/>
          <w:sz w:val="24"/>
          <w:szCs w:val="24"/>
        </w:rPr>
        <w:t>I</w:t>
      </w:r>
      <w:r w:rsidRPr="00E845D3">
        <w:rPr>
          <w:rFonts w:asciiTheme="majorHAnsi" w:hAnsiTheme="majorHAnsi" w:cstheme="majorHAnsi"/>
          <w:sz w:val="24"/>
          <w:szCs w:val="24"/>
        </w:rPr>
        <w:t>n</w:t>
      </w:r>
      <w:r w:rsidR="005A2FB8" w:rsidRPr="00E845D3">
        <w:rPr>
          <w:rFonts w:asciiTheme="majorHAnsi" w:hAnsiTheme="majorHAnsi" w:cstheme="majorHAnsi"/>
          <w:sz w:val="24"/>
          <w:szCs w:val="24"/>
        </w:rPr>
        <w:t xml:space="preserve"> an</w:t>
      </w:r>
      <w:r w:rsidRPr="00E845D3">
        <w:rPr>
          <w:rFonts w:asciiTheme="majorHAnsi" w:hAnsiTheme="majorHAnsi" w:cstheme="majorHAnsi"/>
          <w:sz w:val="24"/>
          <w:szCs w:val="24"/>
        </w:rPr>
        <w:t xml:space="preserve"> African setting</w:t>
      </w:r>
      <w:r w:rsidR="00837D25">
        <w:rPr>
          <w:rFonts w:asciiTheme="majorHAnsi" w:hAnsiTheme="majorHAnsi" w:cstheme="majorHAnsi"/>
          <w:sz w:val="24"/>
          <w:szCs w:val="24"/>
        </w:rPr>
        <w:t>,</w:t>
      </w:r>
      <w:r w:rsidR="005A2FB8" w:rsidRPr="00E845D3">
        <w:rPr>
          <w:rFonts w:asciiTheme="majorHAnsi" w:hAnsiTheme="majorHAnsi" w:cstheme="majorHAnsi"/>
          <w:sz w:val="24"/>
          <w:szCs w:val="24"/>
        </w:rPr>
        <w:t xml:space="preserve"> patient education, availability and </w:t>
      </w:r>
      <w:r w:rsidRPr="00E845D3">
        <w:rPr>
          <w:rFonts w:asciiTheme="majorHAnsi" w:hAnsiTheme="majorHAnsi" w:cstheme="majorHAnsi"/>
          <w:sz w:val="24"/>
          <w:szCs w:val="24"/>
        </w:rPr>
        <w:t>affordability</w:t>
      </w:r>
      <w:r w:rsidR="005A2FB8" w:rsidRPr="00E845D3">
        <w:rPr>
          <w:rFonts w:asciiTheme="majorHAnsi" w:hAnsiTheme="majorHAnsi" w:cstheme="majorHAnsi"/>
          <w:sz w:val="24"/>
          <w:szCs w:val="24"/>
        </w:rPr>
        <w:t xml:space="preserve"> </w:t>
      </w:r>
      <w:r w:rsidRPr="00E845D3">
        <w:rPr>
          <w:rFonts w:asciiTheme="majorHAnsi" w:hAnsiTheme="majorHAnsi" w:cstheme="majorHAnsi"/>
          <w:sz w:val="24"/>
          <w:szCs w:val="24"/>
        </w:rPr>
        <w:t>may influence long-term use</w:t>
      </w:r>
      <w:r w:rsidR="005A2FB8" w:rsidRPr="00E845D3">
        <w:rPr>
          <w:rFonts w:asciiTheme="majorHAnsi" w:hAnsiTheme="majorHAnsi" w:cstheme="majorHAnsi"/>
          <w:sz w:val="24"/>
          <w:szCs w:val="24"/>
        </w:rPr>
        <w:t xml:space="preserve"> of hydroxyurea.</w:t>
      </w:r>
      <w:r w:rsidR="00FF1052" w:rsidRPr="00E845D3">
        <w:rPr>
          <w:rFonts w:asciiTheme="majorHAnsi" w:hAnsiTheme="majorHAnsi" w:cstheme="majorHAnsi"/>
          <w:sz w:val="24"/>
          <w:szCs w:val="24"/>
          <w:vertAlign w:val="superscript"/>
        </w:rPr>
        <w:t>11</w:t>
      </w:r>
      <w:r w:rsidR="005A2FB8" w:rsidRPr="00E845D3">
        <w:rPr>
          <w:rFonts w:asciiTheme="majorHAnsi" w:hAnsiTheme="majorHAnsi" w:cstheme="majorHAnsi"/>
          <w:sz w:val="24"/>
          <w:szCs w:val="24"/>
        </w:rPr>
        <w:t xml:space="preserve"> A few </w:t>
      </w:r>
      <w:r w:rsidRPr="00E845D3">
        <w:rPr>
          <w:rFonts w:asciiTheme="majorHAnsi" w:hAnsiTheme="majorHAnsi" w:cstheme="majorHAnsi"/>
          <w:sz w:val="24"/>
          <w:szCs w:val="24"/>
        </w:rPr>
        <w:t xml:space="preserve">Nigerian studies have </w:t>
      </w:r>
      <w:r w:rsidR="005A2FB8" w:rsidRPr="00E845D3">
        <w:rPr>
          <w:rFonts w:asciiTheme="majorHAnsi" w:hAnsiTheme="majorHAnsi" w:cstheme="majorHAnsi"/>
          <w:sz w:val="24"/>
          <w:szCs w:val="24"/>
        </w:rPr>
        <w:t>shown that there is</w:t>
      </w:r>
      <w:r w:rsidRPr="00E845D3">
        <w:rPr>
          <w:rFonts w:asciiTheme="majorHAnsi" w:hAnsiTheme="majorHAnsi" w:cstheme="majorHAnsi"/>
          <w:sz w:val="24"/>
          <w:szCs w:val="24"/>
        </w:rPr>
        <w:t xml:space="preserve"> </w:t>
      </w:r>
      <w:r w:rsidR="005A2FB8" w:rsidRPr="00E845D3">
        <w:rPr>
          <w:rFonts w:asciiTheme="majorHAnsi" w:hAnsiTheme="majorHAnsi" w:cstheme="majorHAnsi"/>
          <w:sz w:val="24"/>
          <w:szCs w:val="24"/>
        </w:rPr>
        <w:t xml:space="preserve">underutilization of hydroxyurea in clinical practice, </w:t>
      </w:r>
      <w:r w:rsidRPr="00E845D3">
        <w:rPr>
          <w:rFonts w:asciiTheme="majorHAnsi" w:hAnsiTheme="majorHAnsi" w:cstheme="majorHAnsi"/>
          <w:sz w:val="24"/>
          <w:szCs w:val="24"/>
        </w:rPr>
        <w:t>low uptake</w:t>
      </w:r>
      <w:r w:rsidR="005A2FB8" w:rsidRPr="00E845D3">
        <w:rPr>
          <w:rFonts w:asciiTheme="majorHAnsi" w:hAnsiTheme="majorHAnsi" w:cstheme="majorHAnsi"/>
          <w:sz w:val="24"/>
          <w:szCs w:val="24"/>
        </w:rPr>
        <w:t xml:space="preserve"> by people living with SCD and </w:t>
      </w:r>
      <w:r w:rsidRPr="00E845D3">
        <w:rPr>
          <w:rFonts w:asciiTheme="majorHAnsi" w:hAnsiTheme="majorHAnsi" w:cstheme="majorHAnsi"/>
          <w:sz w:val="24"/>
          <w:szCs w:val="24"/>
        </w:rPr>
        <w:t>cost barriers</w:t>
      </w:r>
      <w:r w:rsidR="005A2FB8" w:rsidRPr="00E845D3">
        <w:rPr>
          <w:rFonts w:asciiTheme="majorHAnsi" w:hAnsiTheme="majorHAnsi" w:cstheme="majorHAnsi"/>
          <w:sz w:val="24"/>
          <w:szCs w:val="24"/>
        </w:rPr>
        <w:t xml:space="preserve"> reducing access</w:t>
      </w:r>
      <w:r w:rsidRPr="00E845D3">
        <w:rPr>
          <w:rFonts w:asciiTheme="majorHAnsi" w:hAnsiTheme="majorHAnsi" w:cstheme="majorHAnsi"/>
          <w:sz w:val="24"/>
          <w:szCs w:val="24"/>
        </w:rPr>
        <w:t>.</w:t>
      </w:r>
      <w:r w:rsidR="009E115F" w:rsidRPr="00E845D3">
        <w:rPr>
          <w:rFonts w:asciiTheme="majorHAnsi" w:hAnsiTheme="majorHAnsi" w:cstheme="majorHAnsi"/>
          <w:sz w:val="24"/>
          <w:szCs w:val="24"/>
          <w:vertAlign w:val="superscript"/>
        </w:rPr>
        <w:t>10,</w:t>
      </w:r>
      <w:r w:rsidR="00FF1052" w:rsidRPr="00E845D3">
        <w:rPr>
          <w:rFonts w:asciiTheme="majorHAnsi" w:hAnsiTheme="majorHAnsi" w:cstheme="majorHAnsi"/>
          <w:sz w:val="24"/>
          <w:szCs w:val="24"/>
          <w:vertAlign w:val="superscript"/>
        </w:rPr>
        <w:t>12,13</w:t>
      </w:r>
      <w:r w:rsidRPr="00E845D3">
        <w:rPr>
          <w:rFonts w:asciiTheme="majorHAnsi" w:hAnsiTheme="majorHAnsi" w:cstheme="majorHAnsi"/>
          <w:sz w:val="24"/>
          <w:szCs w:val="24"/>
        </w:rPr>
        <w:t xml:space="preserve"> </w:t>
      </w:r>
      <w:r w:rsidR="00067A1E" w:rsidRPr="00E845D3">
        <w:rPr>
          <w:rFonts w:asciiTheme="majorHAnsi" w:hAnsiTheme="majorHAnsi" w:cstheme="majorHAnsi"/>
          <w:sz w:val="24"/>
          <w:szCs w:val="24"/>
        </w:rPr>
        <w:t>Without consistent adherence, the biological and clinical benefits of hydroxyurea are substantially diminished.</w:t>
      </w:r>
      <w:r w:rsidR="000018C7">
        <w:rPr>
          <w:rFonts w:asciiTheme="majorHAnsi" w:hAnsiTheme="majorHAnsi" w:cstheme="majorHAnsi"/>
          <w:sz w:val="24"/>
          <w:szCs w:val="24"/>
          <w:vertAlign w:val="superscript"/>
        </w:rPr>
        <w:t>5,</w:t>
      </w:r>
      <w:r w:rsidR="009E115F" w:rsidRPr="00E845D3">
        <w:rPr>
          <w:rFonts w:asciiTheme="majorHAnsi" w:hAnsiTheme="majorHAnsi" w:cstheme="majorHAnsi"/>
          <w:sz w:val="24"/>
          <w:szCs w:val="24"/>
          <w:vertAlign w:val="superscript"/>
        </w:rPr>
        <w:t>14</w:t>
      </w:r>
      <w:r w:rsidR="00067A1E" w:rsidRPr="00E845D3">
        <w:rPr>
          <w:rFonts w:asciiTheme="majorHAnsi" w:hAnsiTheme="majorHAnsi" w:cstheme="majorHAnsi"/>
          <w:sz w:val="24"/>
          <w:szCs w:val="24"/>
        </w:rPr>
        <w:t xml:space="preserve"> </w:t>
      </w:r>
      <w:r w:rsidRPr="00E845D3">
        <w:rPr>
          <w:rFonts w:asciiTheme="majorHAnsi" w:hAnsiTheme="majorHAnsi" w:cstheme="majorHAnsi"/>
          <w:sz w:val="24"/>
          <w:szCs w:val="24"/>
        </w:rPr>
        <w:t xml:space="preserve">From a health-systems standpoint, discontinuation is not just a patient-level event; it is a measurable failure of retention in chronic disease care. </w:t>
      </w:r>
      <w:r w:rsidR="00067A1E" w:rsidRPr="00E845D3">
        <w:rPr>
          <w:rFonts w:asciiTheme="majorHAnsi" w:hAnsiTheme="majorHAnsi" w:cstheme="majorHAnsi"/>
          <w:sz w:val="24"/>
          <w:szCs w:val="24"/>
        </w:rPr>
        <w:t xml:space="preserve">This study </w:t>
      </w:r>
      <w:r w:rsidR="00067A1E" w:rsidRPr="00E845D3">
        <w:rPr>
          <w:rFonts w:asciiTheme="majorHAnsi" w:hAnsiTheme="majorHAnsi" w:cstheme="majorHAnsi"/>
          <w:sz w:val="24"/>
          <w:szCs w:val="24"/>
        </w:rPr>
        <w:lastRenderedPageBreak/>
        <w:t>aimed to describe hydroxyurea awareness, uptake, discontinuation, and adherence; evaluate barriers to use; and examine their association with patient-reported outcomes.</w:t>
      </w:r>
    </w:p>
    <w:p w14:paraId="3F990777" w14:textId="08313ECC" w:rsidR="006D0E01" w:rsidRPr="00E845D3" w:rsidRDefault="00305C7D" w:rsidP="0087275B">
      <w:pPr>
        <w:pStyle w:val="Heading1"/>
        <w:spacing w:line="360" w:lineRule="auto"/>
        <w:jc w:val="both"/>
        <w:rPr>
          <w:rFonts w:cstheme="majorHAnsi"/>
          <w:color w:val="auto"/>
          <w:sz w:val="24"/>
          <w:szCs w:val="24"/>
        </w:rPr>
      </w:pPr>
      <w:r w:rsidRPr="00E845D3">
        <w:rPr>
          <w:rFonts w:cstheme="majorHAnsi"/>
          <w:color w:val="auto"/>
          <w:sz w:val="24"/>
          <w:szCs w:val="24"/>
        </w:rPr>
        <w:t>Methods</w:t>
      </w:r>
    </w:p>
    <w:p w14:paraId="278E9E8C" w14:textId="68C8C81E" w:rsidR="006D0E01" w:rsidRPr="00E845D3" w:rsidRDefault="00305C7D" w:rsidP="0087275B">
      <w:pPr>
        <w:spacing w:line="360" w:lineRule="auto"/>
        <w:jc w:val="both"/>
        <w:rPr>
          <w:rFonts w:asciiTheme="majorHAnsi" w:hAnsiTheme="majorHAnsi" w:cstheme="majorHAnsi"/>
          <w:sz w:val="24"/>
          <w:szCs w:val="24"/>
        </w:rPr>
      </w:pPr>
      <w:r w:rsidRPr="00E845D3">
        <w:rPr>
          <w:rFonts w:asciiTheme="majorHAnsi" w:hAnsiTheme="majorHAnsi" w:cstheme="majorHAnsi"/>
          <w:sz w:val="24"/>
          <w:szCs w:val="24"/>
        </w:rPr>
        <w:t xml:space="preserve">This was a cross-sectional analytical study based on a structured </w:t>
      </w:r>
      <w:r w:rsidR="0087275B" w:rsidRPr="00E845D3">
        <w:rPr>
          <w:rFonts w:asciiTheme="majorHAnsi" w:hAnsiTheme="majorHAnsi" w:cstheme="majorHAnsi"/>
          <w:sz w:val="24"/>
          <w:szCs w:val="24"/>
        </w:rPr>
        <w:t xml:space="preserve">online </w:t>
      </w:r>
      <w:r w:rsidRPr="00E845D3">
        <w:rPr>
          <w:rFonts w:asciiTheme="majorHAnsi" w:hAnsiTheme="majorHAnsi" w:cstheme="majorHAnsi"/>
          <w:sz w:val="24"/>
          <w:szCs w:val="24"/>
        </w:rPr>
        <w:t xml:space="preserve">questionnaire </w:t>
      </w:r>
      <w:bookmarkStart w:id="1" w:name="_Hlk228190913"/>
      <w:r w:rsidRPr="00E845D3">
        <w:rPr>
          <w:rFonts w:asciiTheme="majorHAnsi" w:hAnsiTheme="majorHAnsi" w:cstheme="majorHAnsi"/>
          <w:sz w:val="24"/>
          <w:szCs w:val="24"/>
        </w:rPr>
        <w:t xml:space="preserve">dataset </w:t>
      </w:r>
      <w:bookmarkEnd w:id="1"/>
      <w:r w:rsidRPr="00E845D3">
        <w:rPr>
          <w:rFonts w:asciiTheme="majorHAnsi" w:hAnsiTheme="majorHAnsi" w:cstheme="majorHAnsi"/>
          <w:sz w:val="24"/>
          <w:szCs w:val="24"/>
        </w:rPr>
        <w:t xml:space="preserve">of 117 consenting </w:t>
      </w:r>
      <w:r w:rsidR="007C2A99" w:rsidRPr="00E845D3">
        <w:rPr>
          <w:rFonts w:asciiTheme="majorHAnsi" w:hAnsiTheme="majorHAnsi" w:cstheme="majorHAnsi"/>
          <w:sz w:val="24"/>
          <w:szCs w:val="24"/>
        </w:rPr>
        <w:t xml:space="preserve">adult </w:t>
      </w:r>
      <w:r w:rsidRPr="00E845D3">
        <w:rPr>
          <w:rFonts w:asciiTheme="majorHAnsi" w:hAnsiTheme="majorHAnsi" w:cstheme="majorHAnsi"/>
          <w:sz w:val="24"/>
          <w:szCs w:val="24"/>
        </w:rPr>
        <w:t>respondents</w:t>
      </w:r>
      <w:r w:rsidR="007C2A99" w:rsidRPr="00E845D3">
        <w:rPr>
          <w:rFonts w:asciiTheme="majorHAnsi" w:hAnsiTheme="majorHAnsi" w:cstheme="majorHAnsi"/>
          <w:sz w:val="24"/>
          <w:szCs w:val="24"/>
        </w:rPr>
        <w:t xml:space="preserve"> (age ≥16 years)</w:t>
      </w:r>
      <w:r w:rsidRPr="00E845D3">
        <w:rPr>
          <w:rFonts w:asciiTheme="majorHAnsi" w:hAnsiTheme="majorHAnsi" w:cstheme="majorHAnsi"/>
          <w:sz w:val="24"/>
          <w:szCs w:val="24"/>
        </w:rPr>
        <w:t xml:space="preserve"> living with SCD. All respondents indicated consent electronically before completing the survey. </w:t>
      </w:r>
      <w:r w:rsidR="00BE2E0A" w:rsidRPr="00E845D3">
        <w:rPr>
          <w:rFonts w:asciiTheme="majorHAnsi" w:hAnsiTheme="majorHAnsi" w:cstheme="majorHAnsi"/>
          <w:sz w:val="24"/>
          <w:szCs w:val="24"/>
        </w:rPr>
        <w:t>An</w:t>
      </w:r>
      <w:r w:rsidRPr="00E845D3">
        <w:rPr>
          <w:rFonts w:asciiTheme="majorHAnsi" w:hAnsiTheme="majorHAnsi" w:cstheme="majorHAnsi"/>
          <w:sz w:val="24"/>
          <w:szCs w:val="24"/>
        </w:rPr>
        <w:t>alysis was performed on the de-identified exported dataset.</w:t>
      </w:r>
      <w:r w:rsidR="00BE2E0A" w:rsidRPr="00E845D3">
        <w:rPr>
          <w:rFonts w:asciiTheme="majorHAnsi" w:hAnsiTheme="majorHAnsi" w:cstheme="majorHAnsi"/>
          <w:sz w:val="24"/>
          <w:szCs w:val="24"/>
        </w:rPr>
        <w:t xml:space="preserve"> Data retrieved </w:t>
      </w:r>
      <w:r w:rsidRPr="00E845D3">
        <w:rPr>
          <w:rFonts w:asciiTheme="majorHAnsi" w:hAnsiTheme="majorHAnsi" w:cstheme="majorHAnsi"/>
          <w:sz w:val="24"/>
          <w:szCs w:val="24"/>
        </w:rPr>
        <w:t xml:space="preserve">included age, sex, education, employment status, and monthly income. Disease-related variables included </w:t>
      </w:r>
      <w:proofErr w:type="spellStart"/>
      <w:r w:rsidR="00BE2E0A" w:rsidRPr="00E845D3">
        <w:rPr>
          <w:rFonts w:asciiTheme="majorHAnsi" w:hAnsiTheme="majorHAnsi" w:cstheme="majorHAnsi"/>
          <w:sz w:val="24"/>
          <w:szCs w:val="24"/>
        </w:rPr>
        <w:t>haemoglobin</w:t>
      </w:r>
      <w:proofErr w:type="spellEnd"/>
      <w:r w:rsidR="00BE2E0A" w:rsidRPr="00E845D3">
        <w:rPr>
          <w:rFonts w:asciiTheme="majorHAnsi" w:hAnsiTheme="majorHAnsi" w:cstheme="majorHAnsi"/>
          <w:sz w:val="24"/>
          <w:szCs w:val="24"/>
        </w:rPr>
        <w:t xml:space="preserve"> ph</w:t>
      </w:r>
      <w:r w:rsidRPr="00E845D3">
        <w:rPr>
          <w:rFonts w:asciiTheme="majorHAnsi" w:hAnsiTheme="majorHAnsi" w:cstheme="majorHAnsi"/>
          <w:sz w:val="24"/>
          <w:szCs w:val="24"/>
        </w:rPr>
        <w:t xml:space="preserve">enotype, </w:t>
      </w:r>
      <w:r w:rsidR="00BE2E0A" w:rsidRPr="00E845D3">
        <w:rPr>
          <w:rFonts w:asciiTheme="majorHAnsi" w:hAnsiTheme="majorHAnsi" w:cstheme="majorHAnsi"/>
          <w:sz w:val="24"/>
          <w:szCs w:val="24"/>
        </w:rPr>
        <w:t xml:space="preserve">number of </w:t>
      </w:r>
      <w:r w:rsidRPr="00E845D3">
        <w:rPr>
          <w:rFonts w:asciiTheme="majorHAnsi" w:hAnsiTheme="majorHAnsi" w:cstheme="majorHAnsi"/>
          <w:sz w:val="24"/>
          <w:szCs w:val="24"/>
        </w:rPr>
        <w:t xml:space="preserve">painful crises in the preceding 12 months, hospital admissions in the preceding 12 months, </w:t>
      </w:r>
      <w:r w:rsidR="00BE2E0A" w:rsidRPr="00E845D3">
        <w:rPr>
          <w:rFonts w:asciiTheme="majorHAnsi" w:hAnsiTheme="majorHAnsi" w:cstheme="majorHAnsi"/>
          <w:sz w:val="24"/>
          <w:szCs w:val="24"/>
        </w:rPr>
        <w:t xml:space="preserve">blood </w:t>
      </w:r>
      <w:r w:rsidRPr="00E845D3">
        <w:rPr>
          <w:rFonts w:asciiTheme="majorHAnsi" w:hAnsiTheme="majorHAnsi" w:cstheme="majorHAnsi"/>
          <w:sz w:val="24"/>
          <w:szCs w:val="24"/>
        </w:rPr>
        <w:t xml:space="preserve">transfusion history, and complications. Hydroxyurea status was captured as current use, non-use, previous use with discontinuation, or no prior awareness. Among current users, self-reported adherence was </w:t>
      </w:r>
      <w:proofErr w:type="spellStart"/>
      <w:r w:rsidRPr="00E845D3">
        <w:rPr>
          <w:rFonts w:asciiTheme="majorHAnsi" w:hAnsiTheme="majorHAnsi" w:cstheme="majorHAnsi"/>
          <w:sz w:val="24"/>
          <w:szCs w:val="24"/>
        </w:rPr>
        <w:t>categorised</w:t>
      </w:r>
      <w:proofErr w:type="spellEnd"/>
      <w:r w:rsidRPr="00E845D3">
        <w:rPr>
          <w:rFonts w:asciiTheme="majorHAnsi" w:hAnsiTheme="majorHAnsi" w:cstheme="majorHAnsi"/>
          <w:sz w:val="24"/>
          <w:szCs w:val="24"/>
        </w:rPr>
        <w:t xml:space="preserve"> as always as prescribed, sometimes, or rarely.</w:t>
      </w:r>
    </w:p>
    <w:p w14:paraId="25652113" w14:textId="77777777" w:rsidR="006D0E01" w:rsidRPr="00E845D3" w:rsidRDefault="00305C7D" w:rsidP="0087275B">
      <w:pPr>
        <w:spacing w:line="360" w:lineRule="auto"/>
        <w:jc w:val="both"/>
        <w:rPr>
          <w:rFonts w:asciiTheme="majorHAnsi" w:hAnsiTheme="majorHAnsi" w:cstheme="majorHAnsi"/>
          <w:sz w:val="24"/>
          <w:szCs w:val="24"/>
        </w:rPr>
      </w:pPr>
      <w:r w:rsidRPr="00E845D3">
        <w:rPr>
          <w:rFonts w:asciiTheme="majorHAnsi" w:hAnsiTheme="majorHAnsi" w:cstheme="majorHAnsi"/>
          <w:sz w:val="24"/>
          <w:szCs w:val="24"/>
        </w:rPr>
        <w:t>Construction of patient-reported outcome measures. Four self-rated wellbeing items—general health, overall quality of life, satisfaction with health, and satisfaction with ability to perform daily activities—were mapped to ordered numerical scores and averaged to create a QoL composite score. Four disease-burden items—extent to which SCD affects day-to-day life, frequency of missed work or school, painful crises, and hospital admissions—were similarly mapped and averaged to create a disease-burden composite score. Higher QoL scores indicated better reported wellbeing, whereas higher disease-burden scores indicated worse perceived or experienced disease burden.</w:t>
      </w:r>
    </w:p>
    <w:p w14:paraId="33B2A2EE" w14:textId="71DF8399" w:rsidR="006D0E01" w:rsidRPr="00E845D3" w:rsidRDefault="00305C7D" w:rsidP="0087275B">
      <w:pPr>
        <w:spacing w:line="360" w:lineRule="auto"/>
        <w:jc w:val="both"/>
        <w:rPr>
          <w:rFonts w:asciiTheme="majorHAnsi" w:hAnsiTheme="majorHAnsi" w:cstheme="majorHAnsi"/>
          <w:sz w:val="24"/>
          <w:szCs w:val="24"/>
        </w:rPr>
      </w:pPr>
      <w:r w:rsidRPr="00E845D3">
        <w:rPr>
          <w:rFonts w:asciiTheme="majorHAnsi" w:hAnsiTheme="majorHAnsi" w:cstheme="majorHAnsi"/>
          <w:sz w:val="24"/>
          <w:szCs w:val="24"/>
        </w:rPr>
        <w:t xml:space="preserve">Outcome definitions for multivariable modelling. Four binary outcomes were prespecified. Model 1 assessed current hydroxyurea uptake among all respondents. Model 2 assessed hydroxyurea discontinuation among ever-users, defined as respondents who had either current use or prior use with discontinuation. Model 3 assessed full adherence among current </w:t>
      </w:r>
      <w:r w:rsidR="001233F4" w:rsidRPr="00E845D3">
        <w:rPr>
          <w:rFonts w:asciiTheme="majorHAnsi" w:hAnsiTheme="majorHAnsi" w:cstheme="majorHAnsi"/>
          <w:sz w:val="24"/>
          <w:szCs w:val="24"/>
        </w:rPr>
        <w:t>users,</w:t>
      </w:r>
      <w:r w:rsidR="001233F4" w:rsidRPr="00DF5ECE">
        <w:rPr>
          <w:bCs/>
          <w:color w:val="EE0000"/>
          <w:sz w:val="20"/>
          <w:szCs w:val="20"/>
          <w:lang w:val="en-GB"/>
        </w:rPr>
        <w:t xml:space="preserve"> defined</w:t>
      </w:r>
      <w:r w:rsidR="000E761F" w:rsidRPr="00DF5ECE">
        <w:rPr>
          <w:bCs/>
          <w:color w:val="EE0000"/>
          <w:sz w:val="20"/>
          <w:szCs w:val="20"/>
          <w:lang w:val="en-GB"/>
        </w:rPr>
        <w:t xml:space="preserve"> as self-reported intake of hydroxyurea ‘always as prescribed’</w:t>
      </w:r>
      <w:r w:rsidRPr="00E845D3">
        <w:rPr>
          <w:rFonts w:asciiTheme="majorHAnsi" w:hAnsiTheme="majorHAnsi" w:cstheme="majorHAnsi"/>
          <w:sz w:val="24"/>
          <w:szCs w:val="24"/>
        </w:rPr>
        <w:t xml:space="preserve">. Model 4 assessed </w:t>
      </w:r>
      <w:r w:rsidR="00837D25">
        <w:rPr>
          <w:rFonts w:asciiTheme="majorHAnsi" w:hAnsiTheme="majorHAnsi" w:cstheme="majorHAnsi"/>
          <w:sz w:val="24"/>
          <w:szCs w:val="24"/>
        </w:rPr>
        <w:t xml:space="preserve">a </w:t>
      </w:r>
      <w:r w:rsidRPr="00E845D3">
        <w:rPr>
          <w:rFonts w:asciiTheme="majorHAnsi" w:hAnsiTheme="majorHAnsi" w:cstheme="majorHAnsi"/>
          <w:sz w:val="24"/>
          <w:szCs w:val="24"/>
        </w:rPr>
        <w:t xml:space="preserve">better patient-reported outcome, </w:t>
      </w:r>
      <w:r w:rsidR="001233F4" w:rsidRPr="00E845D3">
        <w:rPr>
          <w:rFonts w:asciiTheme="majorHAnsi" w:hAnsiTheme="majorHAnsi" w:cstheme="majorHAnsi"/>
          <w:sz w:val="24"/>
          <w:szCs w:val="24"/>
        </w:rPr>
        <w:t>operationalized</w:t>
      </w:r>
      <w:r w:rsidRPr="00E845D3">
        <w:rPr>
          <w:rFonts w:asciiTheme="majorHAnsi" w:hAnsiTheme="majorHAnsi" w:cstheme="majorHAnsi"/>
          <w:sz w:val="24"/>
          <w:szCs w:val="24"/>
        </w:rPr>
        <w:t xml:space="preserve"> as a high QoL composite score (≥4.0).</w:t>
      </w:r>
    </w:p>
    <w:p w14:paraId="049913C1" w14:textId="71B85183" w:rsidR="006D0E01" w:rsidRPr="00E845D3" w:rsidRDefault="00305C7D" w:rsidP="0087275B">
      <w:pPr>
        <w:spacing w:line="360" w:lineRule="auto"/>
        <w:jc w:val="both"/>
        <w:rPr>
          <w:rFonts w:asciiTheme="majorHAnsi" w:hAnsiTheme="majorHAnsi" w:cstheme="majorHAnsi"/>
          <w:sz w:val="24"/>
          <w:szCs w:val="24"/>
        </w:rPr>
      </w:pPr>
      <w:r w:rsidRPr="00E845D3">
        <w:rPr>
          <w:rFonts w:asciiTheme="majorHAnsi" w:hAnsiTheme="majorHAnsi" w:cstheme="majorHAnsi"/>
          <w:sz w:val="24"/>
          <w:szCs w:val="24"/>
        </w:rPr>
        <w:t xml:space="preserve">Categorical variables </w:t>
      </w:r>
      <w:r w:rsidR="00E71C7E" w:rsidRPr="00E845D3">
        <w:rPr>
          <w:rFonts w:asciiTheme="majorHAnsi" w:hAnsiTheme="majorHAnsi" w:cstheme="majorHAnsi"/>
          <w:sz w:val="24"/>
          <w:szCs w:val="24"/>
        </w:rPr>
        <w:t>were</w:t>
      </w:r>
      <w:r w:rsidRPr="00E845D3">
        <w:rPr>
          <w:rFonts w:asciiTheme="majorHAnsi" w:hAnsiTheme="majorHAnsi" w:cstheme="majorHAnsi"/>
          <w:sz w:val="24"/>
          <w:szCs w:val="24"/>
        </w:rPr>
        <w:t xml:space="preserve"> </w:t>
      </w:r>
      <w:proofErr w:type="spellStart"/>
      <w:r w:rsidRPr="00E845D3">
        <w:rPr>
          <w:rFonts w:asciiTheme="majorHAnsi" w:hAnsiTheme="majorHAnsi" w:cstheme="majorHAnsi"/>
          <w:sz w:val="24"/>
          <w:szCs w:val="24"/>
        </w:rPr>
        <w:t>summari</w:t>
      </w:r>
      <w:r w:rsidR="00837D25">
        <w:rPr>
          <w:rFonts w:asciiTheme="majorHAnsi" w:hAnsiTheme="majorHAnsi" w:cstheme="majorHAnsi"/>
          <w:sz w:val="24"/>
          <w:szCs w:val="24"/>
        </w:rPr>
        <w:t>s</w:t>
      </w:r>
      <w:r w:rsidRPr="00E845D3">
        <w:rPr>
          <w:rFonts w:asciiTheme="majorHAnsi" w:hAnsiTheme="majorHAnsi" w:cstheme="majorHAnsi"/>
          <w:sz w:val="24"/>
          <w:szCs w:val="24"/>
        </w:rPr>
        <w:t>ed</w:t>
      </w:r>
      <w:proofErr w:type="spellEnd"/>
      <w:r w:rsidRPr="00E845D3">
        <w:rPr>
          <w:rFonts w:asciiTheme="majorHAnsi" w:hAnsiTheme="majorHAnsi" w:cstheme="majorHAnsi"/>
          <w:sz w:val="24"/>
          <w:szCs w:val="24"/>
        </w:rPr>
        <w:t xml:space="preserve"> as frequencies and percentages. Continuous variables </w:t>
      </w:r>
      <w:r w:rsidR="00E71C7E" w:rsidRPr="00E845D3">
        <w:rPr>
          <w:rFonts w:asciiTheme="majorHAnsi" w:hAnsiTheme="majorHAnsi" w:cstheme="majorHAnsi"/>
          <w:sz w:val="24"/>
          <w:szCs w:val="24"/>
        </w:rPr>
        <w:t>we</w:t>
      </w:r>
      <w:r w:rsidRPr="00E845D3">
        <w:rPr>
          <w:rFonts w:asciiTheme="majorHAnsi" w:hAnsiTheme="majorHAnsi" w:cstheme="majorHAnsi"/>
          <w:sz w:val="24"/>
          <w:szCs w:val="24"/>
        </w:rPr>
        <w:t xml:space="preserve">re described using means and standard deviations or medians with interquartile ranges where appropriate. Non-parametric Mann–Whitney U tests were used to compare QoL and disease-burden </w:t>
      </w:r>
      <w:r w:rsidRPr="00E845D3">
        <w:rPr>
          <w:rFonts w:asciiTheme="majorHAnsi" w:hAnsiTheme="majorHAnsi" w:cstheme="majorHAnsi"/>
          <w:sz w:val="24"/>
          <w:szCs w:val="24"/>
        </w:rPr>
        <w:lastRenderedPageBreak/>
        <w:t>distributions between adherent and non-adherent current users because the outcome scores were ordinally derived and not assumed to be normally distributed.</w:t>
      </w:r>
      <w:r w:rsidR="00E71C7E" w:rsidRPr="00E845D3">
        <w:rPr>
          <w:rFonts w:asciiTheme="majorHAnsi" w:hAnsiTheme="majorHAnsi" w:cstheme="majorHAnsi"/>
          <w:sz w:val="24"/>
          <w:szCs w:val="24"/>
        </w:rPr>
        <w:t xml:space="preserve"> </w:t>
      </w:r>
      <w:r w:rsidRPr="00E845D3">
        <w:rPr>
          <w:rFonts w:asciiTheme="majorHAnsi" w:hAnsiTheme="majorHAnsi" w:cstheme="majorHAnsi"/>
          <w:sz w:val="24"/>
          <w:szCs w:val="24"/>
        </w:rPr>
        <w:t>Binary logistic regression models were fitted with adjusted odds ratios (</w:t>
      </w:r>
      <w:proofErr w:type="spellStart"/>
      <w:r w:rsidRPr="00E845D3">
        <w:rPr>
          <w:rFonts w:asciiTheme="majorHAnsi" w:hAnsiTheme="majorHAnsi" w:cstheme="majorHAnsi"/>
          <w:sz w:val="24"/>
          <w:szCs w:val="24"/>
        </w:rPr>
        <w:t>aORs</w:t>
      </w:r>
      <w:proofErr w:type="spellEnd"/>
      <w:r w:rsidRPr="00E845D3">
        <w:rPr>
          <w:rFonts w:asciiTheme="majorHAnsi" w:hAnsiTheme="majorHAnsi" w:cstheme="majorHAnsi"/>
          <w:sz w:val="24"/>
          <w:szCs w:val="24"/>
        </w:rPr>
        <w:t xml:space="preserve">) and 95% confidence intervals. Model discrimination was </w:t>
      </w:r>
      <w:r w:rsidR="00F40523" w:rsidRPr="00E845D3">
        <w:rPr>
          <w:rFonts w:asciiTheme="majorHAnsi" w:hAnsiTheme="majorHAnsi" w:cstheme="majorHAnsi"/>
          <w:sz w:val="24"/>
          <w:szCs w:val="24"/>
        </w:rPr>
        <w:t>summarized</w:t>
      </w:r>
      <w:r w:rsidRPr="00E845D3">
        <w:rPr>
          <w:rFonts w:asciiTheme="majorHAnsi" w:hAnsiTheme="majorHAnsi" w:cstheme="majorHAnsi"/>
          <w:sz w:val="24"/>
          <w:szCs w:val="24"/>
        </w:rPr>
        <w:t xml:space="preserve"> using the area under the receiver operating characteristic curve (AUC), and pseudo-R² values are reported as descriptive measures of fit. </w:t>
      </w:r>
    </w:p>
    <w:p w14:paraId="3F82F533" w14:textId="77777777" w:rsidR="00BD1A1F" w:rsidRPr="00E845D3" w:rsidRDefault="00BD1A1F" w:rsidP="0087275B">
      <w:pPr>
        <w:spacing w:line="360" w:lineRule="auto"/>
        <w:jc w:val="both"/>
        <w:rPr>
          <w:rFonts w:asciiTheme="majorHAnsi" w:hAnsiTheme="majorHAnsi" w:cstheme="majorHAnsi"/>
          <w:sz w:val="24"/>
          <w:szCs w:val="24"/>
        </w:rPr>
      </w:pPr>
    </w:p>
    <w:p w14:paraId="733B5EB7" w14:textId="77777777" w:rsidR="006D0E01" w:rsidRPr="00E845D3" w:rsidRDefault="00305C7D" w:rsidP="0087275B">
      <w:pPr>
        <w:pStyle w:val="Heading1"/>
        <w:spacing w:line="360" w:lineRule="auto"/>
        <w:jc w:val="both"/>
        <w:rPr>
          <w:rFonts w:cstheme="majorHAnsi"/>
          <w:color w:val="auto"/>
          <w:sz w:val="24"/>
          <w:szCs w:val="24"/>
        </w:rPr>
      </w:pPr>
      <w:r w:rsidRPr="00E845D3">
        <w:rPr>
          <w:rFonts w:cstheme="majorHAnsi"/>
          <w:color w:val="auto"/>
          <w:sz w:val="24"/>
          <w:szCs w:val="24"/>
        </w:rPr>
        <w:t>Results</w:t>
      </w:r>
    </w:p>
    <w:p w14:paraId="47AD7EE7" w14:textId="471BF564" w:rsidR="006D0E01" w:rsidRPr="00E845D3" w:rsidRDefault="00305C7D" w:rsidP="0087275B">
      <w:pPr>
        <w:spacing w:line="360" w:lineRule="auto"/>
        <w:jc w:val="both"/>
        <w:rPr>
          <w:rFonts w:asciiTheme="majorHAnsi" w:hAnsiTheme="majorHAnsi" w:cstheme="majorHAnsi"/>
          <w:sz w:val="24"/>
          <w:szCs w:val="24"/>
        </w:rPr>
      </w:pPr>
      <w:r w:rsidRPr="00E845D3">
        <w:rPr>
          <w:rFonts w:asciiTheme="majorHAnsi" w:hAnsiTheme="majorHAnsi" w:cstheme="majorHAnsi"/>
          <w:sz w:val="24"/>
          <w:szCs w:val="24"/>
        </w:rPr>
        <w:t>A total of 11</w:t>
      </w:r>
      <w:r w:rsidR="007C2A99" w:rsidRPr="00E845D3">
        <w:rPr>
          <w:rFonts w:asciiTheme="majorHAnsi" w:hAnsiTheme="majorHAnsi" w:cstheme="majorHAnsi"/>
          <w:sz w:val="24"/>
          <w:szCs w:val="24"/>
        </w:rPr>
        <w:t>8</w:t>
      </w:r>
      <w:r w:rsidRPr="00E845D3">
        <w:rPr>
          <w:rFonts w:asciiTheme="majorHAnsi" w:hAnsiTheme="majorHAnsi" w:cstheme="majorHAnsi"/>
          <w:sz w:val="24"/>
          <w:szCs w:val="24"/>
        </w:rPr>
        <w:t xml:space="preserve"> </w:t>
      </w:r>
      <w:r w:rsidR="007C2A99" w:rsidRPr="00E845D3">
        <w:rPr>
          <w:rFonts w:asciiTheme="majorHAnsi" w:hAnsiTheme="majorHAnsi" w:cstheme="majorHAnsi"/>
          <w:sz w:val="24"/>
          <w:szCs w:val="24"/>
        </w:rPr>
        <w:t xml:space="preserve">persons living with SCD responded to the questionnaire, 1 person did not give consent, leaving a total of 117 </w:t>
      </w:r>
      <w:r w:rsidRPr="00E845D3">
        <w:rPr>
          <w:rFonts w:asciiTheme="majorHAnsi" w:hAnsiTheme="majorHAnsi" w:cstheme="majorHAnsi"/>
          <w:sz w:val="24"/>
          <w:szCs w:val="24"/>
        </w:rPr>
        <w:t xml:space="preserve">respondents </w:t>
      </w:r>
      <w:r w:rsidR="007C2A99" w:rsidRPr="00E845D3">
        <w:rPr>
          <w:rFonts w:asciiTheme="majorHAnsi" w:hAnsiTheme="majorHAnsi" w:cstheme="majorHAnsi"/>
          <w:sz w:val="24"/>
          <w:szCs w:val="24"/>
        </w:rPr>
        <w:t>to be</w:t>
      </w:r>
      <w:r w:rsidRPr="00E845D3">
        <w:rPr>
          <w:rFonts w:asciiTheme="majorHAnsi" w:hAnsiTheme="majorHAnsi" w:cstheme="majorHAnsi"/>
          <w:sz w:val="24"/>
          <w:szCs w:val="24"/>
        </w:rPr>
        <w:t xml:space="preserve"> analy</w:t>
      </w:r>
      <w:r w:rsidR="007C2A99" w:rsidRPr="00E845D3">
        <w:rPr>
          <w:rFonts w:asciiTheme="majorHAnsi" w:hAnsiTheme="majorHAnsi" w:cstheme="majorHAnsi"/>
          <w:sz w:val="24"/>
          <w:szCs w:val="24"/>
        </w:rPr>
        <w:t>z</w:t>
      </w:r>
      <w:r w:rsidRPr="00E845D3">
        <w:rPr>
          <w:rFonts w:asciiTheme="majorHAnsi" w:hAnsiTheme="majorHAnsi" w:cstheme="majorHAnsi"/>
          <w:sz w:val="24"/>
          <w:szCs w:val="24"/>
        </w:rPr>
        <w:t>ed. The mean age was 30.8 ± 10.2 years, with a median of 30 years (IQR 23–38). Females accounted for 83 (70.9%)</w:t>
      </w:r>
      <w:r w:rsidR="007C2A99" w:rsidRPr="00E845D3">
        <w:rPr>
          <w:rFonts w:asciiTheme="majorHAnsi" w:hAnsiTheme="majorHAnsi" w:cstheme="majorHAnsi"/>
          <w:sz w:val="24"/>
          <w:szCs w:val="24"/>
        </w:rPr>
        <w:t xml:space="preserve"> of respondents. </w:t>
      </w:r>
      <w:r w:rsidRPr="00E845D3">
        <w:rPr>
          <w:rFonts w:asciiTheme="majorHAnsi" w:hAnsiTheme="majorHAnsi" w:cstheme="majorHAnsi"/>
          <w:sz w:val="24"/>
          <w:szCs w:val="24"/>
        </w:rPr>
        <w:t>Most respondents had at least university education</w:t>
      </w:r>
      <w:r w:rsidR="00EE46F8" w:rsidRPr="00E845D3">
        <w:rPr>
          <w:rFonts w:asciiTheme="majorHAnsi" w:hAnsiTheme="majorHAnsi" w:cstheme="majorHAnsi"/>
          <w:sz w:val="24"/>
          <w:szCs w:val="24"/>
        </w:rPr>
        <w:t>;</w:t>
      </w:r>
      <w:r w:rsidRPr="00E845D3">
        <w:rPr>
          <w:rFonts w:asciiTheme="majorHAnsi" w:hAnsiTheme="majorHAnsi" w:cstheme="majorHAnsi"/>
          <w:sz w:val="24"/>
          <w:szCs w:val="24"/>
        </w:rPr>
        <w:t xml:space="preserve"> </w:t>
      </w:r>
      <w:r w:rsidR="00EE46F8" w:rsidRPr="00E845D3">
        <w:rPr>
          <w:rFonts w:asciiTheme="majorHAnsi" w:hAnsiTheme="majorHAnsi" w:cstheme="majorHAnsi"/>
          <w:sz w:val="24"/>
          <w:szCs w:val="24"/>
        </w:rPr>
        <w:t>n=</w:t>
      </w:r>
      <w:r w:rsidRPr="00E845D3">
        <w:rPr>
          <w:rFonts w:asciiTheme="majorHAnsi" w:hAnsiTheme="majorHAnsi" w:cstheme="majorHAnsi"/>
          <w:sz w:val="24"/>
          <w:szCs w:val="24"/>
        </w:rPr>
        <w:t xml:space="preserve">90 (76.9%). Employment </w:t>
      </w:r>
      <w:r w:rsidR="00EE46F8" w:rsidRPr="00E845D3">
        <w:rPr>
          <w:rFonts w:asciiTheme="majorHAnsi" w:hAnsiTheme="majorHAnsi" w:cstheme="majorHAnsi"/>
          <w:sz w:val="24"/>
          <w:szCs w:val="24"/>
        </w:rPr>
        <w:t>status showed-</w:t>
      </w:r>
      <w:r w:rsidRPr="00E845D3">
        <w:rPr>
          <w:rFonts w:asciiTheme="majorHAnsi" w:hAnsiTheme="majorHAnsi" w:cstheme="majorHAnsi"/>
          <w:sz w:val="24"/>
          <w:szCs w:val="24"/>
        </w:rPr>
        <w:t xml:space="preserve"> formal employment in 40 (34.2%), self-employment in 26 (22.2%), </w:t>
      </w:r>
      <w:r w:rsidR="00EE46F8" w:rsidRPr="00E845D3">
        <w:rPr>
          <w:rFonts w:asciiTheme="majorHAnsi" w:hAnsiTheme="majorHAnsi" w:cstheme="majorHAnsi"/>
          <w:sz w:val="24"/>
          <w:szCs w:val="24"/>
        </w:rPr>
        <w:t>with</w:t>
      </w:r>
      <w:r w:rsidRPr="00E845D3">
        <w:rPr>
          <w:rFonts w:asciiTheme="majorHAnsi" w:hAnsiTheme="majorHAnsi" w:cstheme="majorHAnsi"/>
          <w:sz w:val="24"/>
          <w:szCs w:val="24"/>
        </w:rPr>
        <w:t xml:space="preserve"> students representing 29 (24.8%). </w:t>
      </w:r>
      <w:r w:rsidR="00EE46F8" w:rsidRPr="00E845D3">
        <w:rPr>
          <w:rFonts w:asciiTheme="majorHAnsi" w:hAnsiTheme="majorHAnsi" w:cstheme="majorHAnsi"/>
          <w:sz w:val="24"/>
          <w:szCs w:val="24"/>
        </w:rPr>
        <w:t>With regards to i</w:t>
      </w:r>
      <w:r w:rsidRPr="00E845D3">
        <w:rPr>
          <w:rFonts w:asciiTheme="majorHAnsi" w:hAnsiTheme="majorHAnsi" w:cstheme="majorHAnsi"/>
          <w:sz w:val="24"/>
          <w:szCs w:val="24"/>
        </w:rPr>
        <w:t>ncome</w:t>
      </w:r>
      <w:r w:rsidR="00EE46F8" w:rsidRPr="00E845D3">
        <w:rPr>
          <w:rFonts w:asciiTheme="majorHAnsi" w:hAnsiTheme="majorHAnsi" w:cstheme="majorHAnsi"/>
          <w:sz w:val="24"/>
          <w:szCs w:val="24"/>
        </w:rPr>
        <w:t>,</w:t>
      </w:r>
      <w:r w:rsidRPr="00E845D3">
        <w:rPr>
          <w:rFonts w:asciiTheme="majorHAnsi" w:hAnsiTheme="majorHAnsi" w:cstheme="majorHAnsi"/>
          <w:sz w:val="24"/>
          <w:szCs w:val="24"/>
        </w:rPr>
        <w:t xml:space="preserve"> 38 (32.5%) reported no income </w:t>
      </w:r>
      <w:r w:rsidR="00847878" w:rsidRPr="00E845D3">
        <w:rPr>
          <w:rFonts w:asciiTheme="majorHAnsi" w:hAnsiTheme="majorHAnsi" w:cstheme="majorHAnsi"/>
          <w:sz w:val="24"/>
          <w:szCs w:val="24"/>
        </w:rPr>
        <w:t>while</w:t>
      </w:r>
      <w:r w:rsidRPr="00E845D3">
        <w:rPr>
          <w:rFonts w:asciiTheme="majorHAnsi" w:hAnsiTheme="majorHAnsi" w:cstheme="majorHAnsi"/>
          <w:sz w:val="24"/>
          <w:szCs w:val="24"/>
        </w:rPr>
        <w:t xml:space="preserve"> 34 (29.1%) </w:t>
      </w:r>
      <w:r w:rsidR="00847878" w:rsidRPr="00E845D3">
        <w:rPr>
          <w:rFonts w:asciiTheme="majorHAnsi" w:hAnsiTheme="majorHAnsi" w:cstheme="majorHAnsi"/>
          <w:sz w:val="24"/>
          <w:szCs w:val="24"/>
        </w:rPr>
        <w:t>had</w:t>
      </w:r>
      <w:r w:rsidRPr="00E845D3">
        <w:rPr>
          <w:rFonts w:asciiTheme="majorHAnsi" w:hAnsiTheme="majorHAnsi" w:cstheme="majorHAnsi"/>
          <w:sz w:val="24"/>
          <w:szCs w:val="24"/>
        </w:rPr>
        <w:t xml:space="preserve"> income below N100,000 monthly.</w:t>
      </w:r>
      <w:r w:rsidR="00DA331C" w:rsidRPr="00E845D3">
        <w:rPr>
          <w:rFonts w:asciiTheme="majorHAnsi" w:hAnsiTheme="majorHAnsi" w:cstheme="majorHAnsi"/>
          <w:i/>
          <w:iCs/>
          <w:sz w:val="24"/>
          <w:szCs w:val="24"/>
        </w:rPr>
        <w:t xml:space="preserve"> See Table 1</w:t>
      </w:r>
    </w:p>
    <w:p w14:paraId="65EA3776" w14:textId="07DEB277" w:rsidR="006D0E01" w:rsidRPr="00E845D3" w:rsidRDefault="00847878" w:rsidP="0087275B">
      <w:pPr>
        <w:spacing w:line="360" w:lineRule="auto"/>
        <w:jc w:val="both"/>
        <w:rPr>
          <w:rFonts w:asciiTheme="majorHAnsi" w:hAnsiTheme="majorHAnsi" w:cstheme="majorHAnsi"/>
          <w:sz w:val="24"/>
          <w:szCs w:val="24"/>
        </w:rPr>
      </w:pPr>
      <w:r w:rsidRPr="00E845D3">
        <w:rPr>
          <w:rFonts w:asciiTheme="majorHAnsi" w:hAnsiTheme="majorHAnsi" w:cstheme="majorHAnsi"/>
          <w:sz w:val="24"/>
          <w:szCs w:val="24"/>
        </w:rPr>
        <w:t xml:space="preserve">The dominant </w:t>
      </w:r>
      <w:proofErr w:type="spellStart"/>
      <w:r w:rsidRPr="00E845D3">
        <w:rPr>
          <w:rFonts w:asciiTheme="majorHAnsi" w:hAnsiTheme="majorHAnsi" w:cstheme="majorHAnsi"/>
          <w:sz w:val="24"/>
          <w:szCs w:val="24"/>
        </w:rPr>
        <w:t>haemoglobin</w:t>
      </w:r>
      <w:proofErr w:type="spellEnd"/>
      <w:r w:rsidRPr="00E845D3">
        <w:rPr>
          <w:rFonts w:asciiTheme="majorHAnsi" w:hAnsiTheme="majorHAnsi" w:cstheme="majorHAnsi"/>
          <w:sz w:val="24"/>
          <w:szCs w:val="24"/>
        </w:rPr>
        <w:t xml:space="preserve"> phenotype was </w:t>
      </w:r>
      <w:proofErr w:type="spellStart"/>
      <w:r w:rsidRPr="00E845D3">
        <w:rPr>
          <w:rFonts w:asciiTheme="majorHAnsi" w:hAnsiTheme="majorHAnsi" w:cstheme="majorHAnsi"/>
          <w:sz w:val="24"/>
          <w:szCs w:val="24"/>
        </w:rPr>
        <w:t>HbSS</w:t>
      </w:r>
      <w:proofErr w:type="spellEnd"/>
      <w:r w:rsidRPr="00E845D3">
        <w:rPr>
          <w:rFonts w:asciiTheme="majorHAnsi" w:hAnsiTheme="majorHAnsi" w:cstheme="majorHAnsi"/>
          <w:sz w:val="24"/>
          <w:szCs w:val="24"/>
        </w:rPr>
        <w:t xml:space="preserve"> in 91 (77.8%) of respondents, while </w:t>
      </w:r>
      <w:proofErr w:type="spellStart"/>
      <w:r w:rsidRPr="00E845D3">
        <w:rPr>
          <w:rFonts w:asciiTheme="majorHAnsi" w:hAnsiTheme="majorHAnsi" w:cstheme="majorHAnsi"/>
          <w:sz w:val="24"/>
          <w:szCs w:val="24"/>
        </w:rPr>
        <w:t>HbSC</w:t>
      </w:r>
      <w:proofErr w:type="spellEnd"/>
      <w:r w:rsidRPr="00E845D3">
        <w:rPr>
          <w:rFonts w:asciiTheme="majorHAnsi" w:hAnsiTheme="majorHAnsi" w:cstheme="majorHAnsi"/>
          <w:sz w:val="24"/>
          <w:szCs w:val="24"/>
        </w:rPr>
        <w:t xml:space="preserve"> accounted for 20 (17.1%). About 46 (45.5%) reported 1–2 crises in the preceding 12 months, 29 (28.7%) reported 3–5 crises, and 26 (25.7%) reported more than five crises. </w:t>
      </w:r>
      <w:r w:rsidR="007B2C2F" w:rsidRPr="00E845D3">
        <w:rPr>
          <w:rFonts w:asciiTheme="majorHAnsi" w:hAnsiTheme="majorHAnsi" w:cstheme="majorHAnsi"/>
          <w:sz w:val="24"/>
          <w:szCs w:val="24"/>
        </w:rPr>
        <w:t>The majority of respondents (n=69, 59.0%) reported at least one hospital admission in the preceding year, with a substantial minority (</w:t>
      </w:r>
      <w:r w:rsidR="00CF2E3C" w:rsidRPr="00E845D3">
        <w:rPr>
          <w:rFonts w:asciiTheme="majorHAnsi" w:hAnsiTheme="majorHAnsi" w:cstheme="majorHAnsi"/>
          <w:sz w:val="24"/>
          <w:szCs w:val="24"/>
        </w:rPr>
        <w:t>n=</w:t>
      </w:r>
      <w:r w:rsidR="007B2C2F" w:rsidRPr="00E845D3">
        <w:rPr>
          <w:rFonts w:asciiTheme="majorHAnsi" w:hAnsiTheme="majorHAnsi" w:cstheme="majorHAnsi"/>
          <w:sz w:val="24"/>
          <w:szCs w:val="24"/>
        </w:rPr>
        <w:t>44</w:t>
      </w:r>
      <w:r w:rsidR="00CF2E3C" w:rsidRPr="00E845D3">
        <w:rPr>
          <w:rFonts w:asciiTheme="majorHAnsi" w:hAnsiTheme="majorHAnsi" w:cstheme="majorHAnsi"/>
          <w:sz w:val="24"/>
          <w:szCs w:val="24"/>
        </w:rPr>
        <w:t>,</w:t>
      </w:r>
      <w:r w:rsidR="007B2C2F" w:rsidRPr="00E845D3">
        <w:rPr>
          <w:rFonts w:asciiTheme="majorHAnsi" w:hAnsiTheme="majorHAnsi" w:cstheme="majorHAnsi"/>
          <w:sz w:val="24"/>
          <w:szCs w:val="24"/>
        </w:rPr>
        <w:t xml:space="preserve"> 37.6%) experiencing ≥2 admissions</w:t>
      </w:r>
      <w:r w:rsidR="00CF2E3C" w:rsidRPr="00E845D3">
        <w:rPr>
          <w:rFonts w:asciiTheme="majorHAnsi" w:hAnsiTheme="majorHAnsi" w:cstheme="majorHAnsi"/>
          <w:sz w:val="24"/>
          <w:szCs w:val="24"/>
        </w:rPr>
        <w:t>.</w:t>
      </w:r>
      <w:r w:rsidR="007B2C2F" w:rsidRPr="00E845D3">
        <w:rPr>
          <w:rFonts w:asciiTheme="majorHAnsi" w:hAnsiTheme="majorHAnsi" w:cstheme="majorHAnsi"/>
          <w:sz w:val="24"/>
          <w:szCs w:val="24"/>
        </w:rPr>
        <w:t xml:space="preserve"> </w:t>
      </w:r>
      <w:r w:rsidRPr="00E845D3">
        <w:rPr>
          <w:rFonts w:asciiTheme="majorHAnsi" w:hAnsiTheme="majorHAnsi" w:cstheme="majorHAnsi"/>
          <w:sz w:val="24"/>
          <w:szCs w:val="24"/>
        </w:rPr>
        <w:t>A history of blood transfusion was common, reported by 87 (74.4%).</w:t>
      </w:r>
      <w:r w:rsidR="00DA331C" w:rsidRPr="00E845D3">
        <w:rPr>
          <w:rFonts w:asciiTheme="majorHAnsi" w:hAnsiTheme="majorHAnsi" w:cstheme="majorHAnsi"/>
          <w:sz w:val="24"/>
          <w:szCs w:val="24"/>
        </w:rPr>
        <w:t xml:space="preserve"> </w:t>
      </w:r>
      <w:r w:rsidR="00DA331C" w:rsidRPr="00E845D3">
        <w:rPr>
          <w:rFonts w:asciiTheme="majorHAnsi" w:hAnsiTheme="majorHAnsi" w:cstheme="majorHAnsi"/>
          <w:i/>
          <w:iCs/>
          <w:sz w:val="24"/>
          <w:szCs w:val="24"/>
        </w:rPr>
        <w:t>See Table 1</w:t>
      </w:r>
    </w:p>
    <w:p w14:paraId="60A14FA6" w14:textId="77777777" w:rsidR="00BD1A1F" w:rsidRPr="00E845D3" w:rsidRDefault="00BD1A1F" w:rsidP="0087275B">
      <w:pPr>
        <w:spacing w:line="360" w:lineRule="auto"/>
        <w:jc w:val="both"/>
        <w:rPr>
          <w:rFonts w:asciiTheme="majorHAnsi" w:hAnsiTheme="majorHAnsi" w:cstheme="majorHAnsi"/>
          <w:sz w:val="24"/>
          <w:szCs w:val="24"/>
        </w:rPr>
      </w:pPr>
    </w:p>
    <w:p w14:paraId="78FDEEDE" w14:textId="77777777" w:rsidR="00BD1A1F" w:rsidRPr="00E845D3" w:rsidRDefault="00BD1A1F" w:rsidP="0087275B">
      <w:pPr>
        <w:spacing w:line="360" w:lineRule="auto"/>
        <w:jc w:val="both"/>
        <w:rPr>
          <w:rFonts w:asciiTheme="majorHAnsi" w:hAnsiTheme="majorHAnsi" w:cstheme="majorHAnsi"/>
          <w:sz w:val="24"/>
          <w:szCs w:val="24"/>
        </w:rPr>
      </w:pPr>
    </w:p>
    <w:p w14:paraId="7BC962CD" w14:textId="77777777" w:rsidR="00BD1A1F" w:rsidRPr="00E845D3" w:rsidRDefault="00BD1A1F" w:rsidP="00BD1A1F">
      <w:pPr>
        <w:spacing w:line="360" w:lineRule="auto"/>
        <w:rPr>
          <w:rFonts w:asciiTheme="majorHAnsi" w:hAnsiTheme="majorHAnsi" w:cstheme="majorHAnsi"/>
        </w:rPr>
      </w:pPr>
      <w:r w:rsidRPr="00E845D3">
        <w:rPr>
          <w:rFonts w:asciiTheme="majorHAnsi" w:hAnsiTheme="majorHAnsi" w:cstheme="majorHAnsi"/>
        </w:rPr>
        <w:t>Table 1. Respondent baseline characteristics.</w:t>
      </w:r>
    </w:p>
    <w:tbl>
      <w:tblPr>
        <w:tblStyle w:val="TableGrid"/>
        <w:tblW w:w="0" w:type="auto"/>
        <w:jc w:val="center"/>
        <w:tblLook w:val="04A0" w:firstRow="1" w:lastRow="0" w:firstColumn="1" w:lastColumn="0" w:noHBand="0" w:noVBand="1"/>
      </w:tblPr>
      <w:tblGrid>
        <w:gridCol w:w="4963"/>
        <w:gridCol w:w="4963"/>
      </w:tblGrid>
      <w:tr w:rsidR="00BD1A1F" w:rsidRPr="00E845D3" w14:paraId="66D649CF" w14:textId="77777777" w:rsidTr="00B42819">
        <w:trPr>
          <w:jc w:val="center"/>
        </w:trPr>
        <w:tc>
          <w:tcPr>
            <w:tcW w:w="4968" w:type="dxa"/>
            <w:shd w:val="clear" w:color="auto" w:fill="D9EAF7"/>
          </w:tcPr>
          <w:p w14:paraId="77E0596A"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b/>
                <w:sz w:val="18"/>
              </w:rPr>
              <w:t>Characteristic</w:t>
            </w:r>
          </w:p>
        </w:tc>
        <w:tc>
          <w:tcPr>
            <w:tcW w:w="4968" w:type="dxa"/>
            <w:shd w:val="clear" w:color="auto" w:fill="D9EAF7"/>
          </w:tcPr>
          <w:p w14:paraId="74D33CF4" w14:textId="1525A1E1"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b/>
                <w:sz w:val="18"/>
              </w:rPr>
              <w:t>Number (%)</w:t>
            </w:r>
          </w:p>
        </w:tc>
      </w:tr>
      <w:tr w:rsidR="00BD1A1F" w:rsidRPr="00E845D3" w14:paraId="1F7CA236" w14:textId="77777777" w:rsidTr="00B42819">
        <w:trPr>
          <w:jc w:val="center"/>
        </w:trPr>
        <w:tc>
          <w:tcPr>
            <w:tcW w:w="4968" w:type="dxa"/>
          </w:tcPr>
          <w:p w14:paraId="45DA7D10"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Age, years</w:t>
            </w:r>
          </w:p>
        </w:tc>
        <w:tc>
          <w:tcPr>
            <w:tcW w:w="4968" w:type="dxa"/>
          </w:tcPr>
          <w:p w14:paraId="69FCBA1C"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30.8 ± 10.2</w:t>
            </w:r>
          </w:p>
        </w:tc>
      </w:tr>
      <w:tr w:rsidR="00BD1A1F" w:rsidRPr="00E845D3" w14:paraId="68393503" w14:textId="77777777" w:rsidTr="00B42819">
        <w:trPr>
          <w:jc w:val="center"/>
        </w:trPr>
        <w:tc>
          <w:tcPr>
            <w:tcW w:w="4968" w:type="dxa"/>
          </w:tcPr>
          <w:p w14:paraId="0B67A386"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Age, median (IQR)</w:t>
            </w:r>
          </w:p>
        </w:tc>
        <w:tc>
          <w:tcPr>
            <w:tcW w:w="4968" w:type="dxa"/>
          </w:tcPr>
          <w:p w14:paraId="21F8FE1C"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30 (23–38)</w:t>
            </w:r>
          </w:p>
        </w:tc>
      </w:tr>
      <w:tr w:rsidR="00BD1A1F" w:rsidRPr="00E845D3" w14:paraId="6779EF56" w14:textId="77777777" w:rsidTr="00B42819">
        <w:trPr>
          <w:jc w:val="center"/>
        </w:trPr>
        <w:tc>
          <w:tcPr>
            <w:tcW w:w="4968" w:type="dxa"/>
          </w:tcPr>
          <w:p w14:paraId="75B3A0CF"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b/>
                <w:sz w:val="18"/>
              </w:rPr>
              <w:t>Sex</w:t>
            </w:r>
          </w:p>
        </w:tc>
        <w:tc>
          <w:tcPr>
            <w:tcW w:w="4968" w:type="dxa"/>
          </w:tcPr>
          <w:p w14:paraId="072D148C" w14:textId="77777777" w:rsidR="00BD1A1F" w:rsidRPr="00E845D3" w:rsidRDefault="00BD1A1F" w:rsidP="00B42819">
            <w:pPr>
              <w:spacing w:line="360" w:lineRule="auto"/>
              <w:rPr>
                <w:rFonts w:asciiTheme="majorHAnsi" w:hAnsiTheme="majorHAnsi" w:cstheme="majorHAnsi"/>
              </w:rPr>
            </w:pPr>
          </w:p>
        </w:tc>
      </w:tr>
      <w:tr w:rsidR="00BD1A1F" w:rsidRPr="00E845D3" w14:paraId="61D79F2B" w14:textId="77777777" w:rsidTr="00B42819">
        <w:trPr>
          <w:jc w:val="center"/>
        </w:trPr>
        <w:tc>
          <w:tcPr>
            <w:tcW w:w="4968" w:type="dxa"/>
          </w:tcPr>
          <w:p w14:paraId="4BDFA416"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lastRenderedPageBreak/>
              <w:t xml:space="preserve">  Female</w:t>
            </w:r>
          </w:p>
        </w:tc>
        <w:tc>
          <w:tcPr>
            <w:tcW w:w="4968" w:type="dxa"/>
          </w:tcPr>
          <w:p w14:paraId="5DA6C4C5"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83 (70.9%)</w:t>
            </w:r>
          </w:p>
        </w:tc>
      </w:tr>
      <w:tr w:rsidR="00BD1A1F" w:rsidRPr="00E845D3" w14:paraId="0F118C78" w14:textId="77777777" w:rsidTr="00B42819">
        <w:trPr>
          <w:jc w:val="center"/>
        </w:trPr>
        <w:tc>
          <w:tcPr>
            <w:tcW w:w="4968" w:type="dxa"/>
          </w:tcPr>
          <w:p w14:paraId="28021A27"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Male</w:t>
            </w:r>
          </w:p>
        </w:tc>
        <w:tc>
          <w:tcPr>
            <w:tcW w:w="4968" w:type="dxa"/>
          </w:tcPr>
          <w:p w14:paraId="73B2025D"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34 (29.1%)</w:t>
            </w:r>
          </w:p>
        </w:tc>
      </w:tr>
      <w:tr w:rsidR="00BD1A1F" w:rsidRPr="00E845D3" w14:paraId="40AD2F8B" w14:textId="77777777" w:rsidTr="00B42819">
        <w:trPr>
          <w:jc w:val="center"/>
        </w:trPr>
        <w:tc>
          <w:tcPr>
            <w:tcW w:w="4968" w:type="dxa"/>
          </w:tcPr>
          <w:p w14:paraId="2F46939D"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b/>
                <w:sz w:val="18"/>
              </w:rPr>
              <w:t>Education</w:t>
            </w:r>
          </w:p>
        </w:tc>
        <w:tc>
          <w:tcPr>
            <w:tcW w:w="4968" w:type="dxa"/>
          </w:tcPr>
          <w:p w14:paraId="4199B478" w14:textId="77777777" w:rsidR="00BD1A1F" w:rsidRPr="00E845D3" w:rsidRDefault="00BD1A1F" w:rsidP="00B42819">
            <w:pPr>
              <w:spacing w:line="360" w:lineRule="auto"/>
              <w:rPr>
                <w:rFonts w:asciiTheme="majorHAnsi" w:hAnsiTheme="majorHAnsi" w:cstheme="majorHAnsi"/>
              </w:rPr>
            </w:pPr>
          </w:p>
        </w:tc>
      </w:tr>
      <w:tr w:rsidR="00BD1A1F" w:rsidRPr="00E845D3" w14:paraId="4591B801" w14:textId="77777777" w:rsidTr="00B42819">
        <w:trPr>
          <w:jc w:val="center"/>
        </w:trPr>
        <w:tc>
          <w:tcPr>
            <w:tcW w:w="4968" w:type="dxa"/>
          </w:tcPr>
          <w:p w14:paraId="4F05BA11"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Primary school</w:t>
            </w:r>
          </w:p>
        </w:tc>
        <w:tc>
          <w:tcPr>
            <w:tcW w:w="4968" w:type="dxa"/>
          </w:tcPr>
          <w:p w14:paraId="29BFFE76"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5 (4.3%)</w:t>
            </w:r>
          </w:p>
        </w:tc>
      </w:tr>
      <w:tr w:rsidR="00BD1A1F" w:rsidRPr="00E845D3" w14:paraId="0F5FBFB4" w14:textId="77777777" w:rsidTr="00B42819">
        <w:trPr>
          <w:jc w:val="center"/>
        </w:trPr>
        <w:tc>
          <w:tcPr>
            <w:tcW w:w="4968" w:type="dxa"/>
          </w:tcPr>
          <w:p w14:paraId="024CCE9E"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Secondary school</w:t>
            </w:r>
          </w:p>
        </w:tc>
        <w:tc>
          <w:tcPr>
            <w:tcW w:w="4968" w:type="dxa"/>
          </w:tcPr>
          <w:p w14:paraId="579F251D"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22 (18.8%)</w:t>
            </w:r>
          </w:p>
        </w:tc>
      </w:tr>
      <w:tr w:rsidR="00BD1A1F" w:rsidRPr="00E845D3" w14:paraId="1FEDD58F" w14:textId="77777777" w:rsidTr="00B42819">
        <w:trPr>
          <w:jc w:val="center"/>
        </w:trPr>
        <w:tc>
          <w:tcPr>
            <w:tcW w:w="4968" w:type="dxa"/>
          </w:tcPr>
          <w:p w14:paraId="674A11AA"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University</w:t>
            </w:r>
          </w:p>
        </w:tc>
        <w:tc>
          <w:tcPr>
            <w:tcW w:w="4968" w:type="dxa"/>
          </w:tcPr>
          <w:p w14:paraId="1F948638"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58 (49.6%)</w:t>
            </w:r>
          </w:p>
        </w:tc>
      </w:tr>
      <w:tr w:rsidR="00BD1A1F" w:rsidRPr="00E845D3" w14:paraId="510DF349" w14:textId="77777777" w:rsidTr="00B42819">
        <w:trPr>
          <w:jc w:val="center"/>
        </w:trPr>
        <w:tc>
          <w:tcPr>
            <w:tcW w:w="4968" w:type="dxa"/>
          </w:tcPr>
          <w:p w14:paraId="02267FCE"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Postgraduate education</w:t>
            </w:r>
          </w:p>
        </w:tc>
        <w:tc>
          <w:tcPr>
            <w:tcW w:w="4968" w:type="dxa"/>
          </w:tcPr>
          <w:p w14:paraId="1A01C5CC"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32 (27.4%)</w:t>
            </w:r>
          </w:p>
        </w:tc>
      </w:tr>
      <w:tr w:rsidR="00BD1A1F" w:rsidRPr="00E845D3" w14:paraId="4E56969F" w14:textId="77777777" w:rsidTr="00B42819">
        <w:trPr>
          <w:jc w:val="center"/>
        </w:trPr>
        <w:tc>
          <w:tcPr>
            <w:tcW w:w="4968" w:type="dxa"/>
          </w:tcPr>
          <w:p w14:paraId="1F3B0FA3"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b/>
                <w:sz w:val="18"/>
              </w:rPr>
              <w:t>Employment status</w:t>
            </w:r>
          </w:p>
        </w:tc>
        <w:tc>
          <w:tcPr>
            <w:tcW w:w="4968" w:type="dxa"/>
          </w:tcPr>
          <w:p w14:paraId="37D3AB12" w14:textId="77777777" w:rsidR="00BD1A1F" w:rsidRPr="00E845D3" w:rsidRDefault="00BD1A1F" w:rsidP="00B42819">
            <w:pPr>
              <w:spacing w:line="360" w:lineRule="auto"/>
              <w:rPr>
                <w:rFonts w:asciiTheme="majorHAnsi" w:hAnsiTheme="majorHAnsi" w:cstheme="majorHAnsi"/>
              </w:rPr>
            </w:pPr>
          </w:p>
        </w:tc>
      </w:tr>
      <w:tr w:rsidR="00BD1A1F" w:rsidRPr="00E845D3" w14:paraId="4F229454" w14:textId="77777777" w:rsidTr="00B42819">
        <w:trPr>
          <w:jc w:val="center"/>
        </w:trPr>
        <w:tc>
          <w:tcPr>
            <w:tcW w:w="4968" w:type="dxa"/>
          </w:tcPr>
          <w:p w14:paraId="6ADD3DBB"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Employed</w:t>
            </w:r>
          </w:p>
        </w:tc>
        <w:tc>
          <w:tcPr>
            <w:tcW w:w="4968" w:type="dxa"/>
          </w:tcPr>
          <w:p w14:paraId="44962552"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40 (34.2%)</w:t>
            </w:r>
          </w:p>
        </w:tc>
      </w:tr>
      <w:tr w:rsidR="00BD1A1F" w:rsidRPr="00E845D3" w14:paraId="6579AA02" w14:textId="77777777" w:rsidTr="00B42819">
        <w:trPr>
          <w:jc w:val="center"/>
        </w:trPr>
        <w:tc>
          <w:tcPr>
            <w:tcW w:w="4968" w:type="dxa"/>
          </w:tcPr>
          <w:p w14:paraId="7CA136AD"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Self-employed</w:t>
            </w:r>
          </w:p>
        </w:tc>
        <w:tc>
          <w:tcPr>
            <w:tcW w:w="4968" w:type="dxa"/>
          </w:tcPr>
          <w:p w14:paraId="4FBB74B9"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26 (22.2%)</w:t>
            </w:r>
          </w:p>
        </w:tc>
      </w:tr>
      <w:tr w:rsidR="00BD1A1F" w:rsidRPr="00E845D3" w14:paraId="1994AB8E" w14:textId="77777777" w:rsidTr="00B42819">
        <w:trPr>
          <w:jc w:val="center"/>
        </w:trPr>
        <w:tc>
          <w:tcPr>
            <w:tcW w:w="4968" w:type="dxa"/>
          </w:tcPr>
          <w:p w14:paraId="077BEF8A"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Student</w:t>
            </w:r>
          </w:p>
        </w:tc>
        <w:tc>
          <w:tcPr>
            <w:tcW w:w="4968" w:type="dxa"/>
          </w:tcPr>
          <w:p w14:paraId="38A12852"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29 (24.8%)</w:t>
            </w:r>
          </w:p>
        </w:tc>
      </w:tr>
      <w:tr w:rsidR="00BD1A1F" w:rsidRPr="00E845D3" w14:paraId="7A910D8A" w14:textId="77777777" w:rsidTr="00B42819">
        <w:trPr>
          <w:jc w:val="center"/>
        </w:trPr>
        <w:tc>
          <w:tcPr>
            <w:tcW w:w="4968" w:type="dxa"/>
          </w:tcPr>
          <w:p w14:paraId="77863149"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Unemployed</w:t>
            </w:r>
          </w:p>
        </w:tc>
        <w:tc>
          <w:tcPr>
            <w:tcW w:w="4968" w:type="dxa"/>
          </w:tcPr>
          <w:p w14:paraId="721DC164"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21 (17.9%)</w:t>
            </w:r>
          </w:p>
        </w:tc>
      </w:tr>
      <w:tr w:rsidR="00BD1A1F" w:rsidRPr="00E845D3" w14:paraId="60A42493" w14:textId="77777777" w:rsidTr="00B42819">
        <w:trPr>
          <w:jc w:val="center"/>
        </w:trPr>
        <w:tc>
          <w:tcPr>
            <w:tcW w:w="4968" w:type="dxa"/>
          </w:tcPr>
          <w:p w14:paraId="29C15CD9"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Retired</w:t>
            </w:r>
          </w:p>
        </w:tc>
        <w:tc>
          <w:tcPr>
            <w:tcW w:w="4968" w:type="dxa"/>
          </w:tcPr>
          <w:p w14:paraId="7A13B217"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1 (0.9%)</w:t>
            </w:r>
          </w:p>
        </w:tc>
      </w:tr>
      <w:tr w:rsidR="00BD1A1F" w:rsidRPr="00E845D3" w14:paraId="6B00DBDE" w14:textId="77777777" w:rsidTr="00B42819">
        <w:trPr>
          <w:jc w:val="center"/>
        </w:trPr>
        <w:tc>
          <w:tcPr>
            <w:tcW w:w="4968" w:type="dxa"/>
          </w:tcPr>
          <w:p w14:paraId="141BFDF0"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b/>
                <w:sz w:val="18"/>
              </w:rPr>
              <w:t>Average monthly income</w:t>
            </w:r>
          </w:p>
        </w:tc>
        <w:tc>
          <w:tcPr>
            <w:tcW w:w="4968" w:type="dxa"/>
          </w:tcPr>
          <w:p w14:paraId="10E98E32" w14:textId="77777777" w:rsidR="00BD1A1F" w:rsidRPr="00E845D3" w:rsidRDefault="00BD1A1F" w:rsidP="00B42819">
            <w:pPr>
              <w:spacing w:line="360" w:lineRule="auto"/>
              <w:rPr>
                <w:rFonts w:asciiTheme="majorHAnsi" w:hAnsiTheme="majorHAnsi" w:cstheme="majorHAnsi"/>
              </w:rPr>
            </w:pPr>
          </w:p>
        </w:tc>
      </w:tr>
      <w:tr w:rsidR="00BD1A1F" w:rsidRPr="00E845D3" w14:paraId="3FD1D88D" w14:textId="77777777" w:rsidTr="00B42819">
        <w:trPr>
          <w:jc w:val="center"/>
        </w:trPr>
        <w:tc>
          <w:tcPr>
            <w:tcW w:w="4968" w:type="dxa"/>
          </w:tcPr>
          <w:p w14:paraId="1AFFCD56"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No income</w:t>
            </w:r>
          </w:p>
        </w:tc>
        <w:tc>
          <w:tcPr>
            <w:tcW w:w="4968" w:type="dxa"/>
          </w:tcPr>
          <w:p w14:paraId="62750F1E"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38 (32.5%)</w:t>
            </w:r>
          </w:p>
        </w:tc>
      </w:tr>
      <w:tr w:rsidR="00BD1A1F" w:rsidRPr="00E845D3" w14:paraId="793270F6" w14:textId="77777777" w:rsidTr="00B42819">
        <w:trPr>
          <w:jc w:val="center"/>
        </w:trPr>
        <w:tc>
          <w:tcPr>
            <w:tcW w:w="4968" w:type="dxa"/>
          </w:tcPr>
          <w:p w14:paraId="706D6D37"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Less than N100,000</w:t>
            </w:r>
          </w:p>
        </w:tc>
        <w:tc>
          <w:tcPr>
            <w:tcW w:w="4968" w:type="dxa"/>
          </w:tcPr>
          <w:p w14:paraId="3103C893"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34 (29.1%)</w:t>
            </w:r>
          </w:p>
        </w:tc>
      </w:tr>
      <w:tr w:rsidR="00BD1A1F" w:rsidRPr="00E845D3" w14:paraId="08EC97DC" w14:textId="77777777" w:rsidTr="00B42819">
        <w:trPr>
          <w:jc w:val="center"/>
        </w:trPr>
        <w:tc>
          <w:tcPr>
            <w:tcW w:w="4968" w:type="dxa"/>
          </w:tcPr>
          <w:p w14:paraId="1F248B19"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N100,000–N200,000</w:t>
            </w:r>
          </w:p>
        </w:tc>
        <w:tc>
          <w:tcPr>
            <w:tcW w:w="4968" w:type="dxa"/>
          </w:tcPr>
          <w:p w14:paraId="57F91021"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19 (16.2%)</w:t>
            </w:r>
          </w:p>
        </w:tc>
      </w:tr>
      <w:tr w:rsidR="00BD1A1F" w:rsidRPr="00E845D3" w14:paraId="0D794BFF" w14:textId="77777777" w:rsidTr="00B42819">
        <w:trPr>
          <w:jc w:val="center"/>
        </w:trPr>
        <w:tc>
          <w:tcPr>
            <w:tcW w:w="4968" w:type="dxa"/>
          </w:tcPr>
          <w:p w14:paraId="778A8C8A"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N200,001–N300,000</w:t>
            </w:r>
          </w:p>
        </w:tc>
        <w:tc>
          <w:tcPr>
            <w:tcW w:w="4968" w:type="dxa"/>
          </w:tcPr>
          <w:p w14:paraId="193E7E20"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7 (6.0%)</w:t>
            </w:r>
          </w:p>
        </w:tc>
      </w:tr>
      <w:tr w:rsidR="00BD1A1F" w:rsidRPr="00E845D3" w14:paraId="3362B7C4" w14:textId="77777777" w:rsidTr="00B42819">
        <w:trPr>
          <w:jc w:val="center"/>
        </w:trPr>
        <w:tc>
          <w:tcPr>
            <w:tcW w:w="4968" w:type="dxa"/>
          </w:tcPr>
          <w:p w14:paraId="01653C39"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N300,001–N400,000</w:t>
            </w:r>
          </w:p>
        </w:tc>
        <w:tc>
          <w:tcPr>
            <w:tcW w:w="4968" w:type="dxa"/>
          </w:tcPr>
          <w:p w14:paraId="23C40E3B"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3 (2.6%)</w:t>
            </w:r>
          </w:p>
        </w:tc>
      </w:tr>
      <w:tr w:rsidR="00BD1A1F" w:rsidRPr="00E845D3" w14:paraId="7DFF743F" w14:textId="77777777" w:rsidTr="00B42819">
        <w:trPr>
          <w:jc w:val="center"/>
        </w:trPr>
        <w:tc>
          <w:tcPr>
            <w:tcW w:w="4968" w:type="dxa"/>
          </w:tcPr>
          <w:p w14:paraId="6D30A05F"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N400,001–N500,000</w:t>
            </w:r>
          </w:p>
        </w:tc>
        <w:tc>
          <w:tcPr>
            <w:tcW w:w="4968" w:type="dxa"/>
          </w:tcPr>
          <w:p w14:paraId="7D854D9D"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1 (0.9%)</w:t>
            </w:r>
          </w:p>
        </w:tc>
      </w:tr>
      <w:tr w:rsidR="00BD1A1F" w:rsidRPr="00E845D3" w14:paraId="55388E1C" w14:textId="77777777" w:rsidTr="00B42819">
        <w:trPr>
          <w:jc w:val="center"/>
        </w:trPr>
        <w:tc>
          <w:tcPr>
            <w:tcW w:w="4968" w:type="dxa"/>
          </w:tcPr>
          <w:p w14:paraId="4C1B8A99"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More than N500,000</w:t>
            </w:r>
          </w:p>
        </w:tc>
        <w:tc>
          <w:tcPr>
            <w:tcW w:w="4968" w:type="dxa"/>
          </w:tcPr>
          <w:p w14:paraId="57A0F735"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5 (4.3%)</w:t>
            </w:r>
          </w:p>
        </w:tc>
      </w:tr>
      <w:tr w:rsidR="00BD1A1F" w:rsidRPr="00E845D3" w14:paraId="2FB81FC4" w14:textId="77777777" w:rsidTr="00B42819">
        <w:trPr>
          <w:jc w:val="center"/>
        </w:trPr>
        <w:tc>
          <w:tcPr>
            <w:tcW w:w="4968" w:type="dxa"/>
          </w:tcPr>
          <w:p w14:paraId="75B0AA8D"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Prefer not to say</w:t>
            </w:r>
          </w:p>
        </w:tc>
        <w:tc>
          <w:tcPr>
            <w:tcW w:w="4968" w:type="dxa"/>
          </w:tcPr>
          <w:p w14:paraId="158BD005"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10 (8.5%)</w:t>
            </w:r>
          </w:p>
        </w:tc>
      </w:tr>
      <w:tr w:rsidR="00BD1A1F" w:rsidRPr="00E845D3" w14:paraId="276FF11E" w14:textId="77777777" w:rsidTr="00B42819">
        <w:trPr>
          <w:jc w:val="center"/>
        </w:trPr>
        <w:tc>
          <w:tcPr>
            <w:tcW w:w="4968" w:type="dxa"/>
          </w:tcPr>
          <w:p w14:paraId="45A774C6" w14:textId="27A36280" w:rsidR="00BD1A1F" w:rsidRPr="00E845D3" w:rsidRDefault="00F346B0" w:rsidP="00B42819">
            <w:pPr>
              <w:spacing w:line="360" w:lineRule="auto"/>
              <w:rPr>
                <w:rFonts w:asciiTheme="majorHAnsi" w:hAnsiTheme="majorHAnsi" w:cstheme="majorHAnsi"/>
              </w:rPr>
            </w:pPr>
            <w:proofErr w:type="spellStart"/>
            <w:r w:rsidRPr="00E845D3">
              <w:rPr>
                <w:rFonts w:asciiTheme="majorHAnsi" w:hAnsiTheme="majorHAnsi" w:cstheme="majorHAnsi"/>
                <w:b/>
                <w:sz w:val="18"/>
              </w:rPr>
              <w:t>Haemoglobin</w:t>
            </w:r>
            <w:proofErr w:type="spellEnd"/>
            <w:r w:rsidRPr="00E845D3">
              <w:rPr>
                <w:rFonts w:asciiTheme="majorHAnsi" w:hAnsiTheme="majorHAnsi" w:cstheme="majorHAnsi"/>
                <w:b/>
                <w:sz w:val="18"/>
              </w:rPr>
              <w:t xml:space="preserve"> </w:t>
            </w:r>
            <w:proofErr w:type="spellStart"/>
            <w:r w:rsidRPr="00E845D3">
              <w:rPr>
                <w:rFonts w:asciiTheme="majorHAnsi" w:hAnsiTheme="majorHAnsi" w:cstheme="majorHAnsi"/>
                <w:b/>
                <w:sz w:val="18"/>
              </w:rPr>
              <w:t>P</w:t>
            </w:r>
            <w:r w:rsidR="00BD1A1F" w:rsidRPr="00E845D3">
              <w:rPr>
                <w:rFonts w:asciiTheme="majorHAnsi" w:hAnsiTheme="majorHAnsi" w:cstheme="majorHAnsi"/>
                <w:b/>
                <w:sz w:val="18"/>
              </w:rPr>
              <w:t>enotype</w:t>
            </w:r>
            <w:proofErr w:type="spellEnd"/>
          </w:p>
        </w:tc>
        <w:tc>
          <w:tcPr>
            <w:tcW w:w="4968" w:type="dxa"/>
          </w:tcPr>
          <w:p w14:paraId="4437B036" w14:textId="77777777" w:rsidR="00BD1A1F" w:rsidRPr="00E845D3" w:rsidRDefault="00BD1A1F" w:rsidP="00B42819">
            <w:pPr>
              <w:spacing w:line="360" w:lineRule="auto"/>
              <w:rPr>
                <w:rFonts w:asciiTheme="majorHAnsi" w:hAnsiTheme="majorHAnsi" w:cstheme="majorHAnsi"/>
              </w:rPr>
            </w:pPr>
          </w:p>
        </w:tc>
      </w:tr>
      <w:tr w:rsidR="00BD1A1F" w:rsidRPr="00E845D3" w14:paraId="043C8544" w14:textId="77777777" w:rsidTr="00B42819">
        <w:trPr>
          <w:jc w:val="center"/>
        </w:trPr>
        <w:tc>
          <w:tcPr>
            <w:tcW w:w="4968" w:type="dxa"/>
          </w:tcPr>
          <w:p w14:paraId="0C81DC26"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w:t>
            </w:r>
            <w:proofErr w:type="spellStart"/>
            <w:r w:rsidRPr="00E845D3">
              <w:rPr>
                <w:rFonts w:asciiTheme="majorHAnsi" w:hAnsiTheme="majorHAnsi" w:cstheme="majorHAnsi"/>
                <w:sz w:val="18"/>
              </w:rPr>
              <w:t>HbSS</w:t>
            </w:r>
            <w:proofErr w:type="spellEnd"/>
          </w:p>
        </w:tc>
        <w:tc>
          <w:tcPr>
            <w:tcW w:w="4968" w:type="dxa"/>
          </w:tcPr>
          <w:p w14:paraId="6CE765E2"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91 (77.8%)</w:t>
            </w:r>
          </w:p>
        </w:tc>
      </w:tr>
      <w:tr w:rsidR="00BD1A1F" w:rsidRPr="00E845D3" w14:paraId="34EF66D8" w14:textId="77777777" w:rsidTr="00B42819">
        <w:trPr>
          <w:jc w:val="center"/>
        </w:trPr>
        <w:tc>
          <w:tcPr>
            <w:tcW w:w="4968" w:type="dxa"/>
          </w:tcPr>
          <w:p w14:paraId="20D1466A"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w:t>
            </w:r>
            <w:proofErr w:type="spellStart"/>
            <w:r w:rsidRPr="00E845D3">
              <w:rPr>
                <w:rFonts w:asciiTheme="majorHAnsi" w:hAnsiTheme="majorHAnsi" w:cstheme="majorHAnsi"/>
                <w:sz w:val="18"/>
              </w:rPr>
              <w:t>HbSC</w:t>
            </w:r>
            <w:proofErr w:type="spellEnd"/>
          </w:p>
        </w:tc>
        <w:tc>
          <w:tcPr>
            <w:tcW w:w="4968" w:type="dxa"/>
          </w:tcPr>
          <w:p w14:paraId="178719A4"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20 (17.1%)</w:t>
            </w:r>
          </w:p>
        </w:tc>
      </w:tr>
      <w:tr w:rsidR="00BD1A1F" w:rsidRPr="00E845D3" w14:paraId="413C1512" w14:textId="77777777" w:rsidTr="00B42819">
        <w:trPr>
          <w:jc w:val="center"/>
        </w:trPr>
        <w:tc>
          <w:tcPr>
            <w:tcW w:w="4968" w:type="dxa"/>
          </w:tcPr>
          <w:p w14:paraId="5F494422"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w:t>
            </w:r>
            <w:proofErr w:type="spellStart"/>
            <w:r w:rsidRPr="00E845D3">
              <w:rPr>
                <w:rFonts w:asciiTheme="majorHAnsi" w:hAnsiTheme="majorHAnsi" w:cstheme="majorHAnsi"/>
                <w:sz w:val="18"/>
              </w:rPr>
              <w:t>HbS</w:t>
            </w:r>
            <w:proofErr w:type="spellEnd"/>
            <w:r w:rsidRPr="00E845D3">
              <w:rPr>
                <w:rFonts w:asciiTheme="majorHAnsi" w:hAnsiTheme="majorHAnsi" w:cstheme="majorHAnsi"/>
                <w:sz w:val="18"/>
              </w:rPr>
              <w:t>β-thalassaemia</w:t>
            </w:r>
          </w:p>
        </w:tc>
        <w:tc>
          <w:tcPr>
            <w:tcW w:w="4968" w:type="dxa"/>
          </w:tcPr>
          <w:p w14:paraId="18C7BA20"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1 (0.9%)</w:t>
            </w:r>
          </w:p>
        </w:tc>
      </w:tr>
      <w:tr w:rsidR="00BD1A1F" w:rsidRPr="00E845D3" w14:paraId="08F07BDC" w14:textId="77777777" w:rsidTr="00B42819">
        <w:trPr>
          <w:jc w:val="center"/>
        </w:trPr>
        <w:tc>
          <w:tcPr>
            <w:tcW w:w="4968" w:type="dxa"/>
          </w:tcPr>
          <w:p w14:paraId="39013D43"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Other</w:t>
            </w:r>
          </w:p>
        </w:tc>
        <w:tc>
          <w:tcPr>
            <w:tcW w:w="4968" w:type="dxa"/>
          </w:tcPr>
          <w:p w14:paraId="7F98187D"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3 (2.6%)</w:t>
            </w:r>
          </w:p>
        </w:tc>
      </w:tr>
      <w:tr w:rsidR="00BD1A1F" w:rsidRPr="00E845D3" w14:paraId="5CAA05DC" w14:textId="77777777" w:rsidTr="00B42819">
        <w:trPr>
          <w:jc w:val="center"/>
        </w:trPr>
        <w:tc>
          <w:tcPr>
            <w:tcW w:w="4968" w:type="dxa"/>
          </w:tcPr>
          <w:p w14:paraId="0CCC518F"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Do not know</w:t>
            </w:r>
          </w:p>
        </w:tc>
        <w:tc>
          <w:tcPr>
            <w:tcW w:w="4968" w:type="dxa"/>
          </w:tcPr>
          <w:p w14:paraId="15619BFD"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2 (1.7%)</w:t>
            </w:r>
          </w:p>
        </w:tc>
      </w:tr>
      <w:tr w:rsidR="00BD1A1F" w:rsidRPr="00E845D3" w14:paraId="411FB67A" w14:textId="77777777" w:rsidTr="00B42819">
        <w:trPr>
          <w:jc w:val="center"/>
        </w:trPr>
        <w:tc>
          <w:tcPr>
            <w:tcW w:w="4968" w:type="dxa"/>
          </w:tcPr>
          <w:p w14:paraId="01AFB7AC"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b/>
                <w:sz w:val="18"/>
              </w:rPr>
              <w:t>Painful crises in last 12 months</w:t>
            </w:r>
          </w:p>
        </w:tc>
        <w:tc>
          <w:tcPr>
            <w:tcW w:w="4968" w:type="dxa"/>
          </w:tcPr>
          <w:p w14:paraId="4D25E06E" w14:textId="77777777" w:rsidR="00BD1A1F" w:rsidRPr="00E845D3" w:rsidRDefault="00BD1A1F" w:rsidP="00B42819">
            <w:pPr>
              <w:spacing w:line="360" w:lineRule="auto"/>
              <w:rPr>
                <w:rFonts w:asciiTheme="majorHAnsi" w:hAnsiTheme="majorHAnsi" w:cstheme="majorHAnsi"/>
              </w:rPr>
            </w:pPr>
          </w:p>
        </w:tc>
      </w:tr>
      <w:tr w:rsidR="00BD1A1F" w:rsidRPr="00E845D3" w14:paraId="31EABEF0" w14:textId="77777777" w:rsidTr="00B42819">
        <w:trPr>
          <w:jc w:val="center"/>
        </w:trPr>
        <w:tc>
          <w:tcPr>
            <w:tcW w:w="4968" w:type="dxa"/>
          </w:tcPr>
          <w:p w14:paraId="78A840FB"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1–2</w:t>
            </w:r>
          </w:p>
        </w:tc>
        <w:tc>
          <w:tcPr>
            <w:tcW w:w="4968" w:type="dxa"/>
          </w:tcPr>
          <w:p w14:paraId="69D1D524"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46 (45.5%)</w:t>
            </w:r>
          </w:p>
        </w:tc>
      </w:tr>
      <w:tr w:rsidR="00BD1A1F" w:rsidRPr="00E845D3" w14:paraId="44CCA723" w14:textId="77777777" w:rsidTr="00B42819">
        <w:trPr>
          <w:jc w:val="center"/>
        </w:trPr>
        <w:tc>
          <w:tcPr>
            <w:tcW w:w="4968" w:type="dxa"/>
          </w:tcPr>
          <w:p w14:paraId="15ABD681"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3–5</w:t>
            </w:r>
          </w:p>
        </w:tc>
        <w:tc>
          <w:tcPr>
            <w:tcW w:w="4968" w:type="dxa"/>
          </w:tcPr>
          <w:p w14:paraId="7C50DA1E"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29 (28.7%)</w:t>
            </w:r>
          </w:p>
        </w:tc>
      </w:tr>
      <w:tr w:rsidR="00BD1A1F" w:rsidRPr="00E845D3" w14:paraId="6EDE2A12" w14:textId="77777777" w:rsidTr="00B42819">
        <w:trPr>
          <w:jc w:val="center"/>
        </w:trPr>
        <w:tc>
          <w:tcPr>
            <w:tcW w:w="4968" w:type="dxa"/>
          </w:tcPr>
          <w:p w14:paraId="7A34B577"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&gt;5</w:t>
            </w:r>
          </w:p>
        </w:tc>
        <w:tc>
          <w:tcPr>
            <w:tcW w:w="4968" w:type="dxa"/>
          </w:tcPr>
          <w:p w14:paraId="53228892"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26 (25.7%)</w:t>
            </w:r>
          </w:p>
        </w:tc>
      </w:tr>
      <w:tr w:rsidR="00BD1A1F" w:rsidRPr="00E845D3" w14:paraId="13DA8534" w14:textId="77777777" w:rsidTr="00B42819">
        <w:trPr>
          <w:jc w:val="center"/>
        </w:trPr>
        <w:tc>
          <w:tcPr>
            <w:tcW w:w="4968" w:type="dxa"/>
          </w:tcPr>
          <w:p w14:paraId="5C00D6FE" w14:textId="40CADA2A"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w:t>
            </w:r>
            <w:r w:rsidR="00F346B0" w:rsidRPr="00E845D3">
              <w:rPr>
                <w:rFonts w:asciiTheme="majorHAnsi" w:hAnsiTheme="majorHAnsi" w:cstheme="majorHAnsi"/>
                <w:sz w:val="18"/>
              </w:rPr>
              <w:t>No response</w:t>
            </w:r>
          </w:p>
        </w:tc>
        <w:tc>
          <w:tcPr>
            <w:tcW w:w="4968" w:type="dxa"/>
          </w:tcPr>
          <w:p w14:paraId="2744C230"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16 (13.7%)</w:t>
            </w:r>
          </w:p>
        </w:tc>
      </w:tr>
      <w:tr w:rsidR="00BD1A1F" w:rsidRPr="00E845D3" w14:paraId="1BC9FDC9" w14:textId="77777777" w:rsidTr="00B42819">
        <w:trPr>
          <w:jc w:val="center"/>
        </w:trPr>
        <w:tc>
          <w:tcPr>
            <w:tcW w:w="4968" w:type="dxa"/>
          </w:tcPr>
          <w:p w14:paraId="4134E698" w14:textId="6A93DBFA"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b/>
                <w:sz w:val="18"/>
              </w:rPr>
              <w:t xml:space="preserve">Hospital admissions in </w:t>
            </w:r>
            <w:r w:rsidR="00F346B0" w:rsidRPr="00E845D3">
              <w:rPr>
                <w:rFonts w:asciiTheme="majorHAnsi" w:hAnsiTheme="majorHAnsi" w:cstheme="majorHAnsi"/>
                <w:b/>
                <w:sz w:val="18"/>
              </w:rPr>
              <w:t>preceding</w:t>
            </w:r>
            <w:r w:rsidRPr="00E845D3">
              <w:rPr>
                <w:rFonts w:asciiTheme="majorHAnsi" w:hAnsiTheme="majorHAnsi" w:cstheme="majorHAnsi"/>
                <w:b/>
                <w:sz w:val="18"/>
              </w:rPr>
              <w:t xml:space="preserve"> 12 months</w:t>
            </w:r>
          </w:p>
        </w:tc>
        <w:tc>
          <w:tcPr>
            <w:tcW w:w="4968" w:type="dxa"/>
          </w:tcPr>
          <w:p w14:paraId="257F32BB" w14:textId="77777777" w:rsidR="00BD1A1F" w:rsidRPr="00E845D3" w:rsidRDefault="00BD1A1F" w:rsidP="00B42819">
            <w:pPr>
              <w:spacing w:line="360" w:lineRule="auto"/>
              <w:rPr>
                <w:rFonts w:asciiTheme="majorHAnsi" w:hAnsiTheme="majorHAnsi" w:cstheme="majorHAnsi"/>
              </w:rPr>
            </w:pPr>
          </w:p>
        </w:tc>
      </w:tr>
      <w:tr w:rsidR="00BD1A1F" w:rsidRPr="00E845D3" w14:paraId="7F41FC05" w14:textId="77777777" w:rsidTr="00B42819">
        <w:trPr>
          <w:jc w:val="center"/>
        </w:trPr>
        <w:tc>
          <w:tcPr>
            <w:tcW w:w="4968" w:type="dxa"/>
          </w:tcPr>
          <w:p w14:paraId="2F19D74C"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0</w:t>
            </w:r>
          </w:p>
        </w:tc>
        <w:tc>
          <w:tcPr>
            <w:tcW w:w="4968" w:type="dxa"/>
          </w:tcPr>
          <w:p w14:paraId="0D6538D5"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39 (33.3%)</w:t>
            </w:r>
          </w:p>
        </w:tc>
      </w:tr>
      <w:tr w:rsidR="00BD1A1F" w:rsidRPr="00E845D3" w14:paraId="7967A3BC" w14:textId="77777777" w:rsidTr="00B42819">
        <w:trPr>
          <w:jc w:val="center"/>
        </w:trPr>
        <w:tc>
          <w:tcPr>
            <w:tcW w:w="4968" w:type="dxa"/>
          </w:tcPr>
          <w:p w14:paraId="216E584F"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1</w:t>
            </w:r>
          </w:p>
        </w:tc>
        <w:tc>
          <w:tcPr>
            <w:tcW w:w="4968" w:type="dxa"/>
          </w:tcPr>
          <w:p w14:paraId="213E985B"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32 (27.4%)</w:t>
            </w:r>
          </w:p>
        </w:tc>
      </w:tr>
      <w:tr w:rsidR="00BD1A1F" w:rsidRPr="00E845D3" w14:paraId="28D89588" w14:textId="77777777" w:rsidTr="00B42819">
        <w:trPr>
          <w:jc w:val="center"/>
        </w:trPr>
        <w:tc>
          <w:tcPr>
            <w:tcW w:w="4968" w:type="dxa"/>
          </w:tcPr>
          <w:p w14:paraId="18016AD8"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2–3</w:t>
            </w:r>
          </w:p>
        </w:tc>
        <w:tc>
          <w:tcPr>
            <w:tcW w:w="4968" w:type="dxa"/>
          </w:tcPr>
          <w:p w14:paraId="096CAA94"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23 (19.7%)</w:t>
            </w:r>
          </w:p>
        </w:tc>
      </w:tr>
      <w:tr w:rsidR="00BD1A1F" w:rsidRPr="00E845D3" w14:paraId="7A7D86B4" w14:textId="77777777" w:rsidTr="00B42819">
        <w:trPr>
          <w:jc w:val="center"/>
        </w:trPr>
        <w:tc>
          <w:tcPr>
            <w:tcW w:w="4968" w:type="dxa"/>
          </w:tcPr>
          <w:p w14:paraId="17ED4ADD"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&gt;3</w:t>
            </w:r>
          </w:p>
        </w:tc>
        <w:tc>
          <w:tcPr>
            <w:tcW w:w="4968" w:type="dxa"/>
          </w:tcPr>
          <w:p w14:paraId="055DCC91"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23 (19.7%)</w:t>
            </w:r>
          </w:p>
        </w:tc>
      </w:tr>
      <w:tr w:rsidR="00BD1A1F" w:rsidRPr="00E845D3" w14:paraId="68FDFD08" w14:textId="77777777" w:rsidTr="00B42819">
        <w:trPr>
          <w:jc w:val="center"/>
        </w:trPr>
        <w:tc>
          <w:tcPr>
            <w:tcW w:w="4968" w:type="dxa"/>
          </w:tcPr>
          <w:p w14:paraId="3CA591CA"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b/>
                <w:sz w:val="18"/>
              </w:rPr>
              <w:lastRenderedPageBreak/>
              <w:t>Ever transfused</w:t>
            </w:r>
          </w:p>
        </w:tc>
        <w:tc>
          <w:tcPr>
            <w:tcW w:w="4968" w:type="dxa"/>
          </w:tcPr>
          <w:p w14:paraId="36D6C986" w14:textId="77777777" w:rsidR="00BD1A1F" w:rsidRPr="00E845D3" w:rsidRDefault="00BD1A1F" w:rsidP="00B42819">
            <w:pPr>
              <w:spacing w:line="360" w:lineRule="auto"/>
              <w:rPr>
                <w:rFonts w:asciiTheme="majorHAnsi" w:hAnsiTheme="majorHAnsi" w:cstheme="majorHAnsi"/>
              </w:rPr>
            </w:pPr>
          </w:p>
        </w:tc>
      </w:tr>
      <w:tr w:rsidR="00BD1A1F" w:rsidRPr="00E845D3" w14:paraId="5EDDAEF3" w14:textId="77777777" w:rsidTr="00B42819">
        <w:trPr>
          <w:jc w:val="center"/>
        </w:trPr>
        <w:tc>
          <w:tcPr>
            <w:tcW w:w="4968" w:type="dxa"/>
          </w:tcPr>
          <w:p w14:paraId="72E11690"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Yes</w:t>
            </w:r>
          </w:p>
        </w:tc>
        <w:tc>
          <w:tcPr>
            <w:tcW w:w="4968" w:type="dxa"/>
          </w:tcPr>
          <w:p w14:paraId="402B796A"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87 (74.4%)</w:t>
            </w:r>
          </w:p>
        </w:tc>
      </w:tr>
      <w:tr w:rsidR="00BD1A1F" w:rsidRPr="00E845D3" w14:paraId="51E033ED" w14:textId="77777777" w:rsidTr="00B42819">
        <w:trPr>
          <w:jc w:val="center"/>
        </w:trPr>
        <w:tc>
          <w:tcPr>
            <w:tcW w:w="4968" w:type="dxa"/>
          </w:tcPr>
          <w:p w14:paraId="798D7924"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No</w:t>
            </w:r>
          </w:p>
        </w:tc>
        <w:tc>
          <w:tcPr>
            <w:tcW w:w="4968" w:type="dxa"/>
          </w:tcPr>
          <w:p w14:paraId="436D4440"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30 (25.6%)</w:t>
            </w:r>
          </w:p>
        </w:tc>
      </w:tr>
    </w:tbl>
    <w:p w14:paraId="2134DB6C" w14:textId="77777777" w:rsidR="00BD1A1F" w:rsidRPr="00E845D3" w:rsidRDefault="00BD1A1F" w:rsidP="00BD1A1F">
      <w:pPr>
        <w:spacing w:line="360" w:lineRule="auto"/>
        <w:rPr>
          <w:rFonts w:asciiTheme="majorHAnsi" w:hAnsiTheme="majorHAnsi" w:cstheme="majorHAnsi"/>
        </w:rPr>
      </w:pPr>
      <w:r w:rsidRPr="00E845D3">
        <w:rPr>
          <w:rFonts w:asciiTheme="majorHAnsi" w:hAnsiTheme="majorHAnsi" w:cstheme="majorHAnsi"/>
        </w:rPr>
        <w:t>Data are presented as n (%) unless otherwise stated. Percentages for painful-crisis categories are based on non-missing responses for that item.</w:t>
      </w:r>
    </w:p>
    <w:p w14:paraId="6E1B2B19" w14:textId="77777777" w:rsidR="00705A59" w:rsidRPr="00E845D3" w:rsidRDefault="00705A59" w:rsidP="00705A59">
      <w:pPr>
        <w:spacing w:line="360" w:lineRule="auto"/>
        <w:rPr>
          <w:rFonts w:asciiTheme="majorHAnsi" w:hAnsiTheme="majorHAnsi" w:cstheme="majorHAnsi"/>
        </w:rPr>
      </w:pPr>
      <w:r w:rsidRPr="00E845D3">
        <w:rPr>
          <w:rFonts w:asciiTheme="majorHAnsi" w:hAnsiTheme="majorHAnsi" w:cstheme="majorHAnsi"/>
          <w:noProof/>
        </w:rPr>
        <w:drawing>
          <wp:inline distT="0" distB="0" distL="0" distR="0" wp14:anchorId="0292742B" wp14:editId="7971B243">
            <wp:extent cx="6035040" cy="3195021"/>
            <wp:effectExtent l="0" t="0" r="0" b="0"/>
            <wp:docPr id="1" name="Picture 1" descr="The diagram illustrates the distribution of respondents' awareness and usage of hydroxyurea, with percentages indicating awareness, usage, and adhere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diagram illustrates the distribution of respondents' awareness and usage of hydroxyurea, with percentages indicating awareness, usage, and adherence.&#10;&#10;AI-generated content may be incorrect."/>
                    <pic:cNvPicPr/>
                  </pic:nvPicPr>
                  <pic:blipFill>
                    <a:blip r:embed="rId8"/>
                    <a:stretch>
                      <a:fillRect/>
                    </a:stretch>
                  </pic:blipFill>
                  <pic:spPr>
                    <a:xfrm>
                      <a:off x="0" y="0"/>
                      <a:ext cx="6035040" cy="3195021"/>
                    </a:xfrm>
                    <a:prstGeom prst="rect">
                      <a:avLst/>
                    </a:prstGeom>
                  </pic:spPr>
                </pic:pic>
              </a:graphicData>
            </a:graphic>
          </wp:inline>
        </w:drawing>
      </w:r>
    </w:p>
    <w:p w14:paraId="23515765" w14:textId="77777777" w:rsidR="00705A59" w:rsidRPr="00E845D3" w:rsidRDefault="00705A59" w:rsidP="00705A59">
      <w:pPr>
        <w:spacing w:line="360" w:lineRule="auto"/>
        <w:rPr>
          <w:rFonts w:asciiTheme="majorHAnsi" w:hAnsiTheme="majorHAnsi" w:cstheme="majorHAnsi"/>
        </w:rPr>
      </w:pPr>
      <w:r w:rsidRPr="00E845D3">
        <w:rPr>
          <w:rFonts w:asciiTheme="majorHAnsi" w:hAnsiTheme="majorHAnsi" w:cstheme="majorHAnsi"/>
        </w:rPr>
        <w:t>Figure 1. Hydroxyurea access cascade. The cascade demonstrates attrition from awareness to ever-use, current use, and full adherence, highlighting the distinction between drug availability and successful long-term treatment exposure.</w:t>
      </w:r>
    </w:p>
    <w:p w14:paraId="6DB838E8" w14:textId="77777777" w:rsidR="00BD1A1F" w:rsidRPr="00E845D3" w:rsidRDefault="00BD1A1F" w:rsidP="0087275B">
      <w:pPr>
        <w:spacing w:line="360" w:lineRule="auto"/>
        <w:jc w:val="both"/>
        <w:rPr>
          <w:rFonts w:asciiTheme="majorHAnsi" w:hAnsiTheme="majorHAnsi" w:cstheme="majorHAnsi"/>
          <w:sz w:val="24"/>
          <w:szCs w:val="24"/>
        </w:rPr>
      </w:pPr>
    </w:p>
    <w:p w14:paraId="655E9803" w14:textId="06C221A9" w:rsidR="006D0E01" w:rsidRPr="00E845D3" w:rsidRDefault="00305C7D" w:rsidP="0087275B">
      <w:pPr>
        <w:spacing w:line="360" w:lineRule="auto"/>
        <w:jc w:val="both"/>
        <w:rPr>
          <w:rFonts w:asciiTheme="majorHAnsi" w:hAnsiTheme="majorHAnsi" w:cstheme="majorHAnsi"/>
          <w:sz w:val="24"/>
          <w:szCs w:val="24"/>
        </w:rPr>
      </w:pPr>
      <w:r w:rsidRPr="00E845D3">
        <w:rPr>
          <w:rFonts w:asciiTheme="majorHAnsi" w:hAnsiTheme="majorHAnsi" w:cstheme="majorHAnsi"/>
          <w:sz w:val="24"/>
          <w:szCs w:val="24"/>
        </w:rPr>
        <w:t xml:space="preserve">Of the 117 respondents, 109 (93.2%) were aware of hydroxyurea and 67 (57.3%) had </w:t>
      </w:r>
      <w:r w:rsidR="007B2C2F" w:rsidRPr="00E845D3">
        <w:rPr>
          <w:rFonts w:asciiTheme="majorHAnsi" w:hAnsiTheme="majorHAnsi" w:cstheme="majorHAnsi"/>
          <w:sz w:val="24"/>
          <w:szCs w:val="24"/>
        </w:rPr>
        <w:t>previously used it (ever-users)</w:t>
      </w:r>
      <w:r w:rsidRPr="00E845D3">
        <w:rPr>
          <w:rFonts w:asciiTheme="majorHAnsi" w:hAnsiTheme="majorHAnsi" w:cstheme="majorHAnsi"/>
          <w:sz w:val="24"/>
          <w:szCs w:val="24"/>
        </w:rPr>
        <w:t xml:space="preserve">. </w:t>
      </w:r>
      <w:r w:rsidR="00A2408B" w:rsidRPr="00E845D3">
        <w:rPr>
          <w:rFonts w:asciiTheme="majorHAnsi" w:hAnsiTheme="majorHAnsi" w:cstheme="majorHAnsi"/>
          <w:sz w:val="24"/>
          <w:szCs w:val="24"/>
        </w:rPr>
        <w:t>Of the 67 ever-users of hydroxyurea, 50 (74.6% of ever-users and 42.7% of all respondents) were current users</w:t>
      </w:r>
      <w:r w:rsidR="00837D25">
        <w:rPr>
          <w:rFonts w:asciiTheme="majorHAnsi" w:hAnsiTheme="majorHAnsi" w:cstheme="majorHAnsi"/>
          <w:sz w:val="24"/>
          <w:szCs w:val="24"/>
        </w:rPr>
        <w:t>,</w:t>
      </w:r>
      <w:r w:rsidR="00A2408B" w:rsidRPr="00E845D3">
        <w:rPr>
          <w:rFonts w:asciiTheme="majorHAnsi" w:hAnsiTheme="majorHAnsi" w:cstheme="majorHAnsi"/>
          <w:sz w:val="24"/>
          <w:szCs w:val="24"/>
        </w:rPr>
        <w:t xml:space="preserve"> while 17</w:t>
      </w:r>
      <w:r w:rsidRPr="00E845D3">
        <w:rPr>
          <w:rFonts w:asciiTheme="majorHAnsi" w:hAnsiTheme="majorHAnsi" w:cstheme="majorHAnsi"/>
          <w:sz w:val="24"/>
          <w:szCs w:val="24"/>
        </w:rPr>
        <w:t xml:space="preserve"> </w:t>
      </w:r>
      <w:r w:rsidR="00A2408B" w:rsidRPr="00E845D3">
        <w:rPr>
          <w:rFonts w:asciiTheme="majorHAnsi" w:hAnsiTheme="majorHAnsi" w:cstheme="majorHAnsi"/>
          <w:sz w:val="24"/>
          <w:szCs w:val="24"/>
        </w:rPr>
        <w:t xml:space="preserve">(25.4% of ever-users and 14.5% of all responders) </w:t>
      </w:r>
      <w:r w:rsidRPr="00E845D3">
        <w:rPr>
          <w:rFonts w:asciiTheme="majorHAnsi" w:hAnsiTheme="majorHAnsi" w:cstheme="majorHAnsi"/>
          <w:sz w:val="24"/>
          <w:szCs w:val="24"/>
        </w:rPr>
        <w:t>had discontinued hydroxyurea</w:t>
      </w:r>
      <w:r w:rsidR="00A2408B" w:rsidRPr="00E845D3">
        <w:rPr>
          <w:rFonts w:asciiTheme="majorHAnsi" w:hAnsiTheme="majorHAnsi" w:cstheme="majorHAnsi"/>
          <w:sz w:val="24"/>
          <w:szCs w:val="24"/>
        </w:rPr>
        <w:t xml:space="preserve"> therapy. </w:t>
      </w:r>
      <w:r w:rsidRPr="00E845D3">
        <w:rPr>
          <w:rFonts w:asciiTheme="majorHAnsi" w:hAnsiTheme="majorHAnsi" w:cstheme="majorHAnsi"/>
          <w:sz w:val="24"/>
          <w:szCs w:val="24"/>
        </w:rPr>
        <w:t xml:space="preserve">Eight (6.8%) had never heard of hydroxyurea. </w:t>
      </w:r>
      <w:r w:rsidR="00DA331C" w:rsidRPr="00E845D3">
        <w:rPr>
          <w:rFonts w:asciiTheme="majorHAnsi" w:hAnsiTheme="majorHAnsi" w:cstheme="majorHAnsi"/>
          <w:i/>
          <w:iCs/>
          <w:sz w:val="24"/>
          <w:szCs w:val="24"/>
        </w:rPr>
        <w:t>See Fig. 1</w:t>
      </w:r>
    </w:p>
    <w:p w14:paraId="78FA8560" w14:textId="7C8AE8D3" w:rsidR="006D0E01" w:rsidRPr="00E845D3" w:rsidRDefault="00305C7D" w:rsidP="0087275B">
      <w:pPr>
        <w:spacing w:line="360" w:lineRule="auto"/>
        <w:jc w:val="both"/>
        <w:rPr>
          <w:rFonts w:asciiTheme="majorHAnsi" w:hAnsiTheme="majorHAnsi" w:cstheme="majorHAnsi"/>
          <w:sz w:val="24"/>
          <w:szCs w:val="24"/>
        </w:rPr>
      </w:pPr>
      <w:r w:rsidRPr="00E845D3">
        <w:rPr>
          <w:rFonts w:asciiTheme="majorHAnsi" w:hAnsiTheme="majorHAnsi" w:cstheme="majorHAnsi"/>
          <w:sz w:val="24"/>
          <w:szCs w:val="24"/>
        </w:rPr>
        <w:t>Among</w:t>
      </w:r>
      <w:r w:rsidR="00CF2E3C" w:rsidRPr="00E845D3">
        <w:rPr>
          <w:rFonts w:asciiTheme="majorHAnsi" w:hAnsiTheme="majorHAnsi" w:cstheme="majorHAnsi"/>
          <w:sz w:val="24"/>
          <w:szCs w:val="24"/>
        </w:rPr>
        <w:t xml:space="preserve"> the 50</w:t>
      </w:r>
      <w:r w:rsidRPr="00E845D3">
        <w:rPr>
          <w:rFonts w:asciiTheme="majorHAnsi" w:hAnsiTheme="majorHAnsi" w:cstheme="majorHAnsi"/>
          <w:sz w:val="24"/>
          <w:szCs w:val="24"/>
        </w:rPr>
        <w:t xml:space="preserve"> current hydroxyurea users, 36 (72.0%) reported taking the drug always as prescribed, while 13 (26.0%) took it sometimes and 1 (2.0%) took it rarely. Regarding </w:t>
      </w:r>
      <w:r w:rsidR="00837D25">
        <w:rPr>
          <w:rFonts w:asciiTheme="majorHAnsi" w:hAnsiTheme="majorHAnsi" w:cstheme="majorHAnsi"/>
          <w:sz w:val="24"/>
          <w:szCs w:val="24"/>
        </w:rPr>
        <w:t xml:space="preserve">the </w:t>
      </w:r>
      <w:r w:rsidRPr="00E845D3">
        <w:rPr>
          <w:rFonts w:asciiTheme="majorHAnsi" w:hAnsiTheme="majorHAnsi" w:cstheme="majorHAnsi"/>
          <w:sz w:val="24"/>
          <w:szCs w:val="24"/>
        </w:rPr>
        <w:t>perceived effect</w:t>
      </w:r>
      <w:r w:rsidR="00CF2E3C" w:rsidRPr="00E845D3">
        <w:rPr>
          <w:rFonts w:asciiTheme="majorHAnsi" w:hAnsiTheme="majorHAnsi" w:cstheme="majorHAnsi"/>
          <w:sz w:val="24"/>
          <w:szCs w:val="24"/>
        </w:rPr>
        <w:t xml:space="preserve"> of hydroxyurea</w:t>
      </w:r>
      <w:r w:rsidRPr="00E845D3">
        <w:rPr>
          <w:rFonts w:asciiTheme="majorHAnsi" w:hAnsiTheme="majorHAnsi" w:cstheme="majorHAnsi"/>
          <w:sz w:val="24"/>
          <w:szCs w:val="24"/>
        </w:rPr>
        <w:t xml:space="preserve"> on painful crises, 24 </w:t>
      </w:r>
      <w:r w:rsidR="00CF2E3C" w:rsidRPr="00E845D3">
        <w:rPr>
          <w:rFonts w:asciiTheme="majorHAnsi" w:hAnsiTheme="majorHAnsi" w:cstheme="majorHAnsi"/>
          <w:sz w:val="24"/>
          <w:szCs w:val="24"/>
        </w:rPr>
        <w:t xml:space="preserve">(48.0%) </w:t>
      </w:r>
      <w:r w:rsidRPr="00E845D3">
        <w:rPr>
          <w:rFonts w:asciiTheme="majorHAnsi" w:hAnsiTheme="majorHAnsi" w:cstheme="majorHAnsi"/>
          <w:sz w:val="24"/>
          <w:szCs w:val="24"/>
        </w:rPr>
        <w:t xml:space="preserve">current users reported a significant reduction </w:t>
      </w:r>
      <w:r w:rsidR="00CF2E3C" w:rsidRPr="00E845D3">
        <w:rPr>
          <w:rFonts w:asciiTheme="majorHAnsi" w:hAnsiTheme="majorHAnsi" w:cstheme="majorHAnsi"/>
          <w:sz w:val="24"/>
          <w:szCs w:val="24"/>
        </w:rPr>
        <w:t xml:space="preserve">in pain crises, </w:t>
      </w:r>
      <w:r w:rsidRPr="00E845D3">
        <w:rPr>
          <w:rFonts w:asciiTheme="majorHAnsi" w:hAnsiTheme="majorHAnsi" w:cstheme="majorHAnsi"/>
          <w:sz w:val="24"/>
          <w:szCs w:val="24"/>
        </w:rPr>
        <w:t xml:space="preserve">12 (24.0%) </w:t>
      </w:r>
      <w:r w:rsidR="00CF2E3C" w:rsidRPr="00E845D3">
        <w:rPr>
          <w:rFonts w:asciiTheme="majorHAnsi" w:hAnsiTheme="majorHAnsi" w:cstheme="majorHAnsi"/>
          <w:sz w:val="24"/>
          <w:szCs w:val="24"/>
        </w:rPr>
        <w:t>had</w:t>
      </w:r>
      <w:r w:rsidRPr="00E845D3">
        <w:rPr>
          <w:rFonts w:asciiTheme="majorHAnsi" w:hAnsiTheme="majorHAnsi" w:cstheme="majorHAnsi"/>
          <w:sz w:val="24"/>
          <w:szCs w:val="24"/>
        </w:rPr>
        <w:t xml:space="preserve"> a slight reduction, whereas 9 (18.0%) were unsure and 5 (10.0%) reported no change. </w:t>
      </w:r>
      <w:r w:rsidRPr="00E845D3">
        <w:rPr>
          <w:rFonts w:asciiTheme="majorHAnsi" w:hAnsiTheme="majorHAnsi" w:cstheme="majorHAnsi"/>
          <w:sz w:val="24"/>
          <w:szCs w:val="24"/>
        </w:rPr>
        <w:lastRenderedPageBreak/>
        <w:t>Twenty-nine current users (58.0%) thought hydroxyurea improved their quality of life, 20 (40.0%) were unsure, and one respondent did not think it improved quality of life.</w:t>
      </w:r>
    </w:p>
    <w:p w14:paraId="3DDBAF5B" w14:textId="6091F5C8" w:rsidR="006D0E01" w:rsidRPr="00E845D3" w:rsidRDefault="00965601" w:rsidP="0087275B">
      <w:pPr>
        <w:spacing w:line="360" w:lineRule="auto"/>
        <w:jc w:val="both"/>
        <w:rPr>
          <w:rFonts w:asciiTheme="majorHAnsi" w:hAnsiTheme="majorHAnsi" w:cstheme="majorHAnsi"/>
          <w:sz w:val="24"/>
          <w:szCs w:val="24"/>
        </w:rPr>
      </w:pPr>
      <w:r w:rsidRPr="00E845D3">
        <w:rPr>
          <w:rFonts w:asciiTheme="majorHAnsi" w:hAnsiTheme="majorHAnsi" w:cstheme="majorHAnsi"/>
          <w:sz w:val="24"/>
          <w:szCs w:val="24"/>
        </w:rPr>
        <w:t xml:space="preserve">A composite quality-of-life (QoL) score was generated from four self-reported domains: general health, overall quality of life, satisfaction with health, and satisfaction with </w:t>
      </w:r>
      <w:r w:rsidR="00837D25">
        <w:rPr>
          <w:rFonts w:asciiTheme="majorHAnsi" w:hAnsiTheme="majorHAnsi" w:cstheme="majorHAnsi"/>
          <w:sz w:val="24"/>
          <w:szCs w:val="24"/>
        </w:rPr>
        <w:t xml:space="preserve">the </w:t>
      </w:r>
      <w:r w:rsidRPr="00E845D3">
        <w:rPr>
          <w:rFonts w:asciiTheme="majorHAnsi" w:hAnsiTheme="majorHAnsi" w:cstheme="majorHAnsi"/>
          <w:sz w:val="24"/>
          <w:szCs w:val="24"/>
        </w:rPr>
        <w:t xml:space="preserve">ability to perform daily activities. Among current hydroxyurea users, adherent patients had higher </w:t>
      </w:r>
      <w:r w:rsidR="00131607" w:rsidRPr="00E845D3">
        <w:rPr>
          <w:rFonts w:asciiTheme="majorHAnsi" w:hAnsiTheme="majorHAnsi" w:cstheme="majorHAnsi"/>
          <w:sz w:val="24"/>
          <w:szCs w:val="24"/>
        </w:rPr>
        <w:t xml:space="preserve">median </w:t>
      </w:r>
      <w:r w:rsidRPr="00E845D3">
        <w:rPr>
          <w:rFonts w:asciiTheme="majorHAnsi" w:hAnsiTheme="majorHAnsi" w:cstheme="majorHAnsi"/>
          <w:sz w:val="24"/>
          <w:szCs w:val="24"/>
        </w:rPr>
        <w:t>QoL composite scores than non-adherent patients (</w:t>
      </w:r>
      <w:r w:rsidRPr="00E845D3">
        <w:rPr>
          <w:rStyle w:val="Strong"/>
          <w:rFonts w:asciiTheme="majorHAnsi" w:hAnsiTheme="majorHAnsi" w:cstheme="majorHAnsi"/>
          <w:b w:val="0"/>
          <w:bCs w:val="0"/>
          <w:sz w:val="24"/>
          <w:szCs w:val="24"/>
        </w:rPr>
        <w:t>median 3.75 [IQR 3.00–4.25] vs 3.29 [IQR 2.69–3.73]</w:t>
      </w:r>
      <w:r w:rsidR="00131607" w:rsidRPr="00E845D3">
        <w:rPr>
          <w:rFonts w:asciiTheme="majorHAnsi" w:hAnsiTheme="majorHAnsi" w:cstheme="majorHAnsi"/>
          <w:sz w:val="24"/>
          <w:szCs w:val="24"/>
        </w:rPr>
        <w:t>),</w:t>
      </w:r>
      <w:r w:rsidRPr="00E845D3">
        <w:rPr>
          <w:rFonts w:asciiTheme="majorHAnsi" w:hAnsiTheme="majorHAnsi" w:cstheme="majorHAnsi"/>
          <w:sz w:val="24"/>
          <w:szCs w:val="24"/>
        </w:rPr>
        <w:t xml:space="preserve"> </w:t>
      </w:r>
      <w:r w:rsidR="00131607" w:rsidRPr="00E845D3">
        <w:rPr>
          <w:rFonts w:asciiTheme="majorHAnsi" w:hAnsiTheme="majorHAnsi" w:cstheme="majorHAnsi"/>
          <w:sz w:val="24"/>
          <w:szCs w:val="24"/>
        </w:rPr>
        <w:t>however,</w:t>
      </w:r>
      <w:r w:rsidRPr="00E845D3">
        <w:rPr>
          <w:rFonts w:asciiTheme="majorHAnsi" w:hAnsiTheme="majorHAnsi" w:cstheme="majorHAnsi"/>
          <w:sz w:val="24"/>
          <w:szCs w:val="24"/>
        </w:rPr>
        <w:t xml:space="preserve"> this difference </w:t>
      </w:r>
      <w:r w:rsidR="00131607" w:rsidRPr="00E845D3">
        <w:rPr>
          <w:rFonts w:asciiTheme="majorHAnsi" w:hAnsiTheme="majorHAnsi" w:cstheme="majorHAnsi"/>
          <w:sz w:val="24"/>
          <w:szCs w:val="24"/>
        </w:rPr>
        <w:t>was not</w:t>
      </w:r>
      <w:r w:rsidRPr="00E845D3">
        <w:rPr>
          <w:rFonts w:asciiTheme="majorHAnsi" w:hAnsiTheme="majorHAnsi" w:cstheme="majorHAnsi"/>
          <w:sz w:val="24"/>
          <w:szCs w:val="24"/>
        </w:rPr>
        <w:t xml:space="preserve"> statistical</w:t>
      </w:r>
      <w:r w:rsidR="00131607" w:rsidRPr="00E845D3">
        <w:rPr>
          <w:rFonts w:asciiTheme="majorHAnsi" w:hAnsiTheme="majorHAnsi" w:cstheme="majorHAnsi"/>
          <w:sz w:val="24"/>
          <w:szCs w:val="24"/>
        </w:rPr>
        <w:t>ly</w:t>
      </w:r>
      <w:r w:rsidRPr="00E845D3">
        <w:rPr>
          <w:rFonts w:asciiTheme="majorHAnsi" w:hAnsiTheme="majorHAnsi" w:cstheme="majorHAnsi"/>
          <w:sz w:val="24"/>
          <w:szCs w:val="24"/>
        </w:rPr>
        <w:t xml:space="preserve"> significan</w:t>
      </w:r>
      <w:r w:rsidR="00131607" w:rsidRPr="00E845D3">
        <w:rPr>
          <w:rFonts w:asciiTheme="majorHAnsi" w:hAnsiTheme="majorHAnsi" w:cstheme="majorHAnsi"/>
          <w:sz w:val="24"/>
          <w:szCs w:val="24"/>
        </w:rPr>
        <w:t>t</w:t>
      </w:r>
      <w:r w:rsidRPr="00E845D3">
        <w:rPr>
          <w:rFonts w:asciiTheme="majorHAnsi" w:hAnsiTheme="majorHAnsi" w:cstheme="majorHAnsi"/>
          <w:sz w:val="24"/>
          <w:szCs w:val="24"/>
        </w:rPr>
        <w:t xml:space="preserve"> (</w:t>
      </w:r>
      <w:r w:rsidRPr="00E845D3">
        <w:rPr>
          <w:rStyle w:val="Strong"/>
          <w:rFonts w:asciiTheme="majorHAnsi" w:hAnsiTheme="majorHAnsi" w:cstheme="majorHAnsi"/>
          <w:b w:val="0"/>
          <w:bCs w:val="0"/>
          <w:sz w:val="24"/>
          <w:szCs w:val="24"/>
        </w:rPr>
        <w:t>p = 0.111</w:t>
      </w:r>
      <w:r w:rsidRPr="00E845D3">
        <w:rPr>
          <w:rFonts w:asciiTheme="majorHAnsi" w:hAnsiTheme="majorHAnsi" w:cstheme="majorHAnsi"/>
          <w:sz w:val="24"/>
          <w:szCs w:val="24"/>
        </w:rPr>
        <w:t xml:space="preserve">). </w:t>
      </w:r>
      <w:r w:rsidR="00131607" w:rsidRPr="00E845D3">
        <w:rPr>
          <w:rFonts w:asciiTheme="majorHAnsi" w:hAnsiTheme="majorHAnsi" w:cstheme="majorHAnsi"/>
          <w:sz w:val="24"/>
          <w:szCs w:val="24"/>
        </w:rPr>
        <w:t>On the other hand</w:t>
      </w:r>
      <w:r w:rsidRPr="00E845D3">
        <w:rPr>
          <w:rFonts w:asciiTheme="majorHAnsi" w:hAnsiTheme="majorHAnsi" w:cstheme="majorHAnsi"/>
          <w:sz w:val="24"/>
          <w:szCs w:val="24"/>
        </w:rPr>
        <w:t xml:space="preserve">, adherent users had </w:t>
      </w:r>
      <w:r w:rsidR="00131607" w:rsidRPr="00E845D3">
        <w:rPr>
          <w:rFonts w:asciiTheme="majorHAnsi" w:hAnsiTheme="majorHAnsi" w:cstheme="majorHAnsi"/>
          <w:sz w:val="24"/>
          <w:szCs w:val="24"/>
        </w:rPr>
        <w:t xml:space="preserve">statistically </w:t>
      </w:r>
      <w:r w:rsidRPr="00E845D3">
        <w:rPr>
          <w:rFonts w:asciiTheme="majorHAnsi" w:hAnsiTheme="majorHAnsi" w:cstheme="majorHAnsi"/>
          <w:sz w:val="24"/>
          <w:szCs w:val="24"/>
        </w:rPr>
        <w:t xml:space="preserve">significantly lower disease-burden composite scores (median 2.00 [IQR 2.00–2.75] vs 2.71 [IQR 2.50–3.00], p=0.009). </w:t>
      </w:r>
      <w:r w:rsidR="00DA331C" w:rsidRPr="00E845D3">
        <w:rPr>
          <w:rFonts w:asciiTheme="majorHAnsi" w:hAnsiTheme="majorHAnsi" w:cstheme="majorHAnsi"/>
          <w:i/>
          <w:iCs/>
          <w:sz w:val="24"/>
          <w:szCs w:val="24"/>
        </w:rPr>
        <w:t>See Fig. 2</w:t>
      </w:r>
    </w:p>
    <w:p w14:paraId="1691A0F6" w14:textId="77777777" w:rsidR="00C21DC8" w:rsidRPr="00E845D3" w:rsidRDefault="00C21DC8" w:rsidP="00C21DC8">
      <w:pPr>
        <w:spacing w:line="360" w:lineRule="auto"/>
        <w:rPr>
          <w:rFonts w:asciiTheme="majorHAnsi" w:hAnsiTheme="majorHAnsi" w:cstheme="majorHAnsi"/>
        </w:rPr>
      </w:pPr>
    </w:p>
    <w:p w14:paraId="6BD8AA66" w14:textId="77777777" w:rsidR="00C21DC8" w:rsidRPr="00E845D3" w:rsidRDefault="00C21DC8" w:rsidP="00C21DC8">
      <w:pPr>
        <w:spacing w:line="360" w:lineRule="auto"/>
        <w:rPr>
          <w:rFonts w:asciiTheme="majorHAnsi" w:hAnsiTheme="majorHAnsi" w:cstheme="majorHAnsi"/>
        </w:rPr>
      </w:pPr>
      <w:r w:rsidRPr="00E845D3">
        <w:rPr>
          <w:rFonts w:asciiTheme="majorHAnsi" w:hAnsiTheme="majorHAnsi" w:cstheme="majorHAnsi"/>
          <w:noProof/>
        </w:rPr>
        <w:drawing>
          <wp:inline distT="0" distB="0" distL="0" distR="0" wp14:anchorId="1B074BE0" wp14:editId="01F67E76">
            <wp:extent cx="6035040" cy="3170791"/>
            <wp:effectExtent l="0" t="0" r="0" b="0"/>
            <wp:docPr id="3" name="Picture 3" descr="The diagram presents a multivariable burden model comparing two groups, showing a significant difference in adherence levels with a p-value of 0.009, and a composite score that ranges from 2.5 to 5.0, with no significant difference (p=0.111) in other measured fact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 diagram presents a multivariable burden model comparing two groups, showing a significant difference in adherence levels with a p-value of 0.009, and a composite score that ranges from 2.5 to 5.0, with no significant difference (p=0.111) in other measured factors.&#10;&#10;AI-generated content may be incorrect."/>
                    <pic:cNvPicPr/>
                  </pic:nvPicPr>
                  <pic:blipFill>
                    <a:blip r:embed="rId9"/>
                    <a:stretch>
                      <a:fillRect/>
                    </a:stretch>
                  </pic:blipFill>
                  <pic:spPr>
                    <a:xfrm>
                      <a:off x="0" y="0"/>
                      <a:ext cx="6035040" cy="3170791"/>
                    </a:xfrm>
                    <a:prstGeom prst="rect">
                      <a:avLst/>
                    </a:prstGeom>
                  </pic:spPr>
                </pic:pic>
              </a:graphicData>
            </a:graphic>
          </wp:inline>
        </w:drawing>
      </w:r>
    </w:p>
    <w:p w14:paraId="720DEB43" w14:textId="1FE72904" w:rsidR="00C21DC8" w:rsidRPr="00E845D3" w:rsidRDefault="00C21DC8" w:rsidP="00C21DC8">
      <w:pPr>
        <w:spacing w:line="360" w:lineRule="auto"/>
        <w:rPr>
          <w:rFonts w:asciiTheme="majorHAnsi" w:hAnsiTheme="majorHAnsi" w:cstheme="majorHAnsi"/>
        </w:rPr>
      </w:pPr>
      <w:r w:rsidRPr="00E845D3">
        <w:rPr>
          <w:rFonts w:asciiTheme="majorHAnsi" w:hAnsiTheme="majorHAnsi" w:cstheme="majorHAnsi"/>
        </w:rPr>
        <w:t xml:space="preserve">Figure </w:t>
      </w:r>
      <w:r w:rsidR="00931365" w:rsidRPr="00E845D3">
        <w:rPr>
          <w:rFonts w:asciiTheme="majorHAnsi" w:hAnsiTheme="majorHAnsi" w:cstheme="majorHAnsi"/>
        </w:rPr>
        <w:t>2</w:t>
      </w:r>
      <w:r w:rsidRPr="00E845D3">
        <w:rPr>
          <w:rFonts w:asciiTheme="majorHAnsi" w:hAnsiTheme="majorHAnsi" w:cstheme="majorHAnsi"/>
        </w:rPr>
        <w:t>. Composite patient-reported outcomes among current hydroxyurea users by adherence status. Adherent users had numerically higher QoL scores (Mann–Whitney p=0.111) and significantly lower disease-burden scores (p=0.009) than non-adherent users.</w:t>
      </w:r>
    </w:p>
    <w:p w14:paraId="7D7137C1" w14:textId="77777777" w:rsidR="00705A59" w:rsidRPr="00E845D3" w:rsidRDefault="00705A59" w:rsidP="0087275B">
      <w:pPr>
        <w:spacing w:line="360" w:lineRule="auto"/>
        <w:jc w:val="both"/>
        <w:rPr>
          <w:rFonts w:asciiTheme="majorHAnsi" w:hAnsiTheme="majorHAnsi" w:cstheme="majorHAnsi"/>
          <w:sz w:val="24"/>
          <w:szCs w:val="24"/>
        </w:rPr>
      </w:pPr>
    </w:p>
    <w:p w14:paraId="3741CFEA" w14:textId="4412A248" w:rsidR="00931365" w:rsidRPr="00E845D3" w:rsidRDefault="00931365" w:rsidP="0087275B">
      <w:pPr>
        <w:spacing w:line="360" w:lineRule="auto"/>
        <w:jc w:val="both"/>
        <w:rPr>
          <w:rFonts w:asciiTheme="majorHAnsi" w:hAnsiTheme="majorHAnsi" w:cstheme="majorHAnsi"/>
          <w:sz w:val="24"/>
          <w:szCs w:val="24"/>
        </w:rPr>
      </w:pPr>
      <w:r w:rsidRPr="00E845D3">
        <w:rPr>
          <w:rFonts w:asciiTheme="majorHAnsi" w:hAnsiTheme="majorHAnsi" w:cstheme="majorHAnsi"/>
          <w:sz w:val="24"/>
          <w:szCs w:val="24"/>
        </w:rPr>
        <w:t xml:space="preserve">Table </w:t>
      </w:r>
      <w:r w:rsidR="00DA331C" w:rsidRPr="00E845D3">
        <w:rPr>
          <w:rFonts w:asciiTheme="majorHAnsi" w:hAnsiTheme="majorHAnsi" w:cstheme="majorHAnsi"/>
          <w:sz w:val="24"/>
          <w:szCs w:val="24"/>
        </w:rPr>
        <w:t>2</w:t>
      </w:r>
      <w:r w:rsidRPr="00E845D3">
        <w:rPr>
          <w:rFonts w:asciiTheme="majorHAnsi" w:hAnsiTheme="majorHAnsi" w:cstheme="majorHAnsi"/>
          <w:sz w:val="24"/>
          <w:szCs w:val="24"/>
        </w:rPr>
        <w:t>: Quality of Life Assessment</w:t>
      </w:r>
    </w:p>
    <w:tbl>
      <w:tblPr>
        <w:tblStyle w:val="GridTable1Light-Accent5"/>
        <w:tblW w:w="0" w:type="auto"/>
        <w:tblLook w:val="04A0" w:firstRow="1" w:lastRow="0" w:firstColumn="1" w:lastColumn="0" w:noHBand="0" w:noVBand="1"/>
      </w:tblPr>
      <w:tblGrid>
        <w:gridCol w:w="2179"/>
        <w:gridCol w:w="3519"/>
        <w:gridCol w:w="2909"/>
        <w:gridCol w:w="1319"/>
      </w:tblGrid>
      <w:tr w:rsidR="00965601" w:rsidRPr="00E845D3" w14:paraId="1CB7631B" w14:textId="77777777" w:rsidTr="009656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4AEA56" w14:textId="77777777" w:rsidR="00965601" w:rsidRPr="00E845D3" w:rsidRDefault="00965601" w:rsidP="00965601">
            <w:pPr>
              <w:jc w:val="center"/>
              <w:rPr>
                <w:rFonts w:eastAsia="Times New Roman" w:cs="Times New Roman"/>
                <w:sz w:val="24"/>
                <w:szCs w:val="24"/>
              </w:rPr>
            </w:pPr>
            <w:r w:rsidRPr="00E845D3">
              <w:rPr>
                <w:rFonts w:eastAsia="Times New Roman" w:cs="Times New Roman"/>
                <w:sz w:val="24"/>
                <w:szCs w:val="24"/>
              </w:rPr>
              <w:lastRenderedPageBreak/>
              <w:t>QoL domain</w:t>
            </w:r>
          </w:p>
        </w:tc>
        <w:tc>
          <w:tcPr>
            <w:tcW w:w="0" w:type="auto"/>
            <w:hideMark/>
          </w:tcPr>
          <w:p w14:paraId="320C8CCE" w14:textId="77777777" w:rsidR="00965601" w:rsidRPr="00E845D3" w:rsidRDefault="00965601" w:rsidP="00965601">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Questionnaire item</w:t>
            </w:r>
          </w:p>
        </w:tc>
        <w:tc>
          <w:tcPr>
            <w:tcW w:w="0" w:type="auto"/>
            <w:hideMark/>
          </w:tcPr>
          <w:p w14:paraId="26829115" w14:textId="77777777" w:rsidR="00965601" w:rsidRPr="00E845D3" w:rsidRDefault="00965601" w:rsidP="00965601">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Response options</w:t>
            </w:r>
          </w:p>
        </w:tc>
        <w:tc>
          <w:tcPr>
            <w:tcW w:w="0" w:type="auto"/>
            <w:hideMark/>
          </w:tcPr>
          <w:p w14:paraId="7A04943A" w14:textId="77777777" w:rsidR="00965601" w:rsidRPr="00E845D3" w:rsidRDefault="00965601" w:rsidP="00965601">
            <w:pPr>
              <w:jc w:val="right"/>
              <w:cnfStyle w:val="100000000000" w:firstRow="1"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Score assigned</w:t>
            </w:r>
          </w:p>
        </w:tc>
      </w:tr>
      <w:tr w:rsidR="00965601" w:rsidRPr="00E845D3" w14:paraId="1DF9D10E" w14:textId="77777777" w:rsidTr="00965601">
        <w:tc>
          <w:tcPr>
            <w:cnfStyle w:val="001000000000" w:firstRow="0" w:lastRow="0" w:firstColumn="1" w:lastColumn="0" w:oddVBand="0" w:evenVBand="0" w:oddHBand="0" w:evenHBand="0" w:firstRowFirstColumn="0" w:firstRowLastColumn="0" w:lastRowFirstColumn="0" w:lastRowLastColumn="0"/>
            <w:tcW w:w="0" w:type="auto"/>
            <w:hideMark/>
          </w:tcPr>
          <w:p w14:paraId="4261BF93" w14:textId="77777777" w:rsidR="00965601" w:rsidRPr="00E845D3" w:rsidRDefault="00965601" w:rsidP="00965601">
            <w:pPr>
              <w:rPr>
                <w:rFonts w:eastAsia="Times New Roman" w:cs="Times New Roman"/>
                <w:sz w:val="24"/>
                <w:szCs w:val="24"/>
              </w:rPr>
            </w:pPr>
            <w:r w:rsidRPr="00E845D3">
              <w:rPr>
                <w:rFonts w:eastAsia="Times New Roman" w:cs="Times New Roman"/>
                <w:sz w:val="24"/>
                <w:szCs w:val="24"/>
              </w:rPr>
              <w:t>General health status</w:t>
            </w:r>
          </w:p>
        </w:tc>
        <w:tc>
          <w:tcPr>
            <w:tcW w:w="0" w:type="auto"/>
            <w:hideMark/>
          </w:tcPr>
          <w:p w14:paraId="3AFF5028" w14:textId="77777777" w:rsidR="00965601" w:rsidRPr="00E845D3" w:rsidRDefault="00965601" w:rsidP="00965601">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How would you describe your general health currently?</w:t>
            </w:r>
          </w:p>
        </w:tc>
        <w:tc>
          <w:tcPr>
            <w:tcW w:w="0" w:type="auto"/>
            <w:hideMark/>
          </w:tcPr>
          <w:p w14:paraId="6FB2DBA1" w14:textId="77777777" w:rsidR="00965601" w:rsidRPr="00E845D3" w:rsidRDefault="00965601" w:rsidP="00965601">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Very poor, Poor, Neither poor nor good, Good, Very good</w:t>
            </w:r>
          </w:p>
        </w:tc>
        <w:tc>
          <w:tcPr>
            <w:tcW w:w="0" w:type="auto"/>
            <w:hideMark/>
          </w:tcPr>
          <w:p w14:paraId="3BA0AC2B" w14:textId="77777777" w:rsidR="00965601" w:rsidRPr="00E845D3" w:rsidRDefault="00965601" w:rsidP="00965601">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1–5</w:t>
            </w:r>
          </w:p>
        </w:tc>
      </w:tr>
      <w:tr w:rsidR="00965601" w:rsidRPr="00E845D3" w14:paraId="4769B945" w14:textId="77777777" w:rsidTr="00965601">
        <w:tc>
          <w:tcPr>
            <w:cnfStyle w:val="001000000000" w:firstRow="0" w:lastRow="0" w:firstColumn="1" w:lastColumn="0" w:oddVBand="0" w:evenVBand="0" w:oddHBand="0" w:evenHBand="0" w:firstRowFirstColumn="0" w:firstRowLastColumn="0" w:lastRowFirstColumn="0" w:lastRowLastColumn="0"/>
            <w:tcW w:w="0" w:type="auto"/>
            <w:hideMark/>
          </w:tcPr>
          <w:p w14:paraId="13D5BAFD" w14:textId="77777777" w:rsidR="00965601" w:rsidRPr="00E845D3" w:rsidRDefault="00965601" w:rsidP="00965601">
            <w:pPr>
              <w:rPr>
                <w:rFonts w:eastAsia="Times New Roman" w:cs="Times New Roman"/>
                <w:sz w:val="24"/>
                <w:szCs w:val="24"/>
              </w:rPr>
            </w:pPr>
            <w:r w:rsidRPr="00E845D3">
              <w:rPr>
                <w:rFonts w:eastAsia="Times New Roman" w:cs="Times New Roman"/>
                <w:sz w:val="24"/>
                <w:szCs w:val="24"/>
              </w:rPr>
              <w:t>Overall quality of life</w:t>
            </w:r>
          </w:p>
        </w:tc>
        <w:tc>
          <w:tcPr>
            <w:tcW w:w="0" w:type="auto"/>
            <w:hideMark/>
          </w:tcPr>
          <w:p w14:paraId="09733888" w14:textId="77777777" w:rsidR="00965601" w:rsidRPr="00E845D3" w:rsidRDefault="00965601" w:rsidP="00965601">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How would you rate your overall quality of life?</w:t>
            </w:r>
          </w:p>
        </w:tc>
        <w:tc>
          <w:tcPr>
            <w:tcW w:w="0" w:type="auto"/>
            <w:hideMark/>
          </w:tcPr>
          <w:p w14:paraId="244C6ADC" w14:textId="77777777" w:rsidR="00965601" w:rsidRPr="00E845D3" w:rsidRDefault="00965601" w:rsidP="00965601">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Very poor, Poor, Neither poor nor good, Good, Very good</w:t>
            </w:r>
          </w:p>
        </w:tc>
        <w:tc>
          <w:tcPr>
            <w:tcW w:w="0" w:type="auto"/>
            <w:hideMark/>
          </w:tcPr>
          <w:p w14:paraId="22AC4F44" w14:textId="77777777" w:rsidR="00965601" w:rsidRPr="00E845D3" w:rsidRDefault="00965601" w:rsidP="00965601">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1–5</w:t>
            </w:r>
          </w:p>
        </w:tc>
      </w:tr>
      <w:tr w:rsidR="00965601" w:rsidRPr="00E845D3" w14:paraId="22279D06" w14:textId="77777777" w:rsidTr="00965601">
        <w:tc>
          <w:tcPr>
            <w:cnfStyle w:val="001000000000" w:firstRow="0" w:lastRow="0" w:firstColumn="1" w:lastColumn="0" w:oddVBand="0" w:evenVBand="0" w:oddHBand="0" w:evenHBand="0" w:firstRowFirstColumn="0" w:firstRowLastColumn="0" w:lastRowFirstColumn="0" w:lastRowLastColumn="0"/>
            <w:tcW w:w="0" w:type="auto"/>
            <w:hideMark/>
          </w:tcPr>
          <w:p w14:paraId="3DF5768A" w14:textId="77777777" w:rsidR="00965601" w:rsidRPr="00E845D3" w:rsidRDefault="00965601" w:rsidP="00965601">
            <w:pPr>
              <w:rPr>
                <w:rFonts w:eastAsia="Times New Roman" w:cs="Times New Roman"/>
                <w:sz w:val="24"/>
                <w:szCs w:val="24"/>
              </w:rPr>
            </w:pPr>
            <w:r w:rsidRPr="00E845D3">
              <w:rPr>
                <w:rFonts w:eastAsia="Times New Roman" w:cs="Times New Roman"/>
                <w:sz w:val="24"/>
                <w:szCs w:val="24"/>
              </w:rPr>
              <w:t>Satisfaction with health</w:t>
            </w:r>
          </w:p>
        </w:tc>
        <w:tc>
          <w:tcPr>
            <w:tcW w:w="0" w:type="auto"/>
            <w:hideMark/>
          </w:tcPr>
          <w:p w14:paraId="0CD16A3F" w14:textId="77777777" w:rsidR="00965601" w:rsidRPr="00E845D3" w:rsidRDefault="00965601" w:rsidP="00965601">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How satisfied are you with your health?</w:t>
            </w:r>
          </w:p>
        </w:tc>
        <w:tc>
          <w:tcPr>
            <w:tcW w:w="0" w:type="auto"/>
            <w:hideMark/>
          </w:tcPr>
          <w:p w14:paraId="58E5ABC2" w14:textId="77777777" w:rsidR="00965601" w:rsidRPr="00E845D3" w:rsidRDefault="00965601" w:rsidP="00965601">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Very poor, Poor, Neither poor nor good, Good, Very good</w:t>
            </w:r>
          </w:p>
        </w:tc>
        <w:tc>
          <w:tcPr>
            <w:tcW w:w="0" w:type="auto"/>
            <w:hideMark/>
          </w:tcPr>
          <w:p w14:paraId="7DFB0624" w14:textId="77777777" w:rsidR="00965601" w:rsidRPr="00E845D3" w:rsidRDefault="00965601" w:rsidP="00965601">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1–5</w:t>
            </w:r>
          </w:p>
        </w:tc>
      </w:tr>
      <w:tr w:rsidR="00965601" w:rsidRPr="00E845D3" w14:paraId="39A6FFDE" w14:textId="77777777" w:rsidTr="00965601">
        <w:tc>
          <w:tcPr>
            <w:cnfStyle w:val="001000000000" w:firstRow="0" w:lastRow="0" w:firstColumn="1" w:lastColumn="0" w:oddVBand="0" w:evenVBand="0" w:oddHBand="0" w:evenHBand="0" w:firstRowFirstColumn="0" w:firstRowLastColumn="0" w:lastRowFirstColumn="0" w:lastRowLastColumn="0"/>
            <w:tcW w:w="0" w:type="auto"/>
            <w:hideMark/>
          </w:tcPr>
          <w:p w14:paraId="64BFB217" w14:textId="77777777" w:rsidR="00965601" w:rsidRPr="00E845D3" w:rsidRDefault="00965601" w:rsidP="00965601">
            <w:pPr>
              <w:rPr>
                <w:rFonts w:eastAsia="Times New Roman" w:cs="Times New Roman"/>
                <w:sz w:val="24"/>
                <w:szCs w:val="24"/>
              </w:rPr>
            </w:pPr>
            <w:r w:rsidRPr="00E845D3">
              <w:rPr>
                <w:rFonts w:eastAsia="Times New Roman" w:cs="Times New Roman"/>
                <w:sz w:val="24"/>
                <w:szCs w:val="24"/>
              </w:rPr>
              <w:t>Satisfaction with daily activities</w:t>
            </w:r>
          </w:p>
        </w:tc>
        <w:tc>
          <w:tcPr>
            <w:tcW w:w="0" w:type="auto"/>
            <w:hideMark/>
          </w:tcPr>
          <w:p w14:paraId="291FFE10" w14:textId="77777777" w:rsidR="00965601" w:rsidRPr="00E845D3" w:rsidRDefault="00965601" w:rsidP="00965601">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How satisfied are you with your ability to perform daily activities?</w:t>
            </w:r>
          </w:p>
        </w:tc>
        <w:tc>
          <w:tcPr>
            <w:tcW w:w="0" w:type="auto"/>
            <w:hideMark/>
          </w:tcPr>
          <w:p w14:paraId="4B628042" w14:textId="77777777" w:rsidR="00965601" w:rsidRPr="00E845D3" w:rsidRDefault="00965601" w:rsidP="00965601">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Very poor, Poor, Neither poor nor good, Good, Very good</w:t>
            </w:r>
          </w:p>
        </w:tc>
        <w:tc>
          <w:tcPr>
            <w:tcW w:w="0" w:type="auto"/>
            <w:hideMark/>
          </w:tcPr>
          <w:p w14:paraId="1CDF32A7" w14:textId="77777777" w:rsidR="00965601" w:rsidRPr="00E845D3" w:rsidRDefault="00965601" w:rsidP="00965601">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1–5</w:t>
            </w:r>
          </w:p>
        </w:tc>
      </w:tr>
    </w:tbl>
    <w:p w14:paraId="23CD25B8" w14:textId="0AAABDFA" w:rsidR="00965601" w:rsidRPr="00E845D3" w:rsidRDefault="00C53E85" w:rsidP="0087275B">
      <w:pPr>
        <w:spacing w:line="360" w:lineRule="auto"/>
        <w:jc w:val="both"/>
        <w:rPr>
          <w:rFonts w:asciiTheme="majorHAnsi" w:hAnsiTheme="majorHAnsi" w:cstheme="majorHAnsi"/>
          <w:sz w:val="24"/>
          <w:szCs w:val="24"/>
        </w:rPr>
      </w:pPr>
      <w:r w:rsidRPr="00E845D3">
        <w:rPr>
          <w:rFonts w:asciiTheme="majorHAnsi" w:hAnsiTheme="majorHAnsi" w:cstheme="majorHAnsi"/>
          <w:sz w:val="24"/>
          <w:szCs w:val="24"/>
        </w:rPr>
        <w:t>Each item was scored on a 5-point ordinal scale, where 1 = very poor and 5 = very good. The QoL composite score was calculated as the mean of the four domain scores, with higher scores indicating better perceived quality of life.</w:t>
      </w:r>
    </w:p>
    <w:p w14:paraId="01878330" w14:textId="317782E2" w:rsidR="00131607" w:rsidRPr="00E845D3" w:rsidRDefault="00931365" w:rsidP="0087275B">
      <w:pPr>
        <w:spacing w:line="360" w:lineRule="auto"/>
        <w:jc w:val="both"/>
        <w:rPr>
          <w:rFonts w:asciiTheme="majorHAnsi" w:hAnsiTheme="majorHAnsi" w:cstheme="majorHAnsi"/>
          <w:sz w:val="24"/>
          <w:szCs w:val="24"/>
        </w:rPr>
      </w:pPr>
      <w:r w:rsidRPr="00E845D3">
        <w:rPr>
          <w:rFonts w:asciiTheme="majorHAnsi" w:hAnsiTheme="majorHAnsi" w:cstheme="majorHAnsi"/>
          <w:sz w:val="24"/>
          <w:szCs w:val="24"/>
        </w:rPr>
        <w:t xml:space="preserve">Table </w:t>
      </w:r>
      <w:r w:rsidR="00F001E5">
        <w:rPr>
          <w:rFonts w:asciiTheme="majorHAnsi" w:hAnsiTheme="majorHAnsi" w:cstheme="majorHAnsi"/>
          <w:sz w:val="24"/>
          <w:szCs w:val="24"/>
        </w:rPr>
        <w:t>3</w:t>
      </w:r>
      <w:r w:rsidRPr="00E845D3">
        <w:rPr>
          <w:rFonts w:asciiTheme="majorHAnsi" w:hAnsiTheme="majorHAnsi" w:cstheme="majorHAnsi"/>
          <w:sz w:val="24"/>
          <w:szCs w:val="24"/>
        </w:rPr>
        <w:t>: Disease Burden Assessment</w:t>
      </w:r>
    </w:p>
    <w:tbl>
      <w:tblPr>
        <w:tblStyle w:val="GridTable1Light-Accent5"/>
        <w:tblW w:w="0" w:type="auto"/>
        <w:tblLook w:val="04A0" w:firstRow="1" w:lastRow="0" w:firstColumn="1" w:lastColumn="0" w:noHBand="0" w:noVBand="1"/>
      </w:tblPr>
      <w:tblGrid>
        <w:gridCol w:w="2321"/>
        <w:gridCol w:w="3608"/>
        <w:gridCol w:w="2701"/>
        <w:gridCol w:w="1296"/>
      </w:tblGrid>
      <w:tr w:rsidR="00131607" w:rsidRPr="00E845D3" w14:paraId="3933474B" w14:textId="77777777" w:rsidTr="001316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5666DA" w14:textId="77777777" w:rsidR="00131607" w:rsidRPr="00E845D3" w:rsidRDefault="00131607" w:rsidP="00131607">
            <w:pPr>
              <w:jc w:val="center"/>
              <w:rPr>
                <w:rFonts w:eastAsia="Times New Roman" w:cs="Times New Roman"/>
                <w:sz w:val="24"/>
                <w:szCs w:val="24"/>
              </w:rPr>
            </w:pPr>
            <w:r w:rsidRPr="00E845D3">
              <w:rPr>
                <w:rFonts w:eastAsia="Times New Roman" w:cs="Times New Roman"/>
                <w:sz w:val="24"/>
                <w:szCs w:val="24"/>
              </w:rPr>
              <w:t>Domain</w:t>
            </w:r>
          </w:p>
        </w:tc>
        <w:tc>
          <w:tcPr>
            <w:tcW w:w="0" w:type="auto"/>
            <w:hideMark/>
          </w:tcPr>
          <w:p w14:paraId="12B4A672" w14:textId="77777777" w:rsidR="00131607" w:rsidRPr="00E845D3" w:rsidRDefault="00131607" w:rsidP="0013160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Questionnaire item</w:t>
            </w:r>
          </w:p>
        </w:tc>
        <w:tc>
          <w:tcPr>
            <w:tcW w:w="0" w:type="auto"/>
            <w:hideMark/>
          </w:tcPr>
          <w:p w14:paraId="37621072" w14:textId="77777777" w:rsidR="00131607" w:rsidRPr="00E845D3" w:rsidRDefault="00131607" w:rsidP="0013160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Response options</w:t>
            </w:r>
          </w:p>
        </w:tc>
        <w:tc>
          <w:tcPr>
            <w:tcW w:w="0" w:type="auto"/>
            <w:hideMark/>
          </w:tcPr>
          <w:p w14:paraId="481DC59F" w14:textId="77777777" w:rsidR="00131607" w:rsidRPr="00E845D3" w:rsidRDefault="00131607" w:rsidP="00131607">
            <w:pPr>
              <w:jc w:val="right"/>
              <w:cnfStyle w:val="100000000000" w:firstRow="1"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Score assigned</w:t>
            </w:r>
          </w:p>
        </w:tc>
      </w:tr>
      <w:tr w:rsidR="00131607" w:rsidRPr="00E845D3" w14:paraId="570EBC9D" w14:textId="77777777" w:rsidTr="00131607">
        <w:tc>
          <w:tcPr>
            <w:cnfStyle w:val="001000000000" w:firstRow="0" w:lastRow="0" w:firstColumn="1" w:lastColumn="0" w:oddVBand="0" w:evenVBand="0" w:oddHBand="0" w:evenHBand="0" w:firstRowFirstColumn="0" w:firstRowLastColumn="0" w:lastRowFirstColumn="0" w:lastRowLastColumn="0"/>
            <w:tcW w:w="0" w:type="auto"/>
            <w:hideMark/>
          </w:tcPr>
          <w:p w14:paraId="7F42DC9D" w14:textId="77777777" w:rsidR="00131607" w:rsidRPr="00E845D3" w:rsidRDefault="00131607" w:rsidP="00131607">
            <w:pPr>
              <w:rPr>
                <w:rFonts w:eastAsia="Times New Roman" w:cs="Times New Roman"/>
                <w:sz w:val="24"/>
                <w:szCs w:val="24"/>
              </w:rPr>
            </w:pPr>
            <w:r w:rsidRPr="00E845D3">
              <w:rPr>
                <w:rFonts w:eastAsia="Times New Roman" w:cs="Times New Roman"/>
                <w:sz w:val="24"/>
                <w:szCs w:val="24"/>
              </w:rPr>
              <w:t>Impact on daily life</w:t>
            </w:r>
          </w:p>
        </w:tc>
        <w:tc>
          <w:tcPr>
            <w:tcW w:w="0" w:type="auto"/>
            <w:hideMark/>
          </w:tcPr>
          <w:p w14:paraId="4316611B" w14:textId="77777777" w:rsidR="00131607" w:rsidRPr="00E845D3" w:rsidRDefault="00131607" w:rsidP="00131607">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To what extent does sickle cell disease affect your day-to-day life?</w:t>
            </w:r>
          </w:p>
        </w:tc>
        <w:tc>
          <w:tcPr>
            <w:tcW w:w="0" w:type="auto"/>
            <w:hideMark/>
          </w:tcPr>
          <w:p w14:paraId="4C981C34" w14:textId="77777777" w:rsidR="00131607" w:rsidRPr="00E845D3" w:rsidRDefault="00131607" w:rsidP="00131607">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Not at all; Slightly; Moderately; Severely</w:t>
            </w:r>
          </w:p>
        </w:tc>
        <w:tc>
          <w:tcPr>
            <w:tcW w:w="0" w:type="auto"/>
            <w:hideMark/>
          </w:tcPr>
          <w:p w14:paraId="027ED71A" w14:textId="77777777" w:rsidR="00131607" w:rsidRPr="00E845D3" w:rsidRDefault="00131607" w:rsidP="0013160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1–4</w:t>
            </w:r>
          </w:p>
        </w:tc>
      </w:tr>
      <w:tr w:rsidR="00131607" w:rsidRPr="00E845D3" w14:paraId="3B5C55E3" w14:textId="77777777" w:rsidTr="00131607">
        <w:tc>
          <w:tcPr>
            <w:cnfStyle w:val="001000000000" w:firstRow="0" w:lastRow="0" w:firstColumn="1" w:lastColumn="0" w:oddVBand="0" w:evenVBand="0" w:oddHBand="0" w:evenHBand="0" w:firstRowFirstColumn="0" w:firstRowLastColumn="0" w:lastRowFirstColumn="0" w:lastRowLastColumn="0"/>
            <w:tcW w:w="0" w:type="auto"/>
            <w:hideMark/>
          </w:tcPr>
          <w:p w14:paraId="6B66A768" w14:textId="77777777" w:rsidR="00131607" w:rsidRPr="00E845D3" w:rsidRDefault="00131607" w:rsidP="00131607">
            <w:pPr>
              <w:rPr>
                <w:rFonts w:eastAsia="Times New Roman" w:cs="Times New Roman"/>
                <w:sz w:val="24"/>
                <w:szCs w:val="24"/>
              </w:rPr>
            </w:pPr>
            <w:r w:rsidRPr="00E845D3">
              <w:rPr>
                <w:rFonts w:eastAsia="Times New Roman" w:cs="Times New Roman"/>
                <w:sz w:val="24"/>
                <w:szCs w:val="24"/>
              </w:rPr>
              <w:t>Missed work/school</w:t>
            </w:r>
          </w:p>
        </w:tc>
        <w:tc>
          <w:tcPr>
            <w:tcW w:w="0" w:type="auto"/>
            <w:hideMark/>
          </w:tcPr>
          <w:p w14:paraId="5C311F7D" w14:textId="77777777" w:rsidR="00131607" w:rsidRPr="00E845D3" w:rsidRDefault="00131607" w:rsidP="00131607">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How often do you miss work or school because of sickle cell disease?</w:t>
            </w:r>
          </w:p>
        </w:tc>
        <w:tc>
          <w:tcPr>
            <w:tcW w:w="0" w:type="auto"/>
            <w:hideMark/>
          </w:tcPr>
          <w:p w14:paraId="6391EF07" w14:textId="77777777" w:rsidR="00131607" w:rsidRPr="00E845D3" w:rsidRDefault="00131607" w:rsidP="00131607">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Never; Occasionally; Frequently; Very frequently</w:t>
            </w:r>
          </w:p>
        </w:tc>
        <w:tc>
          <w:tcPr>
            <w:tcW w:w="0" w:type="auto"/>
            <w:hideMark/>
          </w:tcPr>
          <w:p w14:paraId="708BB99B" w14:textId="77777777" w:rsidR="00131607" w:rsidRPr="00E845D3" w:rsidRDefault="00131607" w:rsidP="0013160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1–4</w:t>
            </w:r>
          </w:p>
        </w:tc>
      </w:tr>
      <w:tr w:rsidR="00131607" w:rsidRPr="00E845D3" w14:paraId="0FE0DAA7" w14:textId="77777777" w:rsidTr="00131607">
        <w:tc>
          <w:tcPr>
            <w:cnfStyle w:val="001000000000" w:firstRow="0" w:lastRow="0" w:firstColumn="1" w:lastColumn="0" w:oddVBand="0" w:evenVBand="0" w:oddHBand="0" w:evenHBand="0" w:firstRowFirstColumn="0" w:firstRowLastColumn="0" w:lastRowFirstColumn="0" w:lastRowLastColumn="0"/>
            <w:tcW w:w="0" w:type="auto"/>
            <w:hideMark/>
          </w:tcPr>
          <w:p w14:paraId="6057B290" w14:textId="77777777" w:rsidR="00131607" w:rsidRPr="00E845D3" w:rsidRDefault="00131607" w:rsidP="00131607">
            <w:pPr>
              <w:rPr>
                <w:rFonts w:eastAsia="Times New Roman" w:cs="Times New Roman"/>
                <w:sz w:val="24"/>
                <w:szCs w:val="24"/>
              </w:rPr>
            </w:pPr>
            <w:r w:rsidRPr="00E845D3">
              <w:rPr>
                <w:rFonts w:eastAsia="Times New Roman" w:cs="Times New Roman"/>
                <w:sz w:val="24"/>
                <w:szCs w:val="24"/>
              </w:rPr>
              <w:t>Painful crises (past 12 months)</w:t>
            </w:r>
          </w:p>
        </w:tc>
        <w:tc>
          <w:tcPr>
            <w:tcW w:w="0" w:type="auto"/>
            <w:hideMark/>
          </w:tcPr>
          <w:p w14:paraId="1F6A3AFF" w14:textId="77777777" w:rsidR="00131607" w:rsidRPr="00E845D3" w:rsidRDefault="00131607" w:rsidP="00131607">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How many painful crises have you had in the last 12 months?</w:t>
            </w:r>
          </w:p>
        </w:tc>
        <w:tc>
          <w:tcPr>
            <w:tcW w:w="0" w:type="auto"/>
            <w:hideMark/>
          </w:tcPr>
          <w:p w14:paraId="496605B4" w14:textId="77777777" w:rsidR="00131607" w:rsidRPr="00E845D3" w:rsidRDefault="00131607" w:rsidP="00131607">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1–2; 3–5; &gt;5</w:t>
            </w:r>
          </w:p>
        </w:tc>
        <w:tc>
          <w:tcPr>
            <w:tcW w:w="0" w:type="auto"/>
            <w:hideMark/>
          </w:tcPr>
          <w:p w14:paraId="69F5A5A7" w14:textId="77777777" w:rsidR="00131607" w:rsidRPr="00E845D3" w:rsidRDefault="00131607" w:rsidP="0013160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1.5, 4, 6</w:t>
            </w:r>
          </w:p>
        </w:tc>
      </w:tr>
      <w:tr w:rsidR="00131607" w:rsidRPr="00E845D3" w14:paraId="137144F2" w14:textId="77777777" w:rsidTr="00131607">
        <w:tc>
          <w:tcPr>
            <w:cnfStyle w:val="001000000000" w:firstRow="0" w:lastRow="0" w:firstColumn="1" w:lastColumn="0" w:oddVBand="0" w:evenVBand="0" w:oddHBand="0" w:evenHBand="0" w:firstRowFirstColumn="0" w:firstRowLastColumn="0" w:lastRowFirstColumn="0" w:lastRowLastColumn="0"/>
            <w:tcW w:w="0" w:type="auto"/>
            <w:hideMark/>
          </w:tcPr>
          <w:p w14:paraId="4030EA1F" w14:textId="77777777" w:rsidR="00131607" w:rsidRPr="00E845D3" w:rsidRDefault="00131607" w:rsidP="00131607">
            <w:pPr>
              <w:rPr>
                <w:rFonts w:eastAsia="Times New Roman" w:cs="Times New Roman"/>
                <w:sz w:val="24"/>
                <w:szCs w:val="24"/>
              </w:rPr>
            </w:pPr>
            <w:r w:rsidRPr="00E845D3">
              <w:rPr>
                <w:rFonts w:eastAsia="Times New Roman" w:cs="Times New Roman"/>
                <w:sz w:val="24"/>
                <w:szCs w:val="24"/>
              </w:rPr>
              <w:t>Hospital admissions (past 12 months)</w:t>
            </w:r>
          </w:p>
        </w:tc>
        <w:tc>
          <w:tcPr>
            <w:tcW w:w="0" w:type="auto"/>
            <w:hideMark/>
          </w:tcPr>
          <w:p w14:paraId="2F927C9B" w14:textId="77777777" w:rsidR="00131607" w:rsidRPr="00E845D3" w:rsidRDefault="00131607" w:rsidP="00131607">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How many times have you been admitted to hospital in the last 12 months?</w:t>
            </w:r>
          </w:p>
        </w:tc>
        <w:tc>
          <w:tcPr>
            <w:tcW w:w="0" w:type="auto"/>
            <w:hideMark/>
          </w:tcPr>
          <w:p w14:paraId="21C31BE1" w14:textId="77777777" w:rsidR="00131607" w:rsidRPr="00E845D3" w:rsidRDefault="00131607" w:rsidP="00131607">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0; 1; 2–3; &gt;3</w:t>
            </w:r>
          </w:p>
        </w:tc>
        <w:tc>
          <w:tcPr>
            <w:tcW w:w="0" w:type="auto"/>
            <w:hideMark/>
          </w:tcPr>
          <w:p w14:paraId="55114AD9" w14:textId="77777777" w:rsidR="00131607" w:rsidRPr="00E845D3" w:rsidRDefault="00131607" w:rsidP="0013160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0, 1, 2.5, 4</w:t>
            </w:r>
          </w:p>
        </w:tc>
      </w:tr>
    </w:tbl>
    <w:p w14:paraId="1EE35211" w14:textId="2700E2C6" w:rsidR="00965601" w:rsidRPr="00E845D3" w:rsidRDefault="00131607" w:rsidP="0087275B">
      <w:pPr>
        <w:spacing w:line="360" w:lineRule="auto"/>
        <w:jc w:val="both"/>
        <w:rPr>
          <w:rFonts w:asciiTheme="majorHAnsi" w:hAnsiTheme="majorHAnsi" w:cstheme="majorHAnsi"/>
          <w:sz w:val="24"/>
          <w:szCs w:val="24"/>
        </w:rPr>
      </w:pPr>
      <w:r w:rsidRPr="00E845D3">
        <w:rPr>
          <w:rFonts w:asciiTheme="majorHAnsi" w:hAnsiTheme="majorHAnsi" w:cstheme="majorHAnsi"/>
          <w:sz w:val="24"/>
          <w:szCs w:val="24"/>
        </w:rPr>
        <w:t>Each domain was converted to a numerical score, with higher values indicating greater disease burden. For categorical frequency ranges (painful crises and hospital admissions), mid-point estimates were assigned. The disease burden composite score was calculated as the mean of the four domain scores for each respondent.</w:t>
      </w:r>
    </w:p>
    <w:p w14:paraId="78298A6E" w14:textId="7A95770C" w:rsidR="00705A59" w:rsidRPr="00E845D3" w:rsidRDefault="00705A59" w:rsidP="00705A59">
      <w:pPr>
        <w:spacing w:line="360" w:lineRule="auto"/>
        <w:rPr>
          <w:rFonts w:asciiTheme="majorHAnsi" w:hAnsiTheme="majorHAnsi" w:cstheme="majorHAnsi"/>
        </w:rPr>
      </w:pPr>
      <w:r w:rsidRPr="00E845D3">
        <w:rPr>
          <w:rFonts w:asciiTheme="majorHAnsi" w:hAnsiTheme="majorHAnsi" w:cstheme="majorHAnsi"/>
        </w:rPr>
        <w:t xml:space="preserve">Table </w:t>
      </w:r>
      <w:r w:rsidR="00F001E5">
        <w:rPr>
          <w:rFonts w:asciiTheme="majorHAnsi" w:hAnsiTheme="majorHAnsi" w:cstheme="majorHAnsi"/>
        </w:rPr>
        <w:t>4</w:t>
      </w:r>
      <w:r w:rsidRPr="00E845D3">
        <w:rPr>
          <w:rFonts w:asciiTheme="majorHAnsi" w:hAnsiTheme="majorHAnsi" w:cstheme="majorHAnsi"/>
        </w:rPr>
        <w:t xml:space="preserve">. </w:t>
      </w:r>
      <w:r w:rsidR="005261E6" w:rsidRPr="00E845D3">
        <w:rPr>
          <w:rFonts w:asciiTheme="majorHAnsi" w:hAnsiTheme="majorHAnsi" w:cstheme="majorHAnsi"/>
        </w:rPr>
        <w:t>Self-reported a</w:t>
      </w:r>
      <w:r w:rsidRPr="00E845D3">
        <w:rPr>
          <w:rFonts w:asciiTheme="majorHAnsi" w:hAnsiTheme="majorHAnsi" w:cstheme="majorHAnsi"/>
        </w:rPr>
        <w:t>dherence</w:t>
      </w:r>
      <w:r w:rsidR="005261E6" w:rsidRPr="00E845D3">
        <w:rPr>
          <w:rFonts w:asciiTheme="majorHAnsi" w:hAnsiTheme="majorHAnsi" w:cstheme="majorHAnsi"/>
        </w:rPr>
        <w:t xml:space="preserve"> to Hydroxyurea in 50 current users</w:t>
      </w:r>
    </w:p>
    <w:tbl>
      <w:tblPr>
        <w:tblStyle w:val="TableGrid"/>
        <w:tblW w:w="0" w:type="auto"/>
        <w:jc w:val="center"/>
        <w:tblLook w:val="04A0" w:firstRow="1" w:lastRow="0" w:firstColumn="1" w:lastColumn="0" w:noHBand="0" w:noVBand="1"/>
      </w:tblPr>
      <w:tblGrid>
        <w:gridCol w:w="3309"/>
        <w:gridCol w:w="3308"/>
        <w:gridCol w:w="3309"/>
      </w:tblGrid>
      <w:tr w:rsidR="00705A59" w:rsidRPr="00E845D3" w14:paraId="0B190146" w14:textId="77777777" w:rsidTr="00B42819">
        <w:trPr>
          <w:jc w:val="center"/>
        </w:trPr>
        <w:tc>
          <w:tcPr>
            <w:tcW w:w="3312" w:type="dxa"/>
            <w:shd w:val="clear" w:color="auto" w:fill="D9EAF7"/>
          </w:tcPr>
          <w:p w14:paraId="6CB0A5F4"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b/>
                <w:sz w:val="18"/>
              </w:rPr>
              <w:t>Category</w:t>
            </w:r>
          </w:p>
        </w:tc>
        <w:tc>
          <w:tcPr>
            <w:tcW w:w="3312" w:type="dxa"/>
            <w:shd w:val="clear" w:color="auto" w:fill="D9EAF7"/>
          </w:tcPr>
          <w:p w14:paraId="4FDB758E"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b/>
                <w:sz w:val="18"/>
              </w:rPr>
              <w:t>n</w:t>
            </w:r>
          </w:p>
        </w:tc>
        <w:tc>
          <w:tcPr>
            <w:tcW w:w="3312" w:type="dxa"/>
            <w:shd w:val="clear" w:color="auto" w:fill="D9EAF7"/>
          </w:tcPr>
          <w:p w14:paraId="3139A26D"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b/>
                <w:sz w:val="18"/>
              </w:rPr>
              <w:t>%</w:t>
            </w:r>
          </w:p>
        </w:tc>
      </w:tr>
      <w:tr w:rsidR="00705A59" w:rsidRPr="00E845D3" w14:paraId="56155FEA" w14:textId="77777777" w:rsidTr="00B42819">
        <w:trPr>
          <w:jc w:val="center"/>
        </w:trPr>
        <w:tc>
          <w:tcPr>
            <w:tcW w:w="3312" w:type="dxa"/>
          </w:tcPr>
          <w:p w14:paraId="59528D74"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8"/>
              </w:rPr>
              <w:t>Always as prescribed</w:t>
            </w:r>
          </w:p>
        </w:tc>
        <w:tc>
          <w:tcPr>
            <w:tcW w:w="3312" w:type="dxa"/>
          </w:tcPr>
          <w:p w14:paraId="4F098FBA"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8"/>
              </w:rPr>
              <w:t>36</w:t>
            </w:r>
          </w:p>
        </w:tc>
        <w:tc>
          <w:tcPr>
            <w:tcW w:w="3312" w:type="dxa"/>
          </w:tcPr>
          <w:p w14:paraId="3CDBC4B0"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8"/>
              </w:rPr>
              <w:t>72.0</w:t>
            </w:r>
          </w:p>
        </w:tc>
      </w:tr>
      <w:tr w:rsidR="00705A59" w:rsidRPr="00E845D3" w14:paraId="01225BE7" w14:textId="77777777" w:rsidTr="00B42819">
        <w:trPr>
          <w:jc w:val="center"/>
        </w:trPr>
        <w:tc>
          <w:tcPr>
            <w:tcW w:w="3312" w:type="dxa"/>
          </w:tcPr>
          <w:p w14:paraId="0D0D74E5"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8"/>
              </w:rPr>
              <w:t>Sometimes</w:t>
            </w:r>
          </w:p>
        </w:tc>
        <w:tc>
          <w:tcPr>
            <w:tcW w:w="3312" w:type="dxa"/>
          </w:tcPr>
          <w:p w14:paraId="584A2359"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8"/>
              </w:rPr>
              <w:t>13</w:t>
            </w:r>
          </w:p>
        </w:tc>
        <w:tc>
          <w:tcPr>
            <w:tcW w:w="3312" w:type="dxa"/>
          </w:tcPr>
          <w:p w14:paraId="2F3AE2FA"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8"/>
              </w:rPr>
              <w:t>26.0</w:t>
            </w:r>
          </w:p>
        </w:tc>
      </w:tr>
      <w:tr w:rsidR="00705A59" w:rsidRPr="00E845D3" w14:paraId="4FEAE220" w14:textId="77777777" w:rsidTr="00B42819">
        <w:trPr>
          <w:jc w:val="center"/>
        </w:trPr>
        <w:tc>
          <w:tcPr>
            <w:tcW w:w="3312" w:type="dxa"/>
          </w:tcPr>
          <w:p w14:paraId="1E2C608C"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8"/>
              </w:rPr>
              <w:t>Rarely</w:t>
            </w:r>
          </w:p>
        </w:tc>
        <w:tc>
          <w:tcPr>
            <w:tcW w:w="3312" w:type="dxa"/>
          </w:tcPr>
          <w:p w14:paraId="2780941C"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8"/>
              </w:rPr>
              <w:t>1</w:t>
            </w:r>
          </w:p>
        </w:tc>
        <w:tc>
          <w:tcPr>
            <w:tcW w:w="3312" w:type="dxa"/>
          </w:tcPr>
          <w:p w14:paraId="0ABEAC76"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8"/>
              </w:rPr>
              <w:t>2.0</w:t>
            </w:r>
          </w:p>
        </w:tc>
      </w:tr>
    </w:tbl>
    <w:p w14:paraId="00F1D11D" w14:textId="573F7720" w:rsidR="00705A59" w:rsidRPr="00E845D3" w:rsidRDefault="00705A59" w:rsidP="00705A59">
      <w:pPr>
        <w:spacing w:line="360" w:lineRule="auto"/>
        <w:rPr>
          <w:rFonts w:asciiTheme="majorHAnsi" w:hAnsiTheme="majorHAnsi" w:cstheme="majorHAnsi"/>
        </w:rPr>
      </w:pPr>
    </w:p>
    <w:p w14:paraId="45C058E5" w14:textId="77777777" w:rsidR="005261E6" w:rsidRPr="00E845D3" w:rsidRDefault="005261E6" w:rsidP="005261E6">
      <w:pPr>
        <w:spacing w:line="360" w:lineRule="auto"/>
        <w:rPr>
          <w:rFonts w:asciiTheme="majorHAnsi" w:hAnsiTheme="majorHAnsi" w:cstheme="majorHAnsi"/>
        </w:rPr>
      </w:pPr>
    </w:p>
    <w:p w14:paraId="7F1F1AA3" w14:textId="77777777" w:rsidR="005261E6" w:rsidRPr="00E845D3" w:rsidRDefault="005261E6" w:rsidP="005261E6">
      <w:pPr>
        <w:spacing w:line="360" w:lineRule="auto"/>
        <w:rPr>
          <w:rFonts w:asciiTheme="majorHAnsi" w:hAnsiTheme="majorHAnsi" w:cstheme="majorHAnsi"/>
        </w:rPr>
      </w:pPr>
      <w:r w:rsidRPr="00E845D3">
        <w:rPr>
          <w:rFonts w:asciiTheme="majorHAnsi" w:hAnsiTheme="majorHAnsi" w:cstheme="majorHAnsi"/>
          <w:noProof/>
        </w:rPr>
        <w:drawing>
          <wp:inline distT="0" distB="0" distL="0" distR="0" wp14:anchorId="2E4DA28D" wp14:editId="7361D3C9">
            <wp:extent cx="6035040" cy="3154952"/>
            <wp:effectExtent l="0" t="0" r="0" b="0"/>
            <wp:docPr id="4" name="Picture 4" descr="The diagram indicates that among the respondents, 33% find the medication expensive, 14% report side effects, 22% experience no major challenge, 3% forget doses, and 2% say it is not readily avail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e diagram indicates that among the respondents, 33% find the medication expensive, 14% report side effects, 22% experience no major challenge, 3% forget doses, and 2% say it is not readily available.&#10;&#10;AI-generated content may be incorrect."/>
                    <pic:cNvPicPr/>
                  </pic:nvPicPr>
                  <pic:blipFill>
                    <a:blip r:embed="rId10"/>
                    <a:stretch>
                      <a:fillRect/>
                    </a:stretch>
                  </pic:blipFill>
                  <pic:spPr>
                    <a:xfrm>
                      <a:off x="0" y="0"/>
                      <a:ext cx="6035040" cy="3154952"/>
                    </a:xfrm>
                    <a:prstGeom prst="rect">
                      <a:avLst/>
                    </a:prstGeom>
                  </pic:spPr>
                </pic:pic>
              </a:graphicData>
            </a:graphic>
          </wp:inline>
        </w:drawing>
      </w:r>
    </w:p>
    <w:p w14:paraId="674DCA0F" w14:textId="1C349E5F" w:rsidR="005261E6" w:rsidRPr="00E845D3" w:rsidRDefault="005261E6" w:rsidP="005261E6">
      <w:pPr>
        <w:spacing w:line="360" w:lineRule="auto"/>
        <w:rPr>
          <w:rFonts w:asciiTheme="majorHAnsi" w:hAnsiTheme="majorHAnsi" w:cstheme="majorHAnsi"/>
        </w:rPr>
      </w:pPr>
      <w:r w:rsidRPr="00E845D3">
        <w:rPr>
          <w:rFonts w:asciiTheme="majorHAnsi" w:hAnsiTheme="majorHAnsi" w:cstheme="majorHAnsi"/>
        </w:rPr>
        <w:t xml:space="preserve">Figure 3. Barriers to hydroxyurea use among respondents </w:t>
      </w:r>
    </w:p>
    <w:p w14:paraId="7A61A459" w14:textId="77777777" w:rsidR="005261E6" w:rsidRPr="00E845D3" w:rsidRDefault="005261E6" w:rsidP="00705A59">
      <w:pPr>
        <w:spacing w:line="360" w:lineRule="auto"/>
        <w:rPr>
          <w:rFonts w:asciiTheme="majorHAnsi" w:hAnsiTheme="majorHAnsi" w:cstheme="majorHAnsi"/>
        </w:rPr>
      </w:pPr>
    </w:p>
    <w:p w14:paraId="36DFA577" w14:textId="1906B143" w:rsidR="006D0E01" w:rsidRPr="00E845D3" w:rsidRDefault="00305C7D" w:rsidP="0087275B">
      <w:pPr>
        <w:spacing w:line="360" w:lineRule="auto"/>
        <w:jc w:val="both"/>
        <w:rPr>
          <w:rFonts w:asciiTheme="majorHAnsi" w:hAnsiTheme="majorHAnsi" w:cstheme="majorHAnsi"/>
          <w:sz w:val="24"/>
          <w:szCs w:val="24"/>
        </w:rPr>
      </w:pPr>
      <w:r w:rsidRPr="00E845D3">
        <w:rPr>
          <w:rFonts w:asciiTheme="majorHAnsi" w:hAnsiTheme="majorHAnsi" w:cstheme="majorHAnsi"/>
          <w:sz w:val="24"/>
          <w:szCs w:val="24"/>
        </w:rPr>
        <w:t xml:space="preserve">In the adjusted uptake model that included age, sex, higher education, income ≥N100,000, and disease burden, only disease burden remained independently associated with current hydroxyurea </w:t>
      </w:r>
      <w:r w:rsidR="00DA4B47" w:rsidRPr="00E845D3">
        <w:rPr>
          <w:rFonts w:asciiTheme="majorHAnsi" w:hAnsiTheme="majorHAnsi" w:cstheme="majorHAnsi"/>
          <w:sz w:val="24"/>
          <w:szCs w:val="24"/>
        </w:rPr>
        <w:t>use</w:t>
      </w:r>
      <w:r w:rsidRPr="00E845D3">
        <w:rPr>
          <w:rFonts w:asciiTheme="majorHAnsi" w:hAnsiTheme="majorHAnsi" w:cstheme="majorHAnsi"/>
          <w:sz w:val="24"/>
          <w:szCs w:val="24"/>
        </w:rPr>
        <w:t xml:space="preserve"> (</w:t>
      </w:r>
      <w:proofErr w:type="spellStart"/>
      <w:r w:rsidRPr="00E845D3">
        <w:rPr>
          <w:rFonts w:asciiTheme="majorHAnsi" w:hAnsiTheme="majorHAnsi" w:cstheme="majorHAnsi"/>
          <w:sz w:val="24"/>
          <w:szCs w:val="24"/>
        </w:rPr>
        <w:t>aOR</w:t>
      </w:r>
      <w:proofErr w:type="spellEnd"/>
      <w:r w:rsidRPr="00E845D3">
        <w:rPr>
          <w:rFonts w:asciiTheme="majorHAnsi" w:hAnsiTheme="majorHAnsi" w:cstheme="majorHAnsi"/>
          <w:sz w:val="24"/>
          <w:szCs w:val="24"/>
        </w:rPr>
        <w:t xml:space="preserve"> 2.06, 95% CI 1.02–4.13; p=0.043). Monthly income ≥N100,000 showed a positive but non-significant direction of association (</w:t>
      </w:r>
      <w:proofErr w:type="spellStart"/>
      <w:r w:rsidRPr="00E845D3">
        <w:rPr>
          <w:rFonts w:asciiTheme="majorHAnsi" w:hAnsiTheme="majorHAnsi" w:cstheme="majorHAnsi"/>
          <w:sz w:val="24"/>
          <w:szCs w:val="24"/>
        </w:rPr>
        <w:t>aOR</w:t>
      </w:r>
      <w:proofErr w:type="spellEnd"/>
      <w:r w:rsidRPr="00E845D3">
        <w:rPr>
          <w:rFonts w:asciiTheme="majorHAnsi" w:hAnsiTheme="majorHAnsi" w:cstheme="majorHAnsi"/>
          <w:sz w:val="24"/>
          <w:szCs w:val="24"/>
        </w:rPr>
        <w:t xml:space="preserve"> 1.88; p=0.198). The model had modest discrimination (</w:t>
      </w:r>
      <w:r w:rsidR="00DA4B47" w:rsidRPr="00E845D3">
        <w:rPr>
          <w:rFonts w:asciiTheme="majorHAnsi" w:hAnsiTheme="majorHAnsi" w:cstheme="majorHAnsi"/>
          <w:sz w:val="24"/>
          <w:szCs w:val="24"/>
        </w:rPr>
        <w:t xml:space="preserve">Area under curve- </w:t>
      </w:r>
      <w:r w:rsidRPr="00E845D3">
        <w:rPr>
          <w:rFonts w:asciiTheme="majorHAnsi" w:hAnsiTheme="majorHAnsi" w:cstheme="majorHAnsi"/>
          <w:sz w:val="24"/>
          <w:szCs w:val="24"/>
        </w:rPr>
        <w:t>AUC</w:t>
      </w:r>
      <w:r w:rsidR="00DA4B47" w:rsidRPr="00E845D3">
        <w:rPr>
          <w:rFonts w:asciiTheme="majorHAnsi" w:hAnsiTheme="majorHAnsi" w:cstheme="majorHAnsi"/>
          <w:sz w:val="24"/>
          <w:szCs w:val="24"/>
        </w:rPr>
        <w:t>-</w:t>
      </w:r>
      <w:r w:rsidRPr="00E845D3">
        <w:rPr>
          <w:rFonts w:asciiTheme="majorHAnsi" w:hAnsiTheme="majorHAnsi" w:cstheme="majorHAnsi"/>
          <w:sz w:val="24"/>
          <w:szCs w:val="24"/>
        </w:rPr>
        <w:t xml:space="preserve"> 0.64). </w:t>
      </w:r>
    </w:p>
    <w:p w14:paraId="2A2C3780" w14:textId="77777777" w:rsidR="00705A59" w:rsidRPr="00E845D3" w:rsidRDefault="00705A59" w:rsidP="00705A59">
      <w:pPr>
        <w:spacing w:line="360" w:lineRule="auto"/>
        <w:rPr>
          <w:rFonts w:asciiTheme="majorHAnsi" w:hAnsiTheme="majorHAnsi" w:cstheme="majorHAnsi"/>
        </w:rPr>
      </w:pPr>
      <w:r w:rsidRPr="00E845D3">
        <w:rPr>
          <w:rFonts w:asciiTheme="majorHAnsi" w:hAnsiTheme="majorHAnsi" w:cstheme="majorHAnsi"/>
          <w:noProof/>
        </w:rPr>
        <w:lastRenderedPageBreak/>
        <w:drawing>
          <wp:inline distT="0" distB="0" distL="0" distR="0" wp14:anchorId="7D11A262" wp14:editId="256178B0">
            <wp:extent cx="6035040" cy="5890542"/>
            <wp:effectExtent l="0" t="0" r="0" b="0"/>
            <wp:docPr id="2" name="Picture 2" descr="The image is a statistical diagram displaying adjusted odds ratios on a logarithmic scale for factors influencing health outcomes, such as uptake, discontinuation, adherence, and perceived improvement, across different age groups, genders, and income brackets, adjusted for disease burd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image is a statistical diagram displaying adjusted odds ratios on a logarithmic scale for factors influencing health outcomes, such as uptake, discontinuation, adherence, and perceived improvement, across different age groups, genders, and income brackets, adjusted for disease burden.&#10;&#10;AI-generated content may be incorrect."/>
                    <pic:cNvPicPr/>
                  </pic:nvPicPr>
                  <pic:blipFill>
                    <a:blip r:embed="rId11"/>
                    <a:stretch>
                      <a:fillRect/>
                    </a:stretch>
                  </pic:blipFill>
                  <pic:spPr>
                    <a:xfrm>
                      <a:off x="0" y="0"/>
                      <a:ext cx="6035040" cy="5890542"/>
                    </a:xfrm>
                    <a:prstGeom prst="rect">
                      <a:avLst/>
                    </a:prstGeom>
                  </pic:spPr>
                </pic:pic>
              </a:graphicData>
            </a:graphic>
          </wp:inline>
        </w:drawing>
      </w:r>
    </w:p>
    <w:p w14:paraId="7D59E776" w14:textId="5784CD60" w:rsidR="00705A59" w:rsidRPr="00E845D3" w:rsidRDefault="00705A59" w:rsidP="00705A59">
      <w:pPr>
        <w:spacing w:line="360" w:lineRule="auto"/>
        <w:rPr>
          <w:rFonts w:asciiTheme="majorHAnsi" w:hAnsiTheme="majorHAnsi" w:cstheme="majorHAnsi"/>
        </w:rPr>
      </w:pPr>
      <w:r w:rsidRPr="00E845D3">
        <w:rPr>
          <w:rFonts w:asciiTheme="majorHAnsi" w:hAnsiTheme="majorHAnsi" w:cstheme="majorHAnsi"/>
        </w:rPr>
        <w:t xml:space="preserve">Figure </w:t>
      </w:r>
      <w:r w:rsidR="005261E6" w:rsidRPr="00E845D3">
        <w:rPr>
          <w:rFonts w:asciiTheme="majorHAnsi" w:hAnsiTheme="majorHAnsi" w:cstheme="majorHAnsi"/>
        </w:rPr>
        <w:t>4</w:t>
      </w:r>
      <w:r w:rsidRPr="00E845D3">
        <w:rPr>
          <w:rFonts w:asciiTheme="majorHAnsi" w:hAnsiTheme="majorHAnsi" w:cstheme="majorHAnsi"/>
        </w:rPr>
        <w:t xml:space="preserve">. Forest plot of adjusted odds ratios from the multivariable models. Uptake was more likely in respondents with higher disease burden, whereas adherence and better patient-reported outcome were less likely as disease burden increased. </w:t>
      </w:r>
    </w:p>
    <w:p w14:paraId="3623646B" w14:textId="77777777" w:rsidR="00705A59" w:rsidRPr="00E845D3" w:rsidRDefault="00705A59" w:rsidP="0087275B">
      <w:pPr>
        <w:spacing w:line="360" w:lineRule="auto"/>
        <w:jc w:val="both"/>
        <w:rPr>
          <w:rFonts w:asciiTheme="majorHAnsi" w:hAnsiTheme="majorHAnsi" w:cstheme="majorHAnsi"/>
          <w:sz w:val="24"/>
          <w:szCs w:val="24"/>
        </w:rPr>
      </w:pPr>
    </w:p>
    <w:p w14:paraId="51115EC7" w14:textId="4884394E" w:rsidR="006D0E01" w:rsidRPr="00E845D3" w:rsidRDefault="00D7436A" w:rsidP="0087275B">
      <w:pPr>
        <w:spacing w:line="360" w:lineRule="auto"/>
        <w:jc w:val="both"/>
        <w:rPr>
          <w:rFonts w:asciiTheme="majorHAnsi" w:hAnsiTheme="majorHAnsi" w:cstheme="majorHAnsi"/>
          <w:sz w:val="24"/>
          <w:szCs w:val="24"/>
        </w:rPr>
      </w:pPr>
      <w:r w:rsidRPr="00E845D3">
        <w:rPr>
          <w:rFonts w:asciiTheme="majorHAnsi" w:hAnsiTheme="majorHAnsi" w:cstheme="majorHAnsi"/>
          <w:sz w:val="24"/>
          <w:szCs w:val="24"/>
        </w:rPr>
        <w:t xml:space="preserve">Adherence to hydroxyurea was assessed using self-reported medication-taking </w:t>
      </w:r>
      <w:proofErr w:type="spellStart"/>
      <w:r w:rsidRPr="00E845D3">
        <w:rPr>
          <w:rFonts w:asciiTheme="majorHAnsi" w:hAnsiTheme="majorHAnsi" w:cstheme="majorHAnsi"/>
          <w:sz w:val="24"/>
          <w:szCs w:val="24"/>
        </w:rPr>
        <w:t>behaviour</w:t>
      </w:r>
      <w:proofErr w:type="spellEnd"/>
      <w:r w:rsidRPr="00E845D3">
        <w:rPr>
          <w:rFonts w:asciiTheme="majorHAnsi" w:hAnsiTheme="majorHAnsi" w:cstheme="majorHAnsi"/>
          <w:sz w:val="24"/>
          <w:szCs w:val="24"/>
        </w:rPr>
        <w:t xml:space="preserve"> based on the question: “If you are on hydroxyurea, how regularly do you take it?” Responses were categori</w:t>
      </w:r>
      <w:r w:rsidR="00440037" w:rsidRPr="00E845D3">
        <w:rPr>
          <w:rFonts w:asciiTheme="majorHAnsi" w:hAnsiTheme="majorHAnsi" w:cstheme="majorHAnsi"/>
          <w:sz w:val="24"/>
          <w:szCs w:val="24"/>
        </w:rPr>
        <w:t>z</w:t>
      </w:r>
      <w:r w:rsidRPr="00E845D3">
        <w:rPr>
          <w:rFonts w:asciiTheme="majorHAnsi" w:hAnsiTheme="majorHAnsi" w:cstheme="majorHAnsi"/>
          <w:sz w:val="24"/>
          <w:szCs w:val="24"/>
        </w:rPr>
        <w:t>ed as “always as prescribed,” “sometimes,” or “rarely</w:t>
      </w:r>
      <w:r w:rsidR="00440037" w:rsidRPr="00E845D3">
        <w:rPr>
          <w:rFonts w:asciiTheme="majorHAnsi" w:hAnsiTheme="majorHAnsi" w:cstheme="majorHAnsi"/>
          <w:sz w:val="24"/>
          <w:szCs w:val="24"/>
        </w:rPr>
        <w:t xml:space="preserve">” and </w:t>
      </w:r>
      <w:r w:rsidRPr="00E845D3">
        <w:rPr>
          <w:rFonts w:asciiTheme="majorHAnsi" w:hAnsiTheme="majorHAnsi" w:cstheme="majorHAnsi"/>
          <w:sz w:val="24"/>
          <w:szCs w:val="24"/>
        </w:rPr>
        <w:t>dichotomi</w:t>
      </w:r>
      <w:r w:rsidR="00440037" w:rsidRPr="00E845D3">
        <w:rPr>
          <w:rFonts w:asciiTheme="majorHAnsi" w:hAnsiTheme="majorHAnsi" w:cstheme="majorHAnsi"/>
          <w:sz w:val="24"/>
          <w:szCs w:val="24"/>
        </w:rPr>
        <w:t>z</w:t>
      </w:r>
      <w:r w:rsidRPr="00E845D3">
        <w:rPr>
          <w:rFonts w:asciiTheme="majorHAnsi" w:hAnsiTheme="majorHAnsi" w:cstheme="majorHAnsi"/>
          <w:sz w:val="24"/>
          <w:szCs w:val="24"/>
        </w:rPr>
        <w:t xml:space="preserve">ed into adherent (“always as prescribed”) and non-adherent (“sometimes” or “rarely”). In the adherence model among current </w:t>
      </w:r>
      <w:r w:rsidRPr="00E845D3">
        <w:rPr>
          <w:rFonts w:asciiTheme="majorHAnsi" w:hAnsiTheme="majorHAnsi" w:cstheme="majorHAnsi"/>
          <w:sz w:val="24"/>
          <w:szCs w:val="24"/>
        </w:rPr>
        <w:lastRenderedPageBreak/>
        <w:t>users, higher disease burden independently predicted lower odds of full adherence (</w:t>
      </w:r>
      <w:proofErr w:type="spellStart"/>
      <w:r w:rsidRPr="00E845D3">
        <w:rPr>
          <w:rFonts w:asciiTheme="majorHAnsi" w:hAnsiTheme="majorHAnsi" w:cstheme="majorHAnsi"/>
          <w:sz w:val="24"/>
          <w:szCs w:val="24"/>
        </w:rPr>
        <w:t>aOR</w:t>
      </w:r>
      <w:proofErr w:type="spellEnd"/>
      <w:r w:rsidRPr="00E845D3">
        <w:rPr>
          <w:rFonts w:asciiTheme="majorHAnsi" w:hAnsiTheme="majorHAnsi" w:cstheme="majorHAnsi"/>
          <w:sz w:val="24"/>
          <w:szCs w:val="24"/>
        </w:rPr>
        <w:t xml:space="preserve"> 0.27, 95% CI 0.08–0.89; p=0.032). Age, sex, and income were not independently associated with adherence. The model showed acceptable discrimination (AUC 0.72). </w:t>
      </w:r>
    </w:p>
    <w:p w14:paraId="226DE46B" w14:textId="646E424A" w:rsidR="006D0E01" w:rsidRPr="00E845D3" w:rsidRDefault="00305C7D" w:rsidP="0087275B">
      <w:pPr>
        <w:spacing w:line="360" w:lineRule="auto"/>
        <w:jc w:val="both"/>
        <w:rPr>
          <w:rFonts w:asciiTheme="majorHAnsi" w:hAnsiTheme="majorHAnsi" w:cstheme="majorHAnsi"/>
          <w:sz w:val="24"/>
          <w:szCs w:val="24"/>
        </w:rPr>
      </w:pPr>
      <w:r w:rsidRPr="00E845D3">
        <w:rPr>
          <w:rFonts w:asciiTheme="majorHAnsi" w:hAnsiTheme="majorHAnsi" w:cstheme="majorHAnsi"/>
          <w:sz w:val="24"/>
          <w:szCs w:val="24"/>
        </w:rPr>
        <w:t>In the model for high QoL composite score, current hydroxyurea use was not independently associated with better outcome after adjustment (</w:t>
      </w:r>
      <w:proofErr w:type="spellStart"/>
      <w:r w:rsidRPr="00E845D3">
        <w:rPr>
          <w:rFonts w:asciiTheme="majorHAnsi" w:hAnsiTheme="majorHAnsi" w:cstheme="majorHAnsi"/>
          <w:sz w:val="24"/>
          <w:szCs w:val="24"/>
        </w:rPr>
        <w:t>aOR</w:t>
      </w:r>
      <w:proofErr w:type="spellEnd"/>
      <w:r w:rsidRPr="00E845D3">
        <w:rPr>
          <w:rFonts w:asciiTheme="majorHAnsi" w:hAnsiTheme="majorHAnsi" w:cstheme="majorHAnsi"/>
          <w:sz w:val="24"/>
          <w:szCs w:val="24"/>
        </w:rPr>
        <w:t xml:space="preserve"> 1.62, 95% CI 0.69–3.81; p=0.265). By contrast, higher disease burden was strongly and independently associated with lower odds of better patient-reported outcome (</w:t>
      </w:r>
      <w:proofErr w:type="spellStart"/>
      <w:r w:rsidRPr="00E845D3">
        <w:rPr>
          <w:rFonts w:asciiTheme="majorHAnsi" w:hAnsiTheme="majorHAnsi" w:cstheme="majorHAnsi"/>
          <w:sz w:val="24"/>
          <w:szCs w:val="24"/>
        </w:rPr>
        <w:t>aOR</w:t>
      </w:r>
      <w:proofErr w:type="spellEnd"/>
      <w:r w:rsidRPr="00E845D3">
        <w:rPr>
          <w:rFonts w:asciiTheme="majorHAnsi" w:hAnsiTheme="majorHAnsi" w:cstheme="majorHAnsi"/>
          <w:sz w:val="24"/>
          <w:szCs w:val="24"/>
        </w:rPr>
        <w:t xml:space="preserve"> 0.19, 95% CI 0.08–0.44; p&lt;0.001). This model had the strongest discrimination of the four primary models (AUC 0.74).</w:t>
      </w:r>
    </w:p>
    <w:p w14:paraId="504830E9" w14:textId="0139C57F" w:rsidR="00705A59" w:rsidRPr="00E845D3" w:rsidRDefault="00705A59" w:rsidP="00705A59">
      <w:pPr>
        <w:spacing w:line="360" w:lineRule="auto"/>
        <w:rPr>
          <w:rFonts w:asciiTheme="majorHAnsi" w:hAnsiTheme="majorHAnsi" w:cstheme="majorHAnsi"/>
        </w:rPr>
      </w:pPr>
      <w:r w:rsidRPr="00E845D3">
        <w:rPr>
          <w:rFonts w:asciiTheme="majorHAnsi" w:hAnsiTheme="majorHAnsi" w:cstheme="majorHAnsi"/>
        </w:rPr>
        <w:t xml:space="preserve">Table </w:t>
      </w:r>
      <w:r w:rsidR="00F001E5">
        <w:rPr>
          <w:rFonts w:asciiTheme="majorHAnsi" w:hAnsiTheme="majorHAnsi" w:cstheme="majorHAnsi"/>
        </w:rPr>
        <w:t>5</w:t>
      </w:r>
      <w:r w:rsidRPr="00E845D3">
        <w:rPr>
          <w:rFonts w:asciiTheme="majorHAnsi" w:hAnsiTheme="majorHAnsi" w:cstheme="majorHAnsi"/>
        </w:rPr>
        <w:t>. Multivariable predictors of uptake, discontinuation, adherence, and better patient-reported outcome.</w:t>
      </w:r>
    </w:p>
    <w:tbl>
      <w:tblPr>
        <w:tblStyle w:val="TableGrid"/>
        <w:tblW w:w="0" w:type="auto"/>
        <w:jc w:val="center"/>
        <w:tblLook w:val="04A0" w:firstRow="1" w:lastRow="0" w:firstColumn="1" w:lastColumn="0" w:noHBand="0" w:noVBand="1"/>
      </w:tblPr>
      <w:tblGrid>
        <w:gridCol w:w="2483"/>
        <w:gridCol w:w="2481"/>
        <w:gridCol w:w="2481"/>
        <w:gridCol w:w="2481"/>
      </w:tblGrid>
      <w:tr w:rsidR="00705A59" w:rsidRPr="00E845D3" w14:paraId="39601C62" w14:textId="77777777" w:rsidTr="00B42819">
        <w:trPr>
          <w:jc w:val="center"/>
        </w:trPr>
        <w:tc>
          <w:tcPr>
            <w:tcW w:w="2484" w:type="dxa"/>
            <w:shd w:val="clear" w:color="auto" w:fill="D9EAF7"/>
          </w:tcPr>
          <w:p w14:paraId="7C89383A"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b/>
                <w:sz w:val="16"/>
              </w:rPr>
              <w:t>Predictor/model</w:t>
            </w:r>
          </w:p>
        </w:tc>
        <w:tc>
          <w:tcPr>
            <w:tcW w:w="2484" w:type="dxa"/>
            <w:shd w:val="clear" w:color="auto" w:fill="D9EAF7"/>
          </w:tcPr>
          <w:p w14:paraId="373F0441"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b/>
                <w:sz w:val="16"/>
              </w:rPr>
              <w:t>Adjusted OR</w:t>
            </w:r>
          </w:p>
        </w:tc>
        <w:tc>
          <w:tcPr>
            <w:tcW w:w="2484" w:type="dxa"/>
            <w:shd w:val="clear" w:color="auto" w:fill="D9EAF7"/>
          </w:tcPr>
          <w:p w14:paraId="0792FCC5"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b/>
                <w:sz w:val="16"/>
              </w:rPr>
              <w:t>95% CI</w:t>
            </w:r>
          </w:p>
        </w:tc>
        <w:tc>
          <w:tcPr>
            <w:tcW w:w="2484" w:type="dxa"/>
            <w:shd w:val="clear" w:color="auto" w:fill="D9EAF7"/>
          </w:tcPr>
          <w:p w14:paraId="2CF7CC29"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b/>
                <w:sz w:val="16"/>
              </w:rPr>
              <w:t>p value</w:t>
            </w:r>
          </w:p>
        </w:tc>
      </w:tr>
      <w:tr w:rsidR="00705A59" w:rsidRPr="00E845D3" w14:paraId="2F8E44BC" w14:textId="77777777" w:rsidTr="00B42819">
        <w:trPr>
          <w:jc w:val="center"/>
        </w:trPr>
        <w:tc>
          <w:tcPr>
            <w:tcW w:w="2484" w:type="dxa"/>
          </w:tcPr>
          <w:p w14:paraId="372DAD20"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b/>
                <w:sz w:val="16"/>
              </w:rPr>
              <w:t>Model 1: Current hydroxyurea uptake (all respondents, n=117)</w:t>
            </w:r>
          </w:p>
        </w:tc>
        <w:tc>
          <w:tcPr>
            <w:tcW w:w="2484" w:type="dxa"/>
          </w:tcPr>
          <w:p w14:paraId="6E577013" w14:textId="77777777" w:rsidR="00705A59" w:rsidRPr="00E845D3" w:rsidRDefault="00705A59" w:rsidP="00B42819">
            <w:pPr>
              <w:spacing w:line="360" w:lineRule="auto"/>
              <w:rPr>
                <w:rFonts w:asciiTheme="majorHAnsi" w:hAnsiTheme="majorHAnsi" w:cstheme="majorHAnsi"/>
              </w:rPr>
            </w:pPr>
          </w:p>
        </w:tc>
        <w:tc>
          <w:tcPr>
            <w:tcW w:w="2484" w:type="dxa"/>
          </w:tcPr>
          <w:p w14:paraId="2B7385BC" w14:textId="77777777" w:rsidR="00705A59" w:rsidRPr="00E845D3" w:rsidRDefault="00705A59" w:rsidP="00B42819">
            <w:pPr>
              <w:spacing w:line="360" w:lineRule="auto"/>
              <w:rPr>
                <w:rFonts w:asciiTheme="majorHAnsi" w:hAnsiTheme="majorHAnsi" w:cstheme="majorHAnsi"/>
              </w:rPr>
            </w:pPr>
          </w:p>
        </w:tc>
        <w:tc>
          <w:tcPr>
            <w:tcW w:w="2484" w:type="dxa"/>
          </w:tcPr>
          <w:p w14:paraId="09DE4874" w14:textId="77777777" w:rsidR="00705A59" w:rsidRPr="00E845D3" w:rsidRDefault="00705A59" w:rsidP="00B42819">
            <w:pPr>
              <w:spacing w:line="360" w:lineRule="auto"/>
              <w:rPr>
                <w:rFonts w:asciiTheme="majorHAnsi" w:hAnsiTheme="majorHAnsi" w:cstheme="majorHAnsi"/>
              </w:rPr>
            </w:pPr>
          </w:p>
        </w:tc>
      </w:tr>
      <w:tr w:rsidR="00705A59" w:rsidRPr="00E845D3" w14:paraId="36A1DC64" w14:textId="77777777" w:rsidTr="00B42819">
        <w:trPr>
          <w:jc w:val="center"/>
        </w:trPr>
        <w:tc>
          <w:tcPr>
            <w:tcW w:w="2484" w:type="dxa"/>
          </w:tcPr>
          <w:p w14:paraId="7FEFBBC8"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Age (per 10-year increase)</w:t>
            </w:r>
          </w:p>
        </w:tc>
        <w:tc>
          <w:tcPr>
            <w:tcW w:w="2484" w:type="dxa"/>
          </w:tcPr>
          <w:p w14:paraId="2B03DF8B"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0.80</w:t>
            </w:r>
          </w:p>
        </w:tc>
        <w:tc>
          <w:tcPr>
            <w:tcW w:w="2484" w:type="dxa"/>
          </w:tcPr>
          <w:p w14:paraId="4EA3A2F3"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0.50–1.29</w:t>
            </w:r>
          </w:p>
        </w:tc>
        <w:tc>
          <w:tcPr>
            <w:tcW w:w="2484" w:type="dxa"/>
          </w:tcPr>
          <w:p w14:paraId="76AF1ABE"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0.359</w:t>
            </w:r>
          </w:p>
        </w:tc>
      </w:tr>
      <w:tr w:rsidR="00705A59" w:rsidRPr="00E845D3" w14:paraId="7CF66997" w14:textId="77777777" w:rsidTr="00B42819">
        <w:trPr>
          <w:jc w:val="center"/>
        </w:trPr>
        <w:tc>
          <w:tcPr>
            <w:tcW w:w="2484" w:type="dxa"/>
          </w:tcPr>
          <w:p w14:paraId="7A90BB6C"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Female sex</w:t>
            </w:r>
          </w:p>
        </w:tc>
        <w:tc>
          <w:tcPr>
            <w:tcW w:w="2484" w:type="dxa"/>
          </w:tcPr>
          <w:p w14:paraId="1D7308EF"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0.85</w:t>
            </w:r>
          </w:p>
        </w:tc>
        <w:tc>
          <w:tcPr>
            <w:tcW w:w="2484" w:type="dxa"/>
          </w:tcPr>
          <w:p w14:paraId="612A8579"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0.36–1.97</w:t>
            </w:r>
          </w:p>
        </w:tc>
        <w:tc>
          <w:tcPr>
            <w:tcW w:w="2484" w:type="dxa"/>
          </w:tcPr>
          <w:p w14:paraId="374F6C31"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0.702</w:t>
            </w:r>
          </w:p>
        </w:tc>
      </w:tr>
      <w:tr w:rsidR="00705A59" w:rsidRPr="00E845D3" w14:paraId="69E9C8E2" w14:textId="77777777" w:rsidTr="00B42819">
        <w:trPr>
          <w:jc w:val="center"/>
        </w:trPr>
        <w:tc>
          <w:tcPr>
            <w:tcW w:w="2484" w:type="dxa"/>
          </w:tcPr>
          <w:p w14:paraId="143DC53D"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University/postgraduate education</w:t>
            </w:r>
          </w:p>
        </w:tc>
        <w:tc>
          <w:tcPr>
            <w:tcW w:w="2484" w:type="dxa"/>
          </w:tcPr>
          <w:p w14:paraId="20C4608C"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1.26</w:t>
            </w:r>
          </w:p>
        </w:tc>
        <w:tc>
          <w:tcPr>
            <w:tcW w:w="2484" w:type="dxa"/>
          </w:tcPr>
          <w:p w14:paraId="28B894DB"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0.42–3.77</w:t>
            </w:r>
          </w:p>
        </w:tc>
        <w:tc>
          <w:tcPr>
            <w:tcW w:w="2484" w:type="dxa"/>
          </w:tcPr>
          <w:p w14:paraId="4C335FAA"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0.682</w:t>
            </w:r>
          </w:p>
        </w:tc>
      </w:tr>
      <w:tr w:rsidR="00705A59" w:rsidRPr="00E845D3" w14:paraId="185428C6" w14:textId="77777777" w:rsidTr="00B42819">
        <w:trPr>
          <w:jc w:val="center"/>
        </w:trPr>
        <w:tc>
          <w:tcPr>
            <w:tcW w:w="2484" w:type="dxa"/>
          </w:tcPr>
          <w:p w14:paraId="48CC74EC"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Monthly income ≥N100,000</w:t>
            </w:r>
          </w:p>
        </w:tc>
        <w:tc>
          <w:tcPr>
            <w:tcW w:w="2484" w:type="dxa"/>
          </w:tcPr>
          <w:p w14:paraId="66AE4E02"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1.88</w:t>
            </w:r>
          </w:p>
        </w:tc>
        <w:tc>
          <w:tcPr>
            <w:tcW w:w="2484" w:type="dxa"/>
          </w:tcPr>
          <w:p w14:paraId="47F39F7B"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0.72–4.88</w:t>
            </w:r>
          </w:p>
        </w:tc>
        <w:tc>
          <w:tcPr>
            <w:tcW w:w="2484" w:type="dxa"/>
          </w:tcPr>
          <w:p w14:paraId="683A1C14"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0.198</w:t>
            </w:r>
          </w:p>
        </w:tc>
      </w:tr>
      <w:tr w:rsidR="00705A59" w:rsidRPr="00E845D3" w14:paraId="76A9545B" w14:textId="77777777" w:rsidTr="00B42819">
        <w:trPr>
          <w:jc w:val="center"/>
        </w:trPr>
        <w:tc>
          <w:tcPr>
            <w:tcW w:w="2484" w:type="dxa"/>
          </w:tcPr>
          <w:p w14:paraId="6FACF0EB"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Disease-burden composite score</w:t>
            </w:r>
          </w:p>
        </w:tc>
        <w:tc>
          <w:tcPr>
            <w:tcW w:w="2484" w:type="dxa"/>
          </w:tcPr>
          <w:p w14:paraId="58A36207"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2.06</w:t>
            </w:r>
          </w:p>
        </w:tc>
        <w:tc>
          <w:tcPr>
            <w:tcW w:w="2484" w:type="dxa"/>
          </w:tcPr>
          <w:p w14:paraId="0EF48DB9"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1.02–4.13</w:t>
            </w:r>
          </w:p>
        </w:tc>
        <w:tc>
          <w:tcPr>
            <w:tcW w:w="2484" w:type="dxa"/>
          </w:tcPr>
          <w:p w14:paraId="56EDAA41"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0.043</w:t>
            </w:r>
          </w:p>
        </w:tc>
      </w:tr>
      <w:tr w:rsidR="00705A59" w:rsidRPr="00E845D3" w14:paraId="221BD02A" w14:textId="77777777" w:rsidTr="00B42819">
        <w:trPr>
          <w:jc w:val="center"/>
        </w:trPr>
        <w:tc>
          <w:tcPr>
            <w:tcW w:w="2484" w:type="dxa"/>
          </w:tcPr>
          <w:p w14:paraId="5916119B"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Model performance</w:t>
            </w:r>
          </w:p>
        </w:tc>
        <w:tc>
          <w:tcPr>
            <w:tcW w:w="2484" w:type="dxa"/>
          </w:tcPr>
          <w:p w14:paraId="3EAE4C8A"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Pseudo R²=0.045</w:t>
            </w:r>
          </w:p>
        </w:tc>
        <w:tc>
          <w:tcPr>
            <w:tcW w:w="2484" w:type="dxa"/>
          </w:tcPr>
          <w:p w14:paraId="3FBB0CD2"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AUC=0.64</w:t>
            </w:r>
          </w:p>
        </w:tc>
        <w:tc>
          <w:tcPr>
            <w:tcW w:w="2484" w:type="dxa"/>
          </w:tcPr>
          <w:p w14:paraId="05E7A118" w14:textId="77777777" w:rsidR="00705A59" w:rsidRPr="00E845D3" w:rsidRDefault="00705A59" w:rsidP="00B42819">
            <w:pPr>
              <w:spacing w:line="360" w:lineRule="auto"/>
              <w:rPr>
                <w:rFonts w:asciiTheme="majorHAnsi" w:hAnsiTheme="majorHAnsi" w:cstheme="majorHAnsi"/>
              </w:rPr>
            </w:pPr>
          </w:p>
        </w:tc>
      </w:tr>
      <w:tr w:rsidR="00705A59" w:rsidRPr="00E845D3" w14:paraId="17F83E98" w14:textId="77777777" w:rsidTr="00B42819">
        <w:trPr>
          <w:jc w:val="center"/>
        </w:trPr>
        <w:tc>
          <w:tcPr>
            <w:tcW w:w="2484" w:type="dxa"/>
          </w:tcPr>
          <w:p w14:paraId="200DA8D0"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b/>
                <w:sz w:val="16"/>
              </w:rPr>
              <w:t>Model 2: Hydroxyurea discontinuation (ever-users, n=67)</w:t>
            </w:r>
          </w:p>
        </w:tc>
        <w:tc>
          <w:tcPr>
            <w:tcW w:w="2484" w:type="dxa"/>
          </w:tcPr>
          <w:p w14:paraId="4711E6F7" w14:textId="77777777" w:rsidR="00705A59" w:rsidRPr="00E845D3" w:rsidRDefault="00705A59" w:rsidP="00B42819">
            <w:pPr>
              <w:spacing w:line="360" w:lineRule="auto"/>
              <w:rPr>
                <w:rFonts w:asciiTheme="majorHAnsi" w:hAnsiTheme="majorHAnsi" w:cstheme="majorHAnsi"/>
              </w:rPr>
            </w:pPr>
          </w:p>
        </w:tc>
        <w:tc>
          <w:tcPr>
            <w:tcW w:w="2484" w:type="dxa"/>
          </w:tcPr>
          <w:p w14:paraId="14D65C70" w14:textId="77777777" w:rsidR="00705A59" w:rsidRPr="00E845D3" w:rsidRDefault="00705A59" w:rsidP="00B42819">
            <w:pPr>
              <w:spacing w:line="360" w:lineRule="auto"/>
              <w:rPr>
                <w:rFonts w:asciiTheme="majorHAnsi" w:hAnsiTheme="majorHAnsi" w:cstheme="majorHAnsi"/>
              </w:rPr>
            </w:pPr>
          </w:p>
        </w:tc>
        <w:tc>
          <w:tcPr>
            <w:tcW w:w="2484" w:type="dxa"/>
          </w:tcPr>
          <w:p w14:paraId="7EA4EBD5" w14:textId="77777777" w:rsidR="00705A59" w:rsidRPr="00E845D3" w:rsidRDefault="00705A59" w:rsidP="00B42819">
            <w:pPr>
              <w:spacing w:line="360" w:lineRule="auto"/>
              <w:rPr>
                <w:rFonts w:asciiTheme="majorHAnsi" w:hAnsiTheme="majorHAnsi" w:cstheme="majorHAnsi"/>
              </w:rPr>
            </w:pPr>
          </w:p>
        </w:tc>
      </w:tr>
      <w:tr w:rsidR="00705A59" w:rsidRPr="00E845D3" w14:paraId="31FB7349" w14:textId="77777777" w:rsidTr="00B42819">
        <w:trPr>
          <w:jc w:val="center"/>
        </w:trPr>
        <w:tc>
          <w:tcPr>
            <w:tcW w:w="2484" w:type="dxa"/>
          </w:tcPr>
          <w:p w14:paraId="29861C92"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Age (per 10-year increase)</w:t>
            </w:r>
          </w:p>
        </w:tc>
        <w:tc>
          <w:tcPr>
            <w:tcW w:w="2484" w:type="dxa"/>
          </w:tcPr>
          <w:p w14:paraId="1902CE3B"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1.18</w:t>
            </w:r>
          </w:p>
        </w:tc>
        <w:tc>
          <w:tcPr>
            <w:tcW w:w="2484" w:type="dxa"/>
          </w:tcPr>
          <w:p w14:paraId="1BAE61F6"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0.62–2.23</w:t>
            </w:r>
          </w:p>
        </w:tc>
        <w:tc>
          <w:tcPr>
            <w:tcW w:w="2484" w:type="dxa"/>
          </w:tcPr>
          <w:p w14:paraId="0BF0DA82"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0.612</w:t>
            </w:r>
          </w:p>
        </w:tc>
      </w:tr>
      <w:tr w:rsidR="00705A59" w:rsidRPr="00E845D3" w14:paraId="4F817C71" w14:textId="77777777" w:rsidTr="00B42819">
        <w:trPr>
          <w:jc w:val="center"/>
        </w:trPr>
        <w:tc>
          <w:tcPr>
            <w:tcW w:w="2484" w:type="dxa"/>
          </w:tcPr>
          <w:p w14:paraId="16828AFE"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Female sex</w:t>
            </w:r>
          </w:p>
        </w:tc>
        <w:tc>
          <w:tcPr>
            <w:tcW w:w="2484" w:type="dxa"/>
          </w:tcPr>
          <w:p w14:paraId="291AF317"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2.02</w:t>
            </w:r>
          </w:p>
        </w:tc>
        <w:tc>
          <w:tcPr>
            <w:tcW w:w="2484" w:type="dxa"/>
          </w:tcPr>
          <w:p w14:paraId="09EC7168"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0.50–8.17</w:t>
            </w:r>
          </w:p>
        </w:tc>
        <w:tc>
          <w:tcPr>
            <w:tcW w:w="2484" w:type="dxa"/>
          </w:tcPr>
          <w:p w14:paraId="4EC75129"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0.326</w:t>
            </w:r>
          </w:p>
        </w:tc>
      </w:tr>
      <w:tr w:rsidR="00705A59" w:rsidRPr="00E845D3" w14:paraId="0A29EA23" w14:textId="77777777" w:rsidTr="00B42819">
        <w:trPr>
          <w:jc w:val="center"/>
        </w:trPr>
        <w:tc>
          <w:tcPr>
            <w:tcW w:w="2484" w:type="dxa"/>
          </w:tcPr>
          <w:p w14:paraId="358FE021"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Monthly income ≥N100,000</w:t>
            </w:r>
          </w:p>
        </w:tc>
        <w:tc>
          <w:tcPr>
            <w:tcW w:w="2484" w:type="dxa"/>
          </w:tcPr>
          <w:p w14:paraId="6B962D19"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1.19</w:t>
            </w:r>
          </w:p>
        </w:tc>
        <w:tc>
          <w:tcPr>
            <w:tcW w:w="2484" w:type="dxa"/>
          </w:tcPr>
          <w:p w14:paraId="7B4D137C"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0.33–4.30</w:t>
            </w:r>
          </w:p>
        </w:tc>
        <w:tc>
          <w:tcPr>
            <w:tcW w:w="2484" w:type="dxa"/>
          </w:tcPr>
          <w:p w14:paraId="56F1828B"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0.787</w:t>
            </w:r>
          </w:p>
        </w:tc>
      </w:tr>
      <w:tr w:rsidR="00705A59" w:rsidRPr="00E845D3" w14:paraId="16D17A61" w14:textId="77777777" w:rsidTr="00B42819">
        <w:trPr>
          <w:jc w:val="center"/>
        </w:trPr>
        <w:tc>
          <w:tcPr>
            <w:tcW w:w="2484" w:type="dxa"/>
          </w:tcPr>
          <w:p w14:paraId="0507F9D0"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Disease-burden composite score</w:t>
            </w:r>
          </w:p>
        </w:tc>
        <w:tc>
          <w:tcPr>
            <w:tcW w:w="2484" w:type="dxa"/>
          </w:tcPr>
          <w:p w14:paraId="1E0763C7"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1.54</w:t>
            </w:r>
          </w:p>
        </w:tc>
        <w:tc>
          <w:tcPr>
            <w:tcW w:w="2484" w:type="dxa"/>
          </w:tcPr>
          <w:p w14:paraId="1C8B7A26"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0.59–4.03</w:t>
            </w:r>
          </w:p>
        </w:tc>
        <w:tc>
          <w:tcPr>
            <w:tcW w:w="2484" w:type="dxa"/>
          </w:tcPr>
          <w:p w14:paraId="2DD9C7C4"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0.380</w:t>
            </w:r>
          </w:p>
        </w:tc>
      </w:tr>
      <w:tr w:rsidR="00705A59" w:rsidRPr="00E845D3" w14:paraId="693D9041" w14:textId="77777777" w:rsidTr="00B42819">
        <w:trPr>
          <w:jc w:val="center"/>
        </w:trPr>
        <w:tc>
          <w:tcPr>
            <w:tcW w:w="2484" w:type="dxa"/>
          </w:tcPr>
          <w:p w14:paraId="7D509C59"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Model performance</w:t>
            </w:r>
          </w:p>
        </w:tc>
        <w:tc>
          <w:tcPr>
            <w:tcW w:w="2484" w:type="dxa"/>
          </w:tcPr>
          <w:p w14:paraId="188AFC9E"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Pseudo R²=0.029</w:t>
            </w:r>
          </w:p>
        </w:tc>
        <w:tc>
          <w:tcPr>
            <w:tcW w:w="2484" w:type="dxa"/>
          </w:tcPr>
          <w:p w14:paraId="2709FDA9"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AUC=0.63</w:t>
            </w:r>
          </w:p>
        </w:tc>
        <w:tc>
          <w:tcPr>
            <w:tcW w:w="2484" w:type="dxa"/>
          </w:tcPr>
          <w:p w14:paraId="45550214" w14:textId="77777777" w:rsidR="00705A59" w:rsidRPr="00E845D3" w:rsidRDefault="00705A59" w:rsidP="00B42819">
            <w:pPr>
              <w:spacing w:line="360" w:lineRule="auto"/>
              <w:rPr>
                <w:rFonts w:asciiTheme="majorHAnsi" w:hAnsiTheme="majorHAnsi" w:cstheme="majorHAnsi"/>
              </w:rPr>
            </w:pPr>
          </w:p>
        </w:tc>
      </w:tr>
      <w:tr w:rsidR="00705A59" w:rsidRPr="00E845D3" w14:paraId="09D77473" w14:textId="77777777" w:rsidTr="00B42819">
        <w:trPr>
          <w:jc w:val="center"/>
        </w:trPr>
        <w:tc>
          <w:tcPr>
            <w:tcW w:w="2484" w:type="dxa"/>
          </w:tcPr>
          <w:p w14:paraId="79D40964"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b/>
                <w:sz w:val="16"/>
              </w:rPr>
              <w:t>Model 3: Full adherence among current users (n=50)</w:t>
            </w:r>
          </w:p>
        </w:tc>
        <w:tc>
          <w:tcPr>
            <w:tcW w:w="2484" w:type="dxa"/>
          </w:tcPr>
          <w:p w14:paraId="5679443A" w14:textId="77777777" w:rsidR="00705A59" w:rsidRPr="00E845D3" w:rsidRDefault="00705A59" w:rsidP="00B42819">
            <w:pPr>
              <w:spacing w:line="360" w:lineRule="auto"/>
              <w:rPr>
                <w:rFonts w:asciiTheme="majorHAnsi" w:hAnsiTheme="majorHAnsi" w:cstheme="majorHAnsi"/>
              </w:rPr>
            </w:pPr>
          </w:p>
        </w:tc>
        <w:tc>
          <w:tcPr>
            <w:tcW w:w="2484" w:type="dxa"/>
          </w:tcPr>
          <w:p w14:paraId="053B4B80" w14:textId="77777777" w:rsidR="00705A59" w:rsidRPr="00E845D3" w:rsidRDefault="00705A59" w:rsidP="00B42819">
            <w:pPr>
              <w:spacing w:line="360" w:lineRule="auto"/>
              <w:rPr>
                <w:rFonts w:asciiTheme="majorHAnsi" w:hAnsiTheme="majorHAnsi" w:cstheme="majorHAnsi"/>
              </w:rPr>
            </w:pPr>
          </w:p>
        </w:tc>
        <w:tc>
          <w:tcPr>
            <w:tcW w:w="2484" w:type="dxa"/>
          </w:tcPr>
          <w:p w14:paraId="4ECC2C97" w14:textId="77777777" w:rsidR="00705A59" w:rsidRPr="00E845D3" w:rsidRDefault="00705A59" w:rsidP="00B42819">
            <w:pPr>
              <w:spacing w:line="360" w:lineRule="auto"/>
              <w:rPr>
                <w:rFonts w:asciiTheme="majorHAnsi" w:hAnsiTheme="majorHAnsi" w:cstheme="majorHAnsi"/>
              </w:rPr>
            </w:pPr>
          </w:p>
        </w:tc>
      </w:tr>
      <w:tr w:rsidR="00705A59" w:rsidRPr="00E845D3" w14:paraId="17FFB89A" w14:textId="77777777" w:rsidTr="00B42819">
        <w:trPr>
          <w:jc w:val="center"/>
        </w:trPr>
        <w:tc>
          <w:tcPr>
            <w:tcW w:w="2484" w:type="dxa"/>
          </w:tcPr>
          <w:p w14:paraId="299B2038"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Age (per 10-year increase)</w:t>
            </w:r>
          </w:p>
        </w:tc>
        <w:tc>
          <w:tcPr>
            <w:tcW w:w="2484" w:type="dxa"/>
          </w:tcPr>
          <w:p w14:paraId="3F2FBFEA"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1.28</w:t>
            </w:r>
          </w:p>
        </w:tc>
        <w:tc>
          <w:tcPr>
            <w:tcW w:w="2484" w:type="dxa"/>
          </w:tcPr>
          <w:p w14:paraId="25E236FF"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0.55–2.97</w:t>
            </w:r>
          </w:p>
        </w:tc>
        <w:tc>
          <w:tcPr>
            <w:tcW w:w="2484" w:type="dxa"/>
          </w:tcPr>
          <w:p w14:paraId="726496F2"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0.568</w:t>
            </w:r>
          </w:p>
        </w:tc>
      </w:tr>
      <w:tr w:rsidR="00705A59" w:rsidRPr="00E845D3" w14:paraId="0B5981AA" w14:textId="77777777" w:rsidTr="00B42819">
        <w:trPr>
          <w:jc w:val="center"/>
        </w:trPr>
        <w:tc>
          <w:tcPr>
            <w:tcW w:w="2484" w:type="dxa"/>
          </w:tcPr>
          <w:p w14:paraId="4859BAFF"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Female sex</w:t>
            </w:r>
          </w:p>
        </w:tc>
        <w:tc>
          <w:tcPr>
            <w:tcW w:w="2484" w:type="dxa"/>
          </w:tcPr>
          <w:p w14:paraId="35679451"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2.08</w:t>
            </w:r>
          </w:p>
        </w:tc>
        <w:tc>
          <w:tcPr>
            <w:tcW w:w="2484" w:type="dxa"/>
          </w:tcPr>
          <w:p w14:paraId="61B1AC6F"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0.52–8.36</w:t>
            </w:r>
          </w:p>
        </w:tc>
        <w:tc>
          <w:tcPr>
            <w:tcW w:w="2484" w:type="dxa"/>
          </w:tcPr>
          <w:p w14:paraId="78310353"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0.301</w:t>
            </w:r>
          </w:p>
        </w:tc>
      </w:tr>
      <w:tr w:rsidR="00705A59" w:rsidRPr="00E845D3" w14:paraId="41C412BB" w14:textId="77777777" w:rsidTr="00B42819">
        <w:trPr>
          <w:jc w:val="center"/>
        </w:trPr>
        <w:tc>
          <w:tcPr>
            <w:tcW w:w="2484" w:type="dxa"/>
          </w:tcPr>
          <w:p w14:paraId="03D009A3"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Monthly income ≥N100,000</w:t>
            </w:r>
          </w:p>
        </w:tc>
        <w:tc>
          <w:tcPr>
            <w:tcW w:w="2484" w:type="dxa"/>
          </w:tcPr>
          <w:p w14:paraId="5F0E7280"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0.94</w:t>
            </w:r>
          </w:p>
        </w:tc>
        <w:tc>
          <w:tcPr>
            <w:tcW w:w="2484" w:type="dxa"/>
          </w:tcPr>
          <w:p w14:paraId="484B92DC"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0.17–5.11</w:t>
            </w:r>
          </w:p>
        </w:tc>
        <w:tc>
          <w:tcPr>
            <w:tcW w:w="2484" w:type="dxa"/>
          </w:tcPr>
          <w:p w14:paraId="164DCD27"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0.943</w:t>
            </w:r>
          </w:p>
        </w:tc>
      </w:tr>
      <w:tr w:rsidR="00705A59" w:rsidRPr="00E845D3" w14:paraId="6B7C902B" w14:textId="77777777" w:rsidTr="00B42819">
        <w:trPr>
          <w:jc w:val="center"/>
        </w:trPr>
        <w:tc>
          <w:tcPr>
            <w:tcW w:w="2484" w:type="dxa"/>
          </w:tcPr>
          <w:p w14:paraId="1A0F674D"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Disease-burden composite score</w:t>
            </w:r>
          </w:p>
        </w:tc>
        <w:tc>
          <w:tcPr>
            <w:tcW w:w="2484" w:type="dxa"/>
          </w:tcPr>
          <w:p w14:paraId="5BFAC6DE"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0.27</w:t>
            </w:r>
          </w:p>
        </w:tc>
        <w:tc>
          <w:tcPr>
            <w:tcW w:w="2484" w:type="dxa"/>
          </w:tcPr>
          <w:p w14:paraId="3EAC20F1"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0.08–0.89</w:t>
            </w:r>
          </w:p>
        </w:tc>
        <w:tc>
          <w:tcPr>
            <w:tcW w:w="2484" w:type="dxa"/>
          </w:tcPr>
          <w:p w14:paraId="6C78A5C6"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0.032</w:t>
            </w:r>
          </w:p>
        </w:tc>
      </w:tr>
      <w:tr w:rsidR="00705A59" w:rsidRPr="00E845D3" w14:paraId="75AD2D9B" w14:textId="77777777" w:rsidTr="00B42819">
        <w:trPr>
          <w:jc w:val="center"/>
        </w:trPr>
        <w:tc>
          <w:tcPr>
            <w:tcW w:w="2484" w:type="dxa"/>
          </w:tcPr>
          <w:p w14:paraId="24B3A98C"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Model performance</w:t>
            </w:r>
          </w:p>
        </w:tc>
        <w:tc>
          <w:tcPr>
            <w:tcW w:w="2484" w:type="dxa"/>
          </w:tcPr>
          <w:p w14:paraId="1B7C374E"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Pseudo R²=0.125</w:t>
            </w:r>
          </w:p>
        </w:tc>
        <w:tc>
          <w:tcPr>
            <w:tcW w:w="2484" w:type="dxa"/>
          </w:tcPr>
          <w:p w14:paraId="07625DD7"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AUC=0.72</w:t>
            </w:r>
          </w:p>
        </w:tc>
        <w:tc>
          <w:tcPr>
            <w:tcW w:w="2484" w:type="dxa"/>
          </w:tcPr>
          <w:p w14:paraId="63B6C4EA" w14:textId="77777777" w:rsidR="00705A59" w:rsidRPr="00E845D3" w:rsidRDefault="00705A59" w:rsidP="00B42819">
            <w:pPr>
              <w:spacing w:line="360" w:lineRule="auto"/>
              <w:rPr>
                <w:rFonts w:asciiTheme="majorHAnsi" w:hAnsiTheme="majorHAnsi" w:cstheme="majorHAnsi"/>
              </w:rPr>
            </w:pPr>
          </w:p>
        </w:tc>
      </w:tr>
      <w:tr w:rsidR="00705A59" w:rsidRPr="00E845D3" w14:paraId="3BC4ACAC" w14:textId="77777777" w:rsidTr="00B42819">
        <w:trPr>
          <w:jc w:val="center"/>
        </w:trPr>
        <w:tc>
          <w:tcPr>
            <w:tcW w:w="2484" w:type="dxa"/>
          </w:tcPr>
          <w:p w14:paraId="0FBB8308"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b/>
                <w:sz w:val="16"/>
              </w:rPr>
              <w:t>Model 4: Better patient-reported outcome: high QoL score (all respondents, n=117)</w:t>
            </w:r>
          </w:p>
        </w:tc>
        <w:tc>
          <w:tcPr>
            <w:tcW w:w="2484" w:type="dxa"/>
          </w:tcPr>
          <w:p w14:paraId="279E76CA" w14:textId="77777777" w:rsidR="00705A59" w:rsidRPr="00E845D3" w:rsidRDefault="00705A59" w:rsidP="00B42819">
            <w:pPr>
              <w:spacing w:line="360" w:lineRule="auto"/>
              <w:rPr>
                <w:rFonts w:asciiTheme="majorHAnsi" w:hAnsiTheme="majorHAnsi" w:cstheme="majorHAnsi"/>
              </w:rPr>
            </w:pPr>
          </w:p>
        </w:tc>
        <w:tc>
          <w:tcPr>
            <w:tcW w:w="2484" w:type="dxa"/>
          </w:tcPr>
          <w:p w14:paraId="053FF5A8" w14:textId="77777777" w:rsidR="00705A59" w:rsidRPr="00E845D3" w:rsidRDefault="00705A59" w:rsidP="00B42819">
            <w:pPr>
              <w:spacing w:line="360" w:lineRule="auto"/>
              <w:rPr>
                <w:rFonts w:asciiTheme="majorHAnsi" w:hAnsiTheme="majorHAnsi" w:cstheme="majorHAnsi"/>
              </w:rPr>
            </w:pPr>
          </w:p>
        </w:tc>
        <w:tc>
          <w:tcPr>
            <w:tcW w:w="2484" w:type="dxa"/>
          </w:tcPr>
          <w:p w14:paraId="01BFF272" w14:textId="77777777" w:rsidR="00705A59" w:rsidRPr="00E845D3" w:rsidRDefault="00705A59" w:rsidP="00B42819">
            <w:pPr>
              <w:spacing w:line="360" w:lineRule="auto"/>
              <w:rPr>
                <w:rFonts w:asciiTheme="majorHAnsi" w:hAnsiTheme="majorHAnsi" w:cstheme="majorHAnsi"/>
              </w:rPr>
            </w:pPr>
          </w:p>
        </w:tc>
      </w:tr>
      <w:tr w:rsidR="00705A59" w:rsidRPr="00E845D3" w14:paraId="1F9BF766" w14:textId="77777777" w:rsidTr="00B42819">
        <w:trPr>
          <w:jc w:val="center"/>
        </w:trPr>
        <w:tc>
          <w:tcPr>
            <w:tcW w:w="2484" w:type="dxa"/>
          </w:tcPr>
          <w:p w14:paraId="0321113E"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lastRenderedPageBreak/>
              <w:t>Current hydroxyurea use</w:t>
            </w:r>
          </w:p>
        </w:tc>
        <w:tc>
          <w:tcPr>
            <w:tcW w:w="2484" w:type="dxa"/>
          </w:tcPr>
          <w:p w14:paraId="269F17F8"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1.62</w:t>
            </w:r>
          </w:p>
        </w:tc>
        <w:tc>
          <w:tcPr>
            <w:tcW w:w="2484" w:type="dxa"/>
          </w:tcPr>
          <w:p w14:paraId="40675186"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0.69–3.81</w:t>
            </w:r>
          </w:p>
        </w:tc>
        <w:tc>
          <w:tcPr>
            <w:tcW w:w="2484" w:type="dxa"/>
          </w:tcPr>
          <w:p w14:paraId="56AF56A6"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0.265</w:t>
            </w:r>
          </w:p>
        </w:tc>
      </w:tr>
      <w:tr w:rsidR="00705A59" w:rsidRPr="00E845D3" w14:paraId="65233E44" w14:textId="77777777" w:rsidTr="00B42819">
        <w:trPr>
          <w:jc w:val="center"/>
        </w:trPr>
        <w:tc>
          <w:tcPr>
            <w:tcW w:w="2484" w:type="dxa"/>
          </w:tcPr>
          <w:p w14:paraId="3D6EB668"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Age (per 10-year increase)</w:t>
            </w:r>
          </w:p>
        </w:tc>
        <w:tc>
          <w:tcPr>
            <w:tcW w:w="2484" w:type="dxa"/>
          </w:tcPr>
          <w:p w14:paraId="5B589004"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1.16</w:t>
            </w:r>
          </w:p>
        </w:tc>
        <w:tc>
          <w:tcPr>
            <w:tcW w:w="2484" w:type="dxa"/>
          </w:tcPr>
          <w:p w14:paraId="6F99DA4B"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0.75–1.80</w:t>
            </w:r>
          </w:p>
        </w:tc>
        <w:tc>
          <w:tcPr>
            <w:tcW w:w="2484" w:type="dxa"/>
          </w:tcPr>
          <w:p w14:paraId="7C585E36"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0.511</w:t>
            </w:r>
          </w:p>
        </w:tc>
      </w:tr>
      <w:tr w:rsidR="00705A59" w:rsidRPr="00E845D3" w14:paraId="7024D139" w14:textId="77777777" w:rsidTr="00B42819">
        <w:trPr>
          <w:jc w:val="center"/>
        </w:trPr>
        <w:tc>
          <w:tcPr>
            <w:tcW w:w="2484" w:type="dxa"/>
          </w:tcPr>
          <w:p w14:paraId="1418B243"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Female sex</w:t>
            </w:r>
          </w:p>
        </w:tc>
        <w:tc>
          <w:tcPr>
            <w:tcW w:w="2484" w:type="dxa"/>
          </w:tcPr>
          <w:p w14:paraId="127B7BF9"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1.67</w:t>
            </w:r>
          </w:p>
        </w:tc>
        <w:tc>
          <w:tcPr>
            <w:tcW w:w="2484" w:type="dxa"/>
          </w:tcPr>
          <w:p w14:paraId="264FCBD0"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0.68–4.13</w:t>
            </w:r>
          </w:p>
        </w:tc>
        <w:tc>
          <w:tcPr>
            <w:tcW w:w="2484" w:type="dxa"/>
          </w:tcPr>
          <w:p w14:paraId="5E4AA18F"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0.265</w:t>
            </w:r>
          </w:p>
        </w:tc>
      </w:tr>
      <w:tr w:rsidR="00705A59" w:rsidRPr="00E845D3" w14:paraId="2D85DE7C" w14:textId="77777777" w:rsidTr="00B42819">
        <w:trPr>
          <w:jc w:val="center"/>
        </w:trPr>
        <w:tc>
          <w:tcPr>
            <w:tcW w:w="2484" w:type="dxa"/>
          </w:tcPr>
          <w:p w14:paraId="4F7B7596"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Monthly income ≥N100,000</w:t>
            </w:r>
          </w:p>
        </w:tc>
        <w:tc>
          <w:tcPr>
            <w:tcW w:w="2484" w:type="dxa"/>
          </w:tcPr>
          <w:p w14:paraId="4E5ADB53"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0.65</w:t>
            </w:r>
          </w:p>
        </w:tc>
        <w:tc>
          <w:tcPr>
            <w:tcW w:w="2484" w:type="dxa"/>
          </w:tcPr>
          <w:p w14:paraId="0E9CE535"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0.24–1.77</w:t>
            </w:r>
          </w:p>
        </w:tc>
        <w:tc>
          <w:tcPr>
            <w:tcW w:w="2484" w:type="dxa"/>
          </w:tcPr>
          <w:p w14:paraId="3411E4DE"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0.395</w:t>
            </w:r>
          </w:p>
        </w:tc>
      </w:tr>
      <w:tr w:rsidR="00705A59" w:rsidRPr="00E845D3" w14:paraId="6BBF76B5" w14:textId="77777777" w:rsidTr="00B42819">
        <w:trPr>
          <w:jc w:val="center"/>
        </w:trPr>
        <w:tc>
          <w:tcPr>
            <w:tcW w:w="2484" w:type="dxa"/>
          </w:tcPr>
          <w:p w14:paraId="03B4F99E"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Disease-burden composite score</w:t>
            </w:r>
          </w:p>
        </w:tc>
        <w:tc>
          <w:tcPr>
            <w:tcW w:w="2484" w:type="dxa"/>
          </w:tcPr>
          <w:p w14:paraId="50D8C936"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0.19</w:t>
            </w:r>
          </w:p>
        </w:tc>
        <w:tc>
          <w:tcPr>
            <w:tcW w:w="2484" w:type="dxa"/>
          </w:tcPr>
          <w:p w14:paraId="27ABF9E8"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0.08–0.44</w:t>
            </w:r>
          </w:p>
        </w:tc>
        <w:tc>
          <w:tcPr>
            <w:tcW w:w="2484" w:type="dxa"/>
          </w:tcPr>
          <w:p w14:paraId="0B9EF23B"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0.000</w:t>
            </w:r>
          </w:p>
        </w:tc>
      </w:tr>
      <w:tr w:rsidR="00705A59" w:rsidRPr="00E845D3" w14:paraId="270332E0" w14:textId="77777777" w:rsidTr="00B42819">
        <w:trPr>
          <w:jc w:val="center"/>
        </w:trPr>
        <w:tc>
          <w:tcPr>
            <w:tcW w:w="2484" w:type="dxa"/>
          </w:tcPr>
          <w:p w14:paraId="2B39DD37"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Model performance</w:t>
            </w:r>
          </w:p>
        </w:tc>
        <w:tc>
          <w:tcPr>
            <w:tcW w:w="2484" w:type="dxa"/>
          </w:tcPr>
          <w:p w14:paraId="65E84A57"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Pseudo R²=0.134</w:t>
            </w:r>
          </w:p>
        </w:tc>
        <w:tc>
          <w:tcPr>
            <w:tcW w:w="2484" w:type="dxa"/>
          </w:tcPr>
          <w:p w14:paraId="1B78D0C3"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AUC=0.74</w:t>
            </w:r>
          </w:p>
        </w:tc>
        <w:tc>
          <w:tcPr>
            <w:tcW w:w="2484" w:type="dxa"/>
          </w:tcPr>
          <w:p w14:paraId="04ED8490" w14:textId="77777777" w:rsidR="00705A59" w:rsidRPr="00E845D3" w:rsidRDefault="00705A59" w:rsidP="00B42819">
            <w:pPr>
              <w:spacing w:line="360" w:lineRule="auto"/>
              <w:rPr>
                <w:rFonts w:asciiTheme="majorHAnsi" w:hAnsiTheme="majorHAnsi" w:cstheme="majorHAnsi"/>
              </w:rPr>
            </w:pPr>
          </w:p>
        </w:tc>
      </w:tr>
    </w:tbl>
    <w:p w14:paraId="40C37572" w14:textId="77777777" w:rsidR="00705A59" w:rsidRPr="00E845D3" w:rsidRDefault="00705A59" w:rsidP="00705A59">
      <w:pPr>
        <w:spacing w:line="360" w:lineRule="auto"/>
        <w:rPr>
          <w:rFonts w:asciiTheme="majorHAnsi" w:hAnsiTheme="majorHAnsi" w:cstheme="majorHAnsi"/>
        </w:rPr>
      </w:pPr>
      <w:r w:rsidRPr="00E845D3">
        <w:rPr>
          <w:rFonts w:asciiTheme="majorHAnsi" w:hAnsiTheme="majorHAnsi" w:cstheme="majorHAnsi"/>
        </w:rPr>
        <w:t>Higher QoL composite score (≥4.0) was used as the binary outcome for Model 4. OR, odds ratio; CI, confidence interval; AUC, area under the receiver operating characteristic curve.</w:t>
      </w:r>
    </w:p>
    <w:p w14:paraId="175E43A2" w14:textId="639F4DDB" w:rsidR="00CE2A2E" w:rsidRPr="00E845D3" w:rsidRDefault="008943C0" w:rsidP="0087275B">
      <w:pPr>
        <w:spacing w:line="360" w:lineRule="auto"/>
        <w:jc w:val="both"/>
        <w:rPr>
          <w:rFonts w:asciiTheme="majorHAnsi" w:hAnsiTheme="majorHAnsi" w:cstheme="majorHAnsi"/>
          <w:sz w:val="24"/>
          <w:szCs w:val="24"/>
        </w:rPr>
      </w:pPr>
      <w:r w:rsidRPr="00E845D3">
        <w:rPr>
          <w:rFonts w:asciiTheme="majorHAnsi" w:hAnsiTheme="majorHAnsi" w:cstheme="majorHAnsi"/>
          <w:sz w:val="24"/>
          <w:szCs w:val="24"/>
        </w:rPr>
        <w:t>Hydroxyurea uptake remained suboptimal despite high overall awareness in 109 (93.2%) of the total respondents. Eight persons (6.8%) had never heard of hydroxyurea, while 42 (35.9%) were aware of the drug but were not currently taking it, and 17 (14.5%) had discontinued treatment. When respondents were asked about the main challenge associated with hydroxyurea use, the most frequently reported barrier was cost, cited by 33 (28.2%) of the responders. Other reported challenges included adverse effects of the drug (n=14, 12.0%), forgetfulness (n=2, 1.7%), and poor availability (n=1, 0.9%). Fourteen respondents (12.0%) reported no major challenge.</w:t>
      </w:r>
      <w:r w:rsidR="00FA3514" w:rsidRPr="00E845D3">
        <w:rPr>
          <w:rFonts w:asciiTheme="majorHAnsi" w:hAnsiTheme="majorHAnsi" w:cstheme="majorHAnsi"/>
          <w:sz w:val="24"/>
          <w:szCs w:val="24"/>
        </w:rPr>
        <w:t xml:space="preserve"> Among the 17 respondents who had discontinued hydroxyurea, 5 (29.4%) identified cost as their main challenge, while 3 (17.6%) cited side effects and 1 (5.9%) reported forgetting doses.</w:t>
      </w:r>
    </w:p>
    <w:p w14:paraId="7EAC90E3" w14:textId="77777777" w:rsidR="006D0E01" w:rsidRPr="00E845D3" w:rsidRDefault="00305C7D" w:rsidP="0087275B">
      <w:pPr>
        <w:pStyle w:val="Heading1"/>
        <w:spacing w:line="360" w:lineRule="auto"/>
        <w:jc w:val="both"/>
        <w:rPr>
          <w:rFonts w:cstheme="majorHAnsi"/>
          <w:color w:val="auto"/>
          <w:sz w:val="24"/>
          <w:szCs w:val="24"/>
        </w:rPr>
      </w:pPr>
      <w:r w:rsidRPr="00E845D3">
        <w:rPr>
          <w:rFonts w:cstheme="majorHAnsi"/>
          <w:color w:val="auto"/>
          <w:sz w:val="24"/>
          <w:szCs w:val="24"/>
        </w:rPr>
        <w:t>Discussion</w:t>
      </w:r>
    </w:p>
    <w:p w14:paraId="38E65F52" w14:textId="04CFA0D7" w:rsidR="00391F43" w:rsidRPr="00E845D3" w:rsidRDefault="00865B22" w:rsidP="00391F43">
      <w:pPr>
        <w:spacing w:line="360" w:lineRule="auto"/>
        <w:jc w:val="both"/>
        <w:rPr>
          <w:rFonts w:asciiTheme="majorHAnsi" w:hAnsiTheme="majorHAnsi" w:cstheme="majorHAnsi"/>
          <w:sz w:val="24"/>
          <w:szCs w:val="24"/>
          <w:vertAlign w:val="superscript"/>
        </w:rPr>
      </w:pPr>
      <w:r w:rsidRPr="00E845D3">
        <w:rPr>
          <w:rFonts w:asciiTheme="majorHAnsi" w:hAnsiTheme="majorHAnsi" w:cstheme="majorHAnsi"/>
          <w:sz w:val="24"/>
          <w:szCs w:val="24"/>
        </w:rPr>
        <w:t xml:space="preserve">This study evaluated the use of hydroxyurea among persons living with SCD in a resource-constrained setting, with particular emphasis on the access–adherence–outcomes pathway. </w:t>
      </w:r>
      <w:r w:rsidR="00391F43" w:rsidRPr="00E845D3">
        <w:rPr>
          <w:rFonts w:asciiTheme="majorHAnsi" w:hAnsiTheme="majorHAnsi" w:cstheme="majorHAnsi"/>
          <w:sz w:val="24"/>
          <w:szCs w:val="24"/>
        </w:rPr>
        <w:t>The study population co</w:t>
      </w:r>
      <w:r w:rsidR="00837D25">
        <w:rPr>
          <w:rFonts w:asciiTheme="majorHAnsi" w:hAnsiTheme="majorHAnsi" w:cstheme="majorHAnsi"/>
          <w:sz w:val="24"/>
          <w:szCs w:val="24"/>
        </w:rPr>
        <w:t>nsist</w:t>
      </w:r>
      <w:r w:rsidR="00391F43" w:rsidRPr="00E845D3">
        <w:rPr>
          <w:rFonts w:asciiTheme="majorHAnsi" w:hAnsiTheme="majorHAnsi" w:cstheme="majorHAnsi"/>
          <w:sz w:val="24"/>
          <w:szCs w:val="24"/>
        </w:rPr>
        <w:t xml:space="preserve">ed </w:t>
      </w:r>
      <w:r w:rsidR="000828A2" w:rsidRPr="00E845D3">
        <w:rPr>
          <w:rFonts w:asciiTheme="majorHAnsi" w:hAnsiTheme="majorHAnsi" w:cstheme="majorHAnsi"/>
          <w:sz w:val="24"/>
          <w:szCs w:val="24"/>
        </w:rPr>
        <w:t>mostly of</w:t>
      </w:r>
      <w:r w:rsidR="00391F43" w:rsidRPr="00E845D3">
        <w:rPr>
          <w:rFonts w:asciiTheme="majorHAnsi" w:hAnsiTheme="majorHAnsi" w:cstheme="majorHAnsi"/>
          <w:sz w:val="24"/>
          <w:szCs w:val="24"/>
        </w:rPr>
        <w:t xml:space="preserve"> young adults, with a mean age of 30.8 years, reflecting the improving survival of persons living with SCD into adulthood in this setting.</w:t>
      </w:r>
      <w:r w:rsidR="00F40523" w:rsidRPr="00E845D3">
        <w:rPr>
          <w:rFonts w:asciiTheme="majorHAnsi" w:hAnsiTheme="majorHAnsi" w:cstheme="majorHAnsi"/>
          <w:sz w:val="24"/>
          <w:szCs w:val="24"/>
          <w:vertAlign w:val="superscript"/>
        </w:rPr>
        <w:t>1</w:t>
      </w:r>
      <w:r w:rsidR="000018C7">
        <w:rPr>
          <w:rFonts w:asciiTheme="majorHAnsi" w:hAnsiTheme="majorHAnsi" w:cstheme="majorHAnsi"/>
          <w:sz w:val="24"/>
          <w:szCs w:val="24"/>
          <w:vertAlign w:val="superscript"/>
        </w:rPr>
        <w:t>5</w:t>
      </w:r>
      <w:r w:rsidR="00F40523" w:rsidRPr="00E845D3">
        <w:rPr>
          <w:rFonts w:asciiTheme="majorHAnsi" w:hAnsiTheme="majorHAnsi" w:cstheme="majorHAnsi"/>
          <w:sz w:val="24"/>
          <w:szCs w:val="24"/>
          <w:vertAlign w:val="superscript"/>
        </w:rPr>
        <w:t>,1</w:t>
      </w:r>
      <w:r w:rsidR="000018C7">
        <w:rPr>
          <w:rFonts w:asciiTheme="majorHAnsi" w:hAnsiTheme="majorHAnsi" w:cstheme="majorHAnsi"/>
          <w:sz w:val="24"/>
          <w:szCs w:val="24"/>
          <w:vertAlign w:val="superscript"/>
        </w:rPr>
        <w:t>6</w:t>
      </w:r>
      <w:r w:rsidR="00391F43" w:rsidRPr="00E845D3">
        <w:rPr>
          <w:rFonts w:asciiTheme="majorHAnsi" w:hAnsiTheme="majorHAnsi" w:cstheme="majorHAnsi"/>
          <w:sz w:val="24"/>
          <w:szCs w:val="24"/>
        </w:rPr>
        <w:t xml:space="preserve"> The predominance of female</w:t>
      </w:r>
      <w:r w:rsidR="000828A2" w:rsidRPr="00E845D3">
        <w:rPr>
          <w:rFonts w:asciiTheme="majorHAnsi" w:hAnsiTheme="majorHAnsi" w:cstheme="majorHAnsi"/>
          <w:sz w:val="24"/>
          <w:szCs w:val="24"/>
        </w:rPr>
        <w:t xml:space="preserve"> responders </w:t>
      </w:r>
      <w:r w:rsidR="00391F43" w:rsidRPr="00E845D3">
        <w:rPr>
          <w:rFonts w:asciiTheme="majorHAnsi" w:hAnsiTheme="majorHAnsi" w:cstheme="majorHAnsi"/>
          <w:sz w:val="24"/>
          <w:szCs w:val="24"/>
        </w:rPr>
        <w:t xml:space="preserve">may reflect health-seeking </w:t>
      </w:r>
      <w:proofErr w:type="spellStart"/>
      <w:r w:rsidR="0082757B" w:rsidRPr="00E845D3">
        <w:rPr>
          <w:rFonts w:asciiTheme="majorHAnsi" w:hAnsiTheme="majorHAnsi" w:cstheme="majorHAnsi"/>
          <w:sz w:val="24"/>
          <w:szCs w:val="24"/>
        </w:rPr>
        <w:t>behavio</w:t>
      </w:r>
      <w:r w:rsidR="00837D25">
        <w:rPr>
          <w:rFonts w:asciiTheme="majorHAnsi" w:hAnsiTheme="majorHAnsi" w:cstheme="majorHAnsi"/>
          <w:sz w:val="24"/>
          <w:szCs w:val="24"/>
        </w:rPr>
        <w:t>u</w:t>
      </w:r>
      <w:r w:rsidR="0082757B" w:rsidRPr="00E845D3">
        <w:rPr>
          <w:rFonts w:asciiTheme="majorHAnsi" w:hAnsiTheme="majorHAnsi" w:cstheme="majorHAnsi"/>
          <w:sz w:val="24"/>
          <w:szCs w:val="24"/>
        </w:rPr>
        <w:t>r</w:t>
      </w:r>
      <w:proofErr w:type="spellEnd"/>
      <w:r w:rsidR="00391F43" w:rsidRPr="00E845D3">
        <w:rPr>
          <w:rFonts w:asciiTheme="majorHAnsi" w:hAnsiTheme="majorHAnsi" w:cstheme="majorHAnsi"/>
          <w:sz w:val="24"/>
          <w:szCs w:val="24"/>
        </w:rPr>
        <w:t xml:space="preserve"> </w:t>
      </w:r>
      <w:r w:rsidR="000828A2" w:rsidRPr="00E845D3">
        <w:rPr>
          <w:rFonts w:asciiTheme="majorHAnsi" w:hAnsiTheme="majorHAnsi" w:cstheme="majorHAnsi"/>
          <w:sz w:val="24"/>
          <w:szCs w:val="24"/>
        </w:rPr>
        <w:t>by the females.</w:t>
      </w:r>
      <w:r w:rsidR="00F40523" w:rsidRPr="00E845D3">
        <w:rPr>
          <w:rFonts w:asciiTheme="majorHAnsi" w:hAnsiTheme="majorHAnsi" w:cstheme="majorHAnsi"/>
          <w:sz w:val="24"/>
          <w:szCs w:val="24"/>
          <w:vertAlign w:val="superscript"/>
        </w:rPr>
        <w:t>1</w:t>
      </w:r>
      <w:r w:rsidR="000018C7">
        <w:rPr>
          <w:rFonts w:asciiTheme="majorHAnsi" w:hAnsiTheme="majorHAnsi" w:cstheme="majorHAnsi"/>
          <w:sz w:val="24"/>
          <w:szCs w:val="24"/>
          <w:vertAlign w:val="superscript"/>
        </w:rPr>
        <w:t>7</w:t>
      </w:r>
      <w:r w:rsidR="000828A2" w:rsidRPr="00E845D3">
        <w:rPr>
          <w:rFonts w:asciiTheme="majorHAnsi" w:hAnsiTheme="majorHAnsi" w:cstheme="majorHAnsi"/>
          <w:sz w:val="24"/>
          <w:szCs w:val="24"/>
        </w:rPr>
        <w:t xml:space="preserve"> A</w:t>
      </w:r>
      <w:r w:rsidR="00391F43" w:rsidRPr="00E845D3">
        <w:rPr>
          <w:rFonts w:asciiTheme="majorHAnsi" w:hAnsiTheme="majorHAnsi" w:cstheme="majorHAnsi"/>
          <w:sz w:val="24"/>
          <w:szCs w:val="24"/>
        </w:rPr>
        <w:t xml:space="preserve"> high proportion of respondents had tertiary education, suggesting a relatively informed cohort; however, this did not translate into </w:t>
      </w:r>
      <w:proofErr w:type="spellStart"/>
      <w:r w:rsidR="00391F43" w:rsidRPr="00E845D3">
        <w:rPr>
          <w:rFonts w:asciiTheme="majorHAnsi" w:hAnsiTheme="majorHAnsi" w:cstheme="majorHAnsi"/>
          <w:sz w:val="24"/>
          <w:szCs w:val="24"/>
        </w:rPr>
        <w:t>favourable</w:t>
      </w:r>
      <w:proofErr w:type="spellEnd"/>
      <w:r w:rsidR="00391F43" w:rsidRPr="00E845D3">
        <w:rPr>
          <w:rFonts w:asciiTheme="majorHAnsi" w:hAnsiTheme="majorHAnsi" w:cstheme="majorHAnsi"/>
          <w:sz w:val="24"/>
          <w:szCs w:val="24"/>
        </w:rPr>
        <w:t xml:space="preserve"> socioeconomic status, as a substantial proportion reported low or no income. This </w:t>
      </w:r>
      <w:r w:rsidR="000828A2" w:rsidRPr="00E845D3">
        <w:rPr>
          <w:rFonts w:asciiTheme="majorHAnsi" w:hAnsiTheme="majorHAnsi" w:cstheme="majorHAnsi"/>
          <w:sz w:val="24"/>
          <w:szCs w:val="24"/>
        </w:rPr>
        <w:t>highlights</w:t>
      </w:r>
      <w:r w:rsidR="00391F43" w:rsidRPr="00E845D3">
        <w:rPr>
          <w:rFonts w:asciiTheme="majorHAnsi" w:hAnsiTheme="majorHAnsi" w:cstheme="majorHAnsi"/>
          <w:sz w:val="24"/>
          <w:szCs w:val="24"/>
        </w:rPr>
        <w:t xml:space="preserve"> the persistent economic vulnerability associated with SCD despite educational attainment.</w:t>
      </w:r>
      <w:r w:rsidR="00F40523" w:rsidRPr="00E845D3">
        <w:rPr>
          <w:rFonts w:asciiTheme="majorHAnsi" w:hAnsiTheme="majorHAnsi" w:cstheme="majorHAnsi"/>
          <w:sz w:val="24"/>
          <w:szCs w:val="24"/>
          <w:vertAlign w:val="superscript"/>
        </w:rPr>
        <w:t>1</w:t>
      </w:r>
      <w:r w:rsidR="000018C7">
        <w:rPr>
          <w:rFonts w:asciiTheme="majorHAnsi" w:hAnsiTheme="majorHAnsi" w:cstheme="majorHAnsi"/>
          <w:sz w:val="24"/>
          <w:szCs w:val="24"/>
          <w:vertAlign w:val="superscript"/>
        </w:rPr>
        <w:t>8</w:t>
      </w:r>
    </w:p>
    <w:p w14:paraId="4D998165" w14:textId="5C195227" w:rsidR="00391F43" w:rsidRPr="00E845D3" w:rsidRDefault="000828A2" w:rsidP="00391F43">
      <w:pPr>
        <w:spacing w:line="360" w:lineRule="auto"/>
        <w:jc w:val="both"/>
        <w:rPr>
          <w:rFonts w:asciiTheme="majorHAnsi" w:hAnsiTheme="majorHAnsi" w:cstheme="majorHAnsi"/>
          <w:sz w:val="24"/>
          <w:szCs w:val="24"/>
          <w:vertAlign w:val="superscript"/>
        </w:rPr>
      </w:pPr>
      <w:r w:rsidRPr="00E845D3">
        <w:rPr>
          <w:rFonts w:asciiTheme="majorHAnsi" w:hAnsiTheme="majorHAnsi" w:cstheme="majorHAnsi"/>
          <w:sz w:val="24"/>
          <w:szCs w:val="24"/>
        </w:rPr>
        <w:t xml:space="preserve">Most responders’ </w:t>
      </w:r>
      <w:proofErr w:type="spellStart"/>
      <w:r w:rsidRPr="00E845D3">
        <w:rPr>
          <w:rFonts w:asciiTheme="majorHAnsi" w:hAnsiTheme="majorHAnsi" w:cstheme="majorHAnsi"/>
          <w:sz w:val="24"/>
          <w:szCs w:val="24"/>
        </w:rPr>
        <w:t>haemoglobin</w:t>
      </w:r>
      <w:proofErr w:type="spellEnd"/>
      <w:r w:rsidRPr="00E845D3">
        <w:rPr>
          <w:rFonts w:asciiTheme="majorHAnsi" w:hAnsiTheme="majorHAnsi" w:cstheme="majorHAnsi"/>
          <w:sz w:val="24"/>
          <w:szCs w:val="24"/>
        </w:rPr>
        <w:t xml:space="preserve"> phenotype was </w:t>
      </w:r>
      <w:proofErr w:type="spellStart"/>
      <w:r w:rsidR="00391F43" w:rsidRPr="00E845D3">
        <w:rPr>
          <w:rFonts w:asciiTheme="majorHAnsi" w:hAnsiTheme="majorHAnsi" w:cstheme="majorHAnsi"/>
          <w:sz w:val="24"/>
          <w:szCs w:val="24"/>
        </w:rPr>
        <w:t>HbSS</w:t>
      </w:r>
      <w:proofErr w:type="spellEnd"/>
      <w:r w:rsidR="00837D25">
        <w:rPr>
          <w:rFonts w:asciiTheme="majorHAnsi" w:hAnsiTheme="majorHAnsi" w:cstheme="majorHAnsi"/>
          <w:sz w:val="24"/>
          <w:szCs w:val="24"/>
        </w:rPr>
        <w:t>,</w:t>
      </w:r>
      <w:r w:rsidR="00391F43" w:rsidRPr="00E845D3">
        <w:rPr>
          <w:rFonts w:asciiTheme="majorHAnsi" w:hAnsiTheme="majorHAnsi" w:cstheme="majorHAnsi"/>
          <w:sz w:val="24"/>
          <w:szCs w:val="24"/>
        </w:rPr>
        <w:t xml:space="preserve"> </w:t>
      </w:r>
      <w:r w:rsidRPr="00E845D3">
        <w:rPr>
          <w:rFonts w:asciiTheme="majorHAnsi" w:hAnsiTheme="majorHAnsi" w:cstheme="majorHAnsi"/>
          <w:sz w:val="24"/>
          <w:szCs w:val="24"/>
        </w:rPr>
        <w:t xml:space="preserve">which is in keeping with </w:t>
      </w:r>
      <w:r w:rsidR="00FB22BF" w:rsidRPr="00E845D3">
        <w:rPr>
          <w:rFonts w:asciiTheme="majorHAnsi" w:hAnsiTheme="majorHAnsi" w:cstheme="majorHAnsi"/>
          <w:sz w:val="24"/>
          <w:szCs w:val="24"/>
        </w:rPr>
        <w:t>the known</w:t>
      </w:r>
      <w:r w:rsidRPr="00E845D3">
        <w:rPr>
          <w:rFonts w:asciiTheme="majorHAnsi" w:hAnsiTheme="majorHAnsi" w:cstheme="majorHAnsi"/>
          <w:sz w:val="24"/>
          <w:szCs w:val="24"/>
        </w:rPr>
        <w:t xml:space="preserve"> </w:t>
      </w:r>
      <w:r w:rsidR="00391F43" w:rsidRPr="00E845D3">
        <w:rPr>
          <w:rFonts w:asciiTheme="majorHAnsi" w:hAnsiTheme="majorHAnsi" w:cstheme="majorHAnsi"/>
          <w:sz w:val="24"/>
          <w:szCs w:val="24"/>
        </w:rPr>
        <w:t>epidemiology of SCD in Nigeria and explains the significant disease burden observed.</w:t>
      </w:r>
      <w:r w:rsidR="000018C7">
        <w:rPr>
          <w:rFonts w:asciiTheme="majorHAnsi" w:hAnsiTheme="majorHAnsi" w:cstheme="majorHAnsi"/>
          <w:sz w:val="24"/>
          <w:szCs w:val="24"/>
          <w:vertAlign w:val="superscript"/>
        </w:rPr>
        <w:t>19,</w:t>
      </w:r>
      <w:r w:rsidR="00F40523" w:rsidRPr="00E845D3">
        <w:rPr>
          <w:rFonts w:asciiTheme="majorHAnsi" w:hAnsiTheme="majorHAnsi" w:cstheme="majorHAnsi"/>
          <w:sz w:val="24"/>
          <w:szCs w:val="24"/>
          <w:vertAlign w:val="superscript"/>
        </w:rPr>
        <w:t>2</w:t>
      </w:r>
      <w:r w:rsidR="000018C7">
        <w:rPr>
          <w:rFonts w:asciiTheme="majorHAnsi" w:hAnsiTheme="majorHAnsi" w:cstheme="majorHAnsi"/>
          <w:sz w:val="24"/>
          <w:szCs w:val="24"/>
          <w:vertAlign w:val="superscript"/>
        </w:rPr>
        <w:t>0</w:t>
      </w:r>
      <w:r w:rsidR="00391F43" w:rsidRPr="00E845D3">
        <w:rPr>
          <w:rFonts w:asciiTheme="majorHAnsi" w:hAnsiTheme="majorHAnsi" w:cstheme="majorHAnsi"/>
          <w:sz w:val="24"/>
          <w:szCs w:val="24"/>
        </w:rPr>
        <w:t xml:space="preserve"> Although nearly half of </w:t>
      </w:r>
      <w:r w:rsidR="00837D25">
        <w:rPr>
          <w:rFonts w:asciiTheme="majorHAnsi" w:hAnsiTheme="majorHAnsi" w:cstheme="majorHAnsi"/>
          <w:sz w:val="24"/>
          <w:szCs w:val="24"/>
        </w:rPr>
        <w:t xml:space="preserve">the </w:t>
      </w:r>
      <w:r w:rsidR="00391F43" w:rsidRPr="00E845D3">
        <w:rPr>
          <w:rFonts w:asciiTheme="majorHAnsi" w:hAnsiTheme="majorHAnsi" w:cstheme="majorHAnsi"/>
          <w:sz w:val="24"/>
          <w:szCs w:val="24"/>
        </w:rPr>
        <w:t>respondents reported 1–2 crises annually, a considerable proportion experienced frequent crises (&gt;3 episodes), indicating disease severit</w:t>
      </w:r>
      <w:r w:rsidR="00FB22BF" w:rsidRPr="00E845D3">
        <w:rPr>
          <w:rFonts w:asciiTheme="majorHAnsi" w:hAnsiTheme="majorHAnsi" w:cstheme="majorHAnsi"/>
          <w:sz w:val="24"/>
          <w:szCs w:val="24"/>
        </w:rPr>
        <w:t>y</w:t>
      </w:r>
      <w:r w:rsidR="00391F43" w:rsidRPr="00E845D3">
        <w:rPr>
          <w:rFonts w:asciiTheme="majorHAnsi" w:hAnsiTheme="majorHAnsi" w:cstheme="majorHAnsi"/>
          <w:sz w:val="24"/>
          <w:szCs w:val="24"/>
        </w:rPr>
        <w:t xml:space="preserve">. </w:t>
      </w:r>
      <w:r w:rsidR="00FB22BF" w:rsidRPr="00E845D3">
        <w:rPr>
          <w:rFonts w:asciiTheme="majorHAnsi" w:hAnsiTheme="majorHAnsi" w:cstheme="majorHAnsi"/>
          <w:sz w:val="24"/>
          <w:szCs w:val="24"/>
        </w:rPr>
        <w:t xml:space="preserve">There was also a high rate of </w:t>
      </w:r>
      <w:proofErr w:type="spellStart"/>
      <w:r w:rsidR="00391F43" w:rsidRPr="00E845D3">
        <w:rPr>
          <w:rFonts w:asciiTheme="majorHAnsi" w:hAnsiTheme="majorHAnsi" w:cstheme="majorHAnsi"/>
          <w:sz w:val="24"/>
          <w:szCs w:val="24"/>
        </w:rPr>
        <w:t>hospitali</w:t>
      </w:r>
      <w:r w:rsidR="00837D25">
        <w:rPr>
          <w:rFonts w:asciiTheme="majorHAnsi" w:hAnsiTheme="majorHAnsi" w:cstheme="majorHAnsi"/>
          <w:sz w:val="24"/>
          <w:szCs w:val="24"/>
        </w:rPr>
        <w:t>s</w:t>
      </w:r>
      <w:r w:rsidR="00391F43" w:rsidRPr="00E845D3">
        <w:rPr>
          <w:rFonts w:asciiTheme="majorHAnsi" w:hAnsiTheme="majorHAnsi" w:cstheme="majorHAnsi"/>
          <w:sz w:val="24"/>
          <w:szCs w:val="24"/>
        </w:rPr>
        <w:t>ation</w:t>
      </w:r>
      <w:proofErr w:type="spellEnd"/>
      <w:r w:rsidR="00391F43" w:rsidRPr="00E845D3">
        <w:rPr>
          <w:rFonts w:asciiTheme="majorHAnsi" w:hAnsiTheme="majorHAnsi" w:cstheme="majorHAnsi"/>
          <w:sz w:val="24"/>
          <w:szCs w:val="24"/>
        </w:rPr>
        <w:t xml:space="preserve">, with nearly 60% </w:t>
      </w:r>
      <w:r w:rsidR="00391F43" w:rsidRPr="00E845D3">
        <w:rPr>
          <w:rFonts w:asciiTheme="majorHAnsi" w:hAnsiTheme="majorHAnsi" w:cstheme="majorHAnsi"/>
          <w:sz w:val="24"/>
          <w:szCs w:val="24"/>
        </w:rPr>
        <w:lastRenderedPageBreak/>
        <w:t xml:space="preserve">requiring at least one admission and over one-third experiencing multiple admissions within </w:t>
      </w:r>
      <w:r w:rsidR="00FB22BF" w:rsidRPr="00E845D3">
        <w:rPr>
          <w:rFonts w:asciiTheme="majorHAnsi" w:hAnsiTheme="majorHAnsi" w:cstheme="majorHAnsi"/>
          <w:sz w:val="24"/>
          <w:szCs w:val="24"/>
        </w:rPr>
        <w:t>the preceding twelve months</w:t>
      </w:r>
      <w:r w:rsidR="00391F43" w:rsidRPr="00E845D3">
        <w:rPr>
          <w:rFonts w:asciiTheme="majorHAnsi" w:hAnsiTheme="majorHAnsi" w:cstheme="majorHAnsi"/>
          <w:sz w:val="24"/>
          <w:szCs w:val="24"/>
        </w:rPr>
        <w:t xml:space="preserve">. The high prevalence of prior blood transfusion </w:t>
      </w:r>
      <w:r w:rsidR="000005D2" w:rsidRPr="00E845D3">
        <w:rPr>
          <w:rFonts w:asciiTheme="majorHAnsi" w:hAnsiTheme="majorHAnsi" w:cstheme="majorHAnsi"/>
          <w:sz w:val="24"/>
          <w:szCs w:val="24"/>
        </w:rPr>
        <w:t>suggests</w:t>
      </w:r>
      <w:r w:rsidR="00391F43" w:rsidRPr="00E845D3">
        <w:rPr>
          <w:rFonts w:asciiTheme="majorHAnsi" w:hAnsiTheme="majorHAnsi" w:cstheme="majorHAnsi"/>
          <w:sz w:val="24"/>
          <w:szCs w:val="24"/>
        </w:rPr>
        <w:t xml:space="preserve"> th</w:t>
      </w:r>
      <w:r w:rsidR="0039542F" w:rsidRPr="00E845D3">
        <w:rPr>
          <w:rFonts w:asciiTheme="majorHAnsi" w:hAnsiTheme="majorHAnsi" w:cstheme="majorHAnsi"/>
          <w:sz w:val="24"/>
          <w:szCs w:val="24"/>
        </w:rPr>
        <w:t>at</w:t>
      </w:r>
      <w:r w:rsidR="00FB22BF" w:rsidRPr="00E845D3">
        <w:rPr>
          <w:rFonts w:asciiTheme="majorHAnsi" w:hAnsiTheme="majorHAnsi" w:cstheme="majorHAnsi"/>
          <w:sz w:val="24"/>
          <w:szCs w:val="24"/>
        </w:rPr>
        <w:t xml:space="preserve"> transfusion </w:t>
      </w:r>
      <w:r w:rsidR="0039542F" w:rsidRPr="00E845D3">
        <w:rPr>
          <w:rFonts w:asciiTheme="majorHAnsi" w:hAnsiTheme="majorHAnsi" w:cstheme="majorHAnsi"/>
          <w:sz w:val="24"/>
          <w:szCs w:val="24"/>
        </w:rPr>
        <w:t xml:space="preserve">is used </w:t>
      </w:r>
      <w:r w:rsidR="00FB22BF" w:rsidRPr="00E845D3">
        <w:rPr>
          <w:rFonts w:asciiTheme="majorHAnsi" w:hAnsiTheme="majorHAnsi" w:cstheme="majorHAnsi"/>
          <w:sz w:val="24"/>
          <w:szCs w:val="24"/>
        </w:rPr>
        <w:t xml:space="preserve">as part of supportive care </w:t>
      </w:r>
      <w:r w:rsidR="0039542F" w:rsidRPr="00E845D3">
        <w:rPr>
          <w:rFonts w:asciiTheme="majorHAnsi" w:hAnsiTheme="majorHAnsi" w:cstheme="majorHAnsi"/>
          <w:sz w:val="24"/>
          <w:szCs w:val="24"/>
        </w:rPr>
        <w:t xml:space="preserve">and may </w:t>
      </w:r>
      <w:r w:rsidR="000005D2" w:rsidRPr="00E845D3">
        <w:rPr>
          <w:rFonts w:asciiTheme="majorHAnsi" w:hAnsiTheme="majorHAnsi" w:cstheme="majorHAnsi"/>
          <w:sz w:val="24"/>
          <w:szCs w:val="24"/>
        </w:rPr>
        <w:t>reflect</w:t>
      </w:r>
      <w:r w:rsidR="0039542F" w:rsidRPr="00E845D3">
        <w:rPr>
          <w:rFonts w:asciiTheme="majorHAnsi" w:hAnsiTheme="majorHAnsi" w:cstheme="majorHAnsi"/>
          <w:sz w:val="24"/>
          <w:szCs w:val="24"/>
        </w:rPr>
        <w:t xml:space="preserve"> the</w:t>
      </w:r>
      <w:r w:rsidR="00391F43" w:rsidRPr="00E845D3">
        <w:rPr>
          <w:rFonts w:asciiTheme="majorHAnsi" w:hAnsiTheme="majorHAnsi" w:cstheme="majorHAnsi"/>
          <w:sz w:val="24"/>
          <w:szCs w:val="24"/>
        </w:rPr>
        <w:t xml:space="preserve"> cumulative burden of complications </w:t>
      </w:r>
      <w:r w:rsidR="0039542F" w:rsidRPr="00E845D3">
        <w:rPr>
          <w:rFonts w:asciiTheme="majorHAnsi" w:hAnsiTheme="majorHAnsi" w:cstheme="majorHAnsi"/>
          <w:sz w:val="24"/>
          <w:szCs w:val="24"/>
        </w:rPr>
        <w:t xml:space="preserve">in SCD </w:t>
      </w:r>
      <w:r w:rsidR="00391F43" w:rsidRPr="00E845D3">
        <w:rPr>
          <w:rFonts w:asciiTheme="majorHAnsi" w:hAnsiTheme="majorHAnsi" w:cstheme="majorHAnsi"/>
          <w:sz w:val="24"/>
          <w:szCs w:val="24"/>
        </w:rPr>
        <w:t>in this setting.</w:t>
      </w:r>
      <w:r w:rsidR="00F40523" w:rsidRPr="00E845D3">
        <w:rPr>
          <w:rFonts w:asciiTheme="majorHAnsi" w:hAnsiTheme="majorHAnsi" w:cstheme="majorHAnsi"/>
          <w:sz w:val="24"/>
          <w:szCs w:val="24"/>
          <w:vertAlign w:val="superscript"/>
        </w:rPr>
        <w:t>2</w:t>
      </w:r>
      <w:r w:rsidR="000018C7">
        <w:rPr>
          <w:rFonts w:asciiTheme="majorHAnsi" w:hAnsiTheme="majorHAnsi" w:cstheme="majorHAnsi"/>
          <w:sz w:val="24"/>
          <w:szCs w:val="24"/>
          <w:vertAlign w:val="superscript"/>
        </w:rPr>
        <w:t>1</w:t>
      </w:r>
    </w:p>
    <w:p w14:paraId="7E3BE1C2" w14:textId="57D03D89" w:rsidR="00865B22" w:rsidRPr="00E845D3" w:rsidRDefault="00865B22" w:rsidP="00865B22">
      <w:pPr>
        <w:spacing w:line="360" w:lineRule="auto"/>
        <w:jc w:val="both"/>
        <w:rPr>
          <w:rFonts w:asciiTheme="majorHAnsi" w:hAnsiTheme="majorHAnsi" w:cstheme="majorHAnsi"/>
          <w:sz w:val="24"/>
          <w:szCs w:val="24"/>
        </w:rPr>
      </w:pPr>
      <w:r w:rsidRPr="00E845D3">
        <w:rPr>
          <w:rFonts w:asciiTheme="majorHAnsi" w:hAnsiTheme="majorHAnsi" w:cstheme="majorHAnsi"/>
          <w:sz w:val="24"/>
          <w:szCs w:val="24"/>
        </w:rPr>
        <w:t xml:space="preserve">A key finding of this study </w:t>
      </w:r>
      <w:r w:rsidR="007F20B7" w:rsidRPr="00E845D3">
        <w:rPr>
          <w:rFonts w:asciiTheme="majorHAnsi" w:hAnsiTheme="majorHAnsi" w:cstheme="majorHAnsi"/>
          <w:sz w:val="24"/>
          <w:szCs w:val="24"/>
        </w:rPr>
        <w:t>was</w:t>
      </w:r>
      <w:r w:rsidRPr="00E845D3">
        <w:rPr>
          <w:rFonts w:asciiTheme="majorHAnsi" w:hAnsiTheme="majorHAnsi" w:cstheme="majorHAnsi"/>
          <w:sz w:val="24"/>
          <w:szCs w:val="24"/>
        </w:rPr>
        <w:t xml:space="preserve"> the discordance between awareness and </w:t>
      </w:r>
      <w:r w:rsidR="007F20B7" w:rsidRPr="00E845D3">
        <w:rPr>
          <w:rFonts w:asciiTheme="majorHAnsi" w:hAnsiTheme="majorHAnsi" w:cstheme="majorHAnsi"/>
          <w:sz w:val="24"/>
          <w:szCs w:val="24"/>
        </w:rPr>
        <w:t>utilization of hydroxyurea</w:t>
      </w:r>
      <w:r w:rsidRPr="00E845D3">
        <w:rPr>
          <w:rFonts w:asciiTheme="majorHAnsi" w:hAnsiTheme="majorHAnsi" w:cstheme="majorHAnsi"/>
          <w:sz w:val="24"/>
          <w:szCs w:val="24"/>
        </w:rPr>
        <w:t xml:space="preserve">. Although </w:t>
      </w:r>
      <w:r w:rsidR="007F20B7" w:rsidRPr="00E845D3">
        <w:rPr>
          <w:rFonts w:asciiTheme="majorHAnsi" w:hAnsiTheme="majorHAnsi" w:cstheme="majorHAnsi"/>
          <w:sz w:val="24"/>
          <w:szCs w:val="24"/>
        </w:rPr>
        <w:t>most of the responders</w:t>
      </w:r>
      <w:r w:rsidRPr="00E845D3">
        <w:rPr>
          <w:rFonts w:asciiTheme="majorHAnsi" w:hAnsiTheme="majorHAnsi" w:cstheme="majorHAnsi"/>
          <w:sz w:val="24"/>
          <w:szCs w:val="24"/>
        </w:rPr>
        <w:t xml:space="preserve"> were aware of hydroxyurea, only </w:t>
      </w:r>
      <w:r w:rsidR="007F20B7" w:rsidRPr="00E845D3">
        <w:rPr>
          <w:rFonts w:asciiTheme="majorHAnsi" w:hAnsiTheme="majorHAnsi" w:cstheme="majorHAnsi"/>
          <w:sz w:val="24"/>
          <w:szCs w:val="24"/>
        </w:rPr>
        <w:t>a little over half</w:t>
      </w:r>
      <w:r w:rsidRPr="00E845D3">
        <w:rPr>
          <w:rFonts w:asciiTheme="majorHAnsi" w:hAnsiTheme="majorHAnsi" w:cstheme="majorHAnsi"/>
          <w:sz w:val="24"/>
          <w:szCs w:val="24"/>
        </w:rPr>
        <w:t xml:space="preserve"> had ever used it, and </w:t>
      </w:r>
      <w:r w:rsidR="007F20B7" w:rsidRPr="00E845D3">
        <w:rPr>
          <w:rFonts w:asciiTheme="majorHAnsi" w:hAnsiTheme="majorHAnsi" w:cstheme="majorHAnsi"/>
          <w:sz w:val="24"/>
          <w:szCs w:val="24"/>
        </w:rPr>
        <w:t>less than half</w:t>
      </w:r>
      <w:r w:rsidRPr="00E845D3">
        <w:rPr>
          <w:rFonts w:asciiTheme="majorHAnsi" w:hAnsiTheme="majorHAnsi" w:cstheme="majorHAnsi"/>
          <w:sz w:val="24"/>
          <w:szCs w:val="24"/>
        </w:rPr>
        <w:t xml:space="preserve"> were current users.  Th</w:t>
      </w:r>
      <w:r w:rsidR="007F20B7" w:rsidRPr="00E845D3">
        <w:rPr>
          <w:rFonts w:asciiTheme="majorHAnsi" w:hAnsiTheme="majorHAnsi" w:cstheme="majorHAnsi"/>
          <w:sz w:val="24"/>
          <w:szCs w:val="24"/>
        </w:rPr>
        <w:t xml:space="preserve">erefore, availability of hydroxyurea in our </w:t>
      </w:r>
      <w:r w:rsidR="007D6D9C" w:rsidRPr="00E845D3">
        <w:rPr>
          <w:rFonts w:asciiTheme="majorHAnsi" w:hAnsiTheme="majorHAnsi" w:cstheme="majorHAnsi"/>
          <w:sz w:val="24"/>
          <w:szCs w:val="24"/>
        </w:rPr>
        <w:t>environment did</w:t>
      </w:r>
      <w:r w:rsidR="007F20B7" w:rsidRPr="00E845D3">
        <w:rPr>
          <w:rFonts w:asciiTheme="majorHAnsi" w:hAnsiTheme="majorHAnsi" w:cstheme="majorHAnsi"/>
          <w:sz w:val="24"/>
          <w:szCs w:val="24"/>
        </w:rPr>
        <w:t xml:space="preserve"> not translate into consistent uptake and sustained use. The gap in uptake of hydroxyurea in the </w:t>
      </w:r>
      <w:r w:rsidR="007D6D9C" w:rsidRPr="00E845D3">
        <w:rPr>
          <w:rFonts w:asciiTheme="majorHAnsi" w:hAnsiTheme="majorHAnsi" w:cstheme="majorHAnsi"/>
          <w:sz w:val="24"/>
          <w:szCs w:val="24"/>
        </w:rPr>
        <w:t>responders</w:t>
      </w:r>
      <w:r w:rsidR="007F20B7" w:rsidRPr="00E845D3">
        <w:rPr>
          <w:rFonts w:asciiTheme="majorHAnsi" w:hAnsiTheme="majorHAnsi" w:cstheme="majorHAnsi"/>
          <w:sz w:val="24"/>
          <w:szCs w:val="24"/>
        </w:rPr>
        <w:t xml:space="preserve"> may be due to</w:t>
      </w:r>
      <w:r w:rsidR="007E35BE" w:rsidRPr="00E845D3">
        <w:rPr>
          <w:rFonts w:asciiTheme="majorHAnsi" w:hAnsiTheme="majorHAnsi" w:cstheme="majorHAnsi"/>
          <w:sz w:val="24"/>
          <w:szCs w:val="24"/>
        </w:rPr>
        <w:t>;</w:t>
      </w:r>
      <w:r w:rsidR="007F20B7" w:rsidRPr="00E845D3">
        <w:rPr>
          <w:rFonts w:asciiTheme="majorHAnsi" w:hAnsiTheme="majorHAnsi" w:cstheme="majorHAnsi"/>
          <w:sz w:val="24"/>
          <w:szCs w:val="24"/>
        </w:rPr>
        <w:t xml:space="preserve"> a small but relevant lack of awareness</w:t>
      </w:r>
      <w:r w:rsidR="007E35BE" w:rsidRPr="00E845D3">
        <w:rPr>
          <w:rFonts w:asciiTheme="majorHAnsi" w:hAnsiTheme="majorHAnsi" w:cstheme="majorHAnsi"/>
          <w:sz w:val="24"/>
          <w:szCs w:val="24"/>
        </w:rPr>
        <w:t xml:space="preserve"> gap</w:t>
      </w:r>
      <w:r w:rsidR="007F20B7" w:rsidRPr="00E845D3">
        <w:rPr>
          <w:rFonts w:asciiTheme="majorHAnsi" w:hAnsiTheme="majorHAnsi" w:cstheme="majorHAnsi"/>
          <w:sz w:val="24"/>
          <w:szCs w:val="24"/>
        </w:rPr>
        <w:t xml:space="preserve"> in the less than a tenth </w:t>
      </w:r>
      <w:r w:rsidR="007E35BE" w:rsidRPr="00E845D3">
        <w:rPr>
          <w:rFonts w:asciiTheme="majorHAnsi" w:hAnsiTheme="majorHAnsi" w:cstheme="majorHAnsi"/>
          <w:sz w:val="24"/>
          <w:szCs w:val="24"/>
        </w:rPr>
        <w:t xml:space="preserve">of them who had never heard of it, </w:t>
      </w:r>
      <w:r w:rsidR="007F20B7" w:rsidRPr="00E845D3">
        <w:rPr>
          <w:rFonts w:asciiTheme="majorHAnsi" w:hAnsiTheme="majorHAnsi" w:cstheme="majorHAnsi"/>
          <w:sz w:val="24"/>
          <w:szCs w:val="24"/>
        </w:rPr>
        <w:t xml:space="preserve"> </w:t>
      </w:r>
      <w:r w:rsidR="007E35BE" w:rsidRPr="00E845D3">
        <w:rPr>
          <w:rFonts w:asciiTheme="majorHAnsi" w:hAnsiTheme="majorHAnsi" w:cstheme="majorHAnsi"/>
          <w:sz w:val="24"/>
          <w:szCs w:val="24"/>
        </w:rPr>
        <w:t xml:space="preserve">a substantial initiation gap in about a third of those who were aware </w:t>
      </w:r>
      <w:r w:rsidR="006F5423" w:rsidRPr="00E845D3">
        <w:rPr>
          <w:rFonts w:asciiTheme="majorHAnsi" w:hAnsiTheme="majorHAnsi" w:cstheme="majorHAnsi"/>
          <w:sz w:val="24"/>
          <w:szCs w:val="24"/>
        </w:rPr>
        <w:t xml:space="preserve">of hydroxyurea </w:t>
      </w:r>
      <w:r w:rsidR="007E35BE" w:rsidRPr="00E845D3">
        <w:rPr>
          <w:rFonts w:asciiTheme="majorHAnsi" w:hAnsiTheme="majorHAnsi" w:cstheme="majorHAnsi"/>
          <w:sz w:val="24"/>
          <w:szCs w:val="24"/>
        </w:rPr>
        <w:t>but not on treatment, and a retention gap in about a quarter of those who were ever-users but discontinued treatment.</w:t>
      </w:r>
    </w:p>
    <w:p w14:paraId="48CC811E" w14:textId="7E92D4E0" w:rsidR="00865B22" w:rsidRPr="00E845D3" w:rsidRDefault="006F5423" w:rsidP="00865B22">
      <w:pPr>
        <w:spacing w:line="360" w:lineRule="auto"/>
        <w:jc w:val="both"/>
        <w:rPr>
          <w:rFonts w:asciiTheme="majorHAnsi" w:hAnsiTheme="majorHAnsi" w:cstheme="majorHAnsi"/>
          <w:sz w:val="24"/>
          <w:szCs w:val="24"/>
        </w:rPr>
      </w:pPr>
      <w:r w:rsidRPr="00E845D3">
        <w:rPr>
          <w:rFonts w:asciiTheme="majorHAnsi" w:hAnsiTheme="majorHAnsi" w:cstheme="majorHAnsi"/>
          <w:sz w:val="24"/>
          <w:szCs w:val="24"/>
        </w:rPr>
        <w:t>Our findings revealed that h</w:t>
      </w:r>
      <w:r w:rsidR="00865B22" w:rsidRPr="00E845D3">
        <w:rPr>
          <w:rFonts w:asciiTheme="majorHAnsi" w:hAnsiTheme="majorHAnsi" w:cstheme="majorHAnsi"/>
          <w:sz w:val="24"/>
          <w:szCs w:val="24"/>
        </w:rPr>
        <w:t>igher disease burden independently predicted hydroxyurea uptake (</w:t>
      </w:r>
      <w:proofErr w:type="spellStart"/>
      <w:r w:rsidR="00865B22" w:rsidRPr="00E845D3">
        <w:rPr>
          <w:rFonts w:asciiTheme="majorHAnsi" w:hAnsiTheme="majorHAnsi" w:cstheme="majorHAnsi"/>
          <w:sz w:val="24"/>
          <w:szCs w:val="24"/>
        </w:rPr>
        <w:t>aOR</w:t>
      </w:r>
      <w:proofErr w:type="spellEnd"/>
      <w:r w:rsidR="00865B22" w:rsidRPr="00E845D3">
        <w:rPr>
          <w:rFonts w:asciiTheme="majorHAnsi" w:hAnsiTheme="majorHAnsi" w:cstheme="majorHAnsi"/>
          <w:sz w:val="24"/>
          <w:szCs w:val="24"/>
        </w:rPr>
        <w:t xml:space="preserve"> 2.06, p=0.043), suggesting that patients with more severe disease </w:t>
      </w:r>
      <w:r w:rsidRPr="00E845D3">
        <w:rPr>
          <w:rFonts w:asciiTheme="majorHAnsi" w:hAnsiTheme="majorHAnsi" w:cstheme="majorHAnsi"/>
          <w:sz w:val="24"/>
          <w:szCs w:val="24"/>
        </w:rPr>
        <w:t>we</w:t>
      </w:r>
      <w:r w:rsidR="00865B22" w:rsidRPr="00E845D3">
        <w:rPr>
          <w:rFonts w:asciiTheme="majorHAnsi" w:hAnsiTheme="majorHAnsi" w:cstheme="majorHAnsi"/>
          <w:sz w:val="24"/>
          <w:szCs w:val="24"/>
        </w:rPr>
        <w:t>re more likely to initiate therapy.  This is consistent with clinical practice patterns in LMICs, where hydroxyurea is often reserved for patients with frequent crises, hospitali</w:t>
      </w:r>
      <w:r w:rsidRPr="00E845D3">
        <w:rPr>
          <w:rFonts w:asciiTheme="majorHAnsi" w:hAnsiTheme="majorHAnsi" w:cstheme="majorHAnsi"/>
          <w:sz w:val="24"/>
          <w:szCs w:val="24"/>
        </w:rPr>
        <w:t>z</w:t>
      </w:r>
      <w:r w:rsidR="00865B22" w:rsidRPr="00E845D3">
        <w:rPr>
          <w:rFonts w:asciiTheme="majorHAnsi" w:hAnsiTheme="majorHAnsi" w:cstheme="majorHAnsi"/>
          <w:sz w:val="24"/>
          <w:szCs w:val="24"/>
        </w:rPr>
        <w:t>ations, or transfusion requirements, rather than being used proactively.</w:t>
      </w:r>
      <w:r w:rsidR="007D6D9C" w:rsidRPr="00E845D3">
        <w:rPr>
          <w:rFonts w:asciiTheme="majorHAnsi" w:hAnsiTheme="majorHAnsi" w:cstheme="majorHAnsi"/>
          <w:sz w:val="24"/>
          <w:szCs w:val="24"/>
          <w:vertAlign w:val="superscript"/>
        </w:rPr>
        <w:t>2</w:t>
      </w:r>
      <w:r w:rsidR="000018C7">
        <w:rPr>
          <w:rFonts w:asciiTheme="majorHAnsi" w:hAnsiTheme="majorHAnsi" w:cstheme="majorHAnsi"/>
          <w:sz w:val="24"/>
          <w:szCs w:val="24"/>
          <w:vertAlign w:val="superscript"/>
        </w:rPr>
        <w:t>2</w:t>
      </w:r>
      <w:r w:rsidR="007D6D9C" w:rsidRPr="00E845D3">
        <w:rPr>
          <w:rFonts w:asciiTheme="majorHAnsi" w:hAnsiTheme="majorHAnsi" w:cstheme="majorHAnsi"/>
          <w:sz w:val="24"/>
          <w:szCs w:val="24"/>
          <w:vertAlign w:val="superscript"/>
        </w:rPr>
        <w:t>,</w:t>
      </w:r>
      <w:r w:rsidR="00F40523" w:rsidRPr="00E845D3">
        <w:rPr>
          <w:rFonts w:asciiTheme="majorHAnsi" w:hAnsiTheme="majorHAnsi" w:cstheme="majorHAnsi"/>
          <w:sz w:val="24"/>
          <w:szCs w:val="24"/>
          <w:vertAlign w:val="superscript"/>
        </w:rPr>
        <w:t>2</w:t>
      </w:r>
      <w:r w:rsidR="000018C7">
        <w:rPr>
          <w:rFonts w:asciiTheme="majorHAnsi" w:hAnsiTheme="majorHAnsi" w:cstheme="majorHAnsi"/>
          <w:sz w:val="24"/>
          <w:szCs w:val="24"/>
          <w:vertAlign w:val="superscript"/>
        </w:rPr>
        <w:t>3</w:t>
      </w:r>
      <w:r w:rsidRPr="00E845D3">
        <w:rPr>
          <w:rFonts w:asciiTheme="majorHAnsi" w:hAnsiTheme="majorHAnsi" w:cstheme="majorHAnsi"/>
          <w:sz w:val="24"/>
          <w:szCs w:val="24"/>
        </w:rPr>
        <w:t xml:space="preserve"> </w:t>
      </w:r>
      <w:r w:rsidR="00865B22" w:rsidRPr="00E845D3">
        <w:rPr>
          <w:rFonts w:asciiTheme="majorHAnsi" w:hAnsiTheme="majorHAnsi" w:cstheme="majorHAnsi"/>
          <w:sz w:val="24"/>
          <w:szCs w:val="24"/>
        </w:rPr>
        <w:t>However, this pattern has important implications. When treatment is preferentially initiated in more severe disease, cross-sectional comparisons between users and non-users may underestimate the apparent benefit of hydroxyurea. This likely explains why current hydroxyurea use was not independently associated with better patient-reported outcomes in</w:t>
      </w:r>
      <w:r w:rsidRPr="00E845D3">
        <w:rPr>
          <w:rFonts w:asciiTheme="majorHAnsi" w:hAnsiTheme="majorHAnsi" w:cstheme="majorHAnsi"/>
          <w:sz w:val="24"/>
          <w:szCs w:val="24"/>
        </w:rPr>
        <w:t xml:space="preserve"> the responders</w:t>
      </w:r>
      <w:r w:rsidR="00865B22" w:rsidRPr="00E845D3">
        <w:rPr>
          <w:rFonts w:asciiTheme="majorHAnsi" w:hAnsiTheme="majorHAnsi" w:cstheme="majorHAnsi"/>
          <w:sz w:val="24"/>
          <w:szCs w:val="24"/>
        </w:rPr>
        <w:t xml:space="preserve"> (p=0.265). </w:t>
      </w:r>
    </w:p>
    <w:p w14:paraId="5CC0D0BC" w14:textId="02F84804" w:rsidR="00865B22" w:rsidRPr="00E845D3" w:rsidRDefault="006F5423" w:rsidP="00865B22">
      <w:pPr>
        <w:spacing w:line="360" w:lineRule="auto"/>
        <w:jc w:val="both"/>
        <w:rPr>
          <w:rFonts w:asciiTheme="majorHAnsi" w:hAnsiTheme="majorHAnsi" w:cstheme="majorHAnsi"/>
          <w:sz w:val="24"/>
          <w:szCs w:val="24"/>
        </w:rPr>
      </w:pPr>
      <w:r w:rsidRPr="00E845D3">
        <w:rPr>
          <w:rFonts w:asciiTheme="majorHAnsi" w:hAnsiTheme="majorHAnsi" w:cstheme="majorHAnsi"/>
          <w:sz w:val="24"/>
          <w:szCs w:val="24"/>
        </w:rPr>
        <w:t xml:space="preserve">In this study, </w:t>
      </w:r>
      <w:r w:rsidR="00865B22" w:rsidRPr="00E845D3">
        <w:rPr>
          <w:rFonts w:asciiTheme="majorHAnsi" w:hAnsiTheme="majorHAnsi" w:cstheme="majorHAnsi"/>
          <w:sz w:val="24"/>
          <w:szCs w:val="24"/>
        </w:rPr>
        <w:t>adherence</w:t>
      </w:r>
      <w:r w:rsidRPr="00E845D3">
        <w:rPr>
          <w:rFonts w:asciiTheme="majorHAnsi" w:hAnsiTheme="majorHAnsi" w:cstheme="majorHAnsi"/>
          <w:sz w:val="24"/>
          <w:szCs w:val="24"/>
        </w:rPr>
        <w:t xml:space="preserve"> (and </w:t>
      </w:r>
      <w:r w:rsidR="00865B22" w:rsidRPr="00E845D3">
        <w:rPr>
          <w:rFonts w:asciiTheme="majorHAnsi" w:hAnsiTheme="majorHAnsi" w:cstheme="majorHAnsi"/>
          <w:sz w:val="24"/>
          <w:szCs w:val="24"/>
        </w:rPr>
        <w:t xml:space="preserve">not </w:t>
      </w:r>
      <w:r w:rsidRPr="00E845D3">
        <w:rPr>
          <w:rFonts w:asciiTheme="majorHAnsi" w:hAnsiTheme="majorHAnsi" w:cstheme="majorHAnsi"/>
          <w:sz w:val="24"/>
          <w:szCs w:val="24"/>
        </w:rPr>
        <w:t>just</w:t>
      </w:r>
      <w:r w:rsidR="00865B22" w:rsidRPr="00E845D3">
        <w:rPr>
          <w:rFonts w:asciiTheme="majorHAnsi" w:hAnsiTheme="majorHAnsi" w:cstheme="majorHAnsi"/>
          <w:sz w:val="24"/>
          <w:szCs w:val="24"/>
        </w:rPr>
        <w:t xml:space="preserve"> current use</w:t>
      </w:r>
      <w:r w:rsidRPr="00E845D3">
        <w:rPr>
          <w:rFonts w:asciiTheme="majorHAnsi" w:hAnsiTheme="majorHAnsi" w:cstheme="majorHAnsi"/>
          <w:sz w:val="24"/>
          <w:szCs w:val="24"/>
        </w:rPr>
        <w:t xml:space="preserve">) </w:t>
      </w:r>
      <w:r w:rsidR="00865B22" w:rsidRPr="00E845D3">
        <w:rPr>
          <w:rFonts w:asciiTheme="majorHAnsi" w:hAnsiTheme="majorHAnsi" w:cstheme="majorHAnsi"/>
          <w:sz w:val="24"/>
          <w:szCs w:val="24"/>
        </w:rPr>
        <w:t xml:space="preserve">was the key determinant of improved outcomes. </w:t>
      </w:r>
      <w:r w:rsidRPr="00E845D3">
        <w:rPr>
          <w:rFonts w:asciiTheme="majorHAnsi" w:hAnsiTheme="majorHAnsi" w:cstheme="majorHAnsi"/>
          <w:sz w:val="24"/>
          <w:szCs w:val="24"/>
        </w:rPr>
        <w:t>Almost three-quarters of the</w:t>
      </w:r>
      <w:r w:rsidR="00865B22" w:rsidRPr="00E845D3">
        <w:rPr>
          <w:rFonts w:asciiTheme="majorHAnsi" w:hAnsiTheme="majorHAnsi" w:cstheme="majorHAnsi"/>
          <w:sz w:val="24"/>
          <w:szCs w:val="24"/>
        </w:rPr>
        <w:t xml:space="preserve"> current users</w:t>
      </w:r>
      <w:r w:rsidRPr="00E845D3">
        <w:rPr>
          <w:rFonts w:asciiTheme="majorHAnsi" w:hAnsiTheme="majorHAnsi" w:cstheme="majorHAnsi"/>
          <w:sz w:val="24"/>
          <w:szCs w:val="24"/>
        </w:rPr>
        <w:t xml:space="preserve"> were adherent to hydroxyurea</w:t>
      </w:r>
      <w:r w:rsidR="00F23460" w:rsidRPr="00E845D3">
        <w:rPr>
          <w:rFonts w:asciiTheme="majorHAnsi" w:hAnsiTheme="majorHAnsi" w:cstheme="majorHAnsi"/>
          <w:sz w:val="24"/>
          <w:szCs w:val="24"/>
        </w:rPr>
        <w:t xml:space="preserve"> and they had s</w:t>
      </w:r>
      <w:r w:rsidR="00865B22" w:rsidRPr="00E845D3">
        <w:rPr>
          <w:rFonts w:asciiTheme="majorHAnsi" w:hAnsiTheme="majorHAnsi" w:cstheme="majorHAnsi"/>
          <w:sz w:val="24"/>
          <w:szCs w:val="24"/>
        </w:rPr>
        <w:t>ignificantly lower disease-burden scores (p=0.009)</w:t>
      </w:r>
      <w:r w:rsidR="00F23460" w:rsidRPr="00E845D3">
        <w:rPr>
          <w:rFonts w:asciiTheme="majorHAnsi" w:hAnsiTheme="majorHAnsi" w:cstheme="majorHAnsi"/>
          <w:sz w:val="24"/>
          <w:szCs w:val="24"/>
        </w:rPr>
        <w:t xml:space="preserve">. Adherent users also had numerically higher QoL scores, although not statistically significant </w:t>
      </w:r>
      <w:r w:rsidR="00865B22" w:rsidRPr="00E845D3">
        <w:rPr>
          <w:rFonts w:asciiTheme="majorHAnsi" w:hAnsiTheme="majorHAnsi" w:cstheme="majorHAnsi"/>
          <w:sz w:val="24"/>
          <w:szCs w:val="24"/>
        </w:rPr>
        <w:t xml:space="preserve">(p=0.111). </w:t>
      </w:r>
      <w:r w:rsidR="00F23460" w:rsidRPr="00E845D3">
        <w:rPr>
          <w:rFonts w:asciiTheme="majorHAnsi" w:hAnsiTheme="majorHAnsi" w:cstheme="majorHAnsi"/>
          <w:sz w:val="24"/>
          <w:szCs w:val="24"/>
        </w:rPr>
        <w:t xml:space="preserve">On the other hand, </w:t>
      </w:r>
      <w:r w:rsidR="00865B22" w:rsidRPr="00E845D3">
        <w:rPr>
          <w:rFonts w:asciiTheme="majorHAnsi" w:hAnsiTheme="majorHAnsi" w:cstheme="majorHAnsi"/>
          <w:sz w:val="24"/>
          <w:szCs w:val="24"/>
        </w:rPr>
        <w:t>higher disease burden was independently associated with lower odds of adherence</w:t>
      </w:r>
      <w:r w:rsidR="00F23460" w:rsidRPr="00E845D3">
        <w:rPr>
          <w:rFonts w:asciiTheme="majorHAnsi" w:hAnsiTheme="majorHAnsi" w:cstheme="majorHAnsi"/>
          <w:sz w:val="24"/>
          <w:szCs w:val="24"/>
        </w:rPr>
        <w:t xml:space="preserve"> </w:t>
      </w:r>
      <w:r w:rsidR="00865B22" w:rsidRPr="00E845D3">
        <w:rPr>
          <w:rFonts w:asciiTheme="majorHAnsi" w:hAnsiTheme="majorHAnsi" w:cstheme="majorHAnsi"/>
          <w:sz w:val="24"/>
          <w:szCs w:val="24"/>
        </w:rPr>
        <w:t>(p=0.032).</w:t>
      </w:r>
      <w:r w:rsidR="00F23460" w:rsidRPr="00E845D3">
        <w:rPr>
          <w:rFonts w:asciiTheme="majorHAnsi" w:hAnsiTheme="majorHAnsi" w:cstheme="majorHAnsi"/>
          <w:sz w:val="24"/>
          <w:szCs w:val="24"/>
        </w:rPr>
        <w:t xml:space="preserve"> These findings suggest a clinical paradox where p</w:t>
      </w:r>
      <w:r w:rsidR="00865B22" w:rsidRPr="00E845D3">
        <w:rPr>
          <w:rFonts w:asciiTheme="majorHAnsi" w:hAnsiTheme="majorHAnsi" w:cstheme="majorHAnsi"/>
          <w:sz w:val="24"/>
          <w:szCs w:val="24"/>
        </w:rPr>
        <w:t xml:space="preserve">atients with </w:t>
      </w:r>
      <w:r w:rsidR="00F23460" w:rsidRPr="00E845D3">
        <w:rPr>
          <w:rFonts w:asciiTheme="majorHAnsi" w:hAnsiTheme="majorHAnsi" w:cstheme="majorHAnsi"/>
          <w:sz w:val="24"/>
          <w:szCs w:val="24"/>
        </w:rPr>
        <w:t xml:space="preserve">higher disease burden who have </w:t>
      </w:r>
      <w:r w:rsidR="00865B22" w:rsidRPr="00E845D3">
        <w:rPr>
          <w:rFonts w:asciiTheme="majorHAnsi" w:hAnsiTheme="majorHAnsi" w:cstheme="majorHAnsi"/>
          <w:sz w:val="24"/>
          <w:szCs w:val="24"/>
        </w:rPr>
        <w:t xml:space="preserve">the greatest need for hydroxyurea </w:t>
      </w:r>
      <w:r w:rsidR="00F23460" w:rsidRPr="00E845D3">
        <w:rPr>
          <w:rFonts w:asciiTheme="majorHAnsi" w:hAnsiTheme="majorHAnsi" w:cstheme="majorHAnsi"/>
          <w:sz w:val="24"/>
          <w:szCs w:val="24"/>
        </w:rPr>
        <w:t>were</w:t>
      </w:r>
      <w:r w:rsidR="00865B22" w:rsidRPr="00E845D3">
        <w:rPr>
          <w:rFonts w:asciiTheme="majorHAnsi" w:hAnsiTheme="majorHAnsi" w:cstheme="majorHAnsi"/>
          <w:sz w:val="24"/>
          <w:szCs w:val="24"/>
        </w:rPr>
        <w:t xml:space="preserve"> also least likely to adhere fully</w:t>
      </w:r>
      <w:r w:rsidR="00F23460" w:rsidRPr="00E845D3">
        <w:rPr>
          <w:rFonts w:asciiTheme="majorHAnsi" w:hAnsiTheme="majorHAnsi" w:cstheme="majorHAnsi"/>
          <w:sz w:val="24"/>
          <w:szCs w:val="24"/>
        </w:rPr>
        <w:t xml:space="preserve"> to the drug</w:t>
      </w:r>
      <w:r w:rsidR="00865B22" w:rsidRPr="00E845D3">
        <w:rPr>
          <w:rFonts w:asciiTheme="majorHAnsi" w:hAnsiTheme="majorHAnsi" w:cstheme="majorHAnsi"/>
          <w:sz w:val="24"/>
          <w:szCs w:val="24"/>
        </w:rPr>
        <w:t xml:space="preserve">, thereby </w:t>
      </w:r>
      <w:r w:rsidR="00F23460" w:rsidRPr="00E845D3">
        <w:rPr>
          <w:rFonts w:asciiTheme="majorHAnsi" w:hAnsiTheme="majorHAnsi" w:cstheme="majorHAnsi"/>
          <w:sz w:val="24"/>
          <w:szCs w:val="24"/>
        </w:rPr>
        <w:t>reducing its</w:t>
      </w:r>
      <w:r w:rsidR="00865B22" w:rsidRPr="00E845D3">
        <w:rPr>
          <w:rFonts w:asciiTheme="majorHAnsi" w:hAnsiTheme="majorHAnsi" w:cstheme="majorHAnsi"/>
          <w:sz w:val="24"/>
          <w:szCs w:val="24"/>
        </w:rPr>
        <w:t xml:space="preserve"> potential benefit.</w:t>
      </w:r>
      <w:r w:rsidR="00F23460" w:rsidRPr="00E845D3">
        <w:rPr>
          <w:rFonts w:asciiTheme="majorHAnsi" w:hAnsiTheme="majorHAnsi" w:cstheme="majorHAnsi"/>
          <w:sz w:val="24"/>
          <w:szCs w:val="24"/>
        </w:rPr>
        <w:t xml:space="preserve"> Therefore, improving outcome</w:t>
      </w:r>
      <w:r w:rsidR="00837D25">
        <w:rPr>
          <w:rFonts w:asciiTheme="majorHAnsi" w:hAnsiTheme="majorHAnsi" w:cstheme="majorHAnsi"/>
          <w:sz w:val="24"/>
          <w:szCs w:val="24"/>
        </w:rPr>
        <w:t>s</w:t>
      </w:r>
      <w:r w:rsidR="00F23460" w:rsidRPr="00E845D3">
        <w:rPr>
          <w:rFonts w:asciiTheme="majorHAnsi" w:hAnsiTheme="majorHAnsi" w:cstheme="majorHAnsi"/>
          <w:sz w:val="24"/>
          <w:szCs w:val="24"/>
        </w:rPr>
        <w:t xml:space="preserve"> in SCD requires not only increased availability or access to hydroxyurea, but also</w:t>
      </w:r>
      <w:r w:rsidR="009F635E" w:rsidRPr="00E845D3">
        <w:rPr>
          <w:rFonts w:asciiTheme="majorHAnsi" w:hAnsiTheme="majorHAnsi" w:cstheme="majorHAnsi"/>
          <w:sz w:val="24"/>
          <w:szCs w:val="24"/>
        </w:rPr>
        <w:t xml:space="preserve"> improved adherence support</w:t>
      </w:r>
      <w:r w:rsidR="00837D25">
        <w:rPr>
          <w:rFonts w:asciiTheme="majorHAnsi" w:hAnsiTheme="majorHAnsi" w:cstheme="majorHAnsi"/>
          <w:sz w:val="24"/>
          <w:szCs w:val="24"/>
        </w:rPr>
        <w:t>,</w:t>
      </w:r>
      <w:r w:rsidR="009F635E" w:rsidRPr="00E845D3">
        <w:rPr>
          <w:rFonts w:asciiTheme="majorHAnsi" w:hAnsiTheme="majorHAnsi" w:cstheme="majorHAnsi"/>
          <w:sz w:val="24"/>
          <w:szCs w:val="24"/>
        </w:rPr>
        <w:t xml:space="preserve"> especially for those with severe disease.</w:t>
      </w:r>
      <w:r w:rsidR="00F40523" w:rsidRPr="00E845D3">
        <w:rPr>
          <w:rFonts w:asciiTheme="majorHAnsi" w:hAnsiTheme="majorHAnsi" w:cstheme="majorHAnsi"/>
          <w:sz w:val="24"/>
          <w:szCs w:val="24"/>
          <w:vertAlign w:val="superscript"/>
        </w:rPr>
        <w:t>10,2</w:t>
      </w:r>
      <w:r w:rsidR="000018C7">
        <w:rPr>
          <w:rFonts w:asciiTheme="majorHAnsi" w:hAnsiTheme="majorHAnsi" w:cstheme="majorHAnsi"/>
          <w:sz w:val="24"/>
          <w:szCs w:val="24"/>
          <w:vertAlign w:val="superscript"/>
        </w:rPr>
        <w:t>4</w:t>
      </w:r>
      <w:r w:rsidR="009F635E" w:rsidRPr="00E845D3">
        <w:rPr>
          <w:rFonts w:asciiTheme="majorHAnsi" w:hAnsiTheme="majorHAnsi" w:cstheme="majorHAnsi"/>
          <w:sz w:val="24"/>
          <w:szCs w:val="24"/>
        </w:rPr>
        <w:t xml:space="preserve"> In addition, </w:t>
      </w:r>
      <w:r w:rsidR="00837D25">
        <w:rPr>
          <w:rFonts w:asciiTheme="majorHAnsi" w:hAnsiTheme="majorHAnsi" w:cstheme="majorHAnsi"/>
          <w:sz w:val="24"/>
          <w:szCs w:val="24"/>
        </w:rPr>
        <w:t>the</w:t>
      </w:r>
      <w:r w:rsidR="009F635E" w:rsidRPr="00E845D3">
        <w:rPr>
          <w:rFonts w:asciiTheme="majorHAnsi" w:hAnsiTheme="majorHAnsi" w:cstheme="majorHAnsi"/>
          <w:sz w:val="24"/>
          <w:szCs w:val="24"/>
        </w:rPr>
        <w:t xml:space="preserve"> effectiveness in our </w:t>
      </w:r>
      <w:r w:rsidR="009F635E" w:rsidRPr="00E845D3">
        <w:rPr>
          <w:rFonts w:asciiTheme="majorHAnsi" w:hAnsiTheme="majorHAnsi" w:cstheme="majorHAnsi"/>
          <w:sz w:val="24"/>
          <w:szCs w:val="24"/>
        </w:rPr>
        <w:lastRenderedPageBreak/>
        <w:t xml:space="preserve">settings is mediated through adherence and continuity, rather than exposure alone. Our study also showed that </w:t>
      </w:r>
      <w:r w:rsidR="00865B22" w:rsidRPr="00E845D3">
        <w:rPr>
          <w:rFonts w:asciiTheme="majorHAnsi" w:hAnsiTheme="majorHAnsi" w:cstheme="majorHAnsi"/>
          <w:sz w:val="24"/>
          <w:szCs w:val="24"/>
        </w:rPr>
        <w:t xml:space="preserve">disease burden </w:t>
      </w:r>
      <w:r w:rsidR="009F635E" w:rsidRPr="00E845D3">
        <w:rPr>
          <w:rFonts w:asciiTheme="majorHAnsi" w:hAnsiTheme="majorHAnsi" w:cstheme="majorHAnsi"/>
          <w:sz w:val="24"/>
          <w:szCs w:val="24"/>
        </w:rPr>
        <w:t>was</w:t>
      </w:r>
      <w:r w:rsidR="00865B22" w:rsidRPr="00E845D3">
        <w:rPr>
          <w:rFonts w:asciiTheme="majorHAnsi" w:hAnsiTheme="majorHAnsi" w:cstheme="majorHAnsi"/>
          <w:sz w:val="24"/>
          <w:szCs w:val="24"/>
        </w:rPr>
        <w:t xml:space="preserve"> the strongest predictor of patient-reported outcomes, </w:t>
      </w:r>
      <w:r w:rsidR="009F635E" w:rsidRPr="00E845D3">
        <w:rPr>
          <w:rFonts w:asciiTheme="majorHAnsi" w:hAnsiTheme="majorHAnsi" w:cstheme="majorHAnsi"/>
          <w:sz w:val="24"/>
          <w:szCs w:val="24"/>
        </w:rPr>
        <w:t>as a</w:t>
      </w:r>
      <w:r w:rsidR="00865B22" w:rsidRPr="00E845D3">
        <w:rPr>
          <w:rFonts w:asciiTheme="majorHAnsi" w:hAnsiTheme="majorHAnsi" w:cstheme="majorHAnsi"/>
          <w:sz w:val="24"/>
          <w:szCs w:val="24"/>
        </w:rPr>
        <w:t xml:space="preserve"> higher </w:t>
      </w:r>
      <w:r w:rsidR="009F635E" w:rsidRPr="00E845D3">
        <w:rPr>
          <w:rFonts w:asciiTheme="majorHAnsi" w:hAnsiTheme="majorHAnsi" w:cstheme="majorHAnsi"/>
          <w:sz w:val="24"/>
          <w:szCs w:val="24"/>
        </w:rPr>
        <w:t xml:space="preserve">disease </w:t>
      </w:r>
      <w:r w:rsidR="00865B22" w:rsidRPr="00E845D3">
        <w:rPr>
          <w:rFonts w:asciiTheme="majorHAnsi" w:hAnsiTheme="majorHAnsi" w:cstheme="majorHAnsi"/>
          <w:sz w:val="24"/>
          <w:szCs w:val="24"/>
        </w:rPr>
        <w:t xml:space="preserve">burden </w:t>
      </w:r>
      <w:r w:rsidR="009F635E" w:rsidRPr="00E845D3">
        <w:rPr>
          <w:rFonts w:asciiTheme="majorHAnsi" w:hAnsiTheme="majorHAnsi" w:cstheme="majorHAnsi"/>
          <w:sz w:val="24"/>
          <w:szCs w:val="24"/>
        </w:rPr>
        <w:t>was significantly</w:t>
      </w:r>
      <w:r w:rsidR="00865B22" w:rsidRPr="00E845D3">
        <w:rPr>
          <w:rFonts w:asciiTheme="majorHAnsi" w:hAnsiTheme="majorHAnsi" w:cstheme="majorHAnsi"/>
          <w:sz w:val="24"/>
          <w:szCs w:val="24"/>
        </w:rPr>
        <w:t xml:space="preserve"> associated with lower odds of better QoL (p&lt;0.001). </w:t>
      </w:r>
    </w:p>
    <w:p w14:paraId="7AB5EE45" w14:textId="09EF6067" w:rsidR="00865B22" w:rsidRPr="00E845D3" w:rsidRDefault="009F635E" w:rsidP="00865B22">
      <w:pPr>
        <w:spacing w:line="360" w:lineRule="auto"/>
        <w:jc w:val="both"/>
        <w:rPr>
          <w:rFonts w:asciiTheme="majorHAnsi" w:hAnsiTheme="majorHAnsi" w:cstheme="majorHAnsi"/>
          <w:sz w:val="24"/>
          <w:szCs w:val="24"/>
        </w:rPr>
      </w:pPr>
      <w:r w:rsidRPr="00E845D3">
        <w:rPr>
          <w:rFonts w:asciiTheme="majorHAnsi" w:hAnsiTheme="majorHAnsi" w:cstheme="majorHAnsi"/>
          <w:sz w:val="24"/>
          <w:szCs w:val="24"/>
        </w:rPr>
        <w:t>Financial toxicity was the major b</w:t>
      </w:r>
      <w:r w:rsidR="00865B22" w:rsidRPr="00E845D3">
        <w:rPr>
          <w:rFonts w:asciiTheme="majorHAnsi" w:hAnsiTheme="majorHAnsi" w:cstheme="majorHAnsi"/>
          <w:sz w:val="24"/>
          <w:szCs w:val="24"/>
        </w:rPr>
        <w:t>arrier to hydroxyurea uptake and sustained use</w:t>
      </w:r>
      <w:r w:rsidR="006355B9" w:rsidRPr="00E845D3">
        <w:rPr>
          <w:rFonts w:asciiTheme="majorHAnsi" w:hAnsiTheme="majorHAnsi" w:cstheme="majorHAnsi"/>
          <w:sz w:val="24"/>
          <w:szCs w:val="24"/>
        </w:rPr>
        <w:t xml:space="preserve">. </w:t>
      </w:r>
      <w:r w:rsidR="00865B22" w:rsidRPr="00E845D3">
        <w:rPr>
          <w:rFonts w:asciiTheme="majorHAnsi" w:hAnsiTheme="majorHAnsi" w:cstheme="majorHAnsi"/>
          <w:sz w:val="24"/>
          <w:szCs w:val="24"/>
        </w:rPr>
        <w:t xml:space="preserve">This finding is consistent with </w:t>
      </w:r>
      <w:r w:rsidR="00251E45" w:rsidRPr="00E845D3">
        <w:rPr>
          <w:rFonts w:asciiTheme="majorHAnsi" w:hAnsiTheme="majorHAnsi" w:cstheme="majorHAnsi"/>
          <w:sz w:val="24"/>
          <w:szCs w:val="24"/>
        </w:rPr>
        <w:t xml:space="preserve">several </w:t>
      </w:r>
      <w:r w:rsidR="006355B9" w:rsidRPr="00E845D3">
        <w:rPr>
          <w:rFonts w:asciiTheme="majorHAnsi" w:hAnsiTheme="majorHAnsi" w:cstheme="majorHAnsi"/>
          <w:sz w:val="24"/>
          <w:szCs w:val="24"/>
        </w:rPr>
        <w:t>studies</w:t>
      </w:r>
      <w:r w:rsidR="00865B22" w:rsidRPr="00E845D3">
        <w:rPr>
          <w:rFonts w:asciiTheme="majorHAnsi" w:hAnsiTheme="majorHAnsi" w:cstheme="majorHAnsi"/>
          <w:sz w:val="24"/>
          <w:szCs w:val="24"/>
        </w:rPr>
        <w:t xml:space="preserve"> across sub-Saharan Africa, where out-of-pocket financing remains a major determinant of access to chronic therapies.</w:t>
      </w:r>
      <w:r w:rsidR="006355B9" w:rsidRPr="00E845D3">
        <w:rPr>
          <w:rFonts w:asciiTheme="majorHAnsi" w:hAnsiTheme="majorHAnsi" w:cstheme="majorHAnsi"/>
          <w:sz w:val="24"/>
          <w:szCs w:val="24"/>
        </w:rPr>
        <w:t xml:space="preserve"> </w:t>
      </w:r>
      <w:r w:rsidR="00FA3514" w:rsidRPr="00E845D3">
        <w:rPr>
          <w:rFonts w:asciiTheme="majorHAnsi" w:hAnsiTheme="majorHAnsi" w:cstheme="majorHAnsi"/>
          <w:sz w:val="24"/>
          <w:szCs w:val="24"/>
        </w:rPr>
        <w:t>A notable proportion of respondents who had discontinued hydroxyurea identified cost as their main challenge, supporting the interpretation that financial toxicity contributes not only to poor uptake but also to treatment interruption and non-sustained use.</w:t>
      </w:r>
      <w:r w:rsidR="003028A4" w:rsidRPr="00E845D3">
        <w:rPr>
          <w:rFonts w:asciiTheme="majorHAnsi" w:hAnsiTheme="majorHAnsi" w:cstheme="majorHAnsi"/>
          <w:sz w:val="24"/>
          <w:szCs w:val="24"/>
          <w:vertAlign w:val="superscript"/>
        </w:rPr>
        <w:t xml:space="preserve"> 2</w:t>
      </w:r>
      <w:r w:rsidR="000018C7">
        <w:rPr>
          <w:rFonts w:asciiTheme="majorHAnsi" w:hAnsiTheme="majorHAnsi" w:cstheme="majorHAnsi"/>
          <w:sz w:val="24"/>
          <w:szCs w:val="24"/>
          <w:vertAlign w:val="superscript"/>
        </w:rPr>
        <w:t>5</w:t>
      </w:r>
      <w:r w:rsidR="003028A4" w:rsidRPr="00E845D3">
        <w:rPr>
          <w:rFonts w:asciiTheme="majorHAnsi" w:hAnsiTheme="majorHAnsi" w:cstheme="majorHAnsi"/>
          <w:sz w:val="24"/>
          <w:szCs w:val="24"/>
          <w:vertAlign w:val="superscript"/>
        </w:rPr>
        <w:t>,2</w:t>
      </w:r>
      <w:r w:rsidR="000018C7">
        <w:rPr>
          <w:rFonts w:asciiTheme="majorHAnsi" w:hAnsiTheme="majorHAnsi" w:cstheme="majorHAnsi"/>
          <w:sz w:val="24"/>
          <w:szCs w:val="24"/>
          <w:vertAlign w:val="superscript"/>
        </w:rPr>
        <w:t>6</w:t>
      </w:r>
      <w:r w:rsidR="003028A4" w:rsidRPr="00E845D3">
        <w:rPr>
          <w:rFonts w:asciiTheme="majorHAnsi" w:hAnsiTheme="majorHAnsi" w:cstheme="majorHAnsi"/>
          <w:sz w:val="24"/>
          <w:szCs w:val="24"/>
        </w:rPr>
        <w:t xml:space="preserve"> </w:t>
      </w:r>
      <w:r w:rsidR="00FA3514" w:rsidRPr="00E845D3">
        <w:rPr>
          <w:rFonts w:asciiTheme="majorHAnsi" w:hAnsiTheme="majorHAnsi" w:cstheme="majorHAnsi"/>
          <w:sz w:val="24"/>
          <w:szCs w:val="24"/>
        </w:rPr>
        <w:t xml:space="preserve"> Although not all discontinuations were directly attributable to affordability, the prominence of cost among </w:t>
      </w:r>
      <w:r w:rsidR="004D2308" w:rsidRPr="00E845D3">
        <w:rPr>
          <w:rFonts w:asciiTheme="majorHAnsi" w:hAnsiTheme="majorHAnsi" w:cstheme="majorHAnsi"/>
          <w:sz w:val="24"/>
          <w:szCs w:val="24"/>
        </w:rPr>
        <w:t>those who discontinued therapy</w:t>
      </w:r>
      <w:r w:rsidR="00FA3514" w:rsidRPr="00E845D3">
        <w:rPr>
          <w:rFonts w:asciiTheme="majorHAnsi" w:hAnsiTheme="majorHAnsi" w:cstheme="majorHAnsi"/>
          <w:sz w:val="24"/>
          <w:szCs w:val="24"/>
        </w:rPr>
        <w:t xml:space="preserve"> reinforces the importance of </w:t>
      </w:r>
      <w:r w:rsidR="004D2308" w:rsidRPr="00E845D3">
        <w:rPr>
          <w:rFonts w:asciiTheme="majorHAnsi" w:hAnsiTheme="majorHAnsi" w:cstheme="majorHAnsi"/>
          <w:sz w:val="24"/>
          <w:szCs w:val="24"/>
        </w:rPr>
        <w:t>affordability</w:t>
      </w:r>
      <w:r w:rsidR="00FA3514" w:rsidRPr="00E845D3">
        <w:rPr>
          <w:rFonts w:asciiTheme="majorHAnsi" w:hAnsiTheme="majorHAnsi" w:cstheme="majorHAnsi"/>
          <w:sz w:val="24"/>
          <w:szCs w:val="24"/>
        </w:rPr>
        <w:t xml:space="preserve"> in determining the real-world effectiveness of hydroxyurea in our environment.</w:t>
      </w:r>
    </w:p>
    <w:p w14:paraId="161558C2" w14:textId="1F2F7885" w:rsidR="00865B22" w:rsidRPr="00E845D3" w:rsidRDefault="004D2308" w:rsidP="00865B22">
      <w:pPr>
        <w:spacing w:line="360" w:lineRule="auto"/>
        <w:jc w:val="both"/>
        <w:rPr>
          <w:rFonts w:asciiTheme="majorHAnsi" w:hAnsiTheme="majorHAnsi" w:cstheme="majorHAnsi"/>
          <w:sz w:val="24"/>
          <w:szCs w:val="24"/>
        </w:rPr>
      </w:pPr>
      <w:r w:rsidRPr="00E845D3">
        <w:rPr>
          <w:rFonts w:asciiTheme="majorHAnsi" w:hAnsiTheme="majorHAnsi" w:cstheme="majorHAnsi"/>
          <w:sz w:val="24"/>
          <w:szCs w:val="24"/>
        </w:rPr>
        <w:t>Based on our findings, recommended strategies to improve hydroxyurea outcomes in a low-medium income setting</w:t>
      </w:r>
      <w:r w:rsidR="00865B22" w:rsidRPr="00E845D3">
        <w:rPr>
          <w:rFonts w:asciiTheme="majorHAnsi" w:hAnsiTheme="majorHAnsi" w:cstheme="majorHAnsi"/>
          <w:sz w:val="24"/>
          <w:szCs w:val="24"/>
        </w:rPr>
        <w:t xml:space="preserve"> should include:</w:t>
      </w:r>
      <w:r w:rsidRPr="00E845D3">
        <w:rPr>
          <w:rFonts w:asciiTheme="majorHAnsi" w:hAnsiTheme="majorHAnsi" w:cstheme="majorHAnsi"/>
          <w:sz w:val="24"/>
          <w:szCs w:val="24"/>
        </w:rPr>
        <w:t xml:space="preserve"> s</w:t>
      </w:r>
      <w:r w:rsidR="00865B22" w:rsidRPr="00E845D3">
        <w:rPr>
          <w:rFonts w:asciiTheme="majorHAnsi" w:hAnsiTheme="majorHAnsi" w:cstheme="majorHAnsi"/>
          <w:sz w:val="24"/>
          <w:szCs w:val="24"/>
        </w:rPr>
        <w:t>ubsidi</w:t>
      </w:r>
      <w:r w:rsidRPr="00E845D3">
        <w:rPr>
          <w:rFonts w:asciiTheme="majorHAnsi" w:hAnsiTheme="majorHAnsi" w:cstheme="majorHAnsi"/>
          <w:sz w:val="24"/>
          <w:szCs w:val="24"/>
        </w:rPr>
        <w:t>z</w:t>
      </w:r>
      <w:r w:rsidR="00865B22" w:rsidRPr="00E845D3">
        <w:rPr>
          <w:rFonts w:asciiTheme="majorHAnsi" w:hAnsiTheme="majorHAnsi" w:cstheme="majorHAnsi"/>
          <w:sz w:val="24"/>
          <w:szCs w:val="24"/>
        </w:rPr>
        <w:t xml:space="preserve">ation, </w:t>
      </w:r>
      <w:r w:rsidRPr="00E845D3">
        <w:rPr>
          <w:rFonts w:asciiTheme="majorHAnsi" w:hAnsiTheme="majorHAnsi" w:cstheme="majorHAnsi"/>
          <w:sz w:val="24"/>
          <w:szCs w:val="24"/>
        </w:rPr>
        <w:t xml:space="preserve">health </w:t>
      </w:r>
      <w:r w:rsidR="00865B22" w:rsidRPr="00E845D3">
        <w:rPr>
          <w:rFonts w:asciiTheme="majorHAnsi" w:hAnsiTheme="majorHAnsi" w:cstheme="majorHAnsi"/>
          <w:sz w:val="24"/>
          <w:szCs w:val="24"/>
        </w:rPr>
        <w:t>insurance coverage, or inclusion in national essential medicines reimbursement schemes</w:t>
      </w:r>
      <w:r w:rsidRPr="00E845D3">
        <w:rPr>
          <w:rFonts w:asciiTheme="majorHAnsi" w:hAnsiTheme="majorHAnsi" w:cstheme="majorHAnsi"/>
          <w:sz w:val="24"/>
          <w:szCs w:val="24"/>
        </w:rPr>
        <w:t>. S</w:t>
      </w:r>
      <w:r w:rsidR="00865B22" w:rsidRPr="00E845D3">
        <w:rPr>
          <w:rFonts w:asciiTheme="majorHAnsi" w:hAnsiTheme="majorHAnsi" w:cstheme="majorHAnsi"/>
          <w:sz w:val="24"/>
          <w:szCs w:val="24"/>
        </w:rPr>
        <w:t>tructured adherence support</w:t>
      </w:r>
      <w:r w:rsidRPr="00E845D3">
        <w:rPr>
          <w:rFonts w:asciiTheme="majorHAnsi" w:hAnsiTheme="majorHAnsi" w:cstheme="majorHAnsi"/>
          <w:sz w:val="24"/>
          <w:szCs w:val="24"/>
        </w:rPr>
        <w:t xml:space="preserve"> schemes are necessary to improve p</w:t>
      </w:r>
      <w:r w:rsidR="00865B22" w:rsidRPr="00E845D3">
        <w:rPr>
          <w:rFonts w:asciiTheme="majorHAnsi" w:hAnsiTheme="majorHAnsi" w:cstheme="majorHAnsi"/>
          <w:sz w:val="24"/>
          <w:szCs w:val="24"/>
        </w:rPr>
        <w:t>atient education, follow-up systems, and simplified monitoring pathways</w:t>
      </w:r>
      <w:r w:rsidRPr="00E845D3">
        <w:rPr>
          <w:rFonts w:asciiTheme="majorHAnsi" w:hAnsiTheme="majorHAnsi" w:cstheme="majorHAnsi"/>
          <w:sz w:val="24"/>
          <w:szCs w:val="24"/>
        </w:rPr>
        <w:t xml:space="preserve">. </w:t>
      </w:r>
    </w:p>
    <w:p w14:paraId="4BFAD3D5" w14:textId="77777777" w:rsidR="00865B22" w:rsidRPr="00E845D3" w:rsidRDefault="00865B22" w:rsidP="00865B22">
      <w:pPr>
        <w:spacing w:line="360" w:lineRule="auto"/>
        <w:jc w:val="both"/>
        <w:rPr>
          <w:rFonts w:asciiTheme="majorHAnsi" w:hAnsiTheme="majorHAnsi" w:cstheme="majorHAnsi"/>
          <w:sz w:val="24"/>
          <w:szCs w:val="24"/>
        </w:rPr>
      </w:pPr>
    </w:p>
    <w:p w14:paraId="56E4323C" w14:textId="58B4E4E4" w:rsidR="00865B22" w:rsidRPr="00E845D3" w:rsidRDefault="00865B22" w:rsidP="00865B22">
      <w:pPr>
        <w:spacing w:line="360" w:lineRule="auto"/>
        <w:jc w:val="both"/>
        <w:rPr>
          <w:rFonts w:asciiTheme="majorHAnsi" w:hAnsiTheme="majorHAnsi" w:cstheme="majorHAnsi"/>
          <w:b/>
          <w:bCs/>
          <w:sz w:val="24"/>
          <w:szCs w:val="24"/>
        </w:rPr>
      </w:pPr>
      <w:r w:rsidRPr="00E845D3">
        <w:rPr>
          <w:rFonts w:asciiTheme="majorHAnsi" w:hAnsiTheme="majorHAnsi" w:cstheme="majorHAnsi"/>
          <w:b/>
          <w:bCs/>
          <w:sz w:val="24"/>
          <w:szCs w:val="24"/>
        </w:rPr>
        <w:t>Conclusion</w:t>
      </w:r>
    </w:p>
    <w:p w14:paraId="0B68138C" w14:textId="02B63137" w:rsidR="00865B22" w:rsidRPr="00E845D3" w:rsidRDefault="009B1737" w:rsidP="00F001E5">
      <w:pPr>
        <w:tabs>
          <w:tab w:val="left" w:pos="2410"/>
        </w:tabs>
        <w:spacing w:line="360" w:lineRule="auto"/>
        <w:jc w:val="both"/>
        <w:rPr>
          <w:rFonts w:asciiTheme="majorHAnsi" w:hAnsiTheme="majorHAnsi" w:cstheme="majorHAnsi"/>
          <w:sz w:val="24"/>
          <w:szCs w:val="24"/>
        </w:rPr>
      </w:pPr>
      <w:r w:rsidRPr="00E845D3">
        <w:rPr>
          <w:rFonts w:asciiTheme="majorHAnsi" w:hAnsiTheme="majorHAnsi" w:cstheme="majorHAnsi"/>
          <w:sz w:val="24"/>
          <w:szCs w:val="24"/>
        </w:rPr>
        <w:t xml:space="preserve">In </w:t>
      </w:r>
      <w:r w:rsidR="00D242EC">
        <w:rPr>
          <w:rFonts w:asciiTheme="majorHAnsi" w:hAnsiTheme="majorHAnsi" w:cstheme="majorHAnsi"/>
          <w:sz w:val="24"/>
          <w:szCs w:val="24"/>
        </w:rPr>
        <w:t>c</w:t>
      </w:r>
      <w:r w:rsidR="00D242EC" w:rsidRPr="00D242EC">
        <w:rPr>
          <w:rFonts w:asciiTheme="majorHAnsi" w:hAnsiTheme="majorHAnsi" w:cstheme="majorHAnsi"/>
          <w:sz w:val="24"/>
          <w:szCs w:val="24"/>
        </w:rPr>
        <w:t>onclusion</w:t>
      </w:r>
      <w:r w:rsidRPr="00E845D3">
        <w:rPr>
          <w:rFonts w:asciiTheme="majorHAnsi" w:hAnsiTheme="majorHAnsi" w:cstheme="majorHAnsi"/>
          <w:sz w:val="24"/>
          <w:szCs w:val="24"/>
        </w:rPr>
        <w:t xml:space="preserve">, this study demonstrated that despite the high awareness of hydroxyurea, effective and sustained therapeutic exposure was suboptimal, with attrition occurring at multiple points along the treatment cascade. </w:t>
      </w:r>
      <w:r w:rsidR="00865B22" w:rsidRPr="00E845D3">
        <w:rPr>
          <w:rFonts w:asciiTheme="majorHAnsi" w:hAnsiTheme="majorHAnsi" w:cstheme="majorHAnsi"/>
          <w:sz w:val="24"/>
          <w:szCs w:val="24"/>
        </w:rPr>
        <w:t>Disease severity appeared to drive treatment initiation, but sustained benefit was concentrated among patients who were able to maintain consistent adherence. Financial barriers, particularly cost, remain the dominant constraint on optimal use. These findings highlight the need for policy-driven interventions focused on affordability, continuity, and adherence support, rather than drug availability alone, to maximi</w:t>
      </w:r>
      <w:r w:rsidRPr="00E845D3">
        <w:rPr>
          <w:rFonts w:asciiTheme="majorHAnsi" w:hAnsiTheme="majorHAnsi" w:cstheme="majorHAnsi"/>
          <w:sz w:val="24"/>
          <w:szCs w:val="24"/>
        </w:rPr>
        <w:t>z</w:t>
      </w:r>
      <w:r w:rsidR="00865B22" w:rsidRPr="00E845D3">
        <w:rPr>
          <w:rFonts w:asciiTheme="majorHAnsi" w:hAnsiTheme="majorHAnsi" w:cstheme="majorHAnsi"/>
          <w:sz w:val="24"/>
          <w:szCs w:val="24"/>
        </w:rPr>
        <w:t>e the impact of hydroxyurea in SCD care.</w:t>
      </w:r>
    </w:p>
    <w:p w14:paraId="393B6AD3" w14:textId="77777777" w:rsidR="009B1737" w:rsidRPr="00E845D3" w:rsidRDefault="009B1737" w:rsidP="00865B22">
      <w:pPr>
        <w:spacing w:line="360" w:lineRule="auto"/>
        <w:jc w:val="both"/>
        <w:rPr>
          <w:rFonts w:asciiTheme="majorHAnsi" w:hAnsiTheme="majorHAnsi" w:cstheme="majorHAnsi"/>
          <w:sz w:val="24"/>
          <w:szCs w:val="24"/>
        </w:rPr>
      </w:pPr>
    </w:p>
    <w:p w14:paraId="3F09E9E8" w14:textId="77777777" w:rsidR="000240BD" w:rsidRPr="00E845D3" w:rsidRDefault="000240BD" w:rsidP="00865B22">
      <w:pPr>
        <w:spacing w:line="360" w:lineRule="auto"/>
        <w:jc w:val="both"/>
        <w:rPr>
          <w:rFonts w:asciiTheme="majorHAnsi" w:hAnsiTheme="majorHAnsi" w:cstheme="majorHAnsi"/>
          <w:sz w:val="24"/>
          <w:szCs w:val="24"/>
        </w:rPr>
      </w:pPr>
    </w:p>
    <w:p w14:paraId="30FE2C32" w14:textId="77777777" w:rsidR="000240BD" w:rsidRPr="00E845D3" w:rsidRDefault="000240BD" w:rsidP="00865B22">
      <w:pPr>
        <w:spacing w:line="360" w:lineRule="auto"/>
        <w:jc w:val="both"/>
        <w:rPr>
          <w:rFonts w:asciiTheme="majorHAnsi" w:hAnsiTheme="majorHAnsi" w:cstheme="majorHAnsi"/>
          <w:sz w:val="24"/>
          <w:szCs w:val="24"/>
        </w:rPr>
      </w:pPr>
    </w:p>
    <w:p w14:paraId="0F215D8F" w14:textId="77777777" w:rsidR="009B1737" w:rsidRPr="00E845D3" w:rsidRDefault="009B1737" w:rsidP="009B1737">
      <w:pPr>
        <w:spacing w:line="360" w:lineRule="auto"/>
        <w:jc w:val="both"/>
        <w:rPr>
          <w:rFonts w:asciiTheme="majorHAnsi" w:hAnsiTheme="majorHAnsi" w:cstheme="majorHAnsi"/>
          <w:b/>
          <w:bCs/>
          <w:sz w:val="24"/>
          <w:szCs w:val="24"/>
        </w:rPr>
      </w:pPr>
      <w:r w:rsidRPr="00E845D3">
        <w:rPr>
          <w:rFonts w:asciiTheme="majorHAnsi" w:hAnsiTheme="majorHAnsi" w:cstheme="majorHAnsi"/>
          <w:b/>
          <w:bCs/>
          <w:sz w:val="24"/>
          <w:szCs w:val="24"/>
        </w:rPr>
        <w:lastRenderedPageBreak/>
        <w:t>Study Limitations</w:t>
      </w:r>
    </w:p>
    <w:p w14:paraId="0E0EFD89" w14:textId="3F520392" w:rsidR="009B1737" w:rsidRDefault="009B1737" w:rsidP="009B1737">
      <w:pPr>
        <w:spacing w:line="360" w:lineRule="auto"/>
        <w:jc w:val="both"/>
        <w:rPr>
          <w:rFonts w:asciiTheme="majorHAnsi" w:hAnsiTheme="majorHAnsi" w:cstheme="majorHAnsi"/>
          <w:sz w:val="24"/>
          <w:szCs w:val="24"/>
        </w:rPr>
      </w:pPr>
      <w:r w:rsidRPr="00E845D3">
        <w:rPr>
          <w:rFonts w:asciiTheme="majorHAnsi" w:hAnsiTheme="majorHAnsi" w:cstheme="majorHAnsi"/>
          <w:sz w:val="24"/>
          <w:szCs w:val="24"/>
        </w:rPr>
        <w:t>This cross-sectional questionnaire-based study included self-reported adherence and outcomes</w:t>
      </w:r>
      <w:r w:rsidR="00837D25">
        <w:rPr>
          <w:rFonts w:asciiTheme="majorHAnsi" w:hAnsiTheme="majorHAnsi" w:cstheme="majorHAnsi"/>
          <w:sz w:val="24"/>
          <w:szCs w:val="24"/>
        </w:rPr>
        <w:t>,</w:t>
      </w:r>
      <w:r w:rsidRPr="00E845D3">
        <w:rPr>
          <w:rFonts w:asciiTheme="majorHAnsi" w:hAnsiTheme="majorHAnsi" w:cstheme="majorHAnsi"/>
          <w:sz w:val="24"/>
          <w:szCs w:val="24"/>
        </w:rPr>
        <w:t xml:space="preserve"> which may be subject to recall bias. Although respondents were from different geographic zones in Nigeria, the sample may not be fully representative of all SCD populations. Additionally, clinical and laboratory parameters were not available to complement patient-reported measures.</w:t>
      </w:r>
    </w:p>
    <w:p w14:paraId="0FAD25B3" w14:textId="77777777" w:rsidR="00D242EC" w:rsidRPr="00D242EC" w:rsidRDefault="00D242EC" w:rsidP="00D242EC">
      <w:pPr>
        <w:spacing w:line="360" w:lineRule="auto"/>
        <w:jc w:val="both"/>
        <w:rPr>
          <w:rFonts w:asciiTheme="majorHAnsi" w:hAnsiTheme="majorHAnsi" w:cstheme="majorHAnsi"/>
          <w:b/>
          <w:sz w:val="24"/>
          <w:szCs w:val="24"/>
        </w:rPr>
      </w:pPr>
      <w:r w:rsidRPr="00D242EC">
        <w:rPr>
          <w:rFonts w:asciiTheme="majorHAnsi" w:hAnsiTheme="majorHAnsi" w:cstheme="majorHAnsi"/>
          <w:b/>
          <w:sz w:val="24"/>
          <w:szCs w:val="24"/>
        </w:rPr>
        <w:t xml:space="preserve">Consent </w:t>
      </w:r>
    </w:p>
    <w:p w14:paraId="00EC7401" w14:textId="79BE5D32" w:rsidR="00F001E5" w:rsidRPr="00F001E5" w:rsidRDefault="00D242EC" w:rsidP="00D242EC">
      <w:pPr>
        <w:spacing w:line="360" w:lineRule="auto"/>
        <w:jc w:val="both"/>
        <w:rPr>
          <w:rFonts w:asciiTheme="majorHAnsi" w:hAnsiTheme="majorHAnsi" w:cstheme="majorHAnsi"/>
          <w:sz w:val="24"/>
          <w:szCs w:val="24"/>
        </w:rPr>
      </w:pPr>
      <w:r w:rsidRPr="00D242EC">
        <w:rPr>
          <w:rFonts w:asciiTheme="majorHAnsi" w:hAnsiTheme="majorHAnsi" w:cstheme="majorHAnsi"/>
          <w:sz w:val="24"/>
          <w:szCs w:val="24"/>
        </w:rPr>
        <w:t xml:space="preserve">As per international standards or university </w:t>
      </w:r>
      <w:bookmarkStart w:id="2" w:name="_GoBack"/>
      <w:bookmarkEnd w:id="2"/>
      <w:r w:rsidRPr="00D242EC">
        <w:rPr>
          <w:rFonts w:asciiTheme="majorHAnsi" w:hAnsiTheme="majorHAnsi" w:cstheme="majorHAnsi"/>
          <w:sz w:val="24"/>
          <w:szCs w:val="24"/>
        </w:rPr>
        <w:t xml:space="preserve">standards, respondents’ </w:t>
      </w:r>
      <w:r>
        <w:rPr>
          <w:rFonts w:asciiTheme="majorHAnsi" w:hAnsiTheme="majorHAnsi" w:cstheme="majorHAnsi"/>
          <w:sz w:val="24"/>
          <w:szCs w:val="24"/>
        </w:rPr>
        <w:t>informed</w:t>
      </w:r>
      <w:r w:rsidRPr="00D242EC">
        <w:rPr>
          <w:rFonts w:asciiTheme="majorHAnsi" w:hAnsiTheme="majorHAnsi" w:cstheme="majorHAnsi"/>
          <w:sz w:val="24"/>
          <w:szCs w:val="24"/>
        </w:rPr>
        <w:t xml:space="preserve"> consent has been collected and preserved by the author(s).</w:t>
      </w:r>
    </w:p>
    <w:p w14:paraId="4D6DC647" w14:textId="77777777" w:rsidR="00240F22" w:rsidRPr="00D242EC" w:rsidRDefault="00240F22" w:rsidP="00240F22">
      <w:pPr>
        <w:spacing w:after="0" w:line="240" w:lineRule="auto"/>
        <w:rPr>
          <w:rFonts w:ascii="Arial" w:eastAsia="Calibri" w:hAnsi="Arial" w:cs="Arial"/>
          <w:b/>
          <w:kern w:val="2"/>
          <w:highlight w:val="yellow"/>
          <w14:ligatures w14:val="standardContextual"/>
        </w:rPr>
      </w:pPr>
      <w:bookmarkStart w:id="3" w:name="_Hlk198031404"/>
      <w:r w:rsidRPr="00D242EC">
        <w:rPr>
          <w:rFonts w:ascii="Arial" w:eastAsia="Calibri" w:hAnsi="Arial" w:cs="Arial"/>
          <w:b/>
          <w:kern w:val="2"/>
          <w:highlight w:val="yellow"/>
          <w14:ligatures w14:val="standardContextual"/>
        </w:rPr>
        <w:t>Disclaimer (Artificial intelligence)</w:t>
      </w:r>
    </w:p>
    <w:p w14:paraId="075C6737" w14:textId="77777777" w:rsidR="00240F22" w:rsidRPr="00240F22" w:rsidRDefault="00240F22" w:rsidP="00240F22">
      <w:pPr>
        <w:spacing w:after="0" w:line="240" w:lineRule="auto"/>
        <w:rPr>
          <w:rFonts w:ascii="Arial" w:eastAsia="Calibri" w:hAnsi="Arial" w:cs="Arial"/>
          <w:kern w:val="2"/>
          <w:highlight w:val="yellow"/>
          <w14:ligatures w14:val="standardContextual"/>
        </w:rPr>
      </w:pPr>
    </w:p>
    <w:p w14:paraId="7EF05F26" w14:textId="77777777" w:rsidR="00240F22" w:rsidRPr="00240F22" w:rsidRDefault="00240F22" w:rsidP="00240F22">
      <w:pPr>
        <w:spacing w:after="0" w:line="240" w:lineRule="auto"/>
        <w:rPr>
          <w:rFonts w:ascii="Arial" w:eastAsia="Calibri" w:hAnsi="Arial" w:cs="Arial"/>
          <w:kern w:val="2"/>
          <w:highlight w:val="yellow"/>
          <w14:ligatures w14:val="standardContextual"/>
        </w:rPr>
      </w:pPr>
      <w:r w:rsidRPr="00240F22">
        <w:rPr>
          <w:rFonts w:ascii="Arial" w:eastAsia="Calibri" w:hAnsi="Arial" w:cs="Arial"/>
          <w:kern w:val="2"/>
          <w:highlight w:val="yellow"/>
          <w14:ligatures w14:val="standardContextual"/>
        </w:rPr>
        <w:t xml:space="preserve">Author(s) hereby declare that NO generative AI technologies such as Large Language Models (ChatGPT, COPILOT, etc.) and text-to-image generators have been used during the writing or editing of this manuscript. </w:t>
      </w:r>
    </w:p>
    <w:bookmarkEnd w:id="3"/>
    <w:p w14:paraId="667F4185" w14:textId="77777777" w:rsidR="00240F22" w:rsidRPr="00240F22" w:rsidRDefault="00240F22" w:rsidP="00240F22">
      <w:pPr>
        <w:spacing w:after="0" w:line="240" w:lineRule="auto"/>
        <w:rPr>
          <w:rFonts w:ascii="Arial" w:eastAsia="Calibri" w:hAnsi="Arial" w:cs="Arial"/>
          <w:kern w:val="2"/>
          <w14:ligatures w14:val="standardContextual"/>
        </w:rPr>
      </w:pPr>
    </w:p>
    <w:p w14:paraId="3B0169F4" w14:textId="77777777" w:rsidR="00240F22" w:rsidRPr="00240F22" w:rsidRDefault="00240F22" w:rsidP="00240F22">
      <w:pPr>
        <w:spacing w:after="0" w:line="240" w:lineRule="auto"/>
        <w:rPr>
          <w:rFonts w:ascii="Arial" w:eastAsia="Calibri" w:hAnsi="Arial" w:cs="Arial"/>
          <w:kern w:val="2"/>
          <w14:ligatures w14:val="standardContextual"/>
        </w:rPr>
      </w:pPr>
    </w:p>
    <w:p w14:paraId="404A78ED" w14:textId="77777777" w:rsidR="00240F22" w:rsidRPr="00240F22" w:rsidRDefault="00240F22" w:rsidP="00240F22">
      <w:pPr>
        <w:spacing w:after="0" w:line="240" w:lineRule="auto"/>
        <w:rPr>
          <w:rFonts w:ascii="Arial" w:eastAsia="Calibri" w:hAnsi="Arial" w:cs="Arial"/>
          <w:kern w:val="2"/>
          <w14:ligatures w14:val="standardContextual"/>
        </w:rPr>
      </w:pPr>
    </w:p>
    <w:p w14:paraId="5B34DF12" w14:textId="77777777" w:rsidR="00F001E5" w:rsidRPr="00E845D3" w:rsidRDefault="00F001E5" w:rsidP="009B1737">
      <w:pPr>
        <w:spacing w:line="360" w:lineRule="auto"/>
        <w:jc w:val="both"/>
        <w:rPr>
          <w:rFonts w:asciiTheme="majorHAnsi" w:hAnsiTheme="majorHAnsi" w:cstheme="majorHAnsi"/>
          <w:sz w:val="24"/>
          <w:szCs w:val="24"/>
        </w:rPr>
      </w:pPr>
    </w:p>
    <w:p w14:paraId="32C29CFB" w14:textId="77777777" w:rsidR="00865B22" w:rsidRPr="00E845D3" w:rsidRDefault="00865B22" w:rsidP="00865B22">
      <w:pPr>
        <w:spacing w:line="360" w:lineRule="auto"/>
        <w:jc w:val="both"/>
        <w:rPr>
          <w:rFonts w:asciiTheme="majorHAnsi" w:hAnsiTheme="majorHAnsi" w:cstheme="majorHAnsi"/>
          <w:sz w:val="24"/>
          <w:szCs w:val="24"/>
        </w:rPr>
      </w:pPr>
    </w:p>
    <w:p w14:paraId="57621144" w14:textId="77777777" w:rsidR="003028A4" w:rsidRPr="00E845D3" w:rsidRDefault="003028A4" w:rsidP="00865B22">
      <w:pPr>
        <w:spacing w:line="360" w:lineRule="auto"/>
        <w:jc w:val="both"/>
        <w:rPr>
          <w:rFonts w:asciiTheme="majorHAnsi" w:hAnsiTheme="majorHAnsi" w:cstheme="majorHAnsi"/>
          <w:sz w:val="24"/>
          <w:szCs w:val="24"/>
        </w:rPr>
      </w:pPr>
    </w:p>
    <w:p w14:paraId="0F9FA023" w14:textId="77777777" w:rsidR="003028A4" w:rsidRPr="00E845D3" w:rsidRDefault="003028A4" w:rsidP="00865B22">
      <w:pPr>
        <w:spacing w:line="360" w:lineRule="auto"/>
        <w:jc w:val="both"/>
        <w:rPr>
          <w:rFonts w:asciiTheme="majorHAnsi" w:hAnsiTheme="majorHAnsi" w:cstheme="majorHAnsi"/>
          <w:sz w:val="24"/>
          <w:szCs w:val="24"/>
        </w:rPr>
      </w:pPr>
    </w:p>
    <w:p w14:paraId="075FB9D0" w14:textId="77777777" w:rsidR="006D0E01" w:rsidRPr="00E845D3" w:rsidRDefault="00305C7D" w:rsidP="0087275B">
      <w:pPr>
        <w:pStyle w:val="Heading1"/>
        <w:spacing w:line="360" w:lineRule="auto"/>
        <w:jc w:val="both"/>
        <w:rPr>
          <w:rFonts w:ascii="Times New Roman" w:hAnsi="Times New Roman" w:cs="Times New Roman"/>
          <w:b w:val="0"/>
          <w:bCs w:val="0"/>
          <w:color w:val="auto"/>
          <w:sz w:val="24"/>
          <w:szCs w:val="24"/>
        </w:rPr>
      </w:pPr>
      <w:r w:rsidRPr="00E845D3">
        <w:rPr>
          <w:rFonts w:ascii="Times New Roman" w:hAnsi="Times New Roman" w:cs="Times New Roman"/>
          <w:b w:val="0"/>
          <w:bCs w:val="0"/>
          <w:color w:val="auto"/>
          <w:sz w:val="24"/>
          <w:szCs w:val="24"/>
        </w:rPr>
        <w:t>References</w:t>
      </w:r>
    </w:p>
    <w:p w14:paraId="73A9E253" w14:textId="784270A6" w:rsidR="00973B12" w:rsidRPr="00E845D3" w:rsidRDefault="003628E3" w:rsidP="003628E3">
      <w:pPr>
        <w:pStyle w:val="ListParagraph"/>
        <w:numPr>
          <w:ilvl w:val="0"/>
          <w:numId w:val="10"/>
        </w:numPr>
        <w:rPr>
          <w:rFonts w:cs="Times New Roman"/>
          <w:sz w:val="24"/>
          <w:szCs w:val="24"/>
        </w:rPr>
      </w:pPr>
      <w:proofErr w:type="spellStart"/>
      <w:r w:rsidRPr="00E845D3">
        <w:rPr>
          <w:rFonts w:cs="Times New Roman"/>
          <w:color w:val="1B1B1B"/>
          <w:sz w:val="24"/>
          <w:szCs w:val="24"/>
          <w:shd w:val="clear" w:color="auto" w:fill="FFFFFF"/>
        </w:rPr>
        <w:t>Adigwe</w:t>
      </w:r>
      <w:proofErr w:type="spellEnd"/>
      <w:r w:rsidRPr="00E845D3">
        <w:rPr>
          <w:rFonts w:cs="Times New Roman"/>
          <w:color w:val="1B1B1B"/>
          <w:sz w:val="24"/>
          <w:szCs w:val="24"/>
          <w:shd w:val="clear" w:color="auto" w:fill="FFFFFF"/>
        </w:rPr>
        <w:t xml:space="preserve"> OP, </w:t>
      </w:r>
      <w:proofErr w:type="spellStart"/>
      <w:r w:rsidRPr="00E845D3">
        <w:rPr>
          <w:rFonts w:cs="Times New Roman"/>
          <w:color w:val="1B1B1B"/>
          <w:sz w:val="24"/>
          <w:szCs w:val="24"/>
          <w:shd w:val="clear" w:color="auto" w:fill="FFFFFF"/>
        </w:rPr>
        <w:t>Onoja</w:t>
      </w:r>
      <w:proofErr w:type="spellEnd"/>
      <w:r w:rsidRPr="00E845D3">
        <w:rPr>
          <w:rFonts w:cs="Times New Roman"/>
          <w:color w:val="1B1B1B"/>
          <w:sz w:val="24"/>
          <w:szCs w:val="24"/>
          <w:shd w:val="clear" w:color="auto" w:fill="FFFFFF"/>
        </w:rPr>
        <w:t xml:space="preserve"> SO, </w:t>
      </w:r>
      <w:proofErr w:type="spellStart"/>
      <w:r w:rsidRPr="00E845D3">
        <w:rPr>
          <w:rFonts w:cs="Times New Roman"/>
          <w:color w:val="1B1B1B"/>
          <w:sz w:val="24"/>
          <w:szCs w:val="24"/>
          <w:shd w:val="clear" w:color="auto" w:fill="FFFFFF"/>
        </w:rPr>
        <w:t>Onavbavba</w:t>
      </w:r>
      <w:proofErr w:type="spellEnd"/>
      <w:r w:rsidRPr="00E845D3">
        <w:rPr>
          <w:rFonts w:cs="Times New Roman"/>
          <w:color w:val="1B1B1B"/>
          <w:sz w:val="24"/>
          <w:szCs w:val="24"/>
          <w:shd w:val="clear" w:color="auto" w:fill="FFFFFF"/>
        </w:rPr>
        <w:t xml:space="preserve"> G. A Critical Review of Sickle Cell Disease Burden and Challenges in Sub-Saharan Africa. J Blood Med. 2023 May 31;14:367-376</w:t>
      </w:r>
    </w:p>
    <w:p w14:paraId="54C1EB04" w14:textId="77777777" w:rsidR="00E1181B" w:rsidRPr="00E845D3" w:rsidRDefault="003628E3" w:rsidP="00973B12">
      <w:pPr>
        <w:pStyle w:val="ListParagraph"/>
        <w:numPr>
          <w:ilvl w:val="0"/>
          <w:numId w:val="10"/>
        </w:numPr>
        <w:rPr>
          <w:rFonts w:cs="Times New Roman"/>
          <w:sz w:val="24"/>
          <w:szCs w:val="24"/>
        </w:rPr>
      </w:pPr>
      <w:r w:rsidRPr="00E845D3">
        <w:rPr>
          <w:rFonts w:cs="Times New Roman"/>
          <w:color w:val="1B1B1B"/>
          <w:sz w:val="24"/>
          <w:szCs w:val="24"/>
          <w:shd w:val="clear" w:color="auto" w:fill="FFFFFF"/>
        </w:rPr>
        <w:t xml:space="preserve">GBD 2021 Sickle Cell Disease Collaborators. Global, regional, and national prevalence and mortality burden of sickle cell disease, 2000-2021: a systematic analysis from the Global Burden of Disease Study 2021. Lancet </w:t>
      </w:r>
      <w:proofErr w:type="spellStart"/>
      <w:r w:rsidRPr="00E845D3">
        <w:rPr>
          <w:rFonts w:cs="Times New Roman"/>
          <w:color w:val="1B1B1B"/>
          <w:sz w:val="24"/>
          <w:szCs w:val="24"/>
          <w:shd w:val="clear" w:color="auto" w:fill="FFFFFF"/>
        </w:rPr>
        <w:t>Haematol</w:t>
      </w:r>
      <w:proofErr w:type="spellEnd"/>
      <w:r w:rsidRPr="00E845D3">
        <w:rPr>
          <w:rFonts w:cs="Times New Roman"/>
          <w:color w:val="1B1B1B"/>
          <w:sz w:val="24"/>
          <w:szCs w:val="24"/>
          <w:shd w:val="clear" w:color="auto" w:fill="FFFFFF"/>
        </w:rPr>
        <w:t xml:space="preserve">. 2023 Aug;10(8):e585-e599. </w:t>
      </w:r>
      <w:proofErr w:type="spellStart"/>
      <w:r w:rsidRPr="00E845D3">
        <w:rPr>
          <w:rFonts w:cs="Times New Roman"/>
          <w:color w:val="1B1B1B"/>
          <w:sz w:val="24"/>
          <w:szCs w:val="24"/>
          <w:shd w:val="clear" w:color="auto" w:fill="FFFFFF"/>
        </w:rPr>
        <w:t>doi</w:t>
      </w:r>
      <w:proofErr w:type="spellEnd"/>
      <w:r w:rsidRPr="00E845D3">
        <w:rPr>
          <w:rFonts w:cs="Times New Roman"/>
          <w:color w:val="1B1B1B"/>
          <w:sz w:val="24"/>
          <w:szCs w:val="24"/>
          <w:shd w:val="clear" w:color="auto" w:fill="FFFFFF"/>
        </w:rPr>
        <w:t xml:space="preserve">: 10.1016/S2352-3026(23)00118-7. </w:t>
      </w:r>
      <w:proofErr w:type="spellStart"/>
      <w:r w:rsidRPr="00E845D3">
        <w:rPr>
          <w:rFonts w:cs="Times New Roman"/>
          <w:color w:val="1B1B1B"/>
          <w:sz w:val="24"/>
          <w:szCs w:val="24"/>
          <w:shd w:val="clear" w:color="auto" w:fill="FFFFFF"/>
        </w:rPr>
        <w:t>Epub</w:t>
      </w:r>
      <w:proofErr w:type="spellEnd"/>
      <w:r w:rsidRPr="00E845D3">
        <w:rPr>
          <w:rFonts w:cs="Times New Roman"/>
          <w:color w:val="1B1B1B"/>
          <w:sz w:val="24"/>
          <w:szCs w:val="24"/>
          <w:shd w:val="clear" w:color="auto" w:fill="FFFFFF"/>
        </w:rPr>
        <w:t xml:space="preserve"> 2023 Jun 15. Erratum in: Lancet </w:t>
      </w:r>
      <w:proofErr w:type="spellStart"/>
      <w:r w:rsidRPr="00E845D3">
        <w:rPr>
          <w:rFonts w:cs="Times New Roman"/>
          <w:color w:val="1B1B1B"/>
          <w:sz w:val="24"/>
          <w:szCs w:val="24"/>
          <w:shd w:val="clear" w:color="auto" w:fill="FFFFFF"/>
        </w:rPr>
        <w:t>Haematol</w:t>
      </w:r>
      <w:proofErr w:type="spellEnd"/>
      <w:r w:rsidRPr="00E845D3">
        <w:rPr>
          <w:rFonts w:cs="Times New Roman"/>
          <w:color w:val="1B1B1B"/>
          <w:sz w:val="24"/>
          <w:szCs w:val="24"/>
          <w:shd w:val="clear" w:color="auto" w:fill="FFFFFF"/>
        </w:rPr>
        <w:t xml:space="preserve">. 2023 Aug;10(8):e574. </w:t>
      </w:r>
      <w:proofErr w:type="spellStart"/>
      <w:r w:rsidRPr="00E845D3">
        <w:rPr>
          <w:rFonts w:cs="Times New Roman"/>
          <w:color w:val="1B1B1B"/>
          <w:sz w:val="24"/>
          <w:szCs w:val="24"/>
          <w:shd w:val="clear" w:color="auto" w:fill="FFFFFF"/>
        </w:rPr>
        <w:t>doi</w:t>
      </w:r>
      <w:proofErr w:type="spellEnd"/>
      <w:r w:rsidRPr="00E845D3">
        <w:rPr>
          <w:rFonts w:cs="Times New Roman"/>
          <w:color w:val="1B1B1B"/>
          <w:sz w:val="24"/>
          <w:szCs w:val="24"/>
          <w:shd w:val="clear" w:color="auto" w:fill="FFFFFF"/>
        </w:rPr>
        <w:t>: 10.1016/S2352-3026(23)00215-6.</w:t>
      </w:r>
    </w:p>
    <w:p w14:paraId="12AADF87" w14:textId="7071B1E1" w:rsidR="00973B12" w:rsidRPr="00E845D3" w:rsidRDefault="00E1181B" w:rsidP="00973B12">
      <w:pPr>
        <w:pStyle w:val="ListParagraph"/>
        <w:numPr>
          <w:ilvl w:val="0"/>
          <w:numId w:val="10"/>
        </w:numPr>
        <w:rPr>
          <w:rFonts w:cs="Times New Roman"/>
          <w:sz w:val="24"/>
          <w:szCs w:val="24"/>
        </w:rPr>
      </w:pPr>
      <w:r w:rsidRPr="00E845D3">
        <w:rPr>
          <w:rFonts w:cs="Times New Roman"/>
          <w:color w:val="1B1B1B"/>
          <w:sz w:val="24"/>
          <w:szCs w:val="24"/>
          <w:shd w:val="clear" w:color="auto" w:fill="FFFFFF"/>
        </w:rPr>
        <w:t xml:space="preserve">Kumar A and Bhattacharya S (2024) Sickle cell disease: a comparative perspective on global and national initiatives. Front. </w:t>
      </w:r>
      <w:proofErr w:type="spellStart"/>
      <w:r w:rsidRPr="00E845D3">
        <w:rPr>
          <w:rFonts w:cs="Times New Roman"/>
          <w:color w:val="1B1B1B"/>
          <w:sz w:val="24"/>
          <w:szCs w:val="24"/>
          <w:shd w:val="clear" w:color="auto" w:fill="FFFFFF"/>
        </w:rPr>
        <w:t>Hematol</w:t>
      </w:r>
      <w:proofErr w:type="spellEnd"/>
      <w:r w:rsidRPr="00E845D3">
        <w:rPr>
          <w:rFonts w:cs="Times New Roman"/>
          <w:color w:val="1B1B1B"/>
          <w:sz w:val="24"/>
          <w:szCs w:val="24"/>
          <w:shd w:val="clear" w:color="auto" w:fill="FFFFFF"/>
        </w:rPr>
        <w:t>. 3:1457158.</w:t>
      </w:r>
    </w:p>
    <w:p w14:paraId="79771CCB" w14:textId="7BA79DD5" w:rsidR="00E1181B" w:rsidRPr="00E845D3" w:rsidRDefault="006F3BBE" w:rsidP="00973B12">
      <w:pPr>
        <w:pStyle w:val="ListParagraph"/>
        <w:numPr>
          <w:ilvl w:val="0"/>
          <w:numId w:val="10"/>
        </w:numPr>
        <w:rPr>
          <w:rFonts w:cs="Times New Roman"/>
          <w:sz w:val="24"/>
          <w:szCs w:val="24"/>
        </w:rPr>
      </w:pPr>
      <w:r w:rsidRPr="00E845D3">
        <w:rPr>
          <w:rFonts w:cs="Times New Roman"/>
          <w:sz w:val="24"/>
          <w:szCs w:val="24"/>
        </w:rPr>
        <w:t xml:space="preserve">Piel FB, Rees DC, DeBaun MR, </w:t>
      </w:r>
      <w:proofErr w:type="spellStart"/>
      <w:r w:rsidRPr="00E845D3">
        <w:rPr>
          <w:rFonts w:cs="Times New Roman"/>
          <w:sz w:val="24"/>
          <w:szCs w:val="24"/>
        </w:rPr>
        <w:t>Nnodu</w:t>
      </w:r>
      <w:proofErr w:type="spellEnd"/>
      <w:r w:rsidRPr="00E845D3">
        <w:rPr>
          <w:rFonts w:cs="Times New Roman"/>
          <w:sz w:val="24"/>
          <w:szCs w:val="24"/>
        </w:rPr>
        <w:t xml:space="preserve"> O, </w:t>
      </w:r>
      <w:proofErr w:type="spellStart"/>
      <w:r w:rsidRPr="00E845D3">
        <w:rPr>
          <w:rFonts w:cs="Times New Roman"/>
          <w:sz w:val="24"/>
          <w:szCs w:val="24"/>
        </w:rPr>
        <w:t>Ranque</w:t>
      </w:r>
      <w:proofErr w:type="spellEnd"/>
      <w:r w:rsidRPr="00E845D3">
        <w:rPr>
          <w:rFonts w:cs="Times New Roman"/>
          <w:sz w:val="24"/>
          <w:szCs w:val="24"/>
        </w:rPr>
        <w:t xml:space="preserve"> B, Thompson AA, et al. Defining global strategies to improve outcomes in sickle cell disease: a Lancet </w:t>
      </w:r>
      <w:proofErr w:type="spellStart"/>
      <w:r w:rsidRPr="00E845D3">
        <w:rPr>
          <w:rFonts w:cs="Times New Roman"/>
          <w:sz w:val="24"/>
          <w:szCs w:val="24"/>
        </w:rPr>
        <w:t>Haematology</w:t>
      </w:r>
      <w:proofErr w:type="spellEnd"/>
      <w:r w:rsidRPr="00E845D3">
        <w:rPr>
          <w:rFonts w:cs="Times New Roman"/>
          <w:sz w:val="24"/>
          <w:szCs w:val="24"/>
        </w:rPr>
        <w:t xml:space="preserve"> Commission. Lancet </w:t>
      </w:r>
      <w:proofErr w:type="spellStart"/>
      <w:r w:rsidRPr="00E845D3">
        <w:rPr>
          <w:rFonts w:cs="Times New Roman"/>
          <w:sz w:val="24"/>
          <w:szCs w:val="24"/>
        </w:rPr>
        <w:t>Haematol</w:t>
      </w:r>
      <w:proofErr w:type="spellEnd"/>
      <w:r w:rsidRPr="00E845D3">
        <w:rPr>
          <w:rFonts w:cs="Times New Roman"/>
          <w:sz w:val="24"/>
          <w:szCs w:val="24"/>
        </w:rPr>
        <w:t>. 2023;10(8):e633-e686. doi:10.1016/S2352-3026(23)00096-0</w:t>
      </w:r>
    </w:p>
    <w:p w14:paraId="1CE854BE" w14:textId="35E7948D" w:rsidR="006F3BBE" w:rsidRPr="00E845D3" w:rsidRDefault="006F3BBE" w:rsidP="00973B12">
      <w:pPr>
        <w:pStyle w:val="ListParagraph"/>
        <w:numPr>
          <w:ilvl w:val="0"/>
          <w:numId w:val="10"/>
        </w:numPr>
        <w:rPr>
          <w:rFonts w:cs="Times New Roman"/>
          <w:sz w:val="24"/>
          <w:szCs w:val="24"/>
        </w:rPr>
      </w:pPr>
      <w:proofErr w:type="spellStart"/>
      <w:r w:rsidRPr="00E845D3">
        <w:rPr>
          <w:rFonts w:cs="Times New Roman"/>
          <w:sz w:val="24"/>
          <w:szCs w:val="24"/>
        </w:rPr>
        <w:lastRenderedPageBreak/>
        <w:t>Charache</w:t>
      </w:r>
      <w:proofErr w:type="spellEnd"/>
      <w:r w:rsidRPr="00E845D3">
        <w:rPr>
          <w:rFonts w:cs="Times New Roman"/>
          <w:sz w:val="24"/>
          <w:szCs w:val="24"/>
        </w:rPr>
        <w:t xml:space="preserve"> S, </w:t>
      </w:r>
      <w:proofErr w:type="spellStart"/>
      <w:r w:rsidRPr="00E845D3">
        <w:rPr>
          <w:rFonts w:cs="Times New Roman"/>
          <w:sz w:val="24"/>
          <w:szCs w:val="24"/>
        </w:rPr>
        <w:t>Terrin</w:t>
      </w:r>
      <w:proofErr w:type="spellEnd"/>
      <w:r w:rsidRPr="00E845D3">
        <w:rPr>
          <w:rFonts w:cs="Times New Roman"/>
          <w:sz w:val="24"/>
          <w:szCs w:val="24"/>
        </w:rPr>
        <w:t xml:space="preserve"> ML, Moore RD, Dover GJ, Barton FB, Eckert SV, et al. Effect of hydroxyurea on the frequency of painful crises in sickle cell anemia. N Engl J Med. 1995;332(20):1317-1322. doi:10.1056/NEJM199505183322001</w:t>
      </w:r>
    </w:p>
    <w:p w14:paraId="0EE4DC0B" w14:textId="5A519FFB" w:rsidR="006F3BBE" w:rsidRPr="00E845D3" w:rsidRDefault="006F3BBE" w:rsidP="00682B96">
      <w:pPr>
        <w:pStyle w:val="ListParagraph"/>
        <w:numPr>
          <w:ilvl w:val="0"/>
          <w:numId w:val="10"/>
        </w:numPr>
        <w:rPr>
          <w:rFonts w:cs="Times New Roman"/>
          <w:sz w:val="24"/>
          <w:szCs w:val="24"/>
        </w:rPr>
      </w:pPr>
      <w:r w:rsidRPr="00E845D3">
        <w:rPr>
          <w:rFonts w:cs="Times New Roman"/>
          <w:sz w:val="24"/>
          <w:szCs w:val="24"/>
        </w:rPr>
        <w:t xml:space="preserve">Paul George, Grace Kalmus, Peter A. Lane, Wilbur Lam, Joseph Lipscomb, David </w:t>
      </w:r>
      <w:proofErr w:type="spellStart"/>
      <w:r w:rsidRPr="00E845D3">
        <w:rPr>
          <w:rFonts w:cs="Times New Roman"/>
          <w:sz w:val="24"/>
          <w:szCs w:val="24"/>
        </w:rPr>
        <w:t>Howard,Evaluating</w:t>
      </w:r>
      <w:proofErr w:type="spellEnd"/>
      <w:r w:rsidRPr="00E845D3">
        <w:rPr>
          <w:rFonts w:cs="Times New Roman"/>
          <w:sz w:val="24"/>
          <w:szCs w:val="24"/>
        </w:rPr>
        <w:t xml:space="preserve"> the long-term benefits of hydroxyurea in pediatric sickle cell anemia,</w:t>
      </w:r>
      <w:r w:rsidR="00682B96" w:rsidRPr="00E845D3">
        <w:rPr>
          <w:rFonts w:cs="Times New Roman"/>
          <w:sz w:val="24"/>
          <w:szCs w:val="24"/>
        </w:rPr>
        <w:t xml:space="preserve"> </w:t>
      </w:r>
      <w:r w:rsidRPr="00E845D3">
        <w:rPr>
          <w:rFonts w:cs="Times New Roman"/>
          <w:sz w:val="24"/>
          <w:szCs w:val="24"/>
        </w:rPr>
        <w:t xml:space="preserve">Blood </w:t>
      </w:r>
      <w:proofErr w:type="spellStart"/>
      <w:r w:rsidRPr="00E845D3">
        <w:rPr>
          <w:rFonts w:cs="Times New Roman"/>
          <w:sz w:val="24"/>
          <w:szCs w:val="24"/>
        </w:rPr>
        <w:t>Advances,Volume</w:t>
      </w:r>
      <w:proofErr w:type="spellEnd"/>
      <w:r w:rsidRPr="00E845D3">
        <w:rPr>
          <w:rFonts w:cs="Times New Roman"/>
          <w:sz w:val="24"/>
          <w:szCs w:val="24"/>
        </w:rPr>
        <w:t xml:space="preserve"> 9, Issue 14,2025,Pages 3585-3593</w:t>
      </w:r>
    </w:p>
    <w:p w14:paraId="47046FAC" w14:textId="618A645B" w:rsidR="00682B96" w:rsidRPr="00E845D3" w:rsidRDefault="00682B96" w:rsidP="00682B96">
      <w:pPr>
        <w:pStyle w:val="ListParagraph"/>
        <w:numPr>
          <w:ilvl w:val="0"/>
          <w:numId w:val="10"/>
        </w:numPr>
        <w:rPr>
          <w:rFonts w:cs="Times New Roman"/>
          <w:sz w:val="24"/>
          <w:szCs w:val="24"/>
        </w:rPr>
      </w:pPr>
      <w:proofErr w:type="spellStart"/>
      <w:r w:rsidRPr="00E845D3">
        <w:rPr>
          <w:rFonts w:cs="Times New Roman"/>
          <w:color w:val="1B1B1B"/>
          <w:sz w:val="24"/>
          <w:szCs w:val="24"/>
          <w:shd w:val="clear" w:color="auto" w:fill="FFFFFF"/>
        </w:rPr>
        <w:t>Tshilolo</w:t>
      </w:r>
      <w:proofErr w:type="spellEnd"/>
      <w:r w:rsidRPr="00E845D3">
        <w:rPr>
          <w:rFonts w:cs="Times New Roman"/>
          <w:color w:val="1B1B1B"/>
          <w:sz w:val="24"/>
          <w:szCs w:val="24"/>
          <w:shd w:val="clear" w:color="auto" w:fill="FFFFFF"/>
        </w:rPr>
        <w:t xml:space="preserve"> L, Tomlinson G, Williams TN, Santos B, Olupot-Olupot P, Lane A, Aygun B, Stuber SE, Latham TS, McGann PT, Ware RE; REACH Investigators. Hydroxyurea for Children with Sickle Cell Anemia in Sub-Saharan Africa. N Engl J Med. 2019 Jan 10;380(2):121-131.</w:t>
      </w:r>
    </w:p>
    <w:p w14:paraId="674C5EF7" w14:textId="3246C26C" w:rsidR="00682B96" w:rsidRPr="00E845D3" w:rsidRDefault="00682B96" w:rsidP="00682B96">
      <w:pPr>
        <w:pStyle w:val="ListParagraph"/>
        <w:numPr>
          <w:ilvl w:val="0"/>
          <w:numId w:val="10"/>
        </w:numPr>
        <w:rPr>
          <w:rFonts w:cs="Times New Roman"/>
          <w:sz w:val="24"/>
          <w:szCs w:val="24"/>
        </w:rPr>
      </w:pPr>
      <w:r w:rsidRPr="00E845D3">
        <w:rPr>
          <w:rFonts w:cs="Times New Roman"/>
          <w:color w:val="1B1B1B"/>
          <w:sz w:val="24"/>
          <w:szCs w:val="24"/>
          <w:shd w:val="clear" w:color="auto" w:fill="FFFFFF"/>
        </w:rPr>
        <w:t xml:space="preserve">McGann PT, Ware RE. Hydroxyurea therapy for sickle cell anemia. Expert </w:t>
      </w:r>
      <w:proofErr w:type="spellStart"/>
      <w:r w:rsidRPr="00E845D3">
        <w:rPr>
          <w:rFonts w:cs="Times New Roman"/>
          <w:color w:val="1B1B1B"/>
          <w:sz w:val="24"/>
          <w:szCs w:val="24"/>
          <w:shd w:val="clear" w:color="auto" w:fill="FFFFFF"/>
        </w:rPr>
        <w:t>Opin</w:t>
      </w:r>
      <w:proofErr w:type="spellEnd"/>
      <w:r w:rsidRPr="00E845D3">
        <w:rPr>
          <w:rFonts w:cs="Times New Roman"/>
          <w:color w:val="1B1B1B"/>
          <w:sz w:val="24"/>
          <w:szCs w:val="24"/>
          <w:shd w:val="clear" w:color="auto" w:fill="FFFFFF"/>
        </w:rPr>
        <w:t xml:space="preserve"> Drug </w:t>
      </w:r>
      <w:proofErr w:type="spellStart"/>
      <w:r w:rsidRPr="00E845D3">
        <w:rPr>
          <w:rFonts w:cs="Times New Roman"/>
          <w:color w:val="1B1B1B"/>
          <w:sz w:val="24"/>
          <w:szCs w:val="24"/>
          <w:shd w:val="clear" w:color="auto" w:fill="FFFFFF"/>
        </w:rPr>
        <w:t>Saf</w:t>
      </w:r>
      <w:proofErr w:type="spellEnd"/>
      <w:r w:rsidRPr="00E845D3">
        <w:rPr>
          <w:rFonts w:cs="Times New Roman"/>
          <w:color w:val="1B1B1B"/>
          <w:sz w:val="24"/>
          <w:szCs w:val="24"/>
          <w:shd w:val="clear" w:color="auto" w:fill="FFFFFF"/>
        </w:rPr>
        <w:t xml:space="preserve">. 2015;14(11):1749-58. </w:t>
      </w:r>
      <w:proofErr w:type="spellStart"/>
      <w:r w:rsidRPr="00E845D3">
        <w:rPr>
          <w:rFonts w:cs="Times New Roman"/>
          <w:color w:val="1B1B1B"/>
          <w:sz w:val="24"/>
          <w:szCs w:val="24"/>
          <w:shd w:val="clear" w:color="auto" w:fill="FFFFFF"/>
        </w:rPr>
        <w:t>doi</w:t>
      </w:r>
      <w:proofErr w:type="spellEnd"/>
      <w:r w:rsidRPr="00E845D3">
        <w:rPr>
          <w:rFonts w:cs="Times New Roman"/>
          <w:color w:val="1B1B1B"/>
          <w:sz w:val="24"/>
          <w:szCs w:val="24"/>
          <w:shd w:val="clear" w:color="auto" w:fill="FFFFFF"/>
        </w:rPr>
        <w:t xml:space="preserve">: 10.1517/14740338.2015.1088827. </w:t>
      </w:r>
      <w:proofErr w:type="spellStart"/>
      <w:r w:rsidRPr="00E845D3">
        <w:rPr>
          <w:rFonts w:cs="Times New Roman"/>
          <w:color w:val="1B1B1B"/>
          <w:sz w:val="24"/>
          <w:szCs w:val="24"/>
          <w:shd w:val="clear" w:color="auto" w:fill="FFFFFF"/>
        </w:rPr>
        <w:t>Epub</w:t>
      </w:r>
      <w:proofErr w:type="spellEnd"/>
      <w:r w:rsidRPr="00E845D3">
        <w:rPr>
          <w:rFonts w:cs="Times New Roman"/>
          <w:color w:val="1B1B1B"/>
          <w:sz w:val="24"/>
          <w:szCs w:val="24"/>
          <w:shd w:val="clear" w:color="auto" w:fill="FFFFFF"/>
        </w:rPr>
        <w:t xml:space="preserve"> 2015 Sep 14</w:t>
      </w:r>
    </w:p>
    <w:p w14:paraId="0DCA3A95" w14:textId="22360E38" w:rsidR="00682B96" w:rsidRPr="00E845D3" w:rsidRDefault="00682B96" w:rsidP="00682B96">
      <w:pPr>
        <w:pStyle w:val="ListParagraph"/>
        <w:numPr>
          <w:ilvl w:val="0"/>
          <w:numId w:val="10"/>
        </w:numPr>
        <w:rPr>
          <w:rFonts w:cs="Times New Roman"/>
          <w:sz w:val="24"/>
          <w:szCs w:val="24"/>
        </w:rPr>
      </w:pPr>
      <w:proofErr w:type="spellStart"/>
      <w:r w:rsidRPr="00E845D3">
        <w:rPr>
          <w:rFonts w:cs="Times New Roman"/>
          <w:sz w:val="24"/>
          <w:szCs w:val="24"/>
        </w:rPr>
        <w:t>Odame</w:t>
      </w:r>
      <w:proofErr w:type="spellEnd"/>
      <w:r w:rsidRPr="00E845D3">
        <w:rPr>
          <w:rFonts w:cs="Times New Roman"/>
          <w:sz w:val="24"/>
          <w:szCs w:val="24"/>
        </w:rPr>
        <w:t xml:space="preserve"> I, </w:t>
      </w:r>
      <w:proofErr w:type="spellStart"/>
      <w:r w:rsidRPr="00E845D3">
        <w:rPr>
          <w:rFonts w:cs="Times New Roman"/>
          <w:sz w:val="24"/>
          <w:szCs w:val="24"/>
        </w:rPr>
        <w:t>Bazuaye</w:t>
      </w:r>
      <w:proofErr w:type="spellEnd"/>
      <w:r w:rsidRPr="00E845D3">
        <w:rPr>
          <w:rFonts w:cs="Times New Roman"/>
          <w:sz w:val="24"/>
          <w:szCs w:val="24"/>
        </w:rPr>
        <w:t xml:space="preserve"> GN. Transfusions, disease-modifying treatments, and curative therapies for sickle cell anemia in Africa: where are we now? Hematology Am Soc </w:t>
      </w:r>
      <w:proofErr w:type="spellStart"/>
      <w:r w:rsidRPr="00E845D3">
        <w:rPr>
          <w:rFonts w:cs="Times New Roman"/>
          <w:sz w:val="24"/>
          <w:szCs w:val="24"/>
        </w:rPr>
        <w:t>Hematol</w:t>
      </w:r>
      <w:proofErr w:type="spellEnd"/>
      <w:r w:rsidRPr="00E845D3">
        <w:rPr>
          <w:rFonts w:cs="Times New Roman"/>
          <w:sz w:val="24"/>
          <w:szCs w:val="24"/>
        </w:rPr>
        <w:t xml:space="preserve"> Educ Program. 2024;2024(1):234-239. doi:10.1182/hematology.2024000550</w:t>
      </w:r>
    </w:p>
    <w:p w14:paraId="36D230BB" w14:textId="7919074A" w:rsidR="006F3BBE" w:rsidRPr="00E845D3" w:rsidRDefault="006F3BBE" w:rsidP="00973B12">
      <w:pPr>
        <w:pStyle w:val="ListParagraph"/>
        <w:numPr>
          <w:ilvl w:val="0"/>
          <w:numId w:val="10"/>
        </w:numPr>
        <w:rPr>
          <w:rFonts w:cs="Times New Roman"/>
          <w:sz w:val="24"/>
          <w:szCs w:val="24"/>
        </w:rPr>
      </w:pPr>
      <w:proofErr w:type="spellStart"/>
      <w:r w:rsidRPr="00E845D3">
        <w:rPr>
          <w:rFonts w:cs="Times New Roman"/>
          <w:sz w:val="24"/>
          <w:szCs w:val="24"/>
        </w:rPr>
        <w:t>Korubo</w:t>
      </w:r>
      <w:proofErr w:type="spellEnd"/>
      <w:r w:rsidRPr="00E845D3">
        <w:rPr>
          <w:rFonts w:cs="Times New Roman"/>
          <w:sz w:val="24"/>
          <w:szCs w:val="24"/>
        </w:rPr>
        <w:t xml:space="preserve"> KI, </w:t>
      </w:r>
      <w:proofErr w:type="spellStart"/>
      <w:r w:rsidRPr="00E845D3">
        <w:rPr>
          <w:rFonts w:cs="Times New Roman"/>
          <w:sz w:val="24"/>
          <w:szCs w:val="24"/>
        </w:rPr>
        <w:t>Onodingene</w:t>
      </w:r>
      <w:proofErr w:type="spellEnd"/>
      <w:r w:rsidRPr="00E845D3">
        <w:rPr>
          <w:rFonts w:cs="Times New Roman"/>
          <w:sz w:val="24"/>
          <w:szCs w:val="24"/>
        </w:rPr>
        <w:t xml:space="preserve"> NM, Okoye HC, </w:t>
      </w:r>
      <w:proofErr w:type="spellStart"/>
      <w:r w:rsidRPr="00E845D3">
        <w:rPr>
          <w:rFonts w:cs="Times New Roman"/>
          <w:sz w:val="24"/>
          <w:szCs w:val="24"/>
        </w:rPr>
        <w:t>Omunakwe</w:t>
      </w:r>
      <w:proofErr w:type="spellEnd"/>
      <w:r w:rsidRPr="00E845D3">
        <w:rPr>
          <w:rFonts w:cs="Times New Roman"/>
          <w:sz w:val="24"/>
          <w:szCs w:val="24"/>
        </w:rPr>
        <w:t xml:space="preserve"> HE. Perception to hydroxyurea therapy in patients with sickle cell disease: Report from 3 </w:t>
      </w:r>
      <w:proofErr w:type="spellStart"/>
      <w:r w:rsidRPr="00E845D3">
        <w:rPr>
          <w:rFonts w:cs="Times New Roman"/>
          <w:sz w:val="24"/>
          <w:szCs w:val="24"/>
        </w:rPr>
        <w:t>centres</w:t>
      </w:r>
      <w:proofErr w:type="spellEnd"/>
      <w:r w:rsidRPr="00E845D3">
        <w:rPr>
          <w:rFonts w:cs="Times New Roman"/>
          <w:sz w:val="24"/>
          <w:szCs w:val="24"/>
        </w:rPr>
        <w:t xml:space="preserve">. Ann </w:t>
      </w:r>
      <w:proofErr w:type="spellStart"/>
      <w:r w:rsidRPr="00E845D3">
        <w:rPr>
          <w:rFonts w:cs="Times New Roman"/>
          <w:sz w:val="24"/>
          <w:szCs w:val="24"/>
        </w:rPr>
        <w:t>Afr</w:t>
      </w:r>
      <w:proofErr w:type="spellEnd"/>
      <w:r w:rsidRPr="00E845D3">
        <w:rPr>
          <w:rFonts w:cs="Times New Roman"/>
          <w:sz w:val="24"/>
          <w:szCs w:val="24"/>
        </w:rPr>
        <w:t xml:space="preserve"> Med. 2021 Apr-Jun;20(2):127 – 131. Doi:10.4103/aam.aam_36_20. PMID34213480</w:t>
      </w:r>
    </w:p>
    <w:p w14:paraId="4E2B9664" w14:textId="65082E09" w:rsidR="006F3BBE" w:rsidRPr="00E845D3" w:rsidRDefault="00A57D16" w:rsidP="00973B12">
      <w:pPr>
        <w:pStyle w:val="ListParagraph"/>
        <w:numPr>
          <w:ilvl w:val="0"/>
          <w:numId w:val="10"/>
        </w:numPr>
        <w:rPr>
          <w:rFonts w:cs="Times New Roman"/>
          <w:sz w:val="24"/>
          <w:szCs w:val="24"/>
        </w:rPr>
      </w:pPr>
      <w:r w:rsidRPr="00E845D3">
        <w:rPr>
          <w:rFonts w:cs="Times New Roman"/>
          <w:color w:val="1B1B1B"/>
          <w:sz w:val="24"/>
          <w:szCs w:val="24"/>
          <w:shd w:val="clear" w:color="auto" w:fill="FFFFFF"/>
        </w:rPr>
        <w:t xml:space="preserve">Namaganda P, </w:t>
      </w:r>
      <w:proofErr w:type="spellStart"/>
      <w:r w:rsidRPr="00E845D3">
        <w:rPr>
          <w:rFonts w:cs="Times New Roman"/>
          <w:color w:val="1B1B1B"/>
          <w:sz w:val="24"/>
          <w:szCs w:val="24"/>
          <w:shd w:val="clear" w:color="auto" w:fill="FFFFFF"/>
        </w:rPr>
        <w:t>Nantume</w:t>
      </w:r>
      <w:proofErr w:type="spellEnd"/>
      <w:r w:rsidRPr="00E845D3">
        <w:rPr>
          <w:rFonts w:cs="Times New Roman"/>
          <w:color w:val="1B1B1B"/>
          <w:sz w:val="24"/>
          <w:szCs w:val="24"/>
          <w:shd w:val="clear" w:color="auto" w:fill="FFFFFF"/>
        </w:rPr>
        <w:t xml:space="preserve"> P, </w:t>
      </w:r>
      <w:proofErr w:type="spellStart"/>
      <w:r w:rsidRPr="00E845D3">
        <w:rPr>
          <w:rFonts w:cs="Times New Roman"/>
          <w:color w:val="1B1B1B"/>
          <w:sz w:val="24"/>
          <w:szCs w:val="24"/>
          <w:shd w:val="clear" w:color="auto" w:fill="FFFFFF"/>
        </w:rPr>
        <w:t>Mubiru</w:t>
      </w:r>
      <w:proofErr w:type="spellEnd"/>
      <w:r w:rsidRPr="00E845D3">
        <w:rPr>
          <w:rFonts w:cs="Times New Roman"/>
          <w:color w:val="1B1B1B"/>
          <w:sz w:val="24"/>
          <w:szCs w:val="24"/>
          <w:shd w:val="clear" w:color="auto" w:fill="FFFFFF"/>
        </w:rPr>
        <w:t xml:space="preserve"> KR, </w:t>
      </w:r>
      <w:proofErr w:type="spellStart"/>
      <w:r w:rsidRPr="00E845D3">
        <w:rPr>
          <w:rFonts w:cs="Times New Roman"/>
          <w:color w:val="1B1B1B"/>
          <w:sz w:val="24"/>
          <w:szCs w:val="24"/>
          <w:shd w:val="clear" w:color="auto" w:fill="FFFFFF"/>
        </w:rPr>
        <w:t>Twimukye</w:t>
      </w:r>
      <w:proofErr w:type="spellEnd"/>
      <w:r w:rsidRPr="00E845D3">
        <w:rPr>
          <w:rFonts w:cs="Times New Roman"/>
          <w:color w:val="1B1B1B"/>
          <w:sz w:val="24"/>
          <w:szCs w:val="24"/>
          <w:shd w:val="clear" w:color="auto" w:fill="FFFFFF"/>
        </w:rPr>
        <w:t xml:space="preserve"> A, Wiltshire CS. Understanding patient-related barriers to hydroxyurea use among adolescent and adult patients with sickle cell disease in Mulago and </w:t>
      </w:r>
      <w:proofErr w:type="spellStart"/>
      <w:r w:rsidRPr="00E845D3">
        <w:rPr>
          <w:rFonts w:cs="Times New Roman"/>
          <w:color w:val="1B1B1B"/>
          <w:sz w:val="24"/>
          <w:szCs w:val="24"/>
          <w:shd w:val="clear" w:color="auto" w:fill="FFFFFF"/>
        </w:rPr>
        <w:t>Kiruddu</w:t>
      </w:r>
      <w:proofErr w:type="spellEnd"/>
      <w:r w:rsidRPr="00E845D3">
        <w:rPr>
          <w:rFonts w:cs="Times New Roman"/>
          <w:color w:val="1B1B1B"/>
          <w:sz w:val="24"/>
          <w:szCs w:val="24"/>
          <w:shd w:val="clear" w:color="auto" w:fill="FFFFFF"/>
        </w:rPr>
        <w:t xml:space="preserve"> hospitals, Uganda, a qualitative study. BMC Health Serv Res. 2024 May 27;24(1):666.</w:t>
      </w:r>
    </w:p>
    <w:p w14:paraId="75E996AC" w14:textId="0237EF96" w:rsidR="009E115F" w:rsidRPr="00E845D3" w:rsidRDefault="009E115F" w:rsidP="00973B12">
      <w:pPr>
        <w:pStyle w:val="ListParagraph"/>
        <w:numPr>
          <w:ilvl w:val="0"/>
          <w:numId w:val="10"/>
        </w:numPr>
        <w:rPr>
          <w:rFonts w:cs="Times New Roman"/>
          <w:sz w:val="24"/>
          <w:szCs w:val="24"/>
        </w:rPr>
      </w:pPr>
      <w:r w:rsidRPr="00E845D3">
        <w:rPr>
          <w:rFonts w:cs="Times New Roman"/>
          <w:sz w:val="24"/>
          <w:szCs w:val="24"/>
        </w:rPr>
        <w:t xml:space="preserve">Okocha EC, Gyamfi J, Ryan N, Babalola O, </w:t>
      </w:r>
      <w:proofErr w:type="spellStart"/>
      <w:r w:rsidRPr="00E845D3">
        <w:rPr>
          <w:rFonts w:cs="Times New Roman"/>
          <w:sz w:val="24"/>
          <w:szCs w:val="24"/>
        </w:rPr>
        <w:t>Etuk</w:t>
      </w:r>
      <w:proofErr w:type="spellEnd"/>
      <w:r w:rsidRPr="00E845D3">
        <w:rPr>
          <w:rFonts w:cs="Times New Roman"/>
          <w:sz w:val="24"/>
          <w:szCs w:val="24"/>
        </w:rPr>
        <w:t xml:space="preserve"> EA, </w:t>
      </w:r>
      <w:proofErr w:type="spellStart"/>
      <w:r w:rsidRPr="00E845D3">
        <w:rPr>
          <w:rFonts w:cs="Times New Roman"/>
          <w:sz w:val="24"/>
          <w:szCs w:val="24"/>
        </w:rPr>
        <w:t>Chianumba</w:t>
      </w:r>
      <w:proofErr w:type="spellEnd"/>
      <w:r w:rsidRPr="00E845D3">
        <w:rPr>
          <w:rFonts w:cs="Times New Roman"/>
          <w:sz w:val="24"/>
          <w:szCs w:val="24"/>
        </w:rPr>
        <w:t xml:space="preserve"> R, et al. Barriers to therapeutic use of hydroxyurea for sickle cell disease in Nigeria: a cross-sectional survey. Front Genet. 2022;12:765958. doi:10.3389/fgene.2021.765958.</w:t>
      </w:r>
    </w:p>
    <w:p w14:paraId="5D4BC669" w14:textId="6757548A" w:rsidR="009E115F" w:rsidRPr="00E845D3" w:rsidRDefault="009E115F" w:rsidP="009E115F">
      <w:pPr>
        <w:pStyle w:val="ListParagraph"/>
        <w:numPr>
          <w:ilvl w:val="0"/>
          <w:numId w:val="10"/>
        </w:numPr>
        <w:spacing w:line="360" w:lineRule="auto"/>
        <w:jc w:val="both"/>
        <w:rPr>
          <w:rFonts w:cs="Times New Roman"/>
          <w:sz w:val="24"/>
          <w:szCs w:val="24"/>
        </w:rPr>
      </w:pPr>
      <w:r w:rsidRPr="00E845D3">
        <w:rPr>
          <w:rFonts w:cs="Times New Roman"/>
          <w:sz w:val="24"/>
          <w:szCs w:val="24"/>
        </w:rPr>
        <w:t xml:space="preserve"> Ryan N, Dike L, Ojo T, Vieira D, </w:t>
      </w:r>
      <w:proofErr w:type="spellStart"/>
      <w:r w:rsidRPr="00E845D3">
        <w:rPr>
          <w:rFonts w:cs="Times New Roman"/>
          <w:sz w:val="24"/>
          <w:szCs w:val="24"/>
        </w:rPr>
        <w:t>Nnodu</w:t>
      </w:r>
      <w:proofErr w:type="spellEnd"/>
      <w:r w:rsidRPr="00E845D3">
        <w:rPr>
          <w:rFonts w:cs="Times New Roman"/>
          <w:sz w:val="24"/>
          <w:szCs w:val="24"/>
        </w:rPr>
        <w:t xml:space="preserve"> O, </w:t>
      </w:r>
      <w:proofErr w:type="spellStart"/>
      <w:r w:rsidRPr="00E845D3">
        <w:rPr>
          <w:rFonts w:cs="Times New Roman"/>
          <w:sz w:val="24"/>
          <w:szCs w:val="24"/>
        </w:rPr>
        <w:t>Gyamfi</w:t>
      </w:r>
      <w:proofErr w:type="spellEnd"/>
      <w:r w:rsidRPr="00E845D3">
        <w:rPr>
          <w:rFonts w:cs="Times New Roman"/>
          <w:sz w:val="24"/>
          <w:szCs w:val="24"/>
        </w:rPr>
        <w:t xml:space="preserve"> J, et al. Implementation of the therapeutic use of hydroxyurea for sickle cell disease management in resource-constrained settings: a systematic review of adoption, cost and acceptability. BMJ Open. 2020;10:e038685. doi:10.1136/bmjopen-2020-038685.</w:t>
      </w:r>
    </w:p>
    <w:p w14:paraId="0C524142" w14:textId="5952BBAD" w:rsidR="009E115F" w:rsidRPr="00E845D3" w:rsidRDefault="009E115F" w:rsidP="00973B12">
      <w:pPr>
        <w:pStyle w:val="ListParagraph"/>
        <w:numPr>
          <w:ilvl w:val="0"/>
          <w:numId w:val="10"/>
        </w:numPr>
        <w:rPr>
          <w:rFonts w:cs="Times New Roman"/>
          <w:sz w:val="24"/>
          <w:szCs w:val="24"/>
        </w:rPr>
      </w:pPr>
      <w:proofErr w:type="spellStart"/>
      <w:r w:rsidRPr="00E845D3">
        <w:rPr>
          <w:rFonts w:cs="Times New Roman"/>
          <w:sz w:val="24"/>
          <w:szCs w:val="24"/>
        </w:rPr>
        <w:t>Chianumba</w:t>
      </w:r>
      <w:proofErr w:type="spellEnd"/>
      <w:r w:rsidRPr="00E845D3">
        <w:rPr>
          <w:rFonts w:cs="Times New Roman"/>
          <w:sz w:val="24"/>
          <w:szCs w:val="24"/>
        </w:rPr>
        <w:t xml:space="preserve"> RI, </w:t>
      </w:r>
      <w:proofErr w:type="spellStart"/>
      <w:r w:rsidRPr="00E845D3">
        <w:rPr>
          <w:rFonts w:cs="Times New Roman"/>
          <w:sz w:val="24"/>
          <w:szCs w:val="24"/>
        </w:rPr>
        <w:t>Ofakunrin</w:t>
      </w:r>
      <w:proofErr w:type="spellEnd"/>
      <w:r w:rsidRPr="00E845D3">
        <w:rPr>
          <w:rFonts w:cs="Times New Roman"/>
          <w:sz w:val="24"/>
          <w:szCs w:val="24"/>
        </w:rPr>
        <w:t xml:space="preserve"> AOD, Morrice J, Olanrewaju O, </w:t>
      </w:r>
      <w:proofErr w:type="spellStart"/>
      <w:r w:rsidRPr="00E845D3">
        <w:rPr>
          <w:rFonts w:cs="Times New Roman"/>
          <w:sz w:val="24"/>
          <w:szCs w:val="24"/>
        </w:rPr>
        <w:t>Oniyangi</w:t>
      </w:r>
      <w:proofErr w:type="spellEnd"/>
      <w:r w:rsidRPr="00E845D3">
        <w:rPr>
          <w:rFonts w:cs="Times New Roman"/>
          <w:sz w:val="24"/>
          <w:szCs w:val="24"/>
        </w:rPr>
        <w:t xml:space="preserve"> O, </w:t>
      </w:r>
      <w:proofErr w:type="spellStart"/>
      <w:r w:rsidRPr="00E845D3">
        <w:rPr>
          <w:rFonts w:cs="Times New Roman"/>
          <w:sz w:val="24"/>
          <w:szCs w:val="24"/>
        </w:rPr>
        <w:t>Kuliya-Gwarzo</w:t>
      </w:r>
      <w:proofErr w:type="spellEnd"/>
      <w:r w:rsidRPr="00E845D3">
        <w:rPr>
          <w:rFonts w:cs="Times New Roman"/>
          <w:sz w:val="24"/>
          <w:szCs w:val="24"/>
        </w:rPr>
        <w:t xml:space="preserve"> A, et al. Outcome of hydroxyurea use in SCD and evaluation of patients’ perception and experience in Nigeria. Front Genet. 2022;13:826132. doi:10.3389/fgene.2022.826132.</w:t>
      </w:r>
    </w:p>
    <w:p w14:paraId="12002B1A" w14:textId="401D3D04" w:rsidR="003624EE" w:rsidRPr="00E845D3" w:rsidRDefault="003624EE" w:rsidP="00973B12">
      <w:pPr>
        <w:pStyle w:val="ListParagraph"/>
        <w:numPr>
          <w:ilvl w:val="0"/>
          <w:numId w:val="10"/>
        </w:numPr>
        <w:rPr>
          <w:rFonts w:cs="Times New Roman"/>
          <w:sz w:val="24"/>
          <w:szCs w:val="24"/>
        </w:rPr>
      </w:pPr>
      <w:r w:rsidRPr="00E845D3">
        <w:rPr>
          <w:rFonts w:cs="Times New Roman"/>
          <w:color w:val="1B1B1B"/>
          <w:sz w:val="24"/>
          <w:szCs w:val="24"/>
          <w:shd w:val="clear" w:color="auto" w:fill="FFFFFF"/>
        </w:rPr>
        <w:t xml:space="preserve">Kayle M, Docherty SL, Sloane R, Tanabe P, Maslow G, Pan W, Shah N. Transition to adult care in sickle cell disease: A longitudinal study of clinical characteristics and disease severity. </w:t>
      </w:r>
      <w:proofErr w:type="spellStart"/>
      <w:r w:rsidRPr="00E845D3">
        <w:rPr>
          <w:rFonts w:cs="Times New Roman"/>
          <w:color w:val="1B1B1B"/>
          <w:sz w:val="24"/>
          <w:szCs w:val="24"/>
          <w:shd w:val="clear" w:color="auto" w:fill="FFFFFF"/>
        </w:rPr>
        <w:t>Pediatr</w:t>
      </w:r>
      <w:proofErr w:type="spellEnd"/>
      <w:r w:rsidRPr="00E845D3">
        <w:rPr>
          <w:rFonts w:cs="Times New Roman"/>
          <w:color w:val="1B1B1B"/>
          <w:sz w:val="24"/>
          <w:szCs w:val="24"/>
          <w:shd w:val="clear" w:color="auto" w:fill="FFFFFF"/>
        </w:rPr>
        <w:t xml:space="preserve"> Blood Cancer. 2019 Jan;66(1)</w:t>
      </w:r>
    </w:p>
    <w:p w14:paraId="0CF481ED" w14:textId="2EB0A311" w:rsidR="00973B12" w:rsidRPr="00E845D3" w:rsidRDefault="003624EE" w:rsidP="00973B12">
      <w:pPr>
        <w:pStyle w:val="ListParagraph"/>
        <w:numPr>
          <w:ilvl w:val="0"/>
          <w:numId w:val="10"/>
        </w:numPr>
        <w:rPr>
          <w:rFonts w:cs="Times New Roman"/>
          <w:sz w:val="24"/>
          <w:szCs w:val="24"/>
        </w:rPr>
      </w:pPr>
      <w:r w:rsidRPr="00E845D3">
        <w:rPr>
          <w:rFonts w:cs="Times New Roman"/>
          <w:sz w:val="24"/>
          <w:szCs w:val="24"/>
        </w:rPr>
        <w:t xml:space="preserve">Charles T. Quinn, Zora R. Rogers, Timothy L. McCavit, George R. </w:t>
      </w:r>
      <w:proofErr w:type="spellStart"/>
      <w:r w:rsidRPr="00E845D3">
        <w:rPr>
          <w:rFonts w:cs="Times New Roman"/>
          <w:sz w:val="24"/>
          <w:szCs w:val="24"/>
        </w:rPr>
        <w:t>Buchanan,Improved</w:t>
      </w:r>
      <w:proofErr w:type="spellEnd"/>
      <w:r w:rsidRPr="00E845D3">
        <w:rPr>
          <w:rFonts w:cs="Times New Roman"/>
          <w:sz w:val="24"/>
          <w:szCs w:val="24"/>
        </w:rPr>
        <w:t xml:space="preserve"> survival of children and adolescents with sickle cell </w:t>
      </w:r>
      <w:proofErr w:type="spellStart"/>
      <w:r w:rsidRPr="00E845D3">
        <w:rPr>
          <w:rFonts w:cs="Times New Roman"/>
          <w:sz w:val="24"/>
          <w:szCs w:val="24"/>
        </w:rPr>
        <w:t>disease,Blood,Volume</w:t>
      </w:r>
      <w:proofErr w:type="spellEnd"/>
      <w:r w:rsidRPr="00E845D3">
        <w:rPr>
          <w:rFonts w:cs="Times New Roman"/>
          <w:sz w:val="24"/>
          <w:szCs w:val="24"/>
        </w:rPr>
        <w:t xml:space="preserve"> 115, Issue 17,2010,Pages 3447-3452</w:t>
      </w:r>
    </w:p>
    <w:p w14:paraId="63D99644" w14:textId="0EF8BD3F" w:rsidR="0082757B" w:rsidRPr="00E845D3" w:rsidRDefault="0082757B" w:rsidP="00973B12">
      <w:pPr>
        <w:pStyle w:val="ListParagraph"/>
        <w:numPr>
          <w:ilvl w:val="0"/>
          <w:numId w:val="10"/>
        </w:numPr>
        <w:rPr>
          <w:rFonts w:cs="Times New Roman"/>
          <w:sz w:val="24"/>
          <w:szCs w:val="24"/>
        </w:rPr>
      </w:pPr>
      <w:proofErr w:type="spellStart"/>
      <w:r w:rsidRPr="00E845D3">
        <w:rPr>
          <w:rFonts w:cs="Times New Roman"/>
          <w:sz w:val="24"/>
          <w:szCs w:val="24"/>
        </w:rPr>
        <w:t>Oluwasayo</w:t>
      </w:r>
      <w:proofErr w:type="spellEnd"/>
      <w:r w:rsidRPr="00E845D3">
        <w:rPr>
          <w:rFonts w:cs="Times New Roman"/>
          <w:sz w:val="24"/>
          <w:szCs w:val="24"/>
        </w:rPr>
        <w:t xml:space="preserve"> B. Ogunlade &amp; Adesola A. </w:t>
      </w:r>
      <w:proofErr w:type="spellStart"/>
      <w:r w:rsidRPr="00E845D3">
        <w:rPr>
          <w:rFonts w:cs="Times New Roman"/>
          <w:sz w:val="24"/>
          <w:szCs w:val="24"/>
        </w:rPr>
        <w:t>Ogunfowokan</w:t>
      </w:r>
      <w:proofErr w:type="spellEnd"/>
      <w:r w:rsidRPr="00E845D3">
        <w:rPr>
          <w:rFonts w:cs="Times New Roman"/>
          <w:sz w:val="24"/>
          <w:szCs w:val="24"/>
        </w:rPr>
        <w:t xml:space="preserve"> (2021). The Relationship between Health Seeking </w:t>
      </w:r>
      <w:proofErr w:type="spellStart"/>
      <w:r w:rsidRPr="00E845D3">
        <w:rPr>
          <w:rFonts w:cs="Times New Roman"/>
          <w:sz w:val="24"/>
          <w:szCs w:val="24"/>
        </w:rPr>
        <w:t>Behaviour</w:t>
      </w:r>
      <w:proofErr w:type="spellEnd"/>
      <w:r w:rsidRPr="00E845D3">
        <w:rPr>
          <w:rFonts w:cs="Times New Roman"/>
          <w:sz w:val="24"/>
          <w:szCs w:val="24"/>
        </w:rPr>
        <w:t xml:space="preserve"> and Health Related Quality of Life of Female Market Traders in Ile-Ife, Southwest Nigeria. Saudi J Nurs Health Care, 4(12): 482-488.</w:t>
      </w:r>
    </w:p>
    <w:p w14:paraId="7C0F02A8" w14:textId="5CEB84FE" w:rsidR="0082757B" w:rsidRPr="00E845D3" w:rsidRDefault="0082757B" w:rsidP="00973B12">
      <w:pPr>
        <w:pStyle w:val="ListParagraph"/>
        <w:numPr>
          <w:ilvl w:val="0"/>
          <w:numId w:val="10"/>
        </w:numPr>
        <w:rPr>
          <w:rFonts w:cs="Times New Roman"/>
          <w:sz w:val="24"/>
          <w:szCs w:val="24"/>
        </w:rPr>
      </w:pPr>
      <w:r w:rsidRPr="00E845D3">
        <w:rPr>
          <w:rFonts w:cs="Times New Roman"/>
          <w:color w:val="1B1B1B"/>
          <w:sz w:val="24"/>
          <w:szCs w:val="24"/>
          <w:shd w:val="clear" w:color="auto" w:fill="FFFFFF"/>
        </w:rPr>
        <w:lastRenderedPageBreak/>
        <w:t xml:space="preserve">Khan H, Krull M, Hankins JS, Wang WC, Porter JS. Sickle cell disease and social determinants of health: A scoping review. </w:t>
      </w:r>
      <w:proofErr w:type="spellStart"/>
      <w:r w:rsidRPr="00E845D3">
        <w:rPr>
          <w:rFonts w:cs="Times New Roman"/>
          <w:color w:val="1B1B1B"/>
          <w:sz w:val="24"/>
          <w:szCs w:val="24"/>
          <w:shd w:val="clear" w:color="auto" w:fill="FFFFFF"/>
        </w:rPr>
        <w:t>Pediatr</w:t>
      </w:r>
      <w:proofErr w:type="spellEnd"/>
      <w:r w:rsidRPr="00E845D3">
        <w:rPr>
          <w:rFonts w:cs="Times New Roman"/>
          <w:color w:val="1B1B1B"/>
          <w:sz w:val="24"/>
          <w:szCs w:val="24"/>
          <w:shd w:val="clear" w:color="auto" w:fill="FFFFFF"/>
        </w:rPr>
        <w:t xml:space="preserve"> Blood Cancer. 2023 Feb;70(2):e30089. </w:t>
      </w:r>
      <w:proofErr w:type="spellStart"/>
      <w:r w:rsidRPr="00E845D3">
        <w:rPr>
          <w:rFonts w:cs="Times New Roman"/>
          <w:color w:val="1B1B1B"/>
          <w:sz w:val="24"/>
          <w:szCs w:val="24"/>
          <w:shd w:val="clear" w:color="auto" w:fill="FFFFFF"/>
        </w:rPr>
        <w:t>doi</w:t>
      </w:r>
      <w:proofErr w:type="spellEnd"/>
      <w:r w:rsidRPr="00E845D3">
        <w:rPr>
          <w:rFonts w:cs="Times New Roman"/>
          <w:color w:val="1B1B1B"/>
          <w:sz w:val="24"/>
          <w:szCs w:val="24"/>
          <w:shd w:val="clear" w:color="auto" w:fill="FFFFFF"/>
        </w:rPr>
        <w:t xml:space="preserve">: 10.1002/pbc.30089. </w:t>
      </w:r>
      <w:proofErr w:type="spellStart"/>
      <w:r w:rsidRPr="00E845D3">
        <w:rPr>
          <w:rFonts w:cs="Times New Roman"/>
          <w:color w:val="1B1B1B"/>
          <w:sz w:val="24"/>
          <w:szCs w:val="24"/>
          <w:shd w:val="clear" w:color="auto" w:fill="FFFFFF"/>
        </w:rPr>
        <w:t>Epub</w:t>
      </w:r>
      <w:proofErr w:type="spellEnd"/>
      <w:r w:rsidRPr="00E845D3">
        <w:rPr>
          <w:rFonts w:cs="Times New Roman"/>
          <w:color w:val="1B1B1B"/>
          <w:sz w:val="24"/>
          <w:szCs w:val="24"/>
          <w:shd w:val="clear" w:color="auto" w:fill="FFFFFF"/>
        </w:rPr>
        <w:t xml:space="preserve"> 2022 Dec 10</w:t>
      </w:r>
    </w:p>
    <w:p w14:paraId="6C2CB327" w14:textId="53FF522A" w:rsidR="00682B96" w:rsidRPr="00E845D3" w:rsidRDefault="000240BD" w:rsidP="00973B12">
      <w:pPr>
        <w:pStyle w:val="ListParagraph"/>
        <w:numPr>
          <w:ilvl w:val="0"/>
          <w:numId w:val="10"/>
        </w:numPr>
        <w:rPr>
          <w:rFonts w:cs="Times New Roman"/>
          <w:sz w:val="24"/>
          <w:szCs w:val="24"/>
        </w:rPr>
      </w:pPr>
      <w:proofErr w:type="spellStart"/>
      <w:r w:rsidRPr="00E845D3">
        <w:rPr>
          <w:rFonts w:cs="Times New Roman"/>
          <w:color w:val="1B1B1B"/>
          <w:sz w:val="24"/>
          <w:szCs w:val="24"/>
          <w:shd w:val="clear" w:color="auto" w:fill="FFFFFF"/>
        </w:rPr>
        <w:t>Kotila</w:t>
      </w:r>
      <w:proofErr w:type="spellEnd"/>
      <w:r w:rsidRPr="00E845D3">
        <w:rPr>
          <w:rFonts w:cs="Times New Roman"/>
          <w:color w:val="1B1B1B"/>
          <w:sz w:val="24"/>
          <w:szCs w:val="24"/>
          <w:shd w:val="clear" w:color="auto" w:fill="FFFFFF"/>
        </w:rPr>
        <w:t xml:space="preserve"> T, </w:t>
      </w:r>
      <w:proofErr w:type="spellStart"/>
      <w:r w:rsidRPr="00E845D3">
        <w:rPr>
          <w:rFonts w:cs="Times New Roman"/>
          <w:color w:val="1B1B1B"/>
          <w:sz w:val="24"/>
          <w:szCs w:val="24"/>
          <w:shd w:val="clear" w:color="auto" w:fill="FFFFFF"/>
        </w:rPr>
        <w:t>Aworanti</w:t>
      </w:r>
      <w:proofErr w:type="spellEnd"/>
      <w:r w:rsidRPr="00E845D3">
        <w:rPr>
          <w:rFonts w:cs="Times New Roman"/>
          <w:color w:val="1B1B1B"/>
          <w:sz w:val="24"/>
          <w:szCs w:val="24"/>
          <w:shd w:val="clear" w:color="auto" w:fill="FFFFFF"/>
        </w:rPr>
        <w:t xml:space="preserve"> O, </w:t>
      </w:r>
      <w:proofErr w:type="spellStart"/>
      <w:r w:rsidRPr="00E845D3">
        <w:rPr>
          <w:rFonts w:cs="Times New Roman"/>
          <w:color w:val="1B1B1B"/>
          <w:sz w:val="24"/>
          <w:szCs w:val="24"/>
          <w:shd w:val="clear" w:color="auto" w:fill="FFFFFF"/>
        </w:rPr>
        <w:t>Akunwata</w:t>
      </w:r>
      <w:proofErr w:type="spellEnd"/>
      <w:r w:rsidRPr="00E845D3">
        <w:rPr>
          <w:rFonts w:cs="Times New Roman"/>
          <w:color w:val="1B1B1B"/>
          <w:sz w:val="24"/>
          <w:szCs w:val="24"/>
          <w:shd w:val="clear" w:color="auto" w:fill="FFFFFF"/>
        </w:rPr>
        <w:t xml:space="preserve"> C, </w:t>
      </w:r>
      <w:proofErr w:type="spellStart"/>
      <w:r w:rsidRPr="00E845D3">
        <w:rPr>
          <w:rFonts w:cs="Times New Roman"/>
          <w:color w:val="1B1B1B"/>
          <w:sz w:val="24"/>
          <w:szCs w:val="24"/>
          <w:shd w:val="clear" w:color="auto" w:fill="FFFFFF"/>
        </w:rPr>
        <w:t>Ogundeji</w:t>
      </w:r>
      <w:proofErr w:type="spellEnd"/>
      <w:r w:rsidRPr="00E845D3">
        <w:rPr>
          <w:rFonts w:cs="Times New Roman"/>
          <w:color w:val="1B1B1B"/>
          <w:sz w:val="24"/>
          <w:szCs w:val="24"/>
          <w:shd w:val="clear" w:color="auto" w:fill="FFFFFF"/>
        </w:rPr>
        <w:t xml:space="preserve"> P, </w:t>
      </w:r>
      <w:proofErr w:type="spellStart"/>
      <w:r w:rsidRPr="00E845D3">
        <w:rPr>
          <w:rFonts w:cs="Times New Roman"/>
          <w:color w:val="1B1B1B"/>
          <w:sz w:val="24"/>
          <w:szCs w:val="24"/>
          <w:shd w:val="clear" w:color="auto" w:fill="FFFFFF"/>
        </w:rPr>
        <w:t>Oresanya</w:t>
      </w:r>
      <w:proofErr w:type="spellEnd"/>
      <w:r w:rsidRPr="00E845D3">
        <w:rPr>
          <w:rFonts w:cs="Times New Roman"/>
          <w:color w:val="1B1B1B"/>
          <w:sz w:val="24"/>
          <w:szCs w:val="24"/>
          <w:shd w:val="clear" w:color="auto" w:fill="FFFFFF"/>
        </w:rPr>
        <w:t xml:space="preserve"> S, Adewale A, Alabi R, Fasola F, Olaniyi J. </w:t>
      </w:r>
      <w:proofErr w:type="spellStart"/>
      <w:r w:rsidRPr="00E845D3">
        <w:rPr>
          <w:rFonts w:cs="Times New Roman"/>
          <w:color w:val="1B1B1B"/>
          <w:sz w:val="24"/>
          <w:szCs w:val="24"/>
          <w:shd w:val="clear" w:color="auto" w:fill="FFFFFF"/>
        </w:rPr>
        <w:t>Haemoglobin</w:t>
      </w:r>
      <w:proofErr w:type="spellEnd"/>
      <w:r w:rsidRPr="00E845D3">
        <w:rPr>
          <w:rFonts w:cs="Times New Roman"/>
          <w:color w:val="1B1B1B"/>
          <w:sz w:val="24"/>
          <w:szCs w:val="24"/>
          <w:shd w:val="clear" w:color="auto" w:fill="FFFFFF"/>
        </w:rPr>
        <w:t xml:space="preserve"> variants in </w:t>
      </w:r>
      <w:proofErr w:type="spellStart"/>
      <w:r w:rsidRPr="00E845D3">
        <w:rPr>
          <w:rFonts w:cs="Times New Roman"/>
          <w:color w:val="1B1B1B"/>
          <w:sz w:val="24"/>
          <w:szCs w:val="24"/>
          <w:shd w:val="clear" w:color="auto" w:fill="FFFFFF"/>
        </w:rPr>
        <w:t>nigeria</w:t>
      </w:r>
      <w:proofErr w:type="spellEnd"/>
      <w:r w:rsidRPr="00E845D3">
        <w:rPr>
          <w:rFonts w:cs="Times New Roman"/>
          <w:color w:val="1B1B1B"/>
          <w:sz w:val="24"/>
          <w:szCs w:val="24"/>
          <w:shd w:val="clear" w:color="auto" w:fill="FFFFFF"/>
        </w:rPr>
        <w:t>: real-world data from a point-of-care device. Ann Hematol. 2025 Oct;104(10)</w:t>
      </w:r>
    </w:p>
    <w:p w14:paraId="691FC847" w14:textId="6831E4F5" w:rsidR="001568E9" w:rsidRPr="00E845D3" w:rsidRDefault="00DF4720" w:rsidP="00973B12">
      <w:pPr>
        <w:pStyle w:val="ListParagraph"/>
        <w:numPr>
          <w:ilvl w:val="0"/>
          <w:numId w:val="10"/>
        </w:numPr>
        <w:rPr>
          <w:rFonts w:cs="Times New Roman"/>
          <w:sz w:val="24"/>
          <w:szCs w:val="24"/>
        </w:rPr>
      </w:pPr>
      <w:r w:rsidRPr="00E845D3">
        <w:rPr>
          <w:rFonts w:cs="Times New Roman"/>
          <w:color w:val="333333"/>
          <w:sz w:val="24"/>
          <w:szCs w:val="24"/>
          <w:shd w:val="clear" w:color="auto" w:fill="FFFFFF"/>
        </w:rPr>
        <w:t xml:space="preserve">Kingsley, Akaba, </w:t>
      </w:r>
      <w:proofErr w:type="spellStart"/>
      <w:r w:rsidRPr="00E845D3">
        <w:rPr>
          <w:rFonts w:cs="Times New Roman"/>
          <w:color w:val="333333"/>
          <w:sz w:val="24"/>
          <w:szCs w:val="24"/>
          <w:shd w:val="clear" w:color="auto" w:fill="FFFFFF"/>
        </w:rPr>
        <w:t>Ofem</w:t>
      </w:r>
      <w:proofErr w:type="spellEnd"/>
      <w:r w:rsidRPr="00E845D3">
        <w:rPr>
          <w:rFonts w:cs="Times New Roman"/>
          <w:color w:val="333333"/>
          <w:sz w:val="24"/>
          <w:szCs w:val="24"/>
          <w:shd w:val="clear" w:color="auto" w:fill="FFFFFF"/>
        </w:rPr>
        <w:t xml:space="preserve"> </w:t>
      </w:r>
      <w:proofErr w:type="spellStart"/>
      <w:r w:rsidRPr="00E845D3">
        <w:rPr>
          <w:rFonts w:cs="Times New Roman"/>
          <w:color w:val="333333"/>
          <w:sz w:val="24"/>
          <w:szCs w:val="24"/>
          <w:shd w:val="clear" w:color="auto" w:fill="FFFFFF"/>
        </w:rPr>
        <w:t>Enang</w:t>
      </w:r>
      <w:proofErr w:type="spellEnd"/>
      <w:r w:rsidRPr="00E845D3">
        <w:rPr>
          <w:rFonts w:cs="Times New Roman"/>
          <w:color w:val="333333"/>
          <w:sz w:val="24"/>
          <w:szCs w:val="24"/>
          <w:shd w:val="clear" w:color="auto" w:fill="FFFFFF"/>
        </w:rPr>
        <w:t xml:space="preserve">, </w:t>
      </w:r>
      <w:proofErr w:type="spellStart"/>
      <w:r w:rsidRPr="00E845D3">
        <w:rPr>
          <w:rFonts w:cs="Times New Roman"/>
          <w:color w:val="333333"/>
          <w:sz w:val="24"/>
          <w:szCs w:val="24"/>
          <w:shd w:val="clear" w:color="auto" w:fill="FFFFFF"/>
        </w:rPr>
        <w:t>Ofonime</w:t>
      </w:r>
      <w:proofErr w:type="spellEnd"/>
      <w:r w:rsidRPr="00E845D3">
        <w:rPr>
          <w:rFonts w:cs="Times New Roman"/>
          <w:color w:val="333333"/>
          <w:sz w:val="24"/>
          <w:szCs w:val="24"/>
          <w:shd w:val="clear" w:color="auto" w:fill="FFFFFF"/>
        </w:rPr>
        <w:t xml:space="preserve"> Essien, Annette </w:t>
      </w:r>
      <w:proofErr w:type="spellStart"/>
      <w:r w:rsidRPr="00E845D3">
        <w:rPr>
          <w:rFonts w:cs="Times New Roman"/>
          <w:color w:val="333333"/>
          <w:sz w:val="24"/>
          <w:szCs w:val="24"/>
          <w:shd w:val="clear" w:color="auto" w:fill="FFFFFF"/>
        </w:rPr>
        <w:t>Legogie</w:t>
      </w:r>
      <w:proofErr w:type="spellEnd"/>
      <w:r w:rsidRPr="00E845D3">
        <w:rPr>
          <w:rFonts w:cs="Times New Roman"/>
          <w:color w:val="333333"/>
          <w:sz w:val="24"/>
          <w:szCs w:val="24"/>
          <w:shd w:val="clear" w:color="auto" w:fill="FFFFFF"/>
        </w:rPr>
        <w:t xml:space="preserve">, </w:t>
      </w:r>
      <w:proofErr w:type="spellStart"/>
      <w:r w:rsidRPr="00E845D3">
        <w:rPr>
          <w:rFonts w:cs="Times New Roman"/>
          <w:color w:val="333333"/>
          <w:sz w:val="24"/>
          <w:szCs w:val="24"/>
          <w:shd w:val="clear" w:color="auto" w:fill="FFFFFF"/>
        </w:rPr>
        <w:t>Omini</w:t>
      </w:r>
      <w:proofErr w:type="spellEnd"/>
      <w:r w:rsidRPr="00E845D3">
        <w:rPr>
          <w:rFonts w:cs="Times New Roman"/>
          <w:color w:val="333333"/>
          <w:sz w:val="24"/>
          <w:szCs w:val="24"/>
          <w:shd w:val="clear" w:color="auto" w:fill="FFFFFF"/>
        </w:rPr>
        <w:t xml:space="preserve"> Cletus, and </w:t>
      </w:r>
      <w:proofErr w:type="spellStart"/>
      <w:r w:rsidRPr="00E845D3">
        <w:rPr>
          <w:rFonts w:cs="Times New Roman"/>
          <w:color w:val="333333"/>
          <w:sz w:val="24"/>
          <w:szCs w:val="24"/>
          <w:shd w:val="clear" w:color="auto" w:fill="FFFFFF"/>
        </w:rPr>
        <w:t>Olukayode</w:t>
      </w:r>
      <w:proofErr w:type="spellEnd"/>
      <w:r w:rsidRPr="00E845D3">
        <w:rPr>
          <w:rFonts w:cs="Times New Roman"/>
          <w:color w:val="333333"/>
          <w:sz w:val="24"/>
          <w:szCs w:val="24"/>
          <w:shd w:val="clear" w:color="auto" w:fill="FFFFFF"/>
        </w:rPr>
        <w:t xml:space="preserve"> </w:t>
      </w:r>
      <w:proofErr w:type="spellStart"/>
      <w:r w:rsidRPr="00E845D3">
        <w:rPr>
          <w:rFonts w:cs="Times New Roman"/>
          <w:color w:val="333333"/>
          <w:sz w:val="24"/>
          <w:szCs w:val="24"/>
          <w:shd w:val="clear" w:color="auto" w:fill="FFFFFF"/>
        </w:rPr>
        <w:t>Oshatuyi</w:t>
      </w:r>
      <w:proofErr w:type="spellEnd"/>
      <w:r w:rsidRPr="00E845D3">
        <w:rPr>
          <w:rFonts w:cs="Times New Roman"/>
          <w:color w:val="333333"/>
          <w:sz w:val="24"/>
          <w:szCs w:val="24"/>
          <w:shd w:val="clear" w:color="auto" w:fill="FFFFFF"/>
        </w:rPr>
        <w:t xml:space="preserve">. 2019. “Prevalence of Sickle Cell Disease and Other </w:t>
      </w:r>
      <w:proofErr w:type="spellStart"/>
      <w:r w:rsidRPr="00E845D3">
        <w:rPr>
          <w:rFonts w:cs="Times New Roman"/>
          <w:color w:val="333333"/>
          <w:sz w:val="24"/>
          <w:szCs w:val="24"/>
          <w:shd w:val="clear" w:color="auto" w:fill="FFFFFF"/>
        </w:rPr>
        <w:t>Haemoglobin</w:t>
      </w:r>
      <w:proofErr w:type="spellEnd"/>
      <w:r w:rsidRPr="00E845D3">
        <w:rPr>
          <w:rFonts w:cs="Times New Roman"/>
          <w:color w:val="333333"/>
          <w:sz w:val="24"/>
          <w:szCs w:val="24"/>
          <w:shd w:val="clear" w:color="auto" w:fill="FFFFFF"/>
        </w:rPr>
        <w:t xml:space="preserve"> Variants in Calabar, Cross River State, Nigeria”. Annual Research &amp; Review in Biology 33 (5):1-6. </w:t>
      </w:r>
    </w:p>
    <w:p w14:paraId="177715E5" w14:textId="572B953A" w:rsidR="00DF4720" w:rsidRPr="00E845D3" w:rsidRDefault="00DF4720" w:rsidP="00973B12">
      <w:pPr>
        <w:pStyle w:val="ListParagraph"/>
        <w:numPr>
          <w:ilvl w:val="0"/>
          <w:numId w:val="10"/>
        </w:numPr>
        <w:rPr>
          <w:rFonts w:cs="Times New Roman"/>
          <w:sz w:val="24"/>
          <w:szCs w:val="24"/>
        </w:rPr>
      </w:pPr>
      <w:r w:rsidRPr="00E845D3">
        <w:rPr>
          <w:rFonts w:cs="Times New Roman"/>
          <w:color w:val="1B1B1B"/>
          <w:sz w:val="24"/>
          <w:szCs w:val="24"/>
          <w:shd w:val="clear" w:color="auto" w:fill="FFFFFF"/>
        </w:rPr>
        <w:t>Culp-Hill R, Srinivasan AJ, Gehrke S, Kamyszek R, Ansari A, Shah N, Welsby I, D'Alessandro A. Effects of red blood cell (RBC) transfusion on sickle cell disease recipient plasma and RBC metabolism. Transfusion. 2018 Dec;58(12):2797-2806</w:t>
      </w:r>
    </w:p>
    <w:p w14:paraId="2186F61A" w14:textId="67BDAFD8" w:rsidR="00DF4720" w:rsidRPr="00E845D3" w:rsidRDefault="007D6D9C" w:rsidP="00973B12">
      <w:pPr>
        <w:pStyle w:val="ListParagraph"/>
        <w:numPr>
          <w:ilvl w:val="0"/>
          <w:numId w:val="10"/>
        </w:numPr>
        <w:rPr>
          <w:rFonts w:cs="Times New Roman"/>
          <w:sz w:val="24"/>
          <w:szCs w:val="24"/>
        </w:rPr>
      </w:pPr>
      <w:r w:rsidRPr="00E845D3">
        <w:rPr>
          <w:rFonts w:cs="Times New Roman"/>
          <w:color w:val="1B1B1B"/>
          <w:sz w:val="24"/>
          <w:szCs w:val="24"/>
          <w:shd w:val="clear" w:color="auto" w:fill="FFFFFF"/>
        </w:rPr>
        <w:t xml:space="preserve">Power-Hays A, Ware RE. Effective use of hydroxyurea for sickle cell anemia in low-resource countries. </w:t>
      </w:r>
      <w:proofErr w:type="spellStart"/>
      <w:r w:rsidRPr="00E845D3">
        <w:rPr>
          <w:rFonts w:cs="Times New Roman"/>
          <w:color w:val="1B1B1B"/>
          <w:sz w:val="24"/>
          <w:szCs w:val="24"/>
          <w:shd w:val="clear" w:color="auto" w:fill="FFFFFF"/>
        </w:rPr>
        <w:t>Curr</w:t>
      </w:r>
      <w:proofErr w:type="spellEnd"/>
      <w:r w:rsidRPr="00E845D3">
        <w:rPr>
          <w:rFonts w:cs="Times New Roman"/>
          <w:color w:val="1B1B1B"/>
          <w:sz w:val="24"/>
          <w:szCs w:val="24"/>
          <w:shd w:val="clear" w:color="auto" w:fill="FFFFFF"/>
        </w:rPr>
        <w:t xml:space="preserve"> </w:t>
      </w:r>
      <w:proofErr w:type="spellStart"/>
      <w:r w:rsidRPr="00E845D3">
        <w:rPr>
          <w:rFonts w:cs="Times New Roman"/>
          <w:color w:val="1B1B1B"/>
          <w:sz w:val="24"/>
          <w:szCs w:val="24"/>
          <w:shd w:val="clear" w:color="auto" w:fill="FFFFFF"/>
        </w:rPr>
        <w:t>Opin</w:t>
      </w:r>
      <w:proofErr w:type="spellEnd"/>
      <w:r w:rsidRPr="00E845D3">
        <w:rPr>
          <w:rFonts w:cs="Times New Roman"/>
          <w:color w:val="1B1B1B"/>
          <w:sz w:val="24"/>
          <w:szCs w:val="24"/>
          <w:shd w:val="clear" w:color="auto" w:fill="FFFFFF"/>
        </w:rPr>
        <w:t xml:space="preserve"> </w:t>
      </w:r>
      <w:proofErr w:type="spellStart"/>
      <w:r w:rsidRPr="00E845D3">
        <w:rPr>
          <w:rFonts w:cs="Times New Roman"/>
          <w:color w:val="1B1B1B"/>
          <w:sz w:val="24"/>
          <w:szCs w:val="24"/>
          <w:shd w:val="clear" w:color="auto" w:fill="FFFFFF"/>
        </w:rPr>
        <w:t>Hematol</w:t>
      </w:r>
      <w:proofErr w:type="spellEnd"/>
      <w:r w:rsidRPr="00E845D3">
        <w:rPr>
          <w:rFonts w:cs="Times New Roman"/>
          <w:color w:val="1B1B1B"/>
          <w:sz w:val="24"/>
          <w:szCs w:val="24"/>
          <w:shd w:val="clear" w:color="auto" w:fill="FFFFFF"/>
        </w:rPr>
        <w:t>. 2020 May;27(3):172-180.</w:t>
      </w:r>
    </w:p>
    <w:p w14:paraId="31F29B3C" w14:textId="4C214970" w:rsidR="007D6D9C" w:rsidRPr="00E845D3" w:rsidRDefault="007D6D9C" w:rsidP="00973B12">
      <w:pPr>
        <w:pStyle w:val="ListParagraph"/>
        <w:numPr>
          <w:ilvl w:val="0"/>
          <w:numId w:val="10"/>
        </w:numPr>
        <w:rPr>
          <w:rFonts w:cs="Times New Roman"/>
          <w:sz w:val="24"/>
          <w:szCs w:val="24"/>
        </w:rPr>
      </w:pPr>
      <w:r w:rsidRPr="00E845D3">
        <w:rPr>
          <w:rFonts w:cs="Times New Roman"/>
          <w:color w:val="212121"/>
          <w:sz w:val="24"/>
          <w:szCs w:val="24"/>
          <w:shd w:val="clear" w:color="auto" w:fill="FFFFFF"/>
        </w:rPr>
        <w:t xml:space="preserve">Power-Hays A, Ware RE. Effective use of hydroxyurea for sickle cell anemia in low-resource countries. </w:t>
      </w:r>
      <w:proofErr w:type="spellStart"/>
      <w:r w:rsidRPr="00E845D3">
        <w:rPr>
          <w:rFonts w:cs="Times New Roman"/>
          <w:color w:val="212121"/>
          <w:sz w:val="24"/>
          <w:szCs w:val="24"/>
          <w:shd w:val="clear" w:color="auto" w:fill="FFFFFF"/>
        </w:rPr>
        <w:t>Curr</w:t>
      </w:r>
      <w:proofErr w:type="spellEnd"/>
      <w:r w:rsidRPr="00E845D3">
        <w:rPr>
          <w:rFonts w:cs="Times New Roman"/>
          <w:color w:val="212121"/>
          <w:sz w:val="24"/>
          <w:szCs w:val="24"/>
          <w:shd w:val="clear" w:color="auto" w:fill="FFFFFF"/>
        </w:rPr>
        <w:t xml:space="preserve"> </w:t>
      </w:r>
      <w:proofErr w:type="spellStart"/>
      <w:r w:rsidRPr="00E845D3">
        <w:rPr>
          <w:rFonts w:cs="Times New Roman"/>
          <w:color w:val="212121"/>
          <w:sz w:val="24"/>
          <w:szCs w:val="24"/>
          <w:shd w:val="clear" w:color="auto" w:fill="FFFFFF"/>
        </w:rPr>
        <w:t>Opin</w:t>
      </w:r>
      <w:proofErr w:type="spellEnd"/>
      <w:r w:rsidRPr="00E845D3">
        <w:rPr>
          <w:rFonts w:cs="Times New Roman"/>
          <w:color w:val="212121"/>
          <w:sz w:val="24"/>
          <w:szCs w:val="24"/>
          <w:shd w:val="clear" w:color="auto" w:fill="FFFFFF"/>
        </w:rPr>
        <w:t xml:space="preserve"> </w:t>
      </w:r>
      <w:proofErr w:type="spellStart"/>
      <w:r w:rsidRPr="00E845D3">
        <w:rPr>
          <w:rFonts w:cs="Times New Roman"/>
          <w:color w:val="212121"/>
          <w:sz w:val="24"/>
          <w:szCs w:val="24"/>
          <w:shd w:val="clear" w:color="auto" w:fill="FFFFFF"/>
        </w:rPr>
        <w:t>Hematol</w:t>
      </w:r>
      <w:proofErr w:type="spellEnd"/>
      <w:r w:rsidRPr="00E845D3">
        <w:rPr>
          <w:rFonts w:cs="Times New Roman"/>
          <w:color w:val="212121"/>
          <w:sz w:val="24"/>
          <w:szCs w:val="24"/>
          <w:shd w:val="clear" w:color="auto" w:fill="FFFFFF"/>
        </w:rPr>
        <w:t xml:space="preserve">. 2020 May;27(3):172-180. </w:t>
      </w:r>
      <w:proofErr w:type="spellStart"/>
      <w:r w:rsidRPr="00E845D3">
        <w:rPr>
          <w:rFonts w:cs="Times New Roman"/>
          <w:color w:val="212121"/>
          <w:sz w:val="24"/>
          <w:szCs w:val="24"/>
          <w:shd w:val="clear" w:color="auto" w:fill="FFFFFF"/>
        </w:rPr>
        <w:t>doi</w:t>
      </w:r>
      <w:proofErr w:type="spellEnd"/>
      <w:r w:rsidRPr="00E845D3">
        <w:rPr>
          <w:rFonts w:cs="Times New Roman"/>
          <w:color w:val="212121"/>
          <w:sz w:val="24"/>
          <w:szCs w:val="24"/>
          <w:shd w:val="clear" w:color="auto" w:fill="FFFFFF"/>
        </w:rPr>
        <w:t>: 10.1097/MOH.0000000000000582. PMID: 32205588</w:t>
      </w:r>
    </w:p>
    <w:p w14:paraId="2BD2ADE3" w14:textId="551822C5" w:rsidR="007D6D9C" w:rsidRPr="00E845D3" w:rsidRDefault="003908C4" w:rsidP="00973B12">
      <w:pPr>
        <w:pStyle w:val="ListParagraph"/>
        <w:numPr>
          <w:ilvl w:val="0"/>
          <w:numId w:val="10"/>
        </w:numPr>
        <w:rPr>
          <w:rFonts w:cs="Times New Roman"/>
          <w:sz w:val="24"/>
          <w:szCs w:val="24"/>
        </w:rPr>
      </w:pPr>
      <w:r w:rsidRPr="00E845D3">
        <w:rPr>
          <w:rFonts w:cs="Times New Roman"/>
          <w:color w:val="1B1B1B"/>
          <w:sz w:val="24"/>
          <w:szCs w:val="24"/>
          <w:shd w:val="clear" w:color="auto" w:fill="FFFFFF"/>
        </w:rPr>
        <w:t xml:space="preserve">López Rubio M, </w:t>
      </w:r>
      <w:proofErr w:type="spellStart"/>
      <w:r w:rsidRPr="00E845D3">
        <w:rPr>
          <w:rFonts w:cs="Times New Roman"/>
          <w:color w:val="1B1B1B"/>
          <w:sz w:val="24"/>
          <w:szCs w:val="24"/>
          <w:shd w:val="clear" w:color="auto" w:fill="FFFFFF"/>
        </w:rPr>
        <w:t>Argüello</w:t>
      </w:r>
      <w:proofErr w:type="spellEnd"/>
      <w:r w:rsidRPr="00E845D3">
        <w:rPr>
          <w:rFonts w:cs="Times New Roman"/>
          <w:color w:val="1B1B1B"/>
          <w:sz w:val="24"/>
          <w:szCs w:val="24"/>
          <w:shd w:val="clear" w:color="auto" w:fill="FFFFFF"/>
        </w:rPr>
        <w:t xml:space="preserve"> Marina M. The Current Role of Hydroxyurea in the Treatment of Sickle Cell Anemia. J Clin Med. 2024 Oct 25;13(21):6404. </w:t>
      </w:r>
      <w:proofErr w:type="spellStart"/>
      <w:r w:rsidRPr="00E845D3">
        <w:rPr>
          <w:rFonts w:cs="Times New Roman"/>
          <w:color w:val="1B1B1B"/>
          <w:sz w:val="24"/>
          <w:szCs w:val="24"/>
          <w:shd w:val="clear" w:color="auto" w:fill="FFFFFF"/>
        </w:rPr>
        <w:t>doi</w:t>
      </w:r>
      <w:proofErr w:type="spellEnd"/>
      <w:r w:rsidRPr="00E845D3">
        <w:rPr>
          <w:rFonts w:cs="Times New Roman"/>
          <w:color w:val="1B1B1B"/>
          <w:sz w:val="24"/>
          <w:szCs w:val="24"/>
          <w:shd w:val="clear" w:color="auto" w:fill="FFFFFF"/>
        </w:rPr>
        <w:t>: 10.3390/jcm13216404. PMID: 39518543; PMCID: PMC11546997</w:t>
      </w:r>
    </w:p>
    <w:p w14:paraId="7D47C8DE" w14:textId="4019FBC3" w:rsidR="003908C4" w:rsidRPr="00E845D3" w:rsidRDefault="00C02EED" w:rsidP="00973B12">
      <w:pPr>
        <w:pStyle w:val="ListParagraph"/>
        <w:numPr>
          <w:ilvl w:val="0"/>
          <w:numId w:val="10"/>
        </w:numPr>
        <w:rPr>
          <w:rFonts w:cs="Times New Roman"/>
          <w:sz w:val="24"/>
          <w:szCs w:val="24"/>
        </w:rPr>
      </w:pPr>
      <w:proofErr w:type="spellStart"/>
      <w:r w:rsidRPr="00E845D3">
        <w:rPr>
          <w:rFonts w:cs="Times New Roman"/>
          <w:color w:val="1B1B1B"/>
          <w:sz w:val="24"/>
          <w:szCs w:val="24"/>
          <w:shd w:val="clear" w:color="auto" w:fill="FFFFFF"/>
        </w:rPr>
        <w:t>A</w:t>
      </w:r>
      <w:r w:rsidR="003028A4" w:rsidRPr="00E845D3">
        <w:rPr>
          <w:rFonts w:cs="Times New Roman"/>
          <w:color w:val="1B1B1B"/>
          <w:sz w:val="24"/>
          <w:szCs w:val="24"/>
          <w:shd w:val="clear" w:color="auto" w:fill="FFFFFF"/>
        </w:rPr>
        <w:t>ir</w:t>
      </w:r>
      <w:r w:rsidRPr="00E845D3">
        <w:rPr>
          <w:rFonts w:cs="Times New Roman"/>
          <w:color w:val="1B1B1B"/>
          <w:sz w:val="24"/>
          <w:szCs w:val="24"/>
          <w:shd w:val="clear" w:color="auto" w:fill="FFFFFF"/>
        </w:rPr>
        <w:t>uthia</w:t>
      </w:r>
      <w:proofErr w:type="spellEnd"/>
      <w:r w:rsidRPr="00E845D3">
        <w:rPr>
          <w:rFonts w:cs="Times New Roman"/>
          <w:color w:val="1B1B1B"/>
          <w:sz w:val="24"/>
          <w:szCs w:val="24"/>
          <w:shd w:val="clear" w:color="auto" w:fill="FFFFFF"/>
        </w:rPr>
        <w:t xml:space="preserve"> Y, </w:t>
      </w:r>
      <w:proofErr w:type="spellStart"/>
      <w:r w:rsidRPr="00E845D3">
        <w:rPr>
          <w:rFonts w:cs="Times New Roman"/>
          <w:color w:val="1B1B1B"/>
          <w:sz w:val="24"/>
          <w:szCs w:val="24"/>
          <w:shd w:val="clear" w:color="auto" w:fill="FFFFFF"/>
        </w:rPr>
        <w:t>Alanazi</w:t>
      </w:r>
      <w:proofErr w:type="spellEnd"/>
      <w:r w:rsidRPr="00E845D3">
        <w:rPr>
          <w:rFonts w:cs="Times New Roman"/>
          <w:color w:val="1B1B1B"/>
          <w:sz w:val="24"/>
          <w:szCs w:val="24"/>
          <w:shd w:val="clear" w:color="auto" w:fill="FFFFFF"/>
        </w:rPr>
        <w:t xml:space="preserve"> RB, Alotaibi SF, Alanazi M. Quality of Life and Out-of-Pocket Expenditures for Sickle Cell Disease Patients in Saudi Arabia: A Single-Center Study. Healthcare (Basel). 2024 Oct 29;12(21):2146</w:t>
      </w:r>
    </w:p>
    <w:p w14:paraId="1BD267C5" w14:textId="4B370A4C" w:rsidR="00C02EED" w:rsidRPr="00E845D3" w:rsidRDefault="003028A4" w:rsidP="00973B12">
      <w:pPr>
        <w:pStyle w:val="ListParagraph"/>
        <w:numPr>
          <w:ilvl w:val="0"/>
          <w:numId w:val="10"/>
        </w:numPr>
        <w:rPr>
          <w:rFonts w:cs="Times New Roman"/>
          <w:sz w:val="24"/>
          <w:szCs w:val="24"/>
        </w:rPr>
      </w:pPr>
      <w:r w:rsidRPr="00E845D3">
        <w:rPr>
          <w:rFonts w:cs="Times New Roman"/>
          <w:color w:val="2A2A2A"/>
          <w:sz w:val="24"/>
          <w:szCs w:val="24"/>
          <w:shd w:val="clear" w:color="auto" w:fill="FFFFFF"/>
        </w:rPr>
        <w:t>Adelakun Odunyemi, Md Tauhidul Islam, Khurshid Alam, The financial burden of noncommunicable diseases from out-of-pocket expenditure in sub-Saharan Africa: a scoping review, </w:t>
      </w:r>
      <w:r w:rsidRPr="00E845D3">
        <w:rPr>
          <w:rStyle w:val="Emphasis"/>
          <w:rFonts w:cs="Times New Roman"/>
          <w:i w:val="0"/>
          <w:iCs w:val="0"/>
          <w:color w:val="2A2A2A"/>
          <w:sz w:val="24"/>
          <w:szCs w:val="24"/>
          <w:bdr w:val="none" w:sz="0" w:space="0" w:color="auto" w:frame="1"/>
          <w:shd w:val="clear" w:color="auto" w:fill="FFFFFF"/>
        </w:rPr>
        <w:t>Health Promotion International</w:t>
      </w:r>
      <w:r w:rsidRPr="00E845D3">
        <w:rPr>
          <w:rFonts w:cs="Times New Roman"/>
          <w:color w:val="2A2A2A"/>
          <w:sz w:val="24"/>
          <w:szCs w:val="24"/>
          <w:shd w:val="clear" w:color="auto" w:fill="FFFFFF"/>
        </w:rPr>
        <w:t>, Volume 39, Issue 5, October 2024, daae114</w:t>
      </w:r>
    </w:p>
    <w:sectPr w:rsidR="00C02EED" w:rsidRPr="00E845D3" w:rsidSect="00034616">
      <w:headerReference w:type="even" r:id="rId12"/>
      <w:headerReference w:type="default" r:id="rId13"/>
      <w:footerReference w:type="even" r:id="rId14"/>
      <w:footerReference w:type="default" r:id="rId15"/>
      <w:headerReference w:type="first" r:id="rId16"/>
      <w:footerReference w:type="first" r:id="rId1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7960F" w14:textId="77777777" w:rsidR="00314227" w:rsidRDefault="00314227" w:rsidP="00865B22">
      <w:pPr>
        <w:spacing w:after="0" w:line="240" w:lineRule="auto"/>
      </w:pPr>
      <w:r>
        <w:separator/>
      </w:r>
    </w:p>
  </w:endnote>
  <w:endnote w:type="continuationSeparator" w:id="0">
    <w:p w14:paraId="4450B123" w14:textId="77777777" w:rsidR="00314227" w:rsidRDefault="00314227" w:rsidP="00865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9E2B6" w14:textId="77777777" w:rsidR="006A61CC" w:rsidRDefault="006A61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850574"/>
      <w:docPartObj>
        <w:docPartGallery w:val="Page Numbers (Bottom of Page)"/>
        <w:docPartUnique/>
      </w:docPartObj>
    </w:sdtPr>
    <w:sdtEndPr>
      <w:rPr>
        <w:noProof/>
      </w:rPr>
    </w:sdtEndPr>
    <w:sdtContent>
      <w:p w14:paraId="07F4FCE9" w14:textId="3791D04B" w:rsidR="00865B22" w:rsidRDefault="00865B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2B69A7" w14:textId="77777777" w:rsidR="00865B22" w:rsidRDefault="00865B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03F4F" w14:textId="77777777" w:rsidR="006A61CC" w:rsidRDefault="006A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E5F11" w14:textId="77777777" w:rsidR="00314227" w:rsidRDefault="00314227" w:rsidP="00865B22">
      <w:pPr>
        <w:spacing w:after="0" w:line="240" w:lineRule="auto"/>
      </w:pPr>
      <w:r>
        <w:separator/>
      </w:r>
    </w:p>
  </w:footnote>
  <w:footnote w:type="continuationSeparator" w:id="0">
    <w:p w14:paraId="7D767074" w14:textId="77777777" w:rsidR="00314227" w:rsidRDefault="00314227" w:rsidP="00865B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EF971" w14:textId="28C97707" w:rsidR="006A61CC" w:rsidRDefault="00837D25">
    <w:pPr>
      <w:pStyle w:val="Header"/>
    </w:pPr>
    <w:r>
      <w:rPr>
        <w:noProof/>
      </w:rPr>
      <w:pict w14:anchorId="61D7A4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585282" o:spid="_x0000_s2050" type="#_x0000_t136" style="position:absolute;margin-left:0;margin-top:0;width:630.3pt;height:70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41A1E" w14:textId="31EA93EC" w:rsidR="006A61CC" w:rsidRDefault="00837D25">
    <w:pPr>
      <w:pStyle w:val="Header"/>
    </w:pPr>
    <w:r>
      <w:rPr>
        <w:noProof/>
      </w:rPr>
      <w:pict w14:anchorId="08A80C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585283" o:spid="_x0000_s2051" type="#_x0000_t136" style="position:absolute;margin-left:0;margin-top:0;width:630.3pt;height:70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ABB4C" w14:textId="25DF547C" w:rsidR="006A61CC" w:rsidRDefault="00837D25">
    <w:pPr>
      <w:pStyle w:val="Header"/>
    </w:pPr>
    <w:r>
      <w:rPr>
        <w:noProof/>
      </w:rPr>
      <w:pict w14:anchorId="783F0C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585281" o:spid="_x0000_s2049" type="#_x0000_t136" style="position:absolute;margin-left:0;margin-top:0;width:630.3pt;height:70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95D35D1"/>
    <w:multiLevelType w:val="hybridMultilevel"/>
    <w:tmpl w:val="E8F81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Q3M7A0szAwNbIwMDZS0lEKTi0uzszPAykwrAUAga23UywAAAA="/>
  </w:docVars>
  <w:rsids>
    <w:rsidRoot w:val="00B47730"/>
    <w:rsid w:val="000005D2"/>
    <w:rsid w:val="000018C7"/>
    <w:rsid w:val="00006A37"/>
    <w:rsid w:val="000240BD"/>
    <w:rsid w:val="00031447"/>
    <w:rsid w:val="00034616"/>
    <w:rsid w:val="00041B2B"/>
    <w:rsid w:val="0006063C"/>
    <w:rsid w:val="00067A1E"/>
    <w:rsid w:val="000828A2"/>
    <w:rsid w:val="000E761F"/>
    <w:rsid w:val="000F7C65"/>
    <w:rsid w:val="001233F4"/>
    <w:rsid w:val="00131607"/>
    <w:rsid w:val="0015074B"/>
    <w:rsid w:val="001568E9"/>
    <w:rsid w:val="001D5F35"/>
    <w:rsid w:val="001E1B1C"/>
    <w:rsid w:val="0023523A"/>
    <w:rsid w:val="00240F22"/>
    <w:rsid w:val="0024743D"/>
    <w:rsid w:val="00251E45"/>
    <w:rsid w:val="002707B4"/>
    <w:rsid w:val="0027762E"/>
    <w:rsid w:val="0029639D"/>
    <w:rsid w:val="002A073D"/>
    <w:rsid w:val="002A6DBC"/>
    <w:rsid w:val="003028A4"/>
    <w:rsid w:val="00305C7D"/>
    <w:rsid w:val="00314227"/>
    <w:rsid w:val="00326F90"/>
    <w:rsid w:val="00347048"/>
    <w:rsid w:val="00350E76"/>
    <w:rsid w:val="003624EE"/>
    <w:rsid w:val="003628E3"/>
    <w:rsid w:val="003908C4"/>
    <w:rsid w:val="00391F43"/>
    <w:rsid w:val="0039542F"/>
    <w:rsid w:val="00440037"/>
    <w:rsid w:val="0045182D"/>
    <w:rsid w:val="00473C39"/>
    <w:rsid w:val="004D2308"/>
    <w:rsid w:val="004E67B2"/>
    <w:rsid w:val="005261E6"/>
    <w:rsid w:val="00532FCE"/>
    <w:rsid w:val="005359C0"/>
    <w:rsid w:val="005A2FB8"/>
    <w:rsid w:val="00632444"/>
    <w:rsid w:val="006355B9"/>
    <w:rsid w:val="006564EA"/>
    <w:rsid w:val="00682B96"/>
    <w:rsid w:val="0069594C"/>
    <w:rsid w:val="006A61CC"/>
    <w:rsid w:val="006B3EF7"/>
    <w:rsid w:val="006B734A"/>
    <w:rsid w:val="006D0E01"/>
    <w:rsid w:val="006F2012"/>
    <w:rsid w:val="006F3BBE"/>
    <w:rsid w:val="006F5423"/>
    <w:rsid w:val="00705A59"/>
    <w:rsid w:val="00757FFD"/>
    <w:rsid w:val="00776404"/>
    <w:rsid w:val="007B2C2F"/>
    <w:rsid w:val="007B707F"/>
    <w:rsid w:val="007C2A99"/>
    <w:rsid w:val="007D6D9C"/>
    <w:rsid w:val="007E35BE"/>
    <w:rsid w:val="007F20B7"/>
    <w:rsid w:val="007F5543"/>
    <w:rsid w:val="0082757B"/>
    <w:rsid w:val="00837D25"/>
    <w:rsid w:val="008427DF"/>
    <w:rsid w:val="00847878"/>
    <w:rsid w:val="00862AEE"/>
    <w:rsid w:val="00865B22"/>
    <w:rsid w:val="00871CD5"/>
    <w:rsid w:val="0087275B"/>
    <w:rsid w:val="00884307"/>
    <w:rsid w:val="008943C0"/>
    <w:rsid w:val="00917278"/>
    <w:rsid w:val="00931365"/>
    <w:rsid w:val="00965601"/>
    <w:rsid w:val="00973B12"/>
    <w:rsid w:val="00992839"/>
    <w:rsid w:val="009B1737"/>
    <w:rsid w:val="009B54BF"/>
    <w:rsid w:val="009E115F"/>
    <w:rsid w:val="009F635E"/>
    <w:rsid w:val="009F676C"/>
    <w:rsid w:val="00A03F39"/>
    <w:rsid w:val="00A2408B"/>
    <w:rsid w:val="00A31499"/>
    <w:rsid w:val="00A57203"/>
    <w:rsid w:val="00A57D16"/>
    <w:rsid w:val="00A6304C"/>
    <w:rsid w:val="00A66BEE"/>
    <w:rsid w:val="00AA1D8D"/>
    <w:rsid w:val="00AC1EC6"/>
    <w:rsid w:val="00B13E60"/>
    <w:rsid w:val="00B47730"/>
    <w:rsid w:val="00BD1A1F"/>
    <w:rsid w:val="00BE2E0A"/>
    <w:rsid w:val="00C02EED"/>
    <w:rsid w:val="00C13C9F"/>
    <w:rsid w:val="00C21DC8"/>
    <w:rsid w:val="00C30641"/>
    <w:rsid w:val="00C34E52"/>
    <w:rsid w:val="00C53E85"/>
    <w:rsid w:val="00C6254A"/>
    <w:rsid w:val="00C633DC"/>
    <w:rsid w:val="00C72AD3"/>
    <w:rsid w:val="00C770AC"/>
    <w:rsid w:val="00CA7CD7"/>
    <w:rsid w:val="00CB0664"/>
    <w:rsid w:val="00CC0921"/>
    <w:rsid w:val="00CE2A2E"/>
    <w:rsid w:val="00CF2E3C"/>
    <w:rsid w:val="00D03E3C"/>
    <w:rsid w:val="00D22525"/>
    <w:rsid w:val="00D242EC"/>
    <w:rsid w:val="00D65248"/>
    <w:rsid w:val="00D7436A"/>
    <w:rsid w:val="00DA331C"/>
    <w:rsid w:val="00DA4B47"/>
    <w:rsid w:val="00DF4720"/>
    <w:rsid w:val="00DF5ECE"/>
    <w:rsid w:val="00E07513"/>
    <w:rsid w:val="00E1181B"/>
    <w:rsid w:val="00E22C02"/>
    <w:rsid w:val="00E577A7"/>
    <w:rsid w:val="00E6522D"/>
    <w:rsid w:val="00E71C7E"/>
    <w:rsid w:val="00E845D3"/>
    <w:rsid w:val="00EC6B87"/>
    <w:rsid w:val="00EE46F8"/>
    <w:rsid w:val="00F001E5"/>
    <w:rsid w:val="00F07C3B"/>
    <w:rsid w:val="00F23460"/>
    <w:rsid w:val="00F27FE2"/>
    <w:rsid w:val="00F346B0"/>
    <w:rsid w:val="00F40523"/>
    <w:rsid w:val="00F4723D"/>
    <w:rsid w:val="00F55DD5"/>
    <w:rsid w:val="00F90B19"/>
    <w:rsid w:val="00FA3514"/>
    <w:rsid w:val="00FB22BF"/>
    <w:rsid w:val="00FC693F"/>
    <w:rsid w:val="00FF10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C26CD1D"/>
  <w14:defaultImageDpi w14:val="300"/>
  <w15:docId w15:val="{DDCAA349-4542-41BC-BD63-2DDBBF777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dTable1Light-Accent5">
    <w:name w:val="Grid Table 1 Light Accent 5"/>
    <w:basedOn w:val="TableNormal"/>
    <w:uiPriority w:val="46"/>
    <w:rsid w:val="00965601"/>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1568E9"/>
    <w:rPr>
      <w:color w:val="0000FF"/>
      <w:u w:val="single"/>
    </w:rPr>
  </w:style>
  <w:style w:type="character" w:styleId="UnresolvedMention">
    <w:name w:val="Unresolved Mention"/>
    <w:basedOn w:val="DefaultParagraphFont"/>
    <w:uiPriority w:val="99"/>
    <w:semiHidden/>
    <w:unhideWhenUsed/>
    <w:rsid w:val="00DF4720"/>
    <w:rPr>
      <w:color w:val="605E5C"/>
      <w:shd w:val="clear" w:color="auto" w:fill="E1DFDD"/>
    </w:rPr>
  </w:style>
  <w:style w:type="table" w:customStyle="1" w:styleId="TableGrid1">
    <w:name w:val="Table Grid1"/>
    <w:basedOn w:val="TableNormal"/>
    <w:next w:val="TableGrid"/>
    <w:uiPriority w:val="39"/>
    <w:rsid w:val="00E845D3"/>
    <w:pPr>
      <w:spacing w:after="0" w:line="240"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9C529-592C-4F5A-B06A-A664F64A9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4622</Words>
  <Characters>26349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30910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PC New 16</cp:lastModifiedBy>
  <cp:revision>4</cp:revision>
  <dcterms:created xsi:type="dcterms:W3CDTF">2026-04-16T21:27:00Z</dcterms:created>
  <dcterms:modified xsi:type="dcterms:W3CDTF">2026-04-27T10:58:00Z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91bd2421-d157-4ac6-87c3-2089df69dddb</vt:lpwstr>
  </property>
</Properties>
</file>