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171F" w14:textId="4786BBEB" w:rsidR="00893E48" w:rsidRDefault="003D0795" w:rsidP="007B4489">
      <w:pPr>
        <w:spacing w:after="0" w:line="360" w:lineRule="auto"/>
        <w:jc w:val="both"/>
        <w:rPr>
          <w:rFonts w:ascii="Times New Roman" w:hAnsi="Times New Roman" w:cs="Times New Roman"/>
          <w:b/>
          <w:sz w:val="28"/>
        </w:rPr>
      </w:pPr>
      <w:r w:rsidRPr="003D0795">
        <w:rPr>
          <w:rFonts w:ascii="Times New Roman" w:hAnsi="Times New Roman" w:cs="Times New Roman"/>
          <w:b/>
          <w:sz w:val="28"/>
        </w:rPr>
        <w:t>Effect of Organic Acid Supplementation throug</w:t>
      </w:r>
      <w:r>
        <w:rPr>
          <w:rFonts w:ascii="Times New Roman" w:hAnsi="Times New Roman" w:cs="Times New Roman"/>
          <w:b/>
          <w:sz w:val="28"/>
        </w:rPr>
        <w:t>h Drinking Water on Performance</w:t>
      </w:r>
      <w:r w:rsidR="007B4489" w:rsidRPr="007B4489">
        <w:rPr>
          <w:rFonts w:ascii="Times New Roman" w:hAnsi="Times New Roman" w:cs="Times New Roman"/>
          <w:b/>
          <w:sz w:val="28"/>
        </w:rPr>
        <w:t xml:space="preserve"> of Broiler Chickens</w:t>
      </w:r>
    </w:p>
    <w:p w14:paraId="20B22F50" w14:textId="77777777" w:rsidR="00B51055" w:rsidRDefault="00B51055" w:rsidP="00B51055">
      <w:pPr>
        <w:spacing w:after="0" w:line="360" w:lineRule="auto"/>
        <w:jc w:val="center"/>
        <w:rPr>
          <w:rFonts w:ascii="Times New Roman" w:hAnsi="Times New Roman" w:cs="Times New Roman"/>
          <w:b/>
          <w:sz w:val="28"/>
        </w:rPr>
      </w:pPr>
    </w:p>
    <w:p w14:paraId="3D8EC2B9" w14:textId="77777777" w:rsidR="007B4489" w:rsidRDefault="007B4489" w:rsidP="007B4489">
      <w:pPr>
        <w:spacing w:after="0" w:line="360" w:lineRule="auto"/>
        <w:jc w:val="both"/>
        <w:rPr>
          <w:rFonts w:ascii="Times New Roman" w:hAnsi="Times New Roman" w:cs="Times New Roman"/>
          <w:b/>
          <w:sz w:val="28"/>
        </w:rPr>
      </w:pPr>
      <w:r>
        <w:rPr>
          <w:rFonts w:ascii="Times New Roman" w:hAnsi="Times New Roman" w:cs="Times New Roman"/>
          <w:b/>
          <w:sz w:val="28"/>
        </w:rPr>
        <w:t>Abstract</w:t>
      </w:r>
    </w:p>
    <w:p w14:paraId="28D11178" w14:textId="77777777"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The primary objective of the present study was to evaluate the effect of organic acid supplementation through drinking water on the growth performance of broiler chickens. A total of 120 day-old commercial broiler chicks were randomly assigned to four treatment groups, each consisting of three replicates of ten birds, and reared for a period of 28 days. The treatments included T1 (control, tap water), T2 (tap water supplemented with 0.2% citric acid), T3 (tap water supplemented with 0.2% acetic acid), and T4 (tap water supplemented with a combination of 0.1% citric acid and 0.1% acetic acid). Growth performance parameters such as body weight, body weight gain, average daily gain, feed intake, feed conversion ratio (FCR), and performance index were recorded and analyzed.</w:t>
      </w:r>
    </w:p>
    <w:p w14:paraId="7797EF66" w14:textId="77777777" w:rsidR="002D5CFB" w:rsidRPr="002D5CFB" w:rsidRDefault="002D5CFB" w:rsidP="002D5CFB">
      <w:pPr>
        <w:spacing w:after="0" w:line="360" w:lineRule="auto"/>
        <w:jc w:val="both"/>
        <w:rPr>
          <w:rFonts w:ascii="Times New Roman" w:hAnsi="Times New Roman" w:cs="Times New Roman"/>
          <w:sz w:val="24"/>
        </w:rPr>
      </w:pPr>
      <w:r w:rsidRPr="002D5CFB">
        <w:rPr>
          <w:rFonts w:ascii="Times New Roman" w:hAnsi="Times New Roman" w:cs="Times New Roman"/>
          <w:sz w:val="24"/>
        </w:rPr>
        <w:t xml:space="preserve">Organic acid supplementation significantly improved (P &lt; 0.05) growth performance of broiler chickens compared to the control group. The highest final body weight was recorded in the citric acid group (T2; </w:t>
      </w:r>
      <w:r w:rsidRPr="002D5CFB">
        <w:rPr>
          <w:rFonts w:ascii="Times New Roman" w:hAnsi="Times New Roman" w:cs="Times New Roman"/>
          <w:b/>
          <w:bCs/>
          <w:sz w:val="24"/>
        </w:rPr>
        <w:t>1428.48 g</w:t>
      </w:r>
      <w:r w:rsidRPr="002D5CFB">
        <w:rPr>
          <w:rFonts w:ascii="Times New Roman" w:hAnsi="Times New Roman" w:cs="Times New Roman"/>
          <w:sz w:val="24"/>
        </w:rPr>
        <w:t xml:space="preserve">), followed by the combination group (T4; </w:t>
      </w:r>
      <w:r w:rsidRPr="002D5CFB">
        <w:rPr>
          <w:rFonts w:ascii="Times New Roman" w:hAnsi="Times New Roman" w:cs="Times New Roman"/>
          <w:b/>
          <w:bCs/>
          <w:sz w:val="24"/>
        </w:rPr>
        <w:t>1374.24 g</w:t>
      </w:r>
      <w:r w:rsidRPr="002D5CFB">
        <w:rPr>
          <w:rFonts w:ascii="Times New Roman" w:hAnsi="Times New Roman" w:cs="Times New Roman"/>
          <w:sz w:val="24"/>
        </w:rPr>
        <w:t xml:space="preserve">) and acetic acid group (T3; </w:t>
      </w:r>
      <w:r w:rsidRPr="002D5CFB">
        <w:rPr>
          <w:rFonts w:ascii="Times New Roman" w:hAnsi="Times New Roman" w:cs="Times New Roman"/>
          <w:b/>
          <w:bCs/>
          <w:sz w:val="24"/>
        </w:rPr>
        <w:t>1343.17 g</w:t>
      </w:r>
      <w:r w:rsidRPr="002D5CFB">
        <w:rPr>
          <w:rFonts w:ascii="Times New Roman" w:hAnsi="Times New Roman" w:cs="Times New Roman"/>
          <w:sz w:val="24"/>
        </w:rPr>
        <w:t xml:space="preserve">), while the lowest was observed in the control (T1; </w:t>
      </w:r>
      <w:r w:rsidRPr="002D5CFB">
        <w:rPr>
          <w:rFonts w:ascii="Times New Roman" w:hAnsi="Times New Roman" w:cs="Times New Roman"/>
          <w:b/>
          <w:bCs/>
          <w:sz w:val="24"/>
        </w:rPr>
        <w:t>1258.61 g</w:t>
      </w:r>
      <w:r w:rsidRPr="002D5CFB">
        <w:rPr>
          <w:rFonts w:ascii="Times New Roman" w:hAnsi="Times New Roman" w:cs="Times New Roman"/>
          <w:sz w:val="24"/>
        </w:rPr>
        <w:t>).</w:t>
      </w:r>
      <w:r>
        <w:rPr>
          <w:rFonts w:ascii="Times New Roman" w:hAnsi="Times New Roman" w:cs="Times New Roman"/>
          <w:sz w:val="24"/>
        </w:rPr>
        <w:t xml:space="preserve"> </w:t>
      </w:r>
      <w:r w:rsidRPr="002D5CFB">
        <w:rPr>
          <w:rFonts w:ascii="Times New Roman" w:hAnsi="Times New Roman" w:cs="Times New Roman"/>
          <w:sz w:val="24"/>
        </w:rPr>
        <w:t>Similarly, body weight gain was significantly higher (P &lt; 0.05) in organic acid-treated groups, with T2 (</w:t>
      </w:r>
      <w:r w:rsidRPr="002D5CFB">
        <w:rPr>
          <w:rFonts w:ascii="Times New Roman" w:hAnsi="Times New Roman" w:cs="Times New Roman"/>
          <w:b/>
          <w:bCs/>
          <w:sz w:val="24"/>
        </w:rPr>
        <w:t>1387.21 g</w:t>
      </w:r>
      <w:r w:rsidRPr="002D5CFB">
        <w:rPr>
          <w:rFonts w:ascii="Times New Roman" w:hAnsi="Times New Roman" w:cs="Times New Roman"/>
          <w:sz w:val="24"/>
        </w:rPr>
        <w:t>) showing superior performance compared to T1 (</w:t>
      </w:r>
      <w:r w:rsidRPr="002D5CFB">
        <w:rPr>
          <w:rFonts w:ascii="Times New Roman" w:hAnsi="Times New Roman" w:cs="Times New Roman"/>
          <w:b/>
          <w:bCs/>
          <w:sz w:val="24"/>
        </w:rPr>
        <w:t>1217.63 g</w:t>
      </w:r>
      <w:r w:rsidRPr="002D5CFB">
        <w:rPr>
          <w:rFonts w:ascii="Times New Roman" w:hAnsi="Times New Roman" w:cs="Times New Roman"/>
          <w:sz w:val="24"/>
        </w:rPr>
        <w:t>). Feed conversion ratio was significantly improved (P &lt; 0.05), with the lowest value observed in T2 (</w:t>
      </w:r>
      <w:r w:rsidRPr="002D5CFB">
        <w:rPr>
          <w:rFonts w:ascii="Times New Roman" w:hAnsi="Times New Roman" w:cs="Times New Roman"/>
          <w:b/>
          <w:bCs/>
          <w:sz w:val="24"/>
        </w:rPr>
        <w:t>1.66</w:t>
      </w:r>
      <w:r w:rsidRPr="002D5CFB">
        <w:rPr>
          <w:rFonts w:ascii="Times New Roman" w:hAnsi="Times New Roman" w:cs="Times New Roman"/>
          <w:sz w:val="24"/>
        </w:rPr>
        <w:t>) compared to the highest in control (</w:t>
      </w:r>
      <w:r w:rsidRPr="002D5CFB">
        <w:rPr>
          <w:rFonts w:ascii="Times New Roman" w:hAnsi="Times New Roman" w:cs="Times New Roman"/>
          <w:b/>
          <w:bCs/>
          <w:sz w:val="24"/>
        </w:rPr>
        <w:t>1.93</w:t>
      </w:r>
      <w:r w:rsidRPr="002D5CFB">
        <w:rPr>
          <w:rFonts w:ascii="Times New Roman" w:hAnsi="Times New Roman" w:cs="Times New Roman"/>
          <w:sz w:val="24"/>
        </w:rPr>
        <w:t>).</w:t>
      </w:r>
      <w:r>
        <w:rPr>
          <w:rFonts w:ascii="Times New Roman" w:hAnsi="Times New Roman" w:cs="Times New Roman"/>
          <w:sz w:val="24"/>
        </w:rPr>
        <w:t xml:space="preserve"> </w:t>
      </w:r>
      <w:r w:rsidRPr="002D5CFB">
        <w:rPr>
          <w:rFonts w:ascii="Times New Roman" w:hAnsi="Times New Roman" w:cs="Times New Roman"/>
          <w:sz w:val="24"/>
        </w:rPr>
        <w:t>Although performance index was numerically higher in T2 (</w:t>
      </w:r>
      <w:r w:rsidRPr="002D5CFB">
        <w:rPr>
          <w:rFonts w:ascii="Times New Roman" w:hAnsi="Times New Roman" w:cs="Times New Roman"/>
          <w:b/>
          <w:bCs/>
          <w:sz w:val="24"/>
        </w:rPr>
        <w:t>209.57</w:t>
      </w:r>
      <w:r w:rsidRPr="002D5CFB">
        <w:rPr>
          <w:rFonts w:ascii="Times New Roman" w:hAnsi="Times New Roman" w:cs="Times New Roman"/>
          <w:sz w:val="24"/>
        </w:rPr>
        <w:t>), differences among organic acid treatments were statistically comparable in some cases.</w:t>
      </w:r>
    </w:p>
    <w:p w14:paraId="1AC80ED9" w14:textId="77777777" w:rsidR="002B51D6" w:rsidRPr="002B51D6" w:rsidRDefault="002B51D6" w:rsidP="002B51D6">
      <w:pPr>
        <w:spacing w:after="0" w:line="360" w:lineRule="auto"/>
        <w:jc w:val="both"/>
        <w:rPr>
          <w:rFonts w:ascii="Times New Roman" w:hAnsi="Times New Roman" w:cs="Times New Roman"/>
          <w:sz w:val="24"/>
        </w:rPr>
      </w:pPr>
      <w:r w:rsidRPr="002B51D6">
        <w:rPr>
          <w:rFonts w:ascii="Times New Roman" w:hAnsi="Times New Roman" w:cs="Times New Roman"/>
          <w:sz w:val="24"/>
        </w:rPr>
        <w:t>The findings indicate that supplementation of organic acids through drinking water positively influences growth performance and feed efficiency in broiler chickens, with citric acid showing the most pronounced beneficial effects.</w:t>
      </w:r>
    </w:p>
    <w:p w14:paraId="07EE58CD" w14:textId="77777777" w:rsidR="006E56BF" w:rsidRDefault="007B4489" w:rsidP="007B4489">
      <w:pPr>
        <w:spacing w:after="0" w:line="360" w:lineRule="auto"/>
        <w:jc w:val="both"/>
        <w:rPr>
          <w:rFonts w:ascii="Times New Roman" w:hAnsi="Times New Roman" w:cs="Times New Roman"/>
          <w:b/>
          <w:sz w:val="28"/>
        </w:rPr>
      </w:pPr>
      <w:r>
        <w:rPr>
          <w:rFonts w:ascii="Times New Roman" w:hAnsi="Times New Roman" w:cs="Times New Roman"/>
          <w:sz w:val="24"/>
        </w:rPr>
        <w:t xml:space="preserve">Keywords:-  </w:t>
      </w:r>
      <w:r w:rsidR="003E4A69" w:rsidRPr="003E4A69">
        <w:rPr>
          <w:rFonts w:ascii="Times New Roman" w:hAnsi="Times New Roman" w:cs="Times New Roman"/>
          <w:sz w:val="24"/>
        </w:rPr>
        <w:t>Organic acid supplementation</w:t>
      </w:r>
      <w:r w:rsidRPr="007B4489">
        <w:rPr>
          <w:rFonts w:ascii="Times New Roman" w:hAnsi="Times New Roman" w:cs="Times New Roman"/>
          <w:sz w:val="24"/>
        </w:rPr>
        <w:t xml:space="preserve">, </w:t>
      </w:r>
      <w:r w:rsidR="003E4A69" w:rsidRPr="003E4A69">
        <w:rPr>
          <w:rFonts w:ascii="Times New Roman" w:hAnsi="Times New Roman" w:cs="Times New Roman"/>
          <w:sz w:val="24"/>
        </w:rPr>
        <w:t>Antibiotic alternative</w:t>
      </w:r>
      <w:r w:rsidR="003E4A69">
        <w:rPr>
          <w:rFonts w:ascii="Times New Roman" w:hAnsi="Times New Roman" w:cs="Times New Roman"/>
          <w:sz w:val="24"/>
        </w:rPr>
        <w:t xml:space="preserve">, </w:t>
      </w:r>
      <w:r w:rsidR="003E4A69" w:rsidRPr="003E4A69">
        <w:rPr>
          <w:rFonts w:ascii="Times New Roman" w:hAnsi="Times New Roman" w:cs="Times New Roman"/>
          <w:sz w:val="24"/>
        </w:rPr>
        <w:t>Growth performance</w:t>
      </w:r>
      <w:r w:rsidR="003E4A69">
        <w:rPr>
          <w:rFonts w:ascii="Times New Roman" w:hAnsi="Times New Roman" w:cs="Times New Roman"/>
          <w:sz w:val="24"/>
        </w:rPr>
        <w:t xml:space="preserve">, </w:t>
      </w:r>
      <w:r w:rsidR="003E4A69" w:rsidRPr="003E4A69">
        <w:rPr>
          <w:rFonts w:ascii="Times New Roman" w:hAnsi="Times New Roman" w:cs="Times New Roman"/>
          <w:sz w:val="24"/>
        </w:rPr>
        <w:t>Citric acid</w:t>
      </w:r>
      <w:r w:rsidR="003E4A69">
        <w:rPr>
          <w:rFonts w:ascii="Times New Roman" w:hAnsi="Times New Roman" w:cs="Times New Roman"/>
          <w:sz w:val="24"/>
        </w:rPr>
        <w:t xml:space="preserve">, </w:t>
      </w:r>
      <w:r w:rsidR="003E4A69" w:rsidRPr="003E4A69">
        <w:rPr>
          <w:rFonts w:ascii="Times New Roman" w:hAnsi="Times New Roman" w:cs="Times New Roman"/>
          <w:sz w:val="24"/>
        </w:rPr>
        <w:t>Drinking water acidification</w:t>
      </w:r>
    </w:p>
    <w:p w14:paraId="5DD16C44" w14:textId="77777777" w:rsidR="007B4489" w:rsidRPr="007B4489" w:rsidRDefault="007B4489" w:rsidP="007B4489">
      <w:pPr>
        <w:spacing w:after="0" w:line="360" w:lineRule="auto"/>
        <w:jc w:val="both"/>
        <w:rPr>
          <w:rFonts w:ascii="Times New Roman" w:hAnsi="Times New Roman" w:cs="Times New Roman"/>
          <w:b/>
          <w:sz w:val="28"/>
        </w:rPr>
      </w:pPr>
      <w:r w:rsidRPr="007B4489">
        <w:rPr>
          <w:rFonts w:ascii="Times New Roman" w:hAnsi="Times New Roman" w:cs="Times New Roman"/>
          <w:b/>
          <w:sz w:val="28"/>
        </w:rPr>
        <w:t>Introduction</w:t>
      </w:r>
    </w:p>
    <w:p w14:paraId="46334498" w14:textId="77777777"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 xml:space="preserve">The poultry industry is one of the fastest-growing sectors of the livestock economy and plays a vital role in supplying high-quality animal protein in the form of meat and eggs. Over the </w:t>
      </w:r>
      <w:r w:rsidRPr="002B51D6">
        <w:rPr>
          <w:rFonts w:ascii="Times New Roman" w:hAnsi="Times New Roman" w:cs="Times New Roman"/>
          <w:sz w:val="24"/>
        </w:rPr>
        <w:lastRenderedPageBreak/>
        <w:t xml:space="preserve">past few decades, poultry farming in India has undergone significant transformation, evolving from a traditional backyard activity to a highly organized commercial enterprise supported by advancements in breeding, feeding, management, and disease control. According to recent livestock statistics, the total poultry population in India is estimated at </w:t>
      </w:r>
      <w:r w:rsidRPr="002B51D6">
        <w:rPr>
          <w:rFonts w:ascii="Times New Roman" w:hAnsi="Times New Roman" w:cs="Times New Roman"/>
          <w:b/>
          <w:bCs/>
          <w:sz w:val="24"/>
        </w:rPr>
        <w:t>851.81 million birds</w:t>
      </w:r>
      <w:r w:rsidRPr="002B51D6">
        <w:rPr>
          <w:rFonts w:ascii="Times New Roman" w:hAnsi="Times New Roman" w:cs="Times New Roman"/>
          <w:sz w:val="24"/>
        </w:rPr>
        <w:t xml:space="preserve">, representing an increase of </w:t>
      </w:r>
      <w:r w:rsidRPr="002B51D6">
        <w:rPr>
          <w:rFonts w:ascii="Times New Roman" w:hAnsi="Times New Roman" w:cs="Times New Roman"/>
          <w:b/>
          <w:bCs/>
          <w:sz w:val="24"/>
        </w:rPr>
        <w:t>16.81 per cent</w:t>
      </w:r>
      <w:r w:rsidRPr="002B51D6">
        <w:rPr>
          <w:rFonts w:ascii="Times New Roman" w:hAnsi="Times New Roman" w:cs="Times New Roman"/>
          <w:sz w:val="24"/>
        </w:rPr>
        <w:t xml:space="preserve"> over previous years (DAHD, 2019). Backyard poultry accounts for approximately </w:t>
      </w:r>
      <w:r w:rsidRPr="002B51D6">
        <w:rPr>
          <w:rFonts w:ascii="Times New Roman" w:hAnsi="Times New Roman" w:cs="Times New Roman"/>
          <w:b/>
          <w:bCs/>
          <w:sz w:val="24"/>
        </w:rPr>
        <w:t>317.07 million birds</w:t>
      </w:r>
      <w:r w:rsidRPr="002B51D6">
        <w:rPr>
          <w:rFonts w:ascii="Times New Roman" w:hAnsi="Times New Roman" w:cs="Times New Roman"/>
          <w:sz w:val="24"/>
        </w:rPr>
        <w:t xml:space="preserve">, showing an increase of more than </w:t>
      </w:r>
      <w:r w:rsidRPr="002B51D6">
        <w:rPr>
          <w:rFonts w:ascii="Times New Roman" w:hAnsi="Times New Roman" w:cs="Times New Roman"/>
          <w:b/>
          <w:bCs/>
          <w:sz w:val="24"/>
        </w:rPr>
        <w:t>45 per cent</w:t>
      </w:r>
      <w:r w:rsidRPr="002B51D6">
        <w:rPr>
          <w:rFonts w:ascii="Times New Roman" w:hAnsi="Times New Roman" w:cs="Times New Roman"/>
          <w:sz w:val="24"/>
        </w:rPr>
        <w:t xml:space="preserve">, while commercial poultry contributes around </w:t>
      </w:r>
      <w:r w:rsidRPr="002B51D6">
        <w:rPr>
          <w:rFonts w:ascii="Times New Roman" w:hAnsi="Times New Roman" w:cs="Times New Roman"/>
          <w:b/>
          <w:bCs/>
          <w:sz w:val="24"/>
        </w:rPr>
        <w:t>534.74 million birds</w:t>
      </w:r>
      <w:r w:rsidRPr="002B51D6">
        <w:rPr>
          <w:rFonts w:ascii="Times New Roman" w:hAnsi="Times New Roman" w:cs="Times New Roman"/>
          <w:sz w:val="24"/>
        </w:rPr>
        <w:t xml:space="preserve"> (DAHD, 2019). India is among the leading poultry-producing countries, contributing significantly to national meat production. The country produces approximately </w:t>
      </w:r>
      <w:r w:rsidRPr="002B51D6">
        <w:rPr>
          <w:rFonts w:ascii="Times New Roman" w:hAnsi="Times New Roman" w:cs="Times New Roman"/>
          <w:b/>
          <w:bCs/>
          <w:sz w:val="24"/>
        </w:rPr>
        <w:t>9.77 million tonnes of meat annually</w:t>
      </w:r>
      <w:r w:rsidRPr="002B51D6">
        <w:rPr>
          <w:rFonts w:ascii="Times New Roman" w:hAnsi="Times New Roman" w:cs="Times New Roman"/>
          <w:sz w:val="24"/>
        </w:rPr>
        <w:t xml:space="preserve">, of which </w:t>
      </w:r>
      <w:r w:rsidRPr="002B51D6">
        <w:rPr>
          <w:rFonts w:ascii="Times New Roman" w:hAnsi="Times New Roman" w:cs="Times New Roman"/>
          <w:b/>
          <w:bCs/>
          <w:sz w:val="24"/>
        </w:rPr>
        <w:t>4.99 million tonnes is poultry meat</w:t>
      </w:r>
      <w:r w:rsidRPr="002B51D6">
        <w:rPr>
          <w:rFonts w:ascii="Times New Roman" w:hAnsi="Times New Roman" w:cs="Times New Roman"/>
          <w:sz w:val="24"/>
        </w:rPr>
        <w:t xml:space="preserve">, accounting for about </w:t>
      </w:r>
      <w:r w:rsidRPr="002B51D6">
        <w:rPr>
          <w:rFonts w:ascii="Times New Roman" w:hAnsi="Times New Roman" w:cs="Times New Roman"/>
          <w:b/>
          <w:bCs/>
          <w:sz w:val="24"/>
        </w:rPr>
        <w:t>51.14 per cent of total meat production</w:t>
      </w:r>
      <w:r w:rsidRPr="002B51D6">
        <w:rPr>
          <w:rFonts w:ascii="Times New Roman" w:hAnsi="Times New Roman" w:cs="Times New Roman"/>
          <w:sz w:val="24"/>
        </w:rPr>
        <w:t xml:space="preserve"> (DAHD, 2019). These figures clearly highlight the economic and nutritional importance of the poultry industry in India.</w:t>
      </w:r>
    </w:p>
    <w:p w14:paraId="37DB5788" w14:textId="77777777"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 xml:space="preserve">Despite the rapid growth of the poultry sector, feed cost remains the major constraint affecting profitability. Efficient feed utilization is essential for economic sustainability, as feed alone accounts for nearly </w:t>
      </w:r>
      <w:r w:rsidRPr="002B51D6">
        <w:rPr>
          <w:rFonts w:ascii="Times New Roman" w:hAnsi="Times New Roman" w:cs="Times New Roman"/>
          <w:b/>
          <w:bCs/>
          <w:sz w:val="24"/>
        </w:rPr>
        <w:t>75–80 per cent of the total cost of broiler production</w:t>
      </w:r>
      <w:r w:rsidRPr="002B51D6">
        <w:rPr>
          <w:rFonts w:ascii="Times New Roman" w:hAnsi="Times New Roman" w:cs="Times New Roman"/>
          <w:sz w:val="24"/>
        </w:rPr>
        <w:t xml:space="preserve"> (Basak </w:t>
      </w:r>
      <w:r w:rsidRPr="00FE767D">
        <w:rPr>
          <w:rFonts w:ascii="Times New Roman" w:hAnsi="Times New Roman" w:cs="Times New Roman"/>
          <w:i/>
          <w:sz w:val="24"/>
        </w:rPr>
        <w:t>et al.</w:t>
      </w:r>
      <w:r w:rsidRPr="002B51D6">
        <w:rPr>
          <w:rFonts w:ascii="Times New Roman" w:hAnsi="Times New Roman" w:cs="Times New Roman"/>
          <w:sz w:val="24"/>
        </w:rPr>
        <w:t>, 2002). Therefore, considerable emphasis is placed on strategies that improve growth performance, feed efficiency, and nutrient utilization.</w:t>
      </w:r>
    </w:p>
    <w:p w14:paraId="74B9CDDA" w14:textId="77777777" w:rsidR="002B51D6" w:rsidRPr="002B51D6" w:rsidRDefault="002B51D6" w:rsidP="002B51D6">
      <w:pPr>
        <w:spacing w:after="0" w:line="360" w:lineRule="auto"/>
        <w:ind w:firstLine="720"/>
        <w:jc w:val="both"/>
        <w:rPr>
          <w:rFonts w:ascii="Times New Roman" w:hAnsi="Times New Roman" w:cs="Times New Roman"/>
          <w:sz w:val="24"/>
        </w:rPr>
      </w:pPr>
      <w:r w:rsidRPr="002B51D6">
        <w:rPr>
          <w:rFonts w:ascii="Times New Roman" w:hAnsi="Times New Roman" w:cs="Times New Roman"/>
          <w:sz w:val="24"/>
        </w:rPr>
        <w:t xml:space="preserve">Broiler chickens, particularly during early stages of growth, are highly susceptible to enteric pathogens such as </w:t>
      </w:r>
      <w:r w:rsidRPr="002B51D6">
        <w:rPr>
          <w:rFonts w:ascii="Times New Roman" w:hAnsi="Times New Roman" w:cs="Times New Roman"/>
          <w:i/>
          <w:iCs/>
          <w:sz w:val="24"/>
        </w:rPr>
        <w:t>Escherichia coli</w:t>
      </w:r>
      <w:r w:rsidRPr="002B51D6">
        <w:rPr>
          <w:rFonts w:ascii="Times New Roman" w:hAnsi="Times New Roman" w:cs="Times New Roman"/>
          <w:sz w:val="24"/>
        </w:rPr>
        <w:t xml:space="preserve">, </w:t>
      </w:r>
      <w:r w:rsidRPr="002B51D6">
        <w:rPr>
          <w:rFonts w:ascii="Times New Roman" w:hAnsi="Times New Roman" w:cs="Times New Roman"/>
          <w:i/>
          <w:iCs/>
          <w:sz w:val="24"/>
        </w:rPr>
        <w:t>Salmonella spp.</w:t>
      </w:r>
      <w:r w:rsidRPr="002B51D6">
        <w:rPr>
          <w:rFonts w:ascii="Times New Roman" w:hAnsi="Times New Roman" w:cs="Times New Roman"/>
          <w:sz w:val="24"/>
        </w:rPr>
        <w:t xml:space="preserve">, and </w:t>
      </w:r>
      <w:r w:rsidRPr="002B51D6">
        <w:rPr>
          <w:rFonts w:ascii="Times New Roman" w:hAnsi="Times New Roman" w:cs="Times New Roman"/>
          <w:i/>
          <w:iCs/>
          <w:sz w:val="24"/>
        </w:rPr>
        <w:t>Clostridium spp.</w:t>
      </w:r>
      <w:r w:rsidRPr="002B51D6">
        <w:rPr>
          <w:rFonts w:ascii="Times New Roman" w:hAnsi="Times New Roman" w:cs="Times New Roman"/>
          <w:sz w:val="24"/>
        </w:rPr>
        <w:t xml:space="preserve"> These pathogenic microorganisms compete with the host for nutrients and adversely affect gut health, resulting in reduced feed efficiency, slower growth, and increased disease susceptibility. Antibiotic growth promoters (AGPs) have been widely used in poultry production to enhance growth performance and control pathogenic bacteria. These antibiotics improve productivity by modifying intestinal microflora and reducing microbial competition for nutrients (Freed </w:t>
      </w:r>
      <w:r w:rsidRPr="00FE767D">
        <w:rPr>
          <w:rFonts w:ascii="Times New Roman" w:hAnsi="Times New Roman" w:cs="Times New Roman"/>
          <w:i/>
          <w:sz w:val="24"/>
        </w:rPr>
        <w:t>et al.,</w:t>
      </w:r>
      <w:r w:rsidRPr="002B51D6">
        <w:rPr>
          <w:rFonts w:ascii="Times New Roman" w:hAnsi="Times New Roman" w:cs="Times New Roman"/>
          <w:sz w:val="24"/>
        </w:rPr>
        <w:t xml:space="preserve"> 1993). However, their use has been restricted due to concerns regarding antimicrobial resistance and antibiotic residues in animal products. The European Union banned the use of AGPs in 2006, and similar regulatory measures have been implemented in several countries, including India (Scicutella </w:t>
      </w:r>
      <w:r w:rsidRPr="00FE767D">
        <w:rPr>
          <w:rFonts w:ascii="Times New Roman" w:hAnsi="Times New Roman" w:cs="Times New Roman"/>
          <w:i/>
          <w:sz w:val="24"/>
        </w:rPr>
        <w:t>et al.,</w:t>
      </w:r>
      <w:r w:rsidRPr="002B51D6">
        <w:rPr>
          <w:rFonts w:ascii="Times New Roman" w:hAnsi="Times New Roman" w:cs="Times New Roman"/>
          <w:sz w:val="24"/>
        </w:rPr>
        <w:t xml:space="preserve"> 2021).</w:t>
      </w:r>
    </w:p>
    <w:p w14:paraId="171B0F0C" w14:textId="77777777" w:rsidR="0095129A" w:rsidRPr="0095129A" w:rsidRDefault="0095129A" w:rsidP="0095129A">
      <w:pPr>
        <w:spacing w:after="0" w:line="360" w:lineRule="auto"/>
        <w:jc w:val="both"/>
        <w:rPr>
          <w:rFonts w:ascii="Times New Roman" w:hAnsi="Times New Roman" w:cs="Times New Roman"/>
          <w:sz w:val="24"/>
        </w:rPr>
      </w:pPr>
      <w:r w:rsidRPr="0095129A">
        <w:rPr>
          <w:rFonts w:ascii="Times New Roman" w:hAnsi="Times New Roman" w:cs="Times New Roman"/>
          <w:sz w:val="24"/>
        </w:rPr>
        <w:t xml:space="preserve">Following the restriction of antibiotic growth promoters, considerable attention has been directed toward identifying safe and effective alternatives capable of maintaining animal health and productivity. Various potential substitutes such as probiotics, prebiotics, phytogenic feed </w:t>
      </w:r>
      <w:r w:rsidRPr="0095129A">
        <w:rPr>
          <w:rFonts w:ascii="Times New Roman" w:hAnsi="Times New Roman" w:cs="Times New Roman"/>
          <w:sz w:val="24"/>
        </w:rPr>
        <w:lastRenderedPageBreak/>
        <w:t xml:space="preserve">additives, and organic acids have been extensively studied (Raza </w:t>
      </w:r>
      <w:r w:rsidRPr="00FE767D">
        <w:rPr>
          <w:rFonts w:ascii="Times New Roman" w:hAnsi="Times New Roman" w:cs="Times New Roman"/>
          <w:i/>
          <w:sz w:val="24"/>
        </w:rPr>
        <w:t>et al.</w:t>
      </w:r>
      <w:r w:rsidRPr="0095129A">
        <w:rPr>
          <w:rFonts w:ascii="Times New Roman" w:hAnsi="Times New Roman" w:cs="Times New Roman"/>
          <w:sz w:val="24"/>
        </w:rPr>
        <w:t xml:space="preserve">, 2016; Chand </w:t>
      </w:r>
      <w:r w:rsidRPr="00FE767D">
        <w:rPr>
          <w:rFonts w:ascii="Times New Roman" w:hAnsi="Times New Roman" w:cs="Times New Roman"/>
          <w:i/>
          <w:sz w:val="24"/>
        </w:rPr>
        <w:t>et al.</w:t>
      </w:r>
      <w:r w:rsidRPr="0095129A">
        <w:rPr>
          <w:rFonts w:ascii="Times New Roman" w:hAnsi="Times New Roman" w:cs="Times New Roman"/>
          <w:sz w:val="24"/>
        </w:rPr>
        <w:t xml:space="preserve">, 2016; </w:t>
      </w:r>
      <w:proofErr w:type="spellStart"/>
      <w:r w:rsidRPr="0095129A">
        <w:rPr>
          <w:rFonts w:ascii="Times New Roman" w:hAnsi="Times New Roman" w:cs="Times New Roman"/>
          <w:sz w:val="24"/>
        </w:rPr>
        <w:t>Tehseen</w:t>
      </w:r>
      <w:proofErr w:type="spellEnd"/>
      <w:r w:rsidRPr="0095129A">
        <w:rPr>
          <w:rFonts w:ascii="Times New Roman" w:hAnsi="Times New Roman" w:cs="Times New Roman"/>
          <w:sz w:val="24"/>
        </w:rPr>
        <w:t xml:space="preserve"> </w:t>
      </w:r>
      <w:r w:rsidRPr="00FE767D">
        <w:rPr>
          <w:rFonts w:ascii="Times New Roman" w:hAnsi="Times New Roman" w:cs="Times New Roman"/>
          <w:i/>
          <w:sz w:val="24"/>
        </w:rPr>
        <w:t>et al.</w:t>
      </w:r>
      <w:r w:rsidRPr="0095129A">
        <w:rPr>
          <w:rFonts w:ascii="Times New Roman" w:hAnsi="Times New Roman" w:cs="Times New Roman"/>
          <w:sz w:val="24"/>
        </w:rPr>
        <w:t xml:space="preserve">, 2016; Hafeez </w:t>
      </w:r>
      <w:r w:rsidRPr="00FE767D">
        <w:rPr>
          <w:rFonts w:ascii="Times New Roman" w:hAnsi="Times New Roman" w:cs="Times New Roman"/>
          <w:i/>
          <w:sz w:val="24"/>
        </w:rPr>
        <w:t>et al.</w:t>
      </w:r>
      <w:r w:rsidRPr="0095129A">
        <w:rPr>
          <w:rFonts w:ascii="Times New Roman" w:hAnsi="Times New Roman" w:cs="Times New Roman"/>
          <w:sz w:val="24"/>
        </w:rPr>
        <w:t>, 2021). Among these, organic acids have emerged as promising feed additives due to their antimicrobial properties and their ability to improve nutrient digestibility and gastrointestinal health.</w:t>
      </w:r>
    </w:p>
    <w:p w14:paraId="041CF3BD" w14:textId="77777777" w:rsidR="0095129A" w:rsidRPr="0095129A" w:rsidRDefault="0095129A" w:rsidP="00FE767D">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Organic acids are weak acids generally composed of saturated straight-chain monocarboxylic acids or their derivatives (Ricke, 2003). These compounds have been widely used in food preservation because of their ability to inhibit the growth of pathogenic and spoilage-causing microorganisms. In poultry production, organic acids help reduce the pH of the gastrointestinal tract, thereby suppressing pathogenic bacteria and promoting beneficial microbial populations. In addition, organic acids may enhance digestive enzyme activity, improve mineral absorption, and increase nutrient digestibility, ultimately leading to improved growth performance and feed efficiency.</w:t>
      </w:r>
    </w:p>
    <w:p w14:paraId="65BF4BDC" w14:textId="77777777" w:rsidR="0095129A" w:rsidRPr="0095129A" w:rsidRDefault="0095129A" w:rsidP="0095129A">
      <w:pPr>
        <w:spacing w:after="0" w:line="360" w:lineRule="auto"/>
        <w:jc w:val="both"/>
        <w:rPr>
          <w:rFonts w:ascii="Times New Roman" w:hAnsi="Times New Roman" w:cs="Times New Roman"/>
          <w:sz w:val="24"/>
        </w:rPr>
      </w:pPr>
      <w:r w:rsidRPr="0095129A">
        <w:rPr>
          <w:rFonts w:ascii="Times New Roman" w:hAnsi="Times New Roman" w:cs="Times New Roman"/>
          <w:sz w:val="24"/>
        </w:rPr>
        <w:t xml:space="preserve">Among the various organic acids, citric acid and acetic acid are commonly used in poultry nutrition. Previous studies have reported that supplementation of citric acid in broiler diets or drinking water significantly improves body weight gain, feed conversion ratio, and overall growth performance (Islam </w:t>
      </w:r>
      <w:r w:rsidRPr="00FE767D">
        <w:rPr>
          <w:rFonts w:ascii="Times New Roman" w:hAnsi="Times New Roman" w:cs="Times New Roman"/>
          <w:i/>
          <w:sz w:val="24"/>
        </w:rPr>
        <w:t>et al.</w:t>
      </w:r>
      <w:r w:rsidRPr="0095129A">
        <w:rPr>
          <w:rFonts w:ascii="Times New Roman" w:hAnsi="Times New Roman" w:cs="Times New Roman"/>
          <w:sz w:val="24"/>
        </w:rPr>
        <w:t xml:space="preserve">, 2008; </w:t>
      </w:r>
      <w:proofErr w:type="spellStart"/>
      <w:r w:rsidRPr="0095129A">
        <w:rPr>
          <w:rFonts w:ascii="Times New Roman" w:hAnsi="Times New Roman" w:cs="Times New Roman"/>
          <w:sz w:val="24"/>
        </w:rPr>
        <w:t>Nourmohammadi</w:t>
      </w:r>
      <w:proofErr w:type="spellEnd"/>
      <w:r w:rsidRPr="0095129A">
        <w:rPr>
          <w:rFonts w:ascii="Times New Roman" w:hAnsi="Times New Roman" w:cs="Times New Roman"/>
          <w:sz w:val="24"/>
        </w:rPr>
        <w:t xml:space="preserve"> and </w:t>
      </w:r>
      <w:proofErr w:type="spellStart"/>
      <w:r w:rsidRPr="0095129A">
        <w:rPr>
          <w:rFonts w:ascii="Times New Roman" w:hAnsi="Times New Roman" w:cs="Times New Roman"/>
          <w:sz w:val="24"/>
        </w:rPr>
        <w:t>Khosravinia</w:t>
      </w:r>
      <w:proofErr w:type="spellEnd"/>
      <w:r w:rsidRPr="0095129A">
        <w:rPr>
          <w:rFonts w:ascii="Times New Roman" w:hAnsi="Times New Roman" w:cs="Times New Roman"/>
          <w:sz w:val="24"/>
        </w:rPr>
        <w:t xml:space="preserve">, 2015; </w:t>
      </w:r>
      <w:proofErr w:type="spellStart"/>
      <w:r w:rsidRPr="0095129A">
        <w:rPr>
          <w:rFonts w:ascii="Times New Roman" w:hAnsi="Times New Roman" w:cs="Times New Roman"/>
          <w:sz w:val="24"/>
        </w:rPr>
        <w:t>Nourmohammadi</w:t>
      </w:r>
      <w:proofErr w:type="spellEnd"/>
      <w:r w:rsidRPr="0095129A">
        <w:rPr>
          <w:rFonts w:ascii="Times New Roman" w:hAnsi="Times New Roman" w:cs="Times New Roman"/>
          <w:sz w:val="24"/>
        </w:rPr>
        <w:t xml:space="preserve"> </w:t>
      </w:r>
      <w:r w:rsidRPr="00FE767D">
        <w:rPr>
          <w:rFonts w:ascii="Times New Roman" w:hAnsi="Times New Roman" w:cs="Times New Roman"/>
          <w:i/>
          <w:sz w:val="24"/>
        </w:rPr>
        <w:t>et al.</w:t>
      </w:r>
      <w:r w:rsidRPr="0095129A">
        <w:rPr>
          <w:rFonts w:ascii="Times New Roman" w:hAnsi="Times New Roman" w:cs="Times New Roman"/>
          <w:sz w:val="24"/>
        </w:rPr>
        <w:t xml:space="preserve">, 2012; Mohammed, 2018). Similarly, acetic acid has been shown to possess antimicrobial properties that reduce harmful microbial populations and improve nutrient utilization in the gastrointestinal tract (Hudha </w:t>
      </w:r>
      <w:r w:rsidRPr="00FE767D">
        <w:rPr>
          <w:rFonts w:ascii="Times New Roman" w:hAnsi="Times New Roman" w:cs="Times New Roman"/>
          <w:i/>
          <w:sz w:val="24"/>
        </w:rPr>
        <w:t>et al.</w:t>
      </w:r>
      <w:r w:rsidRPr="0095129A">
        <w:rPr>
          <w:rFonts w:ascii="Times New Roman" w:hAnsi="Times New Roman" w:cs="Times New Roman"/>
          <w:sz w:val="24"/>
        </w:rPr>
        <w:t xml:space="preserve">, 2010). Furthermore, organic acid supplementation has been reported to enhance broiler performance under both normal and challenged conditions, suggesting their potential as effective alternatives to antibiotic growth promoters (Mustafa </w:t>
      </w:r>
      <w:r w:rsidRPr="00FE767D">
        <w:rPr>
          <w:rFonts w:ascii="Times New Roman" w:hAnsi="Times New Roman" w:cs="Times New Roman"/>
          <w:i/>
          <w:sz w:val="24"/>
        </w:rPr>
        <w:t>et al.</w:t>
      </w:r>
      <w:r w:rsidRPr="0095129A">
        <w:rPr>
          <w:rFonts w:ascii="Times New Roman" w:hAnsi="Times New Roman" w:cs="Times New Roman"/>
          <w:sz w:val="24"/>
        </w:rPr>
        <w:t>, 2021).</w:t>
      </w:r>
    </w:p>
    <w:p w14:paraId="5E6AEC36" w14:textId="77777777" w:rsidR="00A45BEC" w:rsidRDefault="00A45BEC" w:rsidP="00A45BEC">
      <w:pPr>
        <w:spacing w:after="0" w:line="360" w:lineRule="auto"/>
        <w:jc w:val="both"/>
        <w:rPr>
          <w:rFonts w:ascii="Times New Roman" w:hAnsi="Times New Roman" w:cs="Times New Roman"/>
          <w:b/>
          <w:sz w:val="28"/>
        </w:rPr>
      </w:pPr>
      <w:r w:rsidRPr="000667CC">
        <w:rPr>
          <w:rFonts w:ascii="Times New Roman" w:hAnsi="Times New Roman" w:cs="Times New Roman"/>
          <w:b/>
          <w:sz w:val="28"/>
        </w:rPr>
        <w:t>Materials and Methods:-</w:t>
      </w:r>
    </w:p>
    <w:p w14:paraId="46F4C1D6" w14:textId="77777777" w:rsidR="0095129A" w:rsidRDefault="00A45BEC" w:rsidP="00A45BEC">
      <w:pPr>
        <w:spacing w:after="0" w:line="360" w:lineRule="auto"/>
        <w:jc w:val="both"/>
        <w:rPr>
          <w:rFonts w:ascii="Times New Roman" w:hAnsi="Times New Roman" w:cs="Times New Roman"/>
          <w:sz w:val="24"/>
        </w:rPr>
      </w:pPr>
      <w:r>
        <w:rPr>
          <w:rFonts w:ascii="Times New Roman" w:hAnsi="Times New Roman" w:cs="Times New Roman"/>
          <w:b/>
          <w:sz w:val="28"/>
        </w:rPr>
        <w:tab/>
      </w:r>
      <w:r w:rsidR="0095129A" w:rsidRPr="0095129A">
        <w:rPr>
          <w:rFonts w:ascii="Times New Roman" w:hAnsi="Times New Roman" w:cs="Times New Roman"/>
          <w:sz w:val="24"/>
        </w:rPr>
        <w:t xml:space="preserve">The present experiment was conducted at the Poultry Unit of the Department of Poultry Science, College of Veterinary and Animal Science, Rajasthan University of Veterinary and Animal Sciences (RAJUVAS), Bikaner, Rajasthan. Bikaner is situated in the Thar Desert at an altitude of approximately </w:t>
      </w:r>
      <w:r w:rsidR="0095129A" w:rsidRPr="0095129A">
        <w:rPr>
          <w:rFonts w:ascii="Times New Roman" w:hAnsi="Times New Roman" w:cs="Times New Roman"/>
          <w:b/>
          <w:bCs/>
          <w:sz w:val="24"/>
        </w:rPr>
        <w:t>230 m above mean sea level (28°01′ N latitude and 73°18′ E longitude)</w:t>
      </w:r>
      <w:r w:rsidR="0095129A" w:rsidRPr="0095129A">
        <w:rPr>
          <w:rFonts w:ascii="Times New Roman" w:hAnsi="Times New Roman" w:cs="Times New Roman"/>
          <w:sz w:val="24"/>
        </w:rPr>
        <w:t xml:space="preserve">. The region is characterized by a </w:t>
      </w:r>
      <w:r w:rsidR="0095129A" w:rsidRPr="0095129A">
        <w:rPr>
          <w:rFonts w:ascii="Times New Roman" w:hAnsi="Times New Roman" w:cs="Times New Roman"/>
          <w:b/>
          <w:bCs/>
          <w:sz w:val="24"/>
        </w:rPr>
        <w:t>hot semi-arid climate</w:t>
      </w:r>
      <w:r w:rsidR="0095129A" w:rsidRPr="0095129A">
        <w:rPr>
          <w:rFonts w:ascii="Times New Roman" w:hAnsi="Times New Roman" w:cs="Times New Roman"/>
          <w:sz w:val="24"/>
        </w:rPr>
        <w:t xml:space="preserve">, with low annual rainfall (about </w:t>
      </w:r>
      <w:r w:rsidR="0095129A" w:rsidRPr="0095129A">
        <w:rPr>
          <w:rFonts w:ascii="Times New Roman" w:hAnsi="Times New Roman" w:cs="Times New Roman"/>
          <w:b/>
          <w:bCs/>
          <w:sz w:val="24"/>
        </w:rPr>
        <w:t>229 mm</w:t>
      </w:r>
      <w:r w:rsidR="0095129A" w:rsidRPr="0095129A">
        <w:rPr>
          <w:rFonts w:ascii="Times New Roman" w:hAnsi="Times New Roman" w:cs="Times New Roman"/>
          <w:sz w:val="24"/>
        </w:rPr>
        <w:t xml:space="preserve">), high summer temperatures often exceeding </w:t>
      </w:r>
      <w:r w:rsidR="0095129A" w:rsidRPr="0095129A">
        <w:rPr>
          <w:rFonts w:ascii="Times New Roman" w:hAnsi="Times New Roman" w:cs="Times New Roman"/>
          <w:b/>
          <w:bCs/>
          <w:sz w:val="24"/>
        </w:rPr>
        <w:t>45°C</w:t>
      </w:r>
      <w:r w:rsidR="0095129A" w:rsidRPr="0095129A">
        <w:rPr>
          <w:rFonts w:ascii="Times New Roman" w:hAnsi="Times New Roman" w:cs="Times New Roman"/>
          <w:sz w:val="24"/>
        </w:rPr>
        <w:t xml:space="preserve">, and relatively low humidity averaging around </w:t>
      </w:r>
      <w:r w:rsidR="0095129A" w:rsidRPr="0095129A">
        <w:rPr>
          <w:rFonts w:ascii="Times New Roman" w:hAnsi="Times New Roman" w:cs="Times New Roman"/>
          <w:b/>
          <w:bCs/>
          <w:sz w:val="24"/>
        </w:rPr>
        <w:t>42 per cent</w:t>
      </w:r>
      <w:r w:rsidR="0095129A" w:rsidRPr="0095129A">
        <w:rPr>
          <w:rFonts w:ascii="Times New Roman" w:hAnsi="Times New Roman" w:cs="Times New Roman"/>
          <w:sz w:val="24"/>
        </w:rPr>
        <w:t>.</w:t>
      </w:r>
    </w:p>
    <w:p w14:paraId="43BAEB5C" w14:textId="77777777" w:rsidR="003D0795" w:rsidRDefault="003D0795" w:rsidP="00A45BEC">
      <w:pPr>
        <w:spacing w:after="0" w:line="360" w:lineRule="auto"/>
        <w:jc w:val="both"/>
        <w:rPr>
          <w:rFonts w:ascii="Times New Roman" w:hAnsi="Times New Roman" w:cs="Times New Roman"/>
          <w:sz w:val="24"/>
        </w:rPr>
      </w:pPr>
    </w:p>
    <w:p w14:paraId="36BD1000" w14:textId="77777777" w:rsidR="00A45BEC" w:rsidRDefault="00FE767D" w:rsidP="00A45BEC">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w:t>
      </w:r>
      <w:r w:rsidR="00A45BEC" w:rsidRPr="000B72EE">
        <w:rPr>
          <w:rFonts w:ascii="Times New Roman" w:hAnsi="Times New Roman" w:cs="Times New Roman"/>
          <w:b/>
          <w:sz w:val="24"/>
        </w:rPr>
        <w:t>Experimental Design</w:t>
      </w:r>
      <w:r w:rsidR="00A45BEC">
        <w:rPr>
          <w:rFonts w:ascii="Times New Roman" w:hAnsi="Times New Roman" w:cs="Times New Roman"/>
          <w:b/>
          <w:sz w:val="24"/>
        </w:rPr>
        <w:t xml:space="preserve">:- </w:t>
      </w:r>
    </w:p>
    <w:p w14:paraId="0E1BA100" w14:textId="77777777" w:rsidR="00A45BEC" w:rsidRDefault="0095129A" w:rsidP="00A45BEC">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The experimental trial was conducted over a period of </w:t>
      </w:r>
      <w:r w:rsidRPr="0095129A">
        <w:rPr>
          <w:rFonts w:ascii="Times New Roman" w:hAnsi="Times New Roman" w:cs="Times New Roman"/>
          <w:b/>
          <w:bCs/>
          <w:sz w:val="24"/>
        </w:rPr>
        <w:t>28 days</w:t>
      </w:r>
      <w:r w:rsidRPr="0095129A">
        <w:rPr>
          <w:rFonts w:ascii="Times New Roman" w:hAnsi="Times New Roman" w:cs="Times New Roman"/>
          <w:sz w:val="24"/>
        </w:rPr>
        <w:t xml:space="preserve">. The study involved </w:t>
      </w:r>
      <w:r w:rsidRPr="0095129A">
        <w:rPr>
          <w:rFonts w:ascii="Times New Roman" w:hAnsi="Times New Roman" w:cs="Times New Roman"/>
          <w:b/>
          <w:bCs/>
          <w:sz w:val="24"/>
        </w:rPr>
        <w:t>one hundred twenty (120) unsexed, clinically healthy, day-old commercial broiler chicks</w:t>
      </w:r>
      <w:r w:rsidRPr="0095129A">
        <w:rPr>
          <w:rFonts w:ascii="Times New Roman" w:hAnsi="Times New Roman" w:cs="Times New Roman"/>
          <w:sz w:val="24"/>
        </w:rPr>
        <w:t xml:space="preserve"> obtained from the same hatch and procured from a private hatchery. The chicks were randomly distributed into </w:t>
      </w:r>
      <w:r w:rsidRPr="0095129A">
        <w:rPr>
          <w:rFonts w:ascii="Times New Roman" w:hAnsi="Times New Roman" w:cs="Times New Roman"/>
          <w:b/>
          <w:bCs/>
          <w:sz w:val="24"/>
        </w:rPr>
        <w:t>four treatment groups</w:t>
      </w:r>
      <w:r w:rsidRPr="0095129A">
        <w:rPr>
          <w:rFonts w:ascii="Times New Roman" w:hAnsi="Times New Roman" w:cs="Times New Roman"/>
          <w:sz w:val="24"/>
        </w:rPr>
        <w:t xml:space="preserve">, each consisting of </w:t>
      </w:r>
      <w:r w:rsidRPr="0095129A">
        <w:rPr>
          <w:rFonts w:ascii="Times New Roman" w:hAnsi="Times New Roman" w:cs="Times New Roman"/>
          <w:b/>
          <w:bCs/>
          <w:sz w:val="24"/>
        </w:rPr>
        <w:t>30 birds</w:t>
      </w:r>
      <w:r w:rsidRPr="0095129A">
        <w:rPr>
          <w:rFonts w:ascii="Times New Roman" w:hAnsi="Times New Roman" w:cs="Times New Roman"/>
          <w:sz w:val="24"/>
        </w:rPr>
        <w:t xml:space="preserve">, and each treatment was further subdivided into </w:t>
      </w:r>
      <w:r w:rsidRPr="0095129A">
        <w:rPr>
          <w:rFonts w:ascii="Times New Roman" w:hAnsi="Times New Roman" w:cs="Times New Roman"/>
          <w:b/>
          <w:bCs/>
          <w:sz w:val="24"/>
        </w:rPr>
        <w:t>three replicates of 10 birds each</w:t>
      </w:r>
      <w:r w:rsidRPr="0095129A">
        <w:rPr>
          <w:rFonts w:ascii="Times New Roman" w:hAnsi="Times New Roman" w:cs="Times New Roman"/>
          <w:sz w:val="24"/>
        </w:rPr>
        <w:t>, based on the type of organic acid supplemented through drinking water as follows:</w:t>
      </w:r>
    </w:p>
    <w:p w14:paraId="49DA54CE" w14:textId="53D67909" w:rsidR="004B556C" w:rsidRPr="004B556C" w:rsidRDefault="004B556C" w:rsidP="004B556C">
      <w:pPr>
        <w:spacing w:after="0" w:line="360" w:lineRule="auto"/>
        <w:jc w:val="both"/>
        <w:rPr>
          <w:rFonts w:ascii="Times New Roman" w:hAnsi="Times New Roman" w:cs="Times New Roman"/>
          <w:b/>
          <w:bCs/>
          <w:sz w:val="24"/>
        </w:rPr>
      </w:pPr>
      <w:r w:rsidRPr="004B556C">
        <w:rPr>
          <w:rFonts w:ascii="Times New Roman" w:hAnsi="Times New Roman" w:cs="Times New Roman"/>
          <w:b/>
          <w:bCs/>
          <w:sz w:val="24"/>
        </w:rPr>
        <w:t>Table 1:</w:t>
      </w:r>
      <w:r>
        <w:rPr>
          <w:rFonts w:ascii="Times New Roman" w:hAnsi="Times New Roman" w:cs="Times New Roman"/>
          <w:sz w:val="24"/>
        </w:rPr>
        <w:t xml:space="preserve"> </w:t>
      </w:r>
      <w:r w:rsidR="00292435" w:rsidRPr="00292435">
        <w:rPr>
          <w:rFonts w:ascii="Times New Roman" w:hAnsi="Times New Roman" w:cs="Times New Roman"/>
          <w:b/>
          <w:bCs/>
          <w:sz w:val="24"/>
        </w:rPr>
        <w:t>Treatment Details</w:t>
      </w:r>
      <w:r w:rsidRPr="004B556C">
        <w:rPr>
          <w:rFonts w:ascii="Times New Roman" w:hAnsi="Times New Roman" w:cs="Times New Roman"/>
          <w:b/>
          <w:bCs/>
          <w:sz w:val="24"/>
        </w:rPr>
        <w:t xml:space="preserve"> of Citric Acid and Acetic Acid Supplementation in Drinking Water on Treatment Groups</w:t>
      </w:r>
    </w:p>
    <w:tbl>
      <w:tblPr>
        <w:tblW w:w="93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3"/>
        <w:gridCol w:w="2021"/>
        <w:gridCol w:w="6066"/>
      </w:tblGrid>
      <w:tr w:rsidR="00A45BEC" w:rsidRPr="000B72EE" w14:paraId="067C32D6" w14:textId="77777777" w:rsidTr="003D0795">
        <w:trPr>
          <w:trHeight w:val="513"/>
        </w:trPr>
        <w:tc>
          <w:tcPr>
            <w:tcW w:w="1263" w:type="dxa"/>
          </w:tcPr>
          <w:p w14:paraId="54FC3E09" w14:textId="77777777" w:rsidR="00A45BEC" w:rsidRPr="0026700B" w:rsidRDefault="00A45BEC" w:rsidP="00E3295F">
            <w:pPr>
              <w:spacing w:after="0" w:line="360" w:lineRule="auto"/>
              <w:jc w:val="center"/>
              <w:rPr>
                <w:rFonts w:ascii="Times New Roman" w:hAnsi="Times New Roman" w:cs="Times New Roman"/>
                <w:b/>
                <w:sz w:val="24"/>
              </w:rPr>
            </w:pPr>
            <w:r w:rsidRPr="0026700B">
              <w:rPr>
                <w:rFonts w:ascii="Times New Roman" w:hAnsi="Times New Roman" w:cs="Times New Roman"/>
                <w:b/>
                <w:sz w:val="24"/>
              </w:rPr>
              <w:t>S.</w:t>
            </w:r>
            <w:r w:rsidR="002440E1">
              <w:rPr>
                <w:rFonts w:ascii="Times New Roman" w:hAnsi="Times New Roman" w:cs="Times New Roman"/>
                <w:b/>
                <w:sz w:val="24"/>
              </w:rPr>
              <w:t xml:space="preserve"> </w:t>
            </w:r>
            <w:r w:rsidRPr="0026700B">
              <w:rPr>
                <w:rFonts w:ascii="Times New Roman" w:hAnsi="Times New Roman" w:cs="Times New Roman"/>
                <w:b/>
                <w:sz w:val="24"/>
              </w:rPr>
              <w:t>No.</w:t>
            </w:r>
          </w:p>
        </w:tc>
        <w:tc>
          <w:tcPr>
            <w:tcW w:w="2021" w:type="dxa"/>
          </w:tcPr>
          <w:p w14:paraId="6BE4D295" w14:textId="77777777" w:rsidR="00A45BEC" w:rsidRPr="0026700B" w:rsidRDefault="00A45BEC" w:rsidP="00E3295F">
            <w:pPr>
              <w:spacing w:after="0" w:line="360" w:lineRule="auto"/>
              <w:jc w:val="center"/>
              <w:rPr>
                <w:rFonts w:ascii="Times New Roman" w:hAnsi="Times New Roman" w:cs="Times New Roman"/>
                <w:b/>
                <w:sz w:val="24"/>
              </w:rPr>
            </w:pPr>
            <w:r w:rsidRPr="0026700B">
              <w:rPr>
                <w:rFonts w:ascii="Times New Roman" w:hAnsi="Times New Roman" w:cs="Times New Roman"/>
                <w:b/>
                <w:sz w:val="24"/>
              </w:rPr>
              <w:t xml:space="preserve">Treatment </w:t>
            </w:r>
            <w:r w:rsidR="002440E1">
              <w:rPr>
                <w:rFonts w:ascii="Times New Roman" w:hAnsi="Times New Roman" w:cs="Times New Roman"/>
                <w:b/>
                <w:sz w:val="24"/>
              </w:rPr>
              <w:t>Group</w:t>
            </w:r>
            <w:r w:rsidRPr="0026700B">
              <w:rPr>
                <w:rFonts w:ascii="Times New Roman" w:hAnsi="Times New Roman" w:cs="Times New Roman"/>
                <w:b/>
                <w:sz w:val="24"/>
              </w:rPr>
              <w:t>s</w:t>
            </w:r>
          </w:p>
        </w:tc>
        <w:tc>
          <w:tcPr>
            <w:tcW w:w="6066" w:type="dxa"/>
          </w:tcPr>
          <w:p w14:paraId="446F8CDF" w14:textId="77777777" w:rsidR="00A45BEC" w:rsidRPr="0026700B" w:rsidRDefault="00A45BEC" w:rsidP="00E3295F">
            <w:pPr>
              <w:spacing w:after="0" w:line="360" w:lineRule="auto"/>
              <w:jc w:val="center"/>
              <w:rPr>
                <w:rFonts w:ascii="Times New Roman" w:hAnsi="Times New Roman" w:cs="Times New Roman"/>
                <w:b/>
                <w:sz w:val="24"/>
              </w:rPr>
            </w:pPr>
            <w:r w:rsidRPr="0026700B">
              <w:rPr>
                <w:rFonts w:ascii="Times New Roman" w:hAnsi="Times New Roman" w:cs="Times New Roman"/>
                <w:b/>
                <w:sz w:val="24"/>
              </w:rPr>
              <w:t>Treatment Details</w:t>
            </w:r>
          </w:p>
        </w:tc>
      </w:tr>
      <w:tr w:rsidR="00A45BEC" w:rsidRPr="000B72EE" w14:paraId="0BECBF3D" w14:textId="77777777" w:rsidTr="003D0795">
        <w:trPr>
          <w:trHeight w:val="381"/>
        </w:trPr>
        <w:tc>
          <w:tcPr>
            <w:tcW w:w="1263" w:type="dxa"/>
          </w:tcPr>
          <w:p w14:paraId="65B6FDD4"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1</w:t>
            </w:r>
          </w:p>
        </w:tc>
        <w:tc>
          <w:tcPr>
            <w:tcW w:w="2021" w:type="dxa"/>
          </w:tcPr>
          <w:p w14:paraId="38348FCC"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T1</w:t>
            </w:r>
          </w:p>
        </w:tc>
        <w:tc>
          <w:tcPr>
            <w:tcW w:w="6066" w:type="dxa"/>
          </w:tcPr>
          <w:p w14:paraId="537D6085" w14:textId="77777777" w:rsidR="00A45BEC" w:rsidRPr="000B72EE" w:rsidRDefault="002D5CFB" w:rsidP="00E3295F">
            <w:pPr>
              <w:spacing w:after="0" w:line="360" w:lineRule="auto"/>
              <w:jc w:val="center"/>
              <w:rPr>
                <w:rFonts w:ascii="Times New Roman" w:hAnsi="Times New Roman" w:cs="Times New Roman"/>
                <w:sz w:val="24"/>
              </w:rPr>
            </w:pPr>
            <w:r w:rsidRPr="002D5CFB">
              <w:rPr>
                <w:rFonts w:ascii="Times New Roman" w:hAnsi="Times New Roman" w:cs="Times New Roman"/>
                <w:sz w:val="24"/>
              </w:rPr>
              <w:t>Control (plain drinking water)</w:t>
            </w:r>
          </w:p>
        </w:tc>
      </w:tr>
      <w:tr w:rsidR="00A45BEC" w:rsidRPr="000B72EE" w14:paraId="66B4CD01" w14:textId="77777777" w:rsidTr="003D0795">
        <w:trPr>
          <w:trHeight w:val="540"/>
        </w:trPr>
        <w:tc>
          <w:tcPr>
            <w:tcW w:w="1263" w:type="dxa"/>
          </w:tcPr>
          <w:p w14:paraId="14713060"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2</w:t>
            </w:r>
          </w:p>
        </w:tc>
        <w:tc>
          <w:tcPr>
            <w:tcW w:w="2021" w:type="dxa"/>
          </w:tcPr>
          <w:p w14:paraId="5559829A"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T2</w:t>
            </w:r>
          </w:p>
        </w:tc>
        <w:tc>
          <w:tcPr>
            <w:tcW w:w="6066" w:type="dxa"/>
          </w:tcPr>
          <w:p w14:paraId="65F442D5" w14:textId="77777777" w:rsidR="00A45BEC" w:rsidRPr="000B72EE" w:rsidRDefault="002D5CFB" w:rsidP="00E3295F">
            <w:pPr>
              <w:spacing w:after="0" w:line="360" w:lineRule="auto"/>
              <w:jc w:val="center"/>
              <w:rPr>
                <w:rFonts w:ascii="Times New Roman" w:hAnsi="Times New Roman" w:cs="Times New Roman"/>
                <w:sz w:val="24"/>
              </w:rPr>
            </w:pPr>
            <w:r w:rsidRPr="002D5CFB">
              <w:rPr>
                <w:rFonts w:ascii="Times New Roman" w:hAnsi="Times New Roman" w:cs="Times New Roman"/>
                <w:sz w:val="24"/>
              </w:rPr>
              <w:t xml:space="preserve">Citric acid @ </w:t>
            </w:r>
            <w:r w:rsidRPr="002D5CFB">
              <w:rPr>
                <w:rFonts w:ascii="Times New Roman" w:hAnsi="Times New Roman" w:cs="Times New Roman"/>
                <w:b/>
                <w:bCs/>
                <w:sz w:val="24"/>
              </w:rPr>
              <w:t xml:space="preserve">2 g per </w:t>
            </w:r>
            <w:proofErr w:type="spellStart"/>
            <w:r w:rsidRPr="002D5CFB">
              <w:rPr>
                <w:rFonts w:ascii="Times New Roman" w:hAnsi="Times New Roman" w:cs="Times New Roman"/>
                <w:b/>
                <w:bCs/>
                <w:sz w:val="24"/>
              </w:rPr>
              <w:t>litre</w:t>
            </w:r>
            <w:proofErr w:type="spellEnd"/>
            <w:r w:rsidRPr="002D5CFB">
              <w:rPr>
                <w:rFonts w:ascii="Times New Roman" w:hAnsi="Times New Roman" w:cs="Times New Roman"/>
                <w:b/>
                <w:bCs/>
                <w:sz w:val="24"/>
              </w:rPr>
              <w:t xml:space="preserve"> of drinking water (0.2%)</w:t>
            </w:r>
          </w:p>
        </w:tc>
      </w:tr>
      <w:tr w:rsidR="00A45BEC" w:rsidRPr="000B72EE" w14:paraId="396EBF50" w14:textId="77777777" w:rsidTr="003D0795">
        <w:trPr>
          <w:trHeight w:val="540"/>
        </w:trPr>
        <w:tc>
          <w:tcPr>
            <w:tcW w:w="1263" w:type="dxa"/>
          </w:tcPr>
          <w:p w14:paraId="41298138"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3</w:t>
            </w:r>
          </w:p>
        </w:tc>
        <w:tc>
          <w:tcPr>
            <w:tcW w:w="2021" w:type="dxa"/>
          </w:tcPr>
          <w:p w14:paraId="704F23B9"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T3</w:t>
            </w:r>
          </w:p>
        </w:tc>
        <w:tc>
          <w:tcPr>
            <w:tcW w:w="6066" w:type="dxa"/>
          </w:tcPr>
          <w:p w14:paraId="271A5D01" w14:textId="77777777" w:rsidR="00A45BEC" w:rsidRPr="000B72EE" w:rsidRDefault="002D5CFB" w:rsidP="00E3295F">
            <w:pPr>
              <w:spacing w:after="0" w:line="360" w:lineRule="auto"/>
              <w:jc w:val="center"/>
              <w:rPr>
                <w:rFonts w:ascii="Times New Roman" w:hAnsi="Times New Roman" w:cs="Times New Roman"/>
                <w:sz w:val="24"/>
              </w:rPr>
            </w:pPr>
            <w:r w:rsidRPr="002D5CFB">
              <w:rPr>
                <w:rFonts w:ascii="Times New Roman" w:hAnsi="Times New Roman" w:cs="Times New Roman"/>
                <w:sz w:val="24"/>
              </w:rPr>
              <w:t xml:space="preserve">Acetic acid @ </w:t>
            </w:r>
            <w:r w:rsidRPr="002D5CFB">
              <w:rPr>
                <w:rFonts w:ascii="Times New Roman" w:hAnsi="Times New Roman" w:cs="Times New Roman"/>
                <w:b/>
                <w:bCs/>
                <w:sz w:val="24"/>
              </w:rPr>
              <w:t xml:space="preserve">2 ml per </w:t>
            </w:r>
            <w:proofErr w:type="spellStart"/>
            <w:r w:rsidRPr="002D5CFB">
              <w:rPr>
                <w:rFonts w:ascii="Times New Roman" w:hAnsi="Times New Roman" w:cs="Times New Roman"/>
                <w:b/>
                <w:bCs/>
                <w:sz w:val="24"/>
              </w:rPr>
              <w:t>litre</w:t>
            </w:r>
            <w:proofErr w:type="spellEnd"/>
            <w:r w:rsidRPr="002D5CFB">
              <w:rPr>
                <w:rFonts w:ascii="Times New Roman" w:hAnsi="Times New Roman" w:cs="Times New Roman"/>
                <w:b/>
                <w:bCs/>
                <w:sz w:val="24"/>
              </w:rPr>
              <w:t xml:space="preserve"> of drinking water (0.2%)</w:t>
            </w:r>
          </w:p>
        </w:tc>
      </w:tr>
      <w:tr w:rsidR="00A45BEC" w:rsidRPr="000B72EE" w14:paraId="4C4B7171" w14:textId="77777777" w:rsidTr="003D0795">
        <w:trPr>
          <w:trHeight w:val="540"/>
        </w:trPr>
        <w:tc>
          <w:tcPr>
            <w:tcW w:w="1263" w:type="dxa"/>
          </w:tcPr>
          <w:p w14:paraId="68AE32A2"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4</w:t>
            </w:r>
          </w:p>
        </w:tc>
        <w:tc>
          <w:tcPr>
            <w:tcW w:w="2021" w:type="dxa"/>
          </w:tcPr>
          <w:p w14:paraId="7DD95122" w14:textId="77777777" w:rsidR="00A45BEC" w:rsidRPr="000B72EE" w:rsidRDefault="00A45BEC" w:rsidP="00E3295F">
            <w:pPr>
              <w:spacing w:after="0" w:line="360" w:lineRule="auto"/>
              <w:jc w:val="center"/>
              <w:rPr>
                <w:rFonts w:ascii="Times New Roman" w:hAnsi="Times New Roman" w:cs="Times New Roman"/>
                <w:sz w:val="24"/>
              </w:rPr>
            </w:pPr>
            <w:r w:rsidRPr="000B72EE">
              <w:rPr>
                <w:rFonts w:ascii="Times New Roman" w:hAnsi="Times New Roman" w:cs="Times New Roman"/>
                <w:sz w:val="24"/>
              </w:rPr>
              <w:t>T4</w:t>
            </w:r>
          </w:p>
        </w:tc>
        <w:tc>
          <w:tcPr>
            <w:tcW w:w="6066" w:type="dxa"/>
          </w:tcPr>
          <w:p w14:paraId="150A6EDB" w14:textId="77777777" w:rsidR="00A45BEC" w:rsidRPr="000B72EE" w:rsidRDefault="002D5CFB" w:rsidP="00E3295F">
            <w:pPr>
              <w:spacing w:after="0" w:line="360" w:lineRule="auto"/>
              <w:jc w:val="center"/>
              <w:rPr>
                <w:rFonts w:ascii="Times New Roman" w:hAnsi="Times New Roman" w:cs="Times New Roman"/>
                <w:sz w:val="24"/>
              </w:rPr>
            </w:pPr>
            <w:r w:rsidRPr="002D5CFB">
              <w:rPr>
                <w:rFonts w:ascii="Times New Roman" w:hAnsi="Times New Roman" w:cs="Times New Roman"/>
                <w:sz w:val="24"/>
              </w:rPr>
              <w:t xml:space="preserve">Combination of citric acid @ </w:t>
            </w:r>
            <w:r w:rsidRPr="002D5CFB">
              <w:rPr>
                <w:rFonts w:ascii="Times New Roman" w:hAnsi="Times New Roman" w:cs="Times New Roman"/>
                <w:b/>
                <w:bCs/>
                <w:sz w:val="24"/>
              </w:rPr>
              <w:t>1 g/L + acetic acid @ 1 ml/L (0.1% each)</w:t>
            </w:r>
          </w:p>
        </w:tc>
      </w:tr>
    </w:tbl>
    <w:p w14:paraId="054BEA80" w14:textId="77777777" w:rsidR="00A45BEC" w:rsidRPr="000B72EE" w:rsidRDefault="00A45BEC" w:rsidP="00A45BEC">
      <w:pPr>
        <w:spacing w:after="0" w:line="360" w:lineRule="auto"/>
        <w:jc w:val="both"/>
        <w:rPr>
          <w:rFonts w:ascii="Times New Roman" w:hAnsi="Times New Roman" w:cs="Times New Roman"/>
          <w:sz w:val="24"/>
        </w:rPr>
      </w:pPr>
    </w:p>
    <w:p w14:paraId="4C6FD9EF" w14:textId="77777777" w:rsidR="00A45BEC" w:rsidRDefault="00FE767D" w:rsidP="00A45BEC">
      <w:pPr>
        <w:spacing w:after="0" w:line="360" w:lineRule="auto"/>
        <w:jc w:val="both"/>
        <w:rPr>
          <w:rFonts w:ascii="Times New Roman" w:hAnsi="Times New Roman" w:cs="Times New Roman"/>
          <w:b/>
          <w:sz w:val="24"/>
        </w:rPr>
      </w:pPr>
      <w:r>
        <w:rPr>
          <w:rFonts w:ascii="Times New Roman" w:hAnsi="Times New Roman" w:cs="Times New Roman"/>
          <w:b/>
          <w:sz w:val="28"/>
        </w:rPr>
        <w:t xml:space="preserve">2. </w:t>
      </w:r>
      <w:r w:rsidR="00A45BEC" w:rsidRPr="0026700B">
        <w:rPr>
          <w:rFonts w:ascii="Times New Roman" w:hAnsi="Times New Roman" w:cs="Times New Roman"/>
          <w:b/>
          <w:sz w:val="28"/>
        </w:rPr>
        <w:t>Feeding and Management practices:-</w:t>
      </w:r>
      <w:r w:rsidR="00A45BEC">
        <w:rPr>
          <w:rFonts w:ascii="Times New Roman" w:hAnsi="Times New Roman" w:cs="Times New Roman"/>
          <w:b/>
          <w:sz w:val="24"/>
        </w:rPr>
        <w:t xml:space="preserve"> </w:t>
      </w:r>
    </w:p>
    <w:p w14:paraId="7A0890D2" w14:textId="77777777" w:rsidR="00A45BEC" w:rsidRPr="009C7F88" w:rsidRDefault="0095129A" w:rsidP="006E56BF">
      <w:pPr>
        <w:spacing w:after="0" w:line="360" w:lineRule="auto"/>
        <w:jc w:val="both"/>
        <w:rPr>
          <w:rFonts w:ascii="Times New Roman" w:hAnsi="Times New Roman" w:cs="Times New Roman"/>
          <w:sz w:val="24"/>
        </w:rPr>
      </w:pPr>
      <w:r w:rsidRPr="0095129A">
        <w:rPr>
          <w:rFonts w:ascii="Times New Roman" w:hAnsi="Times New Roman" w:cs="Times New Roman"/>
          <w:sz w:val="24"/>
        </w:rPr>
        <w:t xml:space="preserve">The poultry feed in the form of broiler pre-starter, starter, and finisher was procured from the Livestock Feed Resources Management and Technology Centre, RAJUVAS, Bikaner. The broiler pre-starter feed was provided up to </w:t>
      </w:r>
      <w:r w:rsidRPr="0095129A">
        <w:rPr>
          <w:rFonts w:ascii="Times New Roman" w:hAnsi="Times New Roman" w:cs="Times New Roman"/>
          <w:b/>
          <w:bCs/>
          <w:sz w:val="24"/>
        </w:rPr>
        <w:t>7 days of age</w:t>
      </w:r>
      <w:r w:rsidRPr="0095129A">
        <w:rPr>
          <w:rFonts w:ascii="Times New Roman" w:hAnsi="Times New Roman" w:cs="Times New Roman"/>
          <w:sz w:val="24"/>
        </w:rPr>
        <w:t xml:space="preserve">, the starter feed up to </w:t>
      </w:r>
      <w:r w:rsidRPr="0095129A">
        <w:rPr>
          <w:rFonts w:ascii="Times New Roman" w:hAnsi="Times New Roman" w:cs="Times New Roman"/>
          <w:b/>
          <w:bCs/>
          <w:sz w:val="24"/>
        </w:rPr>
        <w:t>21 days</w:t>
      </w:r>
      <w:r w:rsidRPr="0095129A">
        <w:rPr>
          <w:rFonts w:ascii="Times New Roman" w:hAnsi="Times New Roman" w:cs="Times New Roman"/>
          <w:sz w:val="24"/>
        </w:rPr>
        <w:t xml:space="preserve">, and thereafter the finisher feed was offered until the end of the experiment, i.e., </w:t>
      </w:r>
      <w:r w:rsidRPr="0095129A">
        <w:rPr>
          <w:rFonts w:ascii="Times New Roman" w:hAnsi="Times New Roman" w:cs="Times New Roman"/>
          <w:b/>
          <w:bCs/>
          <w:sz w:val="24"/>
        </w:rPr>
        <w:t>28th day of age</w:t>
      </w:r>
      <w:r w:rsidRPr="0095129A">
        <w:rPr>
          <w:rFonts w:ascii="Times New Roman" w:hAnsi="Times New Roman" w:cs="Times New Roman"/>
          <w:sz w:val="24"/>
        </w:rPr>
        <w:t xml:space="preserve">. Proper hygiene and cleanliness of the shed were strictly maintained throughout the experimental period. Feed and water were made available </w:t>
      </w:r>
      <w:r w:rsidRPr="0095129A">
        <w:rPr>
          <w:rFonts w:ascii="Times New Roman" w:hAnsi="Times New Roman" w:cs="Times New Roman"/>
          <w:b/>
          <w:bCs/>
          <w:sz w:val="24"/>
        </w:rPr>
        <w:t>ad libitum</w:t>
      </w:r>
      <w:r w:rsidRPr="0095129A">
        <w:rPr>
          <w:rFonts w:ascii="Times New Roman" w:hAnsi="Times New Roman" w:cs="Times New Roman"/>
          <w:sz w:val="24"/>
        </w:rPr>
        <w:t xml:space="preserve"> to all treatment groups for the entire duration of the experiment.</w:t>
      </w:r>
      <w:r w:rsidR="009C7F88" w:rsidRPr="009C7F88">
        <w:rPr>
          <w:rFonts w:ascii="Times New Roman" w:hAnsi="Times New Roman" w:cs="Times New Roman"/>
          <w:sz w:val="24"/>
        </w:rPr>
        <w:t xml:space="preserve"> </w:t>
      </w:r>
      <w:r w:rsidR="009C7F88" w:rsidRPr="0095129A">
        <w:rPr>
          <w:rFonts w:ascii="Times New Roman" w:hAnsi="Times New Roman" w:cs="Times New Roman"/>
          <w:sz w:val="24"/>
        </w:rPr>
        <w:t xml:space="preserve">All day-old experimental chicks were weighed individually at the time of arrival, and thereafter, body weights were recorded at </w:t>
      </w:r>
      <w:r w:rsidR="009C7F88" w:rsidRPr="0095129A">
        <w:rPr>
          <w:rFonts w:ascii="Times New Roman" w:hAnsi="Times New Roman" w:cs="Times New Roman"/>
          <w:b/>
          <w:bCs/>
          <w:sz w:val="24"/>
        </w:rPr>
        <w:t>weekly intervals</w:t>
      </w:r>
      <w:r w:rsidR="009C7F88" w:rsidRPr="0095129A">
        <w:rPr>
          <w:rFonts w:ascii="Times New Roman" w:hAnsi="Times New Roman" w:cs="Times New Roman"/>
          <w:sz w:val="24"/>
        </w:rPr>
        <w:t xml:space="preserve"> throughout the experimental period. The weekly body weight gain was calculated by subtracting the body weight of the previous week from that of the current week.</w:t>
      </w:r>
      <w:r w:rsidR="009C7F88" w:rsidRPr="009C7F88">
        <w:rPr>
          <w:rFonts w:ascii="Times New Roman" w:hAnsi="Times New Roman" w:cs="Times New Roman"/>
          <w:sz w:val="24"/>
        </w:rPr>
        <w:t xml:space="preserve"> </w:t>
      </w:r>
      <w:r w:rsidR="009C7F88" w:rsidRPr="0095129A">
        <w:rPr>
          <w:rFonts w:ascii="Times New Roman" w:hAnsi="Times New Roman" w:cs="Times New Roman"/>
          <w:sz w:val="24"/>
        </w:rPr>
        <w:t>The weekly feed consumption of each treatment group was recorded, and the average feed intake (g/chick/week) was calculated by dividing the total amount of feed consumed during the week by the number of chicks in the respective treatment group.</w:t>
      </w:r>
      <w:r w:rsidR="009C7F88">
        <w:rPr>
          <w:rFonts w:ascii="Times New Roman" w:hAnsi="Times New Roman" w:cs="Times New Roman"/>
          <w:sz w:val="24"/>
        </w:rPr>
        <w:t xml:space="preserve"> </w:t>
      </w:r>
      <w:r w:rsidR="009C7F88" w:rsidRPr="0095129A">
        <w:rPr>
          <w:rFonts w:ascii="Times New Roman" w:hAnsi="Times New Roman" w:cs="Times New Roman"/>
          <w:sz w:val="24"/>
        </w:rPr>
        <w:t xml:space="preserve">The weekly water intake of each treatment group was recorded, and </w:t>
      </w:r>
      <w:r w:rsidR="009C7F88" w:rsidRPr="0095129A">
        <w:rPr>
          <w:rFonts w:ascii="Times New Roman" w:hAnsi="Times New Roman" w:cs="Times New Roman"/>
          <w:sz w:val="24"/>
        </w:rPr>
        <w:lastRenderedPageBreak/>
        <w:t>the average water intake (ml/chick/week) was calculated by dividing the total amount of water consumed during the week by the number of chicks in</w:t>
      </w:r>
      <w:r w:rsidR="009C7F88">
        <w:rPr>
          <w:rFonts w:ascii="Times New Roman" w:hAnsi="Times New Roman" w:cs="Times New Roman"/>
          <w:sz w:val="24"/>
        </w:rPr>
        <w:t xml:space="preserve"> the respective treatment group.</w:t>
      </w:r>
    </w:p>
    <w:p w14:paraId="35A8B0D1" w14:textId="77777777" w:rsidR="009C7F88" w:rsidRDefault="00A45BEC" w:rsidP="009C7F88">
      <w:pPr>
        <w:spacing w:after="0" w:line="360" w:lineRule="auto"/>
        <w:ind w:firstLine="720"/>
        <w:jc w:val="both"/>
        <w:rPr>
          <w:rFonts w:ascii="Times New Roman" w:hAnsi="Times New Roman" w:cs="Times New Roman"/>
          <w:sz w:val="24"/>
        </w:rPr>
      </w:pPr>
      <w:r w:rsidRPr="00DB092B">
        <w:rPr>
          <w:rFonts w:ascii="Times New Roman" w:hAnsi="Times New Roman" w:cs="Times New Roman"/>
          <w:sz w:val="24"/>
        </w:rPr>
        <w:t>The productive performance of the broilers in terms of performance index for different treat</w:t>
      </w:r>
      <w:r w:rsidR="009C7F88">
        <w:rPr>
          <w:rFonts w:ascii="Times New Roman" w:hAnsi="Times New Roman" w:cs="Times New Roman"/>
          <w:sz w:val="24"/>
        </w:rPr>
        <w:t>ment groups on weekly intervals.</w:t>
      </w:r>
      <w:r w:rsidR="009C7F88" w:rsidRPr="009C7F88">
        <w:rPr>
          <w:rFonts w:ascii="Times New Roman" w:hAnsi="Times New Roman" w:cs="Times New Roman"/>
          <w:sz w:val="24"/>
        </w:rPr>
        <w:t xml:space="preserve"> </w:t>
      </w:r>
      <w:r w:rsidR="009C7F88" w:rsidRPr="0095129A">
        <w:rPr>
          <w:rFonts w:ascii="Times New Roman" w:hAnsi="Times New Roman" w:cs="Times New Roman"/>
          <w:sz w:val="24"/>
        </w:rPr>
        <w:t xml:space="preserve">The data pertaining to various parameters recorded during the present study were subjected to </w:t>
      </w:r>
      <w:r w:rsidR="009C7F88" w:rsidRPr="0095129A">
        <w:rPr>
          <w:rFonts w:ascii="Times New Roman" w:hAnsi="Times New Roman" w:cs="Times New Roman"/>
          <w:b/>
          <w:bCs/>
          <w:sz w:val="24"/>
        </w:rPr>
        <w:t>one-way analysis of variance (ANOVA)</w:t>
      </w:r>
      <w:r w:rsidR="009C7F88" w:rsidRPr="0095129A">
        <w:rPr>
          <w:rFonts w:ascii="Times New Roman" w:hAnsi="Times New Roman" w:cs="Times New Roman"/>
          <w:sz w:val="24"/>
        </w:rPr>
        <w:t xml:space="preserve"> following the procedure described by </w:t>
      </w:r>
      <w:r w:rsidR="009C7F88" w:rsidRPr="0095129A">
        <w:rPr>
          <w:rFonts w:ascii="Times New Roman" w:hAnsi="Times New Roman" w:cs="Times New Roman"/>
          <w:b/>
          <w:bCs/>
          <w:sz w:val="24"/>
        </w:rPr>
        <w:t>Snedecor and Cochran (2004)</w:t>
      </w:r>
      <w:r w:rsidR="009C7F88" w:rsidRPr="0095129A">
        <w:rPr>
          <w:rFonts w:ascii="Times New Roman" w:hAnsi="Times New Roman" w:cs="Times New Roman"/>
          <w:sz w:val="24"/>
        </w:rPr>
        <w:t xml:space="preserve"> using </w:t>
      </w:r>
      <w:r w:rsidR="009C7F88" w:rsidRPr="0095129A">
        <w:rPr>
          <w:rFonts w:ascii="Times New Roman" w:hAnsi="Times New Roman" w:cs="Times New Roman"/>
          <w:b/>
          <w:bCs/>
          <w:sz w:val="24"/>
        </w:rPr>
        <w:t>SPSS statistical software (version 21)</w:t>
      </w:r>
      <w:r w:rsidR="009C7F88" w:rsidRPr="0095129A">
        <w:rPr>
          <w:rFonts w:ascii="Times New Roman" w:hAnsi="Times New Roman" w:cs="Times New Roman"/>
          <w:sz w:val="24"/>
        </w:rPr>
        <w:t>. The means of different experimental groups were compared for statistical significance (</w:t>
      </w:r>
      <w:r w:rsidR="009C7F88" w:rsidRPr="0095129A">
        <w:rPr>
          <w:rFonts w:ascii="Times New Roman" w:hAnsi="Times New Roman" w:cs="Times New Roman"/>
          <w:b/>
          <w:bCs/>
          <w:sz w:val="24"/>
        </w:rPr>
        <w:t>P &lt; 0.05</w:t>
      </w:r>
      <w:r w:rsidR="009C7F88" w:rsidRPr="0095129A">
        <w:rPr>
          <w:rFonts w:ascii="Times New Roman" w:hAnsi="Times New Roman" w:cs="Times New Roman"/>
          <w:sz w:val="24"/>
        </w:rPr>
        <w:t xml:space="preserve">) using </w:t>
      </w:r>
      <w:r w:rsidR="009C7F88" w:rsidRPr="0095129A">
        <w:rPr>
          <w:rFonts w:ascii="Times New Roman" w:hAnsi="Times New Roman" w:cs="Times New Roman"/>
          <w:b/>
          <w:bCs/>
          <w:sz w:val="24"/>
        </w:rPr>
        <w:t>Duncan’s New Multiple Range Test (Duncan, 1955)</w:t>
      </w:r>
      <w:r w:rsidR="009C7F88" w:rsidRPr="0095129A">
        <w:rPr>
          <w:rFonts w:ascii="Times New Roman" w:hAnsi="Times New Roman" w:cs="Times New Roman"/>
          <w:sz w:val="24"/>
        </w:rPr>
        <w:t>.</w:t>
      </w:r>
    </w:p>
    <w:p w14:paraId="23940464" w14:textId="77777777" w:rsidR="00462146" w:rsidRPr="00462146" w:rsidRDefault="00462146" w:rsidP="00462146">
      <w:pPr>
        <w:spacing w:after="0" w:line="360" w:lineRule="auto"/>
        <w:jc w:val="both"/>
        <w:rPr>
          <w:rFonts w:ascii="Times New Roman" w:hAnsi="Times New Roman" w:cs="Times New Roman"/>
          <w:b/>
          <w:sz w:val="28"/>
        </w:rPr>
      </w:pPr>
      <w:r w:rsidRPr="00462146">
        <w:rPr>
          <w:rFonts w:ascii="Times New Roman" w:hAnsi="Times New Roman" w:cs="Times New Roman"/>
          <w:b/>
          <w:sz w:val="28"/>
        </w:rPr>
        <w:t>Result and Discussion</w:t>
      </w:r>
    </w:p>
    <w:p w14:paraId="0079283B" w14:textId="77777777" w:rsidR="0095129A" w:rsidRDefault="0095129A" w:rsidP="0095129A">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The effect of organic acid supplementation through drinking water on broiler performance was evaluated by measuring parameters such as average body weight, body weight gain, average daily gain, feed consumption, feed conversion ratio, and performance index. The results obtained from the experiment were statistically analyzed and are presented in </w:t>
      </w:r>
      <w:r w:rsidRPr="0095129A">
        <w:rPr>
          <w:rFonts w:ascii="Times New Roman" w:hAnsi="Times New Roman" w:cs="Times New Roman"/>
          <w:b/>
          <w:bCs/>
          <w:sz w:val="24"/>
        </w:rPr>
        <w:t>Tables 1 and 2</w:t>
      </w:r>
      <w:r w:rsidRPr="0095129A">
        <w:rPr>
          <w:rFonts w:ascii="Times New Roman" w:hAnsi="Times New Roman" w:cs="Times New Roman"/>
          <w:sz w:val="24"/>
        </w:rPr>
        <w:t>.</w:t>
      </w:r>
    </w:p>
    <w:p w14:paraId="4308FFE1" w14:textId="77777777" w:rsidR="00462146" w:rsidRDefault="00FE767D" w:rsidP="00462146">
      <w:pPr>
        <w:spacing w:after="0" w:line="360" w:lineRule="auto"/>
        <w:jc w:val="both"/>
        <w:rPr>
          <w:rFonts w:ascii="Times New Roman" w:hAnsi="Times New Roman" w:cs="Times New Roman"/>
          <w:b/>
          <w:sz w:val="24"/>
        </w:rPr>
      </w:pPr>
      <w:r>
        <w:rPr>
          <w:rFonts w:ascii="Times New Roman" w:hAnsi="Times New Roman" w:cs="Times New Roman"/>
          <w:b/>
          <w:sz w:val="24"/>
        </w:rPr>
        <w:t xml:space="preserve">1. </w:t>
      </w:r>
      <w:r w:rsidR="00462146" w:rsidRPr="00462146">
        <w:rPr>
          <w:rFonts w:ascii="Times New Roman" w:hAnsi="Times New Roman" w:cs="Times New Roman"/>
          <w:b/>
          <w:sz w:val="24"/>
        </w:rPr>
        <w:t>Weekly Average Body Weight</w:t>
      </w:r>
      <w:r w:rsidR="00462146">
        <w:rPr>
          <w:rFonts w:ascii="Times New Roman" w:hAnsi="Times New Roman" w:cs="Times New Roman"/>
          <w:b/>
          <w:sz w:val="24"/>
        </w:rPr>
        <w:t>-</w:t>
      </w:r>
    </w:p>
    <w:p w14:paraId="4B4D272A" w14:textId="77777777" w:rsidR="0095129A" w:rsidRPr="0095129A" w:rsidRDefault="0095129A" w:rsidP="00E3295F">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Body weight is an important indicator of growth performance in broiler chickens, as it directly reflects the overall productivity of birds and also serves as a basis for calculating several other performance parameters such as body weight gain, feed conversion ratio, and performance index. The mean body weight of broiler chickens in different treatment groups increased progressively throughout the experimental period. As presented in </w:t>
      </w:r>
      <w:r w:rsidRPr="0095129A">
        <w:rPr>
          <w:rFonts w:ascii="Times New Roman" w:hAnsi="Times New Roman" w:cs="Times New Roman"/>
          <w:b/>
          <w:bCs/>
          <w:sz w:val="24"/>
        </w:rPr>
        <w:t>Table 1</w:t>
      </w:r>
      <w:r w:rsidRPr="0095129A">
        <w:rPr>
          <w:rFonts w:ascii="Times New Roman" w:hAnsi="Times New Roman" w:cs="Times New Roman"/>
          <w:sz w:val="24"/>
        </w:rPr>
        <w:t xml:space="preserve">, the body weight increased from </w:t>
      </w:r>
      <w:r w:rsidRPr="0095129A">
        <w:rPr>
          <w:rFonts w:ascii="Times New Roman" w:hAnsi="Times New Roman" w:cs="Times New Roman"/>
          <w:b/>
          <w:bCs/>
          <w:sz w:val="24"/>
        </w:rPr>
        <w:t>41.00±0.37 g to 1258.61±25.95 g in T1</w:t>
      </w:r>
      <w:r w:rsidRPr="0095129A">
        <w:rPr>
          <w:rFonts w:ascii="Times New Roman" w:hAnsi="Times New Roman" w:cs="Times New Roman"/>
          <w:sz w:val="24"/>
        </w:rPr>
        <w:t xml:space="preserve">, </w:t>
      </w:r>
      <w:r w:rsidRPr="0095129A">
        <w:rPr>
          <w:rFonts w:ascii="Times New Roman" w:hAnsi="Times New Roman" w:cs="Times New Roman"/>
          <w:b/>
          <w:bCs/>
          <w:sz w:val="24"/>
        </w:rPr>
        <w:t>41.27±0.18 g to 1428.48±23.77 g in T2</w:t>
      </w:r>
      <w:r w:rsidRPr="0095129A">
        <w:rPr>
          <w:rFonts w:ascii="Times New Roman" w:hAnsi="Times New Roman" w:cs="Times New Roman"/>
          <w:sz w:val="24"/>
        </w:rPr>
        <w:t xml:space="preserve">, </w:t>
      </w:r>
      <w:r w:rsidRPr="0095129A">
        <w:rPr>
          <w:rFonts w:ascii="Times New Roman" w:hAnsi="Times New Roman" w:cs="Times New Roman"/>
          <w:b/>
          <w:bCs/>
          <w:sz w:val="24"/>
        </w:rPr>
        <w:t>41.39±0.17 g to 1343.17±25.31 g in T3</w:t>
      </w:r>
      <w:r w:rsidRPr="0095129A">
        <w:rPr>
          <w:rFonts w:ascii="Times New Roman" w:hAnsi="Times New Roman" w:cs="Times New Roman"/>
          <w:sz w:val="24"/>
        </w:rPr>
        <w:t xml:space="preserve">, and </w:t>
      </w:r>
      <w:r w:rsidRPr="0095129A">
        <w:rPr>
          <w:rFonts w:ascii="Times New Roman" w:hAnsi="Times New Roman" w:cs="Times New Roman"/>
          <w:b/>
          <w:bCs/>
          <w:sz w:val="24"/>
        </w:rPr>
        <w:t>41.29±0.20 g to 1374.24±36.14 g in T4</w:t>
      </w:r>
      <w:r w:rsidRPr="0095129A">
        <w:rPr>
          <w:rFonts w:ascii="Times New Roman" w:hAnsi="Times New Roman" w:cs="Times New Roman"/>
          <w:sz w:val="24"/>
        </w:rPr>
        <w:t>.</w:t>
      </w:r>
    </w:p>
    <w:p w14:paraId="69E4660C" w14:textId="77777777" w:rsidR="0095129A" w:rsidRPr="0095129A" w:rsidRDefault="0095129A" w:rsidP="009C7F88">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At the beginning of the experiment (day-old chicks), no significant difference (</w:t>
      </w:r>
      <w:r w:rsidRPr="0095129A">
        <w:rPr>
          <w:rFonts w:ascii="Times New Roman" w:hAnsi="Times New Roman" w:cs="Times New Roman"/>
          <w:b/>
          <w:bCs/>
          <w:sz w:val="24"/>
        </w:rPr>
        <w:t>P&gt;0.05</w:t>
      </w:r>
      <w:r w:rsidRPr="0095129A">
        <w:rPr>
          <w:rFonts w:ascii="Times New Roman" w:hAnsi="Times New Roman" w:cs="Times New Roman"/>
          <w:sz w:val="24"/>
        </w:rPr>
        <w:t xml:space="preserve">) </w:t>
      </w:r>
      <w:r w:rsidR="00BB3E35">
        <w:t xml:space="preserve">among treatment groups with mean body </w:t>
      </w:r>
      <w:r w:rsidR="00BB3E35">
        <w:rPr>
          <w:position w:val="1"/>
        </w:rPr>
        <w:t>weights ranging from 41.00 ± 0.37 g in T</w:t>
      </w:r>
      <w:r w:rsidR="00BB3E35">
        <w:rPr>
          <w:sz w:val="16"/>
        </w:rPr>
        <w:t>1</w:t>
      </w:r>
      <w:r w:rsidR="00BB3E35">
        <w:rPr>
          <w:spacing w:val="40"/>
          <w:sz w:val="16"/>
        </w:rPr>
        <w:t xml:space="preserve"> </w:t>
      </w:r>
      <w:r w:rsidR="00BB3E35">
        <w:rPr>
          <w:position w:val="1"/>
        </w:rPr>
        <w:t>to 41.29 ± 0.20 g in T</w:t>
      </w:r>
      <w:r w:rsidR="00BB3E35">
        <w:rPr>
          <w:sz w:val="16"/>
        </w:rPr>
        <w:t>4</w:t>
      </w:r>
      <w:r w:rsidR="00BB3E35">
        <w:rPr>
          <w:spacing w:val="40"/>
          <w:sz w:val="16"/>
        </w:rPr>
        <w:t xml:space="preserve"> </w:t>
      </w:r>
      <w:r w:rsidRPr="0095129A">
        <w:rPr>
          <w:rFonts w:ascii="Times New Roman" w:hAnsi="Times New Roman" w:cs="Times New Roman"/>
          <w:sz w:val="24"/>
        </w:rPr>
        <w:t xml:space="preserve">was observed among the treatment groups, indicating uniformity in the initial body weight of the birds. </w:t>
      </w:r>
    </w:p>
    <w:p w14:paraId="7A2BDADC" w14:textId="77777777" w:rsidR="0095129A" w:rsidRPr="0095129A" w:rsidRDefault="0095129A" w:rsidP="00E3295F">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At the end of the </w:t>
      </w:r>
      <w:r w:rsidRPr="0095129A">
        <w:rPr>
          <w:rFonts w:ascii="Times New Roman" w:hAnsi="Times New Roman" w:cs="Times New Roman"/>
          <w:b/>
          <w:bCs/>
          <w:sz w:val="24"/>
        </w:rPr>
        <w:t>fourth week</w:t>
      </w:r>
      <w:r w:rsidRPr="0095129A">
        <w:rPr>
          <w:rFonts w:ascii="Times New Roman" w:hAnsi="Times New Roman" w:cs="Times New Roman"/>
          <w:sz w:val="24"/>
        </w:rPr>
        <w:t xml:space="preserve">, the highest final body weight was observed in </w:t>
      </w:r>
      <w:r w:rsidRPr="0095129A">
        <w:rPr>
          <w:rFonts w:ascii="Times New Roman" w:hAnsi="Times New Roman" w:cs="Times New Roman"/>
          <w:b/>
          <w:bCs/>
          <w:sz w:val="24"/>
        </w:rPr>
        <w:t>T2 (1428.48±23.77 g)</w:t>
      </w:r>
      <w:r w:rsidRPr="0095129A">
        <w:rPr>
          <w:rFonts w:ascii="Times New Roman" w:hAnsi="Times New Roman" w:cs="Times New Roman"/>
          <w:sz w:val="24"/>
        </w:rPr>
        <w:t xml:space="preserve"> followed by </w:t>
      </w:r>
      <w:r w:rsidRPr="0095129A">
        <w:rPr>
          <w:rFonts w:ascii="Times New Roman" w:hAnsi="Times New Roman" w:cs="Times New Roman"/>
          <w:b/>
          <w:bCs/>
          <w:sz w:val="24"/>
        </w:rPr>
        <w:t>T4 (1374.24±36.14 g)</w:t>
      </w:r>
      <w:r w:rsidRPr="0095129A">
        <w:rPr>
          <w:rFonts w:ascii="Times New Roman" w:hAnsi="Times New Roman" w:cs="Times New Roman"/>
          <w:sz w:val="24"/>
        </w:rPr>
        <w:t xml:space="preserve"> and </w:t>
      </w:r>
      <w:r w:rsidRPr="0095129A">
        <w:rPr>
          <w:rFonts w:ascii="Times New Roman" w:hAnsi="Times New Roman" w:cs="Times New Roman"/>
          <w:b/>
          <w:bCs/>
          <w:sz w:val="24"/>
        </w:rPr>
        <w:t>T3 (1343.17±25.31 g)</w:t>
      </w:r>
      <w:r w:rsidRPr="0095129A">
        <w:rPr>
          <w:rFonts w:ascii="Times New Roman" w:hAnsi="Times New Roman" w:cs="Times New Roman"/>
          <w:sz w:val="24"/>
        </w:rPr>
        <w:t xml:space="preserve">, whereas the lowest body weight was recorded in the control group </w:t>
      </w:r>
      <w:r w:rsidRPr="0095129A">
        <w:rPr>
          <w:rFonts w:ascii="Times New Roman" w:hAnsi="Times New Roman" w:cs="Times New Roman"/>
          <w:b/>
          <w:bCs/>
          <w:sz w:val="24"/>
        </w:rPr>
        <w:t>T1 (1258.61±25.95 g)</w:t>
      </w:r>
      <w:r w:rsidRPr="0095129A">
        <w:rPr>
          <w:rFonts w:ascii="Times New Roman" w:hAnsi="Times New Roman" w:cs="Times New Roman"/>
          <w:sz w:val="24"/>
        </w:rPr>
        <w:t>.</w:t>
      </w:r>
    </w:p>
    <w:p w14:paraId="7F781777" w14:textId="77777777" w:rsidR="0095129A" w:rsidRPr="0095129A" w:rsidRDefault="0095129A" w:rsidP="00E3295F">
      <w:pPr>
        <w:spacing w:after="0" w:line="360" w:lineRule="auto"/>
        <w:ind w:firstLine="720"/>
        <w:jc w:val="both"/>
        <w:rPr>
          <w:rFonts w:ascii="Times New Roman" w:hAnsi="Times New Roman" w:cs="Times New Roman"/>
          <w:sz w:val="24"/>
        </w:rPr>
      </w:pPr>
      <w:r w:rsidRPr="0095129A">
        <w:rPr>
          <w:rFonts w:ascii="Times New Roman" w:hAnsi="Times New Roman" w:cs="Times New Roman"/>
          <w:sz w:val="24"/>
        </w:rPr>
        <w:t xml:space="preserve">The results clearly indicate that supplementation of organic acids significantly improved body weight compared to the control treatment. Among the treatments, </w:t>
      </w:r>
      <w:r w:rsidRPr="0095129A">
        <w:rPr>
          <w:rFonts w:ascii="Times New Roman" w:hAnsi="Times New Roman" w:cs="Times New Roman"/>
          <w:b/>
          <w:bCs/>
          <w:sz w:val="24"/>
        </w:rPr>
        <w:t xml:space="preserve">citric acid </w:t>
      </w:r>
      <w:r w:rsidRPr="0095129A">
        <w:rPr>
          <w:rFonts w:ascii="Times New Roman" w:hAnsi="Times New Roman" w:cs="Times New Roman"/>
          <w:b/>
          <w:bCs/>
          <w:sz w:val="24"/>
        </w:rPr>
        <w:lastRenderedPageBreak/>
        <w:t>supplementation (T2)</w:t>
      </w:r>
      <w:r w:rsidRPr="0095129A">
        <w:rPr>
          <w:rFonts w:ascii="Times New Roman" w:hAnsi="Times New Roman" w:cs="Times New Roman"/>
          <w:sz w:val="24"/>
        </w:rPr>
        <w:t xml:space="preserve"> showed the most pronounced effect on growth performance. These findings are in agreement with the reports of </w:t>
      </w:r>
      <w:r w:rsidRPr="0095129A">
        <w:rPr>
          <w:rFonts w:ascii="Times New Roman" w:hAnsi="Times New Roman" w:cs="Times New Roman"/>
          <w:b/>
          <w:bCs/>
          <w:sz w:val="24"/>
        </w:rPr>
        <w:t xml:space="preserve">Islam </w:t>
      </w:r>
      <w:r w:rsidRPr="00FE767D">
        <w:rPr>
          <w:rFonts w:ascii="Times New Roman" w:hAnsi="Times New Roman" w:cs="Times New Roman"/>
          <w:b/>
          <w:bCs/>
          <w:i/>
          <w:sz w:val="24"/>
        </w:rPr>
        <w:t>et al.</w:t>
      </w:r>
      <w:r w:rsidRPr="0095129A">
        <w:rPr>
          <w:rFonts w:ascii="Times New Roman" w:hAnsi="Times New Roman" w:cs="Times New Roman"/>
          <w:b/>
          <w:bCs/>
          <w:sz w:val="24"/>
        </w:rPr>
        <w:t xml:space="preserve"> (2008)</w:t>
      </w:r>
      <w:r w:rsidRPr="0095129A">
        <w:rPr>
          <w:rFonts w:ascii="Times New Roman" w:hAnsi="Times New Roman" w:cs="Times New Roman"/>
          <w:sz w:val="24"/>
        </w:rPr>
        <w:t xml:space="preserve">, </w:t>
      </w:r>
      <w:proofErr w:type="spellStart"/>
      <w:r w:rsidRPr="0095129A">
        <w:rPr>
          <w:rFonts w:ascii="Times New Roman" w:hAnsi="Times New Roman" w:cs="Times New Roman"/>
          <w:b/>
          <w:bCs/>
          <w:sz w:val="24"/>
        </w:rPr>
        <w:t>Nourmohammadi</w:t>
      </w:r>
      <w:proofErr w:type="spellEnd"/>
      <w:r w:rsidRPr="0095129A">
        <w:rPr>
          <w:rFonts w:ascii="Times New Roman" w:hAnsi="Times New Roman" w:cs="Times New Roman"/>
          <w:b/>
          <w:bCs/>
          <w:sz w:val="24"/>
        </w:rPr>
        <w:t xml:space="preserve"> and </w:t>
      </w:r>
      <w:proofErr w:type="spellStart"/>
      <w:r w:rsidRPr="0095129A">
        <w:rPr>
          <w:rFonts w:ascii="Times New Roman" w:hAnsi="Times New Roman" w:cs="Times New Roman"/>
          <w:b/>
          <w:bCs/>
          <w:sz w:val="24"/>
        </w:rPr>
        <w:t>Khosravinia</w:t>
      </w:r>
      <w:proofErr w:type="spellEnd"/>
      <w:r w:rsidRPr="0095129A">
        <w:rPr>
          <w:rFonts w:ascii="Times New Roman" w:hAnsi="Times New Roman" w:cs="Times New Roman"/>
          <w:b/>
          <w:bCs/>
          <w:sz w:val="24"/>
        </w:rPr>
        <w:t xml:space="preserve"> (2015)</w:t>
      </w:r>
      <w:r w:rsidRPr="0095129A">
        <w:rPr>
          <w:rFonts w:ascii="Times New Roman" w:hAnsi="Times New Roman" w:cs="Times New Roman"/>
          <w:sz w:val="24"/>
        </w:rPr>
        <w:t xml:space="preserve">, </w:t>
      </w:r>
      <w:proofErr w:type="spellStart"/>
      <w:r w:rsidRPr="0095129A">
        <w:rPr>
          <w:rFonts w:ascii="Times New Roman" w:hAnsi="Times New Roman" w:cs="Times New Roman"/>
          <w:b/>
          <w:bCs/>
          <w:sz w:val="24"/>
        </w:rPr>
        <w:t>Nourmohammadi</w:t>
      </w:r>
      <w:proofErr w:type="spellEnd"/>
      <w:r w:rsidRPr="0095129A">
        <w:rPr>
          <w:rFonts w:ascii="Times New Roman" w:hAnsi="Times New Roman" w:cs="Times New Roman"/>
          <w:b/>
          <w:bCs/>
          <w:sz w:val="24"/>
        </w:rPr>
        <w:t xml:space="preserve"> </w:t>
      </w:r>
      <w:r w:rsidRPr="00FE767D">
        <w:rPr>
          <w:rFonts w:ascii="Times New Roman" w:hAnsi="Times New Roman" w:cs="Times New Roman"/>
          <w:b/>
          <w:bCs/>
          <w:i/>
          <w:sz w:val="24"/>
        </w:rPr>
        <w:t>et al.</w:t>
      </w:r>
      <w:r w:rsidRPr="0095129A">
        <w:rPr>
          <w:rFonts w:ascii="Times New Roman" w:hAnsi="Times New Roman" w:cs="Times New Roman"/>
          <w:b/>
          <w:bCs/>
          <w:sz w:val="24"/>
        </w:rPr>
        <w:t xml:space="preserve"> (2012)</w:t>
      </w:r>
      <w:r w:rsidRPr="0095129A">
        <w:rPr>
          <w:rFonts w:ascii="Times New Roman" w:hAnsi="Times New Roman" w:cs="Times New Roman"/>
          <w:sz w:val="24"/>
        </w:rPr>
        <w:t xml:space="preserve">, and </w:t>
      </w:r>
      <w:r w:rsidRPr="0095129A">
        <w:rPr>
          <w:rFonts w:ascii="Times New Roman" w:hAnsi="Times New Roman" w:cs="Times New Roman"/>
          <w:b/>
          <w:bCs/>
          <w:sz w:val="24"/>
        </w:rPr>
        <w:t>Mohammed (2018)</w:t>
      </w:r>
      <w:r w:rsidRPr="0095129A">
        <w:rPr>
          <w:rFonts w:ascii="Times New Roman" w:hAnsi="Times New Roman" w:cs="Times New Roman"/>
          <w:sz w:val="24"/>
        </w:rPr>
        <w:t>, who also observed improved body weight in broilers supplemented with citric acid.</w:t>
      </w:r>
    </w:p>
    <w:p w14:paraId="3D291FA6" w14:textId="77777777" w:rsidR="00D1728C" w:rsidRPr="00D1728C" w:rsidRDefault="00FE767D" w:rsidP="00D1728C">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2. </w:t>
      </w:r>
      <w:r w:rsidR="00D1728C" w:rsidRPr="00D1728C">
        <w:rPr>
          <w:rFonts w:ascii="Times New Roman" w:hAnsi="Times New Roman" w:cs="Times New Roman"/>
          <w:b/>
          <w:bCs/>
          <w:sz w:val="24"/>
        </w:rPr>
        <w:t>Weekly Average Body Weight Gain</w:t>
      </w:r>
    </w:p>
    <w:p w14:paraId="6DB0010A" w14:textId="77777777"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weekly average body weight gain of broiler chickens under different treatment groups is presented in </w:t>
      </w:r>
      <w:r w:rsidRPr="00E3295F">
        <w:rPr>
          <w:rFonts w:ascii="Times New Roman" w:hAnsi="Times New Roman" w:cs="Times New Roman"/>
          <w:b/>
          <w:bCs/>
          <w:sz w:val="24"/>
        </w:rPr>
        <w:t>Table 1</w:t>
      </w:r>
      <w:r w:rsidRPr="00E3295F">
        <w:rPr>
          <w:rFonts w:ascii="Times New Roman" w:hAnsi="Times New Roman" w:cs="Times New Roman"/>
          <w:sz w:val="24"/>
        </w:rPr>
        <w:t>. Body weight gain is considered an important indicator of growth performance, as it reflects the efficiency of nutrient utilization in broiler chickens. In the present study, supplementation of organic acids through drinking water showed a positive effect on body weight gain compared to the control group.</w:t>
      </w:r>
    </w:p>
    <w:p w14:paraId="1424BF64" w14:textId="77777777"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During the </w:t>
      </w:r>
      <w:r w:rsidRPr="00E3295F">
        <w:rPr>
          <w:rFonts w:ascii="Times New Roman" w:hAnsi="Times New Roman" w:cs="Times New Roman"/>
          <w:b/>
          <w:bCs/>
          <w:sz w:val="24"/>
        </w:rPr>
        <w:t>first week (0–I week)</w:t>
      </w:r>
      <w:r w:rsidRPr="00E3295F">
        <w:rPr>
          <w:rFonts w:ascii="Times New Roman" w:hAnsi="Times New Roman" w:cs="Times New Roman"/>
          <w:sz w:val="24"/>
        </w:rPr>
        <w:t>, a significant difference (</w:t>
      </w:r>
      <w:r w:rsidRPr="00E3295F">
        <w:rPr>
          <w:rFonts w:ascii="Times New Roman" w:hAnsi="Times New Roman" w:cs="Times New Roman"/>
          <w:b/>
          <w:bCs/>
          <w:sz w:val="24"/>
        </w:rPr>
        <w:t>P &lt; 0.05</w:t>
      </w:r>
      <w:r w:rsidRPr="00E3295F">
        <w:rPr>
          <w:rFonts w:ascii="Times New Roman" w:hAnsi="Times New Roman" w:cs="Times New Roman"/>
          <w:sz w:val="24"/>
        </w:rPr>
        <w:t xml:space="preserve">) in body weight gain was observed among the treatment groups. The highest body weight gain was recorded in </w:t>
      </w:r>
      <w:r w:rsidRPr="00E3295F">
        <w:rPr>
          <w:rFonts w:ascii="Times New Roman" w:hAnsi="Times New Roman" w:cs="Times New Roman"/>
          <w:b/>
          <w:bCs/>
          <w:sz w:val="24"/>
        </w:rPr>
        <w:t>T2 (123.64 ± 4.98 g)</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(109.19 ± 3.46 g)</w:t>
      </w:r>
      <w:r w:rsidRPr="00E3295F">
        <w:rPr>
          <w:rFonts w:ascii="Times New Roman" w:hAnsi="Times New Roman" w:cs="Times New Roman"/>
          <w:sz w:val="24"/>
        </w:rPr>
        <w:t xml:space="preserve"> and </w:t>
      </w:r>
      <w:r w:rsidRPr="00E3295F">
        <w:rPr>
          <w:rFonts w:ascii="Times New Roman" w:hAnsi="Times New Roman" w:cs="Times New Roman"/>
          <w:b/>
          <w:bCs/>
          <w:sz w:val="24"/>
        </w:rPr>
        <w:t>T3 (102.79 ± 2.32 g)</w:t>
      </w:r>
      <w:r w:rsidRPr="00E3295F">
        <w:rPr>
          <w:rFonts w:ascii="Times New Roman" w:hAnsi="Times New Roman" w:cs="Times New Roman"/>
          <w:sz w:val="24"/>
        </w:rPr>
        <w:t xml:space="preserve">, while the lowest gain was observed in the control group </w:t>
      </w:r>
      <w:r w:rsidRPr="00E3295F">
        <w:rPr>
          <w:rFonts w:ascii="Times New Roman" w:hAnsi="Times New Roman" w:cs="Times New Roman"/>
          <w:b/>
          <w:bCs/>
          <w:sz w:val="24"/>
        </w:rPr>
        <w:t>T1 (80.07 ± 4.41 g)</w:t>
      </w:r>
      <w:r w:rsidRPr="00E3295F">
        <w:rPr>
          <w:rFonts w:ascii="Times New Roman" w:hAnsi="Times New Roman" w:cs="Times New Roman"/>
          <w:sz w:val="24"/>
        </w:rPr>
        <w:t xml:space="preserve">. The statistical analysis indicated that birds receiving </w:t>
      </w:r>
      <w:r w:rsidRPr="00E3295F">
        <w:rPr>
          <w:rFonts w:ascii="Times New Roman" w:hAnsi="Times New Roman" w:cs="Times New Roman"/>
          <w:b/>
          <w:bCs/>
          <w:sz w:val="24"/>
        </w:rPr>
        <w:t>citric acid supplementation (T2)</w:t>
      </w:r>
      <w:r w:rsidRPr="00E3295F">
        <w:rPr>
          <w:rFonts w:ascii="Times New Roman" w:hAnsi="Times New Roman" w:cs="Times New Roman"/>
          <w:sz w:val="24"/>
        </w:rPr>
        <w:t xml:space="preserve"> exhibited significantly higher weight gain compared to the control group.</w:t>
      </w:r>
    </w:p>
    <w:p w14:paraId="60CF2263" w14:textId="77777777" w:rsidR="00E3295F" w:rsidRPr="00E3295F" w:rsidRDefault="007E3B64" w:rsidP="00E3295F">
      <w:pPr>
        <w:spacing w:after="0" w:line="360" w:lineRule="auto"/>
        <w:ind w:firstLine="720"/>
        <w:jc w:val="both"/>
        <w:rPr>
          <w:rFonts w:ascii="Times New Roman" w:hAnsi="Times New Roman" w:cs="Times New Roman"/>
          <w:sz w:val="24"/>
        </w:rPr>
      </w:pPr>
      <w:r>
        <w:rPr>
          <w:rFonts w:ascii="Times New Roman" w:hAnsi="Times New Roman" w:cs="Times New Roman"/>
          <w:sz w:val="24"/>
        </w:rPr>
        <w:t>At the end of experiment</w:t>
      </w:r>
      <w:r w:rsidR="00E3295F" w:rsidRPr="00E3295F">
        <w:rPr>
          <w:rFonts w:ascii="Times New Roman" w:hAnsi="Times New Roman" w:cs="Times New Roman"/>
          <w:sz w:val="24"/>
        </w:rPr>
        <w:t xml:space="preserve"> </w:t>
      </w:r>
      <w:r w:rsidR="00E3295F" w:rsidRPr="00E3295F">
        <w:rPr>
          <w:rFonts w:ascii="Times New Roman" w:hAnsi="Times New Roman" w:cs="Times New Roman"/>
          <w:b/>
          <w:bCs/>
          <w:sz w:val="24"/>
        </w:rPr>
        <w:t>fourth week (III–IV week)</w:t>
      </w:r>
      <w:r w:rsidR="00E3295F" w:rsidRPr="00E3295F">
        <w:rPr>
          <w:rFonts w:ascii="Times New Roman" w:hAnsi="Times New Roman" w:cs="Times New Roman"/>
          <w:sz w:val="24"/>
        </w:rPr>
        <w:t xml:space="preserve">, the highest body weight gain was observed in </w:t>
      </w:r>
      <w:r w:rsidR="00E3295F" w:rsidRPr="00E3295F">
        <w:rPr>
          <w:rFonts w:ascii="Times New Roman" w:hAnsi="Times New Roman" w:cs="Times New Roman"/>
          <w:b/>
          <w:bCs/>
          <w:sz w:val="24"/>
        </w:rPr>
        <w:t>T4 (626.99 ± 24.58 g)</w:t>
      </w:r>
      <w:r w:rsidR="00E3295F" w:rsidRPr="00E3295F">
        <w:rPr>
          <w:rFonts w:ascii="Times New Roman" w:hAnsi="Times New Roman" w:cs="Times New Roman"/>
          <w:sz w:val="24"/>
        </w:rPr>
        <w:t xml:space="preserve"> followed by </w:t>
      </w:r>
      <w:r w:rsidR="00E3295F" w:rsidRPr="00E3295F">
        <w:rPr>
          <w:rFonts w:ascii="Times New Roman" w:hAnsi="Times New Roman" w:cs="Times New Roman"/>
          <w:b/>
          <w:bCs/>
          <w:sz w:val="24"/>
        </w:rPr>
        <w:t>T3 (579.34 ± 16.65 g)</w:t>
      </w:r>
      <w:r w:rsidR="00E3295F" w:rsidRPr="00E3295F">
        <w:rPr>
          <w:rFonts w:ascii="Times New Roman" w:hAnsi="Times New Roman" w:cs="Times New Roman"/>
          <w:sz w:val="24"/>
        </w:rPr>
        <w:t xml:space="preserve"> and </w:t>
      </w:r>
      <w:r w:rsidR="00E3295F" w:rsidRPr="00E3295F">
        <w:rPr>
          <w:rFonts w:ascii="Times New Roman" w:hAnsi="Times New Roman" w:cs="Times New Roman"/>
          <w:b/>
          <w:bCs/>
          <w:sz w:val="24"/>
        </w:rPr>
        <w:t>T2 (576.40 ± 15.77 g)</w:t>
      </w:r>
      <w:r w:rsidR="00E3295F" w:rsidRPr="00E3295F">
        <w:rPr>
          <w:rFonts w:ascii="Times New Roman" w:hAnsi="Times New Roman" w:cs="Times New Roman"/>
          <w:sz w:val="24"/>
        </w:rPr>
        <w:t xml:space="preserve">, while the lowest gain was recorded in the control group </w:t>
      </w:r>
      <w:r w:rsidR="00E3295F" w:rsidRPr="00E3295F">
        <w:rPr>
          <w:rFonts w:ascii="Times New Roman" w:hAnsi="Times New Roman" w:cs="Times New Roman"/>
          <w:b/>
          <w:bCs/>
          <w:sz w:val="24"/>
        </w:rPr>
        <w:t>T1 (553.11 ± 22.45 g)</w:t>
      </w:r>
      <w:r w:rsidR="00E3295F" w:rsidRPr="00E3295F">
        <w:rPr>
          <w:rFonts w:ascii="Times New Roman" w:hAnsi="Times New Roman" w:cs="Times New Roman"/>
          <w:sz w:val="24"/>
        </w:rPr>
        <w:t>.</w:t>
      </w:r>
    </w:p>
    <w:p w14:paraId="05671F9D" w14:textId="77777777"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 (0–IV week)</w:t>
      </w:r>
      <w:r w:rsidRPr="00E3295F">
        <w:rPr>
          <w:rFonts w:ascii="Times New Roman" w:hAnsi="Times New Roman" w:cs="Times New Roman"/>
          <w:sz w:val="24"/>
        </w:rPr>
        <w:t xml:space="preserve">, the highest mean body weight gain was recorded in </w:t>
      </w:r>
      <w:r w:rsidRPr="00E3295F">
        <w:rPr>
          <w:rFonts w:ascii="Times New Roman" w:hAnsi="Times New Roman" w:cs="Times New Roman"/>
          <w:b/>
          <w:bCs/>
          <w:sz w:val="24"/>
        </w:rPr>
        <w:t>T2 (1387.21 ± 23.11 g)</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(1332.88 ± 36.05 g)</w:t>
      </w:r>
      <w:r w:rsidRPr="00E3295F">
        <w:rPr>
          <w:rFonts w:ascii="Times New Roman" w:hAnsi="Times New Roman" w:cs="Times New Roman"/>
          <w:sz w:val="24"/>
        </w:rPr>
        <w:t xml:space="preserve"> and </w:t>
      </w:r>
      <w:r w:rsidRPr="00E3295F">
        <w:rPr>
          <w:rFonts w:ascii="Times New Roman" w:hAnsi="Times New Roman" w:cs="Times New Roman"/>
          <w:b/>
          <w:bCs/>
          <w:sz w:val="24"/>
        </w:rPr>
        <w:t>T3 (1301.78 ± 25.22 g)</w:t>
      </w:r>
      <w:r w:rsidRPr="00E3295F">
        <w:rPr>
          <w:rFonts w:ascii="Times New Roman" w:hAnsi="Times New Roman" w:cs="Times New Roman"/>
          <w:sz w:val="24"/>
        </w:rPr>
        <w:t xml:space="preserve">, whereas the lowest gain was observed in the control group </w:t>
      </w:r>
      <w:r w:rsidRPr="00E3295F">
        <w:rPr>
          <w:rFonts w:ascii="Times New Roman" w:hAnsi="Times New Roman" w:cs="Times New Roman"/>
          <w:b/>
          <w:bCs/>
          <w:sz w:val="24"/>
        </w:rPr>
        <w:t>T1 (1217.63 ± 25.69 g)</w:t>
      </w:r>
      <w:r w:rsidRPr="00E3295F">
        <w:rPr>
          <w:rFonts w:ascii="Times New Roman" w:hAnsi="Times New Roman" w:cs="Times New Roman"/>
          <w:sz w:val="24"/>
        </w:rPr>
        <w:t xml:space="preserve">. Although the gains in </w:t>
      </w:r>
      <w:r w:rsidRPr="00E3295F">
        <w:rPr>
          <w:rFonts w:ascii="Times New Roman" w:hAnsi="Times New Roman" w:cs="Times New Roman"/>
          <w:b/>
          <w:bCs/>
          <w:sz w:val="24"/>
        </w:rPr>
        <w:t>T2, T3 and T4</w:t>
      </w:r>
      <w:r w:rsidRPr="00E3295F">
        <w:rPr>
          <w:rFonts w:ascii="Times New Roman" w:hAnsi="Times New Roman" w:cs="Times New Roman"/>
          <w:sz w:val="24"/>
        </w:rPr>
        <w:t xml:space="preserve"> were statistically comparable, all organic acid supplemented groups showed improved body weight gain compared to the control treatment.</w:t>
      </w:r>
    </w:p>
    <w:p w14:paraId="60346FDF" w14:textId="77777777" w:rsidR="00A45BEC"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improvement in body weight gain observed in the organic acid supplemented groups may be attributed to enhanced nutrient digestibility, improved gut microbial balance, and better nutrient absorption. Similar findings have been reported by </w:t>
      </w:r>
      <w:r w:rsidRPr="00E3295F">
        <w:rPr>
          <w:rFonts w:ascii="Times New Roman" w:hAnsi="Times New Roman" w:cs="Times New Roman"/>
          <w:b/>
          <w:bCs/>
          <w:sz w:val="24"/>
        </w:rPr>
        <w:t xml:space="preserve">Shen-Hui Fang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(2005)</w:t>
      </w:r>
      <w:r w:rsidRPr="00E3295F">
        <w:rPr>
          <w:rFonts w:ascii="Times New Roman" w:hAnsi="Times New Roman" w:cs="Times New Roman"/>
          <w:sz w:val="24"/>
        </w:rPr>
        <w:t xml:space="preserve">, </w:t>
      </w:r>
      <w:proofErr w:type="spellStart"/>
      <w:r w:rsidRPr="00E3295F">
        <w:rPr>
          <w:rFonts w:ascii="Times New Roman" w:hAnsi="Times New Roman" w:cs="Times New Roman"/>
          <w:b/>
          <w:bCs/>
          <w:sz w:val="24"/>
        </w:rPr>
        <w:t>Afsharmanesh</w:t>
      </w:r>
      <w:proofErr w:type="spellEnd"/>
      <w:r w:rsidRPr="00E3295F">
        <w:rPr>
          <w:rFonts w:ascii="Times New Roman" w:hAnsi="Times New Roman" w:cs="Times New Roman"/>
          <w:b/>
          <w:bCs/>
          <w:sz w:val="24"/>
        </w:rPr>
        <w:t xml:space="preserve"> and </w:t>
      </w:r>
      <w:proofErr w:type="spellStart"/>
      <w:r w:rsidRPr="00E3295F">
        <w:rPr>
          <w:rFonts w:ascii="Times New Roman" w:hAnsi="Times New Roman" w:cs="Times New Roman"/>
          <w:b/>
          <w:bCs/>
          <w:sz w:val="24"/>
        </w:rPr>
        <w:t>Pourreza</w:t>
      </w:r>
      <w:proofErr w:type="spellEnd"/>
      <w:r w:rsidRPr="00E3295F">
        <w:rPr>
          <w:rFonts w:ascii="Times New Roman" w:hAnsi="Times New Roman" w:cs="Times New Roman"/>
          <w:b/>
          <w:bCs/>
          <w:sz w:val="24"/>
        </w:rPr>
        <w:t xml:space="preserve"> (2005)</w:t>
      </w:r>
      <w:r w:rsidRPr="00E3295F">
        <w:rPr>
          <w:rFonts w:ascii="Times New Roman" w:hAnsi="Times New Roman" w:cs="Times New Roman"/>
          <w:sz w:val="24"/>
        </w:rPr>
        <w:t xml:space="preserve">, </w:t>
      </w:r>
      <w:r w:rsidRPr="00E3295F">
        <w:rPr>
          <w:rFonts w:ascii="Times New Roman" w:hAnsi="Times New Roman" w:cs="Times New Roman"/>
          <w:b/>
          <w:bCs/>
          <w:sz w:val="24"/>
        </w:rPr>
        <w:t>Rahman (2018)</w:t>
      </w:r>
      <w:r w:rsidRPr="00E3295F">
        <w:rPr>
          <w:rFonts w:ascii="Times New Roman" w:hAnsi="Times New Roman" w:cs="Times New Roman"/>
          <w:sz w:val="24"/>
        </w:rPr>
        <w:t xml:space="preserve"> and </w:t>
      </w:r>
      <w:r w:rsidRPr="00E3295F">
        <w:rPr>
          <w:rFonts w:ascii="Times New Roman" w:hAnsi="Times New Roman" w:cs="Times New Roman"/>
          <w:b/>
          <w:bCs/>
          <w:sz w:val="24"/>
        </w:rPr>
        <w:t xml:space="preserve">Fik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(2021)</w:t>
      </w:r>
      <w:r w:rsidRPr="00E3295F">
        <w:rPr>
          <w:rFonts w:ascii="Times New Roman" w:hAnsi="Times New Roman" w:cs="Times New Roman"/>
          <w:sz w:val="24"/>
        </w:rPr>
        <w:t>, who also observed improved growth performance in broilers supplemented with organic acids.</w:t>
      </w:r>
    </w:p>
    <w:p w14:paraId="56B4B3CC" w14:textId="77777777" w:rsidR="000E3624" w:rsidRPr="000E3624" w:rsidRDefault="00FE767D" w:rsidP="000E3624">
      <w:pPr>
        <w:spacing w:after="0" w:line="360" w:lineRule="auto"/>
        <w:jc w:val="both"/>
        <w:rPr>
          <w:rFonts w:ascii="Times New Roman" w:hAnsi="Times New Roman" w:cs="Times New Roman"/>
          <w:b/>
          <w:sz w:val="24"/>
        </w:rPr>
      </w:pPr>
      <w:r>
        <w:rPr>
          <w:rFonts w:ascii="Times New Roman" w:hAnsi="Times New Roman" w:cs="Times New Roman"/>
          <w:b/>
          <w:sz w:val="24"/>
        </w:rPr>
        <w:t xml:space="preserve">3. </w:t>
      </w:r>
      <w:r w:rsidR="000E3624" w:rsidRPr="000E3624">
        <w:rPr>
          <w:rFonts w:ascii="Times New Roman" w:hAnsi="Times New Roman" w:cs="Times New Roman"/>
          <w:b/>
          <w:sz w:val="24"/>
        </w:rPr>
        <w:t>Weekly Average Daily Gain (ADG)</w:t>
      </w:r>
    </w:p>
    <w:p w14:paraId="6D6287A0" w14:textId="17CAB10F"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lastRenderedPageBreak/>
        <w:t xml:space="preserve">The weekly and overall average daily weight gain (g/day/bird) of broilers for each treatment group across different weeks is presented in </w:t>
      </w:r>
      <w:r w:rsidRPr="00E3295F">
        <w:rPr>
          <w:rFonts w:ascii="Times New Roman" w:hAnsi="Times New Roman" w:cs="Times New Roman"/>
          <w:b/>
          <w:bCs/>
          <w:sz w:val="24"/>
        </w:rPr>
        <w:t xml:space="preserve">Table </w:t>
      </w:r>
      <w:r w:rsidR="00840EB2">
        <w:rPr>
          <w:rFonts w:ascii="Times New Roman" w:hAnsi="Times New Roman" w:cs="Times New Roman"/>
          <w:b/>
          <w:bCs/>
          <w:sz w:val="24"/>
        </w:rPr>
        <w:t>3</w:t>
      </w:r>
      <w:r w:rsidRPr="00E3295F">
        <w:rPr>
          <w:rFonts w:ascii="Times New Roman" w:hAnsi="Times New Roman" w:cs="Times New Roman"/>
          <w:b/>
          <w:bCs/>
          <w:sz w:val="24"/>
        </w:rPr>
        <w:t xml:space="preserve"> </w:t>
      </w:r>
      <w:r w:rsidRPr="00E3295F">
        <w:rPr>
          <w:rFonts w:ascii="Times New Roman" w:hAnsi="Times New Roman" w:cs="Times New Roman"/>
          <w:sz w:val="24"/>
        </w:rPr>
        <w:t>. The weekly and overall average daily gains were found to differ significantly (</w:t>
      </w:r>
      <w:r w:rsidRPr="00E3295F">
        <w:rPr>
          <w:rFonts w:ascii="Times New Roman" w:hAnsi="Times New Roman" w:cs="Times New Roman"/>
          <w:b/>
          <w:bCs/>
          <w:sz w:val="24"/>
        </w:rPr>
        <w:t>P &lt; 0.05</w:t>
      </w:r>
      <w:r w:rsidRPr="00E3295F">
        <w:rPr>
          <w:rFonts w:ascii="Times New Roman" w:hAnsi="Times New Roman" w:cs="Times New Roman"/>
          <w:sz w:val="24"/>
        </w:rPr>
        <w:t>) among the treatment groups throughout the experimental period.</w:t>
      </w:r>
    </w:p>
    <w:p w14:paraId="77FA0241" w14:textId="77777777"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During the </w:t>
      </w:r>
      <w:r w:rsidRPr="00E3295F">
        <w:rPr>
          <w:rFonts w:ascii="Times New Roman" w:hAnsi="Times New Roman" w:cs="Times New Roman"/>
          <w:b/>
          <w:bCs/>
          <w:sz w:val="24"/>
        </w:rPr>
        <w:t>first week</w:t>
      </w:r>
      <w:r w:rsidRPr="00E3295F">
        <w:rPr>
          <w:rFonts w:ascii="Times New Roman" w:hAnsi="Times New Roman" w:cs="Times New Roman"/>
          <w:sz w:val="24"/>
        </w:rPr>
        <w:t xml:space="preserve">, the highest average daily gain was recorded in </w:t>
      </w:r>
      <w:r w:rsidRPr="00E3295F">
        <w:rPr>
          <w:rFonts w:ascii="Times New Roman" w:hAnsi="Times New Roman" w:cs="Times New Roman"/>
          <w:b/>
          <w:bCs/>
          <w:sz w:val="24"/>
        </w:rPr>
        <w:t>Group T2 (17.66±1.429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(15.59±0.396 g/day)</w:t>
      </w:r>
      <w:r w:rsidRPr="00E3295F">
        <w:rPr>
          <w:rFonts w:ascii="Times New Roman" w:hAnsi="Times New Roman" w:cs="Times New Roman"/>
          <w:sz w:val="24"/>
        </w:rPr>
        <w:t xml:space="preserve"> and </w:t>
      </w:r>
      <w:r w:rsidRPr="00E3295F">
        <w:rPr>
          <w:rFonts w:ascii="Times New Roman" w:hAnsi="Times New Roman" w:cs="Times New Roman"/>
          <w:b/>
          <w:bCs/>
          <w:sz w:val="24"/>
        </w:rPr>
        <w:t>T3 (14.68±0.314 g/day)</w:t>
      </w:r>
      <w:r w:rsidRPr="00E3295F">
        <w:rPr>
          <w:rFonts w:ascii="Times New Roman" w:hAnsi="Times New Roman" w:cs="Times New Roman"/>
          <w:sz w:val="24"/>
        </w:rPr>
        <w:t xml:space="preserve">, while the lowest was observed in the control </w:t>
      </w:r>
      <w:r w:rsidRPr="00E3295F">
        <w:rPr>
          <w:rFonts w:ascii="Times New Roman" w:hAnsi="Times New Roman" w:cs="Times New Roman"/>
          <w:b/>
          <w:bCs/>
          <w:sz w:val="24"/>
        </w:rPr>
        <w:t>Group T1 (11.43±0.84 g/day)</w:t>
      </w:r>
      <w:r w:rsidRPr="00E3295F">
        <w:rPr>
          <w:rFonts w:ascii="Times New Roman" w:hAnsi="Times New Roman" w:cs="Times New Roman"/>
          <w:sz w:val="24"/>
        </w:rPr>
        <w:t>. The differences were statistically significant (</w:t>
      </w:r>
      <w:r w:rsidRPr="00E3295F">
        <w:rPr>
          <w:rFonts w:ascii="Times New Roman" w:hAnsi="Times New Roman" w:cs="Times New Roman"/>
          <w:b/>
          <w:bCs/>
          <w:sz w:val="24"/>
        </w:rPr>
        <w:t>P &lt; 0.05</w:t>
      </w:r>
      <w:r w:rsidRPr="00E3295F">
        <w:rPr>
          <w:rFonts w:ascii="Times New Roman" w:hAnsi="Times New Roman" w:cs="Times New Roman"/>
          <w:sz w:val="24"/>
        </w:rPr>
        <w:t>), with T2 being significantly higher than T1, while the other groups showed comparable gains.</w:t>
      </w:r>
      <w:r w:rsidR="007E3B64">
        <w:rPr>
          <w:rFonts w:ascii="Times New Roman" w:hAnsi="Times New Roman" w:cs="Times New Roman"/>
          <w:sz w:val="24"/>
        </w:rPr>
        <w:t xml:space="preserve"> In</w:t>
      </w:r>
      <w:r w:rsidRPr="00E3295F">
        <w:rPr>
          <w:rFonts w:ascii="Times New Roman" w:hAnsi="Times New Roman" w:cs="Times New Roman"/>
          <w:sz w:val="24"/>
        </w:rPr>
        <w:t xml:space="preserve"> the </w:t>
      </w:r>
      <w:r w:rsidRPr="00E3295F">
        <w:rPr>
          <w:rFonts w:ascii="Times New Roman" w:hAnsi="Times New Roman" w:cs="Times New Roman"/>
          <w:b/>
          <w:bCs/>
          <w:sz w:val="24"/>
        </w:rPr>
        <w:t>third week</w:t>
      </w:r>
      <w:r w:rsidRPr="00E3295F">
        <w:rPr>
          <w:rFonts w:ascii="Times New Roman" w:hAnsi="Times New Roman" w:cs="Times New Roman"/>
          <w:sz w:val="24"/>
        </w:rPr>
        <w:t xml:space="preserve">, the average daily gain was highest in </w:t>
      </w:r>
      <w:r w:rsidRPr="00E3295F">
        <w:rPr>
          <w:rFonts w:ascii="Times New Roman" w:hAnsi="Times New Roman" w:cs="Times New Roman"/>
          <w:b/>
          <w:bCs/>
          <w:sz w:val="24"/>
        </w:rPr>
        <w:t>T2 (62.75±1.73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T3 (60.04±4.673 g/day)</w:t>
      </w:r>
      <w:r w:rsidRPr="00E3295F">
        <w:rPr>
          <w:rFonts w:ascii="Times New Roman" w:hAnsi="Times New Roman" w:cs="Times New Roman"/>
          <w:sz w:val="24"/>
        </w:rPr>
        <w:t xml:space="preserve">, </w:t>
      </w:r>
      <w:r w:rsidRPr="00E3295F">
        <w:rPr>
          <w:rFonts w:ascii="Times New Roman" w:hAnsi="Times New Roman" w:cs="Times New Roman"/>
          <w:b/>
          <w:bCs/>
          <w:sz w:val="24"/>
        </w:rPr>
        <w:t>T1 (55.52±0.18 g/day)</w:t>
      </w:r>
      <w:r w:rsidRPr="00E3295F">
        <w:rPr>
          <w:rFonts w:ascii="Times New Roman" w:hAnsi="Times New Roman" w:cs="Times New Roman"/>
          <w:sz w:val="24"/>
        </w:rPr>
        <w:t xml:space="preserve"> and </w:t>
      </w:r>
      <w:r w:rsidRPr="00E3295F">
        <w:rPr>
          <w:rFonts w:ascii="Times New Roman" w:hAnsi="Times New Roman" w:cs="Times New Roman"/>
          <w:b/>
          <w:bCs/>
          <w:sz w:val="24"/>
        </w:rPr>
        <w:t>T4 (54.84±0.23 g/day)</w:t>
      </w:r>
      <w:r w:rsidRPr="00E3295F">
        <w:rPr>
          <w:rFonts w:ascii="Times New Roman" w:hAnsi="Times New Roman" w:cs="Times New Roman"/>
          <w:sz w:val="24"/>
        </w:rPr>
        <w:t xml:space="preserve">. However, statistical analysis showed no significant differences among the groups during this week. In the </w:t>
      </w:r>
      <w:r w:rsidRPr="00E3295F">
        <w:rPr>
          <w:rFonts w:ascii="Times New Roman" w:hAnsi="Times New Roman" w:cs="Times New Roman"/>
          <w:b/>
          <w:bCs/>
          <w:sz w:val="24"/>
        </w:rPr>
        <w:t>fourth week</w:t>
      </w:r>
      <w:r w:rsidRPr="00E3295F">
        <w:rPr>
          <w:rFonts w:ascii="Times New Roman" w:hAnsi="Times New Roman" w:cs="Times New Roman"/>
          <w:sz w:val="24"/>
        </w:rPr>
        <w:t xml:space="preserve">, </w:t>
      </w:r>
      <w:r w:rsidRPr="00E3295F">
        <w:rPr>
          <w:rFonts w:ascii="Times New Roman" w:hAnsi="Times New Roman" w:cs="Times New Roman"/>
          <w:b/>
          <w:bCs/>
          <w:sz w:val="24"/>
        </w:rPr>
        <w:t>T4 recorded the highest gain (89.66±1.66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T3 (82.76±4.08 g/day)</w:t>
      </w:r>
      <w:r w:rsidRPr="00E3295F">
        <w:rPr>
          <w:rFonts w:ascii="Times New Roman" w:hAnsi="Times New Roman" w:cs="Times New Roman"/>
          <w:sz w:val="24"/>
        </w:rPr>
        <w:t xml:space="preserve">, </w:t>
      </w:r>
      <w:r w:rsidRPr="00E3295F">
        <w:rPr>
          <w:rFonts w:ascii="Times New Roman" w:hAnsi="Times New Roman" w:cs="Times New Roman"/>
          <w:b/>
          <w:bCs/>
          <w:sz w:val="24"/>
        </w:rPr>
        <w:t>T2 (82.34±2.719 g/day)</w:t>
      </w:r>
      <w:r w:rsidRPr="00E3295F">
        <w:rPr>
          <w:rFonts w:ascii="Times New Roman" w:hAnsi="Times New Roman" w:cs="Times New Roman"/>
          <w:sz w:val="24"/>
        </w:rPr>
        <w:t xml:space="preserve"> and </w:t>
      </w:r>
      <w:r w:rsidRPr="00E3295F">
        <w:rPr>
          <w:rFonts w:ascii="Times New Roman" w:hAnsi="Times New Roman" w:cs="Times New Roman"/>
          <w:b/>
          <w:bCs/>
          <w:sz w:val="24"/>
        </w:rPr>
        <w:t>T1 (78.71±4.24 g/day)</w:t>
      </w:r>
      <w:r w:rsidRPr="00E3295F">
        <w:rPr>
          <w:rFonts w:ascii="Times New Roman" w:hAnsi="Times New Roman" w:cs="Times New Roman"/>
          <w:sz w:val="24"/>
        </w:rPr>
        <w:t>, with no significant differences among the groups.</w:t>
      </w:r>
    </w:p>
    <w:p w14:paraId="4D355EA4" w14:textId="77777777"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w:t>
      </w:r>
      <w:r w:rsidRPr="00E3295F">
        <w:rPr>
          <w:rFonts w:ascii="Times New Roman" w:hAnsi="Times New Roman" w:cs="Times New Roman"/>
          <w:sz w:val="24"/>
        </w:rPr>
        <w:t xml:space="preserve">, the highest average daily gain was observed in </w:t>
      </w:r>
      <w:r w:rsidRPr="00E3295F">
        <w:rPr>
          <w:rFonts w:ascii="Times New Roman" w:hAnsi="Times New Roman" w:cs="Times New Roman"/>
          <w:b/>
          <w:bCs/>
          <w:sz w:val="24"/>
        </w:rPr>
        <w:t>T2 (49.54±1.86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(47.56±0.48 g/day)</w:t>
      </w:r>
      <w:r w:rsidRPr="00E3295F">
        <w:rPr>
          <w:rFonts w:ascii="Times New Roman" w:hAnsi="Times New Roman" w:cs="Times New Roman"/>
          <w:sz w:val="24"/>
        </w:rPr>
        <w:t xml:space="preserve"> and </w:t>
      </w:r>
      <w:r w:rsidRPr="00E3295F">
        <w:rPr>
          <w:rFonts w:ascii="Times New Roman" w:hAnsi="Times New Roman" w:cs="Times New Roman"/>
          <w:b/>
          <w:bCs/>
          <w:sz w:val="24"/>
        </w:rPr>
        <w:t>T3 (46.49±1.66 g/day)</w:t>
      </w:r>
      <w:r w:rsidRPr="00E3295F">
        <w:rPr>
          <w:rFonts w:ascii="Times New Roman" w:hAnsi="Times New Roman" w:cs="Times New Roman"/>
          <w:sz w:val="24"/>
        </w:rPr>
        <w:t xml:space="preserve">, while the lowest was recorded in </w:t>
      </w:r>
      <w:r w:rsidRPr="00E3295F">
        <w:rPr>
          <w:rFonts w:ascii="Times New Roman" w:hAnsi="Times New Roman" w:cs="Times New Roman"/>
          <w:b/>
          <w:bCs/>
          <w:sz w:val="24"/>
        </w:rPr>
        <w:t>T1 (43.44±0.41 g/day)</w:t>
      </w:r>
      <w:r w:rsidRPr="00E3295F">
        <w:rPr>
          <w:rFonts w:ascii="Times New Roman" w:hAnsi="Times New Roman" w:cs="Times New Roman"/>
          <w:sz w:val="24"/>
        </w:rPr>
        <w:t>. The gain in T2 was significantly higher than T1 (</w:t>
      </w:r>
      <w:r w:rsidRPr="00E3295F">
        <w:rPr>
          <w:rFonts w:ascii="Times New Roman" w:hAnsi="Times New Roman" w:cs="Times New Roman"/>
          <w:b/>
          <w:bCs/>
          <w:sz w:val="24"/>
        </w:rPr>
        <w:t>P &lt; 0.05</w:t>
      </w:r>
      <w:r w:rsidRPr="00E3295F">
        <w:rPr>
          <w:rFonts w:ascii="Times New Roman" w:hAnsi="Times New Roman" w:cs="Times New Roman"/>
          <w:sz w:val="24"/>
        </w:rPr>
        <w:t>), whereas T3 and T4 showed intermediate values and were statistically comparable to both T1 and T2.</w:t>
      </w:r>
      <w:r w:rsidR="007E3B64">
        <w:rPr>
          <w:rFonts w:ascii="Times New Roman" w:hAnsi="Times New Roman" w:cs="Times New Roman"/>
          <w:sz w:val="24"/>
        </w:rPr>
        <w:t xml:space="preserve"> </w:t>
      </w:r>
      <w:r w:rsidRPr="00E3295F">
        <w:rPr>
          <w:rFonts w:ascii="Times New Roman" w:hAnsi="Times New Roman" w:cs="Times New Roman"/>
          <w:sz w:val="24"/>
        </w:rPr>
        <w:t>The results of the present study revealed significant differences (</w:t>
      </w:r>
      <w:r w:rsidRPr="00E3295F">
        <w:rPr>
          <w:rFonts w:ascii="Times New Roman" w:hAnsi="Times New Roman" w:cs="Times New Roman"/>
          <w:b/>
          <w:bCs/>
          <w:sz w:val="24"/>
        </w:rPr>
        <w:t>P &lt; 0.05</w:t>
      </w:r>
      <w:r w:rsidRPr="00E3295F">
        <w:rPr>
          <w:rFonts w:ascii="Times New Roman" w:hAnsi="Times New Roman" w:cs="Times New Roman"/>
          <w:sz w:val="24"/>
        </w:rPr>
        <w:t>) in average daily weight gain (ADWG) among treatment groups during the first week. Chicks receiving organic acid supplementation (</w:t>
      </w:r>
      <w:r w:rsidRPr="00E3295F">
        <w:rPr>
          <w:rFonts w:ascii="Times New Roman" w:hAnsi="Times New Roman" w:cs="Times New Roman"/>
          <w:b/>
          <w:bCs/>
          <w:sz w:val="24"/>
        </w:rPr>
        <w:t>T2, T3, and T4</w:t>
      </w:r>
      <w:r w:rsidRPr="00E3295F">
        <w:rPr>
          <w:rFonts w:ascii="Times New Roman" w:hAnsi="Times New Roman" w:cs="Times New Roman"/>
          <w:sz w:val="24"/>
        </w:rPr>
        <w:t xml:space="preserve">) exhibited significantly higher ADWG compared to the control group </w:t>
      </w:r>
      <w:r w:rsidRPr="00E3295F">
        <w:rPr>
          <w:rFonts w:ascii="Times New Roman" w:hAnsi="Times New Roman" w:cs="Times New Roman"/>
          <w:b/>
          <w:bCs/>
          <w:sz w:val="24"/>
        </w:rPr>
        <w:t>T1</w:t>
      </w:r>
      <w:r w:rsidRPr="00E3295F">
        <w:rPr>
          <w:rFonts w:ascii="Times New Roman" w:hAnsi="Times New Roman" w:cs="Times New Roman"/>
          <w:sz w:val="24"/>
        </w:rPr>
        <w:t xml:space="preserve">, with the highest gain observed in </w:t>
      </w:r>
      <w:r w:rsidRPr="00E3295F">
        <w:rPr>
          <w:rFonts w:ascii="Times New Roman" w:hAnsi="Times New Roman" w:cs="Times New Roman"/>
          <w:b/>
          <w:bCs/>
          <w:sz w:val="24"/>
        </w:rPr>
        <w:t>T2 (17.66 g/day)</w:t>
      </w:r>
      <w:r w:rsidRPr="00E3295F">
        <w:rPr>
          <w:rFonts w:ascii="Times New Roman" w:hAnsi="Times New Roman" w:cs="Times New Roman"/>
          <w:sz w:val="24"/>
        </w:rPr>
        <w:t xml:space="preserve"> supplemented with citric acid. This improvement may be attributed to better gut health and enhanced nutrient utilization due to acidification of drinking water (</w:t>
      </w:r>
      <w:r w:rsidRPr="00E3295F">
        <w:rPr>
          <w:rFonts w:ascii="Times New Roman" w:hAnsi="Times New Roman" w:cs="Times New Roman"/>
          <w:b/>
          <w:bCs/>
          <w:sz w:val="24"/>
        </w:rPr>
        <w:t xml:space="preserve">Chowdhury </w:t>
      </w:r>
      <w:r w:rsidRPr="005810C6">
        <w:rPr>
          <w:rFonts w:ascii="Times New Roman" w:hAnsi="Times New Roman" w:cs="Times New Roman"/>
          <w:b/>
          <w:bCs/>
          <w:i/>
          <w:sz w:val="24"/>
        </w:rPr>
        <w:t>et al.,</w:t>
      </w:r>
      <w:r w:rsidRPr="00E3295F">
        <w:rPr>
          <w:rFonts w:ascii="Times New Roman" w:hAnsi="Times New Roman" w:cs="Times New Roman"/>
          <w:b/>
          <w:bCs/>
          <w:sz w:val="24"/>
        </w:rPr>
        <w:t xml:space="preserve"> 2009</w:t>
      </w:r>
      <w:r w:rsidRPr="00E3295F">
        <w:rPr>
          <w:rFonts w:ascii="Times New Roman" w:hAnsi="Times New Roman" w:cs="Times New Roman"/>
          <w:sz w:val="24"/>
        </w:rPr>
        <w:t>).</w:t>
      </w:r>
    </w:p>
    <w:p w14:paraId="137C8A21" w14:textId="77777777"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During the </w:t>
      </w:r>
      <w:r w:rsidRPr="00E3295F">
        <w:rPr>
          <w:rFonts w:ascii="Times New Roman" w:hAnsi="Times New Roman" w:cs="Times New Roman"/>
          <w:b/>
          <w:bCs/>
          <w:sz w:val="24"/>
        </w:rPr>
        <w:t>second and third weeks</w:t>
      </w:r>
      <w:r w:rsidRPr="00E3295F">
        <w:rPr>
          <w:rFonts w:ascii="Times New Roman" w:hAnsi="Times New Roman" w:cs="Times New Roman"/>
          <w:sz w:val="24"/>
        </w:rPr>
        <w:t xml:space="preserve">, although no significant differences were observed, numerically higher gains were maintained in the supplemented groups, particularly </w:t>
      </w:r>
      <w:r w:rsidRPr="00E3295F">
        <w:rPr>
          <w:rFonts w:ascii="Times New Roman" w:hAnsi="Times New Roman" w:cs="Times New Roman"/>
          <w:b/>
          <w:bCs/>
          <w:sz w:val="24"/>
        </w:rPr>
        <w:t>T2 and T3</w:t>
      </w:r>
      <w:r w:rsidRPr="00E3295F">
        <w:rPr>
          <w:rFonts w:ascii="Times New Roman" w:hAnsi="Times New Roman" w:cs="Times New Roman"/>
          <w:sz w:val="24"/>
        </w:rPr>
        <w:t xml:space="preserve">. By the </w:t>
      </w:r>
      <w:r w:rsidRPr="00E3295F">
        <w:rPr>
          <w:rFonts w:ascii="Times New Roman" w:hAnsi="Times New Roman" w:cs="Times New Roman"/>
          <w:b/>
          <w:bCs/>
          <w:sz w:val="24"/>
        </w:rPr>
        <w:t>fourth week</w:t>
      </w:r>
      <w:r w:rsidRPr="00E3295F">
        <w:rPr>
          <w:rFonts w:ascii="Times New Roman" w:hAnsi="Times New Roman" w:cs="Times New Roman"/>
          <w:sz w:val="24"/>
        </w:rPr>
        <w:t xml:space="preserve">, </w:t>
      </w:r>
      <w:r w:rsidRPr="00E3295F">
        <w:rPr>
          <w:rFonts w:ascii="Times New Roman" w:hAnsi="Times New Roman" w:cs="Times New Roman"/>
          <w:b/>
          <w:bCs/>
          <w:sz w:val="24"/>
        </w:rPr>
        <w:t>T4 (combination of citric and acetic acids)</w:t>
      </w:r>
      <w:r w:rsidRPr="00E3295F">
        <w:rPr>
          <w:rFonts w:ascii="Times New Roman" w:hAnsi="Times New Roman" w:cs="Times New Roman"/>
          <w:sz w:val="24"/>
        </w:rPr>
        <w:t xml:space="preserve"> recorded the highest ADG (</w:t>
      </w:r>
      <w:r w:rsidRPr="00E3295F">
        <w:rPr>
          <w:rFonts w:ascii="Times New Roman" w:hAnsi="Times New Roman" w:cs="Times New Roman"/>
          <w:b/>
          <w:bCs/>
          <w:sz w:val="24"/>
        </w:rPr>
        <w:t>89.66 g/day</w:t>
      </w:r>
      <w:r w:rsidRPr="00E3295F">
        <w:rPr>
          <w:rFonts w:ascii="Times New Roman" w:hAnsi="Times New Roman" w:cs="Times New Roman"/>
          <w:sz w:val="24"/>
        </w:rPr>
        <w:t xml:space="preserve">), indicating a possible synergistic effect of the two organic acids. The cumulative weight gain from </w:t>
      </w:r>
      <w:r w:rsidRPr="00E3295F">
        <w:rPr>
          <w:rFonts w:ascii="Times New Roman" w:hAnsi="Times New Roman" w:cs="Times New Roman"/>
          <w:b/>
          <w:bCs/>
          <w:sz w:val="24"/>
        </w:rPr>
        <w:t>0 to 4 weeks</w:t>
      </w:r>
      <w:r w:rsidRPr="00E3295F">
        <w:rPr>
          <w:rFonts w:ascii="Times New Roman" w:hAnsi="Times New Roman" w:cs="Times New Roman"/>
          <w:sz w:val="24"/>
        </w:rPr>
        <w:t xml:space="preserve"> was highest in </w:t>
      </w:r>
      <w:r w:rsidRPr="00E3295F">
        <w:rPr>
          <w:rFonts w:ascii="Times New Roman" w:hAnsi="Times New Roman" w:cs="Times New Roman"/>
          <w:b/>
          <w:bCs/>
          <w:sz w:val="24"/>
        </w:rPr>
        <w:t>T2 (49.54 g/day)</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(47.56 g/day)</w:t>
      </w:r>
      <w:r w:rsidRPr="00E3295F">
        <w:rPr>
          <w:rFonts w:ascii="Times New Roman" w:hAnsi="Times New Roman" w:cs="Times New Roman"/>
          <w:sz w:val="24"/>
        </w:rPr>
        <w:t xml:space="preserve">, suggesting that citric acid alone or in combination positively influenced growth performance. </w:t>
      </w:r>
      <w:r w:rsidRPr="00E3295F">
        <w:rPr>
          <w:rFonts w:ascii="Times New Roman" w:hAnsi="Times New Roman" w:cs="Times New Roman"/>
          <w:sz w:val="24"/>
        </w:rPr>
        <w:lastRenderedPageBreak/>
        <w:t>These findings are in agreement with earlier reports indicating that citric acid supplementation enhances protein and energy digestibility and reduces pathogenic bacteria in the gut (</w:t>
      </w:r>
      <w:r w:rsidRPr="00E3295F">
        <w:rPr>
          <w:rFonts w:ascii="Times New Roman" w:hAnsi="Times New Roman" w:cs="Times New Roman"/>
          <w:b/>
          <w:bCs/>
          <w:sz w:val="24"/>
        </w:rPr>
        <w:t xml:space="preserve">Dibner and </w:t>
      </w:r>
      <w:proofErr w:type="spellStart"/>
      <w:r w:rsidRPr="00E3295F">
        <w:rPr>
          <w:rFonts w:ascii="Times New Roman" w:hAnsi="Times New Roman" w:cs="Times New Roman"/>
          <w:b/>
          <w:bCs/>
          <w:sz w:val="24"/>
        </w:rPr>
        <w:t>Buttin</w:t>
      </w:r>
      <w:proofErr w:type="spellEnd"/>
      <w:r w:rsidRPr="00E3295F">
        <w:rPr>
          <w:rFonts w:ascii="Times New Roman" w:hAnsi="Times New Roman" w:cs="Times New Roman"/>
          <w:b/>
          <w:bCs/>
          <w:sz w:val="24"/>
        </w:rPr>
        <w:t xml:space="preserve">, 2002; Garcia </w:t>
      </w:r>
      <w:r w:rsidRPr="00FE767D">
        <w:rPr>
          <w:rFonts w:ascii="Times New Roman" w:hAnsi="Times New Roman" w:cs="Times New Roman"/>
          <w:b/>
          <w:bCs/>
          <w:i/>
          <w:sz w:val="24"/>
        </w:rPr>
        <w:t>et al.</w:t>
      </w:r>
      <w:r w:rsidRPr="00E3295F">
        <w:rPr>
          <w:rFonts w:ascii="Times New Roman" w:hAnsi="Times New Roman" w:cs="Times New Roman"/>
          <w:b/>
          <w:bCs/>
          <w:sz w:val="24"/>
        </w:rPr>
        <w:t>, 2007</w:t>
      </w:r>
      <w:r w:rsidRPr="00E3295F">
        <w:rPr>
          <w:rFonts w:ascii="Times New Roman" w:hAnsi="Times New Roman" w:cs="Times New Roman"/>
          <w:sz w:val="24"/>
        </w:rPr>
        <w:t>).</w:t>
      </w:r>
    </w:p>
    <w:p w14:paraId="2BCBD195" w14:textId="5180CC9C" w:rsidR="00853DCA" w:rsidRDefault="00853DCA" w:rsidP="00853DCA">
      <w:pPr>
        <w:spacing w:after="0" w:line="360" w:lineRule="auto"/>
        <w:jc w:val="both"/>
        <w:rPr>
          <w:rFonts w:ascii="Times New Roman" w:hAnsi="Times New Roman" w:cs="Times New Roman"/>
          <w:b/>
          <w:sz w:val="24"/>
        </w:rPr>
      </w:pPr>
      <w:r>
        <w:rPr>
          <w:rFonts w:ascii="Times New Roman" w:hAnsi="Times New Roman" w:cs="Times New Roman"/>
          <w:b/>
          <w:sz w:val="24"/>
        </w:rPr>
        <w:t xml:space="preserve">Table </w:t>
      </w:r>
      <w:r w:rsidR="00155708">
        <w:rPr>
          <w:rFonts w:ascii="Times New Roman" w:hAnsi="Times New Roman" w:cs="Times New Roman"/>
          <w:b/>
          <w:sz w:val="24"/>
        </w:rPr>
        <w:t>2</w:t>
      </w:r>
      <w:r>
        <w:rPr>
          <w:rFonts w:ascii="Times New Roman" w:hAnsi="Times New Roman" w:cs="Times New Roman"/>
          <w:b/>
          <w:sz w:val="24"/>
        </w:rPr>
        <w:t xml:space="preserve"> Weekly body weight, weight gain and daily weight gain in different treatments </w:t>
      </w:r>
    </w:p>
    <w:tbl>
      <w:tblPr>
        <w:tblW w:w="9564" w:type="dxa"/>
        <w:tblInd w:w="-10" w:type="dxa"/>
        <w:tblLook w:val="04A0" w:firstRow="1" w:lastRow="0" w:firstColumn="1" w:lastColumn="0" w:noHBand="0" w:noVBand="1"/>
      </w:tblPr>
      <w:tblGrid>
        <w:gridCol w:w="1282"/>
        <w:gridCol w:w="2015"/>
        <w:gridCol w:w="2199"/>
        <w:gridCol w:w="2015"/>
        <w:gridCol w:w="2053"/>
      </w:tblGrid>
      <w:tr w:rsidR="00853DCA" w:rsidRPr="00BE540A" w14:paraId="1D50644D" w14:textId="77777777" w:rsidTr="00853DCA">
        <w:trPr>
          <w:trHeight w:val="169"/>
        </w:trPr>
        <w:tc>
          <w:tcPr>
            <w:tcW w:w="1282" w:type="dxa"/>
            <w:vMerge w:val="restart"/>
            <w:tcBorders>
              <w:top w:val="single" w:sz="8" w:space="0" w:color="000000"/>
              <w:left w:val="single" w:sz="8" w:space="0" w:color="000000"/>
              <w:bottom w:val="single" w:sz="4" w:space="0" w:color="auto"/>
              <w:right w:val="single" w:sz="8" w:space="0" w:color="000000"/>
            </w:tcBorders>
            <w:vAlign w:val="center"/>
            <w:hideMark/>
          </w:tcPr>
          <w:p w14:paraId="45340071" w14:textId="77777777" w:rsidR="00853DCA" w:rsidRPr="00BE540A" w:rsidRDefault="00853DCA" w:rsidP="00E3295F">
            <w:pPr>
              <w:spacing w:after="0" w:line="240" w:lineRule="auto"/>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Age in weeks</w:t>
            </w:r>
          </w:p>
        </w:tc>
        <w:tc>
          <w:tcPr>
            <w:tcW w:w="8281" w:type="dxa"/>
            <w:gridSpan w:val="4"/>
            <w:tcBorders>
              <w:top w:val="single" w:sz="8" w:space="0" w:color="000000"/>
              <w:left w:val="nil"/>
              <w:bottom w:val="single" w:sz="4" w:space="0" w:color="auto"/>
              <w:right w:val="single" w:sz="8" w:space="0" w:color="000000"/>
            </w:tcBorders>
            <w:vAlign w:val="center"/>
            <w:hideMark/>
          </w:tcPr>
          <w:p w14:paraId="7701DB8B"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Treatments</w:t>
            </w:r>
          </w:p>
        </w:tc>
      </w:tr>
      <w:tr w:rsidR="00853DCA" w:rsidRPr="00BE540A" w14:paraId="6AB978DE" w14:textId="77777777" w:rsidTr="00853DCA">
        <w:trPr>
          <w:trHeight w:val="169"/>
        </w:trPr>
        <w:tc>
          <w:tcPr>
            <w:tcW w:w="1282" w:type="dxa"/>
            <w:vMerge/>
            <w:tcBorders>
              <w:top w:val="single" w:sz="4" w:space="0" w:color="auto"/>
              <w:left w:val="single" w:sz="8" w:space="0" w:color="000000"/>
              <w:bottom w:val="single" w:sz="4" w:space="0" w:color="auto"/>
              <w:right w:val="single" w:sz="8" w:space="0" w:color="000000"/>
            </w:tcBorders>
            <w:vAlign w:val="center"/>
            <w:hideMark/>
          </w:tcPr>
          <w:p w14:paraId="30249ABE" w14:textId="77777777" w:rsidR="00853DCA" w:rsidRPr="00BE540A" w:rsidRDefault="00853DCA" w:rsidP="00E3295F">
            <w:pPr>
              <w:spacing w:after="0" w:line="240" w:lineRule="auto"/>
              <w:rPr>
                <w:rFonts w:ascii="Times New Roman" w:eastAsia="Times New Roman" w:hAnsi="Times New Roman" w:cs="Times New Roman"/>
                <w:b/>
                <w:color w:val="000000"/>
                <w:sz w:val="20"/>
                <w:szCs w:val="20"/>
              </w:rPr>
            </w:pPr>
          </w:p>
        </w:tc>
        <w:tc>
          <w:tcPr>
            <w:tcW w:w="2015" w:type="dxa"/>
            <w:tcBorders>
              <w:top w:val="single" w:sz="4" w:space="0" w:color="auto"/>
              <w:left w:val="nil"/>
              <w:bottom w:val="single" w:sz="4" w:space="0" w:color="auto"/>
              <w:right w:val="single" w:sz="8" w:space="0" w:color="000000"/>
            </w:tcBorders>
            <w:vAlign w:val="center"/>
            <w:hideMark/>
          </w:tcPr>
          <w:p w14:paraId="07512A6B"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T1</w:t>
            </w:r>
          </w:p>
        </w:tc>
        <w:tc>
          <w:tcPr>
            <w:tcW w:w="2199" w:type="dxa"/>
            <w:tcBorders>
              <w:top w:val="single" w:sz="4" w:space="0" w:color="auto"/>
              <w:left w:val="nil"/>
              <w:bottom w:val="single" w:sz="4" w:space="0" w:color="auto"/>
              <w:right w:val="single" w:sz="8" w:space="0" w:color="000000"/>
            </w:tcBorders>
            <w:vAlign w:val="center"/>
            <w:hideMark/>
          </w:tcPr>
          <w:p w14:paraId="4FD4F19C"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T2</w:t>
            </w:r>
          </w:p>
        </w:tc>
        <w:tc>
          <w:tcPr>
            <w:tcW w:w="2015" w:type="dxa"/>
            <w:tcBorders>
              <w:top w:val="single" w:sz="4" w:space="0" w:color="auto"/>
              <w:left w:val="nil"/>
              <w:bottom w:val="single" w:sz="4" w:space="0" w:color="auto"/>
              <w:right w:val="single" w:sz="8" w:space="0" w:color="000000"/>
            </w:tcBorders>
            <w:vAlign w:val="center"/>
            <w:hideMark/>
          </w:tcPr>
          <w:p w14:paraId="3745C3FD"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T3</w:t>
            </w:r>
          </w:p>
        </w:tc>
        <w:tc>
          <w:tcPr>
            <w:tcW w:w="2050" w:type="dxa"/>
            <w:tcBorders>
              <w:top w:val="single" w:sz="4" w:space="0" w:color="auto"/>
              <w:left w:val="nil"/>
              <w:bottom w:val="single" w:sz="4" w:space="0" w:color="auto"/>
              <w:right w:val="single" w:sz="8" w:space="0" w:color="000000"/>
            </w:tcBorders>
            <w:vAlign w:val="center"/>
            <w:hideMark/>
          </w:tcPr>
          <w:p w14:paraId="0A7CA458"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T4</w:t>
            </w:r>
          </w:p>
        </w:tc>
      </w:tr>
      <w:tr w:rsidR="00853DCA" w:rsidRPr="00BE540A" w14:paraId="15EA5B4F" w14:textId="77777777" w:rsidTr="00853DCA">
        <w:trPr>
          <w:trHeight w:val="169"/>
        </w:trPr>
        <w:tc>
          <w:tcPr>
            <w:tcW w:w="9564" w:type="dxa"/>
            <w:gridSpan w:val="5"/>
            <w:tcBorders>
              <w:top w:val="single" w:sz="4" w:space="0" w:color="auto"/>
              <w:left w:val="single" w:sz="8" w:space="0" w:color="000000"/>
              <w:bottom w:val="single" w:sz="4" w:space="0" w:color="auto"/>
              <w:right w:val="single" w:sz="8" w:space="0" w:color="000000"/>
            </w:tcBorders>
            <w:vAlign w:val="center"/>
            <w:hideMark/>
          </w:tcPr>
          <w:p w14:paraId="685EBFA0" w14:textId="77777777" w:rsidR="00853DCA" w:rsidRPr="00BE540A" w:rsidRDefault="00853DCA" w:rsidP="00E3295F">
            <w:pPr>
              <w:spacing w:after="0" w:line="240" w:lineRule="auto"/>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Weekly Average Body weight (g/bird)</w:t>
            </w:r>
          </w:p>
        </w:tc>
      </w:tr>
      <w:tr w:rsidR="00853DCA" w:rsidRPr="00BE540A" w14:paraId="2CFE2148" w14:textId="77777777" w:rsidTr="00853DCA">
        <w:trPr>
          <w:trHeight w:val="301"/>
        </w:trPr>
        <w:tc>
          <w:tcPr>
            <w:tcW w:w="1282" w:type="dxa"/>
            <w:tcBorders>
              <w:top w:val="single" w:sz="4" w:space="0" w:color="auto"/>
              <w:left w:val="single" w:sz="8" w:space="0" w:color="000000"/>
              <w:bottom w:val="single" w:sz="4" w:space="0" w:color="auto"/>
              <w:right w:val="single" w:sz="8" w:space="0" w:color="000000"/>
            </w:tcBorders>
            <w:vAlign w:val="center"/>
            <w:hideMark/>
          </w:tcPr>
          <w:p w14:paraId="5ABD94AE"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0 Day</w:t>
            </w:r>
          </w:p>
        </w:tc>
        <w:tc>
          <w:tcPr>
            <w:tcW w:w="2015" w:type="dxa"/>
            <w:tcBorders>
              <w:top w:val="single" w:sz="4" w:space="0" w:color="auto"/>
              <w:left w:val="nil"/>
              <w:bottom w:val="single" w:sz="4" w:space="0" w:color="auto"/>
              <w:right w:val="single" w:sz="8" w:space="0" w:color="000000"/>
            </w:tcBorders>
            <w:vAlign w:val="center"/>
            <w:hideMark/>
          </w:tcPr>
          <w:p w14:paraId="35FDACC8"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41.00a±0.37</w:t>
            </w:r>
          </w:p>
        </w:tc>
        <w:tc>
          <w:tcPr>
            <w:tcW w:w="2199" w:type="dxa"/>
            <w:tcBorders>
              <w:top w:val="single" w:sz="4" w:space="0" w:color="auto"/>
              <w:left w:val="nil"/>
              <w:bottom w:val="single" w:sz="4" w:space="0" w:color="auto"/>
              <w:right w:val="single" w:sz="8" w:space="0" w:color="000000"/>
            </w:tcBorders>
            <w:vAlign w:val="center"/>
            <w:hideMark/>
          </w:tcPr>
          <w:p w14:paraId="5FDA38C4"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41.27±0.18</w:t>
            </w:r>
          </w:p>
        </w:tc>
        <w:tc>
          <w:tcPr>
            <w:tcW w:w="2015" w:type="dxa"/>
            <w:tcBorders>
              <w:top w:val="single" w:sz="4" w:space="0" w:color="auto"/>
              <w:left w:val="nil"/>
              <w:bottom w:val="single" w:sz="4" w:space="0" w:color="auto"/>
              <w:right w:val="single" w:sz="8" w:space="0" w:color="000000"/>
            </w:tcBorders>
            <w:vAlign w:val="center"/>
            <w:hideMark/>
          </w:tcPr>
          <w:p w14:paraId="51C09550"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41.39±0.17</w:t>
            </w:r>
          </w:p>
        </w:tc>
        <w:tc>
          <w:tcPr>
            <w:tcW w:w="2050" w:type="dxa"/>
            <w:tcBorders>
              <w:top w:val="single" w:sz="4" w:space="0" w:color="auto"/>
              <w:left w:val="nil"/>
              <w:bottom w:val="single" w:sz="4" w:space="0" w:color="auto"/>
              <w:right w:val="single" w:sz="8" w:space="0" w:color="000000"/>
            </w:tcBorders>
            <w:vAlign w:val="center"/>
            <w:hideMark/>
          </w:tcPr>
          <w:p w14:paraId="642CFD4B"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41.29±0.20</w:t>
            </w:r>
          </w:p>
        </w:tc>
      </w:tr>
      <w:tr w:rsidR="00853DCA" w:rsidRPr="00BE540A" w14:paraId="02C41AE8" w14:textId="77777777" w:rsidTr="00853DCA">
        <w:trPr>
          <w:trHeight w:val="301"/>
        </w:trPr>
        <w:tc>
          <w:tcPr>
            <w:tcW w:w="1282" w:type="dxa"/>
            <w:tcBorders>
              <w:top w:val="single" w:sz="4" w:space="0" w:color="auto"/>
              <w:left w:val="single" w:sz="8" w:space="0" w:color="000000"/>
              <w:bottom w:val="single" w:sz="4" w:space="0" w:color="auto"/>
              <w:right w:val="single" w:sz="8" w:space="0" w:color="000000"/>
            </w:tcBorders>
            <w:vAlign w:val="center"/>
            <w:hideMark/>
          </w:tcPr>
          <w:p w14:paraId="2C4F8460"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Ⅰ</w:t>
            </w:r>
            <w:r>
              <w:rPr>
                <w:rFonts w:ascii="Times New Roman" w:eastAsia="Times New Roman" w:hAnsi="Times New Roman" w:cs="Times New Roman"/>
                <w:b/>
                <w:color w:val="000000"/>
                <w:sz w:val="20"/>
                <w:szCs w:val="20"/>
              </w:rPr>
              <w:t xml:space="preserve"> </w:t>
            </w:r>
            <w:r w:rsidRPr="00BE540A">
              <w:rPr>
                <w:rFonts w:ascii="Times New Roman" w:eastAsia="Times New Roman" w:hAnsi="Times New Roman" w:cs="Times New Roman"/>
                <w:b/>
                <w:color w:val="000000"/>
                <w:sz w:val="20"/>
                <w:szCs w:val="20"/>
              </w:rPr>
              <w:t>Week</w:t>
            </w:r>
          </w:p>
        </w:tc>
        <w:tc>
          <w:tcPr>
            <w:tcW w:w="2015" w:type="dxa"/>
            <w:tcBorders>
              <w:top w:val="single" w:sz="4" w:space="0" w:color="auto"/>
              <w:left w:val="nil"/>
              <w:bottom w:val="single" w:sz="4" w:space="0" w:color="auto"/>
              <w:right w:val="single" w:sz="8" w:space="0" w:color="000000"/>
            </w:tcBorders>
            <w:vAlign w:val="center"/>
            <w:hideMark/>
          </w:tcPr>
          <w:p w14:paraId="019619B7"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121.07±4.65</w:t>
            </w:r>
          </w:p>
        </w:tc>
        <w:tc>
          <w:tcPr>
            <w:tcW w:w="2199" w:type="dxa"/>
            <w:tcBorders>
              <w:top w:val="single" w:sz="4" w:space="0" w:color="auto"/>
              <w:left w:val="nil"/>
              <w:bottom w:val="single" w:sz="4" w:space="0" w:color="auto"/>
              <w:right w:val="single" w:sz="8" w:space="0" w:color="000000"/>
            </w:tcBorders>
            <w:vAlign w:val="center"/>
            <w:hideMark/>
          </w:tcPr>
          <w:p w14:paraId="766535DA"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164.90c±4.92</w:t>
            </w:r>
          </w:p>
        </w:tc>
        <w:tc>
          <w:tcPr>
            <w:tcW w:w="2015" w:type="dxa"/>
            <w:tcBorders>
              <w:top w:val="single" w:sz="4" w:space="0" w:color="auto"/>
              <w:left w:val="nil"/>
              <w:bottom w:val="single" w:sz="4" w:space="0" w:color="auto"/>
              <w:right w:val="single" w:sz="8" w:space="0" w:color="000000"/>
            </w:tcBorders>
            <w:vAlign w:val="center"/>
            <w:hideMark/>
          </w:tcPr>
          <w:p w14:paraId="23CFEB21"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144.17b±2.40</w:t>
            </w:r>
          </w:p>
        </w:tc>
        <w:tc>
          <w:tcPr>
            <w:tcW w:w="2050" w:type="dxa"/>
            <w:tcBorders>
              <w:top w:val="single" w:sz="4" w:space="0" w:color="auto"/>
              <w:left w:val="nil"/>
              <w:bottom w:val="single" w:sz="4" w:space="0" w:color="auto"/>
              <w:right w:val="single" w:sz="8" w:space="0" w:color="000000"/>
            </w:tcBorders>
            <w:vAlign w:val="center"/>
            <w:hideMark/>
          </w:tcPr>
          <w:p w14:paraId="7A7C0476"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150.48b±3.58</w:t>
            </w:r>
          </w:p>
        </w:tc>
      </w:tr>
      <w:tr w:rsidR="00853DCA" w:rsidRPr="00BE540A" w14:paraId="7B4DF83A" w14:textId="77777777" w:rsidTr="00853DCA">
        <w:trPr>
          <w:trHeight w:val="301"/>
        </w:trPr>
        <w:tc>
          <w:tcPr>
            <w:tcW w:w="1282" w:type="dxa"/>
            <w:tcBorders>
              <w:top w:val="single" w:sz="4" w:space="0" w:color="auto"/>
              <w:left w:val="single" w:sz="8" w:space="0" w:color="000000"/>
              <w:bottom w:val="single" w:sz="4" w:space="0" w:color="auto"/>
              <w:right w:val="single" w:sz="8" w:space="0" w:color="000000"/>
            </w:tcBorders>
            <w:vAlign w:val="center"/>
            <w:hideMark/>
          </w:tcPr>
          <w:p w14:paraId="3848E975"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Ⅱ</w:t>
            </w:r>
            <w:r>
              <w:rPr>
                <w:rFonts w:ascii="Times New Roman" w:eastAsia="Times New Roman" w:hAnsi="Times New Roman" w:cs="Times New Roman"/>
                <w:b/>
                <w:color w:val="000000"/>
                <w:sz w:val="20"/>
                <w:szCs w:val="20"/>
              </w:rPr>
              <w:t xml:space="preserve"> </w:t>
            </w:r>
            <w:r w:rsidRPr="00BE540A">
              <w:rPr>
                <w:rFonts w:ascii="Times New Roman" w:eastAsia="Times New Roman" w:hAnsi="Times New Roman" w:cs="Times New Roman"/>
                <w:b/>
                <w:color w:val="000000"/>
                <w:sz w:val="20"/>
                <w:szCs w:val="20"/>
              </w:rPr>
              <w:t>Week</w:t>
            </w:r>
          </w:p>
        </w:tc>
        <w:tc>
          <w:tcPr>
            <w:tcW w:w="2015" w:type="dxa"/>
            <w:tcBorders>
              <w:top w:val="single" w:sz="4" w:space="0" w:color="auto"/>
              <w:left w:val="nil"/>
              <w:bottom w:val="single" w:sz="4" w:space="0" w:color="auto"/>
              <w:right w:val="single" w:sz="8" w:space="0" w:color="000000"/>
            </w:tcBorders>
            <w:vAlign w:val="center"/>
            <w:hideMark/>
          </w:tcPr>
          <w:p w14:paraId="603109AB"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316.84a±9.94</w:t>
            </w:r>
          </w:p>
        </w:tc>
        <w:tc>
          <w:tcPr>
            <w:tcW w:w="2199" w:type="dxa"/>
            <w:tcBorders>
              <w:top w:val="single" w:sz="4" w:space="0" w:color="auto"/>
              <w:left w:val="nil"/>
              <w:bottom w:val="single" w:sz="4" w:space="0" w:color="auto"/>
              <w:right w:val="single" w:sz="8" w:space="0" w:color="000000"/>
            </w:tcBorders>
            <w:vAlign w:val="center"/>
            <w:hideMark/>
          </w:tcPr>
          <w:p w14:paraId="544CBFA2"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412.80c±10.44</w:t>
            </w:r>
          </w:p>
        </w:tc>
        <w:tc>
          <w:tcPr>
            <w:tcW w:w="2015" w:type="dxa"/>
            <w:tcBorders>
              <w:top w:val="single" w:sz="4" w:space="0" w:color="auto"/>
              <w:left w:val="nil"/>
              <w:bottom w:val="single" w:sz="4" w:space="0" w:color="auto"/>
              <w:right w:val="single" w:sz="8" w:space="0" w:color="000000"/>
            </w:tcBorders>
            <w:vAlign w:val="center"/>
            <w:hideMark/>
          </w:tcPr>
          <w:p w14:paraId="1F6093E1"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343.49b±6.30</w:t>
            </w:r>
          </w:p>
        </w:tc>
        <w:tc>
          <w:tcPr>
            <w:tcW w:w="2050" w:type="dxa"/>
            <w:tcBorders>
              <w:top w:val="single" w:sz="4" w:space="0" w:color="auto"/>
              <w:left w:val="nil"/>
              <w:bottom w:val="single" w:sz="4" w:space="0" w:color="auto"/>
              <w:right w:val="single" w:sz="8" w:space="0" w:color="000000"/>
            </w:tcBorders>
            <w:vAlign w:val="center"/>
            <w:hideMark/>
          </w:tcPr>
          <w:p w14:paraId="5715D30A"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363.31b±7.51</w:t>
            </w:r>
          </w:p>
        </w:tc>
      </w:tr>
      <w:tr w:rsidR="00853DCA" w:rsidRPr="00BE540A" w14:paraId="62122359" w14:textId="77777777" w:rsidTr="00853DCA">
        <w:trPr>
          <w:trHeight w:val="301"/>
        </w:trPr>
        <w:tc>
          <w:tcPr>
            <w:tcW w:w="1282" w:type="dxa"/>
            <w:tcBorders>
              <w:top w:val="single" w:sz="4" w:space="0" w:color="auto"/>
              <w:left w:val="single" w:sz="8" w:space="0" w:color="000000"/>
              <w:bottom w:val="single" w:sz="4" w:space="0" w:color="auto"/>
              <w:right w:val="single" w:sz="8" w:space="0" w:color="000000"/>
            </w:tcBorders>
            <w:vAlign w:val="center"/>
            <w:hideMark/>
          </w:tcPr>
          <w:p w14:paraId="7938C1DA"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Ⅲ Week</w:t>
            </w:r>
          </w:p>
        </w:tc>
        <w:tc>
          <w:tcPr>
            <w:tcW w:w="2015" w:type="dxa"/>
            <w:tcBorders>
              <w:top w:val="single" w:sz="4" w:space="0" w:color="auto"/>
              <w:left w:val="nil"/>
              <w:bottom w:val="single" w:sz="4" w:space="0" w:color="auto"/>
              <w:right w:val="single" w:sz="8" w:space="0" w:color="000000"/>
            </w:tcBorders>
            <w:vAlign w:val="center"/>
            <w:hideMark/>
          </w:tcPr>
          <w:p w14:paraId="1171C0E8"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705.50a±15.52</w:t>
            </w:r>
          </w:p>
        </w:tc>
        <w:tc>
          <w:tcPr>
            <w:tcW w:w="2199" w:type="dxa"/>
            <w:tcBorders>
              <w:top w:val="single" w:sz="4" w:space="0" w:color="auto"/>
              <w:left w:val="nil"/>
              <w:bottom w:val="single" w:sz="4" w:space="0" w:color="auto"/>
              <w:right w:val="single" w:sz="8" w:space="0" w:color="000000"/>
            </w:tcBorders>
            <w:vAlign w:val="center"/>
            <w:hideMark/>
          </w:tcPr>
          <w:p w14:paraId="54024FBC"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852.08c±13.87</w:t>
            </w:r>
          </w:p>
        </w:tc>
        <w:tc>
          <w:tcPr>
            <w:tcW w:w="2015" w:type="dxa"/>
            <w:tcBorders>
              <w:top w:val="single" w:sz="4" w:space="0" w:color="auto"/>
              <w:left w:val="nil"/>
              <w:bottom w:val="single" w:sz="4" w:space="0" w:color="auto"/>
              <w:right w:val="single" w:sz="8" w:space="0" w:color="000000"/>
            </w:tcBorders>
            <w:vAlign w:val="center"/>
            <w:hideMark/>
          </w:tcPr>
          <w:p w14:paraId="77B9B5C3"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763.82b±14.17</w:t>
            </w:r>
          </w:p>
        </w:tc>
        <w:tc>
          <w:tcPr>
            <w:tcW w:w="2050" w:type="dxa"/>
            <w:tcBorders>
              <w:top w:val="single" w:sz="4" w:space="0" w:color="auto"/>
              <w:left w:val="nil"/>
              <w:bottom w:val="single" w:sz="4" w:space="0" w:color="auto"/>
              <w:right w:val="single" w:sz="8" w:space="0" w:color="000000"/>
            </w:tcBorders>
            <w:vAlign w:val="center"/>
            <w:hideMark/>
          </w:tcPr>
          <w:p w14:paraId="2A7EEB35"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747.25b±13.49</w:t>
            </w:r>
          </w:p>
        </w:tc>
      </w:tr>
      <w:tr w:rsidR="00853DCA" w:rsidRPr="00BE540A" w14:paraId="3E4566E4" w14:textId="77777777" w:rsidTr="00853DCA">
        <w:trPr>
          <w:trHeight w:val="301"/>
        </w:trPr>
        <w:tc>
          <w:tcPr>
            <w:tcW w:w="1282" w:type="dxa"/>
            <w:tcBorders>
              <w:top w:val="single" w:sz="4" w:space="0" w:color="auto"/>
              <w:left w:val="single" w:sz="8" w:space="0" w:color="000000"/>
              <w:bottom w:val="single" w:sz="4" w:space="0" w:color="auto"/>
              <w:right w:val="single" w:sz="8" w:space="0" w:color="000000"/>
            </w:tcBorders>
            <w:vAlign w:val="center"/>
            <w:hideMark/>
          </w:tcPr>
          <w:p w14:paraId="6CE2F807"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Ⅳ Week</w:t>
            </w:r>
          </w:p>
        </w:tc>
        <w:tc>
          <w:tcPr>
            <w:tcW w:w="2015" w:type="dxa"/>
            <w:tcBorders>
              <w:top w:val="single" w:sz="4" w:space="0" w:color="auto"/>
              <w:left w:val="nil"/>
              <w:bottom w:val="single" w:sz="4" w:space="0" w:color="auto"/>
              <w:right w:val="single" w:sz="8" w:space="0" w:color="000000"/>
            </w:tcBorders>
            <w:vAlign w:val="center"/>
            <w:hideMark/>
          </w:tcPr>
          <w:p w14:paraId="5A52178E"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1258.61a±25.95</w:t>
            </w:r>
          </w:p>
        </w:tc>
        <w:tc>
          <w:tcPr>
            <w:tcW w:w="2199" w:type="dxa"/>
            <w:tcBorders>
              <w:top w:val="single" w:sz="4" w:space="0" w:color="auto"/>
              <w:left w:val="nil"/>
              <w:bottom w:val="single" w:sz="4" w:space="0" w:color="auto"/>
              <w:right w:val="single" w:sz="8" w:space="0" w:color="000000"/>
            </w:tcBorders>
            <w:vAlign w:val="center"/>
            <w:hideMark/>
          </w:tcPr>
          <w:p w14:paraId="1A5E9BE6"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1428.48c±23.77</w:t>
            </w:r>
          </w:p>
        </w:tc>
        <w:tc>
          <w:tcPr>
            <w:tcW w:w="2015" w:type="dxa"/>
            <w:tcBorders>
              <w:top w:val="single" w:sz="4" w:space="0" w:color="auto"/>
              <w:left w:val="nil"/>
              <w:bottom w:val="single" w:sz="4" w:space="0" w:color="auto"/>
              <w:right w:val="single" w:sz="8" w:space="0" w:color="000000"/>
            </w:tcBorders>
            <w:vAlign w:val="center"/>
            <w:hideMark/>
          </w:tcPr>
          <w:p w14:paraId="3A8F7CF4"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1343.17b±25.31</w:t>
            </w:r>
          </w:p>
        </w:tc>
        <w:tc>
          <w:tcPr>
            <w:tcW w:w="2050" w:type="dxa"/>
            <w:tcBorders>
              <w:top w:val="single" w:sz="4" w:space="0" w:color="auto"/>
              <w:left w:val="nil"/>
              <w:bottom w:val="single" w:sz="4" w:space="0" w:color="auto"/>
              <w:right w:val="single" w:sz="8" w:space="0" w:color="000000"/>
            </w:tcBorders>
            <w:vAlign w:val="center"/>
            <w:hideMark/>
          </w:tcPr>
          <w:p w14:paraId="2DB97189" w14:textId="77777777" w:rsidR="00853DCA" w:rsidRPr="00BE540A" w:rsidRDefault="00853DCA" w:rsidP="00E3295F">
            <w:pPr>
              <w:spacing w:after="0" w:line="240" w:lineRule="auto"/>
              <w:jc w:val="center"/>
              <w:rPr>
                <w:rFonts w:ascii="Times New Roman" w:eastAsia="Times New Roman" w:hAnsi="Times New Roman" w:cs="Times New Roman"/>
                <w:color w:val="000000"/>
                <w:sz w:val="20"/>
                <w:szCs w:val="20"/>
              </w:rPr>
            </w:pPr>
            <w:r w:rsidRPr="00BE540A">
              <w:rPr>
                <w:rFonts w:ascii="Times New Roman" w:eastAsia="Times New Roman" w:hAnsi="Times New Roman" w:cs="Times New Roman"/>
                <w:color w:val="000000"/>
                <w:spacing w:val="-2"/>
                <w:sz w:val="20"/>
              </w:rPr>
              <w:t>1374.24bc±36.14</w:t>
            </w:r>
          </w:p>
        </w:tc>
      </w:tr>
      <w:tr w:rsidR="00853DCA" w:rsidRPr="00BE540A" w14:paraId="3110F69F" w14:textId="77777777" w:rsidTr="00853DCA">
        <w:trPr>
          <w:trHeight w:val="169"/>
        </w:trPr>
        <w:tc>
          <w:tcPr>
            <w:tcW w:w="9564" w:type="dxa"/>
            <w:gridSpan w:val="5"/>
            <w:tcBorders>
              <w:top w:val="single" w:sz="4" w:space="0" w:color="auto"/>
              <w:left w:val="nil"/>
              <w:bottom w:val="single" w:sz="4" w:space="0" w:color="auto"/>
              <w:right w:val="nil"/>
            </w:tcBorders>
            <w:noWrap/>
            <w:vAlign w:val="bottom"/>
            <w:hideMark/>
          </w:tcPr>
          <w:p w14:paraId="078915AB" w14:textId="77777777" w:rsidR="00853DCA" w:rsidRPr="00BE540A" w:rsidRDefault="00853DCA" w:rsidP="00E3295F">
            <w:pPr>
              <w:spacing w:after="0" w:line="240" w:lineRule="auto"/>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Weekly Average Body weight gain (g/bird)</w:t>
            </w:r>
          </w:p>
        </w:tc>
      </w:tr>
      <w:tr w:rsidR="00853DCA" w:rsidRPr="00BE540A" w14:paraId="262AE966"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vAlign w:val="center"/>
            <w:hideMark/>
          </w:tcPr>
          <w:p w14:paraId="72D1FFC2"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0-Ⅰ</w:t>
            </w:r>
          </w:p>
        </w:tc>
        <w:tc>
          <w:tcPr>
            <w:tcW w:w="2015" w:type="dxa"/>
            <w:tcBorders>
              <w:top w:val="single" w:sz="4" w:space="0" w:color="auto"/>
              <w:left w:val="nil"/>
              <w:bottom w:val="single" w:sz="4" w:space="0" w:color="auto"/>
              <w:right w:val="single" w:sz="8" w:space="0" w:color="000000"/>
            </w:tcBorders>
            <w:vAlign w:val="center"/>
            <w:hideMark/>
          </w:tcPr>
          <w:p w14:paraId="7D4DB90C"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80.07</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±4.41</w:t>
            </w:r>
          </w:p>
        </w:tc>
        <w:tc>
          <w:tcPr>
            <w:tcW w:w="2199" w:type="dxa"/>
            <w:tcBorders>
              <w:top w:val="single" w:sz="4" w:space="0" w:color="auto"/>
              <w:left w:val="nil"/>
              <w:bottom w:val="single" w:sz="4" w:space="0" w:color="auto"/>
              <w:right w:val="single" w:sz="8" w:space="0" w:color="000000"/>
            </w:tcBorders>
            <w:vAlign w:val="center"/>
            <w:hideMark/>
          </w:tcPr>
          <w:p w14:paraId="29C10011"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123.64</w:t>
            </w:r>
            <w:r w:rsidRPr="00BE540A">
              <w:rPr>
                <w:rFonts w:ascii="Times New Roman" w:eastAsia="Times New Roman" w:hAnsi="Times New Roman" w:cs="Times New Roman"/>
                <w:color w:val="000004"/>
                <w:spacing w:val="-2"/>
                <w:sz w:val="20"/>
                <w:szCs w:val="20"/>
                <w:vertAlign w:val="superscript"/>
              </w:rPr>
              <w:t>c</w:t>
            </w:r>
            <w:r w:rsidRPr="00BE540A">
              <w:rPr>
                <w:rFonts w:ascii="Times New Roman" w:eastAsia="Times New Roman" w:hAnsi="Times New Roman" w:cs="Times New Roman"/>
                <w:color w:val="000004"/>
                <w:spacing w:val="-2"/>
                <w:sz w:val="20"/>
                <w:szCs w:val="20"/>
              </w:rPr>
              <w:t>±4.98</w:t>
            </w:r>
          </w:p>
        </w:tc>
        <w:tc>
          <w:tcPr>
            <w:tcW w:w="2015" w:type="dxa"/>
            <w:tcBorders>
              <w:top w:val="single" w:sz="4" w:space="0" w:color="auto"/>
              <w:left w:val="nil"/>
              <w:bottom w:val="single" w:sz="4" w:space="0" w:color="auto"/>
              <w:right w:val="single" w:sz="8" w:space="0" w:color="000000"/>
            </w:tcBorders>
            <w:vAlign w:val="center"/>
            <w:hideMark/>
          </w:tcPr>
          <w:p w14:paraId="6C2C45A5"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102.79</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±2.32</w:t>
            </w:r>
          </w:p>
        </w:tc>
        <w:tc>
          <w:tcPr>
            <w:tcW w:w="2050" w:type="dxa"/>
            <w:tcBorders>
              <w:top w:val="single" w:sz="4" w:space="0" w:color="auto"/>
              <w:left w:val="nil"/>
              <w:bottom w:val="single" w:sz="4" w:space="0" w:color="auto"/>
              <w:right w:val="single" w:sz="8" w:space="0" w:color="000000"/>
            </w:tcBorders>
            <w:vAlign w:val="center"/>
            <w:hideMark/>
          </w:tcPr>
          <w:p w14:paraId="7978B0FE"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109.19</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±3.46</w:t>
            </w:r>
          </w:p>
        </w:tc>
      </w:tr>
      <w:tr w:rsidR="00853DCA" w:rsidRPr="00BE540A" w14:paraId="013A477F"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vAlign w:val="center"/>
            <w:hideMark/>
          </w:tcPr>
          <w:p w14:paraId="5748C1E6"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Microsoft Sans Serif" w:hAnsi="Times New Roman" w:cs="Times New Roman"/>
                <w:b/>
                <w:color w:val="000000"/>
                <w:sz w:val="20"/>
                <w:szCs w:val="20"/>
              </w:rPr>
              <w:t>Ⅰ-Ⅱ</w:t>
            </w:r>
          </w:p>
        </w:tc>
        <w:tc>
          <w:tcPr>
            <w:tcW w:w="2015" w:type="dxa"/>
            <w:tcBorders>
              <w:top w:val="single" w:sz="4" w:space="0" w:color="auto"/>
              <w:left w:val="nil"/>
              <w:bottom w:val="single" w:sz="4" w:space="0" w:color="auto"/>
              <w:right w:val="single" w:sz="8" w:space="0" w:color="000000"/>
            </w:tcBorders>
            <w:vAlign w:val="center"/>
            <w:hideMark/>
          </w:tcPr>
          <w:p w14:paraId="1D437836"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195.48±7.48</w:t>
            </w:r>
          </w:p>
        </w:tc>
        <w:tc>
          <w:tcPr>
            <w:tcW w:w="2199" w:type="dxa"/>
            <w:tcBorders>
              <w:top w:val="single" w:sz="4" w:space="0" w:color="auto"/>
              <w:left w:val="nil"/>
              <w:bottom w:val="single" w:sz="4" w:space="0" w:color="auto"/>
              <w:right w:val="single" w:sz="8" w:space="0" w:color="000000"/>
            </w:tcBorders>
            <w:vAlign w:val="center"/>
            <w:hideMark/>
          </w:tcPr>
          <w:p w14:paraId="4067796C"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247.90</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±6.65</w:t>
            </w:r>
          </w:p>
        </w:tc>
        <w:tc>
          <w:tcPr>
            <w:tcW w:w="2015" w:type="dxa"/>
            <w:tcBorders>
              <w:top w:val="single" w:sz="4" w:space="0" w:color="auto"/>
              <w:left w:val="nil"/>
              <w:bottom w:val="single" w:sz="4" w:space="0" w:color="auto"/>
              <w:right w:val="single" w:sz="8" w:space="0" w:color="000000"/>
            </w:tcBorders>
            <w:vAlign w:val="center"/>
            <w:hideMark/>
          </w:tcPr>
          <w:p w14:paraId="5CA9FADA"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199.31±4.20</w:t>
            </w:r>
          </w:p>
        </w:tc>
        <w:tc>
          <w:tcPr>
            <w:tcW w:w="2050" w:type="dxa"/>
            <w:tcBorders>
              <w:top w:val="single" w:sz="4" w:space="0" w:color="auto"/>
              <w:left w:val="nil"/>
              <w:bottom w:val="single" w:sz="4" w:space="0" w:color="auto"/>
              <w:right w:val="single" w:sz="8" w:space="0" w:color="000000"/>
            </w:tcBorders>
            <w:vAlign w:val="center"/>
            <w:hideMark/>
          </w:tcPr>
          <w:p w14:paraId="00095624"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210.88±4.87</w:t>
            </w:r>
          </w:p>
        </w:tc>
      </w:tr>
      <w:tr w:rsidR="00853DCA" w:rsidRPr="00BE540A" w14:paraId="0BE64CFF"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vAlign w:val="center"/>
            <w:hideMark/>
          </w:tcPr>
          <w:p w14:paraId="33D59141"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Microsoft Sans Serif" w:hAnsi="Times New Roman" w:cs="Times New Roman"/>
                <w:b/>
                <w:color w:val="000000"/>
                <w:sz w:val="20"/>
                <w:szCs w:val="20"/>
              </w:rPr>
              <w:t>Ⅱ-Ⅲ</w:t>
            </w:r>
          </w:p>
        </w:tc>
        <w:tc>
          <w:tcPr>
            <w:tcW w:w="2015" w:type="dxa"/>
            <w:tcBorders>
              <w:top w:val="single" w:sz="4" w:space="0" w:color="auto"/>
              <w:left w:val="nil"/>
              <w:bottom w:val="single" w:sz="4" w:space="0" w:color="auto"/>
              <w:right w:val="single" w:sz="8" w:space="0" w:color="000000"/>
            </w:tcBorders>
            <w:vAlign w:val="center"/>
            <w:hideMark/>
          </w:tcPr>
          <w:p w14:paraId="23324200"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388.66</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±10.35</w:t>
            </w:r>
          </w:p>
        </w:tc>
        <w:tc>
          <w:tcPr>
            <w:tcW w:w="2199" w:type="dxa"/>
            <w:tcBorders>
              <w:top w:val="single" w:sz="4" w:space="0" w:color="auto"/>
              <w:left w:val="nil"/>
              <w:bottom w:val="single" w:sz="4" w:space="0" w:color="auto"/>
              <w:right w:val="single" w:sz="8" w:space="0" w:color="000000"/>
            </w:tcBorders>
            <w:vAlign w:val="center"/>
            <w:hideMark/>
          </w:tcPr>
          <w:p w14:paraId="5A1AB890"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439.28</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±6.71</w:t>
            </w:r>
          </w:p>
        </w:tc>
        <w:tc>
          <w:tcPr>
            <w:tcW w:w="2015" w:type="dxa"/>
            <w:tcBorders>
              <w:top w:val="single" w:sz="4" w:space="0" w:color="auto"/>
              <w:left w:val="nil"/>
              <w:bottom w:val="single" w:sz="4" w:space="0" w:color="auto"/>
              <w:right w:val="single" w:sz="8" w:space="0" w:color="000000"/>
            </w:tcBorders>
            <w:vAlign w:val="center"/>
            <w:hideMark/>
          </w:tcPr>
          <w:p w14:paraId="4E275FDA"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420.34</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±11.79</w:t>
            </w:r>
          </w:p>
        </w:tc>
        <w:tc>
          <w:tcPr>
            <w:tcW w:w="2050" w:type="dxa"/>
            <w:tcBorders>
              <w:top w:val="single" w:sz="4" w:space="0" w:color="auto"/>
              <w:left w:val="nil"/>
              <w:bottom w:val="single" w:sz="4" w:space="0" w:color="auto"/>
              <w:right w:val="single" w:sz="8" w:space="0" w:color="000000"/>
            </w:tcBorders>
            <w:vAlign w:val="center"/>
            <w:hideMark/>
          </w:tcPr>
          <w:p w14:paraId="57950B7B"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383.95</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±9.25</w:t>
            </w:r>
          </w:p>
        </w:tc>
      </w:tr>
      <w:tr w:rsidR="00853DCA" w:rsidRPr="00BE540A" w14:paraId="78F5AF9B"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vAlign w:val="center"/>
            <w:hideMark/>
          </w:tcPr>
          <w:p w14:paraId="1D2487EA"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Microsoft Sans Serif" w:hAnsi="Times New Roman" w:cs="Times New Roman"/>
                <w:b/>
                <w:color w:val="000000"/>
                <w:sz w:val="20"/>
                <w:szCs w:val="20"/>
              </w:rPr>
              <w:t>Ⅲ-Ⅳ</w:t>
            </w:r>
          </w:p>
        </w:tc>
        <w:tc>
          <w:tcPr>
            <w:tcW w:w="2015" w:type="dxa"/>
            <w:tcBorders>
              <w:top w:val="single" w:sz="4" w:space="0" w:color="auto"/>
              <w:left w:val="nil"/>
              <w:bottom w:val="single" w:sz="4" w:space="0" w:color="auto"/>
              <w:right w:val="single" w:sz="8" w:space="0" w:color="000000"/>
            </w:tcBorders>
            <w:vAlign w:val="center"/>
            <w:hideMark/>
          </w:tcPr>
          <w:p w14:paraId="1D7ED51B"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553.11</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±22.45</w:t>
            </w:r>
          </w:p>
        </w:tc>
        <w:tc>
          <w:tcPr>
            <w:tcW w:w="2199" w:type="dxa"/>
            <w:tcBorders>
              <w:top w:val="single" w:sz="4" w:space="0" w:color="auto"/>
              <w:left w:val="nil"/>
              <w:bottom w:val="single" w:sz="4" w:space="0" w:color="auto"/>
              <w:right w:val="single" w:sz="8" w:space="0" w:color="000000"/>
            </w:tcBorders>
            <w:vAlign w:val="center"/>
            <w:hideMark/>
          </w:tcPr>
          <w:p w14:paraId="25C23005"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576.40</w:t>
            </w:r>
            <w:r w:rsidRPr="00BE540A">
              <w:rPr>
                <w:rFonts w:ascii="Times New Roman" w:eastAsia="Times New Roman" w:hAnsi="Times New Roman" w:cs="Times New Roman"/>
                <w:color w:val="000004"/>
                <w:spacing w:val="-2"/>
                <w:sz w:val="20"/>
                <w:szCs w:val="20"/>
                <w:vertAlign w:val="superscript"/>
              </w:rPr>
              <w:t>ab</w:t>
            </w:r>
            <w:r w:rsidRPr="00BE540A">
              <w:rPr>
                <w:rFonts w:ascii="Times New Roman" w:eastAsia="Times New Roman" w:hAnsi="Times New Roman" w:cs="Times New Roman"/>
                <w:color w:val="000004"/>
                <w:spacing w:val="-2"/>
                <w:sz w:val="20"/>
                <w:szCs w:val="20"/>
              </w:rPr>
              <w:t>±15.77</w:t>
            </w:r>
          </w:p>
        </w:tc>
        <w:tc>
          <w:tcPr>
            <w:tcW w:w="2015" w:type="dxa"/>
            <w:tcBorders>
              <w:top w:val="single" w:sz="4" w:space="0" w:color="auto"/>
              <w:left w:val="nil"/>
              <w:bottom w:val="single" w:sz="4" w:space="0" w:color="auto"/>
              <w:right w:val="single" w:sz="8" w:space="0" w:color="000000"/>
            </w:tcBorders>
            <w:vAlign w:val="center"/>
            <w:hideMark/>
          </w:tcPr>
          <w:p w14:paraId="25B90709"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579.34</w:t>
            </w:r>
            <w:r w:rsidRPr="00BE540A">
              <w:rPr>
                <w:rFonts w:ascii="Times New Roman" w:eastAsia="Times New Roman" w:hAnsi="Times New Roman" w:cs="Times New Roman"/>
                <w:color w:val="000004"/>
                <w:spacing w:val="-2"/>
                <w:sz w:val="20"/>
                <w:szCs w:val="20"/>
                <w:vertAlign w:val="superscript"/>
              </w:rPr>
              <w:t>ab</w:t>
            </w:r>
            <w:r w:rsidRPr="00BE540A">
              <w:rPr>
                <w:rFonts w:ascii="Times New Roman" w:eastAsia="Times New Roman" w:hAnsi="Times New Roman" w:cs="Times New Roman"/>
                <w:color w:val="000004"/>
                <w:spacing w:val="-2"/>
                <w:sz w:val="20"/>
                <w:szCs w:val="20"/>
              </w:rPr>
              <w:t>±16.65</w:t>
            </w:r>
          </w:p>
        </w:tc>
        <w:tc>
          <w:tcPr>
            <w:tcW w:w="2050" w:type="dxa"/>
            <w:tcBorders>
              <w:top w:val="single" w:sz="4" w:space="0" w:color="auto"/>
              <w:left w:val="nil"/>
              <w:bottom w:val="single" w:sz="4" w:space="0" w:color="auto"/>
              <w:right w:val="single" w:sz="8" w:space="0" w:color="000000"/>
            </w:tcBorders>
            <w:vAlign w:val="center"/>
            <w:hideMark/>
          </w:tcPr>
          <w:p w14:paraId="464FA83B"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626.99</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±24.58</w:t>
            </w:r>
          </w:p>
        </w:tc>
      </w:tr>
      <w:tr w:rsidR="00853DCA" w:rsidRPr="00BE540A" w14:paraId="2CE7E366"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vAlign w:val="center"/>
            <w:hideMark/>
          </w:tcPr>
          <w:p w14:paraId="045EB4CA" w14:textId="77777777" w:rsidR="00853DCA" w:rsidRPr="00BE540A" w:rsidRDefault="00853DCA" w:rsidP="00E3295F">
            <w:pPr>
              <w:spacing w:after="0" w:line="240" w:lineRule="auto"/>
              <w:jc w:val="center"/>
              <w:rPr>
                <w:rFonts w:ascii="Times New Roman" w:eastAsia="Times New Roman" w:hAnsi="Times New Roman" w:cs="Times New Roman"/>
                <w:b/>
                <w:color w:val="000000"/>
                <w:sz w:val="20"/>
                <w:szCs w:val="20"/>
              </w:rPr>
            </w:pPr>
            <w:r w:rsidRPr="00BE540A">
              <w:rPr>
                <w:rFonts w:ascii="Times New Roman" w:eastAsia="Times New Roman" w:hAnsi="Times New Roman" w:cs="Times New Roman"/>
                <w:b/>
                <w:color w:val="000000"/>
                <w:sz w:val="20"/>
                <w:szCs w:val="20"/>
              </w:rPr>
              <w:t>0-Ⅳ</w:t>
            </w:r>
          </w:p>
        </w:tc>
        <w:tc>
          <w:tcPr>
            <w:tcW w:w="2015" w:type="dxa"/>
            <w:tcBorders>
              <w:top w:val="single" w:sz="4" w:space="0" w:color="auto"/>
              <w:left w:val="nil"/>
              <w:bottom w:val="single" w:sz="4" w:space="0" w:color="auto"/>
              <w:right w:val="single" w:sz="8" w:space="0" w:color="000000"/>
            </w:tcBorders>
            <w:vAlign w:val="center"/>
            <w:hideMark/>
          </w:tcPr>
          <w:p w14:paraId="404A5704"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1217.63</w:t>
            </w:r>
            <w:r w:rsidRPr="00BE540A">
              <w:rPr>
                <w:rFonts w:ascii="Times New Roman" w:eastAsia="Times New Roman" w:hAnsi="Times New Roman" w:cs="Times New Roman"/>
                <w:color w:val="000004"/>
                <w:spacing w:val="-2"/>
                <w:sz w:val="20"/>
                <w:szCs w:val="20"/>
                <w:vertAlign w:val="superscript"/>
              </w:rPr>
              <w:t>a</w:t>
            </w:r>
            <w:r w:rsidRPr="00BE540A">
              <w:rPr>
                <w:rFonts w:ascii="Times New Roman" w:eastAsia="Times New Roman" w:hAnsi="Times New Roman" w:cs="Times New Roman"/>
                <w:color w:val="000004"/>
                <w:spacing w:val="-2"/>
                <w:sz w:val="20"/>
                <w:szCs w:val="20"/>
              </w:rPr>
              <w:t>±25.69</w:t>
            </w:r>
          </w:p>
        </w:tc>
        <w:tc>
          <w:tcPr>
            <w:tcW w:w="2199" w:type="dxa"/>
            <w:tcBorders>
              <w:top w:val="single" w:sz="4" w:space="0" w:color="auto"/>
              <w:left w:val="nil"/>
              <w:bottom w:val="single" w:sz="4" w:space="0" w:color="auto"/>
              <w:right w:val="single" w:sz="8" w:space="0" w:color="000000"/>
            </w:tcBorders>
            <w:vAlign w:val="center"/>
            <w:hideMark/>
          </w:tcPr>
          <w:p w14:paraId="7EF8FFAD"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1387.21</w:t>
            </w:r>
            <w:r w:rsidRPr="00BE540A">
              <w:rPr>
                <w:rFonts w:ascii="Times New Roman" w:eastAsia="Times New Roman" w:hAnsi="Times New Roman" w:cs="Times New Roman"/>
                <w:color w:val="000004"/>
                <w:spacing w:val="-2"/>
                <w:sz w:val="20"/>
                <w:szCs w:val="20"/>
                <w:vertAlign w:val="superscript"/>
              </w:rPr>
              <w:t>c</w:t>
            </w:r>
            <w:r w:rsidRPr="00BE540A">
              <w:rPr>
                <w:rFonts w:ascii="Times New Roman" w:eastAsia="Times New Roman" w:hAnsi="Times New Roman" w:cs="Times New Roman"/>
                <w:color w:val="000004"/>
                <w:spacing w:val="-2"/>
                <w:sz w:val="20"/>
                <w:szCs w:val="20"/>
              </w:rPr>
              <w:t>±23.11</w:t>
            </w:r>
          </w:p>
        </w:tc>
        <w:tc>
          <w:tcPr>
            <w:tcW w:w="2015" w:type="dxa"/>
            <w:tcBorders>
              <w:top w:val="single" w:sz="4" w:space="0" w:color="auto"/>
              <w:left w:val="nil"/>
              <w:bottom w:val="single" w:sz="4" w:space="0" w:color="auto"/>
              <w:right w:val="single" w:sz="8" w:space="0" w:color="000000"/>
            </w:tcBorders>
            <w:vAlign w:val="center"/>
            <w:hideMark/>
          </w:tcPr>
          <w:p w14:paraId="31759E23"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1301.78</w:t>
            </w:r>
            <w:r w:rsidRPr="00BE540A">
              <w:rPr>
                <w:rFonts w:ascii="Times New Roman" w:eastAsia="Times New Roman" w:hAnsi="Times New Roman" w:cs="Times New Roman"/>
                <w:color w:val="000004"/>
                <w:spacing w:val="-2"/>
                <w:sz w:val="20"/>
                <w:szCs w:val="20"/>
                <w:vertAlign w:val="superscript"/>
              </w:rPr>
              <w:t>b</w:t>
            </w:r>
            <w:r w:rsidRPr="00BE540A">
              <w:rPr>
                <w:rFonts w:ascii="Times New Roman" w:eastAsia="Times New Roman" w:hAnsi="Times New Roman" w:cs="Times New Roman"/>
                <w:color w:val="000004"/>
                <w:spacing w:val="-2"/>
                <w:sz w:val="20"/>
                <w:szCs w:val="20"/>
              </w:rPr>
              <w:t>±25.22</w:t>
            </w:r>
          </w:p>
        </w:tc>
        <w:tc>
          <w:tcPr>
            <w:tcW w:w="2050" w:type="dxa"/>
            <w:tcBorders>
              <w:top w:val="single" w:sz="4" w:space="0" w:color="auto"/>
              <w:left w:val="nil"/>
              <w:bottom w:val="single" w:sz="4" w:space="0" w:color="auto"/>
              <w:right w:val="single" w:sz="8" w:space="0" w:color="000000"/>
            </w:tcBorders>
            <w:vAlign w:val="center"/>
            <w:hideMark/>
          </w:tcPr>
          <w:p w14:paraId="08407C29" w14:textId="77777777" w:rsidR="00853DCA" w:rsidRPr="00BE540A" w:rsidRDefault="00853DCA" w:rsidP="00E3295F">
            <w:pPr>
              <w:spacing w:after="0" w:line="240" w:lineRule="auto"/>
              <w:jc w:val="center"/>
              <w:rPr>
                <w:rFonts w:ascii="Times New Roman" w:eastAsia="Times New Roman" w:hAnsi="Times New Roman" w:cs="Times New Roman"/>
                <w:color w:val="000004"/>
                <w:sz w:val="20"/>
                <w:szCs w:val="20"/>
              </w:rPr>
            </w:pPr>
            <w:r w:rsidRPr="00BE540A">
              <w:rPr>
                <w:rFonts w:ascii="Times New Roman" w:eastAsia="Times New Roman" w:hAnsi="Times New Roman" w:cs="Times New Roman"/>
                <w:color w:val="000004"/>
                <w:spacing w:val="-2"/>
                <w:sz w:val="20"/>
                <w:szCs w:val="20"/>
              </w:rPr>
              <w:t>1332.88</w:t>
            </w:r>
            <w:r w:rsidRPr="00BE540A">
              <w:rPr>
                <w:rFonts w:ascii="Times New Roman" w:eastAsia="Times New Roman" w:hAnsi="Times New Roman" w:cs="Times New Roman"/>
                <w:color w:val="000004"/>
                <w:spacing w:val="-2"/>
                <w:sz w:val="20"/>
                <w:szCs w:val="20"/>
                <w:vertAlign w:val="superscript"/>
              </w:rPr>
              <w:t>bc</w:t>
            </w:r>
            <w:r w:rsidRPr="00BE540A">
              <w:rPr>
                <w:rFonts w:ascii="Times New Roman" w:eastAsia="Times New Roman" w:hAnsi="Times New Roman" w:cs="Times New Roman"/>
                <w:color w:val="000004"/>
                <w:spacing w:val="-2"/>
                <w:sz w:val="20"/>
                <w:szCs w:val="20"/>
              </w:rPr>
              <w:t>±36.05</w:t>
            </w:r>
          </w:p>
        </w:tc>
      </w:tr>
      <w:tr w:rsidR="00853DCA" w:rsidRPr="00BE540A" w14:paraId="6FCE9DE2" w14:textId="77777777" w:rsidTr="00853DCA">
        <w:trPr>
          <w:trHeight w:val="329"/>
        </w:trPr>
        <w:tc>
          <w:tcPr>
            <w:tcW w:w="9564" w:type="dxa"/>
            <w:gridSpan w:val="5"/>
            <w:tcBorders>
              <w:top w:val="single" w:sz="4" w:space="0" w:color="auto"/>
              <w:left w:val="single" w:sz="8" w:space="0" w:color="000000"/>
              <w:bottom w:val="single" w:sz="4" w:space="0" w:color="auto"/>
              <w:right w:val="single" w:sz="8" w:space="0" w:color="000000"/>
            </w:tcBorders>
            <w:vAlign w:val="center"/>
          </w:tcPr>
          <w:p w14:paraId="570B83DD" w14:textId="77777777" w:rsidR="00853DCA" w:rsidRPr="00BE540A" w:rsidRDefault="00853DCA" w:rsidP="00E3295F">
            <w:pPr>
              <w:spacing w:after="0" w:line="240" w:lineRule="auto"/>
              <w:rPr>
                <w:rFonts w:ascii="Times New Roman" w:eastAsia="Times New Roman" w:hAnsi="Times New Roman" w:cs="Times New Roman"/>
                <w:color w:val="000004"/>
                <w:spacing w:val="-2"/>
                <w:sz w:val="20"/>
                <w:szCs w:val="20"/>
              </w:rPr>
            </w:pPr>
            <w:r w:rsidRPr="00236A4D">
              <w:rPr>
                <w:rFonts w:ascii="Times New Roman" w:eastAsia="Times New Roman" w:hAnsi="Times New Roman" w:cs="Times New Roman"/>
                <w:b/>
                <w:color w:val="000004"/>
                <w:spacing w:val="-2"/>
                <w:sz w:val="20"/>
                <w:szCs w:val="20"/>
              </w:rPr>
              <w:t>Weekly Average daily weight gain (g/day)</w:t>
            </w:r>
          </w:p>
        </w:tc>
      </w:tr>
      <w:tr w:rsidR="00853DCA" w:rsidRPr="00BE540A" w14:paraId="0481B82C" w14:textId="77777777" w:rsidTr="00853DCA">
        <w:trPr>
          <w:trHeight w:val="265"/>
        </w:trPr>
        <w:tc>
          <w:tcPr>
            <w:tcW w:w="1282" w:type="dxa"/>
            <w:tcBorders>
              <w:top w:val="single" w:sz="4" w:space="0" w:color="auto"/>
              <w:left w:val="single" w:sz="8" w:space="0" w:color="000000"/>
              <w:bottom w:val="single" w:sz="4" w:space="0" w:color="auto"/>
              <w:right w:val="single" w:sz="8" w:space="0" w:color="000000"/>
            </w:tcBorders>
          </w:tcPr>
          <w:p w14:paraId="648BD6D1" w14:textId="77777777" w:rsidR="00853DCA" w:rsidRPr="00236A4D" w:rsidRDefault="00853DCA" w:rsidP="00853DCA">
            <w:pPr>
              <w:pStyle w:val="TableParagraph"/>
              <w:tabs>
                <w:tab w:val="left" w:pos="270"/>
                <w:tab w:val="center" w:pos="541"/>
              </w:tabs>
              <w:spacing w:before="0"/>
              <w:ind w:left="17"/>
              <w:jc w:val="left"/>
              <w:rPr>
                <w:rFonts w:ascii="Times New Roman" w:hAnsi="Times New Roman" w:cs="Times New Roman"/>
                <w:b/>
                <w:sz w:val="20"/>
                <w:szCs w:val="20"/>
              </w:rPr>
            </w:pPr>
            <w:r>
              <w:rPr>
                <w:rFonts w:ascii="Times New Roman" w:hAnsi="Times New Roman" w:cs="Times New Roman"/>
                <w:b/>
                <w:spacing w:val="-3"/>
                <w:sz w:val="20"/>
                <w:szCs w:val="20"/>
              </w:rPr>
              <w:tab/>
            </w:r>
            <w:r>
              <w:rPr>
                <w:rFonts w:ascii="Times New Roman" w:hAnsi="Times New Roman" w:cs="Times New Roman"/>
                <w:b/>
                <w:spacing w:val="-3"/>
                <w:sz w:val="20"/>
                <w:szCs w:val="20"/>
              </w:rPr>
              <w:tab/>
            </w:r>
            <w:r w:rsidRPr="00236A4D">
              <w:rPr>
                <w:rFonts w:ascii="Times New Roman" w:hAnsi="Times New Roman" w:cs="Times New Roman"/>
                <w:b/>
                <w:spacing w:val="-3"/>
                <w:sz w:val="20"/>
                <w:szCs w:val="20"/>
              </w:rPr>
              <w:t>0-</w:t>
            </w:r>
            <w:r w:rsidRPr="00236A4D">
              <w:rPr>
                <w:rFonts w:ascii="Times New Roman" w:hAnsi="Times New Roman" w:cs="Times New Roman"/>
                <w:b/>
                <w:spacing w:val="-10"/>
                <w:sz w:val="20"/>
                <w:szCs w:val="20"/>
              </w:rPr>
              <w:t>Ⅰ</w:t>
            </w:r>
          </w:p>
        </w:tc>
        <w:tc>
          <w:tcPr>
            <w:tcW w:w="2015" w:type="dxa"/>
            <w:tcBorders>
              <w:top w:val="single" w:sz="4" w:space="0" w:color="auto"/>
              <w:left w:val="nil"/>
              <w:bottom w:val="single" w:sz="4" w:space="0" w:color="auto"/>
              <w:right w:val="single" w:sz="8" w:space="0" w:color="000000"/>
            </w:tcBorders>
          </w:tcPr>
          <w:p w14:paraId="63BD0988" w14:textId="77777777" w:rsidR="00853DCA" w:rsidRPr="00236A4D" w:rsidRDefault="00853DCA" w:rsidP="00853DCA">
            <w:pPr>
              <w:pStyle w:val="TableParagraph"/>
              <w:spacing w:before="0"/>
              <w:ind w:left="16" w:right="3"/>
              <w:rPr>
                <w:rFonts w:ascii="Times New Roman" w:hAnsi="Times New Roman" w:cs="Times New Roman"/>
                <w:sz w:val="20"/>
                <w:szCs w:val="20"/>
              </w:rPr>
            </w:pPr>
            <w:r w:rsidRPr="00236A4D">
              <w:rPr>
                <w:rFonts w:ascii="Times New Roman" w:hAnsi="Times New Roman" w:cs="Times New Roman"/>
                <w:color w:val="000004"/>
                <w:spacing w:val="-2"/>
                <w:sz w:val="20"/>
                <w:szCs w:val="20"/>
              </w:rPr>
              <w:t>11.43</w:t>
            </w:r>
            <w:r w:rsidRPr="00236A4D">
              <w:rPr>
                <w:rFonts w:ascii="Times New Roman" w:hAnsi="Times New Roman" w:cs="Times New Roman"/>
                <w:color w:val="000004"/>
                <w:spacing w:val="-2"/>
                <w:position w:val="8"/>
                <w:sz w:val="20"/>
                <w:szCs w:val="20"/>
              </w:rPr>
              <w:t>a</w:t>
            </w:r>
            <w:r w:rsidRPr="00236A4D">
              <w:rPr>
                <w:rFonts w:ascii="Times New Roman" w:hAnsi="Times New Roman" w:cs="Times New Roman"/>
                <w:color w:val="000004"/>
                <w:spacing w:val="-2"/>
                <w:sz w:val="20"/>
                <w:szCs w:val="20"/>
              </w:rPr>
              <w:t>±0.84</w:t>
            </w:r>
          </w:p>
        </w:tc>
        <w:tc>
          <w:tcPr>
            <w:tcW w:w="2199" w:type="dxa"/>
            <w:tcBorders>
              <w:top w:val="single" w:sz="4" w:space="0" w:color="auto"/>
              <w:left w:val="nil"/>
              <w:bottom w:val="single" w:sz="4" w:space="0" w:color="auto"/>
              <w:right w:val="single" w:sz="8" w:space="0" w:color="000000"/>
            </w:tcBorders>
          </w:tcPr>
          <w:p w14:paraId="66239F0A" w14:textId="77777777" w:rsidR="00853DCA" w:rsidRPr="00236A4D" w:rsidRDefault="00853DCA" w:rsidP="00853DCA">
            <w:pPr>
              <w:pStyle w:val="TableParagraph"/>
              <w:spacing w:before="0"/>
              <w:ind w:left="12"/>
              <w:rPr>
                <w:rFonts w:ascii="Times New Roman" w:hAnsi="Times New Roman" w:cs="Times New Roman"/>
                <w:sz w:val="20"/>
                <w:szCs w:val="20"/>
              </w:rPr>
            </w:pPr>
            <w:r w:rsidRPr="00236A4D">
              <w:rPr>
                <w:rFonts w:ascii="Times New Roman" w:hAnsi="Times New Roman" w:cs="Times New Roman"/>
                <w:spacing w:val="-2"/>
                <w:sz w:val="20"/>
                <w:szCs w:val="20"/>
              </w:rPr>
              <w:t>17.66</w:t>
            </w:r>
            <w:r w:rsidRPr="00236A4D">
              <w:rPr>
                <w:rFonts w:ascii="Times New Roman" w:hAnsi="Times New Roman" w:cs="Times New Roman"/>
                <w:spacing w:val="-2"/>
                <w:position w:val="8"/>
                <w:sz w:val="20"/>
                <w:szCs w:val="20"/>
              </w:rPr>
              <w:t>b</w:t>
            </w:r>
            <w:r w:rsidRPr="00236A4D">
              <w:rPr>
                <w:rFonts w:ascii="Times New Roman" w:hAnsi="Times New Roman" w:cs="Times New Roman"/>
                <w:spacing w:val="-2"/>
                <w:sz w:val="20"/>
                <w:szCs w:val="20"/>
              </w:rPr>
              <w:t>±1.429</w:t>
            </w:r>
          </w:p>
        </w:tc>
        <w:tc>
          <w:tcPr>
            <w:tcW w:w="2015" w:type="dxa"/>
            <w:tcBorders>
              <w:top w:val="single" w:sz="4" w:space="0" w:color="auto"/>
              <w:left w:val="nil"/>
              <w:bottom w:val="single" w:sz="4" w:space="0" w:color="auto"/>
              <w:right w:val="single" w:sz="8" w:space="0" w:color="000000"/>
            </w:tcBorders>
          </w:tcPr>
          <w:p w14:paraId="7F992D67" w14:textId="77777777" w:rsidR="00853DCA" w:rsidRPr="00236A4D" w:rsidRDefault="00853DCA" w:rsidP="00853DCA">
            <w:pPr>
              <w:pStyle w:val="TableParagraph"/>
              <w:spacing w:before="0"/>
              <w:ind w:left="17" w:right="3"/>
              <w:rPr>
                <w:rFonts w:ascii="Times New Roman" w:hAnsi="Times New Roman" w:cs="Times New Roman"/>
                <w:sz w:val="20"/>
                <w:szCs w:val="20"/>
              </w:rPr>
            </w:pPr>
            <w:r w:rsidRPr="00236A4D">
              <w:rPr>
                <w:rFonts w:ascii="Times New Roman" w:hAnsi="Times New Roman" w:cs="Times New Roman"/>
                <w:spacing w:val="-2"/>
                <w:sz w:val="20"/>
                <w:szCs w:val="20"/>
              </w:rPr>
              <w:t>14.68</w:t>
            </w:r>
            <w:r w:rsidRPr="00236A4D">
              <w:rPr>
                <w:rFonts w:ascii="Times New Roman" w:hAnsi="Times New Roman" w:cs="Times New Roman"/>
                <w:spacing w:val="-2"/>
                <w:position w:val="8"/>
                <w:sz w:val="20"/>
                <w:szCs w:val="20"/>
              </w:rPr>
              <w:t>b</w:t>
            </w:r>
            <w:r w:rsidRPr="00236A4D">
              <w:rPr>
                <w:rFonts w:ascii="Times New Roman" w:hAnsi="Times New Roman" w:cs="Times New Roman"/>
                <w:spacing w:val="-2"/>
                <w:sz w:val="20"/>
                <w:szCs w:val="20"/>
              </w:rPr>
              <w:t>±0.314</w:t>
            </w:r>
          </w:p>
        </w:tc>
        <w:tc>
          <w:tcPr>
            <w:tcW w:w="2050" w:type="dxa"/>
            <w:tcBorders>
              <w:top w:val="single" w:sz="4" w:space="0" w:color="auto"/>
              <w:left w:val="nil"/>
              <w:bottom w:val="single" w:sz="4" w:space="0" w:color="auto"/>
              <w:right w:val="single" w:sz="8" w:space="0" w:color="000000"/>
            </w:tcBorders>
          </w:tcPr>
          <w:p w14:paraId="326FC267" w14:textId="77777777" w:rsidR="00853DCA" w:rsidRPr="00236A4D" w:rsidRDefault="00853DCA" w:rsidP="00853DCA">
            <w:pPr>
              <w:pStyle w:val="TableParagraph"/>
              <w:spacing w:before="0"/>
              <w:ind w:left="16" w:right="2"/>
              <w:rPr>
                <w:rFonts w:ascii="Times New Roman" w:hAnsi="Times New Roman" w:cs="Times New Roman"/>
                <w:sz w:val="20"/>
                <w:szCs w:val="20"/>
              </w:rPr>
            </w:pPr>
            <w:r w:rsidRPr="00236A4D">
              <w:rPr>
                <w:rFonts w:ascii="Times New Roman" w:hAnsi="Times New Roman" w:cs="Times New Roman"/>
                <w:color w:val="000004"/>
                <w:spacing w:val="-2"/>
                <w:sz w:val="20"/>
                <w:szCs w:val="20"/>
              </w:rPr>
              <w:t>15.59</w:t>
            </w:r>
            <w:r w:rsidRPr="00236A4D">
              <w:rPr>
                <w:rFonts w:ascii="Times New Roman" w:hAnsi="Times New Roman" w:cs="Times New Roman"/>
                <w:color w:val="000004"/>
                <w:spacing w:val="-2"/>
                <w:position w:val="8"/>
                <w:sz w:val="20"/>
                <w:szCs w:val="20"/>
              </w:rPr>
              <w:t>b</w:t>
            </w:r>
            <w:r w:rsidRPr="00236A4D">
              <w:rPr>
                <w:rFonts w:ascii="Times New Roman" w:hAnsi="Times New Roman" w:cs="Times New Roman"/>
                <w:color w:val="000004"/>
                <w:spacing w:val="-2"/>
                <w:sz w:val="20"/>
                <w:szCs w:val="20"/>
              </w:rPr>
              <w:t>±0.396</w:t>
            </w:r>
          </w:p>
        </w:tc>
      </w:tr>
      <w:tr w:rsidR="00853DCA" w:rsidRPr="00BE540A" w14:paraId="6FBBF308"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tcPr>
          <w:p w14:paraId="7F831FC9" w14:textId="77777777"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2"/>
                <w:sz w:val="20"/>
                <w:szCs w:val="20"/>
              </w:rPr>
              <w:t>Ⅰ-</w:t>
            </w:r>
            <w:r w:rsidRPr="00236A4D">
              <w:rPr>
                <w:rFonts w:ascii="Times New Roman" w:hAnsi="Times New Roman" w:cs="Times New Roman"/>
                <w:b/>
                <w:spacing w:val="-10"/>
                <w:sz w:val="20"/>
                <w:szCs w:val="20"/>
              </w:rPr>
              <w:t>Ⅱ</w:t>
            </w:r>
          </w:p>
        </w:tc>
        <w:tc>
          <w:tcPr>
            <w:tcW w:w="2015" w:type="dxa"/>
            <w:tcBorders>
              <w:top w:val="single" w:sz="4" w:space="0" w:color="auto"/>
              <w:left w:val="nil"/>
              <w:bottom w:val="single" w:sz="4" w:space="0" w:color="auto"/>
              <w:right w:val="single" w:sz="8" w:space="0" w:color="000000"/>
            </w:tcBorders>
          </w:tcPr>
          <w:p w14:paraId="64675DE0" w14:textId="77777777" w:rsidR="00853DCA" w:rsidRPr="00236A4D" w:rsidRDefault="00853DCA" w:rsidP="00853DCA">
            <w:pPr>
              <w:pStyle w:val="TableParagraph"/>
              <w:spacing w:before="0"/>
              <w:ind w:left="16" w:right="3"/>
              <w:rPr>
                <w:rFonts w:ascii="Times New Roman" w:hAnsi="Times New Roman" w:cs="Times New Roman"/>
                <w:sz w:val="20"/>
                <w:szCs w:val="20"/>
              </w:rPr>
            </w:pPr>
            <w:r w:rsidRPr="00236A4D">
              <w:rPr>
                <w:rFonts w:ascii="Times New Roman" w:hAnsi="Times New Roman" w:cs="Times New Roman"/>
                <w:color w:val="000004"/>
                <w:spacing w:val="-2"/>
                <w:sz w:val="20"/>
                <w:szCs w:val="20"/>
              </w:rPr>
              <w:t>28.08±2.368</w:t>
            </w:r>
          </w:p>
        </w:tc>
        <w:tc>
          <w:tcPr>
            <w:tcW w:w="2199" w:type="dxa"/>
            <w:tcBorders>
              <w:top w:val="single" w:sz="4" w:space="0" w:color="auto"/>
              <w:left w:val="nil"/>
              <w:bottom w:val="single" w:sz="4" w:space="0" w:color="auto"/>
              <w:right w:val="single" w:sz="8" w:space="0" w:color="000000"/>
            </w:tcBorders>
          </w:tcPr>
          <w:p w14:paraId="6C893DF4" w14:textId="77777777" w:rsidR="00853DCA" w:rsidRPr="00236A4D" w:rsidRDefault="00853DCA" w:rsidP="00853DCA">
            <w:pPr>
              <w:pStyle w:val="TableParagraph"/>
              <w:spacing w:before="0"/>
              <w:ind w:left="14"/>
              <w:rPr>
                <w:rFonts w:ascii="Times New Roman" w:hAnsi="Times New Roman" w:cs="Times New Roman"/>
                <w:sz w:val="20"/>
                <w:szCs w:val="20"/>
              </w:rPr>
            </w:pPr>
            <w:r w:rsidRPr="00236A4D">
              <w:rPr>
                <w:rFonts w:ascii="Times New Roman" w:hAnsi="Times New Roman" w:cs="Times New Roman"/>
                <w:color w:val="000004"/>
                <w:spacing w:val="-2"/>
                <w:sz w:val="20"/>
                <w:szCs w:val="20"/>
              </w:rPr>
              <w:t>35.41±1.61</w:t>
            </w:r>
          </w:p>
        </w:tc>
        <w:tc>
          <w:tcPr>
            <w:tcW w:w="2015" w:type="dxa"/>
            <w:tcBorders>
              <w:top w:val="single" w:sz="4" w:space="0" w:color="auto"/>
              <w:left w:val="nil"/>
              <w:bottom w:val="single" w:sz="4" w:space="0" w:color="auto"/>
              <w:right w:val="single" w:sz="8" w:space="0" w:color="000000"/>
            </w:tcBorders>
          </w:tcPr>
          <w:p w14:paraId="681AA2D6" w14:textId="77777777" w:rsidR="00853DCA" w:rsidRPr="00236A4D" w:rsidRDefault="00853DCA" w:rsidP="00853DCA">
            <w:pPr>
              <w:pStyle w:val="TableParagraph"/>
              <w:spacing w:before="0"/>
              <w:ind w:left="17" w:right="6"/>
              <w:rPr>
                <w:rFonts w:ascii="Times New Roman" w:hAnsi="Times New Roman" w:cs="Times New Roman"/>
                <w:sz w:val="20"/>
                <w:szCs w:val="20"/>
              </w:rPr>
            </w:pPr>
            <w:r w:rsidRPr="00236A4D">
              <w:rPr>
                <w:rFonts w:ascii="Times New Roman" w:hAnsi="Times New Roman" w:cs="Times New Roman"/>
                <w:color w:val="000004"/>
                <w:spacing w:val="-2"/>
                <w:sz w:val="20"/>
                <w:szCs w:val="20"/>
              </w:rPr>
              <w:t>28.47±0.18</w:t>
            </w:r>
          </w:p>
        </w:tc>
        <w:tc>
          <w:tcPr>
            <w:tcW w:w="2050" w:type="dxa"/>
            <w:tcBorders>
              <w:top w:val="single" w:sz="4" w:space="0" w:color="auto"/>
              <w:left w:val="nil"/>
              <w:bottom w:val="single" w:sz="4" w:space="0" w:color="auto"/>
              <w:right w:val="single" w:sz="8" w:space="0" w:color="000000"/>
            </w:tcBorders>
          </w:tcPr>
          <w:p w14:paraId="60E5ECD8" w14:textId="77777777" w:rsidR="00853DCA" w:rsidRPr="00236A4D" w:rsidRDefault="00853DCA" w:rsidP="00853DCA">
            <w:pPr>
              <w:pStyle w:val="TableParagraph"/>
              <w:spacing w:before="0"/>
              <w:ind w:left="16" w:right="2"/>
              <w:rPr>
                <w:rFonts w:ascii="Times New Roman" w:hAnsi="Times New Roman" w:cs="Times New Roman"/>
                <w:sz w:val="20"/>
                <w:szCs w:val="20"/>
              </w:rPr>
            </w:pPr>
            <w:r w:rsidRPr="00236A4D">
              <w:rPr>
                <w:rFonts w:ascii="Times New Roman" w:hAnsi="Times New Roman" w:cs="Times New Roman"/>
                <w:color w:val="000004"/>
                <w:spacing w:val="-2"/>
                <w:sz w:val="20"/>
                <w:szCs w:val="20"/>
              </w:rPr>
              <w:t>30.142±0.34</w:t>
            </w:r>
          </w:p>
        </w:tc>
      </w:tr>
      <w:tr w:rsidR="00853DCA" w:rsidRPr="00BE540A" w14:paraId="06F928B5"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tcPr>
          <w:p w14:paraId="18676E93" w14:textId="77777777"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2"/>
                <w:sz w:val="20"/>
                <w:szCs w:val="20"/>
              </w:rPr>
              <w:t>Ⅱ-</w:t>
            </w:r>
            <w:r w:rsidRPr="00236A4D">
              <w:rPr>
                <w:rFonts w:ascii="Times New Roman" w:hAnsi="Times New Roman" w:cs="Times New Roman"/>
                <w:b/>
                <w:spacing w:val="-10"/>
                <w:sz w:val="20"/>
                <w:szCs w:val="20"/>
              </w:rPr>
              <w:t>Ⅲ</w:t>
            </w:r>
          </w:p>
        </w:tc>
        <w:tc>
          <w:tcPr>
            <w:tcW w:w="2015" w:type="dxa"/>
            <w:tcBorders>
              <w:top w:val="single" w:sz="4" w:space="0" w:color="auto"/>
              <w:left w:val="nil"/>
              <w:bottom w:val="single" w:sz="4" w:space="0" w:color="auto"/>
              <w:right w:val="single" w:sz="8" w:space="0" w:color="000000"/>
            </w:tcBorders>
          </w:tcPr>
          <w:p w14:paraId="5309A9D6" w14:textId="77777777" w:rsidR="00853DCA" w:rsidRPr="00236A4D" w:rsidRDefault="00853DCA" w:rsidP="00853DCA">
            <w:pPr>
              <w:pStyle w:val="TableParagraph"/>
              <w:spacing w:before="0"/>
              <w:ind w:left="16" w:right="5"/>
              <w:rPr>
                <w:rFonts w:ascii="Times New Roman" w:hAnsi="Times New Roman" w:cs="Times New Roman"/>
                <w:sz w:val="20"/>
                <w:szCs w:val="20"/>
              </w:rPr>
            </w:pPr>
            <w:r w:rsidRPr="00236A4D">
              <w:rPr>
                <w:rFonts w:ascii="Times New Roman" w:hAnsi="Times New Roman" w:cs="Times New Roman"/>
                <w:color w:val="000004"/>
                <w:spacing w:val="-2"/>
                <w:sz w:val="20"/>
                <w:szCs w:val="20"/>
              </w:rPr>
              <w:t>55.52±0.18</w:t>
            </w:r>
          </w:p>
        </w:tc>
        <w:tc>
          <w:tcPr>
            <w:tcW w:w="2199" w:type="dxa"/>
            <w:tcBorders>
              <w:top w:val="single" w:sz="4" w:space="0" w:color="auto"/>
              <w:left w:val="nil"/>
              <w:bottom w:val="single" w:sz="4" w:space="0" w:color="auto"/>
              <w:right w:val="single" w:sz="8" w:space="0" w:color="000000"/>
            </w:tcBorders>
          </w:tcPr>
          <w:p w14:paraId="34C54591" w14:textId="77777777" w:rsidR="00853DCA" w:rsidRPr="00236A4D" w:rsidRDefault="00853DCA" w:rsidP="00853DCA">
            <w:pPr>
              <w:pStyle w:val="TableParagraph"/>
              <w:spacing w:before="0"/>
              <w:ind w:left="14"/>
              <w:rPr>
                <w:rFonts w:ascii="Times New Roman" w:hAnsi="Times New Roman" w:cs="Times New Roman"/>
                <w:sz w:val="20"/>
                <w:szCs w:val="20"/>
              </w:rPr>
            </w:pPr>
            <w:r w:rsidRPr="00236A4D">
              <w:rPr>
                <w:rFonts w:ascii="Times New Roman" w:hAnsi="Times New Roman" w:cs="Times New Roman"/>
                <w:color w:val="000004"/>
                <w:spacing w:val="-2"/>
                <w:sz w:val="20"/>
                <w:szCs w:val="20"/>
              </w:rPr>
              <w:t>62.75±1.73</w:t>
            </w:r>
          </w:p>
        </w:tc>
        <w:tc>
          <w:tcPr>
            <w:tcW w:w="2015" w:type="dxa"/>
            <w:tcBorders>
              <w:top w:val="single" w:sz="4" w:space="0" w:color="auto"/>
              <w:left w:val="nil"/>
              <w:bottom w:val="single" w:sz="4" w:space="0" w:color="auto"/>
              <w:right w:val="single" w:sz="8" w:space="0" w:color="000000"/>
            </w:tcBorders>
          </w:tcPr>
          <w:p w14:paraId="0F0AA8D1" w14:textId="77777777" w:rsidR="00853DCA" w:rsidRPr="00236A4D" w:rsidRDefault="00853DCA" w:rsidP="00853DCA">
            <w:pPr>
              <w:pStyle w:val="TableParagraph"/>
              <w:spacing w:before="0"/>
              <w:ind w:left="17" w:right="3"/>
              <w:rPr>
                <w:rFonts w:ascii="Times New Roman" w:hAnsi="Times New Roman" w:cs="Times New Roman"/>
                <w:sz w:val="20"/>
                <w:szCs w:val="20"/>
              </w:rPr>
            </w:pPr>
            <w:r w:rsidRPr="00236A4D">
              <w:rPr>
                <w:rFonts w:ascii="Times New Roman" w:hAnsi="Times New Roman" w:cs="Times New Roman"/>
                <w:color w:val="000004"/>
                <w:spacing w:val="-2"/>
                <w:sz w:val="20"/>
                <w:szCs w:val="20"/>
              </w:rPr>
              <w:t>60.04±4.673</w:t>
            </w:r>
          </w:p>
        </w:tc>
        <w:tc>
          <w:tcPr>
            <w:tcW w:w="2050" w:type="dxa"/>
            <w:tcBorders>
              <w:top w:val="single" w:sz="4" w:space="0" w:color="auto"/>
              <w:left w:val="nil"/>
              <w:bottom w:val="single" w:sz="4" w:space="0" w:color="auto"/>
              <w:right w:val="single" w:sz="8" w:space="0" w:color="000000"/>
            </w:tcBorders>
          </w:tcPr>
          <w:p w14:paraId="26FB04F0" w14:textId="77777777" w:rsidR="00853DCA" w:rsidRPr="00236A4D" w:rsidRDefault="00853DCA" w:rsidP="00853DCA">
            <w:pPr>
              <w:pStyle w:val="TableParagraph"/>
              <w:spacing w:before="0"/>
              <w:ind w:left="16" w:right="4"/>
              <w:rPr>
                <w:rFonts w:ascii="Times New Roman" w:hAnsi="Times New Roman" w:cs="Times New Roman"/>
                <w:sz w:val="20"/>
                <w:szCs w:val="20"/>
              </w:rPr>
            </w:pPr>
            <w:r w:rsidRPr="00236A4D">
              <w:rPr>
                <w:rFonts w:ascii="Times New Roman" w:hAnsi="Times New Roman" w:cs="Times New Roman"/>
                <w:color w:val="000004"/>
                <w:spacing w:val="-2"/>
                <w:sz w:val="20"/>
                <w:szCs w:val="20"/>
              </w:rPr>
              <w:t>54.84±0.23</w:t>
            </w:r>
          </w:p>
        </w:tc>
      </w:tr>
      <w:tr w:rsidR="00853DCA" w:rsidRPr="00BE540A" w14:paraId="163FBB8C" w14:textId="77777777" w:rsidTr="00853DCA">
        <w:trPr>
          <w:trHeight w:val="329"/>
        </w:trPr>
        <w:tc>
          <w:tcPr>
            <w:tcW w:w="1282" w:type="dxa"/>
            <w:tcBorders>
              <w:top w:val="single" w:sz="4" w:space="0" w:color="auto"/>
              <w:left w:val="single" w:sz="8" w:space="0" w:color="000000"/>
              <w:bottom w:val="single" w:sz="4" w:space="0" w:color="auto"/>
              <w:right w:val="single" w:sz="8" w:space="0" w:color="000000"/>
            </w:tcBorders>
          </w:tcPr>
          <w:p w14:paraId="1F9B601A" w14:textId="77777777"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2"/>
                <w:sz w:val="20"/>
                <w:szCs w:val="20"/>
              </w:rPr>
              <w:t>Ⅲ-</w:t>
            </w:r>
            <w:r w:rsidRPr="00236A4D">
              <w:rPr>
                <w:rFonts w:ascii="Times New Roman" w:hAnsi="Times New Roman" w:cs="Times New Roman"/>
                <w:b/>
                <w:spacing w:val="-10"/>
                <w:sz w:val="20"/>
                <w:szCs w:val="20"/>
              </w:rPr>
              <w:t>Ⅳ</w:t>
            </w:r>
          </w:p>
        </w:tc>
        <w:tc>
          <w:tcPr>
            <w:tcW w:w="2015" w:type="dxa"/>
            <w:tcBorders>
              <w:top w:val="single" w:sz="4" w:space="0" w:color="auto"/>
              <w:left w:val="nil"/>
              <w:bottom w:val="single" w:sz="4" w:space="0" w:color="auto"/>
              <w:right w:val="single" w:sz="8" w:space="0" w:color="000000"/>
            </w:tcBorders>
          </w:tcPr>
          <w:p w14:paraId="26C28FB3" w14:textId="77777777" w:rsidR="00853DCA" w:rsidRPr="00236A4D" w:rsidRDefault="00853DCA" w:rsidP="00853DCA">
            <w:pPr>
              <w:pStyle w:val="TableParagraph"/>
              <w:spacing w:before="0"/>
              <w:ind w:left="16" w:right="5"/>
              <w:rPr>
                <w:rFonts w:ascii="Times New Roman" w:hAnsi="Times New Roman" w:cs="Times New Roman"/>
                <w:sz w:val="20"/>
                <w:szCs w:val="20"/>
              </w:rPr>
            </w:pPr>
            <w:r w:rsidRPr="00236A4D">
              <w:rPr>
                <w:rFonts w:ascii="Times New Roman" w:hAnsi="Times New Roman" w:cs="Times New Roman"/>
                <w:color w:val="000004"/>
                <w:spacing w:val="-2"/>
                <w:sz w:val="20"/>
                <w:szCs w:val="20"/>
              </w:rPr>
              <w:t>78.71±4.24</w:t>
            </w:r>
          </w:p>
        </w:tc>
        <w:tc>
          <w:tcPr>
            <w:tcW w:w="2199" w:type="dxa"/>
            <w:tcBorders>
              <w:top w:val="single" w:sz="4" w:space="0" w:color="auto"/>
              <w:left w:val="nil"/>
              <w:bottom w:val="single" w:sz="4" w:space="0" w:color="auto"/>
              <w:right w:val="single" w:sz="8" w:space="0" w:color="000000"/>
            </w:tcBorders>
          </w:tcPr>
          <w:p w14:paraId="110FA018" w14:textId="77777777" w:rsidR="00853DCA" w:rsidRPr="00236A4D" w:rsidRDefault="00853DCA" w:rsidP="00853DCA">
            <w:pPr>
              <w:pStyle w:val="TableParagraph"/>
              <w:spacing w:before="0"/>
              <w:ind w:left="12"/>
              <w:rPr>
                <w:rFonts w:ascii="Times New Roman" w:hAnsi="Times New Roman" w:cs="Times New Roman"/>
                <w:sz w:val="20"/>
                <w:szCs w:val="20"/>
              </w:rPr>
            </w:pPr>
            <w:r w:rsidRPr="00236A4D">
              <w:rPr>
                <w:rFonts w:ascii="Times New Roman" w:hAnsi="Times New Roman" w:cs="Times New Roman"/>
                <w:color w:val="000004"/>
                <w:spacing w:val="-2"/>
                <w:sz w:val="20"/>
                <w:szCs w:val="20"/>
              </w:rPr>
              <w:t>82.34±2.719</w:t>
            </w:r>
          </w:p>
        </w:tc>
        <w:tc>
          <w:tcPr>
            <w:tcW w:w="2015" w:type="dxa"/>
            <w:tcBorders>
              <w:top w:val="single" w:sz="4" w:space="0" w:color="auto"/>
              <w:left w:val="nil"/>
              <w:bottom w:val="single" w:sz="4" w:space="0" w:color="auto"/>
              <w:right w:val="single" w:sz="8" w:space="0" w:color="000000"/>
            </w:tcBorders>
          </w:tcPr>
          <w:p w14:paraId="1F7D78EF" w14:textId="77777777" w:rsidR="00853DCA" w:rsidRPr="00236A4D" w:rsidRDefault="00853DCA" w:rsidP="00853DCA">
            <w:pPr>
              <w:pStyle w:val="TableParagraph"/>
              <w:spacing w:before="0"/>
              <w:ind w:left="17" w:right="6"/>
              <w:rPr>
                <w:rFonts w:ascii="Times New Roman" w:hAnsi="Times New Roman" w:cs="Times New Roman"/>
                <w:sz w:val="20"/>
                <w:szCs w:val="20"/>
              </w:rPr>
            </w:pPr>
            <w:r w:rsidRPr="00236A4D">
              <w:rPr>
                <w:rFonts w:ascii="Times New Roman" w:hAnsi="Times New Roman" w:cs="Times New Roman"/>
                <w:color w:val="000004"/>
                <w:spacing w:val="-2"/>
                <w:sz w:val="20"/>
                <w:szCs w:val="20"/>
              </w:rPr>
              <w:t>82.76±4.08</w:t>
            </w:r>
          </w:p>
        </w:tc>
        <w:tc>
          <w:tcPr>
            <w:tcW w:w="2050" w:type="dxa"/>
            <w:tcBorders>
              <w:top w:val="single" w:sz="4" w:space="0" w:color="auto"/>
              <w:left w:val="nil"/>
              <w:bottom w:val="single" w:sz="4" w:space="0" w:color="auto"/>
              <w:right w:val="single" w:sz="8" w:space="0" w:color="000000"/>
            </w:tcBorders>
          </w:tcPr>
          <w:p w14:paraId="2B9535DA" w14:textId="77777777" w:rsidR="00853DCA" w:rsidRPr="00236A4D" w:rsidRDefault="00853DCA" w:rsidP="00853DCA">
            <w:pPr>
              <w:pStyle w:val="TableParagraph"/>
              <w:spacing w:before="0"/>
              <w:ind w:left="16" w:right="4"/>
              <w:rPr>
                <w:rFonts w:ascii="Times New Roman" w:hAnsi="Times New Roman" w:cs="Times New Roman"/>
                <w:sz w:val="20"/>
                <w:szCs w:val="20"/>
              </w:rPr>
            </w:pPr>
            <w:r w:rsidRPr="00236A4D">
              <w:rPr>
                <w:rFonts w:ascii="Times New Roman" w:hAnsi="Times New Roman" w:cs="Times New Roman"/>
                <w:color w:val="000004"/>
                <w:spacing w:val="-2"/>
                <w:sz w:val="20"/>
                <w:szCs w:val="20"/>
              </w:rPr>
              <w:t>89.66±1.66</w:t>
            </w:r>
          </w:p>
        </w:tc>
      </w:tr>
      <w:tr w:rsidR="00853DCA" w:rsidRPr="00BE540A" w14:paraId="6BBB11DF" w14:textId="77777777" w:rsidTr="00853DCA">
        <w:trPr>
          <w:trHeight w:val="329"/>
        </w:trPr>
        <w:tc>
          <w:tcPr>
            <w:tcW w:w="1282" w:type="dxa"/>
            <w:tcBorders>
              <w:top w:val="single" w:sz="4" w:space="0" w:color="auto"/>
              <w:left w:val="single" w:sz="8" w:space="0" w:color="000000"/>
              <w:bottom w:val="single" w:sz="8" w:space="0" w:color="000000"/>
              <w:right w:val="single" w:sz="8" w:space="0" w:color="000000"/>
            </w:tcBorders>
          </w:tcPr>
          <w:p w14:paraId="260AAB0D" w14:textId="77777777" w:rsidR="00853DCA" w:rsidRPr="00236A4D" w:rsidRDefault="00853DCA" w:rsidP="00853DCA">
            <w:pPr>
              <w:pStyle w:val="TableParagraph"/>
              <w:spacing w:before="0"/>
              <w:ind w:left="17"/>
              <w:rPr>
                <w:rFonts w:ascii="Times New Roman" w:hAnsi="Times New Roman" w:cs="Times New Roman"/>
                <w:b/>
                <w:sz w:val="20"/>
                <w:szCs w:val="20"/>
              </w:rPr>
            </w:pPr>
            <w:r w:rsidRPr="00236A4D">
              <w:rPr>
                <w:rFonts w:ascii="Times New Roman" w:hAnsi="Times New Roman" w:cs="Times New Roman"/>
                <w:b/>
                <w:spacing w:val="-3"/>
                <w:sz w:val="20"/>
                <w:szCs w:val="20"/>
              </w:rPr>
              <w:t>0-</w:t>
            </w:r>
            <w:r w:rsidRPr="00236A4D">
              <w:rPr>
                <w:rFonts w:ascii="Times New Roman" w:hAnsi="Times New Roman" w:cs="Times New Roman"/>
                <w:b/>
                <w:spacing w:val="-10"/>
                <w:sz w:val="20"/>
                <w:szCs w:val="20"/>
              </w:rPr>
              <w:t>Ⅳ</w:t>
            </w:r>
          </w:p>
        </w:tc>
        <w:tc>
          <w:tcPr>
            <w:tcW w:w="2015" w:type="dxa"/>
            <w:tcBorders>
              <w:top w:val="single" w:sz="4" w:space="0" w:color="auto"/>
              <w:left w:val="nil"/>
              <w:bottom w:val="single" w:sz="8" w:space="0" w:color="000000"/>
              <w:right w:val="single" w:sz="8" w:space="0" w:color="000000"/>
            </w:tcBorders>
          </w:tcPr>
          <w:p w14:paraId="0250C640" w14:textId="77777777" w:rsidR="00853DCA" w:rsidRPr="00236A4D" w:rsidRDefault="00853DCA" w:rsidP="00853DCA">
            <w:pPr>
              <w:pStyle w:val="TableParagraph"/>
              <w:spacing w:before="0"/>
              <w:ind w:left="16" w:right="5"/>
              <w:rPr>
                <w:rFonts w:ascii="Times New Roman" w:hAnsi="Times New Roman" w:cs="Times New Roman"/>
                <w:sz w:val="20"/>
                <w:szCs w:val="20"/>
              </w:rPr>
            </w:pPr>
            <w:r w:rsidRPr="00236A4D">
              <w:rPr>
                <w:rFonts w:ascii="Times New Roman" w:hAnsi="Times New Roman" w:cs="Times New Roman"/>
                <w:color w:val="000004"/>
                <w:spacing w:val="-2"/>
                <w:sz w:val="20"/>
                <w:szCs w:val="20"/>
              </w:rPr>
              <w:t>43.44±0.41</w:t>
            </w:r>
          </w:p>
        </w:tc>
        <w:tc>
          <w:tcPr>
            <w:tcW w:w="2199" w:type="dxa"/>
            <w:tcBorders>
              <w:top w:val="single" w:sz="4" w:space="0" w:color="auto"/>
              <w:left w:val="nil"/>
              <w:bottom w:val="single" w:sz="8" w:space="0" w:color="000000"/>
              <w:right w:val="single" w:sz="8" w:space="0" w:color="000000"/>
            </w:tcBorders>
          </w:tcPr>
          <w:p w14:paraId="6FD24563" w14:textId="77777777" w:rsidR="00853DCA" w:rsidRPr="00236A4D" w:rsidRDefault="00853DCA" w:rsidP="00853DCA">
            <w:pPr>
              <w:pStyle w:val="TableParagraph"/>
              <w:spacing w:before="0"/>
              <w:ind w:left="14"/>
              <w:rPr>
                <w:rFonts w:ascii="Times New Roman" w:hAnsi="Times New Roman" w:cs="Times New Roman"/>
                <w:sz w:val="20"/>
                <w:szCs w:val="20"/>
              </w:rPr>
            </w:pPr>
            <w:r w:rsidRPr="00236A4D">
              <w:rPr>
                <w:rFonts w:ascii="Times New Roman" w:hAnsi="Times New Roman" w:cs="Times New Roman"/>
                <w:color w:val="000004"/>
                <w:spacing w:val="-2"/>
                <w:sz w:val="20"/>
                <w:szCs w:val="20"/>
              </w:rPr>
              <w:t>49.54±1.86</w:t>
            </w:r>
          </w:p>
        </w:tc>
        <w:tc>
          <w:tcPr>
            <w:tcW w:w="2015" w:type="dxa"/>
            <w:tcBorders>
              <w:top w:val="single" w:sz="4" w:space="0" w:color="auto"/>
              <w:left w:val="nil"/>
              <w:bottom w:val="single" w:sz="8" w:space="0" w:color="000000"/>
              <w:right w:val="single" w:sz="8" w:space="0" w:color="000000"/>
            </w:tcBorders>
          </w:tcPr>
          <w:p w14:paraId="70BCD363" w14:textId="77777777" w:rsidR="00853DCA" w:rsidRPr="00236A4D" w:rsidRDefault="00853DCA" w:rsidP="00853DCA">
            <w:pPr>
              <w:pStyle w:val="TableParagraph"/>
              <w:spacing w:before="0"/>
              <w:ind w:left="17" w:right="6"/>
              <w:rPr>
                <w:rFonts w:ascii="Times New Roman" w:hAnsi="Times New Roman" w:cs="Times New Roman"/>
                <w:sz w:val="20"/>
                <w:szCs w:val="20"/>
              </w:rPr>
            </w:pPr>
            <w:r w:rsidRPr="00236A4D">
              <w:rPr>
                <w:rFonts w:ascii="Times New Roman" w:hAnsi="Times New Roman" w:cs="Times New Roman"/>
                <w:color w:val="000004"/>
                <w:spacing w:val="-2"/>
                <w:sz w:val="20"/>
                <w:szCs w:val="20"/>
              </w:rPr>
              <w:t>46±49±1.66</w:t>
            </w:r>
          </w:p>
        </w:tc>
        <w:tc>
          <w:tcPr>
            <w:tcW w:w="2050" w:type="dxa"/>
            <w:tcBorders>
              <w:top w:val="single" w:sz="4" w:space="0" w:color="auto"/>
              <w:left w:val="nil"/>
              <w:bottom w:val="single" w:sz="8" w:space="0" w:color="000000"/>
              <w:right w:val="single" w:sz="8" w:space="0" w:color="000000"/>
            </w:tcBorders>
          </w:tcPr>
          <w:p w14:paraId="17066771" w14:textId="77777777" w:rsidR="00853DCA" w:rsidRPr="00236A4D" w:rsidRDefault="00853DCA" w:rsidP="00853DCA">
            <w:pPr>
              <w:pStyle w:val="TableParagraph"/>
              <w:spacing w:before="0"/>
              <w:ind w:left="16" w:right="4"/>
              <w:rPr>
                <w:rFonts w:ascii="Times New Roman" w:hAnsi="Times New Roman" w:cs="Times New Roman"/>
                <w:sz w:val="20"/>
                <w:szCs w:val="20"/>
              </w:rPr>
            </w:pPr>
            <w:r w:rsidRPr="00236A4D">
              <w:rPr>
                <w:rFonts w:ascii="Times New Roman" w:hAnsi="Times New Roman" w:cs="Times New Roman"/>
                <w:color w:val="000004"/>
                <w:spacing w:val="-2"/>
                <w:sz w:val="20"/>
                <w:szCs w:val="20"/>
              </w:rPr>
              <w:t>47.56±0.48</w:t>
            </w:r>
          </w:p>
        </w:tc>
      </w:tr>
    </w:tbl>
    <w:p w14:paraId="02A97E38" w14:textId="77777777" w:rsidR="00853DCA" w:rsidRDefault="00853DCA" w:rsidP="00A45BEC">
      <w:pPr>
        <w:spacing w:after="0" w:line="360" w:lineRule="auto"/>
        <w:jc w:val="both"/>
        <w:rPr>
          <w:rFonts w:ascii="Times New Roman" w:hAnsi="Times New Roman" w:cs="Times New Roman"/>
          <w:sz w:val="24"/>
        </w:rPr>
      </w:pPr>
    </w:p>
    <w:p w14:paraId="3B5BD487" w14:textId="77777777" w:rsidR="00853DCA" w:rsidRPr="00B85932" w:rsidRDefault="00FE767D" w:rsidP="00853DCA">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853DCA">
        <w:rPr>
          <w:rFonts w:ascii="Times New Roman" w:hAnsi="Times New Roman" w:cs="Times New Roman"/>
          <w:b/>
          <w:sz w:val="24"/>
        </w:rPr>
        <w:t>Weekly Average Feed Consumption</w:t>
      </w:r>
    </w:p>
    <w:p w14:paraId="4CF52300" w14:textId="77777777"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Feed consumption is considered one of the most important factors influencing the profitability of broiler production, as feed cost accounts for approximately </w:t>
      </w:r>
      <w:r w:rsidRPr="00E3295F">
        <w:rPr>
          <w:rFonts w:ascii="Times New Roman" w:hAnsi="Times New Roman" w:cs="Times New Roman"/>
          <w:b/>
          <w:bCs/>
          <w:sz w:val="24"/>
        </w:rPr>
        <w:t>75–80 per cent of the total production cost</w:t>
      </w:r>
      <w:r w:rsidRPr="00E3295F">
        <w:rPr>
          <w:rFonts w:ascii="Times New Roman" w:hAnsi="Times New Roman" w:cs="Times New Roman"/>
          <w:sz w:val="24"/>
        </w:rPr>
        <w:t xml:space="preserve">. The feed consumption of experimental broiler chicks was recorded at weekly intervals throughout the experimental period, from the first to the fourth week. The average feed consumption (g/bird) during different growth phases and the total feed intake over the entire rearing period for treatment groups </w:t>
      </w:r>
      <w:r w:rsidRPr="00E3295F">
        <w:rPr>
          <w:rFonts w:ascii="Times New Roman" w:hAnsi="Times New Roman" w:cs="Times New Roman"/>
          <w:b/>
          <w:bCs/>
          <w:sz w:val="24"/>
        </w:rPr>
        <w:t>T1, T2, T3 and T4</w:t>
      </w:r>
      <w:r w:rsidRPr="00E3295F">
        <w:rPr>
          <w:rFonts w:ascii="Times New Roman" w:hAnsi="Times New Roman" w:cs="Times New Roman"/>
          <w:sz w:val="24"/>
        </w:rPr>
        <w:t xml:space="preserve"> are presented in </w:t>
      </w:r>
      <w:r w:rsidRPr="00E3295F">
        <w:rPr>
          <w:rFonts w:ascii="Times New Roman" w:hAnsi="Times New Roman" w:cs="Times New Roman"/>
          <w:b/>
          <w:bCs/>
          <w:sz w:val="24"/>
        </w:rPr>
        <w:t>Table 2</w:t>
      </w:r>
      <w:r w:rsidRPr="00E3295F">
        <w:rPr>
          <w:rFonts w:ascii="Times New Roman" w:hAnsi="Times New Roman" w:cs="Times New Roman"/>
          <w:sz w:val="24"/>
        </w:rPr>
        <w:t>.</w:t>
      </w:r>
    </w:p>
    <w:p w14:paraId="734C8D51" w14:textId="77777777" w:rsidR="00E3295F" w:rsidRPr="00E3295F" w:rsidRDefault="007E3B64" w:rsidP="007E3B6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Initial </w:t>
      </w:r>
      <w:r w:rsidR="00E3295F" w:rsidRPr="00E3295F">
        <w:rPr>
          <w:rFonts w:ascii="Times New Roman" w:hAnsi="Times New Roman" w:cs="Times New Roman"/>
          <w:b/>
          <w:bCs/>
          <w:sz w:val="24"/>
        </w:rPr>
        <w:t>first week</w:t>
      </w:r>
      <w:r w:rsidR="00E3295F" w:rsidRPr="00E3295F">
        <w:rPr>
          <w:rFonts w:ascii="Times New Roman" w:hAnsi="Times New Roman" w:cs="Times New Roman"/>
          <w:sz w:val="24"/>
        </w:rPr>
        <w:t xml:space="preserve">, the highest mean weekly feed consumption was observed in the </w:t>
      </w:r>
      <w:r w:rsidR="00E3295F" w:rsidRPr="00E3295F">
        <w:rPr>
          <w:rFonts w:ascii="Times New Roman" w:hAnsi="Times New Roman" w:cs="Times New Roman"/>
          <w:b/>
          <w:bCs/>
          <w:sz w:val="24"/>
        </w:rPr>
        <w:t>T2 group (203.05±23.68 g)</w:t>
      </w:r>
      <w:r w:rsidR="00E3295F" w:rsidRPr="00E3295F">
        <w:rPr>
          <w:rFonts w:ascii="Times New Roman" w:hAnsi="Times New Roman" w:cs="Times New Roman"/>
          <w:sz w:val="24"/>
        </w:rPr>
        <w:t xml:space="preserve"> followed by </w:t>
      </w:r>
      <w:r w:rsidR="00E3295F" w:rsidRPr="00E3295F">
        <w:rPr>
          <w:rFonts w:ascii="Times New Roman" w:hAnsi="Times New Roman" w:cs="Times New Roman"/>
          <w:b/>
          <w:bCs/>
          <w:sz w:val="24"/>
        </w:rPr>
        <w:t>T4 (182.56±12.74 g)</w:t>
      </w:r>
      <w:r w:rsidR="00E3295F" w:rsidRPr="00E3295F">
        <w:rPr>
          <w:rFonts w:ascii="Times New Roman" w:hAnsi="Times New Roman" w:cs="Times New Roman"/>
          <w:sz w:val="24"/>
        </w:rPr>
        <w:t xml:space="preserve"> and </w:t>
      </w:r>
      <w:r w:rsidR="00E3295F" w:rsidRPr="00E3295F">
        <w:rPr>
          <w:rFonts w:ascii="Times New Roman" w:hAnsi="Times New Roman" w:cs="Times New Roman"/>
          <w:b/>
          <w:bCs/>
          <w:sz w:val="24"/>
        </w:rPr>
        <w:t>T3 (179.41±14.36 g)</w:t>
      </w:r>
      <w:r w:rsidR="00E3295F" w:rsidRPr="00E3295F">
        <w:rPr>
          <w:rFonts w:ascii="Times New Roman" w:hAnsi="Times New Roman" w:cs="Times New Roman"/>
          <w:sz w:val="24"/>
        </w:rPr>
        <w:t xml:space="preserve">, while the lowest feed intake was recorded in the control group </w:t>
      </w:r>
      <w:r w:rsidR="00E3295F" w:rsidRPr="00E3295F">
        <w:rPr>
          <w:rFonts w:ascii="Times New Roman" w:hAnsi="Times New Roman" w:cs="Times New Roman"/>
          <w:b/>
          <w:bCs/>
          <w:sz w:val="24"/>
        </w:rPr>
        <w:t>T1 (154.6±11.93 g)</w:t>
      </w:r>
      <w:r w:rsidR="00E3295F" w:rsidRPr="00E3295F">
        <w:rPr>
          <w:rFonts w:ascii="Times New Roman" w:hAnsi="Times New Roman" w:cs="Times New Roman"/>
          <w:sz w:val="24"/>
        </w:rPr>
        <w:t xml:space="preserve">. However, statistical analysis revealed that the differences in feed consumption among the treatment groups were </w:t>
      </w:r>
      <w:r w:rsidR="00E3295F" w:rsidRPr="00E3295F">
        <w:rPr>
          <w:rFonts w:ascii="Times New Roman" w:hAnsi="Times New Roman" w:cs="Times New Roman"/>
          <w:b/>
          <w:bCs/>
          <w:sz w:val="24"/>
        </w:rPr>
        <w:lastRenderedPageBreak/>
        <w:t>non-significant</w:t>
      </w:r>
      <w:r w:rsidR="00E3295F" w:rsidRPr="00E3295F">
        <w:rPr>
          <w:rFonts w:ascii="Times New Roman" w:hAnsi="Times New Roman" w:cs="Times New Roman"/>
          <w:sz w:val="24"/>
        </w:rPr>
        <w:t xml:space="preserve"> during this period.</w:t>
      </w:r>
      <w:r>
        <w:rPr>
          <w:rFonts w:ascii="Times New Roman" w:hAnsi="Times New Roman" w:cs="Times New Roman"/>
          <w:sz w:val="24"/>
        </w:rPr>
        <w:t xml:space="preserve"> </w:t>
      </w:r>
      <w:r w:rsidR="00E3295F" w:rsidRPr="00E3295F">
        <w:rPr>
          <w:rFonts w:ascii="Times New Roman" w:hAnsi="Times New Roman" w:cs="Times New Roman"/>
          <w:sz w:val="24"/>
        </w:rPr>
        <w:t xml:space="preserve">At the end of the experimental period, the overall mean feed consumption revealed that the </w:t>
      </w:r>
      <w:r w:rsidR="00E3295F" w:rsidRPr="00E3295F">
        <w:rPr>
          <w:rFonts w:ascii="Times New Roman" w:hAnsi="Times New Roman" w:cs="Times New Roman"/>
          <w:b/>
          <w:bCs/>
          <w:sz w:val="24"/>
        </w:rPr>
        <w:t>T1 group (2350.85±15.22 g)</w:t>
      </w:r>
      <w:r w:rsidR="00E3295F" w:rsidRPr="00E3295F">
        <w:rPr>
          <w:rFonts w:ascii="Times New Roman" w:hAnsi="Times New Roman" w:cs="Times New Roman"/>
          <w:sz w:val="24"/>
        </w:rPr>
        <w:t xml:space="preserve"> had the highest total feed intake followed by </w:t>
      </w:r>
      <w:r w:rsidR="00E3295F" w:rsidRPr="00E3295F">
        <w:rPr>
          <w:rFonts w:ascii="Times New Roman" w:hAnsi="Times New Roman" w:cs="Times New Roman"/>
          <w:b/>
          <w:bCs/>
          <w:sz w:val="24"/>
        </w:rPr>
        <w:t>T3 (2337.13±94.90 g)</w:t>
      </w:r>
      <w:r w:rsidR="00E3295F" w:rsidRPr="00E3295F">
        <w:rPr>
          <w:rFonts w:ascii="Times New Roman" w:hAnsi="Times New Roman" w:cs="Times New Roman"/>
          <w:sz w:val="24"/>
        </w:rPr>
        <w:t xml:space="preserve">, </w:t>
      </w:r>
      <w:r w:rsidR="00E3295F" w:rsidRPr="00E3295F">
        <w:rPr>
          <w:rFonts w:ascii="Times New Roman" w:hAnsi="Times New Roman" w:cs="Times New Roman"/>
          <w:b/>
          <w:bCs/>
          <w:sz w:val="24"/>
        </w:rPr>
        <w:t>T4 (2317.94±17.22 g)</w:t>
      </w:r>
      <w:r w:rsidR="00E3295F" w:rsidRPr="00E3295F">
        <w:rPr>
          <w:rFonts w:ascii="Times New Roman" w:hAnsi="Times New Roman" w:cs="Times New Roman"/>
          <w:sz w:val="24"/>
        </w:rPr>
        <w:t xml:space="preserve"> and </w:t>
      </w:r>
      <w:r w:rsidR="00E3295F" w:rsidRPr="00E3295F">
        <w:rPr>
          <w:rFonts w:ascii="Times New Roman" w:hAnsi="Times New Roman" w:cs="Times New Roman"/>
          <w:b/>
          <w:bCs/>
          <w:sz w:val="24"/>
        </w:rPr>
        <w:t>T2 (2302.15±89.87 g)</w:t>
      </w:r>
      <w:r w:rsidR="00E3295F" w:rsidRPr="00E3295F">
        <w:rPr>
          <w:rFonts w:ascii="Times New Roman" w:hAnsi="Times New Roman" w:cs="Times New Roman"/>
          <w:sz w:val="24"/>
        </w:rPr>
        <w:t>.</w:t>
      </w:r>
    </w:p>
    <w:p w14:paraId="5AD63FDB" w14:textId="77777777"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results of the present study are in agreement with earlier research reporting similar patterns in feed consumption under organic acid supplementation. </w:t>
      </w:r>
      <w:r w:rsidRPr="00E3295F">
        <w:rPr>
          <w:rFonts w:ascii="Times New Roman" w:hAnsi="Times New Roman" w:cs="Times New Roman"/>
          <w:b/>
          <w:bCs/>
          <w:sz w:val="24"/>
        </w:rPr>
        <w:t>Al-Amri and Al-</w:t>
      </w:r>
      <w:proofErr w:type="spellStart"/>
      <w:r w:rsidRPr="00E3295F">
        <w:rPr>
          <w:rFonts w:ascii="Times New Roman" w:hAnsi="Times New Roman" w:cs="Times New Roman"/>
          <w:b/>
          <w:bCs/>
          <w:sz w:val="24"/>
        </w:rPr>
        <w:t>Jashami</w:t>
      </w:r>
      <w:proofErr w:type="spellEnd"/>
      <w:r w:rsidRPr="00E3295F">
        <w:rPr>
          <w:rFonts w:ascii="Times New Roman" w:hAnsi="Times New Roman" w:cs="Times New Roman"/>
          <w:b/>
          <w:bCs/>
          <w:sz w:val="24"/>
        </w:rPr>
        <w:t xml:space="preserve"> (2019)</w:t>
      </w:r>
      <w:r w:rsidRPr="00E3295F">
        <w:rPr>
          <w:rFonts w:ascii="Times New Roman" w:hAnsi="Times New Roman" w:cs="Times New Roman"/>
          <w:sz w:val="24"/>
        </w:rPr>
        <w:t>,</w:t>
      </w:r>
      <w:r w:rsidR="007E3B64">
        <w:rPr>
          <w:rFonts w:ascii="Times New Roman" w:hAnsi="Times New Roman" w:cs="Times New Roman"/>
          <w:sz w:val="24"/>
        </w:rPr>
        <w:t xml:space="preserve"> and</w:t>
      </w:r>
      <w:r w:rsidRPr="00E3295F">
        <w:rPr>
          <w:rFonts w:ascii="Times New Roman" w:hAnsi="Times New Roman" w:cs="Times New Roman"/>
          <w:sz w:val="24"/>
        </w:rPr>
        <w:t xml:space="preserve"> </w:t>
      </w:r>
      <w:r w:rsidRPr="00E3295F">
        <w:rPr>
          <w:rFonts w:ascii="Times New Roman" w:hAnsi="Times New Roman" w:cs="Times New Roman"/>
          <w:b/>
          <w:bCs/>
          <w:sz w:val="24"/>
        </w:rPr>
        <w:t xml:space="preserve">Moghadam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(2006)</w:t>
      </w:r>
      <w:r w:rsidRPr="00E3295F">
        <w:rPr>
          <w:rFonts w:ascii="Times New Roman" w:hAnsi="Times New Roman" w:cs="Times New Roman"/>
          <w:sz w:val="24"/>
        </w:rPr>
        <w:t xml:space="preserve"> also reported comparable feed intake among treatment groups. Earlier researchers such as </w:t>
      </w:r>
      <w:r w:rsidRPr="00E3295F">
        <w:rPr>
          <w:rFonts w:ascii="Times New Roman" w:hAnsi="Times New Roman" w:cs="Times New Roman"/>
          <w:b/>
          <w:bCs/>
          <w:sz w:val="24"/>
        </w:rPr>
        <w:t xml:space="preserve">Darko </w:t>
      </w:r>
      <w:r w:rsidRPr="00FE767D">
        <w:rPr>
          <w:rFonts w:ascii="Times New Roman" w:hAnsi="Times New Roman" w:cs="Times New Roman"/>
          <w:b/>
          <w:bCs/>
          <w:i/>
          <w:sz w:val="24"/>
        </w:rPr>
        <w:t>et al</w:t>
      </w:r>
      <w:r w:rsidRPr="00E3295F">
        <w:rPr>
          <w:rFonts w:ascii="Times New Roman" w:hAnsi="Times New Roman" w:cs="Times New Roman"/>
          <w:b/>
          <w:bCs/>
          <w:sz w:val="24"/>
        </w:rPr>
        <w:t>. (1991)</w:t>
      </w:r>
      <w:r w:rsidR="007E3B64">
        <w:rPr>
          <w:rFonts w:ascii="Times New Roman" w:hAnsi="Times New Roman" w:cs="Times New Roman"/>
          <w:sz w:val="24"/>
        </w:rPr>
        <w:t xml:space="preserve"> </w:t>
      </w:r>
      <w:r w:rsidRPr="00E3295F">
        <w:rPr>
          <w:rFonts w:ascii="Times New Roman" w:hAnsi="Times New Roman" w:cs="Times New Roman"/>
          <w:sz w:val="24"/>
        </w:rPr>
        <w:t xml:space="preserve">and </w:t>
      </w:r>
      <w:r w:rsidRPr="00E3295F">
        <w:rPr>
          <w:rFonts w:ascii="Times New Roman" w:hAnsi="Times New Roman" w:cs="Times New Roman"/>
          <w:b/>
          <w:bCs/>
          <w:sz w:val="24"/>
        </w:rPr>
        <w:t xml:space="preserve">Stipkovits </w:t>
      </w:r>
      <w:r w:rsidRPr="00FE767D">
        <w:rPr>
          <w:rFonts w:ascii="Times New Roman" w:hAnsi="Times New Roman" w:cs="Times New Roman"/>
          <w:b/>
          <w:bCs/>
          <w:i/>
          <w:sz w:val="24"/>
        </w:rPr>
        <w:t>et al</w:t>
      </w:r>
      <w:r w:rsidRPr="00E3295F">
        <w:rPr>
          <w:rFonts w:ascii="Times New Roman" w:hAnsi="Times New Roman" w:cs="Times New Roman"/>
          <w:b/>
          <w:bCs/>
          <w:sz w:val="24"/>
        </w:rPr>
        <w:t>. (1992)</w:t>
      </w:r>
      <w:r w:rsidRPr="00E3295F">
        <w:rPr>
          <w:rFonts w:ascii="Times New Roman" w:hAnsi="Times New Roman" w:cs="Times New Roman"/>
          <w:sz w:val="24"/>
        </w:rPr>
        <w:t xml:space="preserve"> also observed slight variations or reductions in feed intake in broilers receiving acidified diets.</w:t>
      </w:r>
    </w:p>
    <w:p w14:paraId="685C8FE5" w14:textId="77777777" w:rsidR="00853DCA" w:rsidRPr="00AB0A7D" w:rsidRDefault="00FE767D" w:rsidP="00853DCA">
      <w:pPr>
        <w:rPr>
          <w:rFonts w:ascii="Times New Roman" w:hAnsi="Times New Roman" w:cs="Times New Roman"/>
          <w:b/>
          <w:sz w:val="24"/>
        </w:rPr>
      </w:pPr>
      <w:r>
        <w:rPr>
          <w:rFonts w:ascii="Times New Roman" w:hAnsi="Times New Roman" w:cs="Times New Roman"/>
          <w:b/>
          <w:sz w:val="24"/>
        </w:rPr>
        <w:t xml:space="preserve">5. </w:t>
      </w:r>
      <w:r w:rsidR="00853DCA" w:rsidRPr="00AB0A7D">
        <w:rPr>
          <w:rFonts w:ascii="Times New Roman" w:hAnsi="Times New Roman" w:cs="Times New Roman"/>
          <w:b/>
          <w:sz w:val="24"/>
        </w:rPr>
        <w:t>Weekly Feed Conversion Ratio (FCR)</w:t>
      </w:r>
      <w:r w:rsidR="00853DCA">
        <w:rPr>
          <w:rFonts w:ascii="Times New Roman" w:hAnsi="Times New Roman" w:cs="Times New Roman"/>
          <w:b/>
          <w:sz w:val="24"/>
        </w:rPr>
        <w:t>:-</w:t>
      </w:r>
    </w:p>
    <w:p w14:paraId="42092E24" w14:textId="77777777" w:rsidR="00E3295F" w:rsidRPr="00E3295F" w:rsidRDefault="00E3295F" w:rsidP="007E3B64">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To evaluate the effect of organic acid supplementation during the experimental period, the </w:t>
      </w:r>
      <w:r w:rsidRPr="00E3295F">
        <w:rPr>
          <w:rFonts w:ascii="Times New Roman" w:hAnsi="Times New Roman" w:cs="Times New Roman"/>
          <w:b/>
          <w:bCs/>
          <w:sz w:val="24"/>
        </w:rPr>
        <w:t>weekly and overall feed conversion ratio (FCR)</w:t>
      </w:r>
      <w:r w:rsidRPr="00E3295F">
        <w:rPr>
          <w:rFonts w:ascii="Times New Roman" w:hAnsi="Times New Roman" w:cs="Times New Roman"/>
          <w:sz w:val="24"/>
        </w:rPr>
        <w:t xml:space="preserve"> of broiler chickens was calculated. Feed conversion ratio represents the relationship between feed consumption and body weight gain and serves as an important indicator of feed utilization efficiency in broiler production. The weekly and overall mean values of FCR for different treatment groups are presented in </w:t>
      </w:r>
      <w:r w:rsidRPr="00E3295F">
        <w:rPr>
          <w:rFonts w:ascii="Times New Roman" w:hAnsi="Times New Roman" w:cs="Times New Roman"/>
          <w:b/>
          <w:bCs/>
          <w:sz w:val="24"/>
        </w:rPr>
        <w:t>Table 2</w:t>
      </w:r>
      <w:r w:rsidRPr="00E3295F">
        <w:rPr>
          <w:rFonts w:ascii="Times New Roman" w:hAnsi="Times New Roman" w:cs="Times New Roman"/>
          <w:sz w:val="24"/>
        </w:rPr>
        <w:t>.</w:t>
      </w:r>
    </w:p>
    <w:p w14:paraId="753BEEC5" w14:textId="77777777" w:rsidR="00E3295F" w:rsidRPr="00E3295F" w:rsidRDefault="00E3295F" w:rsidP="00E3295F">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A significant difference (</w:t>
      </w:r>
      <w:r w:rsidRPr="00E3295F">
        <w:rPr>
          <w:rFonts w:ascii="Times New Roman" w:hAnsi="Times New Roman" w:cs="Times New Roman"/>
          <w:b/>
          <w:bCs/>
          <w:sz w:val="24"/>
        </w:rPr>
        <w:t>P &lt; 0.05</w:t>
      </w:r>
      <w:r w:rsidRPr="00E3295F">
        <w:rPr>
          <w:rFonts w:ascii="Times New Roman" w:hAnsi="Times New Roman" w:cs="Times New Roman"/>
          <w:sz w:val="24"/>
        </w:rPr>
        <w:t xml:space="preserve">) in mean FCR was also observed during the </w:t>
      </w:r>
      <w:r w:rsidRPr="00E3295F">
        <w:rPr>
          <w:rFonts w:ascii="Times New Roman" w:hAnsi="Times New Roman" w:cs="Times New Roman"/>
          <w:b/>
          <w:bCs/>
          <w:sz w:val="24"/>
        </w:rPr>
        <w:t>fourth week</w:t>
      </w:r>
      <w:r w:rsidRPr="00E3295F">
        <w:rPr>
          <w:rFonts w:ascii="Times New Roman" w:hAnsi="Times New Roman" w:cs="Times New Roman"/>
          <w:sz w:val="24"/>
        </w:rPr>
        <w:t>. The control group (</w:t>
      </w:r>
      <w:r w:rsidRPr="00E3295F">
        <w:rPr>
          <w:rFonts w:ascii="Times New Roman" w:hAnsi="Times New Roman" w:cs="Times New Roman"/>
          <w:b/>
          <w:bCs/>
          <w:sz w:val="24"/>
        </w:rPr>
        <w:t>T1</w:t>
      </w:r>
      <w:r w:rsidRPr="00E3295F">
        <w:rPr>
          <w:rFonts w:ascii="Times New Roman" w:hAnsi="Times New Roman" w:cs="Times New Roman"/>
          <w:sz w:val="24"/>
        </w:rPr>
        <w:t>) again recorded the highest FCR (</w:t>
      </w:r>
      <w:r w:rsidRPr="00E3295F">
        <w:rPr>
          <w:rFonts w:ascii="Times New Roman" w:hAnsi="Times New Roman" w:cs="Times New Roman"/>
          <w:b/>
          <w:bCs/>
          <w:sz w:val="24"/>
        </w:rPr>
        <w:t>1.93±0.00</w:t>
      </w:r>
      <w:r w:rsidRPr="00E3295F">
        <w:rPr>
          <w:rFonts w:ascii="Times New Roman" w:hAnsi="Times New Roman" w:cs="Times New Roman"/>
          <w:sz w:val="24"/>
        </w:rPr>
        <w:t xml:space="preserve">), which was significantly higher than the values recorded for </w:t>
      </w:r>
      <w:r w:rsidRPr="00E3295F">
        <w:rPr>
          <w:rFonts w:ascii="Times New Roman" w:hAnsi="Times New Roman" w:cs="Times New Roman"/>
          <w:b/>
          <w:bCs/>
          <w:sz w:val="24"/>
        </w:rPr>
        <w:t>T2 (1.70±0.01)</w:t>
      </w:r>
      <w:r w:rsidRPr="00E3295F">
        <w:rPr>
          <w:rFonts w:ascii="Times New Roman" w:hAnsi="Times New Roman" w:cs="Times New Roman"/>
          <w:sz w:val="24"/>
        </w:rPr>
        <w:t xml:space="preserve">, </w:t>
      </w:r>
      <w:r w:rsidRPr="00E3295F">
        <w:rPr>
          <w:rFonts w:ascii="Times New Roman" w:hAnsi="Times New Roman" w:cs="Times New Roman"/>
          <w:b/>
          <w:bCs/>
          <w:sz w:val="24"/>
        </w:rPr>
        <w:t>T3 (1.84±0.02)</w:t>
      </w:r>
      <w:r w:rsidRPr="00E3295F">
        <w:rPr>
          <w:rFonts w:ascii="Times New Roman" w:hAnsi="Times New Roman" w:cs="Times New Roman"/>
          <w:sz w:val="24"/>
        </w:rPr>
        <w:t xml:space="preserve"> and </w:t>
      </w:r>
      <w:r w:rsidRPr="00E3295F">
        <w:rPr>
          <w:rFonts w:ascii="Times New Roman" w:hAnsi="Times New Roman" w:cs="Times New Roman"/>
          <w:b/>
          <w:bCs/>
          <w:sz w:val="24"/>
        </w:rPr>
        <w:t>T4 (1.79±0.00)</w:t>
      </w:r>
      <w:r w:rsidRPr="00E3295F">
        <w:rPr>
          <w:rFonts w:ascii="Times New Roman" w:hAnsi="Times New Roman" w:cs="Times New Roman"/>
          <w:sz w:val="24"/>
        </w:rPr>
        <w:t>, indicating comparatively lower feed efficiency in birds belonging to the control group during the final growth phase.</w:t>
      </w:r>
    </w:p>
    <w:p w14:paraId="1743F7A7" w14:textId="77777777" w:rsidR="00E3295F" w:rsidRPr="00E3295F" w:rsidRDefault="00E3295F" w:rsidP="007A4D15">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w:t>
      </w:r>
      <w:r w:rsidRPr="00E3295F">
        <w:rPr>
          <w:rFonts w:ascii="Times New Roman" w:hAnsi="Times New Roman" w:cs="Times New Roman"/>
          <w:sz w:val="24"/>
        </w:rPr>
        <w:t xml:space="preserve">, the lowest and most </w:t>
      </w:r>
      <w:proofErr w:type="spellStart"/>
      <w:r w:rsidRPr="00E3295F">
        <w:rPr>
          <w:rFonts w:ascii="Times New Roman" w:hAnsi="Times New Roman" w:cs="Times New Roman"/>
          <w:sz w:val="24"/>
        </w:rPr>
        <w:t>favourable</w:t>
      </w:r>
      <w:proofErr w:type="spellEnd"/>
      <w:r w:rsidRPr="00E3295F">
        <w:rPr>
          <w:rFonts w:ascii="Times New Roman" w:hAnsi="Times New Roman" w:cs="Times New Roman"/>
          <w:sz w:val="24"/>
        </w:rPr>
        <w:t xml:space="preserve"> FCR was observed in </w:t>
      </w:r>
      <w:r w:rsidRPr="00E3295F">
        <w:rPr>
          <w:rFonts w:ascii="Times New Roman" w:hAnsi="Times New Roman" w:cs="Times New Roman"/>
          <w:b/>
          <w:bCs/>
          <w:sz w:val="24"/>
        </w:rPr>
        <w:t>T2 (1.66±0.01)</w:t>
      </w:r>
      <w:r w:rsidRPr="00E3295F">
        <w:rPr>
          <w:rFonts w:ascii="Times New Roman" w:hAnsi="Times New Roman" w:cs="Times New Roman"/>
          <w:sz w:val="24"/>
        </w:rPr>
        <w:t xml:space="preserve"> followed by </w:t>
      </w:r>
      <w:r w:rsidRPr="00E3295F">
        <w:rPr>
          <w:rFonts w:ascii="Times New Roman" w:hAnsi="Times New Roman" w:cs="Times New Roman"/>
          <w:b/>
          <w:bCs/>
          <w:sz w:val="24"/>
        </w:rPr>
        <w:t>T4 (1.74±0.01)</w:t>
      </w:r>
      <w:r w:rsidRPr="00E3295F">
        <w:rPr>
          <w:rFonts w:ascii="Times New Roman" w:hAnsi="Times New Roman" w:cs="Times New Roman"/>
          <w:sz w:val="24"/>
        </w:rPr>
        <w:t xml:space="preserve"> and </w:t>
      </w:r>
      <w:r w:rsidRPr="00E3295F">
        <w:rPr>
          <w:rFonts w:ascii="Times New Roman" w:hAnsi="Times New Roman" w:cs="Times New Roman"/>
          <w:b/>
          <w:bCs/>
          <w:sz w:val="24"/>
        </w:rPr>
        <w:t>T3 (1.80±0.03)</w:t>
      </w:r>
      <w:r w:rsidRPr="00E3295F">
        <w:rPr>
          <w:rFonts w:ascii="Times New Roman" w:hAnsi="Times New Roman" w:cs="Times New Roman"/>
          <w:sz w:val="24"/>
        </w:rPr>
        <w:t xml:space="preserve">, while the highest FCR was recorded in the control group </w:t>
      </w:r>
      <w:r w:rsidRPr="00E3295F">
        <w:rPr>
          <w:rFonts w:ascii="Times New Roman" w:hAnsi="Times New Roman" w:cs="Times New Roman"/>
          <w:b/>
          <w:bCs/>
          <w:sz w:val="24"/>
        </w:rPr>
        <w:t>T1 (1.93±0.07)</w:t>
      </w:r>
      <w:r w:rsidRPr="00E3295F">
        <w:rPr>
          <w:rFonts w:ascii="Times New Roman" w:hAnsi="Times New Roman" w:cs="Times New Roman"/>
          <w:sz w:val="24"/>
        </w:rPr>
        <w:t xml:space="preserve">. These findings indicate that birds in the </w:t>
      </w:r>
      <w:r w:rsidRPr="00E3295F">
        <w:rPr>
          <w:rFonts w:ascii="Times New Roman" w:hAnsi="Times New Roman" w:cs="Times New Roman"/>
          <w:b/>
          <w:bCs/>
          <w:sz w:val="24"/>
        </w:rPr>
        <w:t>T2 group converted feed into body weight more efficiently</w:t>
      </w:r>
      <w:r w:rsidRPr="00E3295F">
        <w:rPr>
          <w:rFonts w:ascii="Times New Roman" w:hAnsi="Times New Roman" w:cs="Times New Roman"/>
          <w:sz w:val="24"/>
        </w:rPr>
        <w:t xml:space="preserve"> than those in the other treatment groups throughout the experimental period.</w:t>
      </w:r>
      <w:r w:rsidR="007A4D15">
        <w:rPr>
          <w:rFonts w:ascii="Times New Roman" w:hAnsi="Times New Roman" w:cs="Times New Roman"/>
          <w:sz w:val="24"/>
        </w:rPr>
        <w:t xml:space="preserve"> </w:t>
      </w:r>
      <w:r w:rsidRPr="00E3295F">
        <w:rPr>
          <w:rFonts w:ascii="Times New Roman" w:hAnsi="Times New Roman" w:cs="Times New Roman"/>
          <w:sz w:val="24"/>
        </w:rPr>
        <w:t xml:space="preserve">The results of the present study clearly indicate that supplementation of organic acids, particularly </w:t>
      </w:r>
      <w:r w:rsidRPr="00E3295F">
        <w:rPr>
          <w:rFonts w:ascii="Times New Roman" w:hAnsi="Times New Roman" w:cs="Times New Roman"/>
          <w:b/>
          <w:bCs/>
          <w:sz w:val="24"/>
        </w:rPr>
        <w:t>citric acid</w:t>
      </w:r>
      <w:r w:rsidRPr="00E3295F">
        <w:rPr>
          <w:rFonts w:ascii="Times New Roman" w:hAnsi="Times New Roman" w:cs="Times New Roman"/>
          <w:sz w:val="24"/>
        </w:rPr>
        <w:t xml:space="preserve">, improved feed conversion efficiency in broiler chickens. Similar findings have been reported by </w:t>
      </w:r>
      <w:r w:rsidRPr="00E3295F">
        <w:rPr>
          <w:rFonts w:ascii="Times New Roman" w:hAnsi="Times New Roman" w:cs="Times New Roman"/>
          <w:b/>
          <w:bCs/>
          <w:sz w:val="24"/>
        </w:rPr>
        <w:t xml:space="preserve">Rahman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(2018)</w:t>
      </w:r>
      <w:r w:rsidRPr="00E3295F">
        <w:rPr>
          <w:rFonts w:ascii="Times New Roman" w:hAnsi="Times New Roman" w:cs="Times New Roman"/>
          <w:sz w:val="24"/>
        </w:rPr>
        <w:t xml:space="preserve">, </w:t>
      </w:r>
      <w:r w:rsidRPr="00E3295F">
        <w:rPr>
          <w:rFonts w:ascii="Times New Roman" w:hAnsi="Times New Roman" w:cs="Times New Roman"/>
          <w:b/>
          <w:bCs/>
          <w:sz w:val="24"/>
        </w:rPr>
        <w:t xml:space="preserve">Archana </w:t>
      </w:r>
      <w:r w:rsidRPr="00FE767D">
        <w:rPr>
          <w:rFonts w:ascii="Times New Roman" w:hAnsi="Times New Roman" w:cs="Times New Roman"/>
          <w:b/>
          <w:bCs/>
          <w:i/>
          <w:sz w:val="24"/>
        </w:rPr>
        <w:t xml:space="preserve">et al. </w:t>
      </w:r>
      <w:r w:rsidRPr="00E3295F">
        <w:rPr>
          <w:rFonts w:ascii="Times New Roman" w:hAnsi="Times New Roman" w:cs="Times New Roman"/>
          <w:b/>
          <w:bCs/>
          <w:sz w:val="24"/>
        </w:rPr>
        <w:t>(2019)</w:t>
      </w:r>
      <w:r w:rsidRPr="00E3295F">
        <w:rPr>
          <w:rFonts w:ascii="Times New Roman" w:hAnsi="Times New Roman" w:cs="Times New Roman"/>
          <w:sz w:val="24"/>
        </w:rPr>
        <w:t xml:space="preserve"> and </w:t>
      </w:r>
      <w:proofErr w:type="spellStart"/>
      <w:r w:rsidRPr="00E3295F">
        <w:rPr>
          <w:rFonts w:ascii="Times New Roman" w:hAnsi="Times New Roman" w:cs="Times New Roman"/>
          <w:b/>
          <w:bCs/>
          <w:sz w:val="24"/>
        </w:rPr>
        <w:t>Nourmohammadi</w:t>
      </w:r>
      <w:proofErr w:type="spellEnd"/>
      <w:r w:rsidRPr="00E3295F">
        <w:rPr>
          <w:rFonts w:ascii="Times New Roman" w:hAnsi="Times New Roman" w:cs="Times New Roman"/>
          <w:b/>
          <w:bCs/>
          <w:sz w:val="24"/>
        </w:rPr>
        <w:t xml:space="preserve"> and </w:t>
      </w:r>
      <w:proofErr w:type="spellStart"/>
      <w:r w:rsidRPr="00E3295F">
        <w:rPr>
          <w:rFonts w:ascii="Times New Roman" w:hAnsi="Times New Roman" w:cs="Times New Roman"/>
          <w:b/>
          <w:bCs/>
          <w:sz w:val="24"/>
        </w:rPr>
        <w:t>Khosravinia</w:t>
      </w:r>
      <w:proofErr w:type="spellEnd"/>
      <w:r w:rsidRPr="00E3295F">
        <w:rPr>
          <w:rFonts w:ascii="Times New Roman" w:hAnsi="Times New Roman" w:cs="Times New Roman"/>
          <w:b/>
          <w:bCs/>
          <w:sz w:val="24"/>
        </w:rPr>
        <w:t xml:space="preserve"> (2015)</w:t>
      </w:r>
      <w:r w:rsidRPr="00E3295F">
        <w:rPr>
          <w:rFonts w:ascii="Times New Roman" w:hAnsi="Times New Roman" w:cs="Times New Roman"/>
          <w:sz w:val="24"/>
        </w:rPr>
        <w:t>, who also observed improved feed conversion ratio in broilers supplemented with citric acid.</w:t>
      </w:r>
    </w:p>
    <w:p w14:paraId="25806D5A" w14:textId="77777777" w:rsidR="00853DCA" w:rsidRPr="000D49B5" w:rsidRDefault="00FE767D" w:rsidP="00853DCA">
      <w:pPr>
        <w:spacing w:after="0" w:line="360" w:lineRule="auto"/>
        <w:jc w:val="both"/>
        <w:rPr>
          <w:rFonts w:ascii="Times New Roman" w:hAnsi="Times New Roman" w:cs="Times New Roman"/>
          <w:b/>
          <w:sz w:val="24"/>
        </w:rPr>
      </w:pPr>
      <w:r>
        <w:rPr>
          <w:rFonts w:ascii="Times New Roman" w:hAnsi="Times New Roman" w:cs="Times New Roman"/>
          <w:b/>
          <w:sz w:val="24"/>
        </w:rPr>
        <w:t xml:space="preserve">6. </w:t>
      </w:r>
      <w:r w:rsidR="00853DCA" w:rsidRPr="000D49B5">
        <w:rPr>
          <w:rFonts w:ascii="Times New Roman" w:hAnsi="Times New Roman" w:cs="Times New Roman"/>
          <w:b/>
          <w:sz w:val="24"/>
        </w:rPr>
        <w:t>Weekly Average Performance Index</w:t>
      </w:r>
      <w:r w:rsidR="00853DCA">
        <w:rPr>
          <w:rFonts w:ascii="Times New Roman" w:hAnsi="Times New Roman" w:cs="Times New Roman"/>
          <w:b/>
          <w:sz w:val="24"/>
        </w:rPr>
        <w:t>:-</w:t>
      </w:r>
    </w:p>
    <w:p w14:paraId="4AEFEB90" w14:textId="77777777" w:rsidR="00E3295F" w:rsidRPr="00E3295F" w:rsidRDefault="00E3295F" w:rsidP="00FE767D">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w:t>
      </w:r>
      <w:r w:rsidRPr="00E3295F">
        <w:rPr>
          <w:rFonts w:ascii="Times New Roman" w:hAnsi="Times New Roman" w:cs="Times New Roman"/>
          <w:b/>
          <w:bCs/>
          <w:sz w:val="24"/>
        </w:rPr>
        <w:t>performance index (PI)</w:t>
      </w:r>
      <w:r w:rsidRPr="00E3295F">
        <w:rPr>
          <w:rFonts w:ascii="Times New Roman" w:hAnsi="Times New Roman" w:cs="Times New Roman"/>
          <w:sz w:val="24"/>
        </w:rPr>
        <w:t xml:space="preserve"> was calculated to evaluate the productive efficiency of broiler chickens under different treatment groups. The performance index represents the </w:t>
      </w:r>
      <w:r w:rsidRPr="00E3295F">
        <w:rPr>
          <w:rFonts w:ascii="Times New Roman" w:hAnsi="Times New Roman" w:cs="Times New Roman"/>
          <w:sz w:val="24"/>
        </w:rPr>
        <w:lastRenderedPageBreak/>
        <w:t xml:space="preserve">relationship between body weight gain and feed conversion ratio and provides an overall assessment of production efficiency. The mean performance index of broilers receiving different organic acid treatments was recorded at weekly intervals as well as cumulatively over the four-week experimental period. The summarized results are presented in </w:t>
      </w:r>
      <w:r w:rsidRPr="00E3295F">
        <w:rPr>
          <w:rFonts w:ascii="Times New Roman" w:hAnsi="Times New Roman" w:cs="Times New Roman"/>
          <w:b/>
          <w:bCs/>
          <w:sz w:val="24"/>
        </w:rPr>
        <w:t>Table 2</w:t>
      </w:r>
      <w:r w:rsidRPr="00E3295F">
        <w:rPr>
          <w:rFonts w:ascii="Times New Roman" w:hAnsi="Times New Roman" w:cs="Times New Roman"/>
          <w:sz w:val="24"/>
        </w:rPr>
        <w:t>.</w:t>
      </w:r>
    </w:p>
    <w:p w14:paraId="712CD34B" w14:textId="77777777" w:rsidR="00E3295F" w:rsidRPr="00E3295F" w:rsidRDefault="00E3295F" w:rsidP="00FE767D">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Considering the </w:t>
      </w:r>
      <w:r w:rsidRPr="00E3295F">
        <w:rPr>
          <w:rFonts w:ascii="Times New Roman" w:hAnsi="Times New Roman" w:cs="Times New Roman"/>
          <w:b/>
          <w:bCs/>
          <w:sz w:val="24"/>
        </w:rPr>
        <w:t>overall experimental period</w:t>
      </w:r>
      <w:r w:rsidRPr="00E3295F">
        <w:rPr>
          <w:rFonts w:ascii="Times New Roman" w:hAnsi="Times New Roman" w:cs="Times New Roman"/>
          <w:sz w:val="24"/>
        </w:rPr>
        <w:t xml:space="preserve">, the mean performance index values for </w:t>
      </w:r>
      <w:r w:rsidRPr="00E3295F">
        <w:rPr>
          <w:rFonts w:ascii="Times New Roman" w:hAnsi="Times New Roman" w:cs="Times New Roman"/>
          <w:b/>
          <w:bCs/>
          <w:sz w:val="24"/>
        </w:rPr>
        <w:t>T1, T2, T3 and T4</w:t>
      </w:r>
      <w:r w:rsidRPr="00E3295F">
        <w:rPr>
          <w:rFonts w:ascii="Times New Roman" w:hAnsi="Times New Roman" w:cs="Times New Roman"/>
          <w:sz w:val="24"/>
        </w:rPr>
        <w:t xml:space="preserve"> were </w:t>
      </w:r>
      <w:r w:rsidRPr="00E3295F">
        <w:rPr>
          <w:rFonts w:ascii="Times New Roman" w:hAnsi="Times New Roman" w:cs="Times New Roman"/>
          <w:b/>
          <w:bCs/>
          <w:sz w:val="24"/>
        </w:rPr>
        <w:t>157.40 ± 2.05</w:t>
      </w:r>
      <w:r w:rsidRPr="00E3295F">
        <w:rPr>
          <w:rFonts w:ascii="Times New Roman" w:hAnsi="Times New Roman" w:cs="Times New Roman"/>
          <w:sz w:val="24"/>
        </w:rPr>
        <w:t xml:space="preserve">, </w:t>
      </w:r>
      <w:r w:rsidRPr="00E3295F">
        <w:rPr>
          <w:rFonts w:ascii="Times New Roman" w:hAnsi="Times New Roman" w:cs="Times New Roman"/>
          <w:b/>
          <w:bCs/>
          <w:sz w:val="24"/>
        </w:rPr>
        <w:t>209.57 ± 7.97</w:t>
      </w:r>
      <w:r w:rsidRPr="00E3295F">
        <w:rPr>
          <w:rFonts w:ascii="Times New Roman" w:hAnsi="Times New Roman" w:cs="Times New Roman"/>
          <w:sz w:val="24"/>
        </w:rPr>
        <w:t xml:space="preserve">, </w:t>
      </w:r>
      <w:r w:rsidRPr="00E3295F">
        <w:rPr>
          <w:rFonts w:ascii="Times New Roman" w:hAnsi="Times New Roman" w:cs="Times New Roman"/>
          <w:b/>
          <w:bCs/>
          <w:sz w:val="24"/>
        </w:rPr>
        <w:t>181.75 ± 6.65</w:t>
      </w:r>
      <w:r w:rsidRPr="00E3295F">
        <w:rPr>
          <w:rFonts w:ascii="Times New Roman" w:hAnsi="Times New Roman" w:cs="Times New Roman"/>
          <w:sz w:val="24"/>
        </w:rPr>
        <w:t xml:space="preserve"> and </w:t>
      </w:r>
      <w:r w:rsidRPr="00E3295F">
        <w:rPr>
          <w:rFonts w:ascii="Times New Roman" w:hAnsi="Times New Roman" w:cs="Times New Roman"/>
          <w:b/>
          <w:bCs/>
          <w:sz w:val="24"/>
        </w:rPr>
        <w:t>191.76 ± 2.60</w:t>
      </w:r>
      <w:r w:rsidRPr="00E3295F">
        <w:rPr>
          <w:rFonts w:ascii="Times New Roman" w:hAnsi="Times New Roman" w:cs="Times New Roman"/>
          <w:sz w:val="24"/>
        </w:rPr>
        <w:t xml:space="preserve">, respectively. Among the treatments, </w:t>
      </w:r>
      <w:r w:rsidRPr="00E3295F">
        <w:rPr>
          <w:rFonts w:ascii="Times New Roman" w:hAnsi="Times New Roman" w:cs="Times New Roman"/>
          <w:b/>
          <w:bCs/>
          <w:sz w:val="24"/>
        </w:rPr>
        <w:t>T2 recorded the highest overall performance index</w:t>
      </w:r>
      <w:r w:rsidRPr="00E3295F">
        <w:rPr>
          <w:rFonts w:ascii="Times New Roman" w:hAnsi="Times New Roman" w:cs="Times New Roman"/>
          <w:sz w:val="24"/>
        </w:rPr>
        <w:t>, which was significantly (</w:t>
      </w:r>
      <w:r w:rsidRPr="00E3295F">
        <w:rPr>
          <w:rFonts w:ascii="Times New Roman" w:hAnsi="Times New Roman" w:cs="Times New Roman"/>
          <w:b/>
          <w:bCs/>
          <w:sz w:val="24"/>
        </w:rPr>
        <w:t>P &lt; 0.05</w:t>
      </w:r>
      <w:r w:rsidRPr="00E3295F">
        <w:rPr>
          <w:rFonts w:ascii="Times New Roman" w:hAnsi="Times New Roman" w:cs="Times New Roman"/>
          <w:sz w:val="24"/>
        </w:rPr>
        <w:t xml:space="preserve">) higher than all other treatment groups. The overall performance index values of </w:t>
      </w:r>
      <w:r w:rsidRPr="00E3295F">
        <w:rPr>
          <w:rFonts w:ascii="Times New Roman" w:hAnsi="Times New Roman" w:cs="Times New Roman"/>
          <w:b/>
          <w:bCs/>
          <w:sz w:val="24"/>
        </w:rPr>
        <w:t>T3 and T4 were statistically comparable</w:t>
      </w:r>
      <w:r w:rsidRPr="00E3295F">
        <w:rPr>
          <w:rFonts w:ascii="Times New Roman" w:hAnsi="Times New Roman" w:cs="Times New Roman"/>
          <w:sz w:val="24"/>
        </w:rPr>
        <w:t xml:space="preserve">, whereas the control group </w:t>
      </w:r>
      <w:r w:rsidRPr="00E3295F">
        <w:rPr>
          <w:rFonts w:ascii="Times New Roman" w:hAnsi="Times New Roman" w:cs="Times New Roman"/>
          <w:b/>
          <w:bCs/>
          <w:sz w:val="24"/>
        </w:rPr>
        <w:t>T1 recorded the lowest overall performance index</w:t>
      </w:r>
      <w:r w:rsidRPr="00E3295F">
        <w:rPr>
          <w:rFonts w:ascii="Times New Roman" w:hAnsi="Times New Roman" w:cs="Times New Roman"/>
          <w:sz w:val="24"/>
        </w:rPr>
        <w:t>.</w:t>
      </w:r>
    </w:p>
    <w:p w14:paraId="5FB2D83C" w14:textId="77777777" w:rsidR="00E3295F" w:rsidRPr="00E3295F" w:rsidRDefault="00E3295F" w:rsidP="007A4D15">
      <w:pPr>
        <w:spacing w:after="0" w:line="360" w:lineRule="auto"/>
        <w:ind w:firstLine="720"/>
        <w:jc w:val="both"/>
        <w:rPr>
          <w:rFonts w:ascii="Times New Roman" w:hAnsi="Times New Roman" w:cs="Times New Roman"/>
          <w:sz w:val="24"/>
        </w:rPr>
      </w:pPr>
      <w:r w:rsidRPr="00E3295F">
        <w:rPr>
          <w:rFonts w:ascii="Times New Roman" w:hAnsi="Times New Roman" w:cs="Times New Roman"/>
          <w:sz w:val="24"/>
        </w:rPr>
        <w:t xml:space="preserve">The results of the present study clearly indicate that supplementation of </w:t>
      </w:r>
      <w:r w:rsidRPr="00E3295F">
        <w:rPr>
          <w:rFonts w:ascii="Times New Roman" w:hAnsi="Times New Roman" w:cs="Times New Roman"/>
          <w:b/>
          <w:bCs/>
          <w:sz w:val="24"/>
        </w:rPr>
        <w:t>citric acid (T2)</w:t>
      </w:r>
      <w:r w:rsidRPr="00E3295F">
        <w:rPr>
          <w:rFonts w:ascii="Times New Roman" w:hAnsi="Times New Roman" w:cs="Times New Roman"/>
          <w:sz w:val="24"/>
        </w:rPr>
        <w:t xml:space="preserve"> resulted in the highest improvement in both weekly and overall performance indices, followed by the combination treatment group </w:t>
      </w:r>
      <w:r w:rsidRPr="00E3295F">
        <w:rPr>
          <w:rFonts w:ascii="Times New Roman" w:hAnsi="Times New Roman" w:cs="Times New Roman"/>
          <w:b/>
          <w:bCs/>
          <w:sz w:val="24"/>
        </w:rPr>
        <w:t>T4</w:t>
      </w:r>
      <w:r w:rsidRPr="00E3295F">
        <w:rPr>
          <w:rFonts w:ascii="Times New Roman" w:hAnsi="Times New Roman" w:cs="Times New Roman"/>
          <w:sz w:val="24"/>
        </w:rPr>
        <w:t>, when compared with the control group.</w:t>
      </w:r>
      <w:r w:rsidR="007A4D15">
        <w:rPr>
          <w:rFonts w:ascii="Times New Roman" w:hAnsi="Times New Roman" w:cs="Times New Roman"/>
          <w:sz w:val="24"/>
        </w:rPr>
        <w:t xml:space="preserve"> </w:t>
      </w:r>
      <w:r w:rsidRPr="00E3295F">
        <w:rPr>
          <w:rFonts w:ascii="Times New Roman" w:hAnsi="Times New Roman" w:cs="Times New Roman"/>
          <w:sz w:val="24"/>
        </w:rPr>
        <w:t xml:space="preserve">The improvement in performance index observed in the citric acid supplemented group may be attributed to enhanced growth performance and feed utilization efficiency. </w:t>
      </w:r>
      <w:r w:rsidRPr="00E3295F">
        <w:rPr>
          <w:rFonts w:ascii="Times New Roman" w:hAnsi="Times New Roman" w:cs="Times New Roman"/>
          <w:b/>
          <w:bCs/>
          <w:sz w:val="24"/>
        </w:rPr>
        <w:t xml:space="preserve">Chowdhury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(2009)</w:t>
      </w:r>
      <w:r w:rsidRPr="00E3295F">
        <w:rPr>
          <w:rFonts w:ascii="Times New Roman" w:hAnsi="Times New Roman" w:cs="Times New Roman"/>
          <w:sz w:val="24"/>
        </w:rPr>
        <w:t xml:space="preserve"> reported that supplementation of organic acids such as citric acid improved body weight gain and feed conversion ratio in broilers, thereby enhancing overall productivity and economic returns. Similar findings have also been reported by </w:t>
      </w:r>
      <w:r w:rsidRPr="00E3295F">
        <w:rPr>
          <w:rFonts w:ascii="Times New Roman" w:hAnsi="Times New Roman" w:cs="Times New Roman"/>
          <w:b/>
          <w:bCs/>
          <w:sz w:val="24"/>
        </w:rPr>
        <w:t xml:space="preserve">Islam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(2008)</w:t>
      </w:r>
      <w:r w:rsidRPr="00E3295F">
        <w:rPr>
          <w:rFonts w:ascii="Times New Roman" w:hAnsi="Times New Roman" w:cs="Times New Roman"/>
          <w:sz w:val="24"/>
        </w:rPr>
        <w:t xml:space="preserve">, </w:t>
      </w:r>
      <w:r w:rsidRPr="00E3295F">
        <w:rPr>
          <w:rFonts w:ascii="Times New Roman" w:hAnsi="Times New Roman" w:cs="Times New Roman"/>
          <w:b/>
          <w:bCs/>
          <w:sz w:val="24"/>
        </w:rPr>
        <w:t xml:space="preserve">Ismita </w:t>
      </w:r>
      <w:r w:rsidRPr="00FE767D">
        <w:rPr>
          <w:rFonts w:ascii="Times New Roman" w:hAnsi="Times New Roman" w:cs="Times New Roman"/>
          <w:b/>
          <w:bCs/>
          <w:i/>
          <w:sz w:val="24"/>
        </w:rPr>
        <w:t>et al.</w:t>
      </w:r>
      <w:r w:rsidRPr="00E3295F">
        <w:rPr>
          <w:rFonts w:ascii="Times New Roman" w:hAnsi="Times New Roman" w:cs="Times New Roman"/>
          <w:b/>
          <w:bCs/>
          <w:sz w:val="24"/>
        </w:rPr>
        <w:t xml:space="preserve"> (2022)</w:t>
      </w:r>
      <w:r w:rsidRPr="00E3295F">
        <w:rPr>
          <w:rFonts w:ascii="Times New Roman" w:hAnsi="Times New Roman" w:cs="Times New Roman"/>
          <w:sz w:val="24"/>
        </w:rPr>
        <w:t xml:space="preserve">, </w:t>
      </w:r>
    </w:p>
    <w:p w14:paraId="6B1E5687" w14:textId="21AFE51B" w:rsidR="00853DCA" w:rsidRPr="00AF68AA" w:rsidRDefault="00853DCA" w:rsidP="00853DCA">
      <w:pPr>
        <w:spacing w:after="0" w:line="360" w:lineRule="auto"/>
        <w:jc w:val="both"/>
        <w:rPr>
          <w:rFonts w:ascii="Times New Roman" w:hAnsi="Times New Roman" w:cs="Times New Roman"/>
          <w:b/>
          <w:sz w:val="24"/>
        </w:rPr>
      </w:pPr>
      <w:r w:rsidRPr="00AF68AA">
        <w:rPr>
          <w:rFonts w:ascii="Times New Roman" w:hAnsi="Times New Roman" w:cs="Times New Roman"/>
          <w:b/>
          <w:sz w:val="24"/>
        </w:rPr>
        <w:t xml:space="preserve">Table </w:t>
      </w:r>
      <w:r w:rsidR="00155708">
        <w:rPr>
          <w:rFonts w:ascii="Times New Roman" w:hAnsi="Times New Roman" w:cs="Times New Roman"/>
          <w:b/>
          <w:sz w:val="24"/>
        </w:rPr>
        <w:t>3</w:t>
      </w:r>
      <w:r w:rsidRPr="00AF68AA">
        <w:rPr>
          <w:rFonts w:ascii="Times New Roman" w:hAnsi="Times New Roman" w:cs="Times New Roman"/>
          <w:b/>
          <w:sz w:val="24"/>
        </w:rPr>
        <w:t xml:space="preserve"> Weekly feed consumption, FCR and Weekly Average Performance Index (PI) of different treatments.</w:t>
      </w:r>
    </w:p>
    <w:tbl>
      <w:tblPr>
        <w:tblW w:w="9363" w:type="dxa"/>
        <w:tblInd w:w="-10" w:type="dxa"/>
        <w:tblLook w:val="04A0" w:firstRow="1" w:lastRow="0" w:firstColumn="1" w:lastColumn="0" w:noHBand="0" w:noVBand="1"/>
      </w:tblPr>
      <w:tblGrid>
        <w:gridCol w:w="1413"/>
        <w:gridCol w:w="1944"/>
        <w:gridCol w:w="1942"/>
        <w:gridCol w:w="2119"/>
        <w:gridCol w:w="1945"/>
      </w:tblGrid>
      <w:tr w:rsidR="00AF68AA" w:rsidRPr="00D45AA5" w14:paraId="12C7B42F" w14:textId="77777777" w:rsidTr="00AF68AA">
        <w:trPr>
          <w:trHeight w:val="283"/>
        </w:trPr>
        <w:tc>
          <w:tcPr>
            <w:tcW w:w="1413" w:type="dxa"/>
            <w:vMerge w:val="restart"/>
            <w:tcBorders>
              <w:top w:val="single" w:sz="8" w:space="0" w:color="000000"/>
              <w:left w:val="single" w:sz="8" w:space="0" w:color="000000"/>
              <w:bottom w:val="single" w:sz="4" w:space="0" w:color="auto"/>
              <w:right w:val="single" w:sz="4" w:space="0" w:color="auto"/>
            </w:tcBorders>
            <w:vAlign w:val="center"/>
            <w:hideMark/>
          </w:tcPr>
          <w:p w14:paraId="05EA65FE" w14:textId="77777777" w:rsidR="00AF68AA" w:rsidRPr="00D45AA5" w:rsidRDefault="00AF68AA" w:rsidP="00E3295F">
            <w:pPr>
              <w:spacing w:after="0" w:line="240" w:lineRule="auto"/>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Age in weeks</w:t>
            </w:r>
          </w:p>
        </w:tc>
        <w:tc>
          <w:tcPr>
            <w:tcW w:w="7950" w:type="dxa"/>
            <w:gridSpan w:val="4"/>
            <w:tcBorders>
              <w:top w:val="single" w:sz="8" w:space="0" w:color="000000"/>
              <w:left w:val="single" w:sz="4" w:space="0" w:color="auto"/>
              <w:bottom w:val="single" w:sz="4" w:space="0" w:color="auto"/>
              <w:right w:val="single" w:sz="8" w:space="0" w:color="000000"/>
            </w:tcBorders>
            <w:vAlign w:val="center"/>
            <w:hideMark/>
          </w:tcPr>
          <w:p w14:paraId="0C5778F3"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Treatments</w:t>
            </w:r>
          </w:p>
        </w:tc>
      </w:tr>
      <w:tr w:rsidR="00AF68AA" w:rsidRPr="00D45AA5" w14:paraId="6591D4EC" w14:textId="77777777" w:rsidTr="00AF68AA">
        <w:trPr>
          <w:trHeight w:val="283"/>
        </w:trPr>
        <w:tc>
          <w:tcPr>
            <w:tcW w:w="1413" w:type="dxa"/>
            <w:vMerge/>
            <w:tcBorders>
              <w:top w:val="single" w:sz="4" w:space="0" w:color="auto"/>
              <w:left w:val="single" w:sz="8" w:space="0" w:color="000000"/>
              <w:bottom w:val="single" w:sz="4" w:space="0" w:color="auto"/>
              <w:right w:val="single" w:sz="4" w:space="0" w:color="auto"/>
            </w:tcBorders>
            <w:vAlign w:val="center"/>
            <w:hideMark/>
          </w:tcPr>
          <w:p w14:paraId="12582181" w14:textId="77777777" w:rsidR="00AF68AA" w:rsidRPr="00D45AA5" w:rsidRDefault="00AF68AA" w:rsidP="00E3295F">
            <w:pPr>
              <w:spacing w:after="0" w:line="240" w:lineRule="auto"/>
              <w:rPr>
                <w:rFonts w:ascii="Times New Roman" w:eastAsia="Times New Roman" w:hAnsi="Times New Roman" w:cs="Times New Roman"/>
                <w:b/>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hideMark/>
          </w:tcPr>
          <w:p w14:paraId="5A0A0EB4"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T1</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EE2FC1C"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T2</w:t>
            </w:r>
          </w:p>
        </w:tc>
        <w:tc>
          <w:tcPr>
            <w:tcW w:w="2119" w:type="dxa"/>
            <w:tcBorders>
              <w:top w:val="single" w:sz="4" w:space="0" w:color="auto"/>
              <w:left w:val="single" w:sz="4" w:space="0" w:color="auto"/>
              <w:bottom w:val="single" w:sz="4" w:space="0" w:color="auto"/>
              <w:right w:val="single" w:sz="4" w:space="0" w:color="auto"/>
            </w:tcBorders>
            <w:vAlign w:val="center"/>
            <w:hideMark/>
          </w:tcPr>
          <w:p w14:paraId="74EEAD83"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T3</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038377A6"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T4</w:t>
            </w:r>
          </w:p>
        </w:tc>
      </w:tr>
      <w:tr w:rsidR="00AF68AA" w:rsidRPr="00D45AA5" w14:paraId="3CBF7AF1" w14:textId="77777777" w:rsidTr="00AF68AA">
        <w:trPr>
          <w:trHeight w:val="283"/>
        </w:trPr>
        <w:tc>
          <w:tcPr>
            <w:tcW w:w="9363" w:type="dxa"/>
            <w:gridSpan w:val="5"/>
            <w:tcBorders>
              <w:top w:val="single" w:sz="4" w:space="0" w:color="auto"/>
              <w:left w:val="single" w:sz="8" w:space="0" w:color="000000"/>
              <w:bottom w:val="single" w:sz="4" w:space="0" w:color="auto"/>
              <w:right w:val="single" w:sz="8" w:space="0" w:color="000000"/>
            </w:tcBorders>
            <w:vAlign w:val="center"/>
            <w:hideMark/>
          </w:tcPr>
          <w:p w14:paraId="26A255BA" w14:textId="77777777" w:rsidR="00AF68AA" w:rsidRPr="00D45AA5" w:rsidRDefault="00AF68AA" w:rsidP="00E3295F">
            <w:pPr>
              <w:spacing w:after="0" w:line="240" w:lineRule="auto"/>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 xml:space="preserve">Weekly Average Feed Consumption (g/bird) </w:t>
            </w:r>
          </w:p>
        </w:tc>
      </w:tr>
      <w:tr w:rsidR="00AF68AA" w:rsidRPr="00D45AA5" w14:paraId="3E830B80"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18DC3623"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0 Day</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315943C"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154.6±11.93</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DE4B27C"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203.05a±23.68</w:t>
            </w:r>
          </w:p>
        </w:tc>
        <w:tc>
          <w:tcPr>
            <w:tcW w:w="2119" w:type="dxa"/>
            <w:tcBorders>
              <w:top w:val="single" w:sz="4" w:space="0" w:color="auto"/>
              <w:left w:val="single" w:sz="4" w:space="0" w:color="auto"/>
              <w:bottom w:val="single" w:sz="4" w:space="0" w:color="auto"/>
              <w:right w:val="single" w:sz="4" w:space="0" w:color="auto"/>
            </w:tcBorders>
            <w:vAlign w:val="center"/>
            <w:hideMark/>
          </w:tcPr>
          <w:p w14:paraId="49A04671"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179.41a±14.36</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24BB3F95"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182.56a±12.74</w:t>
            </w:r>
          </w:p>
        </w:tc>
      </w:tr>
      <w:tr w:rsidR="00AF68AA" w:rsidRPr="00D45AA5" w14:paraId="1C566531"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445CF535"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Ⅰ Week</w:t>
            </w:r>
          </w:p>
        </w:tc>
        <w:tc>
          <w:tcPr>
            <w:tcW w:w="1944" w:type="dxa"/>
            <w:tcBorders>
              <w:top w:val="single" w:sz="4" w:space="0" w:color="auto"/>
              <w:left w:val="single" w:sz="4" w:space="0" w:color="auto"/>
              <w:bottom w:val="single" w:sz="4" w:space="0" w:color="auto"/>
              <w:right w:val="single" w:sz="4" w:space="0" w:color="auto"/>
            </w:tcBorders>
            <w:vAlign w:val="center"/>
            <w:hideMark/>
          </w:tcPr>
          <w:p w14:paraId="3D37C593"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388.35a±31.32</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FA371A5"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429.52a±31.13</w:t>
            </w:r>
          </w:p>
        </w:tc>
        <w:tc>
          <w:tcPr>
            <w:tcW w:w="2119" w:type="dxa"/>
            <w:tcBorders>
              <w:top w:val="single" w:sz="4" w:space="0" w:color="auto"/>
              <w:left w:val="single" w:sz="4" w:space="0" w:color="auto"/>
              <w:bottom w:val="single" w:sz="4" w:space="0" w:color="auto"/>
              <w:right w:val="single" w:sz="4" w:space="0" w:color="auto"/>
            </w:tcBorders>
            <w:vAlign w:val="center"/>
            <w:hideMark/>
          </w:tcPr>
          <w:p w14:paraId="5C4B873A"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369.91a±10.73</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588FB66D"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372.67a±0.75</w:t>
            </w:r>
          </w:p>
        </w:tc>
      </w:tr>
      <w:tr w:rsidR="00AF68AA" w:rsidRPr="00D45AA5" w14:paraId="730D8925"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3974CA5D"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Ⅱ Week</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0842927"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742.43a±12.01</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92B8F10"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686.33a±14.06</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71C471C"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717.55a±48.02</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32E0BF09"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636.14a±16.05</w:t>
            </w:r>
          </w:p>
        </w:tc>
      </w:tr>
      <w:tr w:rsidR="00AF68AA" w:rsidRPr="00D45AA5" w14:paraId="1844792B"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69533837"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Ⅲ Week</w:t>
            </w:r>
          </w:p>
        </w:tc>
        <w:tc>
          <w:tcPr>
            <w:tcW w:w="1944" w:type="dxa"/>
            <w:tcBorders>
              <w:top w:val="single" w:sz="4" w:space="0" w:color="auto"/>
              <w:left w:val="single" w:sz="4" w:space="0" w:color="auto"/>
              <w:bottom w:val="single" w:sz="4" w:space="0" w:color="auto"/>
              <w:right w:val="single" w:sz="4" w:space="0" w:color="auto"/>
            </w:tcBorders>
            <w:vAlign w:val="center"/>
            <w:hideMark/>
          </w:tcPr>
          <w:p w14:paraId="38A085D9" w14:textId="77777777" w:rsidR="00AF68AA" w:rsidRPr="003D0795" w:rsidRDefault="00AF68AA" w:rsidP="00E3295F">
            <w:pPr>
              <w:spacing w:after="0" w:line="240" w:lineRule="auto"/>
              <w:jc w:val="center"/>
              <w:rPr>
                <w:rFonts w:ascii="Times New Roman" w:eastAsia="Times New Roman" w:hAnsi="Times New Roman" w:cs="Times New Roman"/>
                <w:sz w:val="20"/>
                <w:szCs w:val="20"/>
              </w:rPr>
            </w:pPr>
            <w:r w:rsidRPr="003D0795">
              <w:rPr>
                <w:rFonts w:ascii="Times New Roman" w:eastAsia="Times New Roman" w:hAnsi="Times New Roman" w:cs="Times New Roman"/>
                <w:spacing w:val="-2"/>
                <w:sz w:val="20"/>
              </w:rPr>
              <w:t>1065.45a±58.80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13BB6F1" w14:textId="77777777" w:rsidR="00AF68AA" w:rsidRPr="003D0795" w:rsidRDefault="00AF68AA" w:rsidP="00E3295F">
            <w:pPr>
              <w:spacing w:after="0" w:line="240" w:lineRule="auto"/>
              <w:jc w:val="center"/>
              <w:rPr>
                <w:rFonts w:ascii="Times New Roman" w:eastAsia="Times New Roman" w:hAnsi="Times New Roman" w:cs="Times New Roman"/>
                <w:sz w:val="20"/>
                <w:szCs w:val="20"/>
              </w:rPr>
            </w:pPr>
            <w:r w:rsidRPr="003D0795">
              <w:rPr>
                <w:rFonts w:ascii="Times New Roman" w:eastAsia="Times New Roman" w:hAnsi="Times New Roman" w:cs="Times New Roman"/>
                <w:spacing w:val="-2"/>
                <w:sz w:val="20"/>
              </w:rPr>
              <w:t>983.23a±25.03</w:t>
            </w:r>
          </w:p>
        </w:tc>
        <w:tc>
          <w:tcPr>
            <w:tcW w:w="2119" w:type="dxa"/>
            <w:tcBorders>
              <w:top w:val="single" w:sz="4" w:space="0" w:color="auto"/>
              <w:left w:val="single" w:sz="4" w:space="0" w:color="auto"/>
              <w:bottom w:val="single" w:sz="4" w:space="0" w:color="auto"/>
              <w:right w:val="single" w:sz="4" w:space="0" w:color="auto"/>
            </w:tcBorders>
            <w:vAlign w:val="center"/>
            <w:hideMark/>
          </w:tcPr>
          <w:p w14:paraId="6AE5FE9C" w14:textId="77777777" w:rsidR="00AF68AA" w:rsidRPr="003D0795" w:rsidRDefault="00AF68AA" w:rsidP="00E3295F">
            <w:pPr>
              <w:spacing w:after="0" w:line="240" w:lineRule="auto"/>
              <w:jc w:val="center"/>
              <w:rPr>
                <w:rFonts w:ascii="Times New Roman" w:eastAsia="Times New Roman" w:hAnsi="Times New Roman" w:cs="Times New Roman"/>
                <w:sz w:val="20"/>
                <w:szCs w:val="20"/>
              </w:rPr>
            </w:pPr>
            <w:r w:rsidRPr="003D0795">
              <w:rPr>
                <w:rFonts w:ascii="Times New Roman" w:eastAsia="Times New Roman" w:hAnsi="Times New Roman" w:cs="Times New Roman"/>
                <w:spacing w:val="-2"/>
                <w:sz w:val="20"/>
              </w:rPr>
              <w:t>1071.05a±66.96</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14659652" w14:textId="77777777" w:rsidR="00AF68AA" w:rsidRPr="003D0795" w:rsidRDefault="00AF68AA" w:rsidP="00E3295F">
            <w:pPr>
              <w:spacing w:after="0" w:line="240" w:lineRule="auto"/>
              <w:jc w:val="center"/>
              <w:rPr>
                <w:rFonts w:ascii="Times New Roman" w:eastAsia="Times New Roman" w:hAnsi="Times New Roman" w:cs="Times New Roman"/>
                <w:sz w:val="20"/>
                <w:szCs w:val="20"/>
              </w:rPr>
            </w:pPr>
            <w:r w:rsidRPr="003D0795">
              <w:rPr>
                <w:rFonts w:ascii="Times New Roman" w:eastAsia="Times New Roman" w:hAnsi="Times New Roman" w:cs="Times New Roman"/>
                <w:spacing w:val="-2"/>
                <w:sz w:val="20"/>
              </w:rPr>
              <w:t>1125.75a±24.66</w:t>
            </w:r>
          </w:p>
        </w:tc>
      </w:tr>
      <w:tr w:rsidR="00AF68AA" w:rsidRPr="00D45AA5" w14:paraId="72B94D8F"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15E93500"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Ⅳ Week</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EA2F454"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2350.85± 15.22</w:t>
            </w:r>
          </w:p>
        </w:tc>
        <w:tc>
          <w:tcPr>
            <w:tcW w:w="1942" w:type="dxa"/>
            <w:tcBorders>
              <w:top w:val="single" w:sz="4" w:space="0" w:color="auto"/>
              <w:left w:val="single" w:sz="4" w:space="0" w:color="auto"/>
              <w:bottom w:val="single" w:sz="4" w:space="0" w:color="auto"/>
              <w:right w:val="single" w:sz="4" w:space="0" w:color="auto"/>
            </w:tcBorders>
            <w:vAlign w:val="center"/>
            <w:hideMark/>
          </w:tcPr>
          <w:p w14:paraId="3C83FE40"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2302.15±89.87</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EBDBEE2"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z w:val="20"/>
              </w:rPr>
              <w:t>2337.13a ± 94.90</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4050B194" w14:textId="77777777" w:rsidR="00AF68AA" w:rsidRPr="00D45AA5" w:rsidRDefault="00AF68AA" w:rsidP="00E3295F">
            <w:pPr>
              <w:spacing w:after="0" w:line="240" w:lineRule="auto"/>
              <w:jc w:val="center"/>
              <w:rPr>
                <w:rFonts w:ascii="Times New Roman" w:eastAsia="Times New Roman" w:hAnsi="Times New Roman" w:cs="Times New Roman"/>
                <w:color w:val="000000"/>
                <w:sz w:val="20"/>
                <w:szCs w:val="20"/>
              </w:rPr>
            </w:pPr>
            <w:r w:rsidRPr="00D45AA5">
              <w:rPr>
                <w:rFonts w:ascii="Times New Roman" w:eastAsia="Times New Roman" w:hAnsi="Times New Roman" w:cs="Times New Roman"/>
                <w:color w:val="000000"/>
                <w:spacing w:val="-2"/>
                <w:sz w:val="20"/>
              </w:rPr>
              <w:t>2317.94± 17.22</w:t>
            </w:r>
          </w:p>
        </w:tc>
      </w:tr>
      <w:tr w:rsidR="00AF68AA" w:rsidRPr="00D45AA5" w14:paraId="659887D9" w14:textId="77777777" w:rsidTr="00AF68AA">
        <w:trPr>
          <w:trHeight w:val="283"/>
        </w:trPr>
        <w:tc>
          <w:tcPr>
            <w:tcW w:w="9363" w:type="dxa"/>
            <w:gridSpan w:val="5"/>
            <w:tcBorders>
              <w:top w:val="single" w:sz="4" w:space="0" w:color="auto"/>
              <w:left w:val="nil"/>
              <w:bottom w:val="single" w:sz="4" w:space="0" w:color="auto"/>
              <w:right w:val="nil"/>
            </w:tcBorders>
            <w:noWrap/>
            <w:vAlign w:val="bottom"/>
            <w:hideMark/>
          </w:tcPr>
          <w:p w14:paraId="49E15C23" w14:textId="77777777" w:rsidR="00AF68AA" w:rsidRPr="00D45AA5" w:rsidRDefault="00AF68AA" w:rsidP="00E3295F">
            <w:pPr>
              <w:spacing w:after="0" w:line="240" w:lineRule="auto"/>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Weekly Average Feed Conversion Ratio (FCR)</w:t>
            </w:r>
          </w:p>
        </w:tc>
      </w:tr>
      <w:tr w:rsidR="00AF68AA" w:rsidRPr="00D45AA5" w14:paraId="30C540C8"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27A08792"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0-I</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47DA98E"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1.93a±0.00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3DE8B4B"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1.63a±0.06</w:t>
            </w:r>
          </w:p>
        </w:tc>
        <w:tc>
          <w:tcPr>
            <w:tcW w:w="2119" w:type="dxa"/>
            <w:tcBorders>
              <w:top w:val="single" w:sz="4" w:space="0" w:color="auto"/>
              <w:left w:val="single" w:sz="4" w:space="0" w:color="auto"/>
              <w:bottom w:val="single" w:sz="4" w:space="0" w:color="auto"/>
              <w:right w:val="single" w:sz="4" w:space="0" w:color="auto"/>
            </w:tcBorders>
            <w:vAlign w:val="center"/>
            <w:hideMark/>
          </w:tcPr>
          <w:p w14:paraId="3B92ACDD"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1.74a±0.12</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04FE746E"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1.67a±0.09</w:t>
            </w:r>
          </w:p>
        </w:tc>
      </w:tr>
      <w:tr w:rsidR="00AF68AA" w:rsidRPr="00D45AA5" w14:paraId="132AB19E"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1A530190"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I-II</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D6FC108"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1.97b±0.01</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34D5A4D"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1.73a±0.06</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98E0255"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1.85ab±0.06</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27FC3FDC"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1.76ab±0.01</w:t>
            </w:r>
          </w:p>
        </w:tc>
      </w:tr>
      <w:tr w:rsidR="00AF68AA" w:rsidRPr="00D45AA5" w14:paraId="36516C95"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67ECB3F1"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II-III</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EC01191"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1.91c±0.02</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96EF2E5"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1.56a±0.02</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069018D"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1.71b±0.02</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776D4733"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1.65ab±0.03</w:t>
            </w:r>
          </w:p>
        </w:tc>
      </w:tr>
      <w:tr w:rsidR="00AF68AA" w:rsidRPr="00D45AA5" w14:paraId="4BB49DED"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6CBF701C"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III-IV</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73CD62A"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1.93c±0.00</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3F0C3A1"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1.70a±0.01</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68DBE13"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1.84b±0.02</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06C1966E"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1.79b±0.00</w:t>
            </w:r>
          </w:p>
        </w:tc>
      </w:tr>
      <w:tr w:rsidR="00AF68AA" w:rsidRPr="00D45AA5" w14:paraId="3964441E"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vAlign w:val="center"/>
            <w:hideMark/>
          </w:tcPr>
          <w:p w14:paraId="6B1B6E21" w14:textId="77777777" w:rsidR="00AF68AA" w:rsidRPr="00D45AA5" w:rsidRDefault="00AF68AA" w:rsidP="00E3295F">
            <w:pPr>
              <w:spacing w:after="0" w:line="240" w:lineRule="auto"/>
              <w:jc w:val="center"/>
              <w:rPr>
                <w:rFonts w:ascii="Times New Roman" w:eastAsia="Times New Roman" w:hAnsi="Times New Roman" w:cs="Times New Roman"/>
                <w:b/>
                <w:color w:val="000000"/>
                <w:sz w:val="20"/>
                <w:szCs w:val="20"/>
              </w:rPr>
            </w:pPr>
            <w:r w:rsidRPr="00D45AA5">
              <w:rPr>
                <w:rFonts w:ascii="Times New Roman" w:eastAsia="Times New Roman" w:hAnsi="Times New Roman" w:cs="Times New Roman"/>
                <w:b/>
                <w:color w:val="000000"/>
                <w:sz w:val="20"/>
                <w:szCs w:val="20"/>
              </w:rPr>
              <w:t>Total</w:t>
            </w:r>
          </w:p>
        </w:tc>
        <w:tc>
          <w:tcPr>
            <w:tcW w:w="1944" w:type="dxa"/>
            <w:tcBorders>
              <w:top w:val="single" w:sz="4" w:space="0" w:color="auto"/>
              <w:left w:val="single" w:sz="4" w:space="0" w:color="auto"/>
              <w:bottom w:val="single" w:sz="4" w:space="0" w:color="auto"/>
              <w:right w:val="single" w:sz="4" w:space="0" w:color="auto"/>
            </w:tcBorders>
            <w:vAlign w:val="center"/>
            <w:hideMark/>
          </w:tcPr>
          <w:p w14:paraId="165CCA72"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1.93d±0.07</w:t>
            </w:r>
          </w:p>
        </w:tc>
        <w:tc>
          <w:tcPr>
            <w:tcW w:w="1942" w:type="dxa"/>
            <w:tcBorders>
              <w:top w:val="single" w:sz="4" w:space="0" w:color="auto"/>
              <w:left w:val="single" w:sz="4" w:space="0" w:color="auto"/>
              <w:bottom w:val="single" w:sz="4" w:space="0" w:color="auto"/>
              <w:right w:val="single" w:sz="4" w:space="0" w:color="auto"/>
            </w:tcBorders>
            <w:vAlign w:val="center"/>
            <w:hideMark/>
          </w:tcPr>
          <w:p w14:paraId="00CF44F8"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1.66a±0.01</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A95917F"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1.80c±0.03</w:t>
            </w:r>
          </w:p>
        </w:tc>
        <w:tc>
          <w:tcPr>
            <w:tcW w:w="1945" w:type="dxa"/>
            <w:tcBorders>
              <w:top w:val="single" w:sz="4" w:space="0" w:color="auto"/>
              <w:left w:val="single" w:sz="4" w:space="0" w:color="auto"/>
              <w:bottom w:val="single" w:sz="4" w:space="0" w:color="auto"/>
              <w:right w:val="single" w:sz="8" w:space="0" w:color="000000"/>
            </w:tcBorders>
            <w:vAlign w:val="center"/>
            <w:hideMark/>
          </w:tcPr>
          <w:p w14:paraId="46FB7FD7" w14:textId="77777777" w:rsidR="00AF68AA" w:rsidRPr="00D45AA5" w:rsidRDefault="00AF68AA" w:rsidP="00E3295F">
            <w:pPr>
              <w:spacing w:after="0" w:line="240" w:lineRule="auto"/>
              <w:jc w:val="center"/>
              <w:rPr>
                <w:rFonts w:ascii="Times New Roman" w:eastAsia="Times New Roman" w:hAnsi="Times New Roman" w:cs="Times New Roman"/>
                <w:color w:val="000004"/>
                <w:sz w:val="20"/>
                <w:szCs w:val="20"/>
              </w:rPr>
            </w:pPr>
            <w:r w:rsidRPr="00D45AA5">
              <w:rPr>
                <w:rFonts w:ascii="Times New Roman" w:eastAsia="Times New Roman" w:hAnsi="Times New Roman" w:cs="Times New Roman"/>
                <w:color w:val="000004"/>
                <w:spacing w:val="-2"/>
                <w:sz w:val="20"/>
              </w:rPr>
              <w:t>1.74b±0.01</w:t>
            </w:r>
          </w:p>
        </w:tc>
      </w:tr>
      <w:tr w:rsidR="00AF68AA" w:rsidRPr="00D45AA5" w14:paraId="55D81BCE" w14:textId="77777777" w:rsidTr="00AF68AA">
        <w:trPr>
          <w:trHeight w:val="283"/>
        </w:trPr>
        <w:tc>
          <w:tcPr>
            <w:tcW w:w="9363" w:type="dxa"/>
            <w:gridSpan w:val="5"/>
            <w:tcBorders>
              <w:top w:val="single" w:sz="4" w:space="0" w:color="auto"/>
              <w:left w:val="single" w:sz="8" w:space="0" w:color="000000"/>
              <w:bottom w:val="single" w:sz="4" w:space="0" w:color="auto"/>
              <w:right w:val="single" w:sz="8" w:space="0" w:color="000000"/>
            </w:tcBorders>
            <w:vAlign w:val="center"/>
          </w:tcPr>
          <w:p w14:paraId="56960F5C" w14:textId="77777777" w:rsidR="00AF68AA" w:rsidRPr="00D45AA5" w:rsidRDefault="00AF68AA" w:rsidP="00E3295F">
            <w:pPr>
              <w:spacing w:after="0" w:line="240" w:lineRule="auto"/>
              <w:rPr>
                <w:rFonts w:ascii="Times New Roman" w:eastAsia="Times New Roman" w:hAnsi="Times New Roman" w:cs="Times New Roman"/>
                <w:color w:val="000004"/>
                <w:spacing w:val="-2"/>
                <w:sz w:val="20"/>
              </w:rPr>
            </w:pPr>
            <w:r w:rsidRPr="005B314C">
              <w:rPr>
                <w:rFonts w:ascii="Times New Roman" w:eastAsia="Times New Roman" w:hAnsi="Times New Roman" w:cs="Times New Roman"/>
                <w:b/>
                <w:color w:val="000004"/>
                <w:spacing w:val="-2"/>
                <w:sz w:val="20"/>
              </w:rPr>
              <w:t>Weekly Average Performance Index (PI)</w:t>
            </w:r>
          </w:p>
        </w:tc>
      </w:tr>
      <w:tr w:rsidR="00AF68AA" w:rsidRPr="00D45AA5" w14:paraId="28D23038"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tcPr>
          <w:p w14:paraId="5EAF9071" w14:textId="77777777" w:rsidR="00AF68AA" w:rsidRPr="005B314C" w:rsidRDefault="00AF68AA" w:rsidP="00AF68AA">
            <w:pPr>
              <w:pStyle w:val="TableParagraph"/>
              <w:spacing w:before="0"/>
              <w:ind w:left="18"/>
              <w:jc w:val="left"/>
              <w:rPr>
                <w:rFonts w:ascii="Times New Roman" w:hAnsi="Times New Roman" w:cs="Times New Roman"/>
                <w:b/>
                <w:sz w:val="20"/>
              </w:rPr>
            </w:pPr>
            <w:r>
              <w:rPr>
                <w:rFonts w:ascii="Times New Roman" w:hAnsi="Times New Roman" w:cs="Times New Roman"/>
                <w:b/>
                <w:spacing w:val="-4"/>
                <w:sz w:val="20"/>
              </w:rPr>
              <w:lastRenderedPageBreak/>
              <w:t xml:space="preserve">       </w:t>
            </w:r>
            <w:r w:rsidRPr="005B314C">
              <w:rPr>
                <w:rFonts w:ascii="Times New Roman" w:hAnsi="Times New Roman" w:cs="Times New Roman"/>
                <w:b/>
                <w:spacing w:val="-4"/>
                <w:sz w:val="20"/>
              </w:rPr>
              <w:t>0-</w:t>
            </w:r>
            <w:r w:rsidRPr="005B314C">
              <w:rPr>
                <w:rFonts w:ascii="Times New Roman" w:hAnsi="Times New Roman" w:cs="Times New Roman"/>
                <w:b/>
                <w:spacing w:val="-10"/>
                <w:sz w:val="20"/>
              </w:rPr>
              <w:t>I</w:t>
            </w:r>
          </w:p>
        </w:tc>
        <w:tc>
          <w:tcPr>
            <w:tcW w:w="1944" w:type="dxa"/>
            <w:tcBorders>
              <w:top w:val="single" w:sz="4" w:space="0" w:color="auto"/>
              <w:left w:val="single" w:sz="4" w:space="0" w:color="auto"/>
              <w:bottom w:val="single" w:sz="4" w:space="0" w:color="auto"/>
              <w:right w:val="single" w:sz="4" w:space="0" w:color="auto"/>
            </w:tcBorders>
          </w:tcPr>
          <w:p w14:paraId="10451A64" w14:textId="77777777" w:rsidR="00AF68AA" w:rsidRPr="005B314C" w:rsidRDefault="00AF68AA" w:rsidP="00AF68AA">
            <w:pPr>
              <w:pStyle w:val="TableParagraph"/>
              <w:spacing w:before="0"/>
              <w:ind w:left="12"/>
              <w:rPr>
                <w:rFonts w:ascii="Times New Roman" w:hAnsi="Times New Roman" w:cs="Times New Roman"/>
                <w:sz w:val="20"/>
              </w:rPr>
            </w:pPr>
            <w:r w:rsidRPr="005B314C">
              <w:rPr>
                <w:rFonts w:ascii="Times New Roman" w:hAnsi="Times New Roman" w:cs="Times New Roman"/>
                <w:spacing w:val="-2"/>
                <w:sz w:val="20"/>
              </w:rPr>
              <w:t>41.47</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±2.95</w:t>
            </w:r>
          </w:p>
        </w:tc>
        <w:tc>
          <w:tcPr>
            <w:tcW w:w="1942" w:type="dxa"/>
            <w:tcBorders>
              <w:top w:val="single" w:sz="4" w:space="0" w:color="auto"/>
              <w:left w:val="single" w:sz="4" w:space="0" w:color="auto"/>
              <w:bottom w:val="single" w:sz="4" w:space="0" w:color="auto"/>
              <w:right w:val="single" w:sz="4" w:space="0" w:color="auto"/>
            </w:tcBorders>
          </w:tcPr>
          <w:p w14:paraId="461231EA" w14:textId="77777777" w:rsidR="00AF68AA" w:rsidRPr="005B314C" w:rsidRDefault="00AF68AA" w:rsidP="00AF68AA">
            <w:pPr>
              <w:pStyle w:val="TableParagraph"/>
              <w:spacing w:before="0"/>
              <w:rPr>
                <w:rFonts w:ascii="Times New Roman" w:hAnsi="Times New Roman" w:cs="Times New Roman"/>
                <w:sz w:val="20"/>
              </w:rPr>
            </w:pPr>
            <w:r w:rsidRPr="005B314C">
              <w:rPr>
                <w:rFonts w:ascii="Times New Roman" w:hAnsi="Times New Roman" w:cs="Times New Roman"/>
                <w:spacing w:val="-2"/>
                <w:sz w:val="20"/>
              </w:rPr>
              <w:t>75.53</w:t>
            </w:r>
            <w:r w:rsidRPr="005B314C">
              <w:rPr>
                <w:rFonts w:ascii="Times New Roman" w:hAnsi="Times New Roman" w:cs="Times New Roman"/>
                <w:spacing w:val="-2"/>
                <w:sz w:val="20"/>
                <w:vertAlign w:val="superscript"/>
              </w:rPr>
              <w:t>c</w:t>
            </w:r>
            <w:r w:rsidRPr="005B314C">
              <w:rPr>
                <w:rFonts w:ascii="Times New Roman" w:hAnsi="Times New Roman" w:cs="Times New Roman"/>
                <w:spacing w:val="-2"/>
                <w:sz w:val="20"/>
              </w:rPr>
              <w:t>±3.82</w:t>
            </w:r>
          </w:p>
        </w:tc>
        <w:tc>
          <w:tcPr>
            <w:tcW w:w="2119" w:type="dxa"/>
            <w:tcBorders>
              <w:top w:val="single" w:sz="4" w:space="0" w:color="auto"/>
              <w:left w:val="single" w:sz="4" w:space="0" w:color="auto"/>
              <w:bottom w:val="single" w:sz="4" w:space="0" w:color="auto"/>
              <w:right w:val="single" w:sz="4" w:space="0" w:color="auto"/>
            </w:tcBorders>
          </w:tcPr>
          <w:p w14:paraId="4311B1B4" w14:textId="77777777"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59.51</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±4.06</w:t>
            </w:r>
          </w:p>
        </w:tc>
        <w:tc>
          <w:tcPr>
            <w:tcW w:w="1945" w:type="dxa"/>
            <w:tcBorders>
              <w:top w:val="single" w:sz="4" w:space="0" w:color="auto"/>
              <w:left w:val="single" w:sz="4" w:space="0" w:color="auto"/>
              <w:bottom w:val="single" w:sz="4" w:space="0" w:color="auto"/>
              <w:right w:val="single" w:sz="8" w:space="0" w:color="000000"/>
            </w:tcBorders>
          </w:tcPr>
          <w:p w14:paraId="18DB1C1C" w14:textId="77777777"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65.67</w:t>
            </w:r>
            <w:r w:rsidRPr="005B314C">
              <w:rPr>
                <w:rFonts w:ascii="Times New Roman" w:hAnsi="Times New Roman" w:cs="Times New Roman"/>
                <w:spacing w:val="-2"/>
                <w:sz w:val="20"/>
                <w:vertAlign w:val="superscript"/>
              </w:rPr>
              <w:t>bc</w:t>
            </w:r>
            <w:r w:rsidRPr="005B314C">
              <w:rPr>
                <w:rFonts w:ascii="Times New Roman" w:hAnsi="Times New Roman" w:cs="Times New Roman"/>
                <w:spacing w:val="-2"/>
                <w:sz w:val="20"/>
              </w:rPr>
              <w:t>±3.19</w:t>
            </w:r>
          </w:p>
        </w:tc>
      </w:tr>
      <w:tr w:rsidR="00AF68AA" w:rsidRPr="00D45AA5" w14:paraId="72FDE079"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tcPr>
          <w:p w14:paraId="2290AA37" w14:textId="77777777" w:rsidR="00AF68AA" w:rsidRPr="005B314C" w:rsidRDefault="00AF68AA" w:rsidP="00AF68AA">
            <w:pPr>
              <w:pStyle w:val="TableParagraph"/>
              <w:spacing w:before="0"/>
              <w:ind w:left="18" w:right="11"/>
              <w:jc w:val="left"/>
              <w:rPr>
                <w:rFonts w:ascii="Times New Roman" w:hAnsi="Times New Roman" w:cs="Times New Roman"/>
                <w:b/>
                <w:sz w:val="20"/>
              </w:rPr>
            </w:pPr>
            <w:r>
              <w:rPr>
                <w:rFonts w:ascii="Times New Roman" w:hAnsi="Times New Roman" w:cs="Times New Roman"/>
                <w:b/>
                <w:spacing w:val="-2"/>
                <w:sz w:val="20"/>
              </w:rPr>
              <w:t xml:space="preserve">      </w:t>
            </w:r>
            <w:r w:rsidRPr="005B314C">
              <w:rPr>
                <w:rFonts w:ascii="Times New Roman" w:hAnsi="Times New Roman" w:cs="Times New Roman"/>
                <w:b/>
                <w:spacing w:val="-2"/>
                <w:sz w:val="20"/>
              </w:rPr>
              <w:t>I-</w:t>
            </w:r>
            <w:r w:rsidRPr="005B314C">
              <w:rPr>
                <w:rFonts w:ascii="Times New Roman" w:hAnsi="Times New Roman" w:cs="Times New Roman"/>
                <w:b/>
                <w:spacing w:val="-5"/>
                <w:sz w:val="20"/>
              </w:rPr>
              <w:t>II</w:t>
            </w:r>
          </w:p>
        </w:tc>
        <w:tc>
          <w:tcPr>
            <w:tcW w:w="1944" w:type="dxa"/>
            <w:tcBorders>
              <w:top w:val="single" w:sz="4" w:space="0" w:color="auto"/>
              <w:left w:val="single" w:sz="4" w:space="0" w:color="auto"/>
              <w:bottom w:val="single" w:sz="4" w:space="0" w:color="auto"/>
              <w:right w:val="single" w:sz="4" w:space="0" w:color="auto"/>
            </w:tcBorders>
          </w:tcPr>
          <w:p w14:paraId="22DEB99A" w14:textId="77777777" w:rsidR="00AF68AA" w:rsidRPr="005B314C" w:rsidRDefault="00AF68AA" w:rsidP="00AF68AA">
            <w:pPr>
              <w:pStyle w:val="TableParagraph"/>
              <w:spacing w:before="0"/>
              <w:ind w:left="12"/>
              <w:rPr>
                <w:rFonts w:ascii="Times New Roman" w:hAnsi="Times New Roman" w:cs="Times New Roman"/>
                <w:sz w:val="20"/>
              </w:rPr>
            </w:pPr>
            <w:r w:rsidRPr="005B314C">
              <w:rPr>
                <w:rFonts w:ascii="Times New Roman" w:hAnsi="Times New Roman" w:cs="Times New Roman"/>
                <w:spacing w:val="-2"/>
                <w:sz w:val="20"/>
              </w:rPr>
              <w:t>99.55</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±8.79</w:t>
            </w:r>
          </w:p>
        </w:tc>
        <w:tc>
          <w:tcPr>
            <w:tcW w:w="1942" w:type="dxa"/>
            <w:tcBorders>
              <w:top w:val="single" w:sz="4" w:space="0" w:color="auto"/>
              <w:left w:val="single" w:sz="4" w:space="0" w:color="auto"/>
              <w:bottom w:val="single" w:sz="4" w:space="0" w:color="auto"/>
              <w:right w:val="single" w:sz="4" w:space="0" w:color="auto"/>
            </w:tcBorders>
          </w:tcPr>
          <w:p w14:paraId="55831692" w14:textId="77777777" w:rsidR="00AF68AA" w:rsidRPr="005B314C" w:rsidRDefault="00AF68AA" w:rsidP="00AF68AA">
            <w:pPr>
              <w:pStyle w:val="TableParagraph"/>
              <w:spacing w:before="0"/>
              <w:ind w:right="3"/>
              <w:rPr>
                <w:rFonts w:ascii="Times New Roman" w:hAnsi="Times New Roman" w:cs="Times New Roman"/>
                <w:sz w:val="20"/>
              </w:rPr>
            </w:pPr>
            <w:r w:rsidRPr="005B314C">
              <w:rPr>
                <w:rFonts w:ascii="Times New Roman" w:hAnsi="Times New Roman" w:cs="Times New Roman"/>
                <w:spacing w:val="-2"/>
                <w:sz w:val="20"/>
              </w:rPr>
              <w:t>143.51</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±6.43</w:t>
            </w:r>
          </w:p>
        </w:tc>
        <w:tc>
          <w:tcPr>
            <w:tcW w:w="2119" w:type="dxa"/>
            <w:tcBorders>
              <w:top w:val="single" w:sz="4" w:space="0" w:color="auto"/>
              <w:left w:val="single" w:sz="4" w:space="0" w:color="auto"/>
              <w:bottom w:val="single" w:sz="4" w:space="0" w:color="auto"/>
              <w:right w:val="single" w:sz="4" w:space="0" w:color="auto"/>
            </w:tcBorders>
          </w:tcPr>
          <w:p w14:paraId="2105BFC6" w14:textId="77777777"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107.63</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±4.23</w:t>
            </w:r>
          </w:p>
        </w:tc>
        <w:tc>
          <w:tcPr>
            <w:tcW w:w="1945" w:type="dxa"/>
            <w:tcBorders>
              <w:top w:val="single" w:sz="4" w:space="0" w:color="auto"/>
              <w:left w:val="single" w:sz="4" w:space="0" w:color="auto"/>
              <w:bottom w:val="single" w:sz="4" w:space="0" w:color="auto"/>
              <w:right w:val="single" w:sz="8" w:space="0" w:color="000000"/>
            </w:tcBorders>
          </w:tcPr>
          <w:p w14:paraId="749AD582" w14:textId="77777777"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119.48</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±2.55</w:t>
            </w:r>
          </w:p>
        </w:tc>
      </w:tr>
      <w:tr w:rsidR="00AF68AA" w:rsidRPr="00D45AA5" w14:paraId="1C44919B"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tcPr>
          <w:p w14:paraId="109972BA" w14:textId="77777777" w:rsidR="00AF68AA" w:rsidRPr="005B314C" w:rsidRDefault="00AF68AA" w:rsidP="00AF68AA">
            <w:pPr>
              <w:pStyle w:val="TableParagraph"/>
              <w:spacing w:before="0"/>
              <w:ind w:left="0" w:right="507"/>
              <w:rPr>
                <w:rFonts w:ascii="Times New Roman" w:hAnsi="Times New Roman" w:cs="Times New Roman"/>
                <w:b/>
                <w:sz w:val="20"/>
              </w:rPr>
            </w:pPr>
            <w:r>
              <w:rPr>
                <w:rFonts w:ascii="Times New Roman" w:hAnsi="Times New Roman" w:cs="Times New Roman"/>
                <w:b/>
                <w:spacing w:val="-4"/>
                <w:sz w:val="20"/>
              </w:rPr>
              <w:t xml:space="preserve">     </w:t>
            </w:r>
            <w:r w:rsidRPr="005B314C">
              <w:rPr>
                <w:rFonts w:ascii="Times New Roman" w:hAnsi="Times New Roman" w:cs="Times New Roman"/>
                <w:b/>
                <w:spacing w:val="-4"/>
                <w:sz w:val="20"/>
              </w:rPr>
              <w:t>II-</w:t>
            </w:r>
            <w:r w:rsidRPr="005B314C">
              <w:rPr>
                <w:rFonts w:ascii="Times New Roman" w:hAnsi="Times New Roman" w:cs="Times New Roman"/>
                <w:b/>
                <w:spacing w:val="-5"/>
                <w:sz w:val="20"/>
              </w:rPr>
              <w:t>III</w:t>
            </w:r>
          </w:p>
        </w:tc>
        <w:tc>
          <w:tcPr>
            <w:tcW w:w="1944" w:type="dxa"/>
            <w:tcBorders>
              <w:top w:val="single" w:sz="4" w:space="0" w:color="auto"/>
              <w:left w:val="single" w:sz="4" w:space="0" w:color="auto"/>
              <w:bottom w:val="single" w:sz="4" w:space="0" w:color="auto"/>
              <w:right w:val="single" w:sz="4" w:space="0" w:color="auto"/>
            </w:tcBorders>
          </w:tcPr>
          <w:p w14:paraId="69D30B48" w14:textId="77777777" w:rsidR="00AF68AA" w:rsidRPr="005B314C" w:rsidRDefault="00AF68AA" w:rsidP="00AF68AA">
            <w:pPr>
              <w:pStyle w:val="TableParagraph"/>
              <w:spacing w:before="0"/>
              <w:ind w:left="12" w:right="5"/>
              <w:rPr>
                <w:rFonts w:ascii="Times New Roman" w:hAnsi="Times New Roman" w:cs="Times New Roman"/>
                <w:sz w:val="20"/>
              </w:rPr>
            </w:pPr>
            <w:r w:rsidRPr="005B314C">
              <w:rPr>
                <w:rFonts w:ascii="Times New Roman" w:hAnsi="Times New Roman" w:cs="Times New Roman"/>
                <w:spacing w:val="-2"/>
                <w:sz w:val="20"/>
              </w:rPr>
              <w:t>203.56</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±2.48</w:t>
            </w:r>
          </w:p>
        </w:tc>
        <w:tc>
          <w:tcPr>
            <w:tcW w:w="1942" w:type="dxa"/>
            <w:tcBorders>
              <w:top w:val="single" w:sz="4" w:space="0" w:color="auto"/>
              <w:left w:val="single" w:sz="4" w:space="0" w:color="auto"/>
              <w:bottom w:val="single" w:sz="4" w:space="0" w:color="auto"/>
              <w:right w:val="single" w:sz="4" w:space="0" w:color="auto"/>
            </w:tcBorders>
          </w:tcPr>
          <w:p w14:paraId="6064AE75" w14:textId="77777777" w:rsidR="00AF68AA" w:rsidRPr="003D0795" w:rsidRDefault="00AF68AA" w:rsidP="00AF68AA">
            <w:pPr>
              <w:pStyle w:val="TableParagraph"/>
              <w:spacing w:before="0"/>
              <w:ind w:right="5"/>
              <w:rPr>
                <w:rFonts w:ascii="Times New Roman" w:hAnsi="Times New Roman" w:cs="Times New Roman"/>
                <w:sz w:val="20"/>
              </w:rPr>
            </w:pPr>
            <w:r w:rsidRPr="003D0795">
              <w:rPr>
                <w:rFonts w:ascii="Times New Roman" w:hAnsi="Times New Roman" w:cs="Times New Roman"/>
                <w:spacing w:val="-2"/>
                <w:sz w:val="20"/>
              </w:rPr>
              <w:t>281.27</w:t>
            </w:r>
            <w:r w:rsidRPr="003D0795">
              <w:rPr>
                <w:rFonts w:ascii="Times New Roman" w:hAnsi="Times New Roman" w:cs="Times New Roman"/>
                <w:spacing w:val="-2"/>
                <w:sz w:val="20"/>
                <w:vertAlign w:val="superscript"/>
              </w:rPr>
              <w:t>b</w:t>
            </w:r>
            <w:r w:rsidRPr="003D0795">
              <w:rPr>
                <w:rFonts w:ascii="Times New Roman" w:hAnsi="Times New Roman" w:cs="Times New Roman"/>
                <w:spacing w:val="-2"/>
                <w:sz w:val="20"/>
              </w:rPr>
              <w:t>±11</w:t>
            </w:r>
          </w:p>
        </w:tc>
        <w:tc>
          <w:tcPr>
            <w:tcW w:w="2119" w:type="dxa"/>
            <w:tcBorders>
              <w:top w:val="single" w:sz="4" w:space="0" w:color="auto"/>
              <w:left w:val="single" w:sz="4" w:space="0" w:color="auto"/>
              <w:bottom w:val="single" w:sz="4" w:space="0" w:color="auto"/>
              <w:right w:val="single" w:sz="4" w:space="0" w:color="auto"/>
            </w:tcBorders>
          </w:tcPr>
          <w:p w14:paraId="1185AE86" w14:textId="77777777" w:rsidR="00AF68AA" w:rsidRPr="003D0795" w:rsidRDefault="00AF68AA" w:rsidP="00AF68AA">
            <w:pPr>
              <w:pStyle w:val="TableParagraph"/>
              <w:spacing w:before="0"/>
              <w:ind w:left="14" w:right="3"/>
              <w:rPr>
                <w:rFonts w:ascii="Times New Roman" w:hAnsi="Times New Roman" w:cs="Times New Roman"/>
                <w:sz w:val="20"/>
              </w:rPr>
            </w:pPr>
            <w:r w:rsidRPr="003D0795">
              <w:rPr>
                <w:rFonts w:ascii="Times New Roman" w:hAnsi="Times New Roman" w:cs="Times New Roman"/>
                <w:spacing w:val="-2"/>
                <w:sz w:val="20"/>
              </w:rPr>
              <w:t>246.30</w:t>
            </w:r>
            <w:r w:rsidRPr="003D0795">
              <w:rPr>
                <w:rFonts w:ascii="Times New Roman" w:hAnsi="Times New Roman" w:cs="Times New Roman"/>
                <w:spacing w:val="-2"/>
                <w:sz w:val="20"/>
                <w:vertAlign w:val="superscript"/>
              </w:rPr>
              <w:t>ab</w:t>
            </w:r>
            <w:r w:rsidRPr="003D0795">
              <w:rPr>
                <w:rFonts w:ascii="Times New Roman" w:hAnsi="Times New Roman" w:cs="Times New Roman"/>
                <w:spacing w:val="-2"/>
                <w:sz w:val="20"/>
              </w:rPr>
              <w:t>±21.88</w:t>
            </w:r>
          </w:p>
        </w:tc>
        <w:tc>
          <w:tcPr>
            <w:tcW w:w="1945" w:type="dxa"/>
            <w:tcBorders>
              <w:top w:val="single" w:sz="4" w:space="0" w:color="auto"/>
              <w:left w:val="single" w:sz="4" w:space="0" w:color="auto"/>
              <w:bottom w:val="single" w:sz="4" w:space="0" w:color="auto"/>
              <w:right w:val="single" w:sz="8" w:space="0" w:color="000000"/>
            </w:tcBorders>
          </w:tcPr>
          <w:p w14:paraId="5085135C" w14:textId="77777777"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231.90</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±3.88</w:t>
            </w:r>
          </w:p>
        </w:tc>
      </w:tr>
      <w:tr w:rsidR="00AF68AA" w:rsidRPr="00D45AA5" w14:paraId="759B87EC" w14:textId="77777777" w:rsidTr="00AF68AA">
        <w:trPr>
          <w:trHeight w:val="283"/>
        </w:trPr>
        <w:tc>
          <w:tcPr>
            <w:tcW w:w="1413" w:type="dxa"/>
            <w:tcBorders>
              <w:top w:val="single" w:sz="4" w:space="0" w:color="auto"/>
              <w:left w:val="single" w:sz="8" w:space="0" w:color="000000"/>
              <w:bottom w:val="single" w:sz="4" w:space="0" w:color="auto"/>
              <w:right w:val="single" w:sz="4" w:space="0" w:color="auto"/>
            </w:tcBorders>
          </w:tcPr>
          <w:p w14:paraId="0D92B157" w14:textId="77777777" w:rsidR="00AF68AA" w:rsidRPr="005B314C" w:rsidRDefault="00AF68AA" w:rsidP="00AF68AA">
            <w:pPr>
              <w:pStyle w:val="TableParagraph"/>
              <w:spacing w:before="0"/>
              <w:ind w:left="0" w:right="463"/>
              <w:rPr>
                <w:rFonts w:ascii="Times New Roman" w:hAnsi="Times New Roman" w:cs="Times New Roman"/>
                <w:b/>
                <w:sz w:val="20"/>
              </w:rPr>
            </w:pPr>
            <w:r>
              <w:rPr>
                <w:rFonts w:ascii="Times New Roman" w:hAnsi="Times New Roman" w:cs="Times New Roman"/>
                <w:b/>
                <w:spacing w:val="-4"/>
                <w:sz w:val="20"/>
              </w:rPr>
              <w:t xml:space="preserve">     </w:t>
            </w:r>
            <w:r w:rsidRPr="005B314C">
              <w:rPr>
                <w:rFonts w:ascii="Times New Roman" w:hAnsi="Times New Roman" w:cs="Times New Roman"/>
                <w:b/>
                <w:spacing w:val="-4"/>
                <w:sz w:val="20"/>
              </w:rPr>
              <w:t>III-</w:t>
            </w:r>
            <w:r w:rsidRPr="005B314C">
              <w:rPr>
                <w:rFonts w:ascii="Times New Roman" w:hAnsi="Times New Roman" w:cs="Times New Roman"/>
                <w:b/>
                <w:spacing w:val="-5"/>
                <w:sz w:val="20"/>
              </w:rPr>
              <w:t>IV</w:t>
            </w:r>
          </w:p>
        </w:tc>
        <w:tc>
          <w:tcPr>
            <w:tcW w:w="1944" w:type="dxa"/>
            <w:tcBorders>
              <w:top w:val="single" w:sz="4" w:space="0" w:color="auto"/>
              <w:left w:val="single" w:sz="4" w:space="0" w:color="auto"/>
              <w:bottom w:val="single" w:sz="4" w:space="0" w:color="auto"/>
              <w:right w:val="single" w:sz="4" w:space="0" w:color="auto"/>
            </w:tcBorders>
          </w:tcPr>
          <w:p w14:paraId="4FAA1BC3" w14:textId="77777777" w:rsidR="00AF68AA" w:rsidRPr="005B314C" w:rsidRDefault="00AF68AA" w:rsidP="00AF68AA">
            <w:pPr>
              <w:pStyle w:val="TableParagraph"/>
              <w:spacing w:before="0"/>
              <w:ind w:left="12" w:right="5"/>
              <w:rPr>
                <w:rFonts w:ascii="Times New Roman" w:hAnsi="Times New Roman" w:cs="Times New Roman"/>
                <w:sz w:val="20"/>
              </w:rPr>
            </w:pPr>
            <w:r w:rsidRPr="005B314C">
              <w:rPr>
                <w:rFonts w:ascii="Times New Roman" w:hAnsi="Times New Roman" w:cs="Times New Roman"/>
                <w:spacing w:val="-2"/>
                <w:sz w:val="20"/>
              </w:rPr>
              <w:t>284.99</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±15.04</w:t>
            </w:r>
          </w:p>
        </w:tc>
        <w:tc>
          <w:tcPr>
            <w:tcW w:w="1942" w:type="dxa"/>
            <w:tcBorders>
              <w:top w:val="single" w:sz="4" w:space="0" w:color="auto"/>
              <w:left w:val="single" w:sz="4" w:space="0" w:color="auto"/>
              <w:bottom w:val="single" w:sz="4" w:space="0" w:color="auto"/>
              <w:right w:val="single" w:sz="4" w:space="0" w:color="auto"/>
            </w:tcBorders>
          </w:tcPr>
          <w:p w14:paraId="4BF7FAC8" w14:textId="77777777" w:rsidR="00AF68AA" w:rsidRPr="005B314C" w:rsidRDefault="00AF68AA" w:rsidP="00AF68AA">
            <w:pPr>
              <w:pStyle w:val="TableParagraph"/>
              <w:spacing w:before="0"/>
              <w:ind w:right="3"/>
              <w:rPr>
                <w:rFonts w:ascii="Times New Roman" w:hAnsi="Times New Roman" w:cs="Times New Roman"/>
                <w:sz w:val="20"/>
              </w:rPr>
            </w:pPr>
            <w:r w:rsidRPr="005B314C">
              <w:rPr>
                <w:rFonts w:ascii="Times New Roman" w:hAnsi="Times New Roman" w:cs="Times New Roman"/>
                <w:spacing w:val="-2"/>
                <w:sz w:val="20"/>
              </w:rPr>
              <w:t>337.94</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±13.79</w:t>
            </w:r>
          </w:p>
        </w:tc>
        <w:tc>
          <w:tcPr>
            <w:tcW w:w="2119" w:type="dxa"/>
            <w:tcBorders>
              <w:top w:val="single" w:sz="4" w:space="0" w:color="auto"/>
              <w:left w:val="single" w:sz="4" w:space="0" w:color="auto"/>
              <w:bottom w:val="single" w:sz="4" w:space="0" w:color="auto"/>
              <w:right w:val="single" w:sz="4" w:space="0" w:color="auto"/>
            </w:tcBorders>
          </w:tcPr>
          <w:p w14:paraId="035C9690" w14:textId="77777777"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313.52</w:t>
            </w:r>
            <w:r w:rsidRPr="005B314C">
              <w:rPr>
                <w:rFonts w:ascii="Times New Roman" w:hAnsi="Times New Roman" w:cs="Times New Roman"/>
                <w:spacing w:val="-2"/>
                <w:sz w:val="20"/>
                <w:vertAlign w:val="superscript"/>
              </w:rPr>
              <w:t>ab</w:t>
            </w:r>
            <w:r w:rsidRPr="005B314C">
              <w:rPr>
                <w:rFonts w:ascii="Times New Roman" w:hAnsi="Times New Roman" w:cs="Times New Roman"/>
                <w:spacing w:val="-2"/>
                <w:sz w:val="20"/>
              </w:rPr>
              <w:t>±12.21</w:t>
            </w:r>
          </w:p>
        </w:tc>
        <w:tc>
          <w:tcPr>
            <w:tcW w:w="1945" w:type="dxa"/>
            <w:tcBorders>
              <w:top w:val="single" w:sz="4" w:space="0" w:color="auto"/>
              <w:left w:val="single" w:sz="4" w:space="0" w:color="auto"/>
              <w:bottom w:val="single" w:sz="4" w:space="0" w:color="auto"/>
              <w:right w:val="single" w:sz="8" w:space="0" w:color="000000"/>
            </w:tcBorders>
          </w:tcPr>
          <w:p w14:paraId="1208C5DE" w14:textId="77777777"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349.96</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±5.39</w:t>
            </w:r>
          </w:p>
        </w:tc>
      </w:tr>
      <w:tr w:rsidR="00AF68AA" w:rsidRPr="00D45AA5" w14:paraId="2105F883" w14:textId="77777777" w:rsidTr="00AF68AA">
        <w:trPr>
          <w:trHeight w:val="283"/>
        </w:trPr>
        <w:tc>
          <w:tcPr>
            <w:tcW w:w="1413" w:type="dxa"/>
            <w:tcBorders>
              <w:top w:val="single" w:sz="4" w:space="0" w:color="auto"/>
              <w:left w:val="single" w:sz="8" w:space="0" w:color="000000"/>
              <w:bottom w:val="single" w:sz="8" w:space="0" w:color="000000"/>
              <w:right w:val="single" w:sz="4" w:space="0" w:color="auto"/>
            </w:tcBorders>
          </w:tcPr>
          <w:p w14:paraId="6ABA645D" w14:textId="77777777" w:rsidR="00AF68AA" w:rsidRPr="005B314C" w:rsidRDefault="00AF68AA" w:rsidP="00AF68AA">
            <w:pPr>
              <w:pStyle w:val="TableParagraph"/>
              <w:spacing w:before="0"/>
              <w:ind w:left="0" w:right="435"/>
              <w:rPr>
                <w:rFonts w:ascii="Times New Roman" w:hAnsi="Times New Roman" w:cs="Times New Roman"/>
                <w:b/>
                <w:sz w:val="20"/>
              </w:rPr>
            </w:pPr>
            <w:r>
              <w:rPr>
                <w:rFonts w:ascii="Times New Roman" w:hAnsi="Times New Roman" w:cs="Times New Roman"/>
                <w:b/>
                <w:spacing w:val="-2"/>
                <w:sz w:val="20"/>
              </w:rPr>
              <w:t xml:space="preserve">    </w:t>
            </w:r>
            <w:r w:rsidRPr="005B314C">
              <w:rPr>
                <w:rFonts w:ascii="Times New Roman" w:hAnsi="Times New Roman" w:cs="Times New Roman"/>
                <w:b/>
                <w:spacing w:val="-2"/>
                <w:sz w:val="20"/>
              </w:rPr>
              <w:t>Total</w:t>
            </w:r>
          </w:p>
        </w:tc>
        <w:tc>
          <w:tcPr>
            <w:tcW w:w="1944" w:type="dxa"/>
            <w:tcBorders>
              <w:top w:val="single" w:sz="4" w:space="0" w:color="auto"/>
              <w:left w:val="single" w:sz="4" w:space="0" w:color="auto"/>
              <w:bottom w:val="single" w:sz="8" w:space="0" w:color="000000"/>
              <w:right w:val="single" w:sz="4" w:space="0" w:color="auto"/>
            </w:tcBorders>
          </w:tcPr>
          <w:p w14:paraId="0BA938E7" w14:textId="77777777" w:rsidR="00AF68AA" w:rsidRPr="005B314C" w:rsidRDefault="00AF68AA" w:rsidP="00AF68AA">
            <w:pPr>
              <w:pStyle w:val="TableParagraph"/>
              <w:spacing w:before="0"/>
              <w:ind w:left="12" w:right="5"/>
              <w:rPr>
                <w:rFonts w:ascii="Times New Roman" w:hAnsi="Times New Roman" w:cs="Times New Roman"/>
                <w:sz w:val="20"/>
              </w:rPr>
            </w:pPr>
            <w:r w:rsidRPr="005B314C">
              <w:rPr>
                <w:rFonts w:ascii="Times New Roman" w:hAnsi="Times New Roman" w:cs="Times New Roman"/>
                <w:spacing w:val="-2"/>
                <w:sz w:val="20"/>
              </w:rPr>
              <w:t>157.40</w:t>
            </w:r>
            <w:r w:rsidRPr="005B314C">
              <w:rPr>
                <w:rFonts w:ascii="Times New Roman" w:hAnsi="Times New Roman" w:cs="Times New Roman"/>
                <w:spacing w:val="-2"/>
                <w:sz w:val="20"/>
                <w:vertAlign w:val="superscript"/>
              </w:rPr>
              <w:t>a</w:t>
            </w:r>
            <w:r w:rsidRPr="005B314C">
              <w:rPr>
                <w:rFonts w:ascii="Times New Roman" w:hAnsi="Times New Roman" w:cs="Times New Roman"/>
                <w:spacing w:val="-2"/>
                <w:sz w:val="20"/>
              </w:rPr>
              <w:t>±2.05</w:t>
            </w:r>
          </w:p>
        </w:tc>
        <w:tc>
          <w:tcPr>
            <w:tcW w:w="1942" w:type="dxa"/>
            <w:tcBorders>
              <w:top w:val="single" w:sz="4" w:space="0" w:color="auto"/>
              <w:left w:val="single" w:sz="4" w:space="0" w:color="auto"/>
              <w:bottom w:val="single" w:sz="8" w:space="0" w:color="000000"/>
              <w:right w:val="single" w:sz="4" w:space="0" w:color="auto"/>
            </w:tcBorders>
          </w:tcPr>
          <w:p w14:paraId="75F8A5B8" w14:textId="77777777" w:rsidR="00AF68AA" w:rsidRPr="005B314C" w:rsidRDefault="00AF68AA" w:rsidP="00AF68AA">
            <w:pPr>
              <w:pStyle w:val="TableParagraph"/>
              <w:spacing w:before="0"/>
              <w:rPr>
                <w:rFonts w:ascii="Times New Roman" w:hAnsi="Times New Roman" w:cs="Times New Roman"/>
                <w:sz w:val="20"/>
              </w:rPr>
            </w:pPr>
            <w:r w:rsidRPr="005B314C">
              <w:rPr>
                <w:rFonts w:ascii="Times New Roman" w:hAnsi="Times New Roman" w:cs="Times New Roman"/>
                <w:spacing w:val="-2"/>
                <w:sz w:val="20"/>
              </w:rPr>
              <w:t>209.57</w:t>
            </w:r>
            <w:r w:rsidRPr="005B314C">
              <w:rPr>
                <w:rFonts w:ascii="Times New Roman" w:hAnsi="Times New Roman" w:cs="Times New Roman"/>
                <w:spacing w:val="-2"/>
                <w:sz w:val="20"/>
                <w:vertAlign w:val="superscript"/>
              </w:rPr>
              <w:t>c</w:t>
            </w:r>
            <w:r w:rsidRPr="005B314C">
              <w:rPr>
                <w:rFonts w:ascii="Times New Roman" w:hAnsi="Times New Roman" w:cs="Times New Roman"/>
                <w:spacing w:val="-2"/>
                <w:sz w:val="20"/>
              </w:rPr>
              <w:t>±7.97</w:t>
            </w:r>
          </w:p>
        </w:tc>
        <w:tc>
          <w:tcPr>
            <w:tcW w:w="2119" w:type="dxa"/>
            <w:tcBorders>
              <w:top w:val="single" w:sz="4" w:space="0" w:color="auto"/>
              <w:left w:val="single" w:sz="4" w:space="0" w:color="auto"/>
              <w:bottom w:val="single" w:sz="8" w:space="0" w:color="000000"/>
              <w:right w:val="single" w:sz="4" w:space="0" w:color="auto"/>
            </w:tcBorders>
          </w:tcPr>
          <w:p w14:paraId="5EFA7FB3" w14:textId="77777777" w:rsidR="00AF68AA" w:rsidRPr="005B314C" w:rsidRDefault="00AF68AA" w:rsidP="00AF68AA">
            <w:pPr>
              <w:pStyle w:val="TableParagraph"/>
              <w:spacing w:before="0"/>
              <w:ind w:left="14" w:right="3"/>
              <w:rPr>
                <w:rFonts w:ascii="Times New Roman" w:hAnsi="Times New Roman" w:cs="Times New Roman"/>
                <w:sz w:val="20"/>
              </w:rPr>
            </w:pPr>
            <w:r w:rsidRPr="005B314C">
              <w:rPr>
                <w:rFonts w:ascii="Times New Roman" w:hAnsi="Times New Roman" w:cs="Times New Roman"/>
                <w:spacing w:val="-2"/>
                <w:sz w:val="20"/>
              </w:rPr>
              <w:t>181.75</w:t>
            </w:r>
            <w:r w:rsidRPr="005B314C">
              <w:rPr>
                <w:rFonts w:ascii="Times New Roman" w:hAnsi="Times New Roman" w:cs="Times New Roman"/>
                <w:spacing w:val="-2"/>
                <w:sz w:val="20"/>
                <w:vertAlign w:val="superscript"/>
              </w:rPr>
              <w:t>b</w:t>
            </w:r>
            <w:r w:rsidRPr="005B314C">
              <w:rPr>
                <w:rFonts w:ascii="Times New Roman" w:hAnsi="Times New Roman" w:cs="Times New Roman"/>
                <w:spacing w:val="-2"/>
                <w:sz w:val="20"/>
              </w:rPr>
              <w:t>±6.65</w:t>
            </w:r>
          </w:p>
        </w:tc>
        <w:tc>
          <w:tcPr>
            <w:tcW w:w="1945" w:type="dxa"/>
            <w:tcBorders>
              <w:top w:val="single" w:sz="4" w:space="0" w:color="auto"/>
              <w:left w:val="single" w:sz="4" w:space="0" w:color="auto"/>
              <w:bottom w:val="single" w:sz="8" w:space="0" w:color="000000"/>
              <w:right w:val="single" w:sz="8" w:space="0" w:color="000000"/>
            </w:tcBorders>
          </w:tcPr>
          <w:p w14:paraId="4B01D99B" w14:textId="77777777" w:rsidR="00AF68AA" w:rsidRPr="005B314C" w:rsidRDefault="00AF68AA" w:rsidP="00AF68AA">
            <w:pPr>
              <w:pStyle w:val="TableParagraph"/>
              <w:spacing w:before="0"/>
              <w:ind w:left="13" w:right="3"/>
              <w:rPr>
                <w:rFonts w:ascii="Times New Roman" w:hAnsi="Times New Roman" w:cs="Times New Roman"/>
                <w:sz w:val="20"/>
              </w:rPr>
            </w:pPr>
            <w:r w:rsidRPr="005B314C">
              <w:rPr>
                <w:rFonts w:ascii="Times New Roman" w:hAnsi="Times New Roman" w:cs="Times New Roman"/>
                <w:spacing w:val="-2"/>
                <w:sz w:val="20"/>
              </w:rPr>
              <w:t>191.76</w:t>
            </w:r>
            <w:r w:rsidRPr="005B314C">
              <w:rPr>
                <w:rFonts w:ascii="Times New Roman" w:hAnsi="Times New Roman" w:cs="Times New Roman"/>
                <w:spacing w:val="-2"/>
                <w:sz w:val="20"/>
                <w:vertAlign w:val="superscript"/>
              </w:rPr>
              <w:t>bc</w:t>
            </w:r>
            <w:r w:rsidRPr="005B314C">
              <w:rPr>
                <w:rFonts w:ascii="Times New Roman" w:hAnsi="Times New Roman" w:cs="Times New Roman"/>
                <w:spacing w:val="-2"/>
                <w:sz w:val="20"/>
              </w:rPr>
              <w:t>±2.60</w:t>
            </w:r>
          </w:p>
        </w:tc>
      </w:tr>
    </w:tbl>
    <w:p w14:paraId="7D1B6DF6" w14:textId="77777777" w:rsidR="00853DCA" w:rsidRDefault="00853DCA" w:rsidP="00A45BEC">
      <w:pPr>
        <w:spacing w:after="0" w:line="360" w:lineRule="auto"/>
        <w:jc w:val="both"/>
        <w:rPr>
          <w:rFonts w:ascii="Times New Roman" w:hAnsi="Times New Roman" w:cs="Times New Roman"/>
          <w:sz w:val="24"/>
        </w:rPr>
      </w:pPr>
    </w:p>
    <w:p w14:paraId="2056754C" w14:textId="77777777" w:rsidR="00AF68AA" w:rsidRDefault="00AF68AA" w:rsidP="00A45BEC">
      <w:pPr>
        <w:spacing w:after="0" w:line="360" w:lineRule="auto"/>
        <w:jc w:val="both"/>
        <w:rPr>
          <w:rFonts w:ascii="Times New Roman" w:hAnsi="Times New Roman" w:cs="Times New Roman"/>
          <w:b/>
          <w:sz w:val="28"/>
        </w:rPr>
      </w:pPr>
      <w:r w:rsidRPr="00AF68AA">
        <w:rPr>
          <w:rFonts w:ascii="Times New Roman" w:hAnsi="Times New Roman" w:cs="Times New Roman"/>
          <w:b/>
          <w:sz w:val="28"/>
        </w:rPr>
        <w:t>Conclusion:-</w:t>
      </w:r>
    </w:p>
    <w:p w14:paraId="2FDEB310" w14:textId="77777777" w:rsidR="007E3B64" w:rsidRDefault="003E4A69" w:rsidP="007E3B64">
      <w:pPr>
        <w:spacing w:after="0" w:line="360" w:lineRule="auto"/>
        <w:ind w:firstLine="720"/>
        <w:jc w:val="both"/>
        <w:rPr>
          <w:rFonts w:ascii="Times New Roman" w:hAnsi="Times New Roman" w:cs="Times New Roman"/>
          <w:sz w:val="24"/>
        </w:rPr>
      </w:pPr>
      <w:r w:rsidRPr="003E4A69">
        <w:rPr>
          <w:rFonts w:ascii="Times New Roman" w:hAnsi="Times New Roman" w:cs="Times New Roman"/>
          <w:sz w:val="24"/>
        </w:rPr>
        <w:t xml:space="preserve">The present study demonstrated that supplementation of organic acids through drinking water significantly improved (P &lt; 0.05) growth performance and feed efficiency in broiler chickens. Birds receiving organic acids showed better body weight gain and improved feed conversion ratio compared to the control group, indicating enhanced nutrient utilization. Among the treatments, citric acid at </w:t>
      </w:r>
      <w:r w:rsidRPr="003E4A69">
        <w:rPr>
          <w:rFonts w:ascii="Times New Roman" w:hAnsi="Times New Roman" w:cs="Times New Roman"/>
          <w:b/>
          <w:sz w:val="24"/>
        </w:rPr>
        <w:t>0.2% (2 g/L drinking water)</w:t>
      </w:r>
      <w:r w:rsidRPr="003E4A69">
        <w:rPr>
          <w:rFonts w:ascii="Times New Roman" w:hAnsi="Times New Roman" w:cs="Times New Roman"/>
          <w:sz w:val="24"/>
        </w:rPr>
        <w:t xml:space="preserve"> was found to be the most effective, although other organic acid treatments also produced comparable results. The beneficial effects may be attributed to improved gut health, reduced microbial load, and enhanced digestion. Based on these findings, citric acid supplementation </w:t>
      </w:r>
      <w:r w:rsidRPr="003E4A69">
        <w:rPr>
          <w:rFonts w:ascii="Times New Roman" w:hAnsi="Times New Roman" w:cs="Times New Roman"/>
          <w:b/>
          <w:sz w:val="24"/>
        </w:rPr>
        <w:t xml:space="preserve">at 0.2% in drinking water </w:t>
      </w:r>
      <w:r w:rsidRPr="003E4A69">
        <w:rPr>
          <w:rFonts w:ascii="Times New Roman" w:hAnsi="Times New Roman" w:cs="Times New Roman"/>
          <w:sz w:val="24"/>
        </w:rPr>
        <w:t>can be recommended as a safe and effective alternative to antibiotic growth promoters in broiler production systems.</w:t>
      </w:r>
    </w:p>
    <w:p w14:paraId="5969F58F" w14:textId="77777777" w:rsidR="00500D5F" w:rsidRDefault="00500D5F" w:rsidP="00500D5F">
      <w:pPr>
        <w:spacing w:after="0" w:line="360" w:lineRule="auto"/>
        <w:jc w:val="both"/>
        <w:rPr>
          <w:rFonts w:ascii="Times New Roman" w:hAnsi="Times New Roman" w:cs="Times New Roman"/>
          <w:b/>
          <w:sz w:val="24"/>
        </w:rPr>
      </w:pPr>
    </w:p>
    <w:p w14:paraId="6DB3B350" w14:textId="7F542059" w:rsidR="00500D5F" w:rsidRPr="00500D5F" w:rsidRDefault="00500D5F" w:rsidP="00500D5F">
      <w:pPr>
        <w:spacing w:after="0" w:line="360" w:lineRule="auto"/>
        <w:jc w:val="both"/>
        <w:rPr>
          <w:rFonts w:ascii="Times New Roman" w:hAnsi="Times New Roman" w:cs="Times New Roman"/>
          <w:b/>
          <w:sz w:val="24"/>
        </w:rPr>
      </w:pPr>
      <w:r w:rsidRPr="00500D5F">
        <w:rPr>
          <w:rFonts w:ascii="Times New Roman" w:hAnsi="Times New Roman" w:cs="Times New Roman"/>
          <w:b/>
          <w:sz w:val="24"/>
        </w:rPr>
        <w:t>Disclaimer (Artificial intelligence)</w:t>
      </w:r>
    </w:p>
    <w:p w14:paraId="1276119C" w14:textId="21F2EBFD" w:rsidR="00500D5F" w:rsidRDefault="00500D5F" w:rsidP="00500D5F">
      <w:pPr>
        <w:spacing w:after="0" w:line="360" w:lineRule="auto"/>
        <w:ind w:firstLine="720"/>
        <w:jc w:val="both"/>
        <w:rPr>
          <w:rFonts w:ascii="Times New Roman" w:hAnsi="Times New Roman" w:cs="Times New Roman"/>
          <w:bCs/>
          <w:sz w:val="24"/>
        </w:rPr>
      </w:pPr>
      <w:r w:rsidRPr="00500D5F">
        <w:rPr>
          <w:rFonts w:ascii="Times New Roman" w:hAnsi="Times New Roman" w:cs="Times New Roman"/>
          <w:bCs/>
          <w:sz w:val="24"/>
        </w:rPr>
        <w:t xml:space="preserve">Author(s) hereby declare that NO generative AI technologies such as Large Language Models (ChatGPT, COPILOT, etc.) and text-to-image generators have been used during the writing or editing of this manuscript. </w:t>
      </w:r>
    </w:p>
    <w:p w14:paraId="48B3A29A" w14:textId="77777777" w:rsidR="00500D5F" w:rsidRPr="00500D5F" w:rsidRDefault="00500D5F" w:rsidP="00500D5F">
      <w:pPr>
        <w:spacing w:after="0" w:line="360" w:lineRule="auto"/>
        <w:ind w:firstLine="720"/>
        <w:jc w:val="both"/>
        <w:rPr>
          <w:rFonts w:ascii="Times New Roman" w:hAnsi="Times New Roman" w:cs="Times New Roman"/>
          <w:bCs/>
          <w:sz w:val="24"/>
        </w:rPr>
      </w:pPr>
    </w:p>
    <w:p w14:paraId="0D88271C" w14:textId="77777777" w:rsidR="009A4A60" w:rsidRPr="009A4A60" w:rsidRDefault="00AB110F" w:rsidP="009A4A60">
      <w:pPr>
        <w:spacing w:after="0" w:line="360" w:lineRule="auto"/>
        <w:jc w:val="both"/>
        <w:rPr>
          <w:rFonts w:ascii="Times New Roman" w:hAnsi="Times New Roman" w:cs="Times New Roman"/>
          <w:b/>
          <w:sz w:val="24"/>
        </w:rPr>
      </w:pPr>
      <w:r w:rsidRPr="00AB110F">
        <w:rPr>
          <w:rFonts w:ascii="Times New Roman" w:hAnsi="Times New Roman" w:cs="Times New Roman"/>
          <w:b/>
          <w:sz w:val="24"/>
        </w:rPr>
        <w:t>References:-</w:t>
      </w:r>
    </w:p>
    <w:p w14:paraId="3B511CC9" w14:textId="77777777" w:rsidR="009A4A60" w:rsidRPr="005810C6" w:rsidRDefault="009A4A60" w:rsidP="005810C6">
      <w:pPr>
        <w:spacing w:after="0" w:line="360" w:lineRule="auto"/>
        <w:ind w:left="720" w:hanging="720"/>
        <w:jc w:val="both"/>
        <w:rPr>
          <w:rFonts w:ascii="Times New Roman" w:hAnsi="Times New Roman" w:cs="Times New Roman"/>
          <w:sz w:val="24"/>
        </w:rPr>
      </w:pPr>
      <w:proofErr w:type="spellStart"/>
      <w:r w:rsidRPr="005810C6">
        <w:rPr>
          <w:rFonts w:ascii="Times New Roman" w:hAnsi="Times New Roman" w:cs="Times New Roman"/>
          <w:sz w:val="24"/>
        </w:rPr>
        <w:t>Afsharmanesh</w:t>
      </w:r>
      <w:proofErr w:type="spellEnd"/>
      <w:r w:rsidRPr="005810C6">
        <w:rPr>
          <w:rFonts w:ascii="Times New Roman" w:hAnsi="Times New Roman" w:cs="Times New Roman"/>
          <w:sz w:val="24"/>
        </w:rPr>
        <w:t xml:space="preserve">, M. and </w:t>
      </w:r>
      <w:proofErr w:type="spellStart"/>
      <w:r w:rsidRPr="005810C6">
        <w:rPr>
          <w:rFonts w:ascii="Times New Roman" w:hAnsi="Times New Roman" w:cs="Times New Roman"/>
          <w:sz w:val="24"/>
        </w:rPr>
        <w:t>Pourreza</w:t>
      </w:r>
      <w:proofErr w:type="spellEnd"/>
      <w:r w:rsidRPr="005810C6">
        <w:rPr>
          <w:rFonts w:ascii="Times New Roman" w:hAnsi="Times New Roman" w:cs="Times New Roman"/>
          <w:sz w:val="24"/>
        </w:rPr>
        <w:t xml:space="preserve">, J. (2005). Effects of calcium, citric acid, ascorbic acid and vitamin D₃ on the efficacy of microbial phytase in broiler starters fed wheat-based diets: I. Performance, bone mineralization and ileal digestibility. </w:t>
      </w:r>
      <w:r w:rsidRPr="005810C6">
        <w:rPr>
          <w:rFonts w:ascii="Times New Roman" w:hAnsi="Times New Roman" w:cs="Times New Roman"/>
          <w:i/>
          <w:sz w:val="24"/>
        </w:rPr>
        <w:t>International Journal of Poultry Science</w:t>
      </w:r>
      <w:r w:rsidRPr="005810C6">
        <w:rPr>
          <w:rFonts w:ascii="Times New Roman" w:hAnsi="Times New Roman" w:cs="Times New Roman"/>
          <w:sz w:val="24"/>
        </w:rPr>
        <w:t xml:space="preserve">, </w:t>
      </w:r>
      <w:r w:rsidRPr="005810C6">
        <w:rPr>
          <w:rFonts w:ascii="Times New Roman" w:hAnsi="Times New Roman" w:cs="Times New Roman"/>
          <w:b/>
          <w:sz w:val="24"/>
        </w:rPr>
        <w:t>4</w:t>
      </w:r>
      <w:r w:rsidRPr="005810C6">
        <w:rPr>
          <w:rFonts w:ascii="Times New Roman" w:hAnsi="Times New Roman" w:cs="Times New Roman"/>
          <w:sz w:val="24"/>
        </w:rPr>
        <w:t>(6): 418–424.</w:t>
      </w:r>
    </w:p>
    <w:p w14:paraId="31CA2D07" w14:textId="77777777" w:rsidR="009A4A60"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Al-Amri, Z. A. A. and Al-</w:t>
      </w:r>
      <w:proofErr w:type="spellStart"/>
      <w:r w:rsidRPr="00EB7809">
        <w:rPr>
          <w:rFonts w:ascii="Times New Roman" w:hAnsi="Times New Roman" w:cs="Times New Roman"/>
          <w:sz w:val="24"/>
        </w:rPr>
        <w:t>Jashami</w:t>
      </w:r>
      <w:proofErr w:type="spellEnd"/>
      <w:r w:rsidRPr="00EB7809">
        <w:rPr>
          <w:rFonts w:ascii="Times New Roman" w:hAnsi="Times New Roman" w:cs="Times New Roman"/>
          <w:sz w:val="24"/>
        </w:rPr>
        <w:t>, S. M. (2019). Effect of adding citric</w:t>
      </w:r>
      <w:r>
        <w:rPr>
          <w:rFonts w:ascii="Times New Roman" w:hAnsi="Times New Roman" w:cs="Times New Roman"/>
          <w:sz w:val="24"/>
        </w:rPr>
        <w:t xml:space="preserve"> </w:t>
      </w:r>
      <w:r w:rsidRPr="00EB7809">
        <w:rPr>
          <w:rFonts w:ascii="Times New Roman" w:hAnsi="Times New Roman" w:cs="Times New Roman"/>
          <w:sz w:val="24"/>
        </w:rPr>
        <w:t xml:space="preserve">acid and tartaric acid to the diet on productive performance for broiler chickens (Ross- 308). </w:t>
      </w:r>
      <w:r w:rsidRPr="00EB7809">
        <w:rPr>
          <w:rFonts w:ascii="Times New Roman" w:hAnsi="Times New Roman" w:cs="Times New Roman"/>
          <w:i/>
          <w:sz w:val="24"/>
        </w:rPr>
        <w:t>Euphrates Journal of Agriculture Science</w:t>
      </w:r>
      <w:r w:rsidRPr="00EB7809">
        <w:rPr>
          <w:rFonts w:ascii="Times New Roman" w:hAnsi="Times New Roman" w:cs="Times New Roman"/>
          <w:sz w:val="24"/>
        </w:rPr>
        <w:t xml:space="preserve">, </w:t>
      </w:r>
      <w:r w:rsidRPr="00EB7809">
        <w:rPr>
          <w:rFonts w:ascii="Times New Roman" w:hAnsi="Times New Roman" w:cs="Times New Roman"/>
          <w:b/>
          <w:sz w:val="24"/>
        </w:rPr>
        <w:t>11</w:t>
      </w:r>
      <w:r w:rsidRPr="00EB7809">
        <w:rPr>
          <w:rFonts w:ascii="Times New Roman" w:hAnsi="Times New Roman" w:cs="Times New Roman"/>
          <w:sz w:val="24"/>
        </w:rPr>
        <w:t>(3): 19–29.</w:t>
      </w:r>
    </w:p>
    <w:p w14:paraId="342E2F80" w14:textId="77777777" w:rsidR="009A4A60" w:rsidRPr="00EB7809"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lastRenderedPageBreak/>
        <w:t xml:space="preserve">Ali, A. M., Elagrb, H. M., Hamoud, M. M., Gamal, A. M., Mousa, M. R., Nasr, S. A. E. and Ali, M. M. (2020). Effect of acidified drinking water by organic acids on broiler performance and gut health. </w:t>
      </w:r>
      <w:r w:rsidRPr="00EB7809">
        <w:rPr>
          <w:rFonts w:ascii="Times New Roman" w:hAnsi="Times New Roman" w:cs="Times New Roman"/>
          <w:i/>
          <w:sz w:val="24"/>
        </w:rPr>
        <w:t>Advances in Animal and Veterinary Sciences</w:t>
      </w:r>
      <w:r w:rsidRPr="00EB7809">
        <w:rPr>
          <w:rFonts w:ascii="Times New Roman" w:hAnsi="Times New Roman" w:cs="Times New Roman"/>
          <w:sz w:val="24"/>
        </w:rPr>
        <w:t xml:space="preserve">, </w:t>
      </w:r>
      <w:r w:rsidRPr="00EB7809">
        <w:rPr>
          <w:rFonts w:ascii="Times New Roman" w:hAnsi="Times New Roman" w:cs="Times New Roman"/>
          <w:b/>
          <w:sz w:val="24"/>
        </w:rPr>
        <w:t>8</w:t>
      </w:r>
      <w:r w:rsidRPr="00EB7809">
        <w:rPr>
          <w:rFonts w:ascii="Times New Roman" w:hAnsi="Times New Roman" w:cs="Times New Roman"/>
          <w:sz w:val="24"/>
        </w:rPr>
        <w:t>(12): 1301- 1309.</w:t>
      </w:r>
    </w:p>
    <w:p w14:paraId="6AE0FFB0" w14:textId="77777777" w:rsid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 xml:space="preserve">Archana, K., </w:t>
      </w:r>
      <w:proofErr w:type="spellStart"/>
      <w:r w:rsidRPr="009A4A60">
        <w:rPr>
          <w:rFonts w:ascii="Times New Roman" w:hAnsi="Times New Roman" w:cs="Times New Roman"/>
          <w:sz w:val="24"/>
        </w:rPr>
        <w:t>Zuyie</w:t>
      </w:r>
      <w:proofErr w:type="spellEnd"/>
      <w:r w:rsidRPr="009A4A60">
        <w:rPr>
          <w:rFonts w:ascii="Times New Roman" w:hAnsi="Times New Roman" w:cs="Times New Roman"/>
          <w:sz w:val="24"/>
        </w:rPr>
        <w:t xml:space="preserve">, R., and Vidyarthi, V. K. (2019). Effects of dietary addition of organic acid on performance of broiler chicken. </w:t>
      </w:r>
      <w:r w:rsidRPr="009A4A60">
        <w:rPr>
          <w:rFonts w:ascii="Times New Roman" w:hAnsi="Times New Roman" w:cs="Times New Roman"/>
          <w:i/>
          <w:sz w:val="24"/>
        </w:rPr>
        <w:t>Livestock Research International</w:t>
      </w:r>
      <w:r w:rsidRPr="009A4A60">
        <w:rPr>
          <w:rFonts w:ascii="Times New Roman" w:hAnsi="Times New Roman" w:cs="Times New Roman"/>
          <w:sz w:val="24"/>
        </w:rPr>
        <w:t xml:space="preserve">, </w:t>
      </w:r>
      <w:r w:rsidRPr="009A4A60">
        <w:rPr>
          <w:rFonts w:ascii="Times New Roman" w:hAnsi="Times New Roman" w:cs="Times New Roman"/>
          <w:b/>
          <w:sz w:val="24"/>
        </w:rPr>
        <w:t>7</w:t>
      </w:r>
      <w:r w:rsidRPr="009A4A60">
        <w:rPr>
          <w:rFonts w:ascii="Times New Roman" w:hAnsi="Times New Roman" w:cs="Times New Roman"/>
          <w:sz w:val="24"/>
        </w:rPr>
        <w:t>: 71–76.</w:t>
      </w:r>
    </w:p>
    <w:p w14:paraId="54BDF9FF" w14:textId="77777777" w:rsidR="009A4A60" w:rsidRP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BAHS (2019). Department of Animal Husbandry, Dairying and Fisheries,</w:t>
      </w:r>
      <w:r>
        <w:rPr>
          <w:rFonts w:ascii="Times New Roman" w:hAnsi="Times New Roman" w:cs="Times New Roman"/>
          <w:sz w:val="24"/>
        </w:rPr>
        <w:t xml:space="preserve"> </w:t>
      </w:r>
      <w:r w:rsidRPr="009A4A60">
        <w:rPr>
          <w:rFonts w:ascii="Times New Roman" w:hAnsi="Times New Roman" w:cs="Times New Roman"/>
          <w:sz w:val="24"/>
        </w:rPr>
        <w:t>Ministry of</w:t>
      </w:r>
      <w:r w:rsidRPr="009A4A60">
        <w:rPr>
          <w:rFonts w:ascii="Times New Roman" w:hAnsi="Times New Roman" w:cs="Times New Roman"/>
          <w:sz w:val="24"/>
        </w:rPr>
        <w:tab/>
        <w:t>Agriculture,</w:t>
      </w:r>
      <w:r>
        <w:rPr>
          <w:rFonts w:ascii="Times New Roman" w:hAnsi="Times New Roman" w:cs="Times New Roman"/>
          <w:sz w:val="24"/>
        </w:rPr>
        <w:t xml:space="preserve"> </w:t>
      </w:r>
      <w:r w:rsidRPr="009A4A60">
        <w:rPr>
          <w:rFonts w:ascii="Times New Roman" w:hAnsi="Times New Roman" w:cs="Times New Roman"/>
          <w:sz w:val="24"/>
        </w:rPr>
        <w:t xml:space="preserve">Government </w:t>
      </w:r>
      <w:r>
        <w:rPr>
          <w:rFonts w:ascii="Times New Roman" w:hAnsi="Times New Roman" w:cs="Times New Roman"/>
          <w:sz w:val="24"/>
        </w:rPr>
        <w:t xml:space="preserve">of </w:t>
      </w:r>
      <w:r w:rsidRPr="009A4A60">
        <w:rPr>
          <w:rFonts w:ascii="Times New Roman" w:hAnsi="Times New Roman" w:cs="Times New Roman"/>
          <w:sz w:val="24"/>
        </w:rPr>
        <w:t xml:space="preserve">India. </w:t>
      </w:r>
      <w:r>
        <w:rPr>
          <w:rFonts w:ascii="Times New Roman" w:hAnsi="Times New Roman" w:cs="Times New Roman"/>
          <w:sz w:val="24"/>
        </w:rPr>
        <w:t xml:space="preserve">               </w:t>
      </w:r>
    </w:p>
    <w:p w14:paraId="172C9D9B" w14:textId="77777777" w:rsidR="009A4A60" w:rsidRDefault="009A4A60" w:rsidP="00AB110F">
      <w:pPr>
        <w:spacing w:after="0" w:line="360" w:lineRule="auto"/>
        <w:ind w:left="720" w:hanging="720"/>
        <w:jc w:val="both"/>
        <w:rPr>
          <w:rFonts w:ascii="Times New Roman" w:hAnsi="Times New Roman" w:cs="Times New Roman"/>
          <w:sz w:val="24"/>
        </w:rPr>
      </w:pPr>
      <w:r w:rsidRPr="00AB110F">
        <w:rPr>
          <w:rFonts w:ascii="Times New Roman" w:hAnsi="Times New Roman" w:cs="Times New Roman"/>
          <w:sz w:val="24"/>
        </w:rPr>
        <w:t>Basak, M. Pramanik, A. H., Rahman, M. S., Tarafdar, S. U. and Roy, B.C. (2002). Azolla (Azolla pinnata) as a feed Ingredient in broiler ration. International Journal of Poultry Science,1(1): 29-34.</w:t>
      </w:r>
    </w:p>
    <w:p w14:paraId="25A7015A"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Chand, N., Faheem, H., Khan, R. U., Qureshi, M. S., </w:t>
      </w:r>
      <w:proofErr w:type="spellStart"/>
      <w:r w:rsidRPr="00E86642">
        <w:rPr>
          <w:rFonts w:ascii="Times New Roman" w:hAnsi="Times New Roman" w:cs="Times New Roman"/>
          <w:sz w:val="24"/>
        </w:rPr>
        <w:t>Alhidary</w:t>
      </w:r>
      <w:proofErr w:type="spellEnd"/>
      <w:r w:rsidRPr="00E86642">
        <w:rPr>
          <w:rFonts w:ascii="Times New Roman" w:hAnsi="Times New Roman" w:cs="Times New Roman"/>
          <w:sz w:val="24"/>
        </w:rPr>
        <w:t xml:space="preserve">, I. A. and </w:t>
      </w:r>
      <w:proofErr w:type="spellStart"/>
      <w:r w:rsidRPr="00E86642">
        <w:rPr>
          <w:rFonts w:ascii="Times New Roman" w:hAnsi="Times New Roman" w:cs="Times New Roman"/>
          <w:sz w:val="24"/>
        </w:rPr>
        <w:t>Abudabos</w:t>
      </w:r>
      <w:proofErr w:type="spellEnd"/>
      <w:r w:rsidRPr="00E86642">
        <w:rPr>
          <w:rFonts w:ascii="Times New Roman" w:hAnsi="Times New Roman" w:cs="Times New Roman"/>
          <w:sz w:val="24"/>
        </w:rPr>
        <w:t xml:space="preserve">, A. M. (2016). Anticoccidial effect of </w:t>
      </w:r>
      <w:proofErr w:type="spellStart"/>
      <w:r w:rsidRPr="00E86642">
        <w:rPr>
          <w:rFonts w:ascii="Times New Roman" w:hAnsi="Times New Roman" w:cs="Times New Roman"/>
          <w:sz w:val="24"/>
        </w:rPr>
        <w:t>mananoligosacharide</w:t>
      </w:r>
      <w:proofErr w:type="spellEnd"/>
      <w:r w:rsidRPr="00E86642">
        <w:rPr>
          <w:rFonts w:ascii="Times New Roman" w:hAnsi="Times New Roman" w:cs="Times New Roman"/>
          <w:sz w:val="24"/>
        </w:rPr>
        <w:t xml:space="preserve"> against experimentally induced coccidiosis in broiler. Environmental Science and Pollution Research, 23: 14414-14421.</w:t>
      </w:r>
    </w:p>
    <w:p w14:paraId="12EB9C76" w14:textId="77777777" w:rsidR="009A4A60" w:rsidRPr="005810C6"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 xml:space="preserve">Chowdhury R, Islam KMS, Khan MJ, Karim MR, Haque MN, Khatun M, Pesti GM (2009) </w:t>
      </w:r>
      <w:proofErr w:type="spellStart"/>
      <w:r w:rsidRPr="005810C6">
        <w:rPr>
          <w:rFonts w:ascii="Times New Roman" w:hAnsi="Times New Roman" w:cs="Times New Roman"/>
          <w:sz w:val="24"/>
        </w:rPr>
        <w:t>Efect</w:t>
      </w:r>
      <w:proofErr w:type="spellEnd"/>
      <w:r w:rsidRPr="005810C6">
        <w:rPr>
          <w:rFonts w:ascii="Times New Roman" w:hAnsi="Times New Roman" w:cs="Times New Roman"/>
          <w:sz w:val="24"/>
        </w:rPr>
        <w:t xml:space="preserve"> of citric acid, </w:t>
      </w:r>
      <w:proofErr w:type="spellStart"/>
      <w:r w:rsidRPr="005810C6">
        <w:rPr>
          <w:rFonts w:ascii="Times New Roman" w:hAnsi="Times New Roman" w:cs="Times New Roman"/>
          <w:sz w:val="24"/>
        </w:rPr>
        <w:t>avilamycin</w:t>
      </w:r>
      <w:proofErr w:type="spellEnd"/>
      <w:r w:rsidRPr="005810C6">
        <w:rPr>
          <w:rFonts w:ascii="Times New Roman" w:hAnsi="Times New Roman" w:cs="Times New Roman"/>
          <w:sz w:val="24"/>
        </w:rPr>
        <w:t xml:space="preserve"> and their combination on the performance, tibia ash and immune status of    broilers.</w:t>
      </w:r>
      <w:r>
        <w:rPr>
          <w:rFonts w:ascii="Times New Roman" w:hAnsi="Times New Roman" w:cs="Times New Roman"/>
          <w:sz w:val="24"/>
        </w:rPr>
        <w:t xml:space="preserve"> </w:t>
      </w:r>
      <w:r w:rsidRPr="005810C6">
        <w:rPr>
          <w:rFonts w:ascii="Times New Roman" w:hAnsi="Times New Roman" w:cs="Times New Roman"/>
          <w:i/>
          <w:sz w:val="24"/>
        </w:rPr>
        <w:t>Poult</w:t>
      </w:r>
      <w:r>
        <w:rPr>
          <w:rFonts w:ascii="Times New Roman" w:hAnsi="Times New Roman" w:cs="Times New Roman"/>
          <w:i/>
          <w:sz w:val="24"/>
        </w:rPr>
        <w:t xml:space="preserve"> </w:t>
      </w:r>
      <w:r w:rsidRPr="005810C6">
        <w:rPr>
          <w:rFonts w:ascii="Times New Roman" w:hAnsi="Times New Roman" w:cs="Times New Roman"/>
          <w:i/>
          <w:sz w:val="24"/>
        </w:rPr>
        <w:t xml:space="preserve"> </w:t>
      </w:r>
      <w:r>
        <w:rPr>
          <w:rFonts w:ascii="Times New Roman" w:hAnsi="Times New Roman" w:cs="Times New Roman"/>
          <w:i/>
          <w:sz w:val="24"/>
        </w:rPr>
        <w:t>Sci.,</w:t>
      </w:r>
      <w:r w:rsidRPr="005810C6">
        <w:rPr>
          <w:rFonts w:ascii="Times New Roman" w:hAnsi="Times New Roman" w:cs="Times New Roman"/>
          <w:i/>
          <w:sz w:val="24"/>
        </w:rPr>
        <w:t xml:space="preserve"> </w:t>
      </w:r>
      <w:r w:rsidRPr="005810C6">
        <w:rPr>
          <w:rFonts w:ascii="Times New Roman" w:hAnsi="Times New Roman" w:cs="Times New Roman"/>
          <w:b/>
          <w:sz w:val="24"/>
        </w:rPr>
        <w:t>88</w:t>
      </w:r>
      <w:r w:rsidRPr="005810C6">
        <w:rPr>
          <w:rFonts w:ascii="Times New Roman" w:hAnsi="Times New Roman" w:cs="Times New Roman"/>
          <w:sz w:val="24"/>
        </w:rPr>
        <w:t>:1616</w:t>
      </w:r>
      <w:r>
        <w:rPr>
          <w:rFonts w:ascii="Times New Roman" w:hAnsi="Times New Roman" w:cs="Times New Roman"/>
          <w:sz w:val="24"/>
        </w:rPr>
        <w:t xml:space="preserve"> </w:t>
      </w:r>
      <w:r w:rsidRPr="005810C6">
        <w:rPr>
          <w:rFonts w:ascii="Times New Roman" w:hAnsi="Times New Roman" w:cs="Times New Roman"/>
          <w:sz w:val="24"/>
        </w:rPr>
        <w:t>–1622.</w:t>
      </w:r>
    </w:p>
    <w:p w14:paraId="73DE0845" w14:textId="77777777" w:rsidR="009A4A60" w:rsidRPr="00AB110F" w:rsidRDefault="009A4A60" w:rsidP="00AB110F">
      <w:pPr>
        <w:spacing w:after="0" w:line="360" w:lineRule="auto"/>
        <w:ind w:left="720" w:hanging="720"/>
        <w:jc w:val="both"/>
        <w:rPr>
          <w:rFonts w:ascii="Times New Roman" w:hAnsi="Times New Roman" w:cs="Times New Roman"/>
          <w:sz w:val="24"/>
        </w:rPr>
      </w:pPr>
      <w:r w:rsidRPr="00AB110F">
        <w:rPr>
          <w:rFonts w:ascii="Times New Roman" w:hAnsi="Times New Roman" w:cs="Times New Roman"/>
          <w:sz w:val="24"/>
        </w:rPr>
        <w:t xml:space="preserve">DAHDF (2023). Department of Animal Husbandry and Dairying Ministry of Fisheries, Animal Husbandry and Dairying Government of India. Retrieved from: </w:t>
      </w:r>
    </w:p>
    <w:p w14:paraId="27F0421E" w14:textId="77777777" w:rsidR="009A4A60" w:rsidRPr="00EB7809"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 xml:space="preserve">Darko, S., Jelena, P. G., Zdravka, B. and </w:t>
      </w:r>
      <w:proofErr w:type="spellStart"/>
      <w:r w:rsidRPr="00EB7809">
        <w:rPr>
          <w:rFonts w:ascii="Times New Roman" w:hAnsi="Times New Roman" w:cs="Times New Roman"/>
          <w:sz w:val="24"/>
        </w:rPr>
        <w:t>Kanizaj</w:t>
      </w:r>
      <w:proofErr w:type="spellEnd"/>
      <w:r w:rsidRPr="00EB7809">
        <w:rPr>
          <w:rFonts w:ascii="Times New Roman" w:hAnsi="Times New Roman" w:cs="Times New Roman"/>
          <w:sz w:val="24"/>
        </w:rPr>
        <w:t xml:space="preserve">, V. (1991). Effect of therapeutic level of </w:t>
      </w:r>
      <w:proofErr w:type="spellStart"/>
      <w:r w:rsidRPr="00EB7809">
        <w:rPr>
          <w:rFonts w:ascii="Times New Roman" w:hAnsi="Times New Roman" w:cs="Times New Roman"/>
          <w:sz w:val="24"/>
        </w:rPr>
        <w:t>tiamutin</w:t>
      </w:r>
      <w:proofErr w:type="spellEnd"/>
      <w:r w:rsidRPr="00EB7809">
        <w:rPr>
          <w:rFonts w:ascii="Times New Roman" w:hAnsi="Times New Roman" w:cs="Times New Roman"/>
          <w:sz w:val="24"/>
        </w:rPr>
        <w:t xml:space="preserve"> on higher toxicity of </w:t>
      </w:r>
      <w:proofErr w:type="spellStart"/>
      <w:r w:rsidRPr="00EB7809">
        <w:rPr>
          <w:rFonts w:ascii="Times New Roman" w:hAnsi="Times New Roman" w:cs="Times New Roman"/>
          <w:sz w:val="24"/>
        </w:rPr>
        <w:t>monensin</w:t>
      </w:r>
      <w:proofErr w:type="spellEnd"/>
      <w:r w:rsidRPr="00EB7809">
        <w:rPr>
          <w:rFonts w:ascii="Times New Roman" w:hAnsi="Times New Roman" w:cs="Times New Roman"/>
          <w:sz w:val="24"/>
        </w:rPr>
        <w:t xml:space="preserve"> in weaned pigs. </w:t>
      </w:r>
      <w:proofErr w:type="spellStart"/>
      <w:r w:rsidRPr="00EB7809">
        <w:rPr>
          <w:rFonts w:ascii="Times New Roman" w:hAnsi="Times New Roman" w:cs="Times New Roman"/>
          <w:i/>
          <w:sz w:val="24"/>
        </w:rPr>
        <w:t>Veterinarski</w:t>
      </w:r>
      <w:proofErr w:type="spellEnd"/>
      <w:r w:rsidRPr="00EB7809">
        <w:rPr>
          <w:rFonts w:ascii="Times New Roman" w:hAnsi="Times New Roman" w:cs="Times New Roman"/>
          <w:i/>
          <w:sz w:val="24"/>
        </w:rPr>
        <w:t xml:space="preserve"> Arhiv</w:t>
      </w:r>
      <w:r w:rsidRPr="00EB7809">
        <w:rPr>
          <w:rFonts w:ascii="Times New Roman" w:hAnsi="Times New Roman" w:cs="Times New Roman"/>
          <w:sz w:val="24"/>
        </w:rPr>
        <w:t xml:space="preserve">, </w:t>
      </w:r>
      <w:r w:rsidRPr="00EB7809">
        <w:rPr>
          <w:rFonts w:ascii="Times New Roman" w:hAnsi="Times New Roman" w:cs="Times New Roman"/>
          <w:b/>
          <w:sz w:val="24"/>
        </w:rPr>
        <w:t>61</w:t>
      </w:r>
      <w:r w:rsidRPr="00EB7809">
        <w:rPr>
          <w:rFonts w:ascii="Times New Roman" w:hAnsi="Times New Roman" w:cs="Times New Roman"/>
          <w:sz w:val="24"/>
        </w:rPr>
        <w:t>(2): 67–82.</w:t>
      </w:r>
    </w:p>
    <w:p w14:paraId="472546E6" w14:textId="77777777" w:rsidR="009A4A60"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 xml:space="preserve">Dibner, J. J., and </w:t>
      </w:r>
      <w:proofErr w:type="spellStart"/>
      <w:r w:rsidRPr="005810C6">
        <w:rPr>
          <w:rFonts w:ascii="Times New Roman" w:hAnsi="Times New Roman" w:cs="Times New Roman"/>
          <w:sz w:val="24"/>
        </w:rPr>
        <w:t>Buttin</w:t>
      </w:r>
      <w:proofErr w:type="spellEnd"/>
      <w:r w:rsidRPr="005810C6">
        <w:rPr>
          <w:rFonts w:ascii="Times New Roman" w:hAnsi="Times New Roman" w:cs="Times New Roman"/>
          <w:sz w:val="24"/>
        </w:rPr>
        <w:t xml:space="preserve">, P. (2002). Use of organic acids as a model to study the impact of gut microflora on nutrition and metabolism. </w:t>
      </w:r>
      <w:r w:rsidRPr="005810C6">
        <w:rPr>
          <w:rFonts w:ascii="Times New Roman" w:hAnsi="Times New Roman" w:cs="Times New Roman"/>
          <w:i/>
          <w:sz w:val="24"/>
        </w:rPr>
        <w:t>Journal of applied poultry research</w:t>
      </w:r>
      <w:r w:rsidRPr="005810C6">
        <w:rPr>
          <w:rFonts w:ascii="Times New Roman" w:hAnsi="Times New Roman" w:cs="Times New Roman"/>
          <w:sz w:val="24"/>
        </w:rPr>
        <w:t xml:space="preserve">, </w:t>
      </w:r>
      <w:r w:rsidRPr="005810C6">
        <w:rPr>
          <w:rFonts w:ascii="Times New Roman" w:hAnsi="Times New Roman" w:cs="Times New Roman"/>
          <w:b/>
          <w:sz w:val="24"/>
        </w:rPr>
        <w:t>11</w:t>
      </w:r>
      <w:r w:rsidRPr="005810C6">
        <w:rPr>
          <w:rFonts w:ascii="Times New Roman" w:hAnsi="Times New Roman" w:cs="Times New Roman"/>
          <w:sz w:val="24"/>
        </w:rPr>
        <w:t>(4): 453-463.</w:t>
      </w:r>
    </w:p>
    <w:p w14:paraId="7C1DC2C3"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Duncan, D.B. (1955). Multiple range and multiple F tests. Biometrics, 11(1): 1-42.</w:t>
      </w:r>
    </w:p>
    <w:p w14:paraId="1CC5B18C" w14:textId="77777777" w:rsidR="009A4A60"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 xml:space="preserve">Fik, M., </w:t>
      </w:r>
      <w:proofErr w:type="spellStart"/>
      <w:r w:rsidRPr="005810C6">
        <w:rPr>
          <w:rFonts w:ascii="Times New Roman" w:hAnsi="Times New Roman" w:cs="Times New Roman"/>
          <w:sz w:val="24"/>
        </w:rPr>
        <w:t>Hrncar</w:t>
      </w:r>
      <w:proofErr w:type="spellEnd"/>
      <w:r w:rsidRPr="005810C6">
        <w:rPr>
          <w:rFonts w:ascii="Times New Roman" w:hAnsi="Times New Roman" w:cs="Times New Roman"/>
          <w:sz w:val="24"/>
        </w:rPr>
        <w:t xml:space="preserve">, C., Hejnis, D., </w:t>
      </w:r>
      <w:proofErr w:type="spellStart"/>
      <w:r w:rsidRPr="005810C6">
        <w:rPr>
          <w:rFonts w:ascii="Times New Roman" w:hAnsi="Times New Roman" w:cs="Times New Roman"/>
          <w:sz w:val="24"/>
        </w:rPr>
        <w:t>Hanusova</w:t>
      </w:r>
      <w:proofErr w:type="spellEnd"/>
      <w:r w:rsidRPr="005810C6">
        <w:rPr>
          <w:rFonts w:ascii="Times New Roman" w:hAnsi="Times New Roman" w:cs="Times New Roman"/>
          <w:sz w:val="24"/>
        </w:rPr>
        <w:t xml:space="preserve">, E., </w:t>
      </w:r>
      <w:proofErr w:type="spellStart"/>
      <w:r w:rsidRPr="005810C6">
        <w:rPr>
          <w:rFonts w:ascii="Times New Roman" w:hAnsi="Times New Roman" w:cs="Times New Roman"/>
          <w:sz w:val="24"/>
        </w:rPr>
        <w:t>Arpasova</w:t>
      </w:r>
      <w:proofErr w:type="spellEnd"/>
      <w:r w:rsidRPr="005810C6">
        <w:rPr>
          <w:rFonts w:ascii="Times New Roman" w:hAnsi="Times New Roman" w:cs="Times New Roman"/>
          <w:sz w:val="24"/>
        </w:rPr>
        <w:t>, H. and Bujko,</w:t>
      </w:r>
      <w:r>
        <w:rPr>
          <w:rFonts w:ascii="Times New Roman" w:hAnsi="Times New Roman" w:cs="Times New Roman"/>
          <w:sz w:val="24"/>
        </w:rPr>
        <w:t xml:space="preserve"> </w:t>
      </w:r>
      <w:r w:rsidRPr="005810C6">
        <w:rPr>
          <w:rFonts w:ascii="Times New Roman" w:hAnsi="Times New Roman" w:cs="Times New Roman"/>
          <w:sz w:val="24"/>
        </w:rPr>
        <w:t xml:space="preserve">J. (2021). The effect of citric acid on performance and carcass characteristics of broiler chickens. </w:t>
      </w:r>
      <w:r w:rsidRPr="005810C6">
        <w:rPr>
          <w:rFonts w:ascii="Times New Roman" w:hAnsi="Times New Roman" w:cs="Times New Roman"/>
          <w:i/>
          <w:sz w:val="24"/>
        </w:rPr>
        <w:t>Scientific Papers Animal Science and Biotechnologies</w:t>
      </w:r>
      <w:r w:rsidRPr="005810C6">
        <w:rPr>
          <w:rFonts w:ascii="Times New Roman" w:hAnsi="Times New Roman" w:cs="Times New Roman"/>
          <w:sz w:val="24"/>
        </w:rPr>
        <w:t xml:space="preserve">, </w:t>
      </w:r>
      <w:r w:rsidRPr="005810C6">
        <w:rPr>
          <w:rFonts w:ascii="Times New Roman" w:hAnsi="Times New Roman" w:cs="Times New Roman"/>
          <w:b/>
          <w:sz w:val="24"/>
        </w:rPr>
        <w:t>54</w:t>
      </w:r>
      <w:r w:rsidRPr="005810C6">
        <w:rPr>
          <w:rFonts w:ascii="Times New Roman" w:hAnsi="Times New Roman" w:cs="Times New Roman"/>
          <w:sz w:val="24"/>
        </w:rPr>
        <w:t>(1): 187– 187.</w:t>
      </w:r>
    </w:p>
    <w:p w14:paraId="67390154"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Freed, M., Clarke, J. P., Bowersock, T. L., Van-Alstine, W. G., Balog, J.</w:t>
      </w:r>
      <w:r>
        <w:rPr>
          <w:rFonts w:ascii="Times New Roman" w:hAnsi="Times New Roman" w:cs="Times New Roman"/>
          <w:sz w:val="24"/>
        </w:rPr>
        <w:t xml:space="preserve"> </w:t>
      </w:r>
      <w:r w:rsidRPr="00E86642">
        <w:rPr>
          <w:rFonts w:ascii="Times New Roman" w:hAnsi="Times New Roman" w:cs="Times New Roman"/>
          <w:sz w:val="24"/>
        </w:rPr>
        <w:t xml:space="preserve">M. and Hester, P. Y. (1993). Effect of spectinomycin on </w:t>
      </w:r>
      <w:r w:rsidRPr="00E86642">
        <w:rPr>
          <w:rFonts w:ascii="Times New Roman" w:hAnsi="Times New Roman" w:cs="Times New Roman"/>
          <w:i/>
          <w:sz w:val="24"/>
        </w:rPr>
        <w:t xml:space="preserve">Escherichia coli </w:t>
      </w:r>
      <w:r w:rsidRPr="00E86642">
        <w:rPr>
          <w:rFonts w:ascii="Times New Roman" w:hAnsi="Times New Roman" w:cs="Times New Roman"/>
          <w:sz w:val="24"/>
        </w:rPr>
        <w:t xml:space="preserve">infection in 1-day old ducklings. </w:t>
      </w:r>
      <w:r w:rsidRPr="00E86642">
        <w:rPr>
          <w:rFonts w:ascii="Times New Roman" w:hAnsi="Times New Roman" w:cs="Times New Roman"/>
          <w:i/>
          <w:sz w:val="24"/>
        </w:rPr>
        <w:t>Avian Diseases</w:t>
      </w:r>
      <w:r w:rsidRPr="00E86642">
        <w:rPr>
          <w:rFonts w:ascii="Times New Roman" w:hAnsi="Times New Roman" w:cs="Times New Roman"/>
          <w:sz w:val="24"/>
        </w:rPr>
        <w:t xml:space="preserve">, </w:t>
      </w:r>
      <w:r w:rsidRPr="00E86642">
        <w:rPr>
          <w:rFonts w:ascii="Times New Roman" w:hAnsi="Times New Roman" w:cs="Times New Roman"/>
          <w:b/>
          <w:sz w:val="24"/>
        </w:rPr>
        <w:t xml:space="preserve">3: </w:t>
      </w:r>
      <w:r w:rsidRPr="00E86642">
        <w:rPr>
          <w:rFonts w:ascii="Times New Roman" w:hAnsi="Times New Roman" w:cs="Times New Roman"/>
          <w:sz w:val="24"/>
        </w:rPr>
        <w:t>763-766.</w:t>
      </w:r>
    </w:p>
    <w:p w14:paraId="10F4D992" w14:textId="77777777" w:rsidR="009A4A60" w:rsidRPr="005810C6"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lastRenderedPageBreak/>
        <w:t xml:space="preserve">Garcia, V., Catala-Gregori, P., Hernandez, F., Megias, M. D. and Madrid, J. (2007). Effect of formic acid and plant extracts on growth, nutrient digestibility, intestine mucosa morphology, and meat yield of broilers. </w:t>
      </w:r>
      <w:r w:rsidRPr="005810C6">
        <w:rPr>
          <w:rFonts w:ascii="Times New Roman" w:hAnsi="Times New Roman" w:cs="Times New Roman"/>
          <w:i/>
          <w:sz w:val="24"/>
        </w:rPr>
        <w:t xml:space="preserve">Journal of Applied Poultry Research, </w:t>
      </w:r>
      <w:r w:rsidRPr="005810C6">
        <w:rPr>
          <w:rFonts w:ascii="Times New Roman" w:hAnsi="Times New Roman" w:cs="Times New Roman"/>
          <w:b/>
          <w:i/>
          <w:sz w:val="24"/>
        </w:rPr>
        <w:t>16</w:t>
      </w:r>
      <w:r w:rsidRPr="005810C6">
        <w:rPr>
          <w:rFonts w:ascii="Times New Roman" w:hAnsi="Times New Roman" w:cs="Times New Roman"/>
          <w:sz w:val="24"/>
        </w:rPr>
        <w:t>(4): 555–562.</w:t>
      </w:r>
    </w:p>
    <w:p w14:paraId="1C4B78A7"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Hafeez, A., Iqbal, S., Sikandar, A., Din, S., Khan, I., Ashraf, S. and Laudadio, V. (2021). Feeding of </w:t>
      </w:r>
      <w:proofErr w:type="spellStart"/>
      <w:r w:rsidRPr="00E86642">
        <w:rPr>
          <w:rFonts w:ascii="Times New Roman" w:hAnsi="Times New Roman" w:cs="Times New Roman"/>
          <w:sz w:val="24"/>
        </w:rPr>
        <w:t>phytobiotics</w:t>
      </w:r>
      <w:proofErr w:type="spellEnd"/>
      <w:r w:rsidRPr="00E86642">
        <w:rPr>
          <w:rFonts w:ascii="Times New Roman" w:hAnsi="Times New Roman" w:cs="Times New Roman"/>
          <w:sz w:val="24"/>
        </w:rPr>
        <w:t xml:space="preserve"> and exogenous protease in broilers: comparative effect on nutrient digestibility, bone strength and gut morphology. Agriculture, 11(3): 228.</w:t>
      </w:r>
    </w:p>
    <w:p w14:paraId="16606481"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Hudha, M. N., Ali, M. S., Azad, M. A., Hossain, M. M., Tanjim, M., </w:t>
      </w:r>
      <w:proofErr w:type="spellStart"/>
      <w:r w:rsidRPr="00E86642">
        <w:rPr>
          <w:rFonts w:ascii="Times New Roman" w:hAnsi="Times New Roman" w:cs="Times New Roman"/>
          <w:sz w:val="24"/>
        </w:rPr>
        <w:t>Bormon</w:t>
      </w:r>
      <w:proofErr w:type="spellEnd"/>
      <w:r w:rsidRPr="00E86642">
        <w:rPr>
          <w:rFonts w:ascii="Times New Roman" w:hAnsi="Times New Roman" w:cs="Times New Roman"/>
          <w:sz w:val="24"/>
        </w:rPr>
        <w:t xml:space="preserve">, S. C., Rahman, M. S., Rahman, M. M. and Paul, A. K. (2010). Effect of acetic acid on growth and meat yield in broilers. </w:t>
      </w:r>
      <w:r w:rsidRPr="00E86642">
        <w:rPr>
          <w:rFonts w:ascii="Times New Roman" w:hAnsi="Times New Roman" w:cs="Times New Roman"/>
          <w:i/>
          <w:sz w:val="24"/>
        </w:rPr>
        <w:t>International Journal of Biological Research</w:t>
      </w:r>
      <w:r w:rsidRPr="00E86642">
        <w:rPr>
          <w:rFonts w:ascii="Times New Roman" w:hAnsi="Times New Roman" w:cs="Times New Roman"/>
          <w:sz w:val="24"/>
        </w:rPr>
        <w:t xml:space="preserve">, </w:t>
      </w:r>
      <w:r w:rsidRPr="00E86642">
        <w:rPr>
          <w:rFonts w:ascii="Times New Roman" w:hAnsi="Times New Roman" w:cs="Times New Roman"/>
          <w:b/>
          <w:sz w:val="24"/>
        </w:rPr>
        <w:t>1</w:t>
      </w:r>
      <w:r w:rsidRPr="00E86642">
        <w:rPr>
          <w:rFonts w:ascii="Times New Roman" w:hAnsi="Times New Roman" w:cs="Times New Roman"/>
          <w:sz w:val="24"/>
        </w:rPr>
        <w:t>(4): 31- 35.</w:t>
      </w:r>
    </w:p>
    <w:p w14:paraId="0AFC676F" w14:textId="77777777"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Islam, M. Z., Khandaker, Z. H., Chowdhury, S. D. and Islam, K. M. S. (2008). Effect of citric acid and acetic acid on the performance of broilers. </w:t>
      </w:r>
      <w:r w:rsidRPr="00E86642">
        <w:rPr>
          <w:rFonts w:ascii="Times New Roman" w:hAnsi="Times New Roman" w:cs="Times New Roman"/>
          <w:i/>
          <w:sz w:val="24"/>
        </w:rPr>
        <w:t>Journal of the Bangladesh Agricultural University</w:t>
      </w:r>
      <w:r w:rsidRPr="00E86642">
        <w:rPr>
          <w:rFonts w:ascii="Times New Roman" w:hAnsi="Times New Roman" w:cs="Times New Roman"/>
          <w:sz w:val="24"/>
        </w:rPr>
        <w:t xml:space="preserve">, </w:t>
      </w:r>
      <w:r w:rsidRPr="00E86642">
        <w:rPr>
          <w:rFonts w:ascii="Times New Roman" w:hAnsi="Times New Roman" w:cs="Times New Roman"/>
          <w:b/>
          <w:sz w:val="24"/>
        </w:rPr>
        <w:t>6</w:t>
      </w:r>
      <w:r w:rsidRPr="00E86642">
        <w:rPr>
          <w:rFonts w:ascii="Times New Roman" w:hAnsi="Times New Roman" w:cs="Times New Roman"/>
          <w:sz w:val="24"/>
        </w:rPr>
        <w:t>(2): 315–320.</w:t>
      </w:r>
    </w:p>
    <w:p w14:paraId="1018B424" w14:textId="77777777" w:rsidR="009A4A60" w:rsidRP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 xml:space="preserve">Ismita, J., Islam, K. M. S., Al-Mamun, M. and Debi, M. R. (2022). Comparative efficacy of citric acid, </w:t>
      </w:r>
      <w:r w:rsidRPr="009A4A60">
        <w:rPr>
          <w:rFonts w:ascii="Times New Roman" w:hAnsi="Times New Roman" w:cs="Times New Roman"/>
          <w:i/>
          <w:sz w:val="24"/>
        </w:rPr>
        <w:t xml:space="preserve">Spirulina platensis </w:t>
      </w:r>
      <w:r w:rsidRPr="009A4A60">
        <w:rPr>
          <w:rFonts w:ascii="Times New Roman" w:hAnsi="Times New Roman" w:cs="Times New Roman"/>
          <w:sz w:val="24"/>
        </w:rPr>
        <w:t xml:space="preserve">and their combination as alternatives to an antibiotic growth promoter on the performances of broilers. </w:t>
      </w:r>
      <w:r w:rsidRPr="009A4A60">
        <w:rPr>
          <w:rFonts w:ascii="Times New Roman" w:hAnsi="Times New Roman" w:cs="Times New Roman"/>
          <w:i/>
          <w:sz w:val="24"/>
        </w:rPr>
        <w:t>Journal of Advanced Veterinary and Animal Research</w:t>
      </w:r>
      <w:r w:rsidRPr="009A4A60">
        <w:rPr>
          <w:rFonts w:ascii="Times New Roman" w:hAnsi="Times New Roman" w:cs="Times New Roman"/>
          <w:sz w:val="24"/>
        </w:rPr>
        <w:t xml:space="preserve">, </w:t>
      </w:r>
      <w:r w:rsidRPr="009A4A60">
        <w:rPr>
          <w:rFonts w:ascii="Times New Roman" w:hAnsi="Times New Roman" w:cs="Times New Roman"/>
          <w:b/>
          <w:sz w:val="24"/>
        </w:rPr>
        <w:t>9</w:t>
      </w:r>
      <w:r w:rsidRPr="009A4A60">
        <w:rPr>
          <w:rFonts w:ascii="Times New Roman" w:hAnsi="Times New Roman" w:cs="Times New Roman"/>
          <w:sz w:val="24"/>
        </w:rPr>
        <w:t>(1): 1-9</w:t>
      </w:r>
    </w:p>
    <w:p w14:paraId="1EC38001" w14:textId="77777777" w:rsidR="009A4A60"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 xml:space="preserve">Ma, J., Wang, J., Mahfuz, S., Long, S., Wu, D., Gao, J. and Piao, X. (2021). Supplementation of mixed organic acids improves growth performance, meat quality, gut morphology and volatile fatty acids of broiler chicken. </w:t>
      </w:r>
      <w:r w:rsidRPr="00EB7809">
        <w:rPr>
          <w:rFonts w:ascii="Times New Roman" w:hAnsi="Times New Roman" w:cs="Times New Roman"/>
          <w:i/>
          <w:sz w:val="24"/>
        </w:rPr>
        <w:t>Animals</w:t>
      </w:r>
      <w:r w:rsidRPr="00EB7809">
        <w:rPr>
          <w:rFonts w:ascii="Times New Roman" w:hAnsi="Times New Roman" w:cs="Times New Roman"/>
          <w:sz w:val="24"/>
        </w:rPr>
        <w:t xml:space="preserve">, </w:t>
      </w:r>
      <w:r w:rsidRPr="00EB7809">
        <w:rPr>
          <w:rFonts w:ascii="Times New Roman" w:hAnsi="Times New Roman" w:cs="Times New Roman"/>
          <w:b/>
          <w:i/>
          <w:sz w:val="24"/>
        </w:rPr>
        <w:t>11</w:t>
      </w:r>
      <w:r w:rsidRPr="00EB7809">
        <w:rPr>
          <w:rFonts w:ascii="Times New Roman" w:hAnsi="Times New Roman" w:cs="Times New Roman"/>
          <w:sz w:val="24"/>
        </w:rPr>
        <w:t>(11): 3020.</w:t>
      </w:r>
    </w:p>
    <w:p w14:paraId="4D125F4F" w14:textId="77777777" w:rsidR="009A4A60" w:rsidRDefault="009A4A60" w:rsidP="009A4A60">
      <w:pPr>
        <w:spacing w:after="0" w:line="360" w:lineRule="auto"/>
        <w:ind w:left="720" w:hanging="720"/>
        <w:jc w:val="both"/>
        <w:rPr>
          <w:rFonts w:ascii="Times New Roman" w:hAnsi="Times New Roman" w:cs="Times New Roman"/>
          <w:sz w:val="24"/>
        </w:rPr>
      </w:pPr>
      <w:r w:rsidRPr="009A4A60">
        <w:rPr>
          <w:rFonts w:ascii="Times New Roman" w:hAnsi="Times New Roman" w:cs="Times New Roman"/>
          <w:sz w:val="24"/>
        </w:rPr>
        <w:t xml:space="preserve">Moghadam, A. N., </w:t>
      </w:r>
      <w:proofErr w:type="spellStart"/>
      <w:r w:rsidRPr="009A4A60">
        <w:rPr>
          <w:rFonts w:ascii="Times New Roman" w:hAnsi="Times New Roman" w:cs="Times New Roman"/>
          <w:sz w:val="24"/>
        </w:rPr>
        <w:t>Pourreza</w:t>
      </w:r>
      <w:proofErr w:type="spellEnd"/>
      <w:r w:rsidRPr="009A4A60">
        <w:rPr>
          <w:rFonts w:ascii="Times New Roman" w:hAnsi="Times New Roman" w:cs="Times New Roman"/>
          <w:sz w:val="24"/>
        </w:rPr>
        <w:t>, J. and Samie, A. H. (2006). Effect of different levels of citric acid on calcium and phosphorus</w:t>
      </w:r>
      <w:r>
        <w:rPr>
          <w:rFonts w:ascii="Times New Roman" w:hAnsi="Times New Roman" w:cs="Times New Roman"/>
          <w:sz w:val="24"/>
        </w:rPr>
        <w:t xml:space="preserve"> </w:t>
      </w:r>
      <w:r w:rsidRPr="009A4A60">
        <w:rPr>
          <w:rFonts w:ascii="Times New Roman" w:hAnsi="Times New Roman" w:cs="Times New Roman"/>
          <w:sz w:val="24"/>
        </w:rPr>
        <w:t xml:space="preserve">efficiencies in broiler chicks. </w:t>
      </w:r>
      <w:r w:rsidRPr="009A4A60">
        <w:rPr>
          <w:rFonts w:ascii="Times New Roman" w:hAnsi="Times New Roman" w:cs="Times New Roman"/>
          <w:i/>
          <w:sz w:val="24"/>
        </w:rPr>
        <w:t>Pakistan Journal of Biological Sciences</w:t>
      </w:r>
      <w:r w:rsidRPr="009A4A60">
        <w:rPr>
          <w:rFonts w:ascii="Times New Roman" w:hAnsi="Times New Roman" w:cs="Times New Roman"/>
          <w:sz w:val="24"/>
        </w:rPr>
        <w:t xml:space="preserve">, </w:t>
      </w:r>
      <w:r w:rsidRPr="009A4A60">
        <w:rPr>
          <w:rFonts w:ascii="Times New Roman" w:hAnsi="Times New Roman" w:cs="Times New Roman"/>
          <w:b/>
          <w:sz w:val="24"/>
        </w:rPr>
        <w:t>9</w:t>
      </w:r>
      <w:r w:rsidRPr="009A4A60">
        <w:rPr>
          <w:rFonts w:ascii="Times New Roman" w:hAnsi="Times New Roman" w:cs="Times New Roman"/>
          <w:sz w:val="24"/>
        </w:rPr>
        <w:t>: 1250–1256.</w:t>
      </w:r>
    </w:p>
    <w:p w14:paraId="54DF3556" w14:textId="77777777"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Mohammed, H. (2018). Effect of organic acids supplanted in drinking water during pre-starter and starter feeding phase on broiler performance. </w:t>
      </w:r>
      <w:r w:rsidRPr="00E86642">
        <w:rPr>
          <w:rFonts w:ascii="Times New Roman" w:hAnsi="Times New Roman" w:cs="Times New Roman"/>
          <w:i/>
          <w:sz w:val="24"/>
        </w:rPr>
        <w:t>Polytechnic Journal</w:t>
      </w:r>
      <w:r w:rsidRPr="00E86642">
        <w:rPr>
          <w:rFonts w:ascii="Times New Roman" w:hAnsi="Times New Roman" w:cs="Times New Roman"/>
          <w:sz w:val="24"/>
        </w:rPr>
        <w:t xml:space="preserve">, </w:t>
      </w:r>
      <w:r w:rsidRPr="00E86642">
        <w:rPr>
          <w:rFonts w:ascii="Times New Roman" w:hAnsi="Times New Roman" w:cs="Times New Roman"/>
          <w:b/>
          <w:sz w:val="24"/>
        </w:rPr>
        <w:t>8</w:t>
      </w:r>
      <w:r w:rsidRPr="00E86642">
        <w:rPr>
          <w:rFonts w:ascii="Times New Roman" w:hAnsi="Times New Roman" w:cs="Times New Roman"/>
          <w:sz w:val="24"/>
        </w:rPr>
        <w:t>(2): 60–69.</w:t>
      </w:r>
    </w:p>
    <w:p w14:paraId="120E03B4"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Mustafa, A., Bai, S., Zeng, Q., Ding, X., Wang, J., Xuan, Y. and Zhang,</w:t>
      </w:r>
      <w:r>
        <w:rPr>
          <w:rFonts w:ascii="Times New Roman" w:hAnsi="Times New Roman" w:cs="Times New Roman"/>
          <w:sz w:val="24"/>
        </w:rPr>
        <w:t xml:space="preserve"> </w:t>
      </w:r>
      <w:r w:rsidRPr="00E86642">
        <w:rPr>
          <w:rFonts w:ascii="Times New Roman" w:hAnsi="Times New Roman" w:cs="Times New Roman"/>
          <w:sz w:val="24"/>
        </w:rPr>
        <w:t xml:space="preserve">K. (2021). Effect of organic acids on growth performance, intestinal morphology and immunity of broiler chickens with and without </w:t>
      </w:r>
      <w:proofErr w:type="spellStart"/>
      <w:r w:rsidRPr="00E86642">
        <w:rPr>
          <w:rFonts w:ascii="Times New Roman" w:hAnsi="Times New Roman" w:cs="Times New Roman"/>
          <w:sz w:val="24"/>
        </w:rPr>
        <w:t>coccidial</w:t>
      </w:r>
      <w:proofErr w:type="spellEnd"/>
      <w:r w:rsidRPr="00E86642">
        <w:rPr>
          <w:rFonts w:ascii="Times New Roman" w:hAnsi="Times New Roman" w:cs="Times New Roman"/>
          <w:sz w:val="24"/>
        </w:rPr>
        <w:t xml:space="preserve"> challenge. </w:t>
      </w:r>
      <w:r w:rsidRPr="00E86642">
        <w:rPr>
          <w:rFonts w:ascii="Times New Roman" w:hAnsi="Times New Roman" w:cs="Times New Roman"/>
          <w:i/>
          <w:sz w:val="24"/>
        </w:rPr>
        <w:t>AMB Express</w:t>
      </w:r>
      <w:r w:rsidRPr="00E86642">
        <w:rPr>
          <w:rFonts w:ascii="Times New Roman" w:hAnsi="Times New Roman" w:cs="Times New Roman"/>
          <w:sz w:val="24"/>
        </w:rPr>
        <w:t xml:space="preserve">, </w:t>
      </w:r>
      <w:r w:rsidRPr="00E86642">
        <w:rPr>
          <w:rFonts w:ascii="Times New Roman" w:hAnsi="Times New Roman" w:cs="Times New Roman"/>
          <w:b/>
          <w:sz w:val="24"/>
        </w:rPr>
        <w:t>11</w:t>
      </w:r>
      <w:r w:rsidRPr="00E86642">
        <w:rPr>
          <w:rFonts w:ascii="Times New Roman" w:hAnsi="Times New Roman" w:cs="Times New Roman"/>
          <w:sz w:val="24"/>
        </w:rPr>
        <w:t>: 1-18.</w:t>
      </w:r>
    </w:p>
    <w:p w14:paraId="3EB0D39A" w14:textId="77777777" w:rsidR="009A4A60" w:rsidRPr="00E86642"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Nourmohammadi</w:t>
      </w:r>
      <w:proofErr w:type="spellEnd"/>
      <w:r w:rsidRPr="00E86642">
        <w:rPr>
          <w:rFonts w:ascii="Times New Roman" w:hAnsi="Times New Roman" w:cs="Times New Roman"/>
          <w:sz w:val="24"/>
        </w:rPr>
        <w:t xml:space="preserve">, R. and </w:t>
      </w:r>
      <w:proofErr w:type="spellStart"/>
      <w:r w:rsidRPr="00E86642">
        <w:rPr>
          <w:rFonts w:ascii="Times New Roman" w:hAnsi="Times New Roman" w:cs="Times New Roman"/>
          <w:sz w:val="24"/>
        </w:rPr>
        <w:t>Khosravinia</w:t>
      </w:r>
      <w:proofErr w:type="spellEnd"/>
      <w:r w:rsidRPr="00E86642">
        <w:rPr>
          <w:rFonts w:ascii="Times New Roman" w:hAnsi="Times New Roman" w:cs="Times New Roman"/>
          <w:sz w:val="24"/>
        </w:rPr>
        <w:t xml:space="preserve">, H. (2015). Acidic stress caused by dietary administration of citric acid in broiler chickens. </w:t>
      </w:r>
      <w:r w:rsidRPr="00E86642">
        <w:rPr>
          <w:rFonts w:ascii="Times New Roman" w:hAnsi="Times New Roman" w:cs="Times New Roman"/>
          <w:i/>
          <w:sz w:val="24"/>
        </w:rPr>
        <w:t>Archives Animal Breeding</w:t>
      </w:r>
      <w:r w:rsidRPr="00E86642">
        <w:rPr>
          <w:rFonts w:ascii="Times New Roman" w:hAnsi="Times New Roman" w:cs="Times New Roman"/>
          <w:sz w:val="24"/>
        </w:rPr>
        <w:t xml:space="preserve">, </w:t>
      </w:r>
      <w:r w:rsidRPr="00E86642">
        <w:rPr>
          <w:rFonts w:ascii="Times New Roman" w:hAnsi="Times New Roman" w:cs="Times New Roman"/>
          <w:b/>
          <w:sz w:val="24"/>
        </w:rPr>
        <w:t>58</w:t>
      </w:r>
      <w:r w:rsidRPr="00E86642">
        <w:rPr>
          <w:rFonts w:ascii="Times New Roman" w:hAnsi="Times New Roman" w:cs="Times New Roman"/>
          <w:sz w:val="24"/>
        </w:rPr>
        <w:t>(2): 309–315.</w:t>
      </w:r>
    </w:p>
    <w:p w14:paraId="20B2922A" w14:textId="77777777" w:rsidR="009A4A60"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lastRenderedPageBreak/>
        <w:t>Nourmohammadi</w:t>
      </w:r>
      <w:proofErr w:type="spellEnd"/>
      <w:r w:rsidRPr="00E86642">
        <w:rPr>
          <w:rFonts w:ascii="Times New Roman" w:hAnsi="Times New Roman" w:cs="Times New Roman"/>
          <w:sz w:val="24"/>
        </w:rPr>
        <w:t xml:space="preserve">, R., Hosseini, S. M., Farhangfar, H. and </w:t>
      </w:r>
      <w:proofErr w:type="spellStart"/>
      <w:r w:rsidRPr="00E86642">
        <w:rPr>
          <w:rFonts w:ascii="Times New Roman" w:hAnsi="Times New Roman" w:cs="Times New Roman"/>
          <w:sz w:val="24"/>
        </w:rPr>
        <w:t>Bashtani</w:t>
      </w:r>
      <w:proofErr w:type="spellEnd"/>
      <w:r w:rsidRPr="00E86642">
        <w:rPr>
          <w:rFonts w:ascii="Times New Roman" w:hAnsi="Times New Roman" w:cs="Times New Roman"/>
          <w:sz w:val="24"/>
        </w:rPr>
        <w:t xml:space="preserve">, M. (2012). Effect of citric acid and microbial phytase enzyme on ileal digestibility of some nutrients in broiler chicks fed corn-soybean meal diets. </w:t>
      </w:r>
      <w:r w:rsidRPr="00E86642">
        <w:rPr>
          <w:rFonts w:ascii="Times New Roman" w:hAnsi="Times New Roman" w:cs="Times New Roman"/>
          <w:i/>
          <w:sz w:val="24"/>
        </w:rPr>
        <w:t>Italian Journal of Animal Science</w:t>
      </w:r>
      <w:r w:rsidRPr="00E86642">
        <w:rPr>
          <w:rFonts w:ascii="Times New Roman" w:hAnsi="Times New Roman" w:cs="Times New Roman"/>
          <w:sz w:val="24"/>
        </w:rPr>
        <w:t xml:space="preserve">, </w:t>
      </w:r>
      <w:r w:rsidRPr="00E86642">
        <w:rPr>
          <w:rFonts w:ascii="Times New Roman" w:hAnsi="Times New Roman" w:cs="Times New Roman"/>
          <w:b/>
          <w:i/>
          <w:sz w:val="24"/>
        </w:rPr>
        <w:t>11</w:t>
      </w:r>
      <w:r>
        <w:rPr>
          <w:rFonts w:ascii="Times New Roman" w:hAnsi="Times New Roman" w:cs="Times New Roman"/>
          <w:sz w:val="24"/>
        </w:rPr>
        <w:t>(1).</w:t>
      </w:r>
    </w:p>
    <w:p w14:paraId="7D9E1937" w14:textId="77777777"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Raza, T., Chand, N., Khan, R. U., Shahid, M. S. and </w:t>
      </w:r>
      <w:proofErr w:type="spellStart"/>
      <w:r w:rsidRPr="00E86642">
        <w:rPr>
          <w:rFonts w:ascii="Times New Roman" w:hAnsi="Times New Roman" w:cs="Times New Roman"/>
          <w:sz w:val="24"/>
        </w:rPr>
        <w:t>Abudabos</w:t>
      </w:r>
      <w:proofErr w:type="spellEnd"/>
      <w:r w:rsidRPr="00E86642">
        <w:rPr>
          <w:rFonts w:ascii="Times New Roman" w:hAnsi="Times New Roman" w:cs="Times New Roman"/>
          <w:sz w:val="24"/>
        </w:rPr>
        <w:t>, A. M. (2016). Improving the fatty acid profile in egg yolk through the use of hempseed (</w:t>
      </w:r>
      <w:r w:rsidRPr="00E86642">
        <w:rPr>
          <w:rFonts w:ascii="Times New Roman" w:hAnsi="Times New Roman" w:cs="Times New Roman"/>
          <w:i/>
          <w:sz w:val="24"/>
        </w:rPr>
        <w:t>Cannabis sativa</w:t>
      </w:r>
      <w:r w:rsidRPr="00E86642">
        <w:rPr>
          <w:rFonts w:ascii="Times New Roman" w:hAnsi="Times New Roman" w:cs="Times New Roman"/>
          <w:sz w:val="24"/>
        </w:rPr>
        <w:t>), ginger (</w:t>
      </w:r>
      <w:r w:rsidRPr="00E86642">
        <w:rPr>
          <w:rFonts w:ascii="Times New Roman" w:hAnsi="Times New Roman" w:cs="Times New Roman"/>
          <w:i/>
          <w:sz w:val="24"/>
        </w:rPr>
        <w:t>Zingiber officinale</w:t>
      </w:r>
      <w:r w:rsidRPr="00E86642">
        <w:rPr>
          <w:rFonts w:ascii="Times New Roman" w:hAnsi="Times New Roman" w:cs="Times New Roman"/>
          <w:sz w:val="24"/>
        </w:rPr>
        <w:t>) and turmeric (</w:t>
      </w:r>
      <w:r w:rsidRPr="00E86642">
        <w:rPr>
          <w:rFonts w:ascii="Times New Roman" w:hAnsi="Times New Roman" w:cs="Times New Roman"/>
          <w:i/>
          <w:sz w:val="24"/>
        </w:rPr>
        <w:t>Curcuma longa</w:t>
      </w:r>
      <w:r w:rsidRPr="00E86642">
        <w:rPr>
          <w:rFonts w:ascii="Times New Roman" w:hAnsi="Times New Roman" w:cs="Times New Roman"/>
          <w:sz w:val="24"/>
        </w:rPr>
        <w:t xml:space="preserve">) in the diet of Hy-Line White Leghorns. </w:t>
      </w:r>
      <w:r w:rsidRPr="00E86642">
        <w:rPr>
          <w:rFonts w:ascii="Times New Roman" w:hAnsi="Times New Roman" w:cs="Times New Roman"/>
          <w:i/>
          <w:sz w:val="24"/>
        </w:rPr>
        <w:t>Archives Animal Breeding</w:t>
      </w:r>
      <w:r w:rsidRPr="00E86642">
        <w:rPr>
          <w:rFonts w:ascii="Times New Roman" w:hAnsi="Times New Roman" w:cs="Times New Roman"/>
          <w:sz w:val="24"/>
        </w:rPr>
        <w:t xml:space="preserve">, </w:t>
      </w:r>
      <w:r w:rsidRPr="00E86642">
        <w:rPr>
          <w:rFonts w:ascii="Times New Roman" w:hAnsi="Times New Roman" w:cs="Times New Roman"/>
          <w:b/>
          <w:sz w:val="24"/>
        </w:rPr>
        <w:t>59</w:t>
      </w:r>
      <w:r w:rsidRPr="00E86642">
        <w:rPr>
          <w:rFonts w:ascii="Times New Roman" w:hAnsi="Times New Roman" w:cs="Times New Roman"/>
          <w:sz w:val="24"/>
        </w:rPr>
        <w:t>(2):183- 190.</w:t>
      </w:r>
    </w:p>
    <w:p w14:paraId="353A4985" w14:textId="77777777"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Ricke, S. C. (2003). Perspectives on the use of organic acids and short chain fatty acids as antimicrobials. </w:t>
      </w:r>
      <w:r w:rsidRPr="00E86642">
        <w:rPr>
          <w:rFonts w:ascii="Times New Roman" w:hAnsi="Times New Roman" w:cs="Times New Roman"/>
          <w:i/>
          <w:sz w:val="24"/>
        </w:rPr>
        <w:t>Poultry Science</w:t>
      </w:r>
      <w:r w:rsidRPr="00E86642">
        <w:rPr>
          <w:rFonts w:ascii="Times New Roman" w:hAnsi="Times New Roman" w:cs="Times New Roman"/>
          <w:sz w:val="24"/>
        </w:rPr>
        <w:t xml:space="preserve">, </w:t>
      </w:r>
      <w:r w:rsidRPr="00E86642">
        <w:rPr>
          <w:rFonts w:ascii="Times New Roman" w:hAnsi="Times New Roman" w:cs="Times New Roman"/>
          <w:b/>
          <w:sz w:val="24"/>
        </w:rPr>
        <w:t>82</w:t>
      </w:r>
      <w:r w:rsidRPr="00E86642">
        <w:rPr>
          <w:rFonts w:ascii="Times New Roman" w:hAnsi="Times New Roman" w:cs="Times New Roman"/>
          <w:sz w:val="24"/>
        </w:rPr>
        <w:t>(4): 632- 639.</w:t>
      </w:r>
    </w:p>
    <w:p w14:paraId="18233495" w14:textId="77777777" w:rsidR="009A4A60" w:rsidRPr="00E86642"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Scicutella, F., Mannelli, F., </w:t>
      </w:r>
      <w:proofErr w:type="spellStart"/>
      <w:r w:rsidRPr="00E86642">
        <w:rPr>
          <w:rFonts w:ascii="Times New Roman" w:hAnsi="Times New Roman" w:cs="Times New Roman"/>
          <w:sz w:val="24"/>
        </w:rPr>
        <w:t>Daghio</w:t>
      </w:r>
      <w:proofErr w:type="spellEnd"/>
      <w:r w:rsidRPr="00E86642">
        <w:rPr>
          <w:rFonts w:ascii="Times New Roman" w:hAnsi="Times New Roman" w:cs="Times New Roman"/>
          <w:sz w:val="24"/>
        </w:rPr>
        <w:t xml:space="preserve">, M., Viti, C. and </w:t>
      </w:r>
      <w:proofErr w:type="spellStart"/>
      <w:r w:rsidRPr="00E86642">
        <w:rPr>
          <w:rFonts w:ascii="Times New Roman" w:hAnsi="Times New Roman" w:cs="Times New Roman"/>
          <w:sz w:val="24"/>
        </w:rPr>
        <w:t>Buccioni</w:t>
      </w:r>
      <w:proofErr w:type="spellEnd"/>
      <w:r w:rsidRPr="00E86642">
        <w:rPr>
          <w:rFonts w:ascii="Times New Roman" w:hAnsi="Times New Roman" w:cs="Times New Roman"/>
          <w:sz w:val="24"/>
        </w:rPr>
        <w:t xml:space="preserve">, A. (2021). Polyphenols and organic acids as alternatives to antimicrobials in poultry rearing: a review. </w:t>
      </w:r>
      <w:r w:rsidRPr="00E86642">
        <w:rPr>
          <w:rFonts w:ascii="Times New Roman" w:hAnsi="Times New Roman" w:cs="Times New Roman"/>
          <w:i/>
          <w:sz w:val="24"/>
        </w:rPr>
        <w:t>Antibiotics</w:t>
      </w:r>
      <w:r w:rsidRPr="00E86642">
        <w:rPr>
          <w:rFonts w:ascii="Times New Roman" w:hAnsi="Times New Roman" w:cs="Times New Roman"/>
          <w:sz w:val="24"/>
        </w:rPr>
        <w:t xml:space="preserve">, </w:t>
      </w:r>
      <w:r w:rsidRPr="00E86642">
        <w:rPr>
          <w:rFonts w:ascii="Times New Roman" w:hAnsi="Times New Roman" w:cs="Times New Roman"/>
          <w:b/>
          <w:sz w:val="24"/>
        </w:rPr>
        <w:t>10</w:t>
      </w:r>
      <w:r w:rsidRPr="00E86642">
        <w:rPr>
          <w:rFonts w:ascii="Times New Roman" w:hAnsi="Times New Roman" w:cs="Times New Roman"/>
          <w:sz w:val="24"/>
        </w:rPr>
        <w:t>(8): 2-13.</w:t>
      </w:r>
    </w:p>
    <w:p w14:paraId="19A4F3A0" w14:textId="77777777" w:rsidR="009A4A60" w:rsidRDefault="009A4A60" w:rsidP="005810C6">
      <w:pPr>
        <w:spacing w:after="0" w:line="360" w:lineRule="auto"/>
        <w:ind w:left="720" w:hanging="720"/>
        <w:jc w:val="both"/>
        <w:rPr>
          <w:rFonts w:ascii="Times New Roman" w:hAnsi="Times New Roman" w:cs="Times New Roman"/>
          <w:sz w:val="24"/>
        </w:rPr>
      </w:pPr>
      <w:r w:rsidRPr="005810C6">
        <w:rPr>
          <w:rFonts w:ascii="Times New Roman" w:hAnsi="Times New Roman" w:cs="Times New Roman"/>
          <w:sz w:val="24"/>
        </w:rPr>
        <w:t>Shen-Hui Fang; Han-</w:t>
      </w:r>
      <w:proofErr w:type="spellStart"/>
      <w:r w:rsidRPr="005810C6">
        <w:rPr>
          <w:rFonts w:ascii="Times New Roman" w:hAnsi="Times New Roman" w:cs="Times New Roman"/>
          <w:sz w:val="24"/>
        </w:rPr>
        <w:t>ChuiWang</w:t>
      </w:r>
      <w:proofErr w:type="spellEnd"/>
      <w:r w:rsidRPr="005810C6">
        <w:rPr>
          <w:rFonts w:ascii="Times New Roman" w:hAnsi="Times New Roman" w:cs="Times New Roman"/>
          <w:sz w:val="24"/>
        </w:rPr>
        <w:t xml:space="preserve"> and Du-Bing wang (2005). Effects of citric acid on production performance of Three Yellow chicken. </w:t>
      </w:r>
      <w:r w:rsidRPr="005810C6">
        <w:rPr>
          <w:rFonts w:ascii="Times New Roman" w:hAnsi="Times New Roman" w:cs="Times New Roman"/>
          <w:i/>
          <w:sz w:val="24"/>
        </w:rPr>
        <w:t>China Poultry</w:t>
      </w:r>
      <w:r w:rsidRPr="005810C6">
        <w:rPr>
          <w:rFonts w:ascii="Times New Roman" w:hAnsi="Times New Roman" w:cs="Times New Roman"/>
          <w:sz w:val="24"/>
        </w:rPr>
        <w:t xml:space="preserve">. </w:t>
      </w:r>
      <w:r w:rsidRPr="005810C6">
        <w:rPr>
          <w:rFonts w:ascii="Times New Roman" w:hAnsi="Times New Roman" w:cs="Times New Roman"/>
          <w:b/>
          <w:sz w:val="24"/>
        </w:rPr>
        <w:t>27</w:t>
      </w:r>
      <w:r w:rsidRPr="005810C6">
        <w:rPr>
          <w:rFonts w:ascii="Times New Roman" w:hAnsi="Times New Roman" w:cs="Times New Roman"/>
          <w:sz w:val="24"/>
        </w:rPr>
        <w:t>(16): 14-15.</w:t>
      </w:r>
    </w:p>
    <w:p w14:paraId="6822FD24" w14:textId="77777777" w:rsidR="009A4A60" w:rsidRDefault="009A4A60" w:rsidP="00E86642">
      <w:pPr>
        <w:spacing w:after="0" w:line="360" w:lineRule="auto"/>
        <w:ind w:left="720" w:hanging="720"/>
        <w:jc w:val="both"/>
        <w:rPr>
          <w:rFonts w:ascii="Times New Roman" w:hAnsi="Times New Roman" w:cs="Times New Roman"/>
          <w:sz w:val="24"/>
        </w:rPr>
      </w:pPr>
      <w:r w:rsidRPr="00E86642">
        <w:rPr>
          <w:rFonts w:ascii="Times New Roman" w:hAnsi="Times New Roman" w:cs="Times New Roman"/>
          <w:sz w:val="24"/>
        </w:rPr>
        <w:t xml:space="preserve">Snedecor, G.W. and Cochran, W.G. (2004). Statistical methods. 8th edition. </w:t>
      </w:r>
      <w:r w:rsidRPr="00E86642">
        <w:rPr>
          <w:rFonts w:ascii="Times New Roman" w:hAnsi="Times New Roman" w:cs="Times New Roman"/>
          <w:i/>
          <w:sz w:val="24"/>
        </w:rPr>
        <w:t>Oxford and IBH publishing company</w:t>
      </w:r>
      <w:r w:rsidRPr="00E86642">
        <w:rPr>
          <w:rFonts w:ascii="Times New Roman" w:hAnsi="Times New Roman" w:cs="Times New Roman"/>
          <w:sz w:val="24"/>
        </w:rPr>
        <w:t>, Kolkata.</w:t>
      </w:r>
    </w:p>
    <w:p w14:paraId="21563AE0" w14:textId="77777777" w:rsidR="009A4A60" w:rsidRPr="00EB7809" w:rsidRDefault="009A4A60" w:rsidP="00EB7809">
      <w:pPr>
        <w:spacing w:after="0" w:line="360" w:lineRule="auto"/>
        <w:ind w:left="720" w:hanging="720"/>
        <w:jc w:val="both"/>
        <w:rPr>
          <w:rFonts w:ascii="Times New Roman" w:hAnsi="Times New Roman" w:cs="Times New Roman"/>
          <w:sz w:val="24"/>
        </w:rPr>
      </w:pPr>
      <w:r w:rsidRPr="00EB7809">
        <w:rPr>
          <w:rFonts w:ascii="Times New Roman" w:hAnsi="Times New Roman" w:cs="Times New Roman"/>
          <w:sz w:val="24"/>
        </w:rPr>
        <w:t xml:space="preserve">Stipkovits, L., Csiba, E., Laber, G. and Burch, D. G. S. (1992). Simultaneous treatment of chickens with </w:t>
      </w:r>
      <w:proofErr w:type="spellStart"/>
      <w:r w:rsidRPr="00EB7809">
        <w:rPr>
          <w:rFonts w:ascii="Times New Roman" w:hAnsi="Times New Roman" w:cs="Times New Roman"/>
          <w:sz w:val="24"/>
        </w:rPr>
        <w:t>salinomycin</w:t>
      </w:r>
      <w:proofErr w:type="spellEnd"/>
      <w:r w:rsidRPr="00EB7809">
        <w:rPr>
          <w:rFonts w:ascii="Times New Roman" w:hAnsi="Times New Roman" w:cs="Times New Roman"/>
          <w:sz w:val="24"/>
        </w:rPr>
        <w:t xml:space="preserve"> and tiamulin in feed. </w:t>
      </w:r>
      <w:r w:rsidRPr="00EB7809">
        <w:rPr>
          <w:rFonts w:ascii="Times New Roman" w:hAnsi="Times New Roman" w:cs="Times New Roman"/>
          <w:i/>
          <w:sz w:val="24"/>
        </w:rPr>
        <w:t>Avian diseases</w:t>
      </w:r>
      <w:r w:rsidRPr="00EB7809">
        <w:rPr>
          <w:rFonts w:ascii="Times New Roman" w:hAnsi="Times New Roman" w:cs="Times New Roman"/>
          <w:sz w:val="24"/>
        </w:rPr>
        <w:t xml:space="preserve">, </w:t>
      </w:r>
      <w:r w:rsidRPr="00EB7809">
        <w:rPr>
          <w:rFonts w:ascii="Times New Roman" w:hAnsi="Times New Roman" w:cs="Times New Roman"/>
          <w:b/>
          <w:sz w:val="24"/>
        </w:rPr>
        <w:t>36</w:t>
      </w:r>
      <w:r w:rsidRPr="00EB7809">
        <w:rPr>
          <w:rFonts w:ascii="Times New Roman" w:hAnsi="Times New Roman" w:cs="Times New Roman"/>
          <w:sz w:val="24"/>
        </w:rPr>
        <w:t>:11-16.</w:t>
      </w:r>
    </w:p>
    <w:p w14:paraId="041D7354" w14:textId="77777777" w:rsidR="009A4A60" w:rsidRPr="00E86642" w:rsidRDefault="009A4A60" w:rsidP="00E86642">
      <w:pPr>
        <w:spacing w:after="0" w:line="360" w:lineRule="auto"/>
        <w:ind w:left="720" w:hanging="720"/>
        <w:jc w:val="both"/>
        <w:rPr>
          <w:rFonts w:ascii="Times New Roman" w:hAnsi="Times New Roman" w:cs="Times New Roman"/>
          <w:sz w:val="24"/>
        </w:rPr>
      </w:pPr>
      <w:proofErr w:type="spellStart"/>
      <w:r w:rsidRPr="00E86642">
        <w:rPr>
          <w:rFonts w:ascii="Times New Roman" w:hAnsi="Times New Roman" w:cs="Times New Roman"/>
          <w:sz w:val="24"/>
        </w:rPr>
        <w:t>Tehseen</w:t>
      </w:r>
      <w:proofErr w:type="spellEnd"/>
      <w:r w:rsidRPr="00E86642">
        <w:rPr>
          <w:rFonts w:ascii="Times New Roman" w:hAnsi="Times New Roman" w:cs="Times New Roman"/>
          <w:sz w:val="24"/>
        </w:rPr>
        <w:t xml:space="preserve">, M., Tahir, M., Khan, R. U., Jabbar, A., Ahmad, B., Ahsan, T. and </w:t>
      </w:r>
      <w:proofErr w:type="spellStart"/>
      <w:r w:rsidRPr="00E86642">
        <w:rPr>
          <w:rFonts w:ascii="Times New Roman" w:hAnsi="Times New Roman" w:cs="Times New Roman"/>
          <w:sz w:val="24"/>
        </w:rPr>
        <w:t>Abudabos</w:t>
      </w:r>
      <w:proofErr w:type="spellEnd"/>
      <w:r w:rsidRPr="00E86642">
        <w:rPr>
          <w:rFonts w:ascii="Times New Roman" w:hAnsi="Times New Roman" w:cs="Times New Roman"/>
          <w:sz w:val="24"/>
        </w:rPr>
        <w:t xml:space="preserve">, A. M. (2016). Additive effect of </w:t>
      </w:r>
      <w:r w:rsidRPr="00E86642">
        <w:rPr>
          <w:rFonts w:ascii="Times New Roman" w:hAnsi="Times New Roman" w:cs="Times New Roman"/>
          <w:i/>
          <w:sz w:val="24"/>
        </w:rPr>
        <w:t xml:space="preserve">Nigella sativa </w:t>
      </w:r>
      <w:r w:rsidRPr="00E86642">
        <w:rPr>
          <w:rFonts w:ascii="Times New Roman" w:hAnsi="Times New Roman" w:cs="Times New Roman"/>
          <w:sz w:val="24"/>
        </w:rPr>
        <w:t xml:space="preserve">and </w:t>
      </w:r>
      <w:r w:rsidRPr="00E86642">
        <w:rPr>
          <w:rFonts w:ascii="Times New Roman" w:hAnsi="Times New Roman" w:cs="Times New Roman"/>
          <w:i/>
          <w:sz w:val="24"/>
        </w:rPr>
        <w:t xml:space="preserve">Zingiber officinale </w:t>
      </w:r>
      <w:r w:rsidRPr="00E86642">
        <w:rPr>
          <w:rFonts w:ascii="Times New Roman" w:hAnsi="Times New Roman" w:cs="Times New Roman"/>
          <w:sz w:val="24"/>
        </w:rPr>
        <w:t xml:space="preserve">herbal mixture on performance and cholesterol profile in broiler. </w:t>
      </w:r>
      <w:r w:rsidRPr="00E86642">
        <w:rPr>
          <w:rFonts w:ascii="Times New Roman" w:hAnsi="Times New Roman" w:cs="Times New Roman"/>
          <w:i/>
          <w:sz w:val="24"/>
        </w:rPr>
        <w:t>Philipp Agric Scientist</w:t>
      </w:r>
      <w:r w:rsidRPr="00E86642">
        <w:rPr>
          <w:rFonts w:ascii="Times New Roman" w:hAnsi="Times New Roman" w:cs="Times New Roman"/>
          <w:sz w:val="24"/>
        </w:rPr>
        <w:t xml:space="preserve">, </w:t>
      </w:r>
      <w:r w:rsidRPr="00E86642">
        <w:rPr>
          <w:rFonts w:ascii="Times New Roman" w:hAnsi="Times New Roman" w:cs="Times New Roman"/>
          <w:b/>
          <w:sz w:val="24"/>
        </w:rPr>
        <w:t>99</w:t>
      </w:r>
      <w:r w:rsidRPr="00E86642">
        <w:rPr>
          <w:rFonts w:ascii="Times New Roman" w:hAnsi="Times New Roman" w:cs="Times New Roman"/>
          <w:sz w:val="24"/>
        </w:rPr>
        <w:t>(4): 408-413.</w:t>
      </w:r>
    </w:p>
    <w:p w14:paraId="78DE09B8" w14:textId="77777777" w:rsidR="009A4A60" w:rsidRPr="00EB7809" w:rsidRDefault="009A4A60" w:rsidP="00EB7809">
      <w:pPr>
        <w:spacing w:after="0" w:line="360" w:lineRule="auto"/>
        <w:ind w:left="720" w:hanging="720"/>
        <w:jc w:val="both"/>
        <w:rPr>
          <w:rFonts w:ascii="Times New Roman" w:hAnsi="Times New Roman" w:cs="Times New Roman"/>
          <w:sz w:val="24"/>
        </w:rPr>
      </w:pPr>
    </w:p>
    <w:p w14:paraId="7927DE7D" w14:textId="77777777" w:rsidR="00EB7809" w:rsidRPr="00EB7809" w:rsidRDefault="00EB7809" w:rsidP="00EB7809">
      <w:pPr>
        <w:spacing w:after="0" w:line="360" w:lineRule="auto"/>
        <w:ind w:left="720" w:hanging="720"/>
        <w:jc w:val="both"/>
        <w:rPr>
          <w:rFonts w:ascii="Times New Roman" w:hAnsi="Times New Roman" w:cs="Times New Roman"/>
          <w:sz w:val="24"/>
        </w:rPr>
      </w:pPr>
    </w:p>
    <w:p w14:paraId="098F4AFD" w14:textId="77777777" w:rsidR="00EB7809" w:rsidRPr="00EB7809" w:rsidRDefault="00EB7809" w:rsidP="00EB7809">
      <w:pPr>
        <w:spacing w:after="0" w:line="360" w:lineRule="auto"/>
        <w:ind w:left="720" w:hanging="720"/>
        <w:jc w:val="both"/>
        <w:rPr>
          <w:rFonts w:ascii="Times New Roman" w:hAnsi="Times New Roman" w:cs="Times New Roman"/>
          <w:sz w:val="24"/>
        </w:rPr>
      </w:pPr>
    </w:p>
    <w:p w14:paraId="593C7CD6" w14:textId="77777777" w:rsidR="00EB7809" w:rsidRPr="005810C6" w:rsidRDefault="00EB7809" w:rsidP="005810C6">
      <w:pPr>
        <w:spacing w:after="0" w:line="360" w:lineRule="auto"/>
        <w:ind w:left="720" w:hanging="720"/>
        <w:jc w:val="both"/>
        <w:rPr>
          <w:rFonts w:ascii="Times New Roman" w:hAnsi="Times New Roman" w:cs="Times New Roman"/>
          <w:sz w:val="24"/>
        </w:rPr>
      </w:pPr>
    </w:p>
    <w:p w14:paraId="008E0F0A" w14:textId="77777777" w:rsidR="005810C6" w:rsidRPr="005810C6" w:rsidRDefault="005810C6" w:rsidP="005810C6">
      <w:pPr>
        <w:spacing w:after="0" w:line="360" w:lineRule="auto"/>
        <w:ind w:left="720" w:hanging="720"/>
        <w:jc w:val="both"/>
        <w:rPr>
          <w:rFonts w:ascii="Times New Roman" w:hAnsi="Times New Roman" w:cs="Times New Roman"/>
          <w:sz w:val="24"/>
        </w:rPr>
      </w:pPr>
    </w:p>
    <w:p w14:paraId="64E39852" w14:textId="77777777" w:rsidR="00E86642" w:rsidRDefault="00E86642" w:rsidP="00E86642">
      <w:pPr>
        <w:spacing w:after="0" w:line="360" w:lineRule="auto"/>
        <w:ind w:left="720" w:hanging="720"/>
        <w:jc w:val="both"/>
        <w:rPr>
          <w:rFonts w:ascii="Times New Roman" w:hAnsi="Times New Roman" w:cs="Times New Roman"/>
          <w:sz w:val="24"/>
        </w:rPr>
      </w:pPr>
    </w:p>
    <w:p w14:paraId="0A5769A5" w14:textId="77777777" w:rsidR="00E86642" w:rsidRPr="00E86642" w:rsidRDefault="00E86642" w:rsidP="00E86642">
      <w:pPr>
        <w:spacing w:after="0" w:line="360" w:lineRule="auto"/>
        <w:ind w:left="720" w:hanging="720"/>
        <w:jc w:val="both"/>
        <w:rPr>
          <w:rFonts w:ascii="Times New Roman" w:hAnsi="Times New Roman" w:cs="Times New Roman"/>
          <w:sz w:val="24"/>
        </w:rPr>
      </w:pPr>
    </w:p>
    <w:p w14:paraId="567C9470" w14:textId="77777777" w:rsidR="00E86642" w:rsidRPr="00E86642" w:rsidRDefault="00E86642" w:rsidP="00E86642">
      <w:pPr>
        <w:spacing w:after="0" w:line="360" w:lineRule="auto"/>
        <w:ind w:left="720" w:hanging="720"/>
        <w:jc w:val="both"/>
        <w:rPr>
          <w:rFonts w:ascii="Times New Roman" w:hAnsi="Times New Roman" w:cs="Times New Roman"/>
          <w:sz w:val="24"/>
        </w:rPr>
      </w:pPr>
    </w:p>
    <w:p w14:paraId="0457810E" w14:textId="77777777" w:rsidR="00E86642" w:rsidRPr="00E86642" w:rsidRDefault="00E86642" w:rsidP="00E86642">
      <w:pPr>
        <w:spacing w:after="0" w:line="360" w:lineRule="auto"/>
        <w:ind w:left="720" w:hanging="720"/>
        <w:jc w:val="both"/>
        <w:rPr>
          <w:rFonts w:ascii="Times New Roman" w:hAnsi="Times New Roman" w:cs="Times New Roman"/>
          <w:sz w:val="24"/>
        </w:rPr>
      </w:pPr>
    </w:p>
    <w:p w14:paraId="2BFEACEF" w14:textId="77777777" w:rsidR="00E86642" w:rsidRPr="00E86642" w:rsidRDefault="00E86642" w:rsidP="00E86642">
      <w:pPr>
        <w:spacing w:after="0" w:line="360" w:lineRule="auto"/>
        <w:ind w:left="720" w:hanging="720"/>
        <w:jc w:val="both"/>
        <w:rPr>
          <w:rFonts w:ascii="Times New Roman" w:hAnsi="Times New Roman" w:cs="Times New Roman"/>
          <w:sz w:val="24"/>
        </w:rPr>
      </w:pPr>
    </w:p>
    <w:p w14:paraId="643D252A" w14:textId="77777777" w:rsidR="00AB110F" w:rsidRPr="00AB110F" w:rsidRDefault="00AB110F" w:rsidP="00AB110F">
      <w:pPr>
        <w:spacing w:after="0" w:line="360" w:lineRule="auto"/>
        <w:ind w:left="720" w:hanging="720"/>
        <w:jc w:val="both"/>
        <w:rPr>
          <w:rFonts w:ascii="Times New Roman" w:hAnsi="Times New Roman" w:cs="Times New Roman"/>
          <w:sz w:val="24"/>
        </w:rPr>
      </w:pPr>
    </w:p>
    <w:p w14:paraId="18C79C05" w14:textId="77777777" w:rsidR="00AB110F" w:rsidRPr="00AB110F" w:rsidRDefault="00AB110F" w:rsidP="00AB110F">
      <w:pPr>
        <w:spacing w:after="0" w:line="360" w:lineRule="auto"/>
        <w:jc w:val="both"/>
        <w:rPr>
          <w:rFonts w:ascii="Times New Roman" w:hAnsi="Times New Roman" w:cs="Times New Roman"/>
          <w:b/>
          <w:sz w:val="24"/>
        </w:rPr>
      </w:pPr>
    </w:p>
    <w:p w14:paraId="3CB9248A" w14:textId="77777777" w:rsidR="00AF68AA" w:rsidRPr="00AF68AA" w:rsidRDefault="00AF68AA" w:rsidP="001116B7">
      <w:pPr>
        <w:spacing w:after="0" w:line="360" w:lineRule="auto"/>
        <w:ind w:firstLine="720"/>
        <w:jc w:val="both"/>
        <w:rPr>
          <w:rFonts w:ascii="Times New Roman" w:hAnsi="Times New Roman" w:cs="Times New Roman"/>
          <w:b/>
          <w:sz w:val="28"/>
        </w:rPr>
      </w:pPr>
    </w:p>
    <w:sectPr w:rsidR="00AF68AA" w:rsidRPr="00AF68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2D54" w14:textId="77777777" w:rsidR="00C13275" w:rsidRDefault="00C13275" w:rsidP="0056486B">
      <w:pPr>
        <w:spacing w:after="0" w:line="240" w:lineRule="auto"/>
      </w:pPr>
      <w:r>
        <w:separator/>
      </w:r>
    </w:p>
  </w:endnote>
  <w:endnote w:type="continuationSeparator" w:id="0">
    <w:p w14:paraId="7CD14211" w14:textId="77777777" w:rsidR="00C13275" w:rsidRDefault="00C13275" w:rsidP="0056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3767" w14:textId="77777777" w:rsidR="0056486B" w:rsidRDefault="0056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17B1" w14:textId="77777777" w:rsidR="0056486B" w:rsidRDefault="0056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9369" w14:textId="77777777" w:rsidR="0056486B" w:rsidRDefault="0056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35E4" w14:textId="77777777" w:rsidR="00C13275" w:rsidRDefault="00C13275" w:rsidP="0056486B">
      <w:pPr>
        <w:spacing w:after="0" w:line="240" w:lineRule="auto"/>
      </w:pPr>
      <w:r>
        <w:separator/>
      </w:r>
    </w:p>
  </w:footnote>
  <w:footnote w:type="continuationSeparator" w:id="0">
    <w:p w14:paraId="4FF1A205" w14:textId="77777777" w:rsidR="00C13275" w:rsidRDefault="00C13275" w:rsidP="0056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DF85" w14:textId="77777777" w:rsidR="0056486B" w:rsidRDefault="00000000">
    <w:pPr>
      <w:pStyle w:val="Header"/>
    </w:pPr>
    <w:r>
      <w:rPr>
        <w:noProof/>
      </w:rPr>
      <w:pict w14:anchorId="2F62D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E10D" w14:textId="77777777" w:rsidR="0056486B" w:rsidRDefault="00000000">
    <w:pPr>
      <w:pStyle w:val="Header"/>
    </w:pPr>
    <w:r>
      <w:rPr>
        <w:noProof/>
      </w:rPr>
      <w:pict w14:anchorId="7D1B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98B5" w14:textId="77777777" w:rsidR="0056486B" w:rsidRDefault="00000000">
    <w:pPr>
      <w:pStyle w:val="Header"/>
    </w:pPr>
    <w:r>
      <w:rPr>
        <w:noProof/>
      </w:rPr>
      <w:pict w14:anchorId="22FD2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2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489"/>
    <w:rsid w:val="000220DB"/>
    <w:rsid w:val="0006626A"/>
    <w:rsid w:val="000E3624"/>
    <w:rsid w:val="001116B7"/>
    <w:rsid w:val="00135926"/>
    <w:rsid w:val="00145CD4"/>
    <w:rsid w:val="00155708"/>
    <w:rsid w:val="00157013"/>
    <w:rsid w:val="002440E1"/>
    <w:rsid w:val="002633B8"/>
    <w:rsid w:val="00292435"/>
    <w:rsid w:val="00293524"/>
    <w:rsid w:val="002B51D6"/>
    <w:rsid w:val="002C4D97"/>
    <w:rsid w:val="002D5CFB"/>
    <w:rsid w:val="003D0795"/>
    <w:rsid w:val="003E4A69"/>
    <w:rsid w:val="00462146"/>
    <w:rsid w:val="00473444"/>
    <w:rsid w:val="004B556C"/>
    <w:rsid w:val="004C42B4"/>
    <w:rsid w:val="00500D5F"/>
    <w:rsid w:val="0056486B"/>
    <w:rsid w:val="00573CCC"/>
    <w:rsid w:val="005810C6"/>
    <w:rsid w:val="00675B22"/>
    <w:rsid w:val="006D5C23"/>
    <w:rsid w:val="006E56BF"/>
    <w:rsid w:val="00720D1D"/>
    <w:rsid w:val="007A4D15"/>
    <w:rsid w:val="007B4489"/>
    <w:rsid w:val="007E3B64"/>
    <w:rsid w:val="00840EB2"/>
    <w:rsid w:val="00853DCA"/>
    <w:rsid w:val="00860CD6"/>
    <w:rsid w:val="00893E48"/>
    <w:rsid w:val="008B7998"/>
    <w:rsid w:val="0095129A"/>
    <w:rsid w:val="00985CD3"/>
    <w:rsid w:val="009A4A60"/>
    <w:rsid w:val="009C3B8E"/>
    <w:rsid w:val="009C7F88"/>
    <w:rsid w:val="009D311F"/>
    <w:rsid w:val="00A45BEC"/>
    <w:rsid w:val="00AB110F"/>
    <w:rsid w:val="00AD5333"/>
    <w:rsid w:val="00AF68AA"/>
    <w:rsid w:val="00B51055"/>
    <w:rsid w:val="00B76998"/>
    <w:rsid w:val="00BB3E35"/>
    <w:rsid w:val="00BD6CCC"/>
    <w:rsid w:val="00C13275"/>
    <w:rsid w:val="00C61642"/>
    <w:rsid w:val="00CA448F"/>
    <w:rsid w:val="00CB1FF6"/>
    <w:rsid w:val="00D1728C"/>
    <w:rsid w:val="00D93A16"/>
    <w:rsid w:val="00DF181A"/>
    <w:rsid w:val="00E04413"/>
    <w:rsid w:val="00E3295F"/>
    <w:rsid w:val="00E86642"/>
    <w:rsid w:val="00EB7809"/>
    <w:rsid w:val="00F569EC"/>
    <w:rsid w:val="00FD330C"/>
    <w:rsid w:val="00FE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ADE2"/>
  <w15:docId w15:val="{354DF290-864D-40AB-BE5C-F9D8B4D3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45BEC"/>
    <w:pPr>
      <w:widowControl w:val="0"/>
      <w:autoSpaceDE w:val="0"/>
      <w:autoSpaceDN w:val="0"/>
      <w:spacing w:before="144" w:after="0" w:line="240" w:lineRule="auto"/>
      <w:ind w:left="10"/>
      <w:jc w:val="center"/>
    </w:pPr>
    <w:rPr>
      <w:rFonts w:ascii="Microsoft Sans Serif" w:eastAsia="Microsoft Sans Serif" w:hAnsi="Microsoft Sans Serif" w:cs="Microsoft Sans Serif"/>
    </w:rPr>
  </w:style>
  <w:style w:type="character" w:styleId="Emphasis">
    <w:name w:val="Emphasis"/>
    <w:basedOn w:val="DefaultParagraphFont"/>
    <w:uiPriority w:val="20"/>
    <w:qFormat/>
    <w:rsid w:val="00C61642"/>
    <w:rPr>
      <w:i/>
      <w:iCs/>
    </w:rPr>
  </w:style>
  <w:style w:type="character" w:styleId="Hyperlink">
    <w:name w:val="Hyperlink"/>
    <w:basedOn w:val="DefaultParagraphFont"/>
    <w:uiPriority w:val="99"/>
    <w:unhideWhenUsed/>
    <w:rsid w:val="00C61642"/>
    <w:rPr>
      <w:color w:val="0563C1" w:themeColor="hyperlink"/>
      <w:u w:val="single"/>
    </w:rPr>
  </w:style>
  <w:style w:type="character" w:customStyle="1" w:styleId="UnresolvedMention1">
    <w:name w:val="Unresolved Mention1"/>
    <w:basedOn w:val="DefaultParagraphFont"/>
    <w:uiPriority w:val="99"/>
    <w:semiHidden/>
    <w:unhideWhenUsed/>
    <w:rsid w:val="00893E48"/>
    <w:rPr>
      <w:color w:val="605E5C"/>
      <w:shd w:val="clear" w:color="auto" w:fill="E1DFDD"/>
    </w:rPr>
  </w:style>
  <w:style w:type="paragraph" w:styleId="Header">
    <w:name w:val="header"/>
    <w:basedOn w:val="Normal"/>
    <w:link w:val="HeaderChar"/>
    <w:uiPriority w:val="99"/>
    <w:unhideWhenUsed/>
    <w:rsid w:val="0056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6B"/>
  </w:style>
  <w:style w:type="paragraph" w:styleId="Footer">
    <w:name w:val="footer"/>
    <w:basedOn w:val="Normal"/>
    <w:link w:val="FooterChar"/>
    <w:uiPriority w:val="99"/>
    <w:unhideWhenUsed/>
    <w:rsid w:val="0056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6B"/>
  </w:style>
  <w:style w:type="character" w:styleId="CommentReference">
    <w:name w:val="annotation reference"/>
    <w:basedOn w:val="DefaultParagraphFont"/>
    <w:uiPriority w:val="99"/>
    <w:semiHidden/>
    <w:unhideWhenUsed/>
    <w:rsid w:val="00675B22"/>
    <w:rPr>
      <w:sz w:val="16"/>
      <w:szCs w:val="16"/>
    </w:rPr>
  </w:style>
  <w:style w:type="paragraph" w:styleId="CommentText">
    <w:name w:val="annotation text"/>
    <w:basedOn w:val="Normal"/>
    <w:link w:val="CommentTextChar"/>
    <w:uiPriority w:val="99"/>
    <w:semiHidden/>
    <w:unhideWhenUsed/>
    <w:rsid w:val="00675B22"/>
    <w:pPr>
      <w:spacing w:line="240" w:lineRule="auto"/>
    </w:pPr>
    <w:rPr>
      <w:sz w:val="20"/>
      <w:szCs w:val="20"/>
    </w:rPr>
  </w:style>
  <w:style w:type="character" w:customStyle="1" w:styleId="CommentTextChar">
    <w:name w:val="Comment Text Char"/>
    <w:basedOn w:val="DefaultParagraphFont"/>
    <w:link w:val="CommentText"/>
    <w:uiPriority w:val="99"/>
    <w:semiHidden/>
    <w:rsid w:val="00675B22"/>
    <w:rPr>
      <w:sz w:val="20"/>
      <w:szCs w:val="20"/>
    </w:rPr>
  </w:style>
  <w:style w:type="paragraph" w:styleId="CommentSubject">
    <w:name w:val="annotation subject"/>
    <w:basedOn w:val="CommentText"/>
    <w:next w:val="CommentText"/>
    <w:link w:val="CommentSubjectChar"/>
    <w:uiPriority w:val="99"/>
    <w:semiHidden/>
    <w:unhideWhenUsed/>
    <w:rsid w:val="00675B22"/>
    <w:rPr>
      <w:b/>
      <w:bCs/>
    </w:rPr>
  </w:style>
  <w:style w:type="character" w:customStyle="1" w:styleId="CommentSubjectChar">
    <w:name w:val="Comment Subject Char"/>
    <w:basedOn w:val="CommentTextChar"/>
    <w:link w:val="CommentSubject"/>
    <w:uiPriority w:val="99"/>
    <w:semiHidden/>
    <w:rsid w:val="00675B22"/>
    <w:rPr>
      <w:b/>
      <w:bCs/>
      <w:sz w:val="20"/>
      <w:szCs w:val="20"/>
    </w:rPr>
  </w:style>
  <w:style w:type="paragraph" w:styleId="BalloonText">
    <w:name w:val="Balloon Text"/>
    <w:basedOn w:val="Normal"/>
    <w:link w:val="BalloonTextChar"/>
    <w:uiPriority w:val="99"/>
    <w:semiHidden/>
    <w:unhideWhenUsed/>
    <w:rsid w:val="00675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22"/>
    <w:rPr>
      <w:rFonts w:ascii="Tahoma" w:hAnsi="Tahoma" w:cs="Tahoma"/>
      <w:sz w:val="16"/>
      <w:szCs w:val="16"/>
    </w:rPr>
  </w:style>
  <w:style w:type="paragraph" w:styleId="NormalWeb">
    <w:name w:val="Normal (Web)"/>
    <w:basedOn w:val="Normal"/>
    <w:uiPriority w:val="99"/>
    <w:semiHidden/>
    <w:unhideWhenUsed/>
    <w:rsid w:val="00675B2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069">
      <w:bodyDiv w:val="1"/>
      <w:marLeft w:val="0"/>
      <w:marRight w:val="0"/>
      <w:marTop w:val="0"/>
      <w:marBottom w:val="0"/>
      <w:divBdr>
        <w:top w:val="none" w:sz="0" w:space="0" w:color="auto"/>
        <w:left w:val="none" w:sz="0" w:space="0" w:color="auto"/>
        <w:bottom w:val="none" w:sz="0" w:space="0" w:color="auto"/>
        <w:right w:val="none" w:sz="0" w:space="0" w:color="auto"/>
      </w:divBdr>
    </w:div>
    <w:div w:id="181360527">
      <w:bodyDiv w:val="1"/>
      <w:marLeft w:val="0"/>
      <w:marRight w:val="0"/>
      <w:marTop w:val="0"/>
      <w:marBottom w:val="0"/>
      <w:divBdr>
        <w:top w:val="none" w:sz="0" w:space="0" w:color="auto"/>
        <w:left w:val="none" w:sz="0" w:space="0" w:color="auto"/>
        <w:bottom w:val="none" w:sz="0" w:space="0" w:color="auto"/>
        <w:right w:val="none" w:sz="0" w:space="0" w:color="auto"/>
      </w:divBdr>
    </w:div>
    <w:div w:id="352077514">
      <w:bodyDiv w:val="1"/>
      <w:marLeft w:val="0"/>
      <w:marRight w:val="0"/>
      <w:marTop w:val="0"/>
      <w:marBottom w:val="0"/>
      <w:divBdr>
        <w:top w:val="none" w:sz="0" w:space="0" w:color="auto"/>
        <w:left w:val="none" w:sz="0" w:space="0" w:color="auto"/>
        <w:bottom w:val="none" w:sz="0" w:space="0" w:color="auto"/>
        <w:right w:val="none" w:sz="0" w:space="0" w:color="auto"/>
      </w:divBdr>
    </w:div>
    <w:div w:id="403571862">
      <w:bodyDiv w:val="1"/>
      <w:marLeft w:val="0"/>
      <w:marRight w:val="0"/>
      <w:marTop w:val="0"/>
      <w:marBottom w:val="0"/>
      <w:divBdr>
        <w:top w:val="none" w:sz="0" w:space="0" w:color="auto"/>
        <w:left w:val="none" w:sz="0" w:space="0" w:color="auto"/>
        <w:bottom w:val="none" w:sz="0" w:space="0" w:color="auto"/>
        <w:right w:val="none" w:sz="0" w:space="0" w:color="auto"/>
      </w:divBdr>
    </w:div>
    <w:div w:id="642850140">
      <w:bodyDiv w:val="1"/>
      <w:marLeft w:val="0"/>
      <w:marRight w:val="0"/>
      <w:marTop w:val="0"/>
      <w:marBottom w:val="0"/>
      <w:divBdr>
        <w:top w:val="none" w:sz="0" w:space="0" w:color="auto"/>
        <w:left w:val="none" w:sz="0" w:space="0" w:color="auto"/>
        <w:bottom w:val="none" w:sz="0" w:space="0" w:color="auto"/>
        <w:right w:val="none" w:sz="0" w:space="0" w:color="auto"/>
      </w:divBdr>
    </w:div>
    <w:div w:id="643387484">
      <w:bodyDiv w:val="1"/>
      <w:marLeft w:val="0"/>
      <w:marRight w:val="0"/>
      <w:marTop w:val="0"/>
      <w:marBottom w:val="0"/>
      <w:divBdr>
        <w:top w:val="none" w:sz="0" w:space="0" w:color="auto"/>
        <w:left w:val="none" w:sz="0" w:space="0" w:color="auto"/>
        <w:bottom w:val="none" w:sz="0" w:space="0" w:color="auto"/>
        <w:right w:val="none" w:sz="0" w:space="0" w:color="auto"/>
      </w:divBdr>
    </w:div>
    <w:div w:id="679620310">
      <w:bodyDiv w:val="1"/>
      <w:marLeft w:val="0"/>
      <w:marRight w:val="0"/>
      <w:marTop w:val="0"/>
      <w:marBottom w:val="0"/>
      <w:divBdr>
        <w:top w:val="none" w:sz="0" w:space="0" w:color="auto"/>
        <w:left w:val="none" w:sz="0" w:space="0" w:color="auto"/>
        <w:bottom w:val="none" w:sz="0" w:space="0" w:color="auto"/>
        <w:right w:val="none" w:sz="0" w:space="0" w:color="auto"/>
      </w:divBdr>
    </w:div>
    <w:div w:id="692995648">
      <w:bodyDiv w:val="1"/>
      <w:marLeft w:val="0"/>
      <w:marRight w:val="0"/>
      <w:marTop w:val="0"/>
      <w:marBottom w:val="0"/>
      <w:divBdr>
        <w:top w:val="none" w:sz="0" w:space="0" w:color="auto"/>
        <w:left w:val="none" w:sz="0" w:space="0" w:color="auto"/>
        <w:bottom w:val="none" w:sz="0" w:space="0" w:color="auto"/>
        <w:right w:val="none" w:sz="0" w:space="0" w:color="auto"/>
      </w:divBdr>
    </w:div>
    <w:div w:id="834808511">
      <w:bodyDiv w:val="1"/>
      <w:marLeft w:val="0"/>
      <w:marRight w:val="0"/>
      <w:marTop w:val="0"/>
      <w:marBottom w:val="0"/>
      <w:divBdr>
        <w:top w:val="none" w:sz="0" w:space="0" w:color="auto"/>
        <w:left w:val="none" w:sz="0" w:space="0" w:color="auto"/>
        <w:bottom w:val="none" w:sz="0" w:space="0" w:color="auto"/>
        <w:right w:val="none" w:sz="0" w:space="0" w:color="auto"/>
      </w:divBdr>
    </w:div>
    <w:div w:id="863590604">
      <w:bodyDiv w:val="1"/>
      <w:marLeft w:val="0"/>
      <w:marRight w:val="0"/>
      <w:marTop w:val="0"/>
      <w:marBottom w:val="0"/>
      <w:divBdr>
        <w:top w:val="none" w:sz="0" w:space="0" w:color="auto"/>
        <w:left w:val="none" w:sz="0" w:space="0" w:color="auto"/>
        <w:bottom w:val="none" w:sz="0" w:space="0" w:color="auto"/>
        <w:right w:val="none" w:sz="0" w:space="0" w:color="auto"/>
      </w:divBdr>
    </w:div>
    <w:div w:id="869882894">
      <w:bodyDiv w:val="1"/>
      <w:marLeft w:val="0"/>
      <w:marRight w:val="0"/>
      <w:marTop w:val="0"/>
      <w:marBottom w:val="0"/>
      <w:divBdr>
        <w:top w:val="none" w:sz="0" w:space="0" w:color="auto"/>
        <w:left w:val="none" w:sz="0" w:space="0" w:color="auto"/>
        <w:bottom w:val="none" w:sz="0" w:space="0" w:color="auto"/>
        <w:right w:val="none" w:sz="0" w:space="0" w:color="auto"/>
      </w:divBdr>
    </w:div>
    <w:div w:id="994528740">
      <w:bodyDiv w:val="1"/>
      <w:marLeft w:val="0"/>
      <w:marRight w:val="0"/>
      <w:marTop w:val="0"/>
      <w:marBottom w:val="0"/>
      <w:divBdr>
        <w:top w:val="none" w:sz="0" w:space="0" w:color="auto"/>
        <w:left w:val="none" w:sz="0" w:space="0" w:color="auto"/>
        <w:bottom w:val="none" w:sz="0" w:space="0" w:color="auto"/>
        <w:right w:val="none" w:sz="0" w:space="0" w:color="auto"/>
      </w:divBdr>
    </w:div>
    <w:div w:id="1145513662">
      <w:bodyDiv w:val="1"/>
      <w:marLeft w:val="0"/>
      <w:marRight w:val="0"/>
      <w:marTop w:val="0"/>
      <w:marBottom w:val="0"/>
      <w:divBdr>
        <w:top w:val="none" w:sz="0" w:space="0" w:color="auto"/>
        <w:left w:val="none" w:sz="0" w:space="0" w:color="auto"/>
        <w:bottom w:val="none" w:sz="0" w:space="0" w:color="auto"/>
        <w:right w:val="none" w:sz="0" w:space="0" w:color="auto"/>
      </w:divBdr>
    </w:div>
    <w:div w:id="1333485345">
      <w:bodyDiv w:val="1"/>
      <w:marLeft w:val="0"/>
      <w:marRight w:val="0"/>
      <w:marTop w:val="0"/>
      <w:marBottom w:val="0"/>
      <w:divBdr>
        <w:top w:val="none" w:sz="0" w:space="0" w:color="auto"/>
        <w:left w:val="none" w:sz="0" w:space="0" w:color="auto"/>
        <w:bottom w:val="none" w:sz="0" w:space="0" w:color="auto"/>
        <w:right w:val="none" w:sz="0" w:space="0" w:color="auto"/>
      </w:divBdr>
    </w:div>
    <w:div w:id="1334265584">
      <w:bodyDiv w:val="1"/>
      <w:marLeft w:val="0"/>
      <w:marRight w:val="0"/>
      <w:marTop w:val="0"/>
      <w:marBottom w:val="0"/>
      <w:divBdr>
        <w:top w:val="none" w:sz="0" w:space="0" w:color="auto"/>
        <w:left w:val="none" w:sz="0" w:space="0" w:color="auto"/>
        <w:bottom w:val="none" w:sz="0" w:space="0" w:color="auto"/>
        <w:right w:val="none" w:sz="0" w:space="0" w:color="auto"/>
      </w:divBdr>
    </w:div>
    <w:div w:id="1385254015">
      <w:bodyDiv w:val="1"/>
      <w:marLeft w:val="0"/>
      <w:marRight w:val="0"/>
      <w:marTop w:val="0"/>
      <w:marBottom w:val="0"/>
      <w:divBdr>
        <w:top w:val="none" w:sz="0" w:space="0" w:color="auto"/>
        <w:left w:val="none" w:sz="0" w:space="0" w:color="auto"/>
        <w:bottom w:val="none" w:sz="0" w:space="0" w:color="auto"/>
        <w:right w:val="none" w:sz="0" w:space="0" w:color="auto"/>
      </w:divBdr>
    </w:div>
    <w:div w:id="1714503905">
      <w:bodyDiv w:val="1"/>
      <w:marLeft w:val="0"/>
      <w:marRight w:val="0"/>
      <w:marTop w:val="0"/>
      <w:marBottom w:val="0"/>
      <w:divBdr>
        <w:top w:val="none" w:sz="0" w:space="0" w:color="auto"/>
        <w:left w:val="none" w:sz="0" w:space="0" w:color="auto"/>
        <w:bottom w:val="none" w:sz="0" w:space="0" w:color="auto"/>
        <w:right w:val="none" w:sz="0" w:space="0" w:color="auto"/>
      </w:divBdr>
    </w:div>
    <w:div w:id="1806311714">
      <w:bodyDiv w:val="1"/>
      <w:marLeft w:val="0"/>
      <w:marRight w:val="0"/>
      <w:marTop w:val="0"/>
      <w:marBottom w:val="0"/>
      <w:divBdr>
        <w:top w:val="none" w:sz="0" w:space="0" w:color="auto"/>
        <w:left w:val="none" w:sz="0" w:space="0" w:color="auto"/>
        <w:bottom w:val="none" w:sz="0" w:space="0" w:color="auto"/>
        <w:right w:val="none" w:sz="0" w:space="0" w:color="auto"/>
      </w:divBdr>
    </w:div>
    <w:div w:id="1842113108">
      <w:bodyDiv w:val="1"/>
      <w:marLeft w:val="0"/>
      <w:marRight w:val="0"/>
      <w:marTop w:val="0"/>
      <w:marBottom w:val="0"/>
      <w:divBdr>
        <w:top w:val="none" w:sz="0" w:space="0" w:color="auto"/>
        <w:left w:val="none" w:sz="0" w:space="0" w:color="auto"/>
        <w:bottom w:val="none" w:sz="0" w:space="0" w:color="auto"/>
        <w:right w:val="none" w:sz="0" w:space="0" w:color="auto"/>
      </w:divBdr>
    </w:div>
    <w:div w:id="1898082214">
      <w:bodyDiv w:val="1"/>
      <w:marLeft w:val="0"/>
      <w:marRight w:val="0"/>
      <w:marTop w:val="0"/>
      <w:marBottom w:val="0"/>
      <w:divBdr>
        <w:top w:val="none" w:sz="0" w:space="0" w:color="auto"/>
        <w:left w:val="none" w:sz="0" w:space="0" w:color="auto"/>
        <w:bottom w:val="none" w:sz="0" w:space="0" w:color="auto"/>
        <w:right w:val="none" w:sz="0" w:space="0" w:color="auto"/>
      </w:divBdr>
    </w:div>
    <w:div w:id="1961454196">
      <w:bodyDiv w:val="1"/>
      <w:marLeft w:val="0"/>
      <w:marRight w:val="0"/>
      <w:marTop w:val="0"/>
      <w:marBottom w:val="0"/>
      <w:divBdr>
        <w:top w:val="none" w:sz="0" w:space="0" w:color="auto"/>
        <w:left w:val="none" w:sz="0" w:space="0" w:color="auto"/>
        <w:bottom w:val="none" w:sz="0" w:space="0" w:color="auto"/>
        <w:right w:val="none" w:sz="0" w:space="0" w:color="auto"/>
      </w:divBdr>
    </w:div>
    <w:div w:id="2014450464">
      <w:bodyDiv w:val="1"/>
      <w:marLeft w:val="0"/>
      <w:marRight w:val="0"/>
      <w:marTop w:val="0"/>
      <w:marBottom w:val="0"/>
      <w:divBdr>
        <w:top w:val="none" w:sz="0" w:space="0" w:color="auto"/>
        <w:left w:val="none" w:sz="0" w:space="0" w:color="auto"/>
        <w:bottom w:val="none" w:sz="0" w:space="0" w:color="auto"/>
        <w:right w:val="none" w:sz="0" w:space="0" w:color="auto"/>
      </w:divBdr>
    </w:div>
    <w:div w:id="2035418295">
      <w:bodyDiv w:val="1"/>
      <w:marLeft w:val="0"/>
      <w:marRight w:val="0"/>
      <w:marTop w:val="0"/>
      <w:marBottom w:val="0"/>
      <w:divBdr>
        <w:top w:val="none" w:sz="0" w:space="0" w:color="auto"/>
        <w:left w:val="none" w:sz="0" w:space="0" w:color="auto"/>
        <w:bottom w:val="none" w:sz="0" w:space="0" w:color="auto"/>
        <w:right w:val="none" w:sz="0" w:space="0" w:color="auto"/>
      </w:divBdr>
    </w:div>
    <w:div w:id="20881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15</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Editor Acc 101</cp:lastModifiedBy>
  <cp:revision>29</cp:revision>
  <dcterms:created xsi:type="dcterms:W3CDTF">2026-03-15T10:18:00Z</dcterms:created>
  <dcterms:modified xsi:type="dcterms:W3CDTF">2026-04-16T06:09:00Z</dcterms:modified>
</cp:coreProperties>
</file>