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C2173" w14:textId="0704128C" w:rsidR="008A61FA" w:rsidRPr="008A61FA" w:rsidRDefault="008A61FA" w:rsidP="008A61FA">
      <w:pPr>
        <w:spacing w:line="360" w:lineRule="auto"/>
        <w:jc w:val="center"/>
        <w:rPr>
          <w:rFonts w:ascii="Times New Roman" w:hAnsi="Times New Roman" w:cs="Times New Roman"/>
          <w:b/>
          <w:sz w:val="24"/>
          <w:szCs w:val="20"/>
          <w:lang w:val="en-GB"/>
        </w:rPr>
      </w:pPr>
      <w:r w:rsidRPr="008A61FA">
        <w:rPr>
          <w:rFonts w:ascii="Times New Roman" w:hAnsi="Times New Roman" w:cs="Times New Roman"/>
          <w:b/>
          <w:sz w:val="24"/>
          <w:szCs w:val="20"/>
          <w:lang w:val="en-GB"/>
        </w:rPr>
        <w:t>Predictors of Quality of Life, Reproductive Health and nutritional status among migratory women workers in sugarcane harvesting: A study from Karnataka, India.</w:t>
      </w:r>
    </w:p>
    <w:p w14:paraId="159A56A9" w14:textId="40D95058" w:rsidR="0062425A" w:rsidRPr="00A158B7" w:rsidRDefault="0062425A" w:rsidP="00A158B7">
      <w:pPr>
        <w:spacing w:line="360" w:lineRule="auto"/>
        <w:jc w:val="both"/>
        <w:rPr>
          <w:rFonts w:ascii="Times New Roman" w:hAnsi="Times New Roman" w:cs="Times New Roman"/>
          <w:b/>
        </w:rPr>
      </w:pPr>
      <w:r w:rsidRPr="00A158B7">
        <w:rPr>
          <w:rFonts w:ascii="Times New Roman" w:hAnsi="Times New Roman" w:cs="Times New Roman"/>
          <w:b/>
        </w:rPr>
        <w:t>Abstract:</w:t>
      </w:r>
    </w:p>
    <w:p w14:paraId="5CFB57D3" w14:textId="77777777" w:rsidR="00414D8E" w:rsidRPr="00A158B7" w:rsidRDefault="00414D8E"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Sugarcane harvesting workers, particularly migratory women, constitute a highly vulnerable population exposed to strenuous physical </w:t>
      </w:r>
      <w:proofErr w:type="spellStart"/>
      <w:r w:rsidRPr="00A158B7">
        <w:rPr>
          <w:rFonts w:ascii="Times New Roman" w:eastAsia="Times New Roman" w:hAnsi="Times New Roman" w:cs="Times New Roman"/>
          <w:sz w:val="24"/>
          <w:szCs w:val="24"/>
        </w:rPr>
        <w:t>labour</w:t>
      </w:r>
      <w:proofErr w:type="spellEnd"/>
      <w:r w:rsidRPr="00A158B7">
        <w:rPr>
          <w:rFonts w:ascii="Times New Roman" w:eastAsia="Times New Roman" w:hAnsi="Times New Roman" w:cs="Times New Roman"/>
          <w:sz w:val="24"/>
          <w:szCs w:val="24"/>
        </w:rPr>
        <w:t xml:space="preserve">, seasonal migration, poor living conditions, and limited access to healthcare services, all of which adversely affect their overall health and well-being. The present study was undertaken to assess the </w:t>
      </w:r>
      <w:r w:rsidRPr="00A158B7">
        <w:rPr>
          <w:rFonts w:ascii="Times New Roman" w:eastAsia="Times New Roman" w:hAnsi="Times New Roman" w:cs="Times New Roman"/>
          <w:bCs/>
          <w:sz w:val="24"/>
          <w:szCs w:val="24"/>
        </w:rPr>
        <w:t>quality of life, reproductive health, and nutritional status</w:t>
      </w:r>
      <w:r w:rsidRPr="00A158B7">
        <w:rPr>
          <w:rFonts w:ascii="Times New Roman" w:eastAsia="Times New Roman" w:hAnsi="Times New Roman" w:cs="Times New Roman"/>
          <w:sz w:val="24"/>
          <w:szCs w:val="24"/>
        </w:rPr>
        <w:t xml:space="preserve"> of migratory women workers engaged in sugarcane harvesting. A total of 220 respondents aged between 20–50 years were selected from Bagalkot and Belagavi districts of Karnataka using a purposive random sampling method. Data were collected through a self-structured questionnaire. Standardized tools were used for assessment, including WHO (1997) scale for quality of life, Hasan (2002) scale for reproductive health, WHO BMI classification for nutritional status, and Aggarwal </w:t>
      </w:r>
      <w:r w:rsidRPr="00A158B7">
        <w:rPr>
          <w:rFonts w:ascii="Times New Roman" w:eastAsia="Times New Roman" w:hAnsi="Times New Roman" w:cs="Times New Roman"/>
          <w:i/>
          <w:sz w:val="24"/>
          <w:szCs w:val="24"/>
        </w:rPr>
        <w:t>et al.</w:t>
      </w:r>
      <w:r w:rsidRPr="00A158B7">
        <w:rPr>
          <w:rFonts w:ascii="Times New Roman" w:eastAsia="Times New Roman" w:hAnsi="Times New Roman" w:cs="Times New Roman"/>
          <w:sz w:val="24"/>
          <w:szCs w:val="24"/>
        </w:rPr>
        <w:t xml:space="preserve"> (2005) scale for socio-economic status.</w:t>
      </w:r>
      <w:r w:rsid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sz w:val="24"/>
          <w:szCs w:val="24"/>
        </w:rPr>
        <w:t xml:space="preserve">The results revealed that the majority (78.20%) of the respondents had </w:t>
      </w:r>
      <w:r w:rsidRPr="00A158B7">
        <w:rPr>
          <w:rFonts w:ascii="Times New Roman" w:eastAsia="Times New Roman" w:hAnsi="Times New Roman" w:cs="Times New Roman"/>
          <w:bCs/>
          <w:sz w:val="24"/>
          <w:szCs w:val="24"/>
        </w:rPr>
        <w:t>moderate quality of life</w:t>
      </w:r>
      <w:r w:rsidRPr="00A158B7">
        <w:rPr>
          <w:rFonts w:ascii="Times New Roman" w:eastAsia="Times New Roman" w:hAnsi="Times New Roman" w:cs="Times New Roman"/>
          <w:sz w:val="24"/>
          <w:szCs w:val="24"/>
        </w:rPr>
        <w:t xml:space="preserve">, while 21.40 per cent had poor quality of life and only one respondent reported good quality of life. With regard to reproductive health, more than half (60.50%) of the respondents had </w:t>
      </w:r>
      <w:r w:rsidRPr="00A158B7">
        <w:rPr>
          <w:rFonts w:ascii="Times New Roman" w:eastAsia="Times New Roman" w:hAnsi="Times New Roman" w:cs="Times New Roman"/>
          <w:bCs/>
          <w:sz w:val="24"/>
          <w:szCs w:val="24"/>
        </w:rPr>
        <w:t>poor reproductive health</w:t>
      </w:r>
      <w:r w:rsidRPr="00A158B7">
        <w:rPr>
          <w:rFonts w:ascii="Times New Roman" w:eastAsia="Times New Roman" w:hAnsi="Times New Roman" w:cs="Times New Roman"/>
          <w:sz w:val="24"/>
          <w:szCs w:val="24"/>
        </w:rPr>
        <w:t xml:space="preserve">, whereas 39.50 per cent had average reproductive health and none had high reproductive health status. In terms of nutritional status, nearly half (46.80%) of the respondents were </w:t>
      </w:r>
      <w:r w:rsidRPr="00A158B7">
        <w:rPr>
          <w:rFonts w:ascii="Times New Roman" w:eastAsia="Times New Roman" w:hAnsi="Times New Roman" w:cs="Times New Roman"/>
          <w:bCs/>
          <w:sz w:val="24"/>
          <w:szCs w:val="24"/>
        </w:rPr>
        <w:t>underweight</w:t>
      </w:r>
      <w:r w:rsidRPr="00A158B7">
        <w:rPr>
          <w:rFonts w:ascii="Times New Roman" w:eastAsia="Times New Roman" w:hAnsi="Times New Roman" w:cs="Times New Roman"/>
          <w:sz w:val="24"/>
          <w:szCs w:val="24"/>
        </w:rPr>
        <w:t xml:space="preserve">, 50.00 per cent had normal weight, and only 3.20 per cent were overweight, indicating the prevalence of undernutrition among the study population. </w:t>
      </w:r>
      <w:r w:rsidR="00A158B7">
        <w:rPr>
          <w:rFonts w:ascii="Times New Roman" w:eastAsia="Times New Roman" w:hAnsi="Times New Roman" w:cs="Times New Roman"/>
          <w:sz w:val="24"/>
          <w:szCs w:val="24"/>
        </w:rPr>
        <w:t>F</w:t>
      </w:r>
      <w:r w:rsidR="00A158B7" w:rsidRPr="00A158B7">
        <w:rPr>
          <w:rFonts w:ascii="Times New Roman" w:eastAsia="Times New Roman" w:hAnsi="Times New Roman" w:cs="Times New Roman"/>
          <w:sz w:val="24"/>
          <w:szCs w:val="24"/>
        </w:rPr>
        <w:t xml:space="preserve">urther </w:t>
      </w:r>
      <w:r w:rsidR="00A158B7">
        <w:rPr>
          <w:rFonts w:ascii="Times New Roman" w:eastAsia="Times New Roman" w:hAnsi="Times New Roman" w:cs="Times New Roman"/>
          <w:sz w:val="24"/>
          <w:szCs w:val="24"/>
        </w:rPr>
        <w:t>r</w:t>
      </w:r>
      <w:r w:rsidRPr="00A158B7">
        <w:rPr>
          <w:rFonts w:ascii="Times New Roman" w:eastAsia="Times New Roman" w:hAnsi="Times New Roman" w:cs="Times New Roman"/>
          <w:sz w:val="24"/>
          <w:szCs w:val="24"/>
        </w:rPr>
        <w:t>egression analysis showed that individual, familial, and maternal health characteristics significantly influenced quality of life, reproductive health, and nutritional status, explaining up to 22 per cent, 37 per cent, and 22 per cent of variation, respectively.</w:t>
      </w:r>
    </w:p>
    <w:p w14:paraId="11EDE94E" w14:textId="0C4D51B6" w:rsidR="0062425A" w:rsidRPr="00134FDA" w:rsidRDefault="0062425A" w:rsidP="00134FDA">
      <w:pPr>
        <w:spacing w:line="360" w:lineRule="auto"/>
        <w:jc w:val="both"/>
        <w:rPr>
          <w:rFonts w:ascii="Times New Roman" w:hAnsi="Times New Roman" w:cs="Times New Roman"/>
        </w:rPr>
      </w:pPr>
      <w:r w:rsidRPr="00134FDA">
        <w:rPr>
          <w:rFonts w:ascii="Times New Roman" w:hAnsi="Times New Roman" w:cs="Times New Roman"/>
          <w:b/>
        </w:rPr>
        <w:t>Key words:</w:t>
      </w:r>
      <w:r w:rsidR="00030F8D" w:rsidRPr="00134FDA">
        <w:rPr>
          <w:rFonts w:ascii="Times New Roman" w:hAnsi="Times New Roman" w:cs="Times New Roman"/>
        </w:rPr>
        <w:t xml:space="preserve"> Migratory women workers, Sugarcane harvesting, Quality of life, Reproductive health, Nutritional status</w:t>
      </w:r>
      <w:r w:rsidR="008A61FA" w:rsidRPr="00134FDA">
        <w:rPr>
          <w:rFonts w:ascii="Times New Roman" w:hAnsi="Times New Roman" w:cs="Times New Roman"/>
        </w:rPr>
        <w:t>,</w:t>
      </w:r>
      <w:r w:rsidR="008A61FA" w:rsidRPr="00134FDA">
        <w:rPr>
          <w:sz w:val="20"/>
          <w:szCs w:val="20"/>
          <w:lang w:val="en-GB"/>
        </w:rPr>
        <w:t xml:space="preserve"> </w:t>
      </w:r>
      <w:r w:rsidR="008A61FA" w:rsidRPr="00134FDA">
        <w:rPr>
          <w:rFonts w:ascii="Times New Roman" w:hAnsi="Times New Roman" w:cs="Times New Roman"/>
        </w:rPr>
        <w:t>occupational Health, seasonal migrations, Karnataka.</w:t>
      </w:r>
    </w:p>
    <w:p w14:paraId="22821A1D" w14:textId="0D4478CE" w:rsidR="00A158B7" w:rsidRPr="00A158B7" w:rsidRDefault="0062425A" w:rsidP="00A158B7">
      <w:pPr>
        <w:pStyle w:val="NormalWeb"/>
        <w:spacing w:line="360" w:lineRule="auto"/>
        <w:jc w:val="both"/>
        <w:rPr>
          <w:b/>
        </w:rPr>
      </w:pPr>
      <w:r w:rsidRPr="00A158B7">
        <w:rPr>
          <w:b/>
        </w:rPr>
        <w:t>Introduction:</w:t>
      </w:r>
      <w:r w:rsidR="00030F8D" w:rsidRPr="00A158B7">
        <w:rPr>
          <w:b/>
        </w:rPr>
        <w:t xml:space="preserve"> </w:t>
      </w:r>
    </w:p>
    <w:p w14:paraId="7616F502" w14:textId="77777777" w:rsidR="009E72F5" w:rsidRPr="009E72F5" w:rsidRDefault="009E72F5" w:rsidP="00134FDA">
      <w:pPr>
        <w:spacing w:before="100" w:beforeAutospacing="1" w:after="100" w:afterAutospacing="1" w:line="360" w:lineRule="auto"/>
        <w:ind w:firstLine="720"/>
        <w:jc w:val="both"/>
        <w:rPr>
          <w:rFonts w:ascii="Times New Roman" w:eastAsia="Times New Roman" w:hAnsi="Times New Roman" w:cs="Times New Roman"/>
          <w:sz w:val="24"/>
          <w:szCs w:val="24"/>
        </w:rPr>
      </w:pPr>
      <w:r w:rsidRPr="009E72F5">
        <w:rPr>
          <w:rFonts w:ascii="Times New Roman" w:eastAsia="Times New Roman" w:hAnsi="Times New Roman" w:cs="Times New Roman"/>
          <w:sz w:val="24"/>
          <w:szCs w:val="24"/>
        </w:rPr>
        <w:t xml:space="preserve">Migratory women workers engaged in sugarcane harvesting constitute a significant segment of the informal agricultural </w:t>
      </w:r>
      <w:proofErr w:type="spellStart"/>
      <w:r w:rsidRPr="009E72F5">
        <w:rPr>
          <w:rFonts w:ascii="Times New Roman" w:eastAsia="Times New Roman" w:hAnsi="Times New Roman" w:cs="Times New Roman"/>
          <w:sz w:val="24"/>
          <w:szCs w:val="24"/>
        </w:rPr>
        <w:t>labour</w:t>
      </w:r>
      <w:proofErr w:type="spellEnd"/>
      <w:r w:rsidRPr="009E72F5">
        <w:rPr>
          <w:rFonts w:ascii="Times New Roman" w:eastAsia="Times New Roman" w:hAnsi="Times New Roman" w:cs="Times New Roman"/>
          <w:sz w:val="24"/>
          <w:szCs w:val="24"/>
        </w:rPr>
        <w:t xml:space="preserve"> force in India. Every year, a large number of women </w:t>
      </w:r>
      <w:r w:rsidRPr="009E72F5">
        <w:rPr>
          <w:rFonts w:ascii="Times New Roman" w:eastAsia="Times New Roman" w:hAnsi="Times New Roman" w:cs="Times New Roman"/>
          <w:sz w:val="24"/>
          <w:szCs w:val="24"/>
        </w:rPr>
        <w:lastRenderedPageBreak/>
        <w:t xml:space="preserve">migrate seasonally from economically weaker regions to work in sugarcane fields under challenging and often exploitative conditions. These women are exposed to strenuous physical </w:t>
      </w:r>
      <w:proofErr w:type="spellStart"/>
      <w:r w:rsidRPr="009E72F5">
        <w:rPr>
          <w:rFonts w:ascii="Times New Roman" w:eastAsia="Times New Roman" w:hAnsi="Times New Roman" w:cs="Times New Roman"/>
          <w:sz w:val="24"/>
          <w:szCs w:val="24"/>
        </w:rPr>
        <w:t>labour</w:t>
      </w:r>
      <w:proofErr w:type="spellEnd"/>
      <w:r w:rsidRPr="009E72F5">
        <w:rPr>
          <w:rFonts w:ascii="Times New Roman" w:eastAsia="Times New Roman" w:hAnsi="Times New Roman" w:cs="Times New Roman"/>
          <w:sz w:val="24"/>
          <w:szCs w:val="24"/>
        </w:rPr>
        <w:t>, long working hours, inadequate housing, poor sanitation, and limited access to healthcare services, which collectively affect their overall well-being. Despite their crucial contribution to the agricultural economy, their health and living conditions remain largely neglected (</w:t>
      </w:r>
      <w:proofErr w:type="spellStart"/>
      <w:r w:rsidRPr="009E72F5">
        <w:rPr>
          <w:rFonts w:ascii="Times New Roman" w:eastAsia="Times New Roman" w:hAnsi="Times New Roman" w:cs="Times New Roman"/>
          <w:sz w:val="24"/>
          <w:szCs w:val="24"/>
        </w:rPr>
        <w:t>Deshingkar</w:t>
      </w:r>
      <w:proofErr w:type="spellEnd"/>
      <w:r w:rsidRPr="009E72F5">
        <w:rPr>
          <w:rFonts w:ascii="Times New Roman" w:eastAsia="Times New Roman" w:hAnsi="Times New Roman" w:cs="Times New Roman"/>
          <w:sz w:val="24"/>
          <w:szCs w:val="24"/>
        </w:rPr>
        <w:t xml:space="preserve"> and </w:t>
      </w:r>
      <w:proofErr w:type="spellStart"/>
      <w:r w:rsidRPr="009E72F5">
        <w:rPr>
          <w:rFonts w:ascii="Times New Roman" w:eastAsia="Times New Roman" w:hAnsi="Times New Roman" w:cs="Times New Roman"/>
          <w:sz w:val="24"/>
          <w:szCs w:val="24"/>
        </w:rPr>
        <w:t>Akter</w:t>
      </w:r>
      <w:proofErr w:type="spellEnd"/>
      <w:r w:rsidRPr="009E72F5">
        <w:rPr>
          <w:rFonts w:ascii="Times New Roman" w:eastAsia="Times New Roman" w:hAnsi="Times New Roman" w:cs="Times New Roman"/>
          <w:sz w:val="24"/>
          <w:szCs w:val="24"/>
        </w:rPr>
        <w:t>, 2009; Srivastava, 2020).</w:t>
      </w:r>
    </w:p>
    <w:p w14:paraId="69C24383" w14:textId="5220B989" w:rsidR="009E72F5" w:rsidRPr="009E72F5" w:rsidRDefault="009E72F5" w:rsidP="00134FDA">
      <w:pPr>
        <w:spacing w:before="100" w:beforeAutospacing="1" w:after="100" w:afterAutospacing="1" w:line="360" w:lineRule="auto"/>
        <w:ind w:firstLine="720"/>
        <w:jc w:val="both"/>
        <w:rPr>
          <w:rFonts w:ascii="Times New Roman" w:eastAsia="Times New Roman" w:hAnsi="Times New Roman" w:cs="Times New Roman"/>
          <w:sz w:val="24"/>
          <w:szCs w:val="24"/>
        </w:rPr>
      </w:pPr>
      <w:r w:rsidRPr="009E72F5">
        <w:rPr>
          <w:rFonts w:ascii="Times New Roman" w:eastAsia="Times New Roman" w:hAnsi="Times New Roman" w:cs="Times New Roman"/>
          <w:sz w:val="24"/>
          <w:szCs w:val="24"/>
        </w:rPr>
        <w:t>The quality of life, reproductive health, and nutritional status of these women are influenced by a complex interplay of multiple factors. Individual characteristics such as age, education, food habits, and duration of migration play an important role in shaping their health outcomes</w:t>
      </w:r>
      <w:r w:rsidR="00060608">
        <w:rPr>
          <w:rFonts w:ascii="Times New Roman" w:eastAsia="Times New Roman" w:hAnsi="Times New Roman" w:cs="Times New Roman"/>
          <w:sz w:val="24"/>
          <w:szCs w:val="24"/>
        </w:rPr>
        <w:t xml:space="preserve"> (</w:t>
      </w:r>
      <w:proofErr w:type="spellStart"/>
      <w:r w:rsidR="00060608">
        <w:rPr>
          <w:rFonts w:ascii="Arial" w:hAnsi="Arial" w:cs="Arial"/>
          <w:color w:val="222222"/>
          <w:sz w:val="20"/>
          <w:szCs w:val="20"/>
          <w:shd w:val="clear" w:color="auto" w:fill="FFFFFF"/>
        </w:rPr>
        <w:t>Aryal</w:t>
      </w:r>
      <w:proofErr w:type="spellEnd"/>
      <w:r w:rsidR="00060608">
        <w:rPr>
          <w:rFonts w:ascii="Arial" w:hAnsi="Arial" w:cs="Arial"/>
          <w:color w:val="222222"/>
          <w:sz w:val="20"/>
          <w:szCs w:val="20"/>
          <w:shd w:val="clear" w:color="auto" w:fill="FFFFFF"/>
        </w:rPr>
        <w:t xml:space="preserve"> et al., 2019</w:t>
      </w:r>
      <w:r w:rsidR="00060608">
        <w:rPr>
          <w:rFonts w:ascii="Times New Roman" w:eastAsia="Times New Roman" w:hAnsi="Times New Roman" w:cs="Times New Roman"/>
          <w:sz w:val="24"/>
          <w:szCs w:val="24"/>
        </w:rPr>
        <w:t>)</w:t>
      </w:r>
      <w:r w:rsidRPr="009E72F5">
        <w:rPr>
          <w:rFonts w:ascii="Times New Roman" w:eastAsia="Times New Roman" w:hAnsi="Times New Roman" w:cs="Times New Roman"/>
          <w:sz w:val="24"/>
          <w:szCs w:val="24"/>
        </w:rPr>
        <w:t>. In addition, familial factors including family size, type of family, number of children, and socio-economic status further determine their access to resources and healthcare</w:t>
      </w:r>
      <w:r w:rsidR="00060608">
        <w:rPr>
          <w:rFonts w:ascii="Times New Roman" w:eastAsia="Times New Roman" w:hAnsi="Times New Roman" w:cs="Times New Roman"/>
          <w:sz w:val="24"/>
          <w:szCs w:val="24"/>
        </w:rPr>
        <w:t xml:space="preserve"> (</w:t>
      </w:r>
      <w:r w:rsidR="00060608">
        <w:rPr>
          <w:rFonts w:ascii="Arial" w:hAnsi="Arial" w:cs="Arial"/>
          <w:color w:val="222222"/>
          <w:sz w:val="20"/>
          <w:szCs w:val="20"/>
          <w:shd w:val="clear" w:color="auto" w:fill="FFFFFF"/>
        </w:rPr>
        <w:t>Li</w:t>
      </w:r>
      <w:r w:rsidR="00060608">
        <w:rPr>
          <w:rFonts w:ascii="Arial" w:hAnsi="Arial" w:cs="Arial"/>
          <w:color w:val="222222"/>
          <w:sz w:val="20"/>
          <w:szCs w:val="20"/>
          <w:shd w:val="clear" w:color="auto" w:fill="FFFFFF"/>
        </w:rPr>
        <w:t xml:space="preserve"> et al., 2019</w:t>
      </w:r>
      <w:r w:rsidR="00060608">
        <w:rPr>
          <w:rFonts w:ascii="Times New Roman" w:eastAsia="Times New Roman" w:hAnsi="Times New Roman" w:cs="Times New Roman"/>
          <w:sz w:val="24"/>
          <w:szCs w:val="24"/>
        </w:rPr>
        <w:t>)</w:t>
      </w:r>
      <w:r w:rsidRPr="009E72F5">
        <w:rPr>
          <w:rFonts w:ascii="Times New Roman" w:eastAsia="Times New Roman" w:hAnsi="Times New Roman" w:cs="Times New Roman"/>
          <w:sz w:val="24"/>
          <w:szCs w:val="24"/>
        </w:rPr>
        <w:t>. Maternal health factors such as age at marriage, age at first pregnancy, spacing between children, and breastfeeding practices also have a significant impact, particularly on reproductive health and nutritional status (International Institute for Population Sciences [IIPS] &amp; ICF, 2021). Understanding the predicting factors of health outcomes among migratory women workers is essential for developing targeted interventions and policies. Identifying these determinants helps in addressing the root causes of poor health, improving living and working conditions, and promoting overall well-being</w:t>
      </w:r>
      <w:r w:rsidR="00060608">
        <w:rPr>
          <w:rFonts w:ascii="Times New Roman" w:eastAsia="Times New Roman" w:hAnsi="Times New Roman" w:cs="Times New Roman"/>
          <w:sz w:val="24"/>
          <w:szCs w:val="24"/>
        </w:rPr>
        <w:t xml:space="preserve"> (</w:t>
      </w:r>
      <w:r w:rsidR="00060608">
        <w:rPr>
          <w:rFonts w:ascii="Arial" w:hAnsi="Arial" w:cs="Arial"/>
          <w:color w:val="222222"/>
          <w:sz w:val="20"/>
          <w:szCs w:val="20"/>
          <w:shd w:val="clear" w:color="auto" w:fill="FFFFFF"/>
        </w:rPr>
        <w:t>Lu</w:t>
      </w:r>
      <w:r w:rsidR="00060608">
        <w:rPr>
          <w:rFonts w:ascii="Arial" w:hAnsi="Arial" w:cs="Arial"/>
          <w:color w:val="222222"/>
          <w:sz w:val="20"/>
          <w:szCs w:val="20"/>
          <w:shd w:val="clear" w:color="auto" w:fill="FFFFFF"/>
        </w:rPr>
        <w:t xml:space="preserve"> et al., 2022</w:t>
      </w:r>
      <w:r w:rsidR="00060608">
        <w:rPr>
          <w:rFonts w:ascii="Times New Roman" w:eastAsia="Times New Roman" w:hAnsi="Times New Roman" w:cs="Times New Roman"/>
          <w:sz w:val="24"/>
          <w:szCs w:val="24"/>
        </w:rPr>
        <w:t>)</w:t>
      </w:r>
      <w:r w:rsidRPr="009E72F5">
        <w:rPr>
          <w:rFonts w:ascii="Times New Roman" w:eastAsia="Times New Roman" w:hAnsi="Times New Roman" w:cs="Times New Roman"/>
          <w:sz w:val="24"/>
          <w:szCs w:val="24"/>
        </w:rPr>
        <w:t>. Therefore, the present study focuses on analyzing the key predictors influencing the quality of life, reproductive health, and nutritional status of migratory women workers in sugarcane harvesting</w:t>
      </w:r>
      <w:r w:rsidR="00060608">
        <w:rPr>
          <w:rFonts w:ascii="Times New Roman" w:eastAsia="Times New Roman" w:hAnsi="Times New Roman" w:cs="Times New Roman"/>
          <w:sz w:val="24"/>
          <w:szCs w:val="24"/>
        </w:rPr>
        <w:t xml:space="preserve"> (</w:t>
      </w:r>
      <w:r w:rsidR="00060608">
        <w:rPr>
          <w:rFonts w:ascii="Arial" w:hAnsi="Arial" w:cs="Arial"/>
          <w:color w:val="222222"/>
          <w:sz w:val="20"/>
          <w:szCs w:val="20"/>
          <w:shd w:val="clear" w:color="auto" w:fill="FFFFFF"/>
        </w:rPr>
        <w:t>Jaleel &amp; Chattopadhyay, 2022</w:t>
      </w:r>
      <w:r w:rsidR="00060608">
        <w:rPr>
          <w:rFonts w:ascii="Times New Roman" w:eastAsia="Times New Roman" w:hAnsi="Times New Roman" w:cs="Times New Roman"/>
          <w:sz w:val="24"/>
          <w:szCs w:val="24"/>
        </w:rPr>
        <w:t>)</w:t>
      </w:r>
      <w:r w:rsidRPr="009E72F5">
        <w:rPr>
          <w:rFonts w:ascii="Times New Roman" w:eastAsia="Times New Roman" w:hAnsi="Times New Roman" w:cs="Times New Roman"/>
          <w:sz w:val="24"/>
          <w:szCs w:val="24"/>
        </w:rPr>
        <w:t>.</w:t>
      </w:r>
    </w:p>
    <w:p w14:paraId="5CA4E71C" w14:textId="3B0E36F9" w:rsidR="009E72F5" w:rsidRPr="009E72F5" w:rsidRDefault="009E72F5" w:rsidP="00134FDA">
      <w:pPr>
        <w:spacing w:before="100" w:beforeAutospacing="1" w:after="100" w:afterAutospacing="1" w:line="360" w:lineRule="auto"/>
        <w:ind w:firstLine="720"/>
        <w:jc w:val="both"/>
        <w:rPr>
          <w:rFonts w:ascii="Times New Roman" w:eastAsia="Times New Roman" w:hAnsi="Times New Roman" w:cs="Times New Roman"/>
          <w:sz w:val="24"/>
          <w:szCs w:val="24"/>
        </w:rPr>
      </w:pPr>
      <w:r w:rsidRPr="009E72F5">
        <w:rPr>
          <w:rFonts w:ascii="Times New Roman" w:eastAsia="Times New Roman" w:hAnsi="Times New Roman" w:cs="Times New Roman"/>
          <w:sz w:val="24"/>
          <w:szCs w:val="24"/>
        </w:rPr>
        <w:t xml:space="preserve">The focus of this manuscript on migratory women workers in sugarcane harvesting in Karnataka, India, who suffer extreme vulnerabilities in the course of their </w:t>
      </w:r>
      <w:proofErr w:type="spellStart"/>
      <w:r w:rsidRPr="009E72F5">
        <w:rPr>
          <w:rFonts w:ascii="Times New Roman" w:eastAsia="Times New Roman" w:hAnsi="Times New Roman" w:cs="Times New Roman"/>
          <w:sz w:val="24"/>
          <w:szCs w:val="24"/>
        </w:rPr>
        <w:t>labour</w:t>
      </w:r>
      <w:proofErr w:type="spellEnd"/>
      <w:r w:rsidRPr="009E72F5">
        <w:rPr>
          <w:rFonts w:ascii="Times New Roman" w:eastAsia="Times New Roman" w:hAnsi="Times New Roman" w:cs="Times New Roman"/>
          <w:sz w:val="24"/>
          <w:szCs w:val="24"/>
        </w:rPr>
        <w:t>, makes it of significant importance. The multidimensi</w:t>
      </w:r>
      <w:r w:rsidR="00134FDA">
        <w:rPr>
          <w:rFonts w:ascii="Times New Roman" w:eastAsia="Times New Roman" w:hAnsi="Times New Roman" w:cs="Times New Roman"/>
          <w:sz w:val="24"/>
          <w:szCs w:val="24"/>
        </w:rPr>
        <w:t>onal focus of the investigation-</w:t>
      </w:r>
      <w:r w:rsidRPr="009E72F5">
        <w:rPr>
          <w:rFonts w:ascii="Times New Roman" w:eastAsia="Times New Roman" w:hAnsi="Times New Roman" w:cs="Times New Roman"/>
          <w:sz w:val="24"/>
          <w:szCs w:val="24"/>
        </w:rPr>
        <w:t>reproductive health, quality of life, and nutritional status—constitutes a significant contribution to the literature. The manuscript deals with a significant and under-studied group of population, migrant women workers who harvest sugarcane, who are prone to various socio-economic and health risks</w:t>
      </w:r>
      <w:r w:rsidR="00060608">
        <w:rPr>
          <w:rFonts w:ascii="Times New Roman" w:eastAsia="Times New Roman" w:hAnsi="Times New Roman" w:cs="Times New Roman"/>
          <w:sz w:val="24"/>
          <w:szCs w:val="24"/>
        </w:rPr>
        <w:t xml:space="preserve"> (</w:t>
      </w:r>
      <w:r w:rsidR="00060608">
        <w:rPr>
          <w:rFonts w:ascii="Arial" w:hAnsi="Arial" w:cs="Arial"/>
          <w:color w:val="222222"/>
          <w:sz w:val="20"/>
          <w:szCs w:val="20"/>
          <w:shd w:val="clear" w:color="auto" w:fill="FFFFFF"/>
        </w:rPr>
        <w:t>Zhu</w:t>
      </w:r>
      <w:r w:rsidR="00060608">
        <w:rPr>
          <w:rFonts w:ascii="Arial" w:hAnsi="Arial" w:cs="Arial"/>
          <w:color w:val="222222"/>
          <w:sz w:val="20"/>
          <w:szCs w:val="20"/>
          <w:shd w:val="clear" w:color="auto" w:fill="FFFFFF"/>
        </w:rPr>
        <w:t xml:space="preserve"> et al., 2013</w:t>
      </w:r>
      <w:r w:rsidR="00060608">
        <w:rPr>
          <w:rFonts w:ascii="Times New Roman" w:eastAsia="Times New Roman" w:hAnsi="Times New Roman" w:cs="Times New Roman"/>
          <w:sz w:val="24"/>
          <w:szCs w:val="24"/>
        </w:rPr>
        <w:t>)</w:t>
      </w:r>
      <w:r w:rsidRPr="009E72F5">
        <w:rPr>
          <w:rFonts w:ascii="Times New Roman" w:eastAsia="Times New Roman" w:hAnsi="Times New Roman" w:cs="Times New Roman"/>
          <w:sz w:val="24"/>
          <w:szCs w:val="24"/>
        </w:rPr>
        <w:t>. The work can be relevant to the scientific community because it evaluates the quality of life, reproductive health, and nutritional status in parallel with the help of a predictor-based analytical framework. The study has practical implications on how to implement specific health and nutrition programs among seasonal migrant agricultural workers.</w:t>
      </w:r>
    </w:p>
    <w:p w14:paraId="70891742" w14:textId="77777777" w:rsidR="0062425A" w:rsidRPr="00A158B7" w:rsidRDefault="0062425A" w:rsidP="00A158B7">
      <w:pPr>
        <w:pStyle w:val="ListParagraph"/>
        <w:spacing w:line="360" w:lineRule="auto"/>
        <w:jc w:val="both"/>
        <w:rPr>
          <w:rFonts w:ascii="Times New Roman" w:hAnsi="Times New Roman" w:cs="Times New Roman"/>
        </w:rPr>
      </w:pPr>
    </w:p>
    <w:p w14:paraId="564E459F" w14:textId="77777777" w:rsidR="0062425A" w:rsidRPr="00A158B7" w:rsidRDefault="0062425A" w:rsidP="00A158B7">
      <w:pPr>
        <w:spacing w:line="360" w:lineRule="auto"/>
        <w:jc w:val="both"/>
        <w:rPr>
          <w:rFonts w:ascii="Times New Roman" w:hAnsi="Times New Roman" w:cs="Times New Roman"/>
          <w:b/>
        </w:rPr>
      </w:pPr>
      <w:r w:rsidRPr="00A158B7">
        <w:rPr>
          <w:rFonts w:ascii="Times New Roman" w:hAnsi="Times New Roman" w:cs="Times New Roman"/>
          <w:b/>
        </w:rPr>
        <w:t>Methodology:</w:t>
      </w:r>
    </w:p>
    <w:p w14:paraId="13D1CE57" w14:textId="77777777" w:rsidR="0062425A" w:rsidRPr="00A158B7" w:rsidRDefault="0062425A"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t xml:space="preserve">The </w:t>
      </w:r>
      <w:r w:rsidRPr="00A158B7">
        <w:rPr>
          <w:rFonts w:ascii="Times New Roman" w:hAnsi="Times New Roman" w:cs="Times New Roman"/>
          <w:bCs/>
          <w:sz w:val="24"/>
          <w:szCs w:val="24"/>
        </w:rPr>
        <w:t>population</w:t>
      </w:r>
      <w:r w:rsidRPr="00A158B7">
        <w:rPr>
          <w:rFonts w:ascii="Times New Roman" w:hAnsi="Times New Roman" w:cs="Times New Roman"/>
          <w:sz w:val="24"/>
          <w:szCs w:val="24"/>
        </w:rPr>
        <w:t xml:space="preserve"> for the study consisted of </w:t>
      </w:r>
      <w:r w:rsidRPr="00A158B7">
        <w:rPr>
          <w:rFonts w:ascii="Times New Roman" w:hAnsi="Times New Roman" w:cs="Times New Roman"/>
          <w:bCs/>
          <w:sz w:val="24"/>
          <w:szCs w:val="24"/>
        </w:rPr>
        <w:t>migratory women workers engaged in sugarcane harvesting</w:t>
      </w:r>
      <w:r w:rsidRPr="00A158B7">
        <w:rPr>
          <w:rFonts w:ascii="Times New Roman" w:hAnsi="Times New Roman" w:cs="Times New Roman"/>
          <w:sz w:val="24"/>
          <w:szCs w:val="24"/>
        </w:rPr>
        <w:t xml:space="preserve"> in the </w:t>
      </w:r>
      <w:r w:rsidRPr="00A158B7">
        <w:rPr>
          <w:rFonts w:ascii="Times New Roman" w:hAnsi="Times New Roman" w:cs="Times New Roman"/>
          <w:bCs/>
          <w:sz w:val="24"/>
          <w:szCs w:val="24"/>
        </w:rPr>
        <w:t>Belagavi and Bagalkot districts of Karnataka State</w:t>
      </w:r>
      <w:r w:rsidRPr="00A158B7">
        <w:rPr>
          <w:rFonts w:ascii="Times New Roman" w:hAnsi="Times New Roman" w:cs="Times New Roman"/>
          <w:sz w:val="24"/>
          <w:szCs w:val="24"/>
        </w:rPr>
        <w:t>. These districts were purposively selected as they represent major sugarcane-producing regions that attract large numbers of seasonal migrant laborers from different parts of the state and neighboring regions. The target population included women who migrated temporarily with their families to work in sugarcane fields during the harvesting season.</w:t>
      </w:r>
    </w:p>
    <w:p w14:paraId="72E59075" w14:textId="77777777" w:rsidR="0062425A" w:rsidRPr="00A158B7" w:rsidRDefault="0062425A"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t xml:space="preserve">For the purpose of this study, </w:t>
      </w:r>
      <w:r w:rsidRPr="00A158B7">
        <w:rPr>
          <w:rFonts w:ascii="Times New Roman" w:hAnsi="Times New Roman" w:cs="Times New Roman"/>
          <w:bCs/>
          <w:sz w:val="24"/>
          <w:szCs w:val="24"/>
        </w:rPr>
        <w:t>purposive sampling</w:t>
      </w:r>
      <w:r w:rsidRPr="00A158B7">
        <w:rPr>
          <w:rFonts w:ascii="Times New Roman" w:hAnsi="Times New Roman" w:cs="Times New Roman"/>
          <w:sz w:val="24"/>
          <w:szCs w:val="24"/>
        </w:rPr>
        <w:t xml:space="preserve"> method was employed to select the respondents. This method was chosen because it allowed the researcher to intentionally select participants who met specific criteria relevant to the study objectives. </w:t>
      </w:r>
    </w:p>
    <w:p w14:paraId="6BE3C2D3" w14:textId="77777777" w:rsidR="0062425A" w:rsidRPr="00A158B7" w:rsidRDefault="0062425A" w:rsidP="00A158B7">
      <w:pPr>
        <w:pStyle w:val="ListParagraph"/>
        <w:spacing w:line="360" w:lineRule="auto"/>
        <w:jc w:val="both"/>
        <w:rPr>
          <w:rFonts w:ascii="Times New Roman" w:hAnsi="Times New Roman" w:cs="Times New Roman"/>
        </w:rPr>
      </w:pPr>
    </w:p>
    <w:p w14:paraId="1BB60F44" w14:textId="77777777" w:rsidR="0062425A" w:rsidRPr="00A158B7" w:rsidRDefault="0062425A" w:rsidP="00A158B7">
      <w:pPr>
        <w:spacing w:before="120" w:after="120" w:line="360" w:lineRule="auto"/>
        <w:jc w:val="both"/>
        <w:rPr>
          <w:rFonts w:ascii="Times New Roman" w:hAnsi="Times New Roman" w:cs="Times New Roman"/>
          <w:b/>
          <w:sz w:val="24"/>
          <w:szCs w:val="24"/>
        </w:rPr>
      </w:pPr>
      <w:r w:rsidRPr="00A158B7">
        <w:rPr>
          <w:rFonts w:ascii="Times New Roman" w:hAnsi="Times New Roman" w:cs="Times New Roman"/>
          <w:b/>
          <w:sz w:val="24"/>
          <w:szCs w:val="24"/>
        </w:rPr>
        <w:t xml:space="preserve">Sample: </w:t>
      </w:r>
    </w:p>
    <w:p w14:paraId="32746BDC" w14:textId="77777777" w:rsidR="00A158B7" w:rsidRDefault="0062425A" w:rsidP="00A158B7">
      <w:pPr>
        <w:spacing w:line="360" w:lineRule="auto"/>
        <w:ind w:firstLine="720"/>
        <w:jc w:val="both"/>
        <w:rPr>
          <w:rFonts w:ascii="Times New Roman" w:hAnsi="Times New Roman" w:cs="Times New Roman"/>
        </w:rPr>
      </w:pPr>
      <w:r w:rsidRPr="00A158B7">
        <w:rPr>
          <w:rFonts w:ascii="Times New Roman" w:hAnsi="Times New Roman" w:cs="Times New Roman"/>
          <w:sz w:val="24"/>
          <w:szCs w:val="24"/>
        </w:rPr>
        <w:t xml:space="preserve">The sample size was determined based on the availability of workers and feasibility of data collection. Finally, a total of </w:t>
      </w:r>
      <w:r w:rsidRPr="00A158B7">
        <w:rPr>
          <w:rFonts w:ascii="Times New Roman" w:hAnsi="Times New Roman" w:cs="Times New Roman"/>
          <w:bCs/>
          <w:sz w:val="24"/>
          <w:szCs w:val="24"/>
        </w:rPr>
        <w:t xml:space="preserve">220 sugarcane harvesting migratory women </w:t>
      </w:r>
      <w:r w:rsidRPr="00A158B7">
        <w:rPr>
          <w:rFonts w:ascii="Times New Roman" w:hAnsi="Times New Roman" w:cs="Times New Roman"/>
          <w:sz w:val="24"/>
          <w:szCs w:val="24"/>
        </w:rPr>
        <w:t xml:space="preserve">were selected from different sugarcane harvesting sites in </w:t>
      </w:r>
      <w:r w:rsidRPr="00A158B7">
        <w:rPr>
          <w:rFonts w:ascii="Times New Roman" w:hAnsi="Times New Roman" w:cs="Times New Roman"/>
          <w:bCs/>
          <w:sz w:val="24"/>
          <w:szCs w:val="24"/>
        </w:rPr>
        <w:t>Belagavi and Bagalkot districts</w:t>
      </w:r>
    </w:p>
    <w:p w14:paraId="375AADB1" w14:textId="77777777" w:rsidR="0062425A" w:rsidRPr="00A158B7" w:rsidRDefault="0062425A" w:rsidP="00A158B7">
      <w:pPr>
        <w:spacing w:line="360" w:lineRule="auto"/>
        <w:jc w:val="both"/>
        <w:rPr>
          <w:rFonts w:ascii="Times New Roman" w:hAnsi="Times New Roman" w:cs="Times New Roman"/>
          <w:b/>
        </w:rPr>
      </w:pPr>
      <w:r w:rsidRPr="00A158B7">
        <w:rPr>
          <w:rFonts w:ascii="Times New Roman" w:hAnsi="Times New Roman" w:cs="Times New Roman"/>
          <w:b/>
        </w:rPr>
        <w:t>Tools</w:t>
      </w:r>
      <w:r w:rsidR="00A158B7" w:rsidRPr="00A158B7">
        <w:rPr>
          <w:rFonts w:ascii="Times New Roman" w:hAnsi="Times New Roman" w:cs="Times New Roman"/>
          <w:b/>
        </w:rPr>
        <w:t xml:space="preserve"> used:</w:t>
      </w:r>
    </w:p>
    <w:p w14:paraId="2CC61FD1" w14:textId="77777777" w:rsidR="0062425A" w:rsidRPr="00A158B7" w:rsidRDefault="0062425A" w:rsidP="00A158B7">
      <w:pPr>
        <w:spacing w:before="120" w:after="120" w:line="360" w:lineRule="auto"/>
        <w:jc w:val="both"/>
        <w:rPr>
          <w:rFonts w:ascii="Times New Roman" w:hAnsi="Times New Roman" w:cs="Times New Roman"/>
          <w:sz w:val="24"/>
          <w:szCs w:val="24"/>
        </w:rPr>
      </w:pPr>
      <w:r w:rsidRPr="00A158B7">
        <w:rPr>
          <w:rFonts w:ascii="Times New Roman" w:hAnsi="Times New Roman" w:cs="Times New Roman"/>
          <w:sz w:val="24"/>
          <w:szCs w:val="24"/>
        </w:rPr>
        <w:t>Self-structured schedule</w:t>
      </w:r>
      <w:r w:rsidR="00A158B7">
        <w:rPr>
          <w:rFonts w:ascii="Times New Roman" w:hAnsi="Times New Roman" w:cs="Times New Roman"/>
          <w:sz w:val="24"/>
          <w:szCs w:val="24"/>
        </w:rPr>
        <w:t>:</w:t>
      </w:r>
      <w:r w:rsidRPr="00A158B7">
        <w:rPr>
          <w:rFonts w:ascii="Times New Roman" w:hAnsi="Times New Roman" w:cs="Times New Roman"/>
          <w:sz w:val="24"/>
          <w:szCs w:val="24"/>
        </w:rPr>
        <w:t xml:space="preserve"> A </w:t>
      </w:r>
      <w:r w:rsidRPr="00A158B7">
        <w:rPr>
          <w:rStyle w:val="Strong"/>
          <w:rFonts w:ascii="Times New Roman" w:hAnsi="Times New Roman" w:cs="Times New Roman"/>
          <w:b w:val="0"/>
          <w:bCs/>
          <w:sz w:val="24"/>
          <w:szCs w:val="24"/>
        </w:rPr>
        <w:t>self-structured schedule</w:t>
      </w:r>
      <w:r w:rsidRPr="00A158B7">
        <w:rPr>
          <w:rFonts w:ascii="Times New Roman" w:hAnsi="Times New Roman" w:cs="Times New Roman"/>
          <w:sz w:val="24"/>
          <w:szCs w:val="24"/>
        </w:rPr>
        <w:t xml:space="preserve"> was used to collect baseline information from the respondents. It consisted of basic </w:t>
      </w:r>
      <w:r w:rsidRPr="00A158B7">
        <w:rPr>
          <w:rStyle w:val="Strong"/>
          <w:rFonts w:ascii="Times New Roman" w:hAnsi="Times New Roman" w:cs="Times New Roman"/>
          <w:b w:val="0"/>
          <w:bCs/>
          <w:sz w:val="24"/>
          <w:szCs w:val="24"/>
        </w:rPr>
        <w:t>demographic and personal data</w:t>
      </w:r>
      <w:r w:rsidRPr="00A158B7">
        <w:rPr>
          <w:rFonts w:ascii="Times New Roman" w:hAnsi="Times New Roman" w:cs="Times New Roman"/>
          <w:sz w:val="24"/>
          <w:szCs w:val="24"/>
        </w:rPr>
        <w:t xml:space="preserve">, including </w:t>
      </w:r>
      <w:r w:rsidRPr="00A158B7">
        <w:rPr>
          <w:rStyle w:val="Strong"/>
          <w:rFonts w:ascii="Times New Roman" w:hAnsi="Times New Roman" w:cs="Times New Roman"/>
          <w:b w:val="0"/>
          <w:bCs/>
          <w:sz w:val="24"/>
          <w:szCs w:val="24"/>
        </w:rPr>
        <w:t>age, education, food habits, duration of migration, age at menarche, duration of menstrual flow, age at marriage, age at first pregnancy, spacing between children, incidence of stillbirth, breastfeeding practices, number of children, type of family, size of the family, occupational hazards and morbidity pattern</w:t>
      </w:r>
      <w:r w:rsidRPr="00A158B7">
        <w:rPr>
          <w:rFonts w:ascii="Times New Roman" w:hAnsi="Times New Roman" w:cs="Times New Roman"/>
          <w:sz w:val="24"/>
          <w:szCs w:val="24"/>
        </w:rPr>
        <w:t xml:space="preserve"> experienced during sugarcane harvesting period. </w:t>
      </w:r>
      <w:r w:rsidRPr="00A158B7">
        <w:rPr>
          <w:rFonts w:ascii="Times New Roman" w:hAnsi="Times New Roman" w:cs="Times New Roman"/>
          <w:bCs/>
          <w:sz w:val="24"/>
          <w:szCs w:val="24"/>
        </w:rPr>
        <w:t xml:space="preserve">Quality of Life by WHO (1997), reproductive health scale by Hassan (2002), nutritional status was assess using BMI. And SES </w:t>
      </w:r>
      <w:r w:rsidR="00A158B7">
        <w:rPr>
          <w:rFonts w:ascii="Times New Roman" w:hAnsi="Times New Roman" w:cs="Times New Roman"/>
          <w:bCs/>
          <w:sz w:val="24"/>
          <w:szCs w:val="24"/>
        </w:rPr>
        <w:t>scale by Aggarwal et al, (2005).</w:t>
      </w:r>
    </w:p>
    <w:p w14:paraId="47BF5776" w14:textId="77777777" w:rsidR="00B65B61" w:rsidRPr="00A158B7" w:rsidRDefault="005856BE" w:rsidP="00A158B7">
      <w:pPr>
        <w:spacing w:line="360" w:lineRule="auto"/>
        <w:jc w:val="both"/>
        <w:rPr>
          <w:rFonts w:ascii="Times New Roman" w:hAnsi="Times New Roman" w:cs="Times New Roman"/>
          <w:b/>
          <w:sz w:val="24"/>
        </w:rPr>
      </w:pPr>
      <w:r w:rsidRPr="00A158B7">
        <w:rPr>
          <w:rFonts w:ascii="Times New Roman" w:hAnsi="Times New Roman" w:cs="Times New Roman"/>
          <w:b/>
          <w:sz w:val="24"/>
        </w:rPr>
        <w:t>Statistical methods:</w:t>
      </w:r>
    </w:p>
    <w:p w14:paraId="128B2F19" w14:textId="77777777" w:rsidR="00030F8D" w:rsidRPr="00A158B7" w:rsidRDefault="00030F8D"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The collected data were coded, tabulated, and analyzed using appropriate statistical techniques. </w:t>
      </w:r>
      <w:r w:rsidRPr="00A158B7">
        <w:rPr>
          <w:rFonts w:ascii="Times New Roman" w:eastAsia="Times New Roman" w:hAnsi="Times New Roman" w:cs="Times New Roman"/>
          <w:bCs/>
          <w:sz w:val="24"/>
          <w:szCs w:val="24"/>
        </w:rPr>
        <w:t>Descriptive statistics</w:t>
      </w:r>
      <w:r w:rsidRPr="00A158B7">
        <w:rPr>
          <w:rFonts w:ascii="Times New Roman" w:eastAsia="Times New Roman" w:hAnsi="Times New Roman" w:cs="Times New Roman"/>
          <w:sz w:val="24"/>
          <w:szCs w:val="24"/>
        </w:rPr>
        <w:t xml:space="preserve">, such as frequency and percentage, were used to describe the </w:t>
      </w:r>
      <w:r w:rsidRPr="00A158B7">
        <w:rPr>
          <w:rFonts w:ascii="Times New Roman" w:eastAsia="Times New Roman" w:hAnsi="Times New Roman" w:cs="Times New Roman"/>
          <w:sz w:val="24"/>
          <w:szCs w:val="24"/>
        </w:rPr>
        <w:lastRenderedPageBreak/>
        <w:t>socio-demographic characteristics, quality of life, reproductive health, and nutritional status of the migratory women workers in sugarcane harvesting.</w:t>
      </w:r>
    </w:p>
    <w:p w14:paraId="009A94C6" w14:textId="77777777" w:rsidR="00030F8D" w:rsidRPr="00A158B7" w:rsidRDefault="00030F8D"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To identify the predicting factors influencing quality of life, reproductive health, and nutritional status, </w:t>
      </w:r>
      <w:r w:rsidRPr="00A158B7">
        <w:rPr>
          <w:rFonts w:ascii="Times New Roman" w:eastAsia="Times New Roman" w:hAnsi="Times New Roman" w:cs="Times New Roman"/>
          <w:bCs/>
          <w:sz w:val="24"/>
          <w:szCs w:val="24"/>
        </w:rPr>
        <w:t>multiple regression analysis</w:t>
      </w:r>
      <w:r w:rsidRPr="00A158B7">
        <w:rPr>
          <w:rFonts w:ascii="Times New Roman" w:eastAsia="Times New Roman" w:hAnsi="Times New Roman" w:cs="Times New Roman"/>
          <w:sz w:val="24"/>
          <w:szCs w:val="24"/>
        </w:rPr>
        <w:t xml:space="preserve"> was employed. A stepwise (hierarchical) regression approach was used, where variables were entered in different models. In Model I, individual characteristics such as age, education, food habits, duration of migration, and occupational health hazards were included. In Model II, along with individual characteristics, familial variables such as number of children, type of family, family size, and socio-economic status were added. In Model III, maternal health characteristics including age at menarche, duration of menstrual flow, age at marriage, age at first pregnancy, spacing between children, and breastfeeding practices were included.</w:t>
      </w:r>
      <w:r w:rsid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sz w:val="24"/>
          <w:szCs w:val="24"/>
        </w:rPr>
        <w:t>The contribution of each set of variables was assessed using the coefficient of determination (R²), and the increase in explained variance across models was used to interpret the influence of different predictors on the dependent variables. Statistical significance was tested at appropriate levels to determine the strength of association.</w:t>
      </w:r>
    </w:p>
    <w:p w14:paraId="454A165E" w14:textId="77777777" w:rsidR="00A158B7" w:rsidRDefault="005856BE" w:rsidP="00A158B7">
      <w:pPr>
        <w:spacing w:line="360" w:lineRule="auto"/>
        <w:jc w:val="both"/>
        <w:rPr>
          <w:rFonts w:ascii="Times New Roman" w:hAnsi="Times New Roman" w:cs="Times New Roman"/>
          <w:sz w:val="32"/>
        </w:rPr>
      </w:pPr>
      <w:r w:rsidRPr="00A158B7">
        <w:rPr>
          <w:rFonts w:ascii="Times New Roman" w:hAnsi="Times New Roman" w:cs="Times New Roman"/>
          <w:b/>
          <w:sz w:val="24"/>
        </w:rPr>
        <w:t>Results and discussion</w:t>
      </w:r>
      <w:r w:rsidRPr="00A158B7">
        <w:rPr>
          <w:rFonts w:ascii="Times New Roman" w:hAnsi="Times New Roman" w:cs="Times New Roman"/>
          <w:sz w:val="32"/>
        </w:rPr>
        <w:t>:</w:t>
      </w:r>
    </w:p>
    <w:p w14:paraId="4648F4F5" w14:textId="77777777" w:rsidR="005856BE" w:rsidRPr="00A158B7" w:rsidRDefault="005856BE" w:rsidP="00A158B7">
      <w:pPr>
        <w:spacing w:line="360" w:lineRule="auto"/>
        <w:ind w:firstLine="720"/>
        <w:jc w:val="both"/>
        <w:rPr>
          <w:rFonts w:ascii="Times New Roman" w:hAnsi="Times New Roman" w:cs="Times New Roman"/>
          <w:sz w:val="32"/>
        </w:rPr>
      </w:pPr>
      <w:r w:rsidRPr="00A158B7">
        <w:rPr>
          <w:rFonts w:ascii="Times New Roman" w:hAnsi="Times New Roman" w:cs="Times New Roman"/>
          <w:sz w:val="24"/>
          <w:szCs w:val="24"/>
        </w:rPr>
        <w:t>The distribution of migratory women workers in sugarcane harvesting by demographic charac</w:t>
      </w:r>
      <w:r w:rsidR="00030F8D" w:rsidRPr="00A158B7">
        <w:rPr>
          <w:rFonts w:ascii="Times New Roman" w:hAnsi="Times New Roman" w:cs="Times New Roman"/>
          <w:sz w:val="24"/>
          <w:szCs w:val="24"/>
        </w:rPr>
        <w:t xml:space="preserve">teristics. </w:t>
      </w:r>
      <w:r w:rsidRPr="00A158B7">
        <w:rPr>
          <w:rFonts w:ascii="Times New Roman" w:hAnsi="Times New Roman" w:cs="Times New Roman"/>
          <w:sz w:val="24"/>
          <w:szCs w:val="24"/>
        </w:rPr>
        <w:t>The results revealed 36.80 per cent of the respondents were in the age group of 20–30 years followed by 32.70 per cent in the age group of 30–40 years and 30.50</w:t>
      </w:r>
      <w:r w:rsidR="00030F8D" w:rsidRPr="00A158B7">
        <w:rPr>
          <w:rFonts w:ascii="Times New Roman" w:hAnsi="Times New Roman" w:cs="Times New Roman"/>
          <w:sz w:val="24"/>
          <w:szCs w:val="24"/>
        </w:rPr>
        <w:t xml:space="preserve"> per cent in 40–50 years. </w:t>
      </w:r>
      <w:r w:rsidRPr="00A158B7">
        <w:rPr>
          <w:rFonts w:ascii="Times New Roman" w:hAnsi="Times New Roman" w:cs="Times New Roman"/>
          <w:sz w:val="24"/>
          <w:szCs w:val="24"/>
        </w:rPr>
        <w:t>With respect to education, about 31.40 per cent had attended school for at least one year but had not completed primary education followed by 24.50 per cent who were just literate with no formal schooling, 23.20 per cent were illiterate, 19.10 per cent had completed primary education below 10</w:t>
      </w:r>
      <w:r w:rsidRPr="00A158B7">
        <w:rPr>
          <w:rFonts w:ascii="Times New Roman" w:hAnsi="Times New Roman" w:cs="Times New Roman"/>
          <w:sz w:val="24"/>
          <w:szCs w:val="24"/>
          <w:vertAlign w:val="superscript"/>
        </w:rPr>
        <w:t>th</w:t>
      </w:r>
      <w:r w:rsidRPr="00A158B7">
        <w:rPr>
          <w:rFonts w:ascii="Times New Roman" w:hAnsi="Times New Roman" w:cs="Times New Roman"/>
          <w:sz w:val="24"/>
          <w:szCs w:val="24"/>
        </w:rPr>
        <w:t xml:space="preserve"> class and only 1.80 per cent had studied 10th class. None of the respondents reported having completed graduation o</w:t>
      </w:r>
      <w:r w:rsidR="00030F8D" w:rsidRPr="00A158B7">
        <w:rPr>
          <w:rFonts w:ascii="Times New Roman" w:hAnsi="Times New Roman" w:cs="Times New Roman"/>
          <w:sz w:val="24"/>
          <w:szCs w:val="24"/>
        </w:rPr>
        <w:t xml:space="preserve">r professional qualifications. </w:t>
      </w:r>
      <w:r w:rsidRPr="00A158B7">
        <w:rPr>
          <w:rFonts w:ascii="Times New Roman" w:hAnsi="Times New Roman" w:cs="Times New Roman"/>
          <w:sz w:val="24"/>
          <w:szCs w:val="24"/>
        </w:rPr>
        <w:t>Regarding food habits, majority (81.40%) of them were non-vegetarian, while 18.60 per cent of th</w:t>
      </w:r>
      <w:r w:rsidR="00030F8D" w:rsidRPr="00A158B7">
        <w:rPr>
          <w:rFonts w:ascii="Times New Roman" w:hAnsi="Times New Roman" w:cs="Times New Roman"/>
          <w:sz w:val="24"/>
          <w:szCs w:val="24"/>
        </w:rPr>
        <w:t xml:space="preserve">e respondents were </w:t>
      </w:r>
      <w:proofErr w:type="spellStart"/>
      <w:r w:rsidR="00030F8D" w:rsidRPr="00A158B7">
        <w:rPr>
          <w:rFonts w:ascii="Times New Roman" w:hAnsi="Times New Roman" w:cs="Times New Roman"/>
          <w:sz w:val="24"/>
          <w:szCs w:val="24"/>
        </w:rPr>
        <w:t>eggitarian</w:t>
      </w:r>
      <w:proofErr w:type="spellEnd"/>
      <w:r w:rsidR="00030F8D" w:rsidRPr="00A158B7">
        <w:rPr>
          <w:rFonts w:ascii="Times New Roman" w:hAnsi="Times New Roman" w:cs="Times New Roman"/>
          <w:sz w:val="24"/>
          <w:szCs w:val="24"/>
        </w:rPr>
        <w:t xml:space="preserve">. </w:t>
      </w:r>
      <w:r w:rsidRPr="00A158B7">
        <w:rPr>
          <w:rFonts w:ascii="Times New Roman" w:hAnsi="Times New Roman" w:cs="Times New Roman"/>
          <w:sz w:val="24"/>
          <w:szCs w:val="24"/>
        </w:rPr>
        <w:t xml:space="preserve">With respect to duration of migration, about 47.70 per cent of the respondents migrated for more than 5 months followed by 31.80 per cent for 4–5 months and 20.50 per cent for less than 4 months. In terms of maternal health, 42.30 per cent of the women experienced menarche after 14 years of age, 29.10 per cent between 13–14 years and 28.60 per cent between 10–12 years. The duration of menstrual flow was 4–6 days for more than half (51.40%) of the respondents, while 31.80 per cent </w:t>
      </w:r>
      <w:r w:rsidRPr="00A158B7">
        <w:rPr>
          <w:rFonts w:ascii="Times New Roman" w:hAnsi="Times New Roman" w:cs="Times New Roman"/>
          <w:sz w:val="24"/>
          <w:szCs w:val="24"/>
        </w:rPr>
        <w:lastRenderedPageBreak/>
        <w:t>reported more than 6 days and 16.80 per cent reported only 1–3 days.  With regard to age at marriage, more than half (56.80%) of the respondents were married before the age of 18 years followed by 32.70 per cent between 18–20 years and 10.50 per cent after 20 years. With respect to age at pregnancy, half of the women (50.00%) experienced their first pregnancy before the age of 18 years followed by 30.90 per cent between 18–20 years and 19.10 per cent after 20 years. With respect to spacing between children, about 51.40 per cent of them reported a gap of 1–2 years and 48.60 per cent had a gap of 2–3 years, with none exceeding 3 years. With respect to still birth, around 37.70 per cent of the respondents had still births, while 62.30 per cent had normal child birth. With regard to breastfeeding, majority (68.18%) of them were regularly breastfeeding their children, while 31.82 per cent were irregular in breastfeeding. With regard to the number of children, 68.60 per cent had 1–3 children, 28.60 per cent had 4–6 children and 2.70 per cent had more than 6 children. In terms of type of family, around 52.30 per cent of respondents belonged to joint families, while 47.70 per cent lived in nuclear families. Family size varied, with 45.50 per cent reporting up to 5 members, 29.50 per cent having 5–10 members and 25.00 per cent having more than 10 members.  With respect to socio-economic status revealed that majority (60.50%) of the respondents belonged to upper-middle class and 39.50 per cent to lower-middle class. None of the respondents belonged to upper-high, high, poor and very poor classes.</w:t>
      </w:r>
    </w:p>
    <w:p w14:paraId="77EA3404" w14:textId="77777777" w:rsidR="005856BE" w:rsidRPr="00A158B7" w:rsidRDefault="00030F8D" w:rsidP="00C01183">
      <w:pPr>
        <w:spacing w:before="120" w:after="120" w:line="240" w:lineRule="auto"/>
        <w:jc w:val="both"/>
        <w:rPr>
          <w:rFonts w:ascii="Times New Roman" w:hAnsi="Times New Roman" w:cs="Times New Roman"/>
        </w:rPr>
      </w:pPr>
      <w:r w:rsidRPr="00A158B7">
        <w:rPr>
          <w:rFonts w:ascii="Times New Roman" w:hAnsi="Times New Roman" w:cs="Times New Roman"/>
          <w:b/>
        </w:rPr>
        <w:t>Table 1</w:t>
      </w:r>
      <w:r w:rsidR="005856BE" w:rsidRPr="00A158B7">
        <w:rPr>
          <w:rFonts w:ascii="Times New Roman" w:hAnsi="Times New Roman" w:cs="Times New Roman"/>
          <w:b/>
        </w:rPr>
        <w:t>. Classification of migratory women workers in sugarcane harvesting based on overall quality of life, reproductive health and nutritional status</w:t>
      </w:r>
      <w:r w:rsidR="00BD43ED" w:rsidRPr="00A158B7">
        <w:rPr>
          <w:rFonts w:ascii="Times New Roman" w:hAnsi="Times New Roman" w:cs="Times New Roman"/>
          <w:b/>
        </w:rPr>
        <w:t xml:space="preserve">                                                                                </w:t>
      </w:r>
      <w:r w:rsidR="00BD43ED" w:rsidRPr="00A158B7">
        <w:rPr>
          <w:rFonts w:ascii="Times New Roman" w:hAnsi="Times New Roman" w:cs="Times New Roman"/>
        </w:rPr>
        <w:t>(N=220)</w:t>
      </w:r>
    </w:p>
    <w:tbl>
      <w:tblPr>
        <w:tblStyle w:val="TableGrid"/>
        <w:tblW w:w="0" w:type="auto"/>
        <w:tblLook w:val="04A0" w:firstRow="1" w:lastRow="0" w:firstColumn="1" w:lastColumn="0" w:noHBand="0" w:noVBand="1"/>
      </w:tblPr>
      <w:tblGrid>
        <w:gridCol w:w="2337"/>
        <w:gridCol w:w="2337"/>
        <w:gridCol w:w="2338"/>
        <w:gridCol w:w="2338"/>
      </w:tblGrid>
      <w:tr w:rsidR="005856BE" w:rsidRPr="00A158B7" w14:paraId="77FB5B18" w14:textId="77777777" w:rsidTr="005856BE">
        <w:tc>
          <w:tcPr>
            <w:tcW w:w="2337" w:type="dxa"/>
          </w:tcPr>
          <w:p w14:paraId="6EDA7590" w14:textId="77777777" w:rsidR="005856BE" w:rsidRPr="00A158B7" w:rsidRDefault="005856BE" w:rsidP="00A158B7">
            <w:pPr>
              <w:jc w:val="both"/>
              <w:rPr>
                <w:rFonts w:ascii="Times New Roman" w:hAnsi="Times New Roman" w:cs="Times New Roman"/>
                <w:sz w:val="24"/>
                <w:szCs w:val="24"/>
              </w:rPr>
            </w:pPr>
          </w:p>
        </w:tc>
        <w:tc>
          <w:tcPr>
            <w:tcW w:w="2337" w:type="dxa"/>
          </w:tcPr>
          <w:p w14:paraId="4DDCF5BF" w14:textId="77777777" w:rsidR="005856BE" w:rsidRPr="00A158B7" w:rsidRDefault="005856BE"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Classification </w:t>
            </w:r>
          </w:p>
        </w:tc>
        <w:tc>
          <w:tcPr>
            <w:tcW w:w="2338" w:type="dxa"/>
          </w:tcPr>
          <w:p w14:paraId="30CC7189" w14:textId="77777777" w:rsidR="005856BE" w:rsidRPr="00A158B7" w:rsidRDefault="005856BE"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Frequency </w:t>
            </w:r>
          </w:p>
        </w:tc>
        <w:tc>
          <w:tcPr>
            <w:tcW w:w="2338" w:type="dxa"/>
          </w:tcPr>
          <w:p w14:paraId="2E2C63BF" w14:textId="77777777" w:rsidR="005856BE" w:rsidRPr="00A158B7" w:rsidRDefault="005856BE"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Percentage </w:t>
            </w:r>
          </w:p>
        </w:tc>
      </w:tr>
      <w:tr w:rsidR="00BD43ED" w:rsidRPr="00A158B7" w14:paraId="5A0CFB3B" w14:textId="77777777" w:rsidTr="005856BE">
        <w:tc>
          <w:tcPr>
            <w:tcW w:w="2337" w:type="dxa"/>
            <w:vMerge w:val="restart"/>
          </w:tcPr>
          <w:p w14:paraId="00E29737" w14:textId="77777777" w:rsidR="00BD43ED" w:rsidRPr="00A158B7" w:rsidRDefault="00BD43ED"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Quality of life </w:t>
            </w:r>
          </w:p>
        </w:tc>
        <w:tc>
          <w:tcPr>
            <w:tcW w:w="2337" w:type="dxa"/>
          </w:tcPr>
          <w:p w14:paraId="0FCFD740"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Poor </w:t>
            </w:r>
          </w:p>
        </w:tc>
        <w:tc>
          <w:tcPr>
            <w:tcW w:w="2338" w:type="dxa"/>
          </w:tcPr>
          <w:p w14:paraId="3381638E"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47</w:t>
            </w:r>
          </w:p>
        </w:tc>
        <w:tc>
          <w:tcPr>
            <w:tcW w:w="2338" w:type="dxa"/>
          </w:tcPr>
          <w:p w14:paraId="05D5117F"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21.40</w:t>
            </w:r>
          </w:p>
        </w:tc>
      </w:tr>
      <w:tr w:rsidR="00BD43ED" w:rsidRPr="00A158B7" w14:paraId="36C2B4B5" w14:textId="77777777" w:rsidTr="005856BE">
        <w:tc>
          <w:tcPr>
            <w:tcW w:w="2337" w:type="dxa"/>
            <w:vMerge/>
          </w:tcPr>
          <w:p w14:paraId="3F0EF092" w14:textId="77777777" w:rsidR="00BD43ED" w:rsidRPr="00A158B7" w:rsidRDefault="00BD43ED" w:rsidP="00A158B7">
            <w:pPr>
              <w:jc w:val="both"/>
              <w:rPr>
                <w:rFonts w:ascii="Times New Roman" w:hAnsi="Times New Roman" w:cs="Times New Roman"/>
                <w:b/>
                <w:sz w:val="24"/>
                <w:szCs w:val="24"/>
              </w:rPr>
            </w:pPr>
          </w:p>
        </w:tc>
        <w:tc>
          <w:tcPr>
            <w:tcW w:w="2337" w:type="dxa"/>
          </w:tcPr>
          <w:p w14:paraId="3B2FE303"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Moderate </w:t>
            </w:r>
          </w:p>
        </w:tc>
        <w:tc>
          <w:tcPr>
            <w:tcW w:w="2338" w:type="dxa"/>
          </w:tcPr>
          <w:p w14:paraId="3724B8F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172</w:t>
            </w:r>
          </w:p>
        </w:tc>
        <w:tc>
          <w:tcPr>
            <w:tcW w:w="2338" w:type="dxa"/>
          </w:tcPr>
          <w:p w14:paraId="16D9A604"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78.20</w:t>
            </w:r>
          </w:p>
        </w:tc>
      </w:tr>
      <w:tr w:rsidR="00BD43ED" w:rsidRPr="00A158B7" w14:paraId="7E7A1327" w14:textId="77777777" w:rsidTr="005856BE">
        <w:tc>
          <w:tcPr>
            <w:tcW w:w="2337" w:type="dxa"/>
            <w:vMerge/>
          </w:tcPr>
          <w:p w14:paraId="669B41A5" w14:textId="77777777" w:rsidR="00BD43ED" w:rsidRPr="00A158B7" w:rsidRDefault="00BD43ED" w:rsidP="00A158B7">
            <w:pPr>
              <w:jc w:val="both"/>
              <w:rPr>
                <w:rFonts w:ascii="Times New Roman" w:hAnsi="Times New Roman" w:cs="Times New Roman"/>
                <w:b/>
                <w:sz w:val="24"/>
                <w:szCs w:val="24"/>
              </w:rPr>
            </w:pPr>
          </w:p>
        </w:tc>
        <w:tc>
          <w:tcPr>
            <w:tcW w:w="2337" w:type="dxa"/>
          </w:tcPr>
          <w:p w14:paraId="6D323220"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Good </w:t>
            </w:r>
          </w:p>
        </w:tc>
        <w:tc>
          <w:tcPr>
            <w:tcW w:w="2338" w:type="dxa"/>
          </w:tcPr>
          <w:p w14:paraId="39B9F800"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w:t>
            </w:r>
          </w:p>
        </w:tc>
        <w:tc>
          <w:tcPr>
            <w:tcW w:w="2338" w:type="dxa"/>
          </w:tcPr>
          <w:p w14:paraId="2E6BF3F0"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0.50</w:t>
            </w:r>
          </w:p>
        </w:tc>
      </w:tr>
      <w:tr w:rsidR="00BD43ED" w:rsidRPr="00A158B7" w14:paraId="5B20AAD8" w14:textId="77777777" w:rsidTr="005856BE">
        <w:tc>
          <w:tcPr>
            <w:tcW w:w="2337" w:type="dxa"/>
            <w:vMerge/>
          </w:tcPr>
          <w:p w14:paraId="2C3DBE9F" w14:textId="77777777" w:rsidR="00BD43ED" w:rsidRPr="00A158B7" w:rsidRDefault="00BD43ED" w:rsidP="00A158B7">
            <w:pPr>
              <w:jc w:val="both"/>
              <w:rPr>
                <w:rFonts w:ascii="Times New Roman" w:hAnsi="Times New Roman" w:cs="Times New Roman"/>
                <w:b/>
                <w:sz w:val="24"/>
                <w:szCs w:val="24"/>
              </w:rPr>
            </w:pPr>
          </w:p>
        </w:tc>
        <w:tc>
          <w:tcPr>
            <w:tcW w:w="2337" w:type="dxa"/>
          </w:tcPr>
          <w:p w14:paraId="57C6B28D"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Total </w:t>
            </w:r>
          </w:p>
        </w:tc>
        <w:tc>
          <w:tcPr>
            <w:tcW w:w="2338" w:type="dxa"/>
          </w:tcPr>
          <w:p w14:paraId="7CBCAE6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220</w:t>
            </w:r>
          </w:p>
        </w:tc>
        <w:tc>
          <w:tcPr>
            <w:tcW w:w="2338" w:type="dxa"/>
          </w:tcPr>
          <w:p w14:paraId="6D7C7851"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100.00</w:t>
            </w:r>
          </w:p>
        </w:tc>
      </w:tr>
      <w:tr w:rsidR="00BD43ED" w:rsidRPr="00A158B7" w14:paraId="5A083161" w14:textId="77777777" w:rsidTr="005856BE">
        <w:tc>
          <w:tcPr>
            <w:tcW w:w="2337" w:type="dxa"/>
            <w:vMerge w:val="restart"/>
          </w:tcPr>
          <w:p w14:paraId="0F46FE35" w14:textId="77777777" w:rsidR="00BD43ED" w:rsidRPr="00A158B7" w:rsidRDefault="00BD43ED"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Reproductive health </w:t>
            </w:r>
          </w:p>
        </w:tc>
        <w:tc>
          <w:tcPr>
            <w:tcW w:w="2337" w:type="dxa"/>
          </w:tcPr>
          <w:p w14:paraId="3192F3A6"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Poor </w:t>
            </w:r>
          </w:p>
        </w:tc>
        <w:tc>
          <w:tcPr>
            <w:tcW w:w="2338" w:type="dxa"/>
          </w:tcPr>
          <w:p w14:paraId="6D99EA37"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133</w:t>
            </w:r>
          </w:p>
        </w:tc>
        <w:tc>
          <w:tcPr>
            <w:tcW w:w="2338" w:type="dxa"/>
          </w:tcPr>
          <w:p w14:paraId="44BB21B0"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60.50</w:t>
            </w:r>
          </w:p>
        </w:tc>
      </w:tr>
      <w:tr w:rsidR="00BD43ED" w:rsidRPr="00A158B7" w14:paraId="24AFFDF9" w14:textId="77777777" w:rsidTr="005856BE">
        <w:tc>
          <w:tcPr>
            <w:tcW w:w="2337" w:type="dxa"/>
            <w:vMerge/>
          </w:tcPr>
          <w:p w14:paraId="075B4B48" w14:textId="77777777" w:rsidR="00BD43ED" w:rsidRPr="00A158B7" w:rsidRDefault="00BD43ED" w:rsidP="00A158B7">
            <w:pPr>
              <w:jc w:val="both"/>
              <w:rPr>
                <w:rFonts w:ascii="Times New Roman" w:hAnsi="Times New Roman" w:cs="Times New Roman"/>
                <w:b/>
                <w:sz w:val="24"/>
                <w:szCs w:val="24"/>
              </w:rPr>
            </w:pPr>
          </w:p>
        </w:tc>
        <w:tc>
          <w:tcPr>
            <w:tcW w:w="2337" w:type="dxa"/>
          </w:tcPr>
          <w:p w14:paraId="5463B1FE"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Average  </w:t>
            </w:r>
          </w:p>
        </w:tc>
        <w:tc>
          <w:tcPr>
            <w:tcW w:w="2338" w:type="dxa"/>
          </w:tcPr>
          <w:p w14:paraId="0FB036E4"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87</w:t>
            </w:r>
          </w:p>
        </w:tc>
        <w:tc>
          <w:tcPr>
            <w:tcW w:w="2338" w:type="dxa"/>
          </w:tcPr>
          <w:p w14:paraId="76368598"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39.50</w:t>
            </w:r>
          </w:p>
        </w:tc>
      </w:tr>
      <w:tr w:rsidR="00BD43ED" w:rsidRPr="00A158B7" w14:paraId="63FC2D9F" w14:textId="77777777" w:rsidTr="005856BE">
        <w:tc>
          <w:tcPr>
            <w:tcW w:w="2337" w:type="dxa"/>
            <w:vMerge/>
          </w:tcPr>
          <w:p w14:paraId="0EAF06B6" w14:textId="77777777" w:rsidR="00BD43ED" w:rsidRPr="00A158B7" w:rsidRDefault="00BD43ED" w:rsidP="00A158B7">
            <w:pPr>
              <w:jc w:val="both"/>
              <w:rPr>
                <w:rFonts w:ascii="Times New Roman" w:hAnsi="Times New Roman" w:cs="Times New Roman"/>
                <w:b/>
                <w:sz w:val="24"/>
                <w:szCs w:val="24"/>
              </w:rPr>
            </w:pPr>
          </w:p>
        </w:tc>
        <w:tc>
          <w:tcPr>
            <w:tcW w:w="2337" w:type="dxa"/>
          </w:tcPr>
          <w:p w14:paraId="6BA13201"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High </w:t>
            </w:r>
          </w:p>
        </w:tc>
        <w:tc>
          <w:tcPr>
            <w:tcW w:w="2338" w:type="dxa"/>
          </w:tcPr>
          <w:p w14:paraId="220851EB"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w:t>
            </w:r>
          </w:p>
        </w:tc>
        <w:tc>
          <w:tcPr>
            <w:tcW w:w="2338" w:type="dxa"/>
          </w:tcPr>
          <w:p w14:paraId="343B5A19"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w:t>
            </w:r>
          </w:p>
        </w:tc>
      </w:tr>
      <w:tr w:rsidR="00BD43ED" w:rsidRPr="00A158B7" w14:paraId="792A7111" w14:textId="77777777" w:rsidTr="005856BE">
        <w:tc>
          <w:tcPr>
            <w:tcW w:w="2337" w:type="dxa"/>
            <w:vMerge/>
          </w:tcPr>
          <w:p w14:paraId="5C6F23F9" w14:textId="77777777" w:rsidR="00BD43ED" w:rsidRPr="00A158B7" w:rsidRDefault="00BD43ED" w:rsidP="00A158B7">
            <w:pPr>
              <w:jc w:val="both"/>
              <w:rPr>
                <w:rFonts w:ascii="Times New Roman" w:hAnsi="Times New Roman" w:cs="Times New Roman"/>
                <w:b/>
                <w:sz w:val="24"/>
                <w:szCs w:val="24"/>
              </w:rPr>
            </w:pPr>
          </w:p>
        </w:tc>
        <w:tc>
          <w:tcPr>
            <w:tcW w:w="2337" w:type="dxa"/>
          </w:tcPr>
          <w:p w14:paraId="2EC3E0EC"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Total </w:t>
            </w:r>
          </w:p>
        </w:tc>
        <w:tc>
          <w:tcPr>
            <w:tcW w:w="2338" w:type="dxa"/>
          </w:tcPr>
          <w:p w14:paraId="2B9892EE"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220</w:t>
            </w:r>
          </w:p>
        </w:tc>
        <w:tc>
          <w:tcPr>
            <w:tcW w:w="2338" w:type="dxa"/>
          </w:tcPr>
          <w:p w14:paraId="17497C18"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100.00</w:t>
            </w:r>
          </w:p>
        </w:tc>
      </w:tr>
      <w:tr w:rsidR="00BD43ED" w:rsidRPr="00A158B7" w14:paraId="1FCE2288" w14:textId="77777777" w:rsidTr="005856BE">
        <w:tc>
          <w:tcPr>
            <w:tcW w:w="2337" w:type="dxa"/>
            <w:vMerge w:val="restart"/>
          </w:tcPr>
          <w:p w14:paraId="6C409CE6" w14:textId="77777777" w:rsidR="00BD43ED" w:rsidRPr="00A158B7" w:rsidRDefault="00BD43ED"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Nutritional status </w:t>
            </w:r>
          </w:p>
        </w:tc>
        <w:tc>
          <w:tcPr>
            <w:tcW w:w="2337" w:type="dxa"/>
          </w:tcPr>
          <w:p w14:paraId="05D009FC"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Underweight </w:t>
            </w:r>
          </w:p>
        </w:tc>
        <w:tc>
          <w:tcPr>
            <w:tcW w:w="2338" w:type="dxa"/>
          </w:tcPr>
          <w:p w14:paraId="191BC7B7"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103</w:t>
            </w:r>
          </w:p>
        </w:tc>
        <w:tc>
          <w:tcPr>
            <w:tcW w:w="2338" w:type="dxa"/>
          </w:tcPr>
          <w:p w14:paraId="59C96FA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46.80</w:t>
            </w:r>
          </w:p>
        </w:tc>
      </w:tr>
      <w:tr w:rsidR="00BD43ED" w:rsidRPr="00A158B7" w14:paraId="2EC9D3E7" w14:textId="77777777" w:rsidTr="005856BE">
        <w:tc>
          <w:tcPr>
            <w:tcW w:w="2337" w:type="dxa"/>
            <w:vMerge/>
          </w:tcPr>
          <w:p w14:paraId="420F7759" w14:textId="77777777" w:rsidR="00BD43ED" w:rsidRPr="00A158B7" w:rsidRDefault="00BD43ED" w:rsidP="00A158B7">
            <w:pPr>
              <w:jc w:val="both"/>
              <w:rPr>
                <w:rFonts w:ascii="Times New Roman" w:hAnsi="Times New Roman" w:cs="Times New Roman"/>
                <w:sz w:val="24"/>
                <w:szCs w:val="24"/>
              </w:rPr>
            </w:pPr>
          </w:p>
        </w:tc>
        <w:tc>
          <w:tcPr>
            <w:tcW w:w="2337" w:type="dxa"/>
          </w:tcPr>
          <w:p w14:paraId="66627728"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Normal weight </w:t>
            </w:r>
          </w:p>
        </w:tc>
        <w:tc>
          <w:tcPr>
            <w:tcW w:w="2338" w:type="dxa"/>
          </w:tcPr>
          <w:p w14:paraId="6A8233F6"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110</w:t>
            </w:r>
          </w:p>
        </w:tc>
        <w:tc>
          <w:tcPr>
            <w:tcW w:w="2338" w:type="dxa"/>
          </w:tcPr>
          <w:p w14:paraId="20105CEE"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50.00</w:t>
            </w:r>
          </w:p>
        </w:tc>
      </w:tr>
      <w:tr w:rsidR="00BD43ED" w:rsidRPr="00A158B7" w14:paraId="2CB8EAC0" w14:textId="77777777" w:rsidTr="005856BE">
        <w:tc>
          <w:tcPr>
            <w:tcW w:w="2337" w:type="dxa"/>
            <w:vMerge/>
          </w:tcPr>
          <w:p w14:paraId="0FD31CAA" w14:textId="77777777" w:rsidR="00BD43ED" w:rsidRPr="00A158B7" w:rsidRDefault="00BD43ED" w:rsidP="00A158B7">
            <w:pPr>
              <w:jc w:val="both"/>
              <w:rPr>
                <w:rFonts w:ascii="Times New Roman" w:hAnsi="Times New Roman" w:cs="Times New Roman"/>
                <w:sz w:val="24"/>
                <w:szCs w:val="24"/>
              </w:rPr>
            </w:pPr>
          </w:p>
        </w:tc>
        <w:tc>
          <w:tcPr>
            <w:tcW w:w="2337" w:type="dxa"/>
          </w:tcPr>
          <w:p w14:paraId="30FF4DC5"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Over weight</w:t>
            </w:r>
          </w:p>
        </w:tc>
        <w:tc>
          <w:tcPr>
            <w:tcW w:w="2338" w:type="dxa"/>
          </w:tcPr>
          <w:p w14:paraId="4D575841"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7</w:t>
            </w:r>
          </w:p>
        </w:tc>
        <w:tc>
          <w:tcPr>
            <w:tcW w:w="2338" w:type="dxa"/>
          </w:tcPr>
          <w:p w14:paraId="2AE19FB7"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3.20</w:t>
            </w:r>
          </w:p>
        </w:tc>
      </w:tr>
      <w:tr w:rsidR="00BD43ED" w:rsidRPr="00A158B7" w14:paraId="6C432C17" w14:textId="77777777" w:rsidTr="005856BE">
        <w:tc>
          <w:tcPr>
            <w:tcW w:w="2337" w:type="dxa"/>
            <w:vMerge/>
          </w:tcPr>
          <w:p w14:paraId="4D12953A" w14:textId="77777777" w:rsidR="00BD43ED" w:rsidRPr="00A158B7" w:rsidRDefault="00BD43ED" w:rsidP="00A158B7">
            <w:pPr>
              <w:jc w:val="both"/>
              <w:rPr>
                <w:rFonts w:ascii="Times New Roman" w:hAnsi="Times New Roman" w:cs="Times New Roman"/>
                <w:sz w:val="24"/>
                <w:szCs w:val="24"/>
              </w:rPr>
            </w:pPr>
          </w:p>
        </w:tc>
        <w:tc>
          <w:tcPr>
            <w:tcW w:w="2337" w:type="dxa"/>
          </w:tcPr>
          <w:p w14:paraId="5CF3A4D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Total</w:t>
            </w:r>
          </w:p>
        </w:tc>
        <w:tc>
          <w:tcPr>
            <w:tcW w:w="2338" w:type="dxa"/>
          </w:tcPr>
          <w:p w14:paraId="0A08A77A"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220</w:t>
            </w:r>
          </w:p>
        </w:tc>
        <w:tc>
          <w:tcPr>
            <w:tcW w:w="2338" w:type="dxa"/>
          </w:tcPr>
          <w:p w14:paraId="090DAA19"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100.00</w:t>
            </w:r>
          </w:p>
        </w:tc>
      </w:tr>
    </w:tbl>
    <w:p w14:paraId="67FF523C" w14:textId="77777777" w:rsidR="005856BE" w:rsidRPr="00A158B7" w:rsidRDefault="005856BE" w:rsidP="00A158B7">
      <w:pPr>
        <w:spacing w:before="120" w:after="120" w:line="360" w:lineRule="auto"/>
        <w:jc w:val="both"/>
        <w:rPr>
          <w:rFonts w:ascii="Times New Roman" w:hAnsi="Times New Roman" w:cs="Times New Roman"/>
          <w:sz w:val="24"/>
          <w:szCs w:val="24"/>
        </w:rPr>
      </w:pPr>
    </w:p>
    <w:p w14:paraId="4902A695" w14:textId="5D093619" w:rsidR="00CE5644" w:rsidRPr="00A158B7" w:rsidRDefault="00973150"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Table</w:t>
      </w:r>
      <w:r w:rsidR="00030F8D" w:rsidRPr="00A158B7">
        <w:rPr>
          <w:rFonts w:ascii="Times New Roman" w:hAnsi="Times New Roman" w:cs="Times New Roman"/>
          <w:sz w:val="24"/>
          <w:szCs w:val="24"/>
        </w:rPr>
        <w:t xml:space="preserve"> 1</w:t>
      </w:r>
      <w:r w:rsidR="00A158B7">
        <w:rPr>
          <w:rFonts w:ascii="Times New Roman" w:hAnsi="Times New Roman" w:cs="Times New Roman"/>
          <w:sz w:val="24"/>
          <w:szCs w:val="24"/>
        </w:rPr>
        <w:t>. P</w:t>
      </w:r>
      <w:r w:rsidRPr="00A158B7">
        <w:rPr>
          <w:rFonts w:ascii="Times New Roman" w:hAnsi="Times New Roman" w:cs="Times New Roman"/>
          <w:sz w:val="24"/>
          <w:szCs w:val="24"/>
        </w:rPr>
        <w:t xml:space="preserve">resents classification of migratory women workers in sugarcane harvesting based on overall quality of life. The results showed that majority </w:t>
      </w:r>
      <w:r w:rsidRPr="00A158B7">
        <w:rPr>
          <w:rStyle w:val="Strong"/>
          <w:rFonts w:ascii="Times New Roman" w:hAnsi="Times New Roman" w:cs="Times New Roman"/>
          <w:b w:val="0"/>
          <w:bCs/>
          <w:sz w:val="24"/>
          <w:szCs w:val="24"/>
        </w:rPr>
        <w:t>(78.20%)</w:t>
      </w:r>
      <w:r w:rsidRPr="00A158B7">
        <w:rPr>
          <w:rFonts w:ascii="Times New Roman" w:hAnsi="Times New Roman" w:cs="Times New Roman"/>
          <w:sz w:val="24"/>
          <w:szCs w:val="24"/>
        </w:rPr>
        <w:t xml:space="preserve"> of the respondents had </w:t>
      </w:r>
      <w:r w:rsidRPr="00A158B7">
        <w:rPr>
          <w:rStyle w:val="Strong"/>
          <w:rFonts w:ascii="Times New Roman" w:hAnsi="Times New Roman" w:cs="Times New Roman"/>
          <w:b w:val="0"/>
          <w:bCs/>
          <w:sz w:val="24"/>
          <w:szCs w:val="24"/>
        </w:rPr>
        <w:lastRenderedPageBreak/>
        <w:t>moderate</w:t>
      </w:r>
      <w:r w:rsidRPr="00A158B7">
        <w:rPr>
          <w:rFonts w:ascii="Times New Roman" w:hAnsi="Times New Roman" w:cs="Times New Roman"/>
          <w:sz w:val="24"/>
          <w:szCs w:val="24"/>
        </w:rPr>
        <w:t xml:space="preserve">, </w:t>
      </w:r>
      <w:r w:rsidRPr="00A158B7">
        <w:rPr>
          <w:rStyle w:val="Strong"/>
          <w:rFonts w:ascii="Times New Roman" w:hAnsi="Times New Roman" w:cs="Times New Roman"/>
          <w:b w:val="0"/>
          <w:bCs/>
          <w:sz w:val="24"/>
          <w:szCs w:val="24"/>
        </w:rPr>
        <w:t>21.40 per cent had poor</w:t>
      </w:r>
      <w:r w:rsidRPr="00A158B7">
        <w:rPr>
          <w:rFonts w:ascii="Times New Roman" w:hAnsi="Times New Roman" w:cs="Times New Roman"/>
          <w:sz w:val="24"/>
          <w:szCs w:val="24"/>
        </w:rPr>
        <w:t xml:space="preserve"> and only </w:t>
      </w:r>
      <w:r w:rsidRPr="00A158B7">
        <w:rPr>
          <w:rStyle w:val="Strong"/>
          <w:rFonts w:ascii="Times New Roman" w:hAnsi="Times New Roman" w:cs="Times New Roman"/>
          <w:b w:val="0"/>
          <w:bCs/>
          <w:sz w:val="24"/>
          <w:szCs w:val="24"/>
        </w:rPr>
        <w:t>one respondent</w:t>
      </w:r>
      <w:r w:rsidRPr="00A158B7">
        <w:rPr>
          <w:rFonts w:ascii="Times New Roman" w:hAnsi="Times New Roman" w:cs="Times New Roman"/>
          <w:sz w:val="24"/>
          <w:szCs w:val="24"/>
        </w:rPr>
        <w:t xml:space="preserve"> reported </w:t>
      </w:r>
      <w:r w:rsidRPr="00A158B7">
        <w:rPr>
          <w:rStyle w:val="Strong"/>
          <w:rFonts w:ascii="Times New Roman" w:hAnsi="Times New Roman" w:cs="Times New Roman"/>
          <w:b w:val="0"/>
          <w:bCs/>
          <w:sz w:val="24"/>
          <w:szCs w:val="24"/>
        </w:rPr>
        <w:t>good</w:t>
      </w:r>
      <w:r w:rsidRPr="00A158B7">
        <w:rPr>
          <w:rFonts w:ascii="Times New Roman" w:hAnsi="Times New Roman" w:cs="Times New Roman"/>
          <w:sz w:val="24"/>
          <w:szCs w:val="24"/>
        </w:rPr>
        <w:t xml:space="preserve"> quality of life</w:t>
      </w:r>
      <w:r w:rsidRPr="00A158B7">
        <w:rPr>
          <w:rStyle w:val="Strong"/>
          <w:rFonts w:ascii="Times New Roman" w:hAnsi="Times New Roman" w:cs="Times New Roman"/>
          <w:b w:val="0"/>
          <w:bCs/>
          <w:sz w:val="24"/>
          <w:szCs w:val="24"/>
        </w:rPr>
        <w:t>.</w:t>
      </w:r>
      <w:r w:rsidRPr="00A158B7">
        <w:rPr>
          <w:rStyle w:val="Strong"/>
          <w:rFonts w:ascii="Times New Roman" w:hAnsi="Times New Roman" w:cs="Times New Roman"/>
          <w:b w:val="0"/>
          <w:bCs/>
          <w:sz w:val="28"/>
          <w:szCs w:val="24"/>
        </w:rPr>
        <w:t xml:space="preserve"> </w:t>
      </w:r>
      <w:r w:rsidR="00CE5644" w:rsidRPr="00A158B7">
        <w:rPr>
          <w:rFonts w:ascii="Times New Roman" w:hAnsi="Times New Roman" w:cs="Times New Roman"/>
          <w:sz w:val="24"/>
        </w:rPr>
        <w:t xml:space="preserve">These findings are in line with the study conducted by </w:t>
      </w:r>
      <w:r w:rsidR="00DA0170">
        <w:rPr>
          <w:rFonts w:ascii="Times New Roman" w:hAnsi="Times New Roman" w:cs="Times New Roman"/>
          <w:sz w:val="24"/>
        </w:rPr>
        <w:t>t</w:t>
      </w:r>
      <w:r w:rsidR="00DA0170" w:rsidRPr="00DA0170">
        <w:rPr>
          <w:rFonts w:ascii="Times New Roman" w:hAnsi="Times New Roman" w:cs="Times New Roman"/>
          <w:sz w:val="24"/>
        </w:rPr>
        <w:t>hese findings are consistent with the report by the International Institute for Population Sciences (NFHS-5, 2019–21), which highlights that women belonging to economically weaker and rural migrant households often experience compromised living conditions, poor access to sanitation, and limited healthcare, all of which contribute to reduced quality of life.</w:t>
      </w:r>
    </w:p>
    <w:p w14:paraId="05BD735B" w14:textId="633CDBC8" w:rsidR="00CE5644" w:rsidRPr="002A5ABE" w:rsidRDefault="00973150" w:rsidP="002A5ABE">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Distribution of migratory women workers in sugarcane harvesti</w:t>
      </w:r>
      <w:r w:rsidR="00DA0170">
        <w:rPr>
          <w:rFonts w:ascii="Times New Roman" w:hAnsi="Times New Roman" w:cs="Times New Roman"/>
          <w:sz w:val="24"/>
          <w:szCs w:val="24"/>
        </w:rPr>
        <w:t xml:space="preserve">ng based on reproductive health. </w:t>
      </w:r>
      <w:r w:rsidRPr="00A158B7">
        <w:rPr>
          <w:rFonts w:ascii="Times New Roman" w:hAnsi="Times New Roman" w:cs="Times New Roman"/>
          <w:sz w:val="24"/>
          <w:szCs w:val="24"/>
        </w:rPr>
        <w:t xml:space="preserve">The findings showed that more than half </w:t>
      </w:r>
      <w:r w:rsidRPr="00A158B7">
        <w:rPr>
          <w:rStyle w:val="Strong"/>
          <w:rFonts w:ascii="Times New Roman" w:hAnsi="Times New Roman" w:cs="Times New Roman"/>
          <w:b w:val="0"/>
          <w:bCs/>
          <w:sz w:val="24"/>
          <w:szCs w:val="24"/>
        </w:rPr>
        <w:t>(60.50%)</w:t>
      </w:r>
      <w:r w:rsidRPr="00A158B7">
        <w:rPr>
          <w:rFonts w:ascii="Times New Roman" w:hAnsi="Times New Roman" w:cs="Times New Roman"/>
          <w:sz w:val="24"/>
          <w:szCs w:val="24"/>
        </w:rPr>
        <w:t xml:space="preserve"> of the respondents</w:t>
      </w:r>
      <w:r w:rsidRPr="00A158B7">
        <w:rPr>
          <w:rStyle w:val="Strong"/>
          <w:rFonts w:ascii="Times New Roman" w:hAnsi="Times New Roman" w:cs="Times New Roman"/>
          <w:b w:val="0"/>
          <w:bCs/>
          <w:sz w:val="24"/>
          <w:szCs w:val="24"/>
        </w:rPr>
        <w:t xml:space="preserve"> </w:t>
      </w:r>
      <w:r w:rsidRPr="00A158B7">
        <w:rPr>
          <w:rFonts w:ascii="Times New Roman" w:hAnsi="Times New Roman" w:cs="Times New Roman"/>
          <w:sz w:val="24"/>
          <w:szCs w:val="24"/>
        </w:rPr>
        <w:t xml:space="preserve">had </w:t>
      </w:r>
      <w:r w:rsidRPr="00A158B7">
        <w:rPr>
          <w:rStyle w:val="Strong"/>
          <w:rFonts w:ascii="Times New Roman" w:hAnsi="Times New Roman" w:cs="Times New Roman"/>
          <w:b w:val="0"/>
          <w:bCs/>
          <w:sz w:val="24"/>
          <w:szCs w:val="24"/>
        </w:rPr>
        <w:t>poor</w:t>
      </w:r>
      <w:r w:rsidRPr="00A158B7">
        <w:rPr>
          <w:rFonts w:ascii="Times New Roman" w:hAnsi="Times New Roman" w:cs="Times New Roman"/>
          <w:sz w:val="24"/>
          <w:szCs w:val="24"/>
        </w:rPr>
        <w:t xml:space="preserve">, while remaining </w:t>
      </w:r>
      <w:r w:rsidRPr="00A158B7">
        <w:rPr>
          <w:rStyle w:val="Strong"/>
          <w:rFonts w:ascii="Times New Roman" w:hAnsi="Times New Roman" w:cs="Times New Roman"/>
          <w:b w:val="0"/>
          <w:bCs/>
          <w:sz w:val="24"/>
          <w:szCs w:val="24"/>
        </w:rPr>
        <w:t>39.50 per cent had</w:t>
      </w:r>
      <w:r w:rsidRPr="00A158B7">
        <w:rPr>
          <w:rFonts w:ascii="Times New Roman" w:hAnsi="Times New Roman" w:cs="Times New Roman"/>
          <w:sz w:val="24"/>
          <w:szCs w:val="24"/>
        </w:rPr>
        <w:t xml:space="preserve"> </w:t>
      </w:r>
      <w:r w:rsidRPr="00A158B7">
        <w:rPr>
          <w:rStyle w:val="Strong"/>
          <w:rFonts w:ascii="Times New Roman" w:hAnsi="Times New Roman" w:cs="Times New Roman"/>
          <w:b w:val="0"/>
          <w:bCs/>
          <w:sz w:val="24"/>
          <w:szCs w:val="24"/>
        </w:rPr>
        <w:t>average</w:t>
      </w:r>
      <w:r w:rsidRPr="00A158B7">
        <w:rPr>
          <w:rFonts w:ascii="Times New Roman" w:hAnsi="Times New Roman" w:cs="Times New Roman"/>
          <w:sz w:val="24"/>
          <w:szCs w:val="24"/>
        </w:rPr>
        <w:t xml:space="preserve"> reproductive health. None of the respondents had high reproductive health</w:t>
      </w:r>
      <w:r w:rsidR="00CE5644" w:rsidRPr="00A158B7">
        <w:rPr>
          <w:rFonts w:ascii="Times New Roman" w:hAnsi="Times New Roman" w:cs="Times New Roman"/>
          <w:sz w:val="24"/>
          <w:szCs w:val="24"/>
        </w:rPr>
        <w:t xml:space="preserve">. </w:t>
      </w:r>
      <w:r w:rsidR="00CE5644" w:rsidRPr="00063E8A">
        <w:rPr>
          <w:rFonts w:ascii="Times New Roman" w:hAnsi="Times New Roman" w:cs="Times New Roman"/>
          <w:sz w:val="24"/>
        </w:rPr>
        <w:t xml:space="preserve">Likewise, </w:t>
      </w:r>
      <w:r w:rsidR="002A5ABE" w:rsidRPr="002A5ABE">
        <w:rPr>
          <w:rFonts w:ascii="Times New Roman" w:hAnsi="Times New Roman" w:cs="Times New Roman"/>
          <w:sz w:val="24"/>
        </w:rPr>
        <w:t xml:space="preserve">Similarly, </w:t>
      </w:r>
      <w:proofErr w:type="spellStart"/>
      <w:r w:rsidR="002A5ABE" w:rsidRPr="002A5ABE">
        <w:rPr>
          <w:rFonts w:ascii="Times New Roman" w:hAnsi="Times New Roman" w:cs="Times New Roman"/>
          <w:sz w:val="24"/>
        </w:rPr>
        <w:t>Soeiro</w:t>
      </w:r>
      <w:proofErr w:type="spellEnd"/>
      <w:r w:rsidR="002A5ABE" w:rsidRPr="002A5ABE">
        <w:rPr>
          <w:rFonts w:ascii="Times New Roman" w:hAnsi="Times New Roman" w:cs="Times New Roman"/>
          <w:sz w:val="24"/>
        </w:rPr>
        <w:t xml:space="preserve"> </w:t>
      </w:r>
      <w:r w:rsidR="002A5ABE" w:rsidRPr="000656AB">
        <w:rPr>
          <w:rFonts w:ascii="Times New Roman" w:hAnsi="Times New Roman" w:cs="Times New Roman"/>
          <w:i/>
          <w:sz w:val="24"/>
        </w:rPr>
        <w:t>et al</w:t>
      </w:r>
      <w:r w:rsidR="002A5ABE" w:rsidRPr="002A5ABE">
        <w:rPr>
          <w:rFonts w:ascii="Times New Roman" w:hAnsi="Times New Roman" w:cs="Times New Roman"/>
          <w:sz w:val="24"/>
        </w:rPr>
        <w:t>. (2021) in a study on migrant women reported that poor menstrual hygiene, lack of access to healthcare, and adverse working conditions significantly contribute to reproductive health problems among migrant women workers</w:t>
      </w:r>
      <w:r w:rsidR="002A5ABE">
        <w:rPr>
          <w:rFonts w:ascii="Times New Roman" w:hAnsi="Times New Roman" w:cs="Times New Roman"/>
          <w:sz w:val="24"/>
        </w:rPr>
        <w:t>.</w:t>
      </w:r>
    </w:p>
    <w:p w14:paraId="4FFF19A3" w14:textId="089B7778" w:rsidR="00973150" w:rsidRPr="00063E8A" w:rsidRDefault="00063E8A" w:rsidP="00A158B7">
      <w:pPr>
        <w:spacing w:before="120" w:after="120" w:line="360" w:lineRule="auto"/>
        <w:jc w:val="both"/>
        <w:rPr>
          <w:rFonts w:ascii="Times New Roman" w:hAnsi="Times New Roman" w:cs="Times New Roman"/>
          <w:sz w:val="28"/>
          <w:szCs w:val="24"/>
        </w:rPr>
      </w:pPr>
      <w:r>
        <w:rPr>
          <w:rFonts w:ascii="Times New Roman" w:hAnsi="Times New Roman" w:cs="Times New Roman"/>
          <w:sz w:val="24"/>
          <w:szCs w:val="24"/>
        </w:rPr>
        <w:t xml:space="preserve"> </w:t>
      </w:r>
      <w:r>
        <w:rPr>
          <w:rFonts w:ascii="Times New Roman" w:hAnsi="Times New Roman" w:cs="Times New Roman"/>
          <w:sz w:val="24"/>
          <w:szCs w:val="24"/>
        </w:rPr>
        <w:tab/>
        <w:t>N</w:t>
      </w:r>
      <w:r w:rsidR="00973150" w:rsidRPr="00A158B7">
        <w:rPr>
          <w:rFonts w:ascii="Times New Roman" w:hAnsi="Times New Roman" w:cs="Times New Roman"/>
          <w:sz w:val="24"/>
          <w:szCs w:val="24"/>
        </w:rPr>
        <w:t xml:space="preserve">utritional status of migratory women workers in sugarcane harvesting. The results revealed that nearly half </w:t>
      </w:r>
      <w:r w:rsidR="00973150" w:rsidRPr="00A158B7">
        <w:rPr>
          <w:rStyle w:val="Strong"/>
          <w:rFonts w:ascii="Times New Roman" w:hAnsi="Times New Roman" w:cs="Times New Roman"/>
          <w:b w:val="0"/>
          <w:bCs/>
          <w:sz w:val="24"/>
          <w:szCs w:val="24"/>
        </w:rPr>
        <w:t>(46.80%)</w:t>
      </w:r>
      <w:r w:rsidR="00973150" w:rsidRPr="00A158B7">
        <w:rPr>
          <w:rFonts w:ascii="Times New Roman" w:hAnsi="Times New Roman" w:cs="Times New Roman"/>
          <w:sz w:val="24"/>
          <w:szCs w:val="24"/>
        </w:rPr>
        <w:t xml:space="preserve"> of the respondents</w:t>
      </w:r>
      <w:r w:rsidR="00973150" w:rsidRPr="00A158B7">
        <w:rPr>
          <w:rStyle w:val="Strong"/>
          <w:rFonts w:ascii="Times New Roman" w:hAnsi="Times New Roman" w:cs="Times New Roman"/>
          <w:b w:val="0"/>
          <w:bCs/>
          <w:sz w:val="24"/>
          <w:szCs w:val="24"/>
        </w:rPr>
        <w:t xml:space="preserve"> </w:t>
      </w:r>
      <w:r w:rsidR="00973150" w:rsidRPr="00A158B7">
        <w:rPr>
          <w:rFonts w:ascii="Times New Roman" w:hAnsi="Times New Roman" w:cs="Times New Roman"/>
          <w:sz w:val="24"/>
          <w:szCs w:val="24"/>
        </w:rPr>
        <w:t xml:space="preserve">were </w:t>
      </w:r>
      <w:r w:rsidR="00973150" w:rsidRPr="00A158B7">
        <w:rPr>
          <w:rStyle w:val="Strong"/>
          <w:rFonts w:ascii="Times New Roman" w:hAnsi="Times New Roman" w:cs="Times New Roman"/>
          <w:b w:val="0"/>
          <w:bCs/>
          <w:sz w:val="24"/>
          <w:szCs w:val="24"/>
        </w:rPr>
        <w:t>underweight</w:t>
      </w:r>
      <w:r w:rsidR="00973150" w:rsidRPr="00A158B7">
        <w:rPr>
          <w:rFonts w:ascii="Times New Roman" w:hAnsi="Times New Roman" w:cs="Times New Roman"/>
          <w:sz w:val="24"/>
          <w:szCs w:val="24"/>
        </w:rPr>
        <w:t xml:space="preserve">, while </w:t>
      </w:r>
      <w:r w:rsidR="00973150" w:rsidRPr="00A158B7">
        <w:rPr>
          <w:rStyle w:val="Strong"/>
          <w:rFonts w:ascii="Times New Roman" w:hAnsi="Times New Roman" w:cs="Times New Roman"/>
          <w:b w:val="0"/>
          <w:bCs/>
          <w:sz w:val="24"/>
          <w:szCs w:val="24"/>
        </w:rPr>
        <w:t>50.00 per cent</w:t>
      </w:r>
      <w:r w:rsidR="00973150" w:rsidRPr="00A158B7">
        <w:rPr>
          <w:rFonts w:ascii="Times New Roman" w:hAnsi="Times New Roman" w:cs="Times New Roman"/>
          <w:sz w:val="24"/>
          <w:szCs w:val="24"/>
        </w:rPr>
        <w:t xml:space="preserve"> had </w:t>
      </w:r>
      <w:r w:rsidR="00973150" w:rsidRPr="00A158B7">
        <w:rPr>
          <w:rStyle w:val="Strong"/>
          <w:rFonts w:ascii="Times New Roman" w:hAnsi="Times New Roman" w:cs="Times New Roman"/>
          <w:b w:val="0"/>
          <w:bCs/>
          <w:sz w:val="24"/>
          <w:szCs w:val="24"/>
        </w:rPr>
        <w:t>normal weight</w:t>
      </w:r>
      <w:r w:rsidR="00973150" w:rsidRPr="00A158B7">
        <w:rPr>
          <w:rFonts w:ascii="Times New Roman" w:hAnsi="Times New Roman" w:cs="Times New Roman"/>
          <w:sz w:val="24"/>
          <w:szCs w:val="24"/>
        </w:rPr>
        <w:t xml:space="preserve">. Only few respondents </w:t>
      </w:r>
      <w:r w:rsidR="00973150" w:rsidRPr="00A158B7">
        <w:rPr>
          <w:rStyle w:val="Strong"/>
          <w:rFonts w:ascii="Times New Roman" w:hAnsi="Times New Roman" w:cs="Times New Roman"/>
          <w:b w:val="0"/>
          <w:bCs/>
          <w:sz w:val="24"/>
          <w:szCs w:val="24"/>
        </w:rPr>
        <w:t>(3.20%)</w:t>
      </w:r>
      <w:r w:rsidR="00973150" w:rsidRPr="00A158B7">
        <w:rPr>
          <w:rFonts w:ascii="Times New Roman" w:hAnsi="Times New Roman" w:cs="Times New Roman"/>
          <w:sz w:val="24"/>
          <w:szCs w:val="24"/>
        </w:rPr>
        <w:t xml:space="preserve"> were found to be </w:t>
      </w:r>
      <w:r w:rsidR="00973150" w:rsidRPr="00A158B7">
        <w:rPr>
          <w:rStyle w:val="Strong"/>
          <w:rFonts w:ascii="Times New Roman" w:hAnsi="Times New Roman" w:cs="Times New Roman"/>
          <w:b w:val="0"/>
          <w:bCs/>
          <w:sz w:val="24"/>
          <w:szCs w:val="24"/>
        </w:rPr>
        <w:t>overweight</w:t>
      </w:r>
      <w:r w:rsidR="00973150" w:rsidRPr="00A158B7">
        <w:rPr>
          <w:rFonts w:ascii="Times New Roman" w:hAnsi="Times New Roman" w:cs="Times New Roman"/>
          <w:sz w:val="24"/>
          <w:szCs w:val="24"/>
        </w:rPr>
        <w:t xml:space="preserve">. </w:t>
      </w:r>
      <w:r w:rsidR="00CE5644" w:rsidRPr="00A158B7">
        <w:rPr>
          <w:rFonts w:ascii="Times New Roman" w:hAnsi="Times New Roman" w:cs="Times New Roman"/>
          <w:sz w:val="24"/>
          <w:szCs w:val="24"/>
        </w:rPr>
        <w:t xml:space="preserve"> A study s</w:t>
      </w:r>
      <w:r w:rsidR="00CE5644" w:rsidRPr="00A158B7">
        <w:rPr>
          <w:rFonts w:ascii="Times New Roman" w:hAnsi="Times New Roman" w:cs="Times New Roman"/>
        </w:rPr>
        <w:t xml:space="preserve">upported by </w:t>
      </w:r>
      <w:r w:rsidR="00D148F9">
        <w:rPr>
          <w:rFonts w:ascii="Times New Roman" w:hAnsi="Times New Roman" w:cs="Times New Roman"/>
          <w:sz w:val="24"/>
        </w:rPr>
        <w:t xml:space="preserve">the study conducted by </w:t>
      </w:r>
      <w:proofErr w:type="spellStart"/>
      <w:r w:rsidR="00D148F9" w:rsidRPr="00D148F9">
        <w:rPr>
          <w:rFonts w:ascii="Times New Roman" w:hAnsi="Times New Roman" w:cs="Times New Roman"/>
          <w:sz w:val="24"/>
        </w:rPr>
        <w:t>Khadatkar</w:t>
      </w:r>
      <w:proofErr w:type="spellEnd"/>
      <w:r w:rsidR="00D148F9">
        <w:rPr>
          <w:rFonts w:ascii="Times New Roman" w:hAnsi="Times New Roman" w:cs="Times New Roman"/>
          <w:sz w:val="24"/>
        </w:rPr>
        <w:t xml:space="preserve"> </w:t>
      </w:r>
      <w:r w:rsidR="00D148F9" w:rsidRPr="00D148F9">
        <w:rPr>
          <w:rFonts w:ascii="Times New Roman" w:hAnsi="Times New Roman" w:cs="Times New Roman"/>
          <w:i/>
          <w:sz w:val="24"/>
        </w:rPr>
        <w:t>et al.,</w:t>
      </w:r>
      <w:r w:rsidR="00D148F9">
        <w:rPr>
          <w:rFonts w:ascii="Times New Roman" w:hAnsi="Times New Roman" w:cs="Times New Roman"/>
          <w:bCs/>
          <w:sz w:val="24"/>
        </w:rPr>
        <w:t xml:space="preserve"> (2024</w:t>
      </w:r>
      <w:r w:rsidR="00CE5644" w:rsidRPr="00063E8A">
        <w:rPr>
          <w:rFonts w:ascii="Times New Roman" w:hAnsi="Times New Roman" w:cs="Times New Roman"/>
          <w:bCs/>
          <w:sz w:val="24"/>
        </w:rPr>
        <w:t>)</w:t>
      </w:r>
      <w:r w:rsidR="00D148F9">
        <w:rPr>
          <w:rFonts w:ascii="Times New Roman" w:hAnsi="Times New Roman" w:cs="Times New Roman"/>
          <w:sz w:val="24"/>
        </w:rPr>
        <w:t>,</w:t>
      </w:r>
      <w:r w:rsidR="00D148F9" w:rsidRPr="00D148F9">
        <w:t xml:space="preserve"> </w:t>
      </w:r>
      <w:r w:rsidR="00D148F9" w:rsidRPr="00D148F9">
        <w:rPr>
          <w:rFonts w:ascii="Times New Roman" w:hAnsi="Times New Roman" w:cs="Times New Roman"/>
          <w:sz w:val="24"/>
        </w:rPr>
        <w:t xml:space="preserve">on farm women in Madhya Pradesh, which reported that about 28 per cent of women were underweight while the majority (52.4%) had normal BMI, highlighting the persistence of undernutrition among women involved in agricultural </w:t>
      </w:r>
      <w:proofErr w:type="spellStart"/>
      <w:r w:rsidR="00D148F9" w:rsidRPr="00D148F9">
        <w:rPr>
          <w:rFonts w:ascii="Times New Roman" w:hAnsi="Times New Roman" w:cs="Times New Roman"/>
          <w:sz w:val="24"/>
        </w:rPr>
        <w:t>labour</w:t>
      </w:r>
      <w:proofErr w:type="spellEnd"/>
      <w:r w:rsidR="00D148F9">
        <w:t>.</w:t>
      </w:r>
    </w:p>
    <w:p w14:paraId="0887692C" w14:textId="77777777" w:rsidR="00973150" w:rsidRPr="00063E8A" w:rsidRDefault="00030F8D" w:rsidP="00C01183">
      <w:pPr>
        <w:spacing w:after="0" w:line="240" w:lineRule="auto"/>
        <w:jc w:val="both"/>
        <w:rPr>
          <w:rFonts w:ascii="Times New Roman" w:hAnsi="Times New Roman" w:cs="Times New Roman"/>
          <w:b/>
          <w:sz w:val="24"/>
          <w:szCs w:val="24"/>
        </w:rPr>
      </w:pPr>
      <w:r w:rsidRPr="00063E8A">
        <w:rPr>
          <w:rFonts w:ascii="Times New Roman" w:hAnsi="Times New Roman" w:cs="Times New Roman"/>
          <w:b/>
          <w:sz w:val="24"/>
          <w:szCs w:val="24"/>
        </w:rPr>
        <w:t>Table 2</w:t>
      </w:r>
      <w:r w:rsidR="00973150" w:rsidRPr="00063E8A">
        <w:rPr>
          <w:rFonts w:ascii="Times New Roman" w:hAnsi="Times New Roman" w:cs="Times New Roman"/>
          <w:b/>
          <w:sz w:val="24"/>
          <w:szCs w:val="24"/>
        </w:rPr>
        <w:t xml:space="preserve">. Predictor variables of quality of life among migratory women workers in sugarcane harvesting </w:t>
      </w:r>
      <w:r w:rsidR="00063E8A" w:rsidRPr="00063E8A">
        <w:rPr>
          <w:rFonts w:ascii="Times New Roman" w:hAnsi="Times New Roman" w:cs="Times New Roman"/>
          <w:b/>
          <w:sz w:val="24"/>
          <w:szCs w:val="24"/>
        </w:rPr>
        <w:t xml:space="preserve">             </w:t>
      </w:r>
      <w:r w:rsidR="00973150" w:rsidRPr="00063E8A">
        <w:rPr>
          <w:rFonts w:ascii="Times New Roman" w:hAnsi="Times New Roman" w:cs="Times New Roman"/>
          <w:b/>
          <w:sz w:val="24"/>
          <w:szCs w:val="24"/>
        </w:rPr>
        <w:t xml:space="preserve">                                                                                        </w:t>
      </w:r>
      <w:r w:rsidR="00063E8A" w:rsidRPr="00063E8A">
        <w:rPr>
          <w:rFonts w:ascii="Times New Roman" w:hAnsi="Times New Roman" w:cs="Times New Roman"/>
          <w:b/>
          <w:sz w:val="24"/>
          <w:szCs w:val="24"/>
        </w:rPr>
        <w:t xml:space="preserve">                         </w:t>
      </w:r>
      <w:r w:rsidR="00973150" w:rsidRPr="00063E8A">
        <w:rPr>
          <w:rFonts w:ascii="Times New Roman" w:hAnsi="Times New Roman" w:cs="Times New Roman"/>
          <w:b/>
          <w:sz w:val="24"/>
          <w:szCs w:val="24"/>
        </w:rPr>
        <w:t xml:space="preserve">  N=220</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6"/>
        <w:gridCol w:w="1030"/>
        <w:gridCol w:w="1004"/>
        <w:gridCol w:w="1022"/>
        <w:gridCol w:w="1030"/>
        <w:gridCol w:w="1031"/>
        <w:gridCol w:w="1007"/>
      </w:tblGrid>
      <w:tr w:rsidR="00973150" w:rsidRPr="00A158B7" w14:paraId="47B23298" w14:textId="77777777" w:rsidTr="00C01183">
        <w:trPr>
          <w:trHeight w:val="289"/>
          <w:jc w:val="center"/>
        </w:trPr>
        <w:tc>
          <w:tcPr>
            <w:tcW w:w="2966" w:type="dxa"/>
            <w:vMerge w:val="restart"/>
            <w:tcBorders>
              <w:top w:val="single" w:sz="4" w:space="0" w:color="auto"/>
              <w:left w:val="single" w:sz="4" w:space="0" w:color="auto"/>
              <w:bottom w:val="single" w:sz="4" w:space="0" w:color="auto"/>
              <w:right w:val="single" w:sz="4" w:space="0" w:color="auto"/>
            </w:tcBorders>
            <w:vAlign w:val="center"/>
            <w:hideMark/>
          </w:tcPr>
          <w:p w14:paraId="4DDA6020"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Predictors</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4DA68CBB"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Model 1</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0971CB5D"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Model 2</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6D9351B3"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Model 3</w:t>
            </w:r>
          </w:p>
        </w:tc>
      </w:tr>
      <w:tr w:rsidR="00973150" w:rsidRPr="00A158B7" w14:paraId="5DDE3F3F" w14:textId="77777777" w:rsidTr="00C0118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BC0B8" w14:textId="77777777" w:rsidR="00973150" w:rsidRPr="00063E8A" w:rsidRDefault="00973150" w:rsidP="00627723">
            <w:pPr>
              <w:spacing w:after="0" w:line="240" w:lineRule="auto"/>
              <w:jc w:val="center"/>
              <w:rPr>
                <w:rFonts w:ascii="Times New Roman" w:eastAsia="Times New Roman" w:hAnsi="Times New Roman" w:cs="Times New Roman"/>
                <w:b/>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hideMark/>
          </w:tcPr>
          <w:p w14:paraId="672D21F7"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B</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97CF9BD"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SE</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A85AEE9"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5940606"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SE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AB7E4CE"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B</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BD17765"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SE</w:t>
            </w:r>
          </w:p>
        </w:tc>
      </w:tr>
      <w:tr w:rsidR="00973150" w:rsidRPr="00A158B7" w14:paraId="0D1FE923" w14:textId="77777777" w:rsidTr="00C01183">
        <w:trPr>
          <w:trHeight w:val="289"/>
          <w:jc w:val="center"/>
        </w:trPr>
        <w:tc>
          <w:tcPr>
            <w:tcW w:w="9090" w:type="dxa"/>
            <w:gridSpan w:val="7"/>
            <w:tcBorders>
              <w:top w:val="single" w:sz="4" w:space="0" w:color="auto"/>
              <w:left w:val="single" w:sz="4" w:space="0" w:color="auto"/>
              <w:bottom w:val="single" w:sz="4" w:space="0" w:color="auto"/>
              <w:right w:val="single" w:sz="4" w:space="0" w:color="auto"/>
            </w:tcBorders>
            <w:vAlign w:val="center"/>
            <w:hideMark/>
          </w:tcPr>
          <w:p w14:paraId="322D40E9" w14:textId="77777777" w:rsidR="00973150" w:rsidRPr="00063E8A" w:rsidRDefault="00973150" w:rsidP="00C01183">
            <w:pPr>
              <w:spacing w:after="0" w:line="240" w:lineRule="auto"/>
              <w:ind w:left="-57" w:right="-57"/>
              <w:jc w:val="both"/>
              <w:rPr>
                <w:rFonts w:ascii="Times New Roman" w:hAnsi="Times New Roman" w:cs="Times New Roman"/>
                <w:b/>
                <w:sz w:val="24"/>
                <w:szCs w:val="24"/>
              </w:rPr>
            </w:pPr>
            <w:r w:rsidRPr="00063E8A">
              <w:rPr>
                <w:rFonts w:ascii="Times New Roman" w:hAnsi="Times New Roman" w:cs="Times New Roman"/>
                <w:b/>
                <w:sz w:val="24"/>
                <w:szCs w:val="24"/>
              </w:rPr>
              <w:t>Individual characteristics</w:t>
            </w:r>
          </w:p>
        </w:tc>
      </w:tr>
      <w:tr w:rsidR="00973150" w:rsidRPr="00A158B7" w14:paraId="099E9234"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1C3FA9E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166A42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-0.103</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9B3D80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0.227</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372CA4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0.230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5C5C6F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0.230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F6E3FF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0.001</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39942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0.018</w:t>
            </w:r>
          </w:p>
        </w:tc>
      </w:tr>
      <w:tr w:rsidR="00973150" w:rsidRPr="00A158B7" w14:paraId="6253A547"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235B9BB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Education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C70EE7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0.044*</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378BC7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0.172</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9E329C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0.173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AC582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0.173</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631A9E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-0.104</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A4F614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-1.557</w:t>
            </w:r>
          </w:p>
        </w:tc>
      </w:tr>
      <w:tr w:rsidR="00973150" w:rsidRPr="00A158B7" w14:paraId="54FF277F"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DF86F6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Food habit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ED5CD3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-1.103</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B2F26F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0.414</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AF716D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0.382</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435189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0.382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3FD3FC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0.094</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585B1B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1.411</w:t>
            </w:r>
          </w:p>
        </w:tc>
      </w:tr>
      <w:tr w:rsidR="00973150" w:rsidRPr="00A158B7" w14:paraId="3A65E3EB"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5B9B1C8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migration</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8A3899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-2.050*</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4E2586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0.379</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A66F6A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3.040*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B1179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0.240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870ECF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-1.0*15</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F408C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-2.660</w:t>
            </w:r>
          </w:p>
        </w:tc>
      </w:tr>
      <w:tr w:rsidR="00973150" w:rsidRPr="00A158B7" w14:paraId="69E835F5"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71E5939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Occupational health hazards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F5C3DA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4.029*</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0B53CC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0.240</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3EA733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-5.051*</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452F0A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0.015</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CE7112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-0.012*</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78AFBB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-0.186</w:t>
            </w:r>
          </w:p>
        </w:tc>
      </w:tr>
      <w:tr w:rsidR="00973150" w:rsidRPr="00A158B7" w14:paraId="7D84A926" w14:textId="77777777" w:rsidTr="00C01183">
        <w:trPr>
          <w:trHeight w:val="289"/>
          <w:jc w:val="center"/>
        </w:trPr>
        <w:tc>
          <w:tcPr>
            <w:tcW w:w="9090" w:type="dxa"/>
            <w:gridSpan w:val="7"/>
            <w:tcBorders>
              <w:top w:val="single" w:sz="4" w:space="0" w:color="auto"/>
              <w:left w:val="single" w:sz="4" w:space="0" w:color="auto"/>
              <w:bottom w:val="single" w:sz="4" w:space="0" w:color="auto"/>
              <w:right w:val="single" w:sz="4" w:space="0" w:color="auto"/>
            </w:tcBorders>
            <w:vAlign w:val="center"/>
            <w:hideMark/>
          </w:tcPr>
          <w:p w14:paraId="0C6AEFF8" w14:textId="77777777" w:rsidR="00973150" w:rsidRPr="00063E8A" w:rsidRDefault="00973150" w:rsidP="00C01183">
            <w:pPr>
              <w:spacing w:after="0" w:line="240" w:lineRule="auto"/>
              <w:ind w:left="-57" w:right="-57"/>
              <w:jc w:val="both"/>
              <w:rPr>
                <w:rFonts w:ascii="Times New Roman" w:hAnsi="Times New Roman" w:cs="Times New Roman"/>
                <w:b/>
                <w:sz w:val="24"/>
                <w:szCs w:val="24"/>
              </w:rPr>
            </w:pPr>
            <w:r w:rsidRPr="00063E8A">
              <w:rPr>
                <w:rFonts w:ascii="Times New Roman" w:hAnsi="Times New Roman" w:cs="Times New Roman"/>
                <w:b/>
                <w:sz w:val="24"/>
                <w:szCs w:val="24"/>
              </w:rPr>
              <w:t>Familial characteristics</w:t>
            </w:r>
          </w:p>
        </w:tc>
      </w:tr>
      <w:tr w:rsidR="00973150" w:rsidRPr="00A158B7" w14:paraId="7362E269"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655A0F8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No of children</w:t>
            </w:r>
          </w:p>
        </w:tc>
        <w:tc>
          <w:tcPr>
            <w:tcW w:w="1030" w:type="dxa"/>
            <w:tcBorders>
              <w:top w:val="single" w:sz="4" w:space="0" w:color="auto"/>
              <w:left w:val="single" w:sz="4" w:space="0" w:color="auto"/>
              <w:bottom w:val="single" w:sz="4" w:space="0" w:color="auto"/>
              <w:right w:val="single" w:sz="4" w:space="0" w:color="auto"/>
            </w:tcBorders>
            <w:vAlign w:val="center"/>
          </w:tcPr>
          <w:p w14:paraId="4B12066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D8C9A4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606544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BDB14A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EB36E9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0.063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4A61AE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0.945</w:t>
            </w:r>
          </w:p>
        </w:tc>
      </w:tr>
      <w:tr w:rsidR="00973150" w:rsidRPr="00A158B7" w14:paraId="709F2DFB"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394D5D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Type of family</w:t>
            </w:r>
          </w:p>
        </w:tc>
        <w:tc>
          <w:tcPr>
            <w:tcW w:w="1030" w:type="dxa"/>
            <w:tcBorders>
              <w:top w:val="single" w:sz="4" w:space="0" w:color="auto"/>
              <w:left w:val="single" w:sz="4" w:space="0" w:color="auto"/>
              <w:bottom w:val="single" w:sz="4" w:space="0" w:color="auto"/>
              <w:right w:val="single" w:sz="4" w:space="0" w:color="auto"/>
            </w:tcBorders>
            <w:vAlign w:val="center"/>
          </w:tcPr>
          <w:p w14:paraId="6FDBC6E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D6AA88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FCFC21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1.069</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054F88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0.570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6CEC0D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4C8A64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1.476</w:t>
            </w:r>
          </w:p>
        </w:tc>
      </w:tr>
      <w:tr w:rsidR="00973150" w:rsidRPr="00A158B7" w14:paraId="2ED9A43D"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25B3E7A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Size of family</w:t>
            </w:r>
          </w:p>
        </w:tc>
        <w:tc>
          <w:tcPr>
            <w:tcW w:w="1030" w:type="dxa"/>
            <w:tcBorders>
              <w:top w:val="single" w:sz="4" w:space="0" w:color="auto"/>
              <w:left w:val="single" w:sz="4" w:space="0" w:color="auto"/>
              <w:bottom w:val="single" w:sz="4" w:space="0" w:color="auto"/>
              <w:right w:val="single" w:sz="4" w:space="0" w:color="auto"/>
            </w:tcBorders>
            <w:vAlign w:val="center"/>
          </w:tcPr>
          <w:p w14:paraId="01C9BF4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3BB5AE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59A7F6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-0.224</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315463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0.201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2346D1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04B2BB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0.832</w:t>
            </w:r>
          </w:p>
        </w:tc>
      </w:tr>
      <w:tr w:rsidR="00973150" w:rsidRPr="00A158B7" w14:paraId="5277A4C5"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6E7E82F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SES</w:t>
            </w:r>
          </w:p>
        </w:tc>
        <w:tc>
          <w:tcPr>
            <w:tcW w:w="1030" w:type="dxa"/>
            <w:tcBorders>
              <w:top w:val="single" w:sz="4" w:space="0" w:color="auto"/>
              <w:left w:val="single" w:sz="4" w:space="0" w:color="auto"/>
              <w:bottom w:val="single" w:sz="4" w:space="0" w:color="auto"/>
              <w:right w:val="single" w:sz="4" w:space="0" w:color="auto"/>
            </w:tcBorders>
            <w:vAlign w:val="center"/>
          </w:tcPr>
          <w:p w14:paraId="067215A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61B60AE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FCDFCB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4.025*</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C64D16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0.023</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2C2E70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1.636*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A25429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0.000</w:t>
            </w:r>
          </w:p>
        </w:tc>
      </w:tr>
      <w:tr w:rsidR="00973150" w:rsidRPr="00A158B7" w14:paraId="3589DC54" w14:textId="77777777" w:rsidTr="00C01183">
        <w:trPr>
          <w:trHeight w:val="289"/>
          <w:jc w:val="center"/>
        </w:trPr>
        <w:tc>
          <w:tcPr>
            <w:tcW w:w="9090" w:type="dxa"/>
            <w:gridSpan w:val="7"/>
            <w:tcBorders>
              <w:top w:val="single" w:sz="4" w:space="0" w:color="auto"/>
              <w:left w:val="single" w:sz="4" w:space="0" w:color="auto"/>
              <w:bottom w:val="single" w:sz="4" w:space="0" w:color="auto"/>
              <w:right w:val="single" w:sz="4" w:space="0" w:color="auto"/>
            </w:tcBorders>
            <w:vAlign w:val="center"/>
            <w:hideMark/>
          </w:tcPr>
          <w:p w14:paraId="52F90035" w14:textId="77777777" w:rsidR="00973150" w:rsidRPr="00063E8A" w:rsidRDefault="00973150" w:rsidP="00C01183">
            <w:pPr>
              <w:autoSpaceDE w:val="0"/>
              <w:autoSpaceDN w:val="0"/>
              <w:adjustRightInd w:val="0"/>
              <w:spacing w:after="0" w:line="240" w:lineRule="auto"/>
              <w:ind w:left="-57" w:right="-57"/>
              <w:jc w:val="both"/>
              <w:rPr>
                <w:rFonts w:ascii="Times New Roman" w:hAnsi="Times New Roman" w:cs="Times New Roman"/>
                <w:b/>
                <w:color w:val="000000"/>
                <w:sz w:val="24"/>
                <w:szCs w:val="24"/>
              </w:rPr>
            </w:pPr>
            <w:r w:rsidRPr="00063E8A">
              <w:rPr>
                <w:rFonts w:ascii="Times New Roman" w:hAnsi="Times New Roman" w:cs="Times New Roman"/>
                <w:b/>
                <w:sz w:val="24"/>
                <w:szCs w:val="24"/>
              </w:rPr>
              <w:t>Maternal health characteristics</w:t>
            </w:r>
          </w:p>
        </w:tc>
      </w:tr>
      <w:tr w:rsidR="00973150" w:rsidRPr="00A158B7" w14:paraId="43DE3405"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04D64BA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menarche</w:t>
            </w:r>
          </w:p>
        </w:tc>
        <w:tc>
          <w:tcPr>
            <w:tcW w:w="1030" w:type="dxa"/>
            <w:tcBorders>
              <w:top w:val="single" w:sz="4" w:space="0" w:color="auto"/>
              <w:left w:val="single" w:sz="4" w:space="0" w:color="auto"/>
              <w:bottom w:val="single" w:sz="4" w:space="0" w:color="auto"/>
              <w:right w:val="single" w:sz="4" w:space="0" w:color="auto"/>
            </w:tcBorders>
            <w:vAlign w:val="center"/>
          </w:tcPr>
          <w:p w14:paraId="2C20DD9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3E101B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6A0B442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4D42B6B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368011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0.007</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7FF9AB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0.109</w:t>
            </w:r>
          </w:p>
        </w:tc>
      </w:tr>
      <w:tr w:rsidR="00973150" w:rsidRPr="00A158B7" w14:paraId="5ACDF256"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3E7E74B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lastRenderedPageBreak/>
              <w:t>Duration of menstrual  flow</w:t>
            </w:r>
          </w:p>
        </w:tc>
        <w:tc>
          <w:tcPr>
            <w:tcW w:w="1030" w:type="dxa"/>
            <w:tcBorders>
              <w:top w:val="single" w:sz="4" w:space="0" w:color="auto"/>
              <w:left w:val="single" w:sz="4" w:space="0" w:color="auto"/>
              <w:bottom w:val="single" w:sz="4" w:space="0" w:color="auto"/>
              <w:right w:val="single" w:sz="4" w:space="0" w:color="auto"/>
            </w:tcBorders>
            <w:vAlign w:val="center"/>
          </w:tcPr>
          <w:p w14:paraId="1451571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F8704C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49CFA7C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E635FF2"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05648FA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-2.105</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DE87B4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-10.601</w:t>
            </w:r>
          </w:p>
        </w:tc>
      </w:tr>
      <w:tr w:rsidR="00973150" w:rsidRPr="00A158B7" w14:paraId="690574EC"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29D6B93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marriage</w:t>
            </w:r>
          </w:p>
        </w:tc>
        <w:tc>
          <w:tcPr>
            <w:tcW w:w="1030" w:type="dxa"/>
            <w:tcBorders>
              <w:top w:val="single" w:sz="4" w:space="0" w:color="auto"/>
              <w:left w:val="single" w:sz="4" w:space="0" w:color="auto"/>
              <w:bottom w:val="single" w:sz="4" w:space="0" w:color="auto"/>
              <w:right w:val="single" w:sz="4" w:space="0" w:color="auto"/>
            </w:tcBorders>
            <w:vAlign w:val="center"/>
          </w:tcPr>
          <w:p w14:paraId="2D8C430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8F356E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2A59B81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4EF7C14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1BF0E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2.107*</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99DE27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0.622</w:t>
            </w:r>
          </w:p>
        </w:tc>
      </w:tr>
      <w:tr w:rsidR="00973150" w:rsidRPr="00A158B7" w14:paraId="50873617"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11637A7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at pregnancy </w:t>
            </w:r>
          </w:p>
        </w:tc>
        <w:tc>
          <w:tcPr>
            <w:tcW w:w="1030" w:type="dxa"/>
            <w:tcBorders>
              <w:top w:val="single" w:sz="4" w:space="0" w:color="auto"/>
              <w:left w:val="single" w:sz="4" w:space="0" w:color="auto"/>
              <w:bottom w:val="single" w:sz="4" w:space="0" w:color="auto"/>
              <w:right w:val="single" w:sz="4" w:space="0" w:color="auto"/>
            </w:tcBorders>
            <w:vAlign w:val="center"/>
          </w:tcPr>
          <w:p w14:paraId="305D32C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272654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79A2F10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7B04D2B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0315748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-0.008</w:t>
            </w:r>
            <w:r w:rsidRPr="00A158B7">
              <w:rPr>
                <w:rFonts w:ascii="Times New Roman" w:hAnsi="Times New Roman" w:cs="Times New Roman"/>
                <w:color w:val="000000"/>
                <w:sz w:val="24"/>
                <w:szCs w:val="24"/>
                <w:vertAlign w:val="superscript"/>
              </w:rPr>
              <w:t>*</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925219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-0.119</w:t>
            </w:r>
          </w:p>
        </w:tc>
      </w:tr>
      <w:tr w:rsidR="00973150" w:rsidRPr="00A158B7" w14:paraId="50C3C9F3"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6E32E7B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Space between children</w:t>
            </w:r>
          </w:p>
        </w:tc>
        <w:tc>
          <w:tcPr>
            <w:tcW w:w="1030" w:type="dxa"/>
            <w:tcBorders>
              <w:top w:val="single" w:sz="4" w:space="0" w:color="auto"/>
              <w:left w:val="single" w:sz="4" w:space="0" w:color="auto"/>
              <w:bottom w:val="single" w:sz="4" w:space="0" w:color="auto"/>
              <w:right w:val="single" w:sz="4" w:space="0" w:color="auto"/>
            </w:tcBorders>
            <w:vAlign w:val="center"/>
          </w:tcPr>
          <w:p w14:paraId="31F0761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0EFB1D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368567C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6EA463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54952D9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2.059</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A02996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1.891</w:t>
            </w:r>
          </w:p>
        </w:tc>
      </w:tr>
      <w:tr w:rsidR="00973150" w:rsidRPr="00A158B7" w14:paraId="44CB12C9"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02275EB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Still birth </w:t>
            </w:r>
          </w:p>
        </w:tc>
        <w:tc>
          <w:tcPr>
            <w:tcW w:w="1030" w:type="dxa"/>
            <w:tcBorders>
              <w:top w:val="single" w:sz="4" w:space="0" w:color="auto"/>
              <w:left w:val="single" w:sz="4" w:space="0" w:color="auto"/>
              <w:bottom w:val="single" w:sz="4" w:space="0" w:color="auto"/>
              <w:right w:val="single" w:sz="4" w:space="0" w:color="auto"/>
            </w:tcBorders>
            <w:vAlign w:val="center"/>
          </w:tcPr>
          <w:p w14:paraId="3B68B05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A413BF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73A56A9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2BF6D4C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374CEF6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1.098*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D89A6A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0.491</w:t>
            </w:r>
          </w:p>
        </w:tc>
      </w:tr>
      <w:tr w:rsidR="00973150" w:rsidRPr="00A158B7" w14:paraId="53FE92FC"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D9C72C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Successful breast feeding</w:t>
            </w:r>
          </w:p>
        </w:tc>
        <w:tc>
          <w:tcPr>
            <w:tcW w:w="1030" w:type="dxa"/>
            <w:tcBorders>
              <w:top w:val="single" w:sz="4" w:space="0" w:color="auto"/>
              <w:left w:val="single" w:sz="4" w:space="0" w:color="auto"/>
              <w:bottom w:val="single" w:sz="4" w:space="0" w:color="auto"/>
              <w:right w:val="single" w:sz="4" w:space="0" w:color="auto"/>
            </w:tcBorders>
            <w:vAlign w:val="center"/>
          </w:tcPr>
          <w:p w14:paraId="35EAFF6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354C91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36B44E4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E2CC7F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570079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84D2E8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0.476</w:t>
            </w:r>
          </w:p>
        </w:tc>
      </w:tr>
      <w:tr w:rsidR="00973150" w:rsidRPr="00A158B7" w14:paraId="0AD8C808"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6859B24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R square</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54181FE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0.128</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3C8C0AC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0.190</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638545E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0.230</w:t>
            </w:r>
          </w:p>
        </w:tc>
      </w:tr>
      <w:tr w:rsidR="00973150" w:rsidRPr="00A158B7" w14:paraId="7347A8F3"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97E851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Adjusted R square </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45C4A74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0.102</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2453676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0.136</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2EB1BA5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0.222</w:t>
            </w:r>
          </w:p>
        </w:tc>
      </w:tr>
      <w:tr w:rsidR="00973150" w:rsidRPr="00A158B7" w14:paraId="474B9FFB" w14:textId="77777777" w:rsidTr="00C01183">
        <w:trPr>
          <w:trHeight w:val="321"/>
          <w:jc w:val="center"/>
        </w:trPr>
        <w:tc>
          <w:tcPr>
            <w:tcW w:w="2966" w:type="dxa"/>
            <w:tcBorders>
              <w:top w:val="single" w:sz="4" w:space="0" w:color="auto"/>
              <w:left w:val="single" w:sz="4" w:space="0" w:color="auto"/>
              <w:bottom w:val="single" w:sz="4" w:space="0" w:color="auto"/>
              <w:right w:val="single" w:sz="4" w:space="0" w:color="auto"/>
            </w:tcBorders>
            <w:hideMark/>
          </w:tcPr>
          <w:p w14:paraId="1F29555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Standard error of the estimate </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0FBB7CD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0.708</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26B016B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0.709</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4C6484E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0.705</w:t>
            </w:r>
          </w:p>
        </w:tc>
      </w:tr>
      <w:tr w:rsidR="00973150" w:rsidRPr="00A158B7" w14:paraId="5F9C3944" w14:textId="77777777" w:rsidTr="00C01183">
        <w:trPr>
          <w:trHeight w:val="298"/>
          <w:jc w:val="center"/>
        </w:trPr>
        <w:tc>
          <w:tcPr>
            <w:tcW w:w="2966" w:type="dxa"/>
            <w:tcBorders>
              <w:top w:val="single" w:sz="4" w:space="0" w:color="auto"/>
              <w:left w:val="single" w:sz="4" w:space="0" w:color="auto"/>
              <w:bottom w:val="single" w:sz="4" w:space="0" w:color="auto"/>
              <w:right w:val="single" w:sz="4" w:space="0" w:color="auto"/>
            </w:tcBorders>
            <w:hideMark/>
          </w:tcPr>
          <w:p w14:paraId="3B45490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 value</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6C0EAFF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7.573*</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0A8243B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10.254*</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426CB65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11.321*</w:t>
            </w:r>
          </w:p>
        </w:tc>
      </w:tr>
    </w:tbl>
    <w:p w14:paraId="074DC3BE" w14:textId="77777777" w:rsidR="00973150" w:rsidRPr="00A158B7" w:rsidRDefault="00973150" w:rsidP="00A158B7">
      <w:pPr>
        <w:spacing w:after="0" w:line="360" w:lineRule="auto"/>
        <w:jc w:val="both"/>
        <w:rPr>
          <w:rFonts w:ascii="Times New Roman" w:eastAsia="Times New Roman" w:hAnsi="Times New Roman" w:cs="Times New Roman"/>
          <w:sz w:val="20"/>
          <w:szCs w:val="24"/>
        </w:rPr>
      </w:pPr>
      <w:r w:rsidRPr="00A158B7">
        <w:rPr>
          <w:rFonts w:ascii="Times New Roman" w:hAnsi="Times New Roman" w:cs="Times New Roman"/>
          <w:sz w:val="20"/>
          <w:szCs w:val="24"/>
        </w:rPr>
        <w:t>*Significant at 0.05 level</w:t>
      </w:r>
    </w:p>
    <w:p w14:paraId="4D5B01ED" w14:textId="77777777" w:rsidR="00CE5644" w:rsidRPr="00063E8A" w:rsidRDefault="00030F8D" w:rsidP="00063E8A">
      <w:pPr>
        <w:spacing w:after="0" w:line="360" w:lineRule="auto"/>
        <w:ind w:firstLine="720"/>
        <w:jc w:val="both"/>
        <w:rPr>
          <w:rFonts w:ascii="Times New Roman" w:hAnsi="Times New Roman" w:cs="Times New Roman"/>
          <w:sz w:val="28"/>
          <w:szCs w:val="24"/>
        </w:rPr>
      </w:pPr>
      <w:r w:rsidRPr="00A158B7">
        <w:rPr>
          <w:rFonts w:ascii="Times New Roman" w:hAnsi="Times New Roman" w:cs="Times New Roman"/>
          <w:sz w:val="24"/>
          <w:szCs w:val="24"/>
        </w:rPr>
        <w:t>Table 2</w:t>
      </w:r>
      <w:r w:rsidR="00973150" w:rsidRPr="00A158B7">
        <w:rPr>
          <w:rFonts w:ascii="Times New Roman" w:hAnsi="Times New Roman" w:cs="Times New Roman"/>
          <w:sz w:val="24"/>
          <w:szCs w:val="24"/>
        </w:rPr>
        <w:t xml:space="preserve"> represents predictor variables of quality of life among migratory women workers in sugarcane harvesting. Model I, individual characteristics (age, education, food habit, duration of migration and occupational health hazards) contributes about 10 per cent of variation.</w:t>
      </w:r>
      <w:r w:rsidR="00CE5644" w:rsidRPr="00A158B7">
        <w:rPr>
          <w:rFonts w:ascii="Times New Roman" w:hAnsi="Times New Roman" w:cs="Times New Roman"/>
        </w:rPr>
        <w:t xml:space="preserve"> </w:t>
      </w:r>
      <w:r w:rsidR="00CE5644" w:rsidRPr="00063E8A">
        <w:rPr>
          <w:rFonts w:ascii="Times New Roman" w:hAnsi="Times New Roman" w:cs="Times New Roman"/>
          <w:sz w:val="24"/>
        </w:rPr>
        <w:t xml:space="preserve">Similar findings were reported by </w:t>
      </w:r>
      <w:r w:rsidR="00063E8A">
        <w:rPr>
          <w:rFonts w:ascii="Times New Roman" w:hAnsi="Times New Roman" w:cs="Times New Roman"/>
          <w:bCs/>
          <w:sz w:val="24"/>
        </w:rPr>
        <w:t>Rao,</w:t>
      </w:r>
      <w:r w:rsidR="00CE5644" w:rsidRPr="00063E8A">
        <w:rPr>
          <w:rFonts w:ascii="Times New Roman" w:hAnsi="Times New Roman" w:cs="Times New Roman"/>
          <w:bCs/>
          <w:sz w:val="24"/>
        </w:rPr>
        <w:t xml:space="preserve"> (2021)</w:t>
      </w:r>
      <w:r w:rsidR="00CE5644" w:rsidRPr="00063E8A">
        <w:rPr>
          <w:rFonts w:ascii="Times New Roman" w:hAnsi="Times New Roman" w:cs="Times New Roman"/>
          <w:sz w:val="24"/>
        </w:rPr>
        <w:t xml:space="preserve">, who observed that individual factors like age, work burden, and occupational risks significantly influenced the quality of life among migrant women </w:t>
      </w:r>
      <w:proofErr w:type="spellStart"/>
      <w:r w:rsidR="00CE5644" w:rsidRPr="00063E8A">
        <w:rPr>
          <w:rFonts w:ascii="Times New Roman" w:hAnsi="Times New Roman" w:cs="Times New Roman"/>
          <w:sz w:val="24"/>
        </w:rPr>
        <w:t>labourers</w:t>
      </w:r>
      <w:proofErr w:type="spellEnd"/>
      <w:r w:rsidR="00CE5644" w:rsidRPr="00063E8A">
        <w:rPr>
          <w:rFonts w:ascii="Times New Roman" w:hAnsi="Times New Roman" w:cs="Times New Roman"/>
          <w:sz w:val="24"/>
        </w:rPr>
        <w:t xml:space="preserve"> in the sugarcane sector.</w:t>
      </w:r>
    </w:p>
    <w:p w14:paraId="3765B9E3" w14:textId="149FFDC5" w:rsidR="00CE5644" w:rsidRPr="00063E8A" w:rsidRDefault="00973150"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 xml:space="preserve"> In model II, along with individual characteristics, familial characteristics such as number of children, type of family, size of family and socio-economic status were significant predictors and contributed 13 per cent of variation to quality of life. </w:t>
      </w:r>
      <w:r w:rsidR="00CE5644" w:rsidRPr="00063E8A">
        <w:rPr>
          <w:rFonts w:ascii="Times New Roman" w:hAnsi="Times New Roman" w:cs="Times New Roman"/>
          <w:sz w:val="24"/>
        </w:rPr>
        <w:t xml:space="preserve">These findings are supported by the study conducted by </w:t>
      </w:r>
      <w:r w:rsidR="000656AB" w:rsidRPr="001354CC">
        <w:rPr>
          <w:rFonts w:ascii="Times New Roman" w:hAnsi="Times New Roman" w:cs="Times New Roman"/>
          <w:sz w:val="24"/>
          <w:szCs w:val="24"/>
        </w:rPr>
        <w:t>A study by Mohanty and Srivastava (2013) reported that low socio-economic status, larger family size and higher dependency burden were significantly associated with poor quality of life and health outcomes among women in India</w:t>
      </w:r>
      <w:r w:rsidR="000656AB">
        <w:t>.</w:t>
      </w:r>
    </w:p>
    <w:p w14:paraId="54991CAB" w14:textId="060272AD" w:rsidR="00973150" w:rsidRPr="00063E8A" w:rsidRDefault="00973150" w:rsidP="00A158B7">
      <w:pPr>
        <w:spacing w:before="120" w:after="120" w:line="360" w:lineRule="auto"/>
        <w:ind w:firstLine="720"/>
        <w:jc w:val="both"/>
        <w:rPr>
          <w:rFonts w:ascii="Times New Roman" w:hAnsi="Times New Roman" w:cs="Times New Roman"/>
          <w:sz w:val="28"/>
          <w:szCs w:val="24"/>
        </w:rPr>
      </w:pPr>
      <w:r w:rsidRPr="00A158B7">
        <w:rPr>
          <w:rFonts w:ascii="Times New Roman" w:hAnsi="Times New Roman" w:cs="Times New Roman"/>
          <w:sz w:val="24"/>
          <w:szCs w:val="24"/>
        </w:rPr>
        <w:t>In model III, along with individual and familial characteristics, maternal health characteristics such as age at menarche, duration of menstrual flow, age at marriage, age at first pregnancy, spacing between children and breast feeding were significant predictors and contributed about 22 per cent of variation to quality of life.</w:t>
      </w:r>
      <w:r w:rsidR="00CE5644" w:rsidRPr="00A158B7">
        <w:rPr>
          <w:rFonts w:ascii="Times New Roman" w:hAnsi="Times New Roman" w:cs="Times New Roman"/>
        </w:rPr>
        <w:t xml:space="preserve"> </w:t>
      </w:r>
      <w:r w:rsidR="00063E8A" w:rsidRPr="00063E8A">
        <w:rPr>
          <w:rFonts w:ascii="Times New Roman" w:hAnsi="Times New Roman" w:cs="Times New Roman"/>
          <w:sz w:val="24"/>
        </w:rPr>
        <w:t>T</w:t>
      </w:r>
      <w:r w:rsidR="00CE5644" w:rsidRPr="00063E8A">
        <w:rPr>
          <w:rFonts w:ascii="Times New Roman" w:hAnsi="Times New Roman" w:cs="Times New Roman"/>
          <w:sz w:val="24"/>
        </w:rPr>
        <w:t xml:space="preserve">hese findings are in line with the study by </w:t>
      </w:r>
      <w:r w:rsidR="000656AB" w:rsidRPr="000656AB">
        <w:rPr>
          <w:rFonts w:ascii="Times New Roman" w:hAnsi="Times New Roman" w:cs="Times New Roman"/>
          <w:sz w:val="24"/>
          <w:szCs w:val="24"/>
        </w:rPr>
        <w:t xml:space="preserve">Similarly, Nguyen </w:t>
      </w:r>
      <w:r w:rsidR="000656AB" w:rsidRPr="000656AB">
        <w:rPr>
          <w:rFonts w:ascii="Times New Roman" w:hAnsi="Times New Roman" w:cs="Times New Roman"/>
          <w:i/>
          <w:sz w:val="24"/>
          <w:szCs w:val="24"/>
        </w:rPr>
        <w:t>et al.</w:t>
      </w:r>
      <w:r w:rsidR="000656AB" w:rsidRPr="000656AB">
        <w:rPr>
          <w:rFonts w:ascii="Times New Roman" w:hAnsi="Times New Roman" w:cs="Times New Roman"/>
          <w:sz w:val="24"/>
          <w:szCs w:val="24"/>
        </w:rPr>
        <w:t xml:space="preserve"> (2019) found that closely spaced pregnancies, prolonged breastfeeding without adequate nutrition and early maternal responsibilities negatively influenced women’s physical and psychological well-being.</w:t>
      </w:r>
    </w:p>
    <w:p w14:paraId="10EDB8D8" w14:textId="77777777" w:rsidR="00973150" w:rsidRPr="00C01183" w:rsidRDefault="00030F8D" w:rsidP="00C01183">
      <w:pPr>
        <w:spacing w:after="0" w:line="240" w:lineRule="auto"/>
        <w:jc w:val="both"/>
        <w:rPr>
          <w:rFonts w:ascii="Times New Roman" w:hAnsi="Times New Roman" w:cs="Times New Roman"/>
          <w:b/>
          <w:sz w:val="24"/>
          <w:szCs w:val="24"/>
        </w:rPr>
      </w:pPr>
      <w:r w:rsidRPr="00C01183">
        <w:rPr>
          <w:rFonts w:ascii="Times New Roman" w:hAnsi="Times New Roman" w:cs="Times New Roman"/>
          <w:b/>
          <w:sz w:val="24"/>
          <w:szCs w:val="24"/>
        </w:rPr>
        <w:t>Table 3</w:t>
      </w:r>
      <w:r w:rsidR="00973150" w:rsidRPr="00C01183">
        <w:rPr>
          <w:rFonts w:ascii="Times New Roman" w:hAnsi="Times New Roman" w:cs="Times New Roman"/>
          <w:b/>
          <w:sz w:val="24"/>
          <w:szCs w:val="24"/>
        </w:rPr>
        <w:t xml:space="preserve">. Predictor variables of reproductive health among migratory women workers in sugarcane harvesting                                            </w:t>
      </w:r>
      <w:r w:rsidR="00C01183" w:rsidRPr="00C01183">
        <w:rPr>
          <w:rFonts w:ascii="Times New Roman" w:hAnsi="Times New Roman" w:cs="Times New Roman"/>
          <w:b/>
          <w:sz w:val="24"/>
          <w:szCs w:val="24"/>
        </w:rPr>
        <w:t xml:space="preserve">                                                                             </w:t>
      </w:r>
      <w:r w:rsidR="00973150" w:rsidRPr="00C01183">
        <w:rPr>
          <w:rFonts w:ascii="Times New Roman" w:hAnsi="Times New Roman" w:cs="Times New Roman"/>
          <w:b/>
          <w:sz w:val="24"/>
          <w:szCs w:val="24"/>
        </w:rPr>
        <w:t xml:space="preserve">   N=220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7"/>
        <w:gridCol w:w="988"/>
        <w:gridCol w:w="962"/>
        <w:gridCol w:w="981"/>
        <w:gridCol w:w="988"/>
        <w:gridCol w:w="989"/>
        <w:gridCol w:w="964"/>
      </w:tblGrid>
      <w:tr w:rsidR="00973150" w:rsidRPr="00A158B7" w14:paraId="171D1E2C" w14:textId="77777777" w:rsidTr="00973150">
        <w:trPr>
          <w:jc w:val="center"/>
        </w:trPr>
        <w:tc>
          <w:tcPr>
            <w:tcW w:w="3247" w:type="dxa"/>
            <w:vMerge w:val="restart"/>
            <w:tcBorders>
              <w:top w:val="single" w:sz="4" w:space="0" w:color="auto"/>
              <w:left w:val="single" w:sz="4" w:space="0" w:color="auto"/>
              <w:bottom w:val="single" w:sz="4" w:space="0" w:color="auto"/>
              <w:right w:val="single" w:sz="4" w:space="0" w:color="auto"/>
            </w:tcBorders>
            <w:vAlign w:val="center"/>
            <w:hideMark/>
          </w:tcPr>
          <w:p w14:paraId="0AD8FF74"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Predictors</w:t>
            </w:r>
          </w:p>
        </w:tc>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41CCB578"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Model 1</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655A9C80"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Model 2</w:t>
            </w:r>
          </w:p>
        </w:tc>
        <w:tc>
          <w:tcPr>
            <w:tcW w:w="1953" w:type="dxa"/>
            <w:gridSpan w:val="2"/>
            <w:tcBorders>
              <w:top w:val="single" w:sz="4" w:space="0" w:color="auto"/>
              <w:left w:val="single" w:sz="4" w:space="0" w:color="auto"/>
              <w:bottom w:val="single" w:sz="4" w:space="0" w:color="auto"/>
              <w:right w:val="single" w:sz="4" w:space="0" w:color="auto"/>
            </w:tcBorders>
            <w:vAlign w:val="center"/>
            <w:hideMark/>
          </w:tcPr>
          <w:p w14:paraId="6032C785"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Model 3</w:t>
            </w:r>
          </w:p>
        </w:tc>
      </w:tr>
      <w:tr w:rsidR="00973150" w:rsidRPr="00A158B7" w14:paraId="7DBD84DC" w14:textId="77777777" w:rsidTr="009731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B4431" w14:textId="77777777" w:rsidR="00973150" w:rsidRPr="00627723" w:rsidRDefault="00973150" w:rsidP="00627723">
            <w:pPr>
              <w:spacing w:after="0" w:line="240" w:lineRule="auto"/>
              <w:jc w:val="center"/>
              <w:rPr>
                <w:rFonts w:ascii="Times New Roman" w:eastAsia="Times New Roman" w:hAnsi="Times New Roman" w:cs="Times New Roman"/>
                <w:b/>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hideMark/>
          </w:tcPr>
          <w:p w14:paraId="5813ED35"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B</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7FE931"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SE</w:t>
            </w:r>
          </w:p>
        </w:tc>
        <w:tc>
          <w:tcPr>
            <w:tcW w:w="981" w:type="dxa"/>
            <w:tcBorders>
              <w:top w:val="single" w:sz="4" w:space="0" w:color="auto"/>
              <w:left w:val="single" w:sz="4" w:space="0" w:color="auto"/>
              <w:bottom w:val="single" w:sz="4" w:space="0" w:color="auto"/>
              <w:right w:val="single" w:sz="4" w:space="0" w:color="auto"/>
            </w:tcBorders>
            <w:vAlign w:val="center"/>
            <w:hideMark/>
          </w:tcPr>
          <w:p w14:paraId="3921B599"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407C48"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SE</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ECBDDC"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B</w:t>
            </w:r>
          </w:p>
        </w:tc>
        <w:tc>
          <w:tcPr>
            <w:tcW w:w="964" w:type="dxa"/>
            <w:tcBorders>
              <w:top w:val="single" w:sz="4" w:space="0" w:color="auto"/>
              <w:left w:val="single" w:sz="4" w:space="0" w:color="auto"/>
              <w:bottom w:val="single" w:sz="4" w:space="0" w:color="auto"/>
              <w:right w:val="single" w:sz="4" w:space="0" w:color="auto"/>
            </w:tcBorders>
            <w:vAlign w:val="center"/>
            <w:hideMark/>
          </w:tcPr>
          <w:p w14:paraId="4E3C6362"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SE</w:t>
            </w:r>
          </w:p>
        </w:tc>
      </w:tr>
      <w:tr w:rsidR="00973150" w:rsidRPr="00A158B7" w14:paraId="6AFB3A38" w14:textId="77777777" w:rsidTr="00973150">
        <w:trPr>
          <w:jc w:val="center"/>
        </w:trPr>
        <w:tc>
          <w:tcPr>
            <w:tcW w:w="9119" w:type="dxa"/>
            <w:gridSpan w:val="7"/>
            <w:tcBorders>
              <w:top w:val="single" w:sz="4" w:space="0" w:color="auto"/>
              <w:left w:val="single" w:sz="4" w:space="0" w:color="auto"/>
              <w:bottom w:val="single" w:sz="4" w:space="0" w:color="auto"/>
              <w:right w:val="single" w:sz="4" w:space="0" w:color="auto"/>
            </w:tcBorders>
            <w:hideMark/>
          </w:tcPr>
          <w:p w14:paraId="6A9ED917" w14:textId="77777777" w:rsidR="00973150" w:rsidRPr="00627723" w:rsidRDefault="00973150" w:rsidP="00C01183">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lastRenderedPageBreak/>
              <w:t xml:space="preserve">Individual characteristics </w:t>
            </w:r>
          </w:p>
        </w:tc>
      </w:tr>
      <w:tr w:rsidR="00973150" w:rsidRPr="00A158B7" w14:paraId="7B92A557"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2F561A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w:t>
            </w:r>
          </w:p>
        </w:tc>
        <w:tc>
          <w:tcPr>
            <w:tcW w:w="988" w:type="dxa"/>
            <w:tcBorders>
              <w:top w:val="single" w:sz="4" w:space="0" w:color="auto"/>
              <w:left w:val="single" w:sz="4" w:space="0" w:color="auto"/>
              <w:bottom w:val="single" w:sz="4" w:space="0" w:color="auto"/>
              <w:right w:val="single" w:sz="4" w:space="0" w:color="auto"/>
            </w:tcBorders>
            <w:vAlign w:val="center"/>
            <w:hideMark/>
          </w:tcPr>
          <w:p w14:paraId="5AAFAE9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-0.088</w:t>
            </w:r>
          </w:p>
        </w:tc>
        <w:tc>
          <w:tcPr>
            <w:tcW w:w="962" w:type="dxa"/>
            <w:tcBorders>
              <w:top w:val="single" w:sz="4" w:space="0" w:color="auto"/>
              <w:left w:val="single" w:sz="4" w:space="0" w:color="auto"/>
              <w:bottom w:val="single" w:sz="4" w:space="0" w:color="auto"/>
              <w:right w:val="single" w:sz="4" w:space="0" w:color="auto"/>
            </w:tcBorders>
            <w:vAlign w:val="center"/>
            <w:hideMark/>
          </w:tcPr>
          <w:p w14:paraId="20CA954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-1.315</w:t>
            </w:r>
          </w:p>
        </w:tc>
        <w:tc>
          <w:tcPr>
            <w:tcW w:w="981" w:type="dxa"/>
            <w:tcBorders>
              <w:top w:val="single" w:sz="4" w:space="0" w:color="auto"/>
              <w:left w:val="single" w:sz="4" w:space="0" w:color="auto"/>
              <w:bottom w:val="single" w:sz="4" w:space="0" w:color="auto"/>
              <w:right w:val="single" w:sz="4" w:space="0" w:color="auto"/>
            </w:tcBorders>
            <w:vAlign w:val="center"/>
            <w:hideMark/>
          </w:tcPr>
          <w:p w14:paraId="16CE83C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-0.088</w:t>
            </w:r>
          </w:p>
        </w:tc>
        <w:tc>
          <w:tcPr>
            <w:tcW w:w="988" w:type="dxa"/>
            <w:tcBorders>
              <w:top w:val="single" w:sz="4" w:space="0" w:color="auto"/>
              <w:left w:val="single" w:sz="4" w:space="0" w:color="auto"/>
              <w:bottom w:val="single" w:sz="4" w:space="0" w:color="auto"/>
              <w:right w:val="single" w:sz="4" w:space="0" w:color="auto"/>
            </w:tcBorders>
            <w:vAlign w:val="center"/>
            <w:hideMark/>
          </w:tcPr>
          <w:p w14:paraId="0BA1B30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-1.315</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5E99B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-2.092</w:t>
            </w:r>
          </w:p>
        </w:tc>
        <w:tc>
          <w:tcPr>
            <w:tcW w:w="964" w:type="dxa"/>
            <w:tcBorders>
              <w:top w:val="single" w:sz="4" w:space="0" w:color="auto"/>
              <w:left w:val="single" w:sz="4" w:space="0" w:color="auto"/>
              <w:bottom w:val="single" w:sz="4" w:space="0" w:color="auto"/>
              <w:right w:val="single" w:sz="4" w:space="0" w:color="auto"/>
            </w:tcBorders>
            <w:vAlign w:val="center"/>
            <w:hideMark/>
          </w:tcPr>
          <w:p w14:paraId="293BF0D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-1.382</w:t>
            </w:r>
          </w:p>
        </w:tc>
      </w:tr>
      <w:tr w:rsidR="00973150" w:rsidRPr="00A158B7" w14:paraId="3A015829"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3DE00E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Education </w:t>
            </w:r>
          </w:p>
        </w:tc>
        <w:tc>
          <w:tcPr>
            <w:tcW w:w="988" w:type="dxa"/>
            <w:tcBorders>
              <w:top w:val="single" w:sz="4" w:space="0" w:color="auto"/>
              <w:left w:val="single" w:sz="4" w:space="0" w:color="auto"/>
              <w:bottom w:val="single" w:sz="4" w:space="0" w:color="auto"/>
              <w:right w:val="single" w:sz="4" w:space="0" w:color="auto"/>
            </w:tcBorders>
            <w:vAlign w:val="center"/>
            <w:hideMark/>
          </w:tcPr>
          <w:p w14:paraId="36D47E6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2.016*</w:t>
            </w:r>
          </w:p>
        </w:tc>
        <w:tc>
          <w:tcPr>
            <w:tcW w:w="962" w:type="dxa"/>
            <w:tcBorders>
              <w:top w:val="single" w:sz="4" w:space="0" w:color="auto"/>
              <w:left w:val="single" w:sz="4" w:space="0" w:color="auto"/>
              <w:bottom w:val="single" w:sz="4" w:space="0" w:color="auto"/>
              <w:right w:val="single" w:sz="4" w:space="0" w:color="auto"/>
            </w:tcBorders>
            <w:vAlign w:val="center"/>
            <w:hideMark/>
          </w:tcPr>
          <w:p w14:paraId="1101CD8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2.242</w:t>
            </w:r>
          </w:p>
        </w:tc>
        <w:tc>
          <w:tcPr>
            <w:tcW w:w="981" w:type="dxa"/>
            <w:tcBorders>
              <w:top w:val="single" w:sz="4" w:space="0" w:color="auto"/>
              <w:left w:val="single" w:sz="4" w:space="0" w:color="auto"/>
              <w:bottom w:val="single" w:sz="4" w:space="0" w:color="auto"/>
              <w:right w:val="single" w:sz="4" w:space="0" w:color="auto"/>
            </w:tcBorders>
            <w:vAlign w:val="center"/>
            <w:hideMark/>
          </w:tcPr>
          <w:p w14:paraId="0D373A12"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0.016</w:t>
            </w:r>
          </w:p>
        </w:tc>
        <w:tc>
          <w:tcPr>
            <w:tcW w:w="988" w:type="dxa"/>
            <w:tcBorders>
              <w:top w:val="single" w:sz="4" w:space="0" w:color="auto"/>
              <w:left w:val="single" w:sz="4" w:space="0" w:color="auto"/>
              <w:bottom w:val="single" w:sz="4" w:space="0" w:color="auto"/>
              <w:right w:val="single" w:sz="4" w:space="0" w:color="auto"/>
            </w:tcBorders>
            <w:vAlign w:val="center"/>
            <w:hideMark/>
          </w:tcPr>
          <w:p w14:paraId="1ABB7F9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0.242</w:t>
            </w:r>
          </w:p>
        </w:tc>
        <w:tc>
          <w:tcPr>
            <w:tcW w:w="989" w:type="dxa"/>
            <w:tcBorders>
              <w:top w:val="single" w:sz="4" w:space="0" w:color="auto"/>
              <w:left w:val="single" w:sz="4" w:space="0" w:color="auto"/>
              <w:bottom w:val="single" w:sz="4" w:space="0" w:color="auto"/>
              <w:right w:val="single" w:sz="4" w:space="0" w:color="auto"/>
            </w:tcBorders>
            <w:vAlign w:val="center"/>
            <w:hideMark/>
          </w:tcPr>
          <w:p w14:paraId="261A561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0.028*</w:t>
            </w:r>
          </w:p>
        </w:tc>
        <w:tc>
          <w:tcPr>
            <w:tcW w:w="964" w:type="dxa"/>
            <w:tcBorders>
              <w:top w:val="single" w:sz="4" w:space="0" w:color="auto"/>
              <w:left w:val="single" w:sz="4" w:space="0" w:color="auto"/>
              <w:bottom w:val="single" w:sz="4" w:space="0" w:color="auto"/>
              <w:right w:val="single" w:sz="4" w:space="0" w:color="auto"/>
            </w:tcBorders>
            <w:vAlign w:val="center"/>
            <w:hideMark/>
          </w:tcPr>
          <w:p w14:paraId="5B6482F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0.412</w:t>
            </w:r>
          </w:p>
        </w:tc>
      </w:tr>
      <w:tr w:rsidR="00973150" w:rsidRPr="00A158B7" w14:paraId="4A6F3BB6"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609FDE3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Food habit</w:t>
            </w:r>
          </w:p>
        </w:tc>
        <w:tc>
          <w:tcPr>
            <w:tcW w:w="988" w:type="dxa"/>
            <w:tcBorders>
              <w:top w:val="single" w:sz="4" w:space="0" w:color="auto"/>
              <w:left w:val="single" w:sz="4" w:space="0" w:color="auto"/>
              <w:bottom w:val="single" w:sz="4" w:space="0" w:color="auto"/>
              <w:right w:val="single" w:sz="4" w:space="0" w:color="auto"/>
            </w:tcBorders>
            <w:vAlign w:val="center"/>
            <w:hideMark/>
          </w:tcPr>
          <w:p w14:paraId="701D664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-0.040</w:t>
            </w:r>
          </w:p>
        </w:tc>
        <w:tc>
          <w:tcPr>
            <w:tcW w:w="962" w:type="dxa"/>
            <w:tcBorders>
              <w:top w:val="single" w:sz="4" w:space="0" w:color="auto"/>
              <w:left w:val="single" w:sz="4" w:space="0" w:color="auto"/>
              <w:bottom w:val="single" w:sz="4" w:space="0" w:color="auto"/>
              <w:right w:val="single" w:sz="4" w:space="0" w:color="auto"/>
            </w:tcBorders>
            <w:vAlign w:val="center"/>
            <w:hideMark/>
          </w:tcPr>
          <w:p w14:paraId="32E8D03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-0.595</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897B1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-0.040</w:t>
            </w:r>
          </w:p>
        </w:tc>
        <w:tc>
          <w:tcPr>
            <w:tcW w:w="988" w:type="dxa"/>
            <w:tcBorders>
              <w:top w:val="single" w:sz="4" w:space="0" w:color="auto"/>
              <w:left w:val="single" w:sz="4" w:space="0" w:color="auto"/>
              <w:bottom w:val="single" w:sz="4" w:space="0" w:color="auto"/>
              <w:right w:val="single" w:sz="4" w:space="0" w:color="auto"/>
            </w:tcBorders>
            <w:vAlign w:val="center"/>
            <w:hideMark/>
          </w:tcPr>
          <w:p w14:paraId="3D45084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-0.595</w:t>
            </w:r>
          </w:p>
        </w:tc>
        <w:tc>
          <w:tcPr>
            <w:tcW w:w="989" w:type="dxa"/>
            <w:tcBorders>
              <w:top w:val="single" w:sz="4" w:space="0" w:color="auto"/>
              <w:left w:val="single" w:sz="4" w:space="0" w:color="auto"/>
              <w:bottom w:val="single" w:sz="4" w:space="0" w:color="auto"/>
              <w:right w:val="single" w:sz="4" w:space="0" w:color="auto"/>
            </w:tcBorders>
            <w:vAlign w:val="center"/>
            <w:hideMark/>
          </w:tcPr>
          <w:p w14:paraId="1C5ACE6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-0.039</w:t>
            </w:r>
          </w:p>
        </w:tc>
        <w:tc>
          <w:tcPr>
            <w:tcW w:w="964" w:type="dxa"/>
            <w:tcBorders>
              <w:top w:val="single" w:sz="4" w:space="0" w:color="auto"/>
              <w:left w:val="single" w:sz="4" w:space="0" w:color="auto"/>
              <w:bottom w:val="single" w:sz="4" w:space="0" w:color="auto"/>
              <w:right w:val="single" w:sz="4" w:space="0" w:color="auto"/>
            </w:tcBorders>
            <w:vAlign w:val="center"/>
            <w:hideMark/>
          </w:tcPr>
          <w:p w14:paraId="62AE0E8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-0.575</w:t>
            </w:r>
          </w:p>
        </w:tc>
      </w:tr>
      <w:tr w:rsidR="00973150" w:rsidRPr="00A158B7" w14:paraId="57895023"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28528E9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migration</w:t>
            </w:r>
          </w:p>
        </w:tc>
        <w:tc>
          <w:tcPr>
            <w:tcW w:w="988" w:type="dxa"/>
            <w:tcBorders>
              <w:top w:val="single" w:sz="4" w:space="0" w:color="auto"/>
              <w:left w:val="single" w:sz="4" w:space="0" w:color="auto"/>
              <w:bottom w:val="single" w:sz="4" w:space="0" w:color="auto"/>
              <w:right w:val="single" w:sz="4" w:space="0" w:color="auto"/>
            </w:tcBorders>
            <w:vAlign w:val="center"/>
            <w:hideMark/>
          </w:tcPr>
          <w:p w14:paraId="0234BF5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-0.841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C9C9AC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0.376</w:t>
            </w:r>
          </w:p>
        </w:tc>
        <w:tc>
          <w:tcPr>
            <w:tcW w:w="981" w:type="dxa"/>
            <w:tcBorders>
              <w:top w:val="single" w:sz="4" w:space="0" w:color="auto"/>
              <w:left w:val="single" w:sz="4" w:space="0" w:color="auto"/>
              <w:bottom w:val="single" w:sz="4" w:space="0" w:color="auto"/>
              <w:right w:val="single" w:sz="4" w:space="0" w:color="auto"/>
            </w:tcBorders>
            <w:hideMark/>
          </w:tcPr>
          <w:p w14:paraId="5EEADD5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-0.810</w:t>
            </w:r>
          </w:p>
        </w:tc>
        <w:tc>
          <w:tcPr>
            <w:tcW w:w="988" w:type="dxa"/>
            <w:tcBorders>
              <w:top w:val="single" w:sz="4" w:space="0" w:color="auto"/>
              <w:left w:val="single" w:sz="4" w:space="0" w:color="auto"/>
              <w:bottom w:val="single" w:sz="4" w:space="0" w:color="auto"/>
              <w:right w:val="single" w:sz="4" w:space="0" w:color="auto"/>
            </w:tcBorders>
            <w:hideMark/>
          </w:tcPr>
          <w:p w14:paraId="733B79D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-0.09</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BF639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-0.145</w:t>
            </w:r>
          </w:p>
        </w:tc>
        <w:tc>
          <w:tcPr>
            <w:tcW w:w="964" w:type="dxa"/>
            <w:tcBorders>
              <w:top w:val="single" w:sz="4" w:space="0" w:color="auto"/>
              <w:left w:val="single" w:sz="4" w:space="0" w:color="auto"/>
              <w:bottom w:val="single" w:sz="4" w:space="0" w:color="auto"/>
              <w:right w:val="single" w:sz="4" w:space="0" w:color="auto"/>
            </w:tcBorders>
            <w:vAlign w:val="center"/>
            <w:hideMark/>
          </w:tcPr>
          <w:p w14:paraId="085C49D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-2.178</w:t>
            </w:r>
          </w:p>
        </w:tc>
      </w:tr>
      <w:tr w:rsidR="00973150" w:rsidRPr="00A158B7" w14:paraId="7637EB56"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9D42DC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Occupational health hazards </w:t>
            </w:r>
          </w:p>
        </w:tc>
        <w:tc>
          <w:tcPr>
            <w:tcW w:w="988" w:type="dxa"/>
            <w:tcBorders>
              <w:top w:val="single" w:sz="4" w:space="0" w:color="auto"/>
              <w:left w:val="single" w:sz="4" w:space="0" w:color="auto"/>
              <w:bottom w:val="single" w:sz="4" w:space="0" w:color="auto"/>
              <w:right w:val="single" w:sz="4" w:space="0" w:color="auto"/>
            </w:tcBorders>
            <w:vAlign w:val="center"/>
            <w:hideMark/>
          </w:tcPr>
          <w:p w14:paraId="6BEDD83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-0.027*</w:t>
            </w:r>
          </w:p>
        </w:tc>
        <w:tc>
          <w:tcPr>
            <w:tcW w:w="962" w:type="dxa"/>
            <w:tcBorders>
              <w:top w:val="single" w:sz="4" w:space="0" w:color="auto"/>
              <w:left w:val="single" w:sz="4" w:space="0" w:color="auto"/>
              <w:bottom w:val="single" w:sz="4" w:space="0" w:color="auto"/>
              <w:right w:val="single" w:sz="4" w:space="0" w:color="auto"/>
            </w:tcBorders>
            <w:vAlign w:val="center"/>
            <w:hideMark/>
          </w:tcPr>
          <w:p w14:paraId="1E8C2EB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-0.402</w:t>
            </w:r>
          </w:p>
        </w:tc>
        <w:tc>
          <w:tcPr>
            <w:tcW w:w="981" w:type="dxa"/>
            <w:tcBorders>
              <w:top w:val="single" w:sz="4" w:space="0" w:color="auto"/>
              <w:left w:val="single" w:sz="4" w:space="0" w:color="auto"/>
              <w:bottom w:val="single" w:sz="4" w:space="0" w:color="auto"/>
              <w:right w:val="single" w:sz="4" w:space="0" w:color="auto"/>
            </w:tcBorders>
            <w:vAlign w:val="center"/>
            <w:hideMark/>
          </w:tcPr>
          <w:p w14:paraId="02E8E4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-0.027*</w:t>
            </w:r>
          </w:p>
        </w:tc>
        <w:tc>
          <w:tcPr>
            <w:tcW w:w="988" w:type="dxa"/>
            <w:tcBorders>
              <w:top w:val="single" w:sz="4" w:space="0" w:color="auto"/>
              <w:left w:val="single" w:sz="4" w:space="0" w:color="auto"/>
              <w:bottom w:val="single" w:sz="4" w:space="0" w:color="auto"/>
              <w:right w:val="single" w:sz="4" w:space="0" w:color="auto"/>
            </w:tcBorders>
            <w:vAlign w:val="center"/>
            <w:hideMark/>
          </w:tcPr>
          <w:p w14:paraId="3B98505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-0.402</w:t>
            </w:r>
          </w:p>
        </w:tc>
        <w:tc>
          <w:tcPr>
            <w:tcW w:w="989" w:type="dxa"/>
            <w:tcBorders>
              <w:top w:val="single" w:sz="4" w:space="0" w:color="auto"/>
              <w:left w:val="single" w:sz="4" w:space="0" w:color="auto"/>
              <w:bottom w:val="single" w:sz="4" w:space="0" w:color="auto"/>
              <w:right w:val="single" w:sz="4" w:space="0" w:color="auto"/>
            </w:tcBorders>
            <w:vAlign w:val="center"/>
            <w:hideMark/>
          </w:tcPr>
          <w:p w14:paraId="5D4E7DC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273D5022"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-0.525</w:t>
            </w:r>
          </w:p>
        </w:tc>
      </w:tr>
      <w:tr w:rsidR="00973150" w:rsidRPr="00A158B7" w14:paraId="371749C5" w14:textId="77777777" w:rsidTr="00973150">
        <w:trPr>
          <w:jc w:val="center"/>
        </w:trPr>
        <w:tc>
          <w:tcPr>
            <w:tcW w:w="9119" w:type="dxa"/>
            <w:gridSpan w:val="7"/>
            <w:tcBorders>
              <w:top w:val="single" w:sz="4" w:space="0" w:color="auto"/>
              <w:left w:val="single" w:sz="4" w:space="0" w:color="auto"/>
              <w:bottom w:val="single" w:sz="4" w:space="0" w:color="auto"/>
              <w:right w:val="single" w:sz="4" w:space="0" w:color="auto"/>
            </w:tcBorders>
            <w:hideMark/>
          </w:tcPr>
          <w:p w14:paraId="5A4C2AEA" w14:textId="77777777" w:rsidR="00973150" w:rsidRPr="00627723" w:rsidRDefault="00973150" w:rsidP="00C01183">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Familial characteristics</w:t>
            </w:r>
          </w:p>
        </w:tc>
      </w:tr>
      <w:tr w:rsidR="00973150" w:rsidRPr="00A158B7" w14:paraId="3BF88EDC"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1375E09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No of children</w:t>
            </w:r>
          </w:p>
        </w:tc>
        <w:tc>
          <w:tcPr>
            <w:tcW w:w="988" w:type="dxa"/>
            <w:tcBorders>
              <w:top w:val="single" w:sz="4" w:space="0" w:color="auto"/>
              <w:left w:val="single" w:sz="4" w:space="0" w:color="auto"/>
              <w:bottom w:val="single" w:sz="4" w:space="0" w:color="auto"/>
              <w:right w:val="single" w:sz="4" w:space="0" w:color="auto"/>
            </w:tcBorders>
          </w:tcPr>
          <w:p w14:paraId="2C35A20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2096921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4B6FF74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0.019*</w:t>
            </w:r>
          </w:p>
        </w:tc>
        <w:tc>
          <w:tcPr>
            <w:tcW w:w="988" w:type="dxa"/>
            <w:tcBorders>
              <w:top w:val="single" w:sz="4" w:space="0" w:color="auto"/>
              <w:left w:val="single" w:sz="4" w:space="0" w:color="auto"/>
              <w:bottom w:val="single" w:sz="4" w:space="0" w:color="auto"/>
              <w:right w:val="single" w:sz="4" w:space="0" w:color="auto"/>
            </w:tcBorders>
            <w:vAlign w:val="center"/>
            <w:hideMark/>
          </w:tcPr>
          <w:p w14:paraId="216EB7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0.276</w:t>
            </w:r>
          </w:p>
        </w:tc>
        <w:tc>
          <w:tcPr>
            <w:tcW w:w="989" w:type="dxa"/>
            <w:tcBorders>
              <w:top w:val="single" w:sz="4" w:space="0" w:color="auto"/>
              <w:left w:val="single" w:sz="4" w:space="0" w:color="auto"/>
              <w:bottom w:val="single" w:sz="4" w:space="0" w:color="auto"/>
              <w:right w:val="single" w:sz="4" w:space="0" w:color="auto"/>
            </w:tcBorders>
            <w:vAlign w:val="center"/>
            <w:hideMark/>
          </w:tcPr>
          <w:p w14:paraId="2F8D750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0.053</w:t>
            </w:r>
          </w:p>
        </w:tc>
        <w:tc>
          <w:tcPr>
            <w:tcW w:w="964" w:type="dxa"/>
            <w:tcBorders>
              <w:top w:val="single" w:sz="4" w:space="0" w:color="auto"/>
              <w:left w:val="single" w:sz="4" w:space="0" w:color="auto"/>
              <w:bottom w:val="single" w:sz="4" w:space="0" w:color="auto"/>
              <w:right w:val="single" w:sz="4" w:space="0" w:color="auto"/>
            </w:tcBorders>
            <w:vAlign w:val="center"/>
            <w:hideMark/>
          </w:tcPr>
          <w:p w14:paraId="60D08E8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0.182</w:t>
            </w:r>
          </w:p>
        </w:tc>
      </w:tr>
      <w:tr w:rsidR="00973150" w:rsidRPr="00A158B7" w14:paraId="2477342C"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98D622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Type of family</w:t>
            </w:r>
          </w:p>
        </w:tc>
        <w:tc>
          <w:tcPr>
            <w:tcW w:w="988" w:type="dxa"/>
            <w:tcBorders>
              <w:top w:val="single" w:sz="4" w:space="0" w:color="auto"/>
              <w:left w:val="single" w:sz="4" w:space="0" w:color="auto"/>
              <w:bottom w:val="single" w:sz="4" w:space="0" w:color="auto"/>
              <w:right w:val="single" w:sz="4" w:space="0" w:color="auto"/>
            </w:tcBorders>
          </w:tcPr>
          <w:p w14:paraId="4FFADF3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6651F62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715E1B3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0.069</w:t>
            </w:r>
          </w:p>
        </w:tc>
        <w:tc>
          <w:tcPr>
            <w:tcW w:w="988" w:type="dxa"/>
            <w:tcBorders>
              <w:top w:val="single" w:sz="4" w:space="0" w:color="auto"/>
              <w:left w:val="single" w:sz="4" w:space="0" w:color="auto"/>
              <w:bottom w:val="single" w:sz="4" w:space="0" w:color="auto"/>
              <w:right w:val="single" w:sz="4" w:space="0" w:color="auto"/>
            </w:tcBorders>
            <w:vAlign w:val="center"/>
            <w:hideMark/>
          </w:tcPr>
          <w:p w14:paraId="4246613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1.026</w:t>
            </w:r>
          </w:p>
        </w:tc>
        <w:tc>
          <w:tcPr>
            <w:tcW w:w="989" w:type="dxa"/>
            <w:tcBorders>
              <w:top w:val="single" w:sz="4" w:space="0" w:color="auto"/>
              <w:left w:val="single" w:sz="4" w:space="0" w:color="auto"/>
              <w:bottom w:val="single" w:sz="4" w:space="0" w:color="auto"/>
              <w:right w:val="single" w:sz="4" w:space="0" w:color="auto"/>
            </w:tcBorders>
            <w:vAlign w:val="center"/>
            <w:hideMark/>
          </w:tcPr>
          <w:p w14:paraId="210C9E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3.069</w:t>
            </w:r>
          </w:p>
        </w:tc>
        <w:tc>
          <w:tcPr>
            <w:tcW w:w="964" w:type="dxa"/>
            <w:tcBorders>
              <w:top w:val="single" w:sz="4" w:space="0" w:color="auto"/>
              <w:left w:val="single" w:sz="4" w:space="0" w:color="auto"/>
              <w:bottom w:val="single" w:sz="4" w:space="0" w:color="auto"/>
              <w:right w:val="single" w:sz="4" w:space="0" w:color="auto"/>
            </w:tcBorders>
            <w:vAlign w:val="center"/>
            <w:hideMark/>
          </w:tcPr>
          <w:p w14:paraId="7C2B4EB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0.570</w:t>
            </w:r>
          </w:p>
        </w:tc>
      </w:tr>
      <w:tr w:rsidR="00973150" w:rsidRPr="00A158B7" w14:paraId="009C7FC7"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0C193B4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Size of family</w:t>
            </w:r>
          </w:p>
        </w:tc>
        <w:tc>
          <w:tcPr>
            <w:tcW w:w="988" w:type="dxa"/>
            <w:tcBorders>
              <w:top w:val="single" w:sz="4" w:space="0" w:color="auto"/>
              <w:left w:val="single" w:sz="4" w:space="0" w:color="auto"/>
              <w:bottom w:val="single" w:sz="4" w:space="0" w:color="auto"/>
              <w:right w:val="single" w:sz="4" w:space="0" w:color="auto"/>
            </w:tcBorders>
          </w:tcPr>
          <w:p w14:paraId="3F04BF1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3424494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6F1AD8F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401745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2.351</w:t>
            </w:r>
          </w:p>
        </w:tc>
        <w:tc>
          <w:tcPr>
            <w:tcW w:w="989" w:type="dxa"/>
            <w:tcBorders>
              <w:top w:val="single" w:sz="4" w:space="0" w:color="auto"/>
              <w:left w:val="single" w:sz="4" w:space="0" w:color="auto"/>
              <w:bottom w:val="single" w:sz="4" w:space="0" w:color="auto"/>
              <w:right w:val="single" w:sz="4" w:space="0" w:color="auto"/>
            </w:tcBorders>
            <w:vAlign w:val="center"/>
            <w:hideMark/>
          </w:tcPr>
          <w:p w14:paraId="76D8D88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-2.234</w:t>
            </w:r>
          </w:p>
        </w:tc>
        <w:tc>
          <w:tcPr>
            <w:tcW w:w="964" w:type="dxa"/>
            <w:tcBorders>
              <w:top w:val="single" w:sz="4" w:space="0" w:color="auto"/>
              <w:left w:val="single" w:sz="4" w:space="0" w:color="auto"/>
              <w:bottom w:val="single" w:sz="4" w:space="0" w:color="auto"/>
              <w:right w:val="single" w:sz="4" w:space="0" w:color="auto"/>
            </w:tcBorders>
            <w:vAlign w:val="center"/>
            <w:hideMark/>
          </w:tcPr>
          <w:p w14:paraId="77F8031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0.211</w:t>
            </w:r>
          </w:p>
        </w:tc>
      </w:tr>
      <w:tr w:rsidR="00973150" w:rsidRPr="00A158B7" w14:paraId="1C73D606"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0EDE9BB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SES</w:t>
            </w:r>
          </w:p>
        </w:tc>
        <w:tc>
          <w:tcPr>
            <w:tcW w:w="988" w:type="dxa"/>
            <w:tcBorders>
              <w:top w:val="single" w:sz="4" w:space="0" w:color="auto"/>
              <w:left w:val="single" w:sz="4" w:space="0" w:color="auto"/>
              <w:bottom w:val="single" w:sz="4" w:space="0" w:color="auto"/>
              <w:right w:val="single" w:sz="4" w:space="0" w:color="auto"/>
            </w:tcBorders>
          </w:tcPr>
          <w:p w14:paraId="0D0935B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355F931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2E9A285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0.003*</w:t>
            </w:r>
          </w:p>
        </w:tc>
        <w:tc>
          <w:tcPr>
            <w:tcW w:w="988" w:type="dxa"/>
            <w:tcBorders>
              <w:top w:val="single" w:sz="4" w:space="0" w:color="auto"/>
              <w:left w:val="single" w:sz="4" w:space="0" w:color="auto"/>
              <w:bottom w:val="single" w:sz="4" w:space="0" w:color="auto"/>
              <w:right w:val="single" w:sz="4" w:space="0" w:color="auto"/>
            </w:tcBorders>
            <w:vAlign w:val="center"/>
            <w:hideMark/>
          </w:tcPr>
          <w:p w14:paraId="6B09768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0.008</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157CC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0.025</w:t>
            </w:r>
          </w:p>
        </w:tc>
        <w:tc>
          <w:tcPr>
            <w:tcW w:w="964" w:type="dxa"/>
            <w:tcBorders>
              <w:top w:val="single" w:sz="4" w:space="0" w:color="auto"/>
              <w:left w:val="single" w:sz="4" w:space="0" w:color="auto"/>
              <w:bottom w:val="single" w:sz="4" w:space="0" w:color="auto"/>
              <w:right w:val="single" w:sz="4" w:space="0" w:color="auto"/>
            </w:tcBorders>
            <w:vAlign w:val="center"/>
            <w:hideMark/>
          </w:tcPr>
          <w:p w14:paraId="04611B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0.023</w:t>
            </w:r>
          </w:p>
        </w:tc>
      </w:tr>
      <w:tr w:rsidR="00973150" w:rsidRPr="00A158B7" w14:paraId="7A6A11F1" w14:textId="77777777" w:rsidTr="00973150">
        <w:trPr>
          <w:jc w:val="center"/>
        </w:trPr>
        <w:tc>
          <w:tcPr>
            <w:tcW w:w="9119" w:type="dxa"/>
            <w:gridSpan w:val="7"/>
            <w:tcBorders>
              <w:top w:val="single" w:sz="4" w:space="0" w:color="auto"/>
              <w:left w:val="single" w:sz="4" w:space="0" w:color="auto"/>
              <w:bottom w:val="single" w:sz="4" w:space="0" w:color="auto"/>
              <w:right w:val="single" w:sz="4" w:space="0" w:color="auto"/>
            </w:tcBorders>
            <w:hideMark/>
          </w:tcPr>
          <w:p w14:paraId="22E65C27" w14:textId="77777777" w:rsidR="00973150" w:rsidRPr="00627723" w:rsidRDefault="00973150" w:rsidP="00C01183">
            <w:pPr>
              <w:autoSpaceDE w:val="0"/>
              <w:autoSpaceDN w:val="0"/>
              <w:adjustRightInd w:val="0"/>
              <w:spacing w:after="0" w:line="240" w:lineRule="auto"/>
              <w:ind w:left="-57" w:right="-57"/>
              <w:jc w:val="both"/>
              <w:rPr>
                <w:rFonts w:ascii="Times New Roman" w:hAnsi="Times New Roman" w:cs="Times New Roman"/>
                <w:b/>
                <w:color w:val="000000"/>
                <w:sz w:val="24"/>
                <w:szCs w:val="24"/>
              </w:rPr>
            </w:pPr>
            <w:r w:rsidRPr="00627723">
              <w:rPr>
                <w:rFonts w:ascii="Times New Roman" w:hAnsi="Times New Roman" w:cs="Times New Roman"/>
                <w:b/>
                <w:sz w:val="24"/>
                <w:szCs w:val="24"/>
              </w:rPr>
              <w:t>Maternal health characteristics</w:t>
            </w:r>
          </w:p>
        </w:tc>
      </w:tr>
      <w:tr w:rsidR="00973150" w:rsidRPr="00A158B7" w14:paraId="2600792C"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523F393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menarche</w:t>
            </w:r>
          </w:p>
        </w:tc>
        <w:tc>
          <w:tcPr>
            <w:tcW w:w="988" w:type="dxa"/>
            <w:tcBorders>
              <w:top w:val="single" w:sz="4" w:space="0" w:color="auto"/>
              <w:left w:val="single" w:sz="4" w:space="0" w:color="auto"/>
              <w:bottom w:val="single" w:sz="4" w:space="0" w:color="auto"/>
              <w:right w:val="single" w:sz="4" w:space="0" w:color="auto"/>
            </w:tcBorders>
          </w:tcPr>
          <w:p w14:paraId="5E82FE1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625BD0D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776893C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14:paraId="01FB712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62F951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0.042</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77839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0.623</w:t>
            </w:r>
          </w:p>
        </w:tc>
      </w:tr>
      <w:tr w:rsidR="00973150" w:rsidRPr="00A158B7" w14:paraId="15D64210"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B3558B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menstrual  flow</w:t>
            </w:r>
          </w:p>
        </w:tc>
        <w:tc>
          <w:tcPr>
            <w:tcW w:w="988" w:type="dxa"/>
            <w:tcBorders>
              <w:top w:val="single" w:sz="4" w:space="0" w:color="auto"/>
              <w:left w:val="single" w:sz="4" w:space="0" w:color="auto"/>
              <w:bottom w:val="single" w:sz="4" w:space="0" w:color="auto"/>
              <w:right w:val="single" w:sz="4" w:space="0" w:color="auto"/>
            </w:tcBorders>
          </w:tcPr>
          <w:p w14:paraId="489A16A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5A634C3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2E70EF5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14:paraId="3D9AD05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7738985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-4.019*</w:t>
            </w:r>
          </w:p>
        </w:tc>
        <w:tc>
          <w:tcPr>
            <w:tcW w:w="964" w:type="dxa"/>
            <w:tcBorders>
              <w:top w:val="single" w:sz="4" w:space="0" w:color="auto"/>
              <w:left w:val="single" w:sz="4" w:space="0" w:color="auto"/>
              <w:bottom w:val="single" w:sz="4" w:space="0" w:color="auto"/>
              <w:right w:val="single" w:sz="4" w:space="0" w:color="auto"/>
            </w:tcBorders>
            <w:vAlign w:val="center"/>
            <w:hideMark/>
          </w:tcPr>
          <w:p w14:paraId="513914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-0.279</w:t>
            </w:r>
          </w:p>
        </w:tc>
      </w:tr>
      <w:tr w:rsidR="00973150" w:rsidRPr="00A158B7" w14:paraId="1A11D567"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57B1154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marriage</w:t>
            </w:r>
          </w:p>
        </w:tc>
        <w:tc>
          <w:tcPr>
            <w:tcW w:w="988" w:type="dxa"/>
            <w:tcBorders>
              <w:top w:val="single" w:sz="4" w:space="0" w:color="auto"/>
              <w:left w:val="single" w:sz="4" w:space="0" w:color="auto"/>
              <w:bottom w:val="single" w:sz="4" w:space="0" w:color="auto"/>
              <w:right w:val="single" w:sz="4" w:space="0" w:color="auto"/>
            </w:tcBorders>
          </w:tcPr>
          <w:p w14:paraId="3F8B6C1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62BD7F0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1ABEE18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14:paraId="27DE8B1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F8A36F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1.004*</w:t>
            </w:r>
          </w:p>
        </w:tc>
        <w:tc>
          <w:tcPr>
            <w:tcW w:w="964" w:type="dxa"/>
            <w:tcBorders>
              <w:top w:val="single" w:sz="4" w:space="0" w:color="auto"/>
              <w:left w:val="single" w:sz="4" w:space="0" w:color="auto"/>
              <w:bottom w:val="single" w:sz="4" w:space="0" w:color="auto"/>
              <w:right w:val="single" w:sz="4" w:space="0" w:color="auto"/>
            </w:tcBorders>
            <w:vAlign w:val="center"/>
            <w:hideMark/>
          </w:tcPr>
          <w:p w14:paraId="146C4E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1.403</w:t>
            </w:r>
          </w:p>
        </w:tc>
      </w:tr>
      <w:tr w:rsidR="00973150" w:rsidRPr="00A158B7" w14:paraId="68F035FA"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3934928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at pregnancy </w:t>
            </w:r>
          </w:p>
        </w:tc>
        <w:tc>
          <w:tcPr>
            <w:tcW w:w="988" w:type="dxa"/>
            <w:tcBorders>
              <w:top w:val="single" w:sz="4" w:space="0" w:color="auto"/>
              <w:left w:val="single" w:sz="4" w:space="0" w:color="auto"/>
              <w:bottom w:val="single" w:sz="4" w:space="0" w:color="auto"/>
              <w:right w:val="single" w:sz="4" w:space="0" w:color="auto"/>
            </w:tcBorders>
          </w:tcPr>
          <w:p w14:paraId="30E540A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65EDD55A"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701ECE9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8E92C9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546132E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2.086*</w:t>
            </w:r>
          </w:p>
        </w:tc>
        <w:tc>
          <w:tcPr>
            <w:tcW w:w="964" w:type="dxa"/>
            <w:tcBorders>
              <w:top w:val="single" w:sz="4" w:space="0" w:color="auto"/>
              <w:left w:val="single" w:sz="4" w:space="0" w:color="auto"/>
              <w:bottom w:val="single" w:sz="4" w:space="0" w:color="auto"/>
              <w:right w:val="single" w:sz="4" w:space="0" w:color="auto"/>
            </w:tcBorders>
            <w:vAlign w:val="center"/>
            <w:hideMark/>
          </w:tcPr>
          <w:p w14:paraId="2FEB177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1.273</w:t>
            </w:r>
          </w:p>
        </w:tc>
      </w:tr>
      <w:tr w:rsidR="00973150" w:rsidRPr="00A158B7" w14:paraId="686B2F24"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62539A6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Space between children</w:t>
            </w:r>
          </w:p>
        </w:tc>
        <w:tc>
          <w:tcPr>
            <w:tcW w:w="988" w:type="dxa"/>
            <w:tcBorders>
              <w:top w:val="single" w:sz="4" w:space="0" w:color="auto"/>
              <w:left w:val="single" w:sz="4" w:space="0" w:color="auto"/>
              <w:bottom w:val="single" w:sz="4" w:space="0" w:color="auto"/>
              <w:right w:val="single" w:sz="4" w:space="0" w:color="auto"/>
            </w:tcBorders>
          </w:tcPr>
          <w:p w14:paraId="3C5822F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1C4114C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07C6C3A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F4BA6D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444C7E8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59E63E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-0.603</w:t>
            </w:r>
          </w:p>
        </w:tc>
      </w:tr>
      <w:tr w:rsidR="00973150" w:rsidRPr="00A158B7" w14:paraId="726B0213"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2FC67F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Still birth </w:t>
            </w:r>
          </w:p>
        </w:tc>
        <w:tc>
          <w:tcPr>
            <w:tcW w:w="988" w:type="dxa"/>
            <w:tcBorders>
              <w:top w:val="single" w:sz="4" w:space="0" w:color="auto"/>
              <w:left w:val="single" w:sz="4" w:space="0" w:color="auto"/>
              <w:bottom w:val="single" w:sz="4" w:space="0" w:color="auto"/>
              <w:right w:val="single" w:sz="4" w:space="0" w:color="auto"/>
            </w:tcBorders>
          </w:tcPr>
          <w:p w14:paraId="582C900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409DF93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076F88C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5CE0130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B47360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5.013*</w:t>
            </w:r>
          </w:p>
        </w:tc>
        <w:tc>
          <w:tcPr>
            <w:tcW w:w="964" w:type="dxa"/>
            <w:tcBorders>
              <w:top w:val="single" w:sz="4" w:space="0" w:color="auto"/>
              <w:left w:val="single" w:sz="4" w:space="0" w:color="auto"/>
              <w:bottom w:val="single" w:sz="4" w:space="0" w:color="auto"/>
              <w:right w:val="single" w:sz="4" w:space="0" w:color="auto"/>
            </w:tcBorders>
            <w:vAlign w:val="center"/>
            <w:hideMark/>
          </w:tcPr>
          <w:p w14:paraId="15F1A59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0.195</w:t>
            </w:r>
          </w:p>
        </w:tc>
      </w:tr>
      <w:tr w:rsidR="00973150" w:rsidRPr="00A158B7" w14:paraId="281DE3A3"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0E3B79C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Successful breast feeding</w:t>
            </w:r>
          </w:p>
        </w:tc>
        <w:tc>
          <w:tcPr>
            <w:tcW w:w="988" w:type="dxa"/>
            <w:tcBorders>
              <w:top w:val="single" w:sz="4" w:space="0" w:color="auto"/>
              <w:left w:val="single" w:sz="4" w:space="0" w:color="auto"/>
              <w:bottom w:val="single" w:sz="4" w:space="0" w:color="auto"/>
              <w:right w:val="single" w:sz="4" w:space="0" w:color="auto"/>
            </w:tcBorders>
          </w:tcPr>
          <w:p w14:paraId="1ABBB04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2D660CE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3F09B87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2F73A3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18179F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0.019</w:t>
            </w:r>
          </w:p>
        </w:tc>
        <w:tc>
          <w:tcPr>
            <w:tcW w:w="964" w:type="dxa"/>
            <w:tcBorders>
              <w:top w:val="single" w:sz="4" w:space="0" w:color="auto"/>
              <w:left w:val="single" w:sz="4" w:space="0" w:color="auto"/>
              <w:bottom w:val="single" w:sz="4" w:space="0" w:color="auto"/>
              <w:right w:val="single" w:sz="4" w:space="0" w:color="auto"/>
            </w:tcBorders>
            <w:vAlign w:val="center"/>
            <w:hideMark/>
          </w:tcPr>
          <w:p w14:paraId="2F31E4A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0.276</w:t>
            </w:r>
          </w:p>
        </w:tc>
      </w:tr>
      <w:tr w:rsidR="00973150" w:rsidRPr="00A158B7" w14:paraId="670CCD60"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1DB2BF8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R square</w:t>
            </w:r>
          </w:p>
        </w:tc>
        <w:tc>
          <w:tcPr>
            <w:tcW w:w="1950" w:type="dxa"/>
            <w:gridSpan w:val="2"/>
            <w:tcBorders>
              <w:top w:val="single" w:sz="4" w:space="0" w:color="auto"/>
              <w:left w:val="single" w:sz="4" w:space="0" w:color="auto"/>
              <w:bottom w:val="single" w:sz="4" w:space="0" w:color="auto"/>
              <w:right w:val="single" w:sz="4" w:space="0" w:color="auto"/>
            </w:tcBorders>
            <w:hideMark/>
          </w:tcPr>
          <w:p w14:paraId="6D6B6E2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0.252</w:t>
            </w:r>
          </w:p>
        </w:tc>
        <w:tc>
          <w:tcPr>
            <w:tcW w:w="1969" w:type="dxa"/>
            <w:gridSpan w:val="2"/>
            <w:tcBorders>
              <w:top w:val="single" w:sz="4" w:space="0" w:color="auto"/>
              <w:left w:val="single" w:sz="4" w:space="0" w:color="auto"/>
              <w:bottom w:val="single" w:sz="4" w:space="0" w:color="auto"/>
              <w:right w:val="single" w:sz="4" w:space="0" w:color="auto"/>
            </w:tcBorders>
            <w:hideMark/>
          </w:tcPr>
          <w:p w14:paraId="4D6E61A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0.311</w:t>
            </w:r>
          </w:p>
        </w:tc>
        <w:tc>
          <w:tcPr>
            <w:tcW w:w="1953" w:type="dxa"/>
            <w:gridSpan w:val="2"/>
            <w:tcBorders>
              <w:top w:val="single" w:sz="4" w:space="0" w:color="auto"/>
              <w:left w:val="single" w:sz="4" w:space="0" w:color="auto"/>
              <w:bottom w:val="single" w:sz="4" w:space="0" w:color="auto"/>
              <w:right w:val="single" w:sz="4" w:space="0" w:color="auto"/>
            </w:tcBorders>
            <w:hideMark/>
          </w:tcPr>
          <w:p w14:paraId="1EA6260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0.384</w:t>
            </w:r>
          </w:p>
        </w:tc>
      </w:tr>
      <w:tr w:rsidR="00973150" w:rsidRPr="00A158B7" w14:paraId="4724FEF5"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12FD3F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Adjusted R square </w:t>
            </w:r>
          </w:p>
        </w:tc>
        <w:tc>
          <w:tcPr>
            <w:tcW w:w="1950" w:type="dxa"/>
            <w:gridSpan w:val="2"/>
            <w:tcBorders>
              <w:top w:val="single" w:sz="4" w:space="0" w:color="auto"/>
              <w:left w:val="single" w:sz="4" w:space="0" w:color="auto"/>
              <w:bottom w:val="single" w:sz="4" w:space="0" w:color="auto"/>
              <w:right w:val="single" w:sz="4" w:space="0" w:color="auto"/>
            </w:tcBorders>
            <w:hideMark/>
          </w:tcPr>
          <w:p w14:paraId="52E44AE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0.236</w:t>
            </w:r>
          </w:p>
        </w:tc>
        <w:tc>
          <w:tcPr>
            <w:tcW w:w="1969" w:type="dxa"/>
            <w:gridSpan w:val="2"/>
            <w:tcBorders>
              <w:top w:val="single" w:sz="4" w:space="0" w:color="auto"/>
              <w:left w:val="single" w:sz="4" w:space="0" w:color="auto"/>
              <w:bottom w:val="single" w:sz="4" w:space="0" w:color="auto"/>
              <w:right w:val="single" w:sz="4" w:space="0" w:color="auto"/>
            </w:tcBorders>
            <w:hideMark/>
          </w:tcPr>
          <w:p w14:paraId="1B1A708A"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0.306</w:t>
            </w:r>
          </w:p>
        </w:tc>
        <w:tc>
          <w:tcPr>
            <w:tcW w:w="1953" w:type="dxa"/>
            <w:gridSpan w:val="2"/>
            <w:tcBorders>
              <w:top w:val="single" w:sz="4" w:space="0" w:color="auto"/>
              <w:left w:val="single" w:sz="4" w:space="0" w:color="auto"/>
              <w:bottom w:val="single" w:sz="4" w:space="0" w:color="auto"/>
              <w:right w:val="single" w:sz="4" w:space="0" w:color="auto"/>
            </w:tcBorders>
            <w:hideMark/>
          </w:tcPr>
          <w:p w14:paraId="605C11D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0.372</w:t>
            </w:r>
          </w:p>
        </w:tc>
      </w:tr>
      <w:tr w:rsidR="00973150" w:rsidRPr="00A158B7" w14:paraId="38B041D4"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155CA0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Standard error of the estimate </w:t>
            </w:r>
          </w:p>
        </w:tc>
        <w:tc>
          <w:tcPr>
            <w:tcW w:w="1950" w:type="dxa"/>
            <w:gridSpan w:val="2"/>
            <w:tcBorders>
              <w:top w:val="single" w:sz="4" w:space="0" w:color="auto"/>
              <w:left w:val="single" w:sz="4" w:space="0" w:color="auto"/>
              <w:bottom w:val="single" w:sz="4" w:space="0" w:color="auto"/>
              <w:right w:val="single" w:sz="4" w:space="0" w:color="auto"/>
            </w:tcBorders>
            <w:hideMark/>
          </w:tcPr>
          <w:p w14:paraId="0334644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0.346</w:t>
            </w:r>
          </w:p>
        </w:tc>
        <w:tc>
          <w:tcPr>
            <w:tcW w:w="1969" w:type="dxa"/>
            <w:gridSpan w:val="2"/>
            <w:tcBorders>
              <w:top w:val="single" w:sz="4" w:space="0" w:color="auto"/>
              <w:left w:val="single" w:sz="4" w:space="0" w:color="auto"/>
              <w:bottom w:val="single" w:sz="4" w:space="0" w:color="auto"/>
              <w:right w:val="single" w:sz="4" w:space="0" w:color="auto"/>
            </w:tcBorders>
            <w:hideMark/>
          </w:tcPr>
          <w:p w14:paraId="0BF6F93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0.342</w:t>
            </w:r>
          </w:p>
        </w:tc>
        <w:tc>
          <w:tcPr>
            <w:tcW w:w="1953" w:type="dxa"/>
            <w:gridSpan w:val="2"/>
            <w:tcBorders>
              <w:top w:val="single" w:sz="4" w:space="0" w:color="auto"/>
              <w:left w:val="single" w:sz="4" w:space="0" w:color="auto"/>
              <w:bottom w:val="single" w:sz="4" w:space="0" w:color="auto"/>
              <w:right w:val="single" w:sz="4" w:space="0" w:color="auto"/>
            </w:tcBorders>
            <w:hideMark/>
          </w:tcPr>
          <w:p w14:paraId="1CC47B05" w14:textId="77777777" w:rsidR="00973150" w:rsidRPr="00A158B7" w:rsidRDefault="00973150" w:rsidP="00627723">
            <w:pPr>
              <w:spacing w:after="0" w:line="240" w:lineRule="auto"/>
              <w:ind w:right="-57"/>
              <w:jc w:val="both"/>
              <w:rPr>
                <w:rFonts w:ascii="Times New Roman" w:hAnsi="Times New Roman" w:cs="Times New Roman"/>
                <w:sz w:val="24"/>
                <w:szCs w:val="24"/>
              </w:rPr>
            </w:pPr>
            <w:r w:rsidRPr="00A158B7">
              <w:rPr>
                <w:rFonts w:ascii="Times New Roman" w:hAnsi="Times New Roman" w:cs="Times New Roman"/>
                <w:sz w:val="24"/>
                <w:szCs w:val="24"/>
              </w:rPr>
              <w:t xml:space="preserve"> 0.308</w:t>
            </w:r>
          </w:p>
        </w:tc>
      </w:tr>
      <w:tr w:rsidR="00973150" w:rsidRPr="00A158B7" w14:paraId="11E1FAA9"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5CDA367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 value</w:t>
            </w:r>
          </w:p>
        </w:tc>
        <w:tc>
          <w:tcPr>
            <w:tcW w:w="1950" w:type="dxa"/>
            <w:gridSpan w:val="2"/>
            <w:tcBorders>
              <w:top w:val="single" w:sz="4" w:space="0" w:color="auto"/>
              <w:left w:val="single" w:sz="4" w:space="0" w:color="auto"/>
              <w:bottom w:val="single" w:sz="4" w:space="0" w:color="auto"/>
              <w:right w:val="single" w:sz="4" w:space="0" w:color="auto"/>
            </w:tcBorders>
            <w:hideMark/>
          </w:tcPr>
          <w:p w14:paraId="3A698B7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5.011*</w:t>
            </w:r>
          </w:p>
        </w:tc>
        <w:tc>
          <w:tcPr>
            <w:tcW w:w="1969" w:type="dxa"/>
            <w:gridSpan w:val="2"/>
            <w:tcBorders>
              <w:top w:val="single" w:sz="4" w:space="0" w:color="auto"/>
              <w:left w:val="single" w:sz="4" w:space="0" w:color="auto"/>
              <w:bottom w:val="single" w:sz="4" w:space="0" w:color="auto"/>
              <w:right w:val="single" w:sz="4" w:space="0" w:color="auto"/>
            </w:tcBorders>
            <w:hideMark/>
          </w:tcPr>
          <w:p w14:paraId="7E1737B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7.011*</w:t>
            </w:r>
          </w:p>
        </w:tc>
        <w:tc>
          <w:tcPr>
            <w:tcW w:w="1953" w:type="dxa"/>
            <w:gridSpan w:val="2"/>
            <w:tcBorders>
              <w:top w:val="single" w:sz="4" w:space="0" w:color="auto"/>
              <w:left w:val="single" w:sz="4" w:space="0" w:color="auto"/>
              <w:bottom w:val="single" w:sz="4" w:space="0" w:color="auto"/>
              <w:right w:val="single" w:sz="4" w:space="0" w:color="auto"/>
            </w:tcBorders>
            <w:hideMark/>
          </w:tcPr>
          <w:p w14:paraId="5BC0E36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9.057*</w:t>
            </w:r>
          </w:p>
        </w:tc>
      </w:tr>
    </w:tbl>
    <w:p w14:paraId="2559D700" w14:textId="77777777" w:rsidR="00973150" w:rsidRPr="00A158B7" w:rsidRDefault="00973150" w:rsidP="00A158B7">
      <w:pPr>
        <w:spacing w:after="0" w:line="360" w:lineRule="auto"/>
        <w:jc w:val="both"/>
        <w:rPr>
          <w:rFonts w:ascii="Times New Roman" w:hAnsi="Times New Roman" w:cs="Times New Roman"/>
          <w:sz w:val="20"/>
          <w:szCs w:val="24"/>
        </w:rPr>
      </w:pPr>
      <w:r w:rsidRPr="00A158B7">
        <w:rPr>
          <w:rFonts w:ascii="Times New Roman" w:hAnsi="Times New Roman" w:cs="Times New Roman"/>
          <w:sz w:val="20"/>
          <w:szCs w:val="24"/>
        </w:rPr>
        <w:t>*Significant at 0.05 level</w:t>
      </w:r>
    </w:p>
    <w:p w14:paraId="0299D7EC" w14:textId="77777777" w:rsidR="00973150" w:rsidRPr="00A158B7" w:rsidRDefault="00973150" w:rsidP="00A158B7">
      <w:pPr>
        <w:spacing w:after="0" w:line="360" w:lineRule="auto"/>
        <w:jc w:val="both"/>
        <w:rPr>
          <w:rFonts w:ascii="Times New Roman" w:hAnsi="Times New Roman" w:cs="Times New Roman"/>
          <w:sz w:val="20"/>
          <w:szCs w:val="24"/>
        </w:rPr>
      </w:pPr>
    </w:p>
    <w:p w14:paraId="62FD1FB2" w14:textId="5603CF87" w:rsidR="00414D8E" w:rsidRPr="002E042E" w:rsidRDefault="00030F8D"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Table 3</w:t>
      </w:r>
      <w:r w:rsidR="00636143" w:rsidRPr="00A158B7">
        <w:rPr>
          <w:rFonts w:ascii="Times New Roman" w:hAnsi="Times New Roman" w:cs="Times New Roman"/>
          <w:sz w:val="24"/>
          <w:szCs w:val="24"/>
        </w:rPr>
        <w:t xml:space="preserve"> presents predictor variables of reproductive health among migratory women workers in sugarcane harvesting. In model I, individual characteristics such as age, education, food habits, duration of migration and occupational health hazards were significant predictors and contributed about 23 per cent of variation to reproductive health.</w:t>
      </w:r>
      <w:r w:rsidR="00414D8E" w:rsidRPr="00A158B7">
        <w:rPr>
          <w:rFonts w:ascii="Times New Roman" w:hAnsi="Times New Roman" w:cs="Times New Roman"/>
        </w:rPr>
        <w:t xml:space="preserve"> </w:t>
      </w:r>
      <w:r w:rsidR="00414D8E" w:rsidRPr="002E042E">
        <w:rPr>
          <w:rFonts w:ascii="Times New Roman" w:hAnsi="Times New Roman" w:cs="Times New Roman"/>
          <w:sz w:val="24"/>
        </w:rPr>
        <w:t xml:space="preserve">Similar findings were reported by </w:t>
      </w:r>
      <w:r w:rsidR="002A5ABE" w:rsidRPr="002A5ABE">
        <w:rPr>
          <w:rFonts w:ascii="Times New Roman" w:hAnsi="Times New Roman" w:cs="Times New Roman"/>
          <w:sz w:val="24"/>
          <w:szCs w:val="24"/>
        </w:rPr>
        <w:t xml:space="preserve">Singh </w:t>
      </w:r>
      <w:r w:rsidR="002A5ABE" w:rsidRPr="002A5ABE">
        <w:rPr>
          <w:rFonts w:ascii="Times New Roman" w:hAnsi="Times New Roman" w:cs="Times New Roman"/>
          <w:i/>
          <w:sz w:val="24"/>
          <w:szCs w:val="24"/>
        </w:rPr>
        <w:t>et al.</w:t>
      </w:r>
      <w:r w:rsidR="002A5ABE" w:rsidRPr="002A5ABE">
        <w:rPr>
          <w:rFonts w:ascii="Times New Roman" w:hAnsi="Times New Roman" w:cs="Times New Roman"/>
          <w:sz w:val="24"/>
          <w:szCs w:val="24"/>
        </w:rPr>
        <w:t xml:space="preserve"> (2022)</w:t>
      </w:r>
      <w:r w:rsidR="00414D8E" w:rsidRPr="002A5ABE">
        <w:rPr>
          <w:rFonts w:ascii="Times New Roman" w:hAnsi="Times New Roman" w:cs="Times New Roman"/>
          <w:sz w:val="24"/>
          <w:szCs w:val="24"/>
        </w:rPr>
        <w:t>,</w:t>
      </w:r>
      <w:r w:rsidR="00414D8E" w:rsidRPr="002E042E">
        <w:rPr>
          <w:rFonts w:ascii="Times New Roman" w:hAnsi="Times New Roman" w:cs="Times New Roman"/>
          <w:sz w:val="24"/>
        </w:rPr>
        <w:t xml:space="preserve"> who found that individual and work-related factors significantly influenced reproductive morbidities among migrant women sugarcane workers.</w:t>
      </w:r>
    </w:p>
    <w:p w14:paraId="23B5DAE4" w14:textId="77777777" w:rsidR="00414D8E" w:rsidRPr="002E042E" w:rsidRDefault="00636143"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 xml:space="preserve"> In model II, along with individual characteristics, familial characteristics such as number of children, type of family, size of family and socio-economic status were significant predictors and contributed about 30 per cent of variation to reproductive health</w:t>
      </w:r>
      <w:r w:rsidR="002E042E">
        <w:rPr>
          <w:rFonts w:ascii="Times New Roman" w:hAnsi="Times New Roman" w:cs="Times New Roman"/>
        </w:rPr>
        <w:t xml:space="preserve">. </w:t>
      </w:r>
      <w:r w:rsidR="00414D8E" w:rsidRPr="002E042E">
        <w:rPr>
          <w:rFonts w:ascii="Times New Roman" w:hAnsi="Times New Roman" w:cs="Times New Roman"/>
          <w:sz w:val="24"/>
        </w:rPr>
        <w:t xml:space="preserve">These findings are supported by </w:t>
      </w:r>
      <w:proofErr w:type="spellStart"/>
      <w:r w:rsidR="002E042E">
        <w:rPr>
          <w:rFonts w:ascii="Times New Roman" w:hAnsi="Times New Roman" w:cs="Times New Roman"/>
          <w:bCs/>
          <w:sz w:val="24"/>
        </w:rPr>
        <w:t>Deshpand</w:t>
      </w:r>
      <w:proofErr w:type="spellEnd"/>
      <w:r w:rsidR="002E042E">
        <w:rPr>
          <w:rFonts w:ascii="Times New Roman" w:hAnsi="Times New Roman" w:cs="Times New Roman"/>
          <w:bCs/>
          <w:sz w:val="24"/>
        </w:rPr>
        <w:t>,</w:t>
      </w:r>
      <w:r w:rsidR="00414D8E" w:rsidRPr="002E042E">
        <w:rPr>
          <w:rFonts w:ascii="Times New Roman" w:hAnsi="Times New Roman" w:cs="Times New Roman"/>
          <w:bCs/>
          <w:sz w:val="24"/>
        </w:rPr>
        <w:t xml:space="preserve"> (2018)</w:t>
      </w:r>
      <w:r w:rsidR="00414D8E" w:rsidRPr="002E042E">
        <w:rPr>
          <w:rFonts w:ascii="Times New Roman" w:hAnsi="Times New Roman" w:cs="Times New Roman"/>
          <w:sz w:val="24"/>
        </w:rPr>
        <w:t>, who highlighted that socio-economic deprivation and family responsibilities significantly affect the health status of migrant women workers.</w:t>
      </w:r>
    </w:p>
    <w:p w14:paraId="129B248A" w14:textId="023D533B" w:rsidR="00636143" w:rsidRPr="00A158B7" w:rsidRDefault="00636143"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t xml:space="preserve"> In model III, along with individual and familial characteristics, maternal health characteristics such as age at menarche, duration of menstrual flow, age at marriage, age at first </w:t>
      </w:r>
      <w:r w:rsidRPr="00A158B7">
        <w:rPr>
          <w:rFonts w:ascii="Times New Roman" w:hAnsi="Times New Roman" w:cs="Times New Roman"/>
          <w:sz w:val="24"/>
          <w:szCs w:val="24"/>
        </w:rPr>
        <w:lastRenderedPageBreak/>
        <w:t>pregnancy, spacing between children and breast feeding were significant predictors and contributed about 37 per cent variation to reproductive health.</w:t>
      </w:r>
      <w:r w:rsidR="00414D8E" w:rsidRPr="00A158B7">
        <w:rPr>
          <w:rFonts w:ascii="Times New Roman" w:hAnsi="Times New Roman" w:cs="Times New Roman"/>
        </w:rPr>
        <w:t xml:space="preserve"> These results a</w:t>
      </w:r>
      <w:r w:rsidR="000656AB">
        <w:rPr>
          <w:rFonts w:ascii="Times New Roman" w:hAnsi="Times New Roman" w:cs="Times New Roman"/>
        </w:rPr>
        <w:t xml:space="preserve">re in line with the findings of </w:t>
      </w:r>
      <w:r w:rsidR="000656AB" w:rsidRPr="000656AB">
        <w:rPr>
          <w:rFonts w:ascii="Times New Roman" w:hAnsi="Times New Roman" w:cs="Times New Roman"/>
          <w:sz w:val="24"/>
          <w:szCs w:val="24"/>
        </w:rPr>
        <w:t xml:space="preserve">Nguyen </w:t>
      </w:r>
      <w:r w:rsidR="000656AB" w:rsidRPr="000656AB">
        <w:rPr>
          <w:rFonts w:ascii="Times New Roman" w:hAnsi="Times New Roman" w:cs="Times New Roman"/>
          <w:i/>
          <w:sz w:val="24"/>
          <w:szCs w:val="24"/>
        </w:rPr>
        <w:t>et al.</w:t>
      </w:r>
      <w:r w:rsidR="000656AB" w:rsidRPr="000656AB">
        <w:rPr>
          <w:rFonts w:ascii="Times New Roman" w:hAnsi="Times New Roman" w:cs="Times New Roman"/>
          <w:sz w:val="24"/>
          <w:szCs w:val="24"/>
        </w:rPr>
        <w:t xml:space="preserve"> </w:t>
      </w:r>
      <w:r w:rsidR="000656AB">
        <w:rPr>
          <w:rFonts w:ascii="Times New Roman" w:hAnsi="Times New Roman" w:cs="Times New Roman"/>
          <w:bCs/>
        </w:rPr>
        <w:t xml:space="preserve"> (2019</w:t>
      </w:r>
      <w:r w:rsidR="00414D8E" w:rsidRPr="00A158B7">
        <w:rPr>
          <w:rFonts w:ascii="Times New Roman" w:hAnsi="Times New Roman" w:cs="Times New Roman"/>
          <w:bCs/>
        </w:rPr>
        <w:t>)</w:t>
      </w:r>
      <w:r w:rsidR="00414D8E" w:rsidRPr="00A158B7">
        <w:rPr>
          <w:rFonts w:ascii="Times New Roman" w:hAnsi="Times New Roman" w:cs="Times New Roman"/>
        </w:rPr>
        <w:t>, who reported that reproductive health issues among sugarcane workers were strongly associated with early maternal responsibilities and lack of reproductive care.</w:t>
      </w:r>
    </w:p>
    <w:p w14:paraId="64D56F16" w14:textId="77777777" w:rsidR="00973150" w:rsidRPr="004549CA" w:rsidRDefault="00030F8D" w:rsidP="004549CA">
      <w:pPr>
        <w:spacing w:after="0" w:line="240" w:lineRule="auto"/>
        <w:jc w:val="both"/>
        <w:rPr>
          <w:rFonts w:ascii="Times New Roman" w:hAnsi="Times New Roman" w:cs="Times New Roman"/>
          <w:b/>
          <w:sz w:val="24"/>
          <w:szCs w:val="24"/>
        </w:rPr>
      </w:pPr>
      <w:r w:rsidRPr="004549CA">
        <w:rPr>
          <w:rFonts w:ascii="Times New Roman" w:hAnsi="Times New Roman" w:cs="Times New Roman"/>
          <w:b/>
          <w:sz w:val="24"/>
          <w:szCs w:val="24"/>
        </w:rPr>
        <w:t>Table 4</w:t>
      </w:r>
      <w:r w:rsidR="00973150" w:rsidRPr="004549CA">
        <w:rPr>
          <w:rFonts w:ascii="Times New Roman" w:hAnsi="Times New Roman" w:cs="Times New Roman"/>
          <w:b/>
          <w:sz w:val="24"/>
          <w:szCs w:val="24"/>
        </w:rPr>
        <w:t>. Predictor variables of nutritional status among migratory women w</w:t>
      </w:r>
      <w:r w:rsidR="004549CA" w:rsidRPr="004549CA">
        <w:rPr>
          <w:rFonts w:ascii="Times New Roman" w:hAnsi="Times New Roman" w:cs="Times New Roman"/>
          <w:b/>
          <w:sz w:val="24"/>
          <w:szCs w:val="24"/>
        </w:rPr>
        <w:t xml:space="preserve">orkers in sugarcane harvesting                                                                                                                          </w:t>
      </w:r>
      <w:r w:rsidR="00973150" w:rsidRPr="004549CA">
        <w:rPr>
          <w:rFonts w:ascii="Times New Roman" w:hAnsi="Times New Roman" w:cs="Times New Roman"/>
          <w:b/>
          <w:sz w:val="24"/>
          <w:szCs w:val="24"/>
        </w:rPr>
        <w:t>N=220</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956"/>
        <w:gridCol w:w="941"/>
        <w:gridCol w:w="956"/>
        <w:gridCol w:w="940"/>
        <w:gridCol w:w="956"/>
        <w:gridCol w:w="940"/>
      </w:tblGrid>
      <w:tr w:rsidR="00973150" w:rsidRPr="00A158B7" w14:paraId="472C7D59" w14:textId="77777777">
        <w:trPr>
          <w:trHeight w:val="141"/>
          <w:jc w:val="center"/>
        </w:trPr>
        <w:tc>
          <w:tcPr>
            <w:tcW w:w="3283" w:type="dxa"/>
            <w:vMerge w:val="restart"/>
            <w:tcBorders>
              <w:top w:val="single" w:sz="4" w:space="0" w:color="auto"/>
              <w:left w:val="single" w:sz="4" w:space="0" w:color="auto"/>
              <w:bottom w:val="single" w:sz="4" w:space="0" w:color="auto"/>
              <w:right w:val="single" w:sz="4" w:space="0" w:color="auto"/>
            </w:tcBorders>
            <w:vAlign w:val="center"/>
            <w:hideMark/>
          </w:tcPr>
          <w:p w14:paraId="6B139E98"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Predictors</w:t>
            </w:r>
          </w:p>
        </w:tc>
        <w:tc>
          <w:tcPr>
            <w:tcW w:w="1897" w:type="dxa"/>
            <w:gridSpan w:val="2"/>
            <w:tcBorders>
              <w:top w:val="single" w:sz="4" w:space="0" w:color="auto"/>
              <w:left w:val="single" w:sz="4" w:space="0" w:color="auto"/>
              <w:bottom w:val="single" w:sz="4" w:space="0" w:color="auto"/>
              <w:right w:val="single" w:sz="4" w:space="0" w:color="auto"/>
            </w:tcBorders>
            <w:vAlign w:val="center"/>
            <w:hideMark/>
          </w:tcPr>
          <w:p w14:paraId="6AB813DE"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Model 1</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32DF2628"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Model 2</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35C7A5B2"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Model 3</w:t>
            </w:r>
          </w:p>
        </w:tc>
      </w:tr>
      <w:tr w:rsidR="00973150" w:rsidRPr="00A158B7" w14:paraId="4D00A8A7" w14:textId="77777777">
        <w:trPr>
          <w:trHeight w:val="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19773" w14:textId="77777777" w:rsidR="00973150" w:rsidRPr="004549CA" w:rsidRDefault="00973150" w:rsidP="004549CA">
            <w:pPr>
              <w:spacing w:after="0" w:line="240" w:lineRule="auto"/>
              <w:jc w:val="center"/>
              <w:rPr>
                <w:rFonts w:ascii="Times New Roman" w:eastAsia="Times New Roman" w:hAnsi="Times New Roman" w:cs="Times New Roman"/>
                <w:b/>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53ABE1A1"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B</w:t>
            </w:r>
          </w:p>
        </w:tc>
        <w:tc>
          <w:tcPr>
            <w:tcW w:w="940" w:type="dxa"/>
            <w:tcBorders>
              <w:top w:val="single" w:sz="4" w:space="0" w:color="auto"/>
              <w:left w:val="single" w:sz="4" w:space="0" w:color="auto"/>
              <w:bottom w:val="single" w:sz="4" w:space="0" w:color="auto"/>
              <w:right w:val="single" w:sz="4" w:space="0" w:color="auto"/>
            </w:tcBorders>
            <w:vAlign w:val="center"/>
            <w:hideMark/>
          </w:tcPr>
          <w:p w14:paraId="03FBC8F0"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SE</w:t>
            </w:r>
          </w:p>
        </w:tc>
        <w:tc>
          <w:tcPr>
            <w:tcW w:w="956" w:type="dxa"/>
            <w:tcBorders>
              <w:top w:val="single" w:sz="4" w:space="0" w:color="auto"/>
              <w:left w:val="single" w:sz="4" w:space="0" w:color="auto"/>
              <w:bottom w:val="single" w:sz="4" w:space="0" w:color="auto"/>
              <w:right w:val="single" w:sz="4" w:space="0" w:color="auto"/>
            </w:tcBorders>
            <w:vAlign w:val="center"/>
            <w:hideMark/>
          </w:tcPr>
          <w:p w14:paraId="6D5864CB"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w:t>
            </w:r>
          </w:p>
        </w:tc>
        <w:tc>
          <w:tcPr>
            <w:tcW w:w="939" w:type="dxa"/>
            <w:tcBorders>
              <w:top w:val="single" w:sz="4" w:space="0" w:color="auto"/>
              <w:left w:val="single" w:sz="4" w:space="0" w:color="auto"/>
              <w:bottom w:val="single" w:sz="4" w:space="0" w:color="auto"/>
              <w:right w:val="single" w:sz="4" w:space="0" w:color="auto"/>
            </w:tcBorders>
            <w:vAlign w:val="center"/>
            <w:hideMark/>
          </w:tcPr>
          <w:p w14:paraId="731FB621"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SE</w:t>
            </w:r>
          </w:p>
        </w:tc>
        <w:tc>
          <w:tcPr>
            <w:tcW w:w="956" w:type="dxa"/>
            <w:tcBorders>
              <w:top w:val="single" w:sz="4" w:space="0" w:color="auto"/>
              <w:left w:val="single" w:sz="4" w:space="0" w:color="auto"/>
              <w:bottom w:val="single" w:sz="4" w:space="0" w:color="auto"/>
              <w:right w:val="single" w:sz="4" w:space="0" w:color="auto"/>
            </w:tcBorders>
            <w:vAlign w:val="center"/>
            <w:hideMark/>
          </w:tcPr>
          <w:p w14:paraId="229B0FE5"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B</w:t>
            </w:r>
          </w:p>
        </w:tc>
        <w:tc>
          <w:tcPr>
            <w:tcW w:w="939" w:type="dxa"/>
            <w:tcBorders>
              <w:top w:val="single" w:sz="4" w:space="0" w:color="auto"/>
              <w:left w:val="single" w:sz="4" w:space="0" w:color="auto"/>
              <w:bottom w:val="single" w:sz="4" w:space="0" w:color="auto"/>
              <w:right w:val="single" w:sz="4" w:space="0" w:color="auto"/>
            </w:tcBorders>
            <w:vAlign w:val="center"/>
            <w:hideMark/>
          </w:tcPr>
          <w:p w14:paraId="31BD7A11"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SE</w:t>
            </w:r>
          </w:p>
        </w:tc>
      </w:tr>
      <w:tr w:rsidR="00973150" w:rsidRPr="00A158B7" w14:paraId="63D9306D" w14:textId="77777777">
        <w:trPr>
          <w:trHeight w:val="141"/>
          <w:jc w:val="center"/>
        </w:trPr>
        <w:tc>
          <w:tcPr>
            <w:tcW w:w="8971" w:type="dxa"/>
            <w:gridSpan w:val="7"/>
            <w:tcBorders>
              <w:top w:val="single" w:sz="4" w:space="0" w:color="auto"/>
              <w:left w:val="single" w:sz="4" w:space="0" w:color="auto"/>
              <w:bottom w:val="single" w:sz="4" w:space="0" w:color="auto"/>
              <w:right w:val="single" w:sz="4" w:space="0" w:color="auto"/>
            </w:tcBorders>
            <w:hideMark/>
          </w:tcPr>
          <w:p w14:paraId="2D52FDA3" w14:textId="77777777" w:rsidR="00973150" w:rsidRPr="00627723" w:rsidRDefault="00973150" w:rsidP="004549CA">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 xml:space="preserve">Individual characteristics </w:t>
            </w:r>
          </w:p>
        </w:tc>
      </w:tr>
      <w:tr w:rsidR="00973150" w:rsidRPr="00A158B7" w14:paraId="5C96F64D" w14:textId="77777777">
        <w:trPr>
          <w:trHeight w:val="136"/>
          <w:jc w:val="center"/>
        </w:trPr>
        <w:tc>
          <w:tcPr>
            <w:tcW w:w="3283" w:type="dxa"/>
            <w:tcBorders>
              <w:top w:val="single" w:sz="4" w:space="0" w:color="auto"/>
              <w:left w:val="single" w:sz="4" w:space="0" w:color="auto"/>
              <w:bottom w:val="single" w:sz="4" w:space="0" w:color="auto"/>
              <w:right w:val="single" w:sz="4" w:space="0" w:color="auto"/>
            </w:tcBorders>
            <w:hideMark/>
          </w:tcPr>
          <w:p w14:paraId="1E23BA1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w:t>
            </w:r>
          </w:p>
        </w:tc>
        <w:tc>
          <w:tcPr>
            <w:tcW w:w="956" w:type="dxa"/>
            <w:tcBorders>
              <w:top w:val="single" w:sz="4" w:space="0" w:color="auto"/>
              <w:left w:val="single" w:sz="4" w:space="0" w:color="auto"/>
              <w:bottom w:val="single" w:sz="4" w:space="0" w:color="auto"/>
              <w:right w:val="single" w:sz="4" w:space="0" w:color="auto"/>
            </w:tcBorders>
            <w:vAlign w:val="center"/>
            <w:hideMark/>
          </w:tcPr>
          <w:p w14:paraId="5BA7AF5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0.009*</w:t>
            </w:r>
          </w:p>
        </w:tc>
        <w:tc>
          <w:tcPr>
            <w:tcW w:w="940" w:type="dxa"/>
            <w:tcBorders>
              <w:top w:val="single" w:sz="4" w:space="0" w:color="auto"/>
              <w:left w:val="single" w:sz="4" w:space="0" w:color="auto"/>
              <w:bottom w:val="single" w:sz="4" w:space="0" w:color="auto"/>
              <w:right w:val="single" w:sz="4" w:space="0" w:color="auto"/>
            </w:tcBorders>
            <w:vAlign w:val="center"/>
            <w:hideMark/>
          </w:tcPr>
          <w:p w14:paraId="4AFDACE3"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0.187</w:t>
            </w:r>
          </w:p>
        </w:tc>
        <w:tc>
          <w:tcPr>
            <w:tcW w:w="956" w:type="dxa"/>
            <w:tcBorders>
              <w:top w:val="single" w:sz="4" w:space="0" w:color="auto"/>
              <w:left w:val="single" w:sz="4" w:space="0" w:color="auto"/>
              <w:bottom w:val="single" w:sz="4" w:space="0" w:color="auto"/>
              <w:right w:val="single" w:sz="4" w:space="0" w:color="auto"/>
            </w:tcBorders>
            <w:vAlign w:val="center"/>
            <w:hideMark/>
          </w:tcPr>
          <w:p w14:paraId="00DE60FA"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0.004*</w:t>
            </w:r>
          </w:p>
        </w:tc>
        <w:tc>
          <w:tcPr>
            <w:tcW w:w="939" w:type="dxa"/>
            <w:tcBorders>
              <w:top w:val="single" w:sz="4" w:space="0" w:color="auto"/>
              <w:left w:val="single" w:sz="4" w:space="0" w:color="auto"/>
              <w:bottom w:val="single" w:sz="4" w:space="0" w:color="auto"/>
              <w:right w:val="single" w:sz="4" w:space="0" w:color="auto"/>
            </w:tcBorders>
            <w:vAlign w:val="center"/>
            <w:hideMark/>
          </w:tcPr>
          <w:p w14:paraId="6E3B087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0.190</w:t>
            </w:r>
          </w:p>
        </w:tc>
        <w:tc>
          <w:tcPr>
            <w:tcW w:w="956" w:type="dxa"/>
            <w:tcBorders>
              <w:top w:val="single" w:sz="4" w:space="0" w:color="auto"/>
              <w:left w:val="single" w:sz="4" w:space="0" w:color="auto"/>
              <w:bottom w:val="single" w:sz="4" w:space="0" w:color="auto"/>
              <w:right w:val="single" w:sz="4" w:space="0" w:color="auto"/>
            </w:tcBorders>
            <w:vAlign w:val="center"/>
            <w:hideMark/>
          </w:tcPr>
          <w:p w14:paraId="69C1DA62"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0.006*</w:t>
            </w:r>
          </w:p>
        </w:tc>
        <w:tc>
          <w:tcPr>
            <w:tcW w:w="939" w:type="dxa"/>
            <w:tcBorders>
              <w:top w:val="single" w:sz="4" w:space="0" w:color="auto"/>
              <w:left w:val="single" w:sz="4" w:space="0" w:color="auto"/>
              <w:bottom w:val="single" w:sz="4" w:space="0" w:color="auto"/>
              <w:right w:val="single" w:sz="4" w:space="0" w:color="auto"/>
            </w:tcBorders>
            <w:vAlign w:val="center"/>
            <w:hideMark/>
          </w:tcPr>
          <w:p w14:paraId="4CE3DCB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0.191</w:t>
            </w:r>
          </w:p>
        </w:tc>
      </w:tr>
      <w:tr w:rsidR="00973150" w:rsidRPr="00A158B7" w14:paraId="5BB3FFD3"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2673CD0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Education </w:t>
            </w:r>
          </w:p>
        </w:tc>
        <w:tc>
          <w:tcPr>
            <w:tcW w:w="956" w:type="dxa"/>
            <w:tcBorders>
              <w:top w:val="single" w:sz="4" w:space="0" w:color="auto"/>
              <w:left w:val="single" w:sz="4" w:space="0" w:color="auto"/>
              <w:bottom w:val="single" w:sz="4" w:space="0" w:color="auto"/>
              <w:right w:val="single" w:sz="4" w:space="0" w:color="auto"/>
            </w:tcBorders>
            <w:vAlign w:val="center"/>
            <w:hideMark/>
          </w:tcPr>
          <w:p w14:paraId="438E46D6"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-0.029*</w:t>
            </w:r>
          </w:p>
        </w:tc>
        <w:tc>
          <w:tcPr>
            <w:tcW w:w="940" w:type="dxa"/>
            <w:tcBorders>
              <w:top w:val="single" w:sz="4" w:space="0" w:color="auto"/>
              <w:left w:val="single" w:sz="4" w:space="0" w:color="auto"/>
              <w:bottom w:val="single" w:sz="4" w:space="0" w:color="auto"/>
              <w:right w:val="single" w:sz="4" w:space="0" w:color="auto"/>
            </w:tcBorders>
            <w:vAlign w:val="center"/>
            <w:hideMark/>
          </w:tcPr>
          <w:p w14:paraId="444054C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0.142</w:t>
            </w:r>
          </w:p>
        </w:tc>
        <w:tc>
          <w:tcPr>
            <w:tcW w:w="956" w:type="dxa"/>
            <w:tcBorders>
              <w:top w:val="single" w:sz="4" w:space="0" w:color="auto"/>
              <w:left w:val="single" w:sz="4" w:space="0" w:color="auto"/>
              <w:bottom w:val="single" w:sz="4" w:space="0" w:color="auto"/>
              <w:right w:val="single" w:sz="4" w:space="0" w:color="auto"/>
            </w:tcBorders>
            <w:vAlign w:val="center"/>
            <w:hideMark/>
          </w:tcPr>
          <w:p w14:paraId="73018313"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-0.057*</w:t>
            </w:r>
          </w:p>
        </w:tc>
        <w:tc>
          <w:tcPr>
            <w:tcW w:w="939" w:type="dxa"/>
            <w:tcBorders>
              <w:top w:val="single" w:sz="4" w:space="0" w:color="auto"/>
              <w:left w:val="single" w:sz="4" w:space="0" w:color="auto"/>
              <w:bottom w:val="single" w:sz="4" w:space="0" w:color="auto"/>
              <w:right w:val="single" w:sz="4" w:space="0" w:color="auto"/>
            </w:tcBorders>
            <w:vAlign w:val="center"/>
            <w:hideMark/>
          </w:tcPr>
          <w:p w14:paraId="1C0E6AD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0.146</w:t>
            </w:r>
          </w:p>
        </w:tc>
        <w:tc>
          <w:tcPr>
            <w:tcW w:w="956" w:type="dxa"/>
            <w:tcBorders>
              <w:top w:val="single" w:sz="4" w:space="0" w:color="auto"/>
              <w:left w:val="single" w:sz="4" w:space="0" w:color="auto"/>
              <w:bottom w:val="single" w:sz="4" w:space="0" w:color="auto"/>
              <w:right w:val="single" w:sz="4" w:space="0" w:color="auto"/>
            </w:tcBorders>
            <w:vAlign w:val="center"/>
            <w:hideMark/>
          </w:tcPr>
          <w:p w14:paraId="7026569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-0.059*</w:t>
            </w:r>
          </w:p>
        </w:tc>
        <w:tc>
          <w:tcPr>
            <w:tcW w:w="939" w:type="dxa"/>
            <w:tcBorders>
              <w:top w:val="single" w:sz="4" w:space="0" w:color="auto"/>
              <w:left w:val="single" w:sz="4" w:space="0" w:color="auto"/>
              <w:bottom w:val="single" w:sz="4" w:space="0" w:color="auto"/>
              <w:right w:val="single" w:sz="4" w:space="0" w:color="auto"/>
            </w:tcBorders>
            <w:vAlign w:val="center"/>
            <w:hideMark/>
          </w:tcPr>
          <w:p w14:paraId="09D56C9A"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0.148</w:t>
            </w:r>
          </w:p>
        </w:tc>
      </w:tr>
      <w:tr w:rsidR="00973150" w:rsidRPr="00A158B7" w14:paraId="0CD1C8D6"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236A1E1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Food habit</w:t>
            </w:r>
          </w:p>
        </w:tc>
        <w:tc>
          <w:tcPr>
            <w:tcW w:w="956" w:type="dxa"/>
            <w:tcBorders>
              <w:top w:val="single" w:sz="4" w:space="0" w:color="auto"/>
              <w:left w:val="single" w:sz="4" w:space="0" w:color="auto"/>
              <w:bottom w:val="single" w:sz="4" w:space="0" w:color="auto"/>
              <w:right w:val="single" w:sz="4" w:space="0" w:color="auto"/>
            </w:tcBorders>
            <w:vAlign w:val="center"/>
            <w:hideMark/>
          </w:tcPr>
          <w:p w14:paraId="39121DE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0.087</w:t>
            </w:r>
          </w:p>
        </w:tc>
        <w:tc>
          <w:tcPr>
            <w:tcW w:w="940" w:type="dxa"/>
            <w:tcBorders>
              <w:top w:val="single" w:sz="4" w:space="0" w:color="auto"/>
              <w:left w:val="single" w:sz="4" w:space="0" w:color="auto"/>
              <w:bottom w:val="single" w:sz="4" w:space="0" w:color="auto"/>
              <w:right w:val="single" w:sz="4" w:space="0" w:color="auto"/>
            </w:tcBorders>
            <w:vAlign w:val="center"/>
            <w:hideMark/>
          </w:tcPr>
          <w:p w14:paraId="0712A2F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0.395</w:t>
            </w:r>
          </w:p>
        </w:tc>
        <w:tc>
          <w:tcPr>
            <w:tcW w:w="956" w:type="dxa"/>
            <w:tcBorders>
              <w:top w:val="single" w:sz="4" w:space="0" w:color="auto"/>
              <w:left w:val="single" w:sz="4" w:space="0" w:color="auto"/>
              <w:bottom w:val="single" w:sz="4" w:space="0" w:color="auto"/>
              <w:right w:val="single" w:sz="4" w:space="0" w:color="auto"/>
            </w:tcBorders>
            <w:vAlign w:val="center"/>
            <w:hideMark/>
          </w:tcPr>
          <w:p w14:paraId="71032C2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0.162</w:t>
            </w:r>
          </w:p>
        </w:tc>
        <w:tc>
          <w:tcPr>
            <w:tcW w:w="939" w:type="dxa"/>
            <w:tcBorders>
              <w:top w:val="single" w:sz="4" w:space="0" w:color="auto"/>
              <w:left w:val="single" w:sz="4" w:space="0" w:color="auto"/>
              <w:bottom w:val="single" w:sz="4" w:space="0" w:color="auto"/>
              <w:right w:val="single" w:sz="4" w:space="0" w:color="auto"/>
            </w:tcBorders>
            <w:vAlign w:val="center"/>
            <w:hideMark/>
          </w:tcPr>
          <w:p w14:paraId="21C1E47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0.402</w:t>
            </w:r>
          </w:p>
        </w:tc>
        <w:tc>
          <w:tcPr>
            <w:tcW w:w="956" w:type="dxa"/>
            <w:tcBorders>
              <w:top w:val="single" w:sz="4" w:space="0" w:color="auto"/>
              <w:left w:val="single" w:sz="4" w:space="0" w:color="auto"/>
              <w:bottom w:val="single" w:sz="4" w:space="0" w:color="auto"/>
              <w:right w:val="single" w:sz="4" w:space="0" w:color="auto"/>
            </w:tcBorders>
            <w:vAlign w:val="center"/>
            <w:hideMark/>
          </w:tcPr>
          <w:p w14:paraId="2667168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0.156</w:t>
            </w:r>
          </w:p>
        </w:tc>
        <w:tc>
          <w:tcPr>
            <w:tcW w:w="939" w:type="dxa"/>
            <w:tcBorders>
              <w:top w:val="single" w:sz="4" w:space="0" w:color="auto"/>
              <w:left w:val="single" w:sz="4" w:space="0" w:color="auto"/>
              <w:bottom w:val="single" w:sz="4" w:space="0" w:color="auto"/>
              <w:right w:val="single" w:sz="4" w:space="0" w:color="auto"/>
            </w:tcBorders>
            <w:vAlign w:val="center"/>
            <w:hideMark/>
          </w:tcPr>
          <w:p w14:paraId="5BD81CB2"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0.412</w:t>
            </w:r>
          </w:p>
        </w:tc>
      </w:tr>
      <w:tr w:rsidR="00973150" w:rsidRPr="00A158B7" w14:paraId="79D1AF81"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71269F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migration</w:t>
            </w:r>
          </w:p>
        </w:tc>
        <w:tc>
          <w:tcPr>
            <w:tcW w:w="956" w:type="dxa"/>
            <w:tcBorders>
              <w:top w:val="single" w:sz="4" w:space="0" w:color="auto"/>
              <w:left w:val="single" w:sz="4" w:space="0" w:color="auto"/>
              <w:bottom w:val="single" w:sz="4" w:space="0" w:color="auto"/>
              <w:right w:val="single" w:sz="4" w:space="0" w:color="auto"/>
            </w:tcBorders>
            <w:vAlign w:val="center"/>
            <w:hideMark/>
          </w:tcPr>
          <w:p w14:paraId="4879349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-2.314*</w:t>
            </w:r>
          </w:p>
        </w:tc>
        <w:tc>
          <w:tcPr>
            <w:tcW w:w="940" w:type="dxa"/>
            <w:tcBorders>
              <w:top w:val="single" w:sz="4" w:space="0" w:color="auto"/>
              <w:left w:val="single" w:sz="4" w:space="0" w:color="auto"/>
              <w:bottom w:val="single" w:sz="4" w:space="0" w:color="auto"/>
              <w:right w:val="single" w:sz="4" w:space="0" w:color="auto"/>
            </w:tcBorders>
            <w:vAlign w:val="center"/>
            <w:hideMark/>
          </w:tcPr>
          <w:p w14:paraId="6CE2DC8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0.195</w:t>
            </w:r>
          </w:p>
        </w:tc>
        <w:tc>
          <w:tcPr>
            <w:tcW w:w="956" w:type="dxa"/>
            <w:tcBorders>
              <w:top w:val="single" w:sz="4" w:space="0" w:color="auto"/>
              <w:left w:val="single" w:sz="4" w:space="0" w:color="auto"/>
              <w:bottom w:val="single" w:sz="4" w:space="0" w:color="auto"/>
              <w:right w:val="single" w:sz="4" w:space="0" w:color="auto"/>
            </w:tcBorders>
            <w:vAlign w:val="center"/>
            <w:hideMark/>
          </w:tcPr>
          <w:p w14:paraId="5633A4F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-3.420*</w:t>
            </w:r>
          </w:p>
        </w:tc>
        <w:tc>
          <w:tcPr>
            <w:tcW w:w="939" w:type="dxa"/>
            <w:tcBorders>
              <w:top w:val="single" w:sz="4" w:space="0" w:color="auto"/>
              <w:left w:val="single" w:sz="4" w:space="0" w:color="auto"/>
              <w:bottom w:val="single" w:sz="4" w:space="0" w:color="auto"/>
              <w:right w:val="single" w:sz="4" w:space="0" w:color="auto"/>
            </w:tcBorders>
            <w:vAlign w:val="center"/>
            <w:hideMark/>
          </w:tcPr>
          <w:p w14:paraId="164CD4A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0.214</w:t>
            </w:r>
          </w:p>
        </w:tc>
        <w:tc>
          <w:tcPr>
            <w:tcW w:w="956" w:type="dxa"/>
            <w:tcBorders>
              <w:top w:val="single" w:sz="4" w:space="0" w:color="auto"/>
              <w:left w:val="single" w:sz="4" w:space="0" w:color="auto"/>
              <w:bottom w:val="single" w:sz="4" w:space="0" w:color="auto"/>
              <w:right w:val="single" w:sz="4" w:space="0" w:color="auto"/>
            </w:tcBorders>
            <w:vAlign w:val="center"/>
            <w:hideMark/>
          </w:tcPr>
          <w:p w14:paraId="1C85D4B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-0.405</w:t>
            </w:r>
          </w:p>
        </w:tc>
        <w:tc>
          <w:tcPr>
            <w:tcW w:w="939" w:type="dxa"/>
            <w:tcBorders>
              <w:top w:val="single" w:sz="4" w:space="0" w:color="auto"/>
              <w:left w:val="single" w:sz="4" w:space="0" w:color="auto"/>
              <w:bottom w:val="single" w:sz="4" w:space="0" w:color="auto"/>
              <w:right w:val="single" w:sz="4" w:space="0" w:color="auto"/>
            </w:tcBorders>
            <w:vAlign w:val="center"/>
            <w:hideMark/>
          </w:tcPr>
          <w:p w14:paraId="553F55F6"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0.217</w:t>
            </w:r>
          </w:p>
        </w:tc>
      </w:tr>
      <w:tr w:rsidR="00973150" w:rsidRPr="00A158B7" w14:paraId="0351CDD6"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7C46F2B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Occupational health hazards </w:t>
            </w:r>
          </w:p>
        </w:tc>
        <w:tc>
          <w:tcPr>
            <w:tcW w:w="956" w:type="dxa"/>
            <w:tcBorders>
              <w:top w:val="single" w:sz="4" w:space="0" w:color="auto"/>
              <w:left w:val="single" w:sz="4" w:space="0" w:color="auto"/>
              <w:bottom w:val="single" w:sz="4" w:space="0" w:color="auto"/>
              <w:right w:val="single" w:sz="4" w:space="0" w:color="auto"/>
            </w:tcBorders>
            <w:vAlign w:val="center"/>
            <w:hideMark/>
          </w:tcPr>
          <w:p w14:paraId="48D9D38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1.202*</w:t>
            </w:r>
          </w:p>
        </w:tc>
        <w:tc>
          <w:tcPr>
            <w:tcW w:w="940" w:type="dxa"/>
            <w:tcBorders>
              <w:top w:val="single" w:sz="4" w:space="0" w:color="auto"/>
              <w:left w:val="single" w:sz="4" w:space="0" w:color="auto"/>
              <w:bottom w:val="single" w:sz="4" w:space="0" w:color="auto"/>
              <w:right w:val="single" w:sz="4" w:space="0" w:color="auto"/>
            </w:tcBorders>
            <w:vAlign w:val="center"/>
            <w:hideMark/>
          </w:tcPr>
          <w:p w14:paraId="6795EBA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0.347</w:t>
            </w:r>
          </w:p>
        </w:tc>
        <w:tc>
          <w:tcPr>
            <w:tcW w:w="956" w:type="dxa"/>
            <w:tcBorders>
              <w:top w:val="single" w:sz="4" w:space="0" w:color="auto"/>
              <w:left w:val="single" w:sz="4" w:space="0" w:color="auto"/>
              <w:bottom w:val="single" w:sz="4" w:space="0" w:color="auto"/>
              <w:right w:val="single" w:sz="4" w:space="0" w:color="auto"/>
            </w:tcBorders>
            <w:vAlign w:val="center"/>
            <w:hideMark/>
          </w:tcPr>
          <w:p w14:paraId="7D7DD27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1.254*</w:t>
            </w:r>
          </w:p>
        </w:tc>
        <w:tc>
          <w:tcPr>
            <w:tcW w:w="939" w:type="dxa"/>
            <w:tcBorders>
              <w:top w:val="single" w:sz="4" w:space="0" w:color="auto"/>
              <w:left w:val="single" w:sz="4" w:space="0" w:color="auto"/>
              <w:bottom w:val="single" w:sz="4" w:space="0" w:color="auto"/>
              <w:right w:val="single" w:sz="4" w:space="0" w:color="auto"/>
            </w:tcBorders>
            <w:vAlign w:val="center"/>
            <w:hideMark/>
          </w:tcPr>
          <w:p w14:paraId="5F00CC1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0.350</w:t>
            </w:r>
          </w:p>
        </w:tc>
        <w:tc>
          <w:tcPr>
            <w:tcW w:w="956" w:type="dxa"/>
            <w:tcBorders>
              <w:top w:val="single" w:sz="4" w:space="0" w:color="auto"/>
              <w:left w:val="single" w:sz="4" w:space="0" w:color="auto"/>
              <w:bottom w:val="single" w:sz="4" w:space="0" w:color="auto"/>
              <w:right w:val="single" w:sz="4" w:space="0" w:color="auto"/>
            </w:tcBorders>
            <w:vAlign w:val="center"/>
            <w:hideMark/>
          </w:tcPr>
          <w:p w14:paraId="3CA18D1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0.309</w:t>
            </w:r>
          </w:p>
        </w:tc>
        <w:tc>
          <w:tcPr>
            <w:tcW w:w="939" w:type="dxa"/>
            <w:tcBorders>
              <w:top w:val="single" w:sz="4" w:space="0" w:color="auto"/>
              <w:left w:val="single" w:sz="4" w:space="0" w:color="auto"/>
              <w:bottom w:val="single" w:sz="4" w:space="0" w:color="auto"/>
              <w:right w:val="single" w:sz="4" w:space="0" w:color="auto"/>
            </w:tcBorders>
            <w:vAlign w:val="center"/>
            <w:hideMark/>
          </w:tcPr>
          <w:p w14:paraId="1CAF11F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0.358</w:t>
            </w:r>
          </w:p>
        </w:tc>
      </w:tr>
      <w:tr w:rsidR="00973150" w:rsidRPr="00A158B7" w14:paraId="12FB9295" w14:textId="77777777">
        <w:trPr>
          <w:trHeight w:val="141"/>
          <w:jc w:val="center"/>
        </w:trPr>
        <w:tc>
          <w:tcPr>
            <w:tcW w:w="8971" w:type="dxa"/>
            <w:gridSpan w:val="7"/>
            <w:tcBorders>
              <w:top w:val="single" w:sz="4" w:space="0" w:color="auto"/>
              <w:left w:val="single" w:sz="4" w:space="0" w:color="auto"/>
              <w:bottom w:val="single" w:sz="4" w:space="0" w:color="auto"/>
              <w:right w:val="single" w:sz="4" w:space="0" w:color="auto"/>
            </w:tcBorders>
            <w:hideMark/>
          </w:tcPr>
          <w:p w14:paraId="745243AF" w14:textId="77777777" w:rsidR="00973150" w:rsidRPr="00627723" w:rsidRDefault="00973150" w:rsidP="004549CA">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Familial characteristics</w:t>
            </w:r>
          </w:p>
        </w:tc>
      </w:tr>
      <w:tr w:rsidR="00973150" w:rsidRPr="00A158B7" w14:paraId="61B24485" w14:textId="77777777">
        <w:trPr>
          <w:trHeight w:val="136"/>
          <w:jc w:val="center"/>
        </w:trPr>
        <w:tc>
          <w:tcPr>
            <w:tcW w:w="3283" w:type="dxa"/>
            <w:tcBorders>
              <w:top w:val="single" w:sz="4" w:space="0" w:color="auto"/>
              <w:left w:val="single" w:sz="4" w:space="0" w:color="auto"/>
              <w:bottom w:val="single" w:sz="4" w:space="0" w:color="auto"/>
              <w:right w:val="single" w:sz="4" w:space="0" w:color="auto"/>
            </w:tcBorders>
            <w:hideMark/>
          </w:tcPr>
          <w:p w14:paraId="583307D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No of children</w:t>
            </w:r>
          </w:p>
        </w:tc>
        <w:tc>
          <w:tcPr>
            <w:tcW w:w="956" w:type="dxa"/>
            <w:tcBorders>
              <w:top w:val="single" w:sz="4" w:space="0" w:color="auto"/>
              <w:left w:val="single" w:sz="4" w:space="0" w:color="auto"/>
              <w:bottom w:val="single" w:sz="4" w:space="0" w:color="auto"/>
              <w:right w:val="single" w:sz="4" w:space="0" w:color="auto"/>
            </w:tcBorders>
          </w:tcPr>
          <w:p w14:paraId="38C189CB"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73D008C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0EEDF14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-0.036*</w:t>
            </w:r>
          </w:p>
        </w:tc>
        <w:tc>
          <w:tcPr>
            <w:tcW w:w="939" w:type="dxa"/>
            <w:tcBorders>
              <w:top w:val="single" w:sz="4" w:space="0" w:color="auto"/>
              <w:left w:val="single" w:sz="4" w:space="0" w:color="auto"/>
              <w:bottom w:val="single" w:sz="4" w:space="0" w:color="auto"/>
              <w:right w:val="single" w:sz="4" w:space="0" w:color="auto"/>
            </w:tcBorders>
            <w:vAlign w:val="center"/>
            <w:hideMark/>
          </w:tcPr>
          <w:p w14:paraId="594DAD6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0.187</w:t>
            </w:r>
          </w:p>
        </w:tc>
        <w:tc>
          <w:tcPr>
            <w:tcW w:w="956" w:type="dxa"/>
            <w:tcBorders>
              <w:top w:val="single" w:sz="4" w:space="0" w:color="auto"/>
              <w:left w:val="single" w:sz="4" w:space="0" w:color="auto"/>
              <w:bottom w:val="single" w:sz="4" w:space="0" w:color="auto"/>
              <w:right w:val="single" w:sz="4" w:space="0" w:color="auto"/>
            </w:tcBorders>
            <w:vAlign w:val="center"/>
            <w:hideMark/>
          </w:tcPr>
          <w:p w14:paraId="1402DB6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0.035*</w:t>
            </w:r>
          </w:p>
        </w:tc>
        <w:tc>
          <w:tcPr>
            <w:tcW w:w="939" w:type="dxa"/>
            <w:tcBorders>
              <w:top w:val="single" w:sz="4" w:space="0" w:color="auto"/>
              <w:left w:val="single" w:sz="4" w:space="0" w:color="auto"/>
              <w:bottom w:val="single" w:sz="4" w:space="0" w:color="auto"/>
              <w:right w:val="single" w:sz="4" w:space="0" w:color="auto"/>
            </w:tcBorders>
            <w:vAlign w:val="center"/>
            <w:hideMark/>
          </w:tcPr>
          <w:p w14:paraId="4CA7F01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0.365</w:t>
            </w:r>
          </w:p>
        </w:tc>
      </w:tr>
      <w:tr w:rsidR="00973150" w:rsidRPr="00A158B7" w14:paraId="7DD81C14"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0EFB9BE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Type of family</w:t>
            </w:r>
          </w:p>
        </w:tc>
        <w:tc>
          <w:tcPr>
            <w:tcW w:w="956" w:type="dxa"/>
            <w:tcBorders>
              <w:top w:val="single" w:sz="4" w:space="0" w:color="auto"/>
              <w:left w:val="single" w:sz="4" w:space="0" w:color="auto"/>
              <w:bottom w:val="single" w:sz="4" w:space="0" w:color="auto"/>
              <w:right w:val="single" w:sz="4" w:space="0" w:color="auto"/>
            </w:tcBorders>
          </w:tcPr>
          <w:p w14:paraId="6599A55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5269F1E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4572BE5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1.475</w:t>
            </w:r>
          </w:p>
        </w:tc>
        <w:tc>
          <w:tcPr>
            <w:tcW w:w="939" w:type="dxa"/>
            <w:tcBorders>
              <w:top w:val="single" w:sz="4" w:space="0" w:color="auto"/>
              <w:left w:val="single" w:sz="4" w:space="0" w:color="auto"/>
              <w:bottom w:val="single" w:sz="4" w:space="0" w:color="auto"/>
              <w:right w:val="single" w:sz="4" w:space="0" w:color="auto"/>
            </w:tcBorders>
            <w:vAlign w:val="center"/>
            <w:hideMark/>
          </w:tcPr>
          <w:p w14:paraId="5DFD77C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1.230</w:t>
            </w:r>
          </w:p>
        </w:tc>
        <w:tc>
          <w:tcPr>
            <w:tcW w:w="956" w:type="dxa"/>
            <w:tcBorders>
              <w:top w:val="single" w:sz="4" w:space="0" w:color="auto"/>
              <w:left w:val="single" w:sz="4" w:space="0" w:color="auto"/>
              <w:bottom w:val="single" w:sz="4" w:space="0" w:color="auto"/>
              <w:right w:val="single" w:sz="4" w:space="0" w:color="auto"/>
            </w:tcBorders>
            <w:vAlign w:val="center"/>
            <w:hideMark/>
          </w:tcPr>
          <w:p w14:paraId="5FEA165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0.294</w:t>
            </w:r>
          </w:p>
        </w:tc>
        <w:tc>
          <w:tcPr>
            <w:tcW w:w="939" w:type="dxa"/>
            <w:tcBorders>
              <w:top w:val="single" w:sz="4" w:space="0" w:color="auto"/>
              <w:left w:val="single" w:sz="4" w:space="0" w:color="auto"/>
              <w:bottom w:val="single" w:sz="4" w:space="0" w:color="auto"/>
              <w:right w:val="single" w:sz="4" w:space="0" w:color="auto"/>
            </w:tcBorders>
            <w:vAlign w:val="center"/>
            <w:hideMark/>
          </w:tcPr>
          <w:p w14:paraId="3268E9A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0.601</w:t>
            </w:r>
          </w:p>
        </w:tc>
      </w:tr>
      <w:tr w:rsidR="00973150" w:rsidRPr="00A158B7" w14:paraId="03DC7E00"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6BA33D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Size of family</w:t>
            </w:r>
          </w:p>
        </w:tc>
        <w:tc>
          <w:tcPr>
            <w:tcW w:w="956" w:type="dxa"/>
            <w:tcBorders>
              <w:top w:val="single" w:sz="4" w:space="0" w:color="auto"/>
              <w:left w:val="single" w:sz="4" w:space="0" w:color="auto"/>
              <w:bottom w:val="single" w:sz="4" w:space="0" w:color="auto"/>
              <w:right w:val="single" w:sz="4" w:space="0" w:color="auto"/>
            </w:tcBorders>
          </w:tcPr>
          <w:p w14:paraId="10645DD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757179B7"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1D57558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-0.037*</w:t>
            </w:r>
          </w:p>
        </w:tc>
        <w:tc>
          <w:tcPr>
            <w:tcW w:w="939" w:type="dxa"/>
            <w:tcBorders>
              <w:top w:val="single" w:sz="4" w:space="0" w:color="auto"/>
              <w:left w:val="single" w:sz="4" w:space="0" w:color="auto"/>
              <w:bottom w:val="single" w:sz="4" w:space="0" w:color="auto"/>
              <w:right w:val="single" w:sz="4" w:space="0" w:color="auto"/>
            </w:tcBorders>
            <w:vAlign w:val="center"/>
            <w:hideMark/>
          </w:tcPr>
          <w:p w14:paraId="3A799D46"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0.117</w:t>
            </w:r>
          </w:p>
        </w:tc>
        <w:tc>
          <w:tcPr>
            <w:tcW w:w="956" w:type="dxa"/>
            <w:tcBorders>
              <w:top w:val="single" w:sz="4" w:space="0" w:color="auto"/>
              <w:left w:val="single" w:sz="4" w:space="0" w:color="auto"/>
              <w:bottom w:val="single" w:sz="4" w:space="0" w:color="auto"/>
              <w:right w:val="single" w:sz="4" w:space="0" w:color="auto"/>
            </w:tcBorders>
            <w:vAlign w:val="center"/>
            <w:hideMark/>
          </w:tcPr>
          <w:p w14:paraId="66934FD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-0.210</w:t>
            </w:r>
          </w:p>
        </w:tc>
        <w:tc>
          <w:tcPr>
            <w:tcW w:w="939" w:type="dxa"/>
            <w:tcBorders>
              <w:top w:val="single" w:sz="4" w:space="0" w:color="auto"/>
              <w:left w:val="single" w:sz="4" w:space="0" w:color="auto"/>
              <w:bottom w:val="single" w:sz="4" w:space="0" w:color="auto"/>
              <w:right w:val="single" w:sz="4" w:space="0" w:color="auto"/>
            </w:tcBorders>
            <w:vAlign w:val="center"/>
            <w:hideMark/>
          </w:tcPr>
          <w:p w14:paraId="3C6B851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0.412</w:t>
            </w:r>
          </w:p>
        </w:tc>
      </w:tr>
      <w:tr w:rsidR="00973150" w:rsidRPr="00A158B7" w14:paraId="468221CB"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3CDA688B"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SES</w:t>
            </w:r>
          </w:p>
        </w:tc>
        <w:tc>
          <w:tcPr>
            <w:tcW w:w="956" w:type="dxa"/>
            <w:tcBorders>
              <w:top w:val="single" w:sz="4" w:space="0" w:color="auto"/>
              <w:left w:val="single" w:sz="4" w:space="0" w:color="auto"/>
              <w:bottom w:val="single" w:sz="4" w:space="0" w:color="auto"/>
              <w:right w:val="single" w:sz="4" w:space="0" w:color="auto"/>
            </w:tcBorders>
          </w:tcPr>
          <w:p w14:paraId="21E96C3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2E98460"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3881D2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-4.251*</w:t>
            </w:r>
          </w:p>
        </w:tc>
        <w:tc>
          <w:tcPr>
            <w:tcW w:w="939" w:type="dxa"/>
            <w:tcBorders>
              <w:top w:val="single" w:sz="4" w:space="0" w:color="auto"/>
              <w:left w:val="single" w:sz="4" w:space="0" w:color="auto"/>
              <w:bottom w:val="single" w:sz="4" w:space="0" w:color="auto"/>
              <w:right w:val="single" w:sz="4" w:space="0" w:color="auto"/>
            </w:tcBorders>
            <w:vAlign w:val="center"/>
            <w:hideMark/>
          </w:tcPr>
          <w:p w14:paraId="37D36FE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0.331</w:t>
            </w:r>
          </w:p>
        </w:tc>
        <w:tc>
          <w:tcPr>
            <w:tcW w:w="956" w:type="dxa"/>
            <w:tcBorders>
              <w:top w:val="single" w:sz="4" w:space="0" w:color="auto"/>
              <w:left w:val="single" w:sz="4" w:space="0" w:color="auto"/>
              <w:bottom w:val="single" w:sz="4" w:space="0" w:color="auto"/>
              <w:right w:val="single" w:sz="4" w:space="0" w:color="auto"/>
            </w:tcBorders>
            <w:vAlign w:val="center"/>
            <w:hideMark/>
          </w:tcPr>
          <w:p w14:paraId="4578F21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3.005*</w:t>
            </w:r>
          </w:p>
        </w:tc>
        <w:tc>
          <w:tcPr>
            <w:tcW w:w="939" w:type="dxa"/>
            <w:tcBorders>
              <w:top w:val="single" w:sz="4" w:space="0" w:color="auto"/>
              <w:left w:val="single" w:sz="4" w:space="0" w:color="auto"/>
              <w:bottom w:val="single" w:sz="4" w:space="0" w:color="auto"/>
              <w:right w:val="single" w:sz="4" w:space="0" w:color="auto"/>
            </w:tcBorders>
            <w:vAlign w:val="center"/>
            <w:hideMark/>
          </w:tcPr>
          <w:p w14:paraId="4BEC624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0.022</w:t>
            </w:r>
          </w:p>
        </w:tc>
      </w:tr>
      <w:tr w:rsidR="00973150" w:rsidRPr="00A158B7" w14:paraId="729F91CD" w14:textId="77777777">
        <w:trPr>
          <w:trHeight w:val="141"/>
          <w:jc w:val="center"/>
        </w:trPr>
        <w:tc>
          <w:tcPr>
            <w:tcW w:w="8971" w:type="dxa"/>
            <w:gridSpan w:val="7"/>
            <w:tcBorders>
              <w:top w:val="single" w:sz="4" w:space="0" w:color="auto"/>
              <w:left w:val="single" w:sz="4" w:space="0" w:color="auto"/>
              <w:bottom w:val="single" w:sz="4" w:space="0" w:color="auto"/>
              <w:right w:val="single" w:sz="4" w:space="0" w:color="auto"/>
            </w:tcBorders>
            <w:hideMark/>
          </w:tcPr>
          <w:p w14:paraId="09573BD8" w14:textId="77777777" w:rsidR="00973150" w:rsidRPr="00627723" w:rsidRDefault="00973150" w:rsidP="004549CA">
            <w:pPr>
              <w:autoSpaceDE w:val="0"/>
              <w:autoSpaceDN w:val="0"/>
              <w:adjustRightInd w:val="0"/>
              <w:spacing w:after="0" w:line="240" w:lineRule="auto"/>
              <w:ind w:left="-57" w:right="-57"/>
              <w:jc w:val="both"/>
              <w:rPr>
                <w:rFonts w:ascii="Times New Roman" w:hAnsi="Times New Roman" w:cs="Times New Roman"/>
                <w:b/>
                <w:color w:val="000000"/>
                <w:sz w:val="24"/>
                <w:szCs w:val="24"/>
              </w:rPr>
            </w:pPr>
            <w:r w:rsidRPr="00627723">
              <w:rPr>
                <w:rFonts w:ascii="Times New Roman" w:hAnsi="Times New Roman" w:cs="Times New Roman"/>
                <w:b/>
                <w:sz w:val="24"/>
                <w:szCs w:val="24"/>
              </w:rPr>
              <w:t>Maternal health characteristics</w:t>
            </w:r>
          </w:p>
        </w:tc>
      </w:tr>
      <w:tr w:rsidR="00973150" w:rsidRPr="00A158B7" w14:paraId="6F0ADF8F"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EA9587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menarche</w:t>
            </w:r>
          </w:p>
        </w:tc>
        <w:tc>
          <w:tcPr>
            <w:tcW w:w="956" w:type="dxa"/>
            <w:tcBorders>
              <w:top w:val="single" w:sz="4" w:space="0" w:color="auto"/>
              <w:left w:val="single" w:sz="4" w:space="0" w:color="auto"/>
              <w:bottom w:val="single" w:sz="4" w:space="0" w:color="auto"/>
              <w:right w:val="single" w:sz="4" w:space="0" w:color="auto"/>
            </w:tcBorders>
          </w:tcPr>
          <w:p w14:paraId="71B4865A"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35932DE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6A54862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7AA74F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7155B417"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-0.042*</w:t>
            </w:r>
          </w:p>
        </w:tc>
        <w:tc>
          <w:tcPr>
            <w:tcW w:w="939" w:type="dxa"/>
            <w:tcBorders>
              <w:top w:val="single" w:sz="4" w:space="0" w:color="auto"/>
              <w:left w:val="single" w:sz="4" w:space="0" w:color="auto"/>
              <w:bottom w:val="single" w:sz="4" w:space="0" w:color="auto"/>
              <w:right w:val="single" w:sz="4" w:space="0" w:color="auto"/>
            </w:tcBorders>
            <w:vAlign w:val="center"/>
            <w:hideMark/>
          </w:tcPr>
          <w:p w14:paraId="7FEAD56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0.189</w:t>
            </w:r>
          </w:p>
        </w:tc>
      </w:tr>
      <w:tr w:rsidR="00973150" w:rsidRPr="00A158B7" w14:paraId="39D67272" w14:textId="77777777">
        <w:trPr>
          <w:trHeight w:val="277"/>
          <w:jc w:val="center"/>
        </w:trPr>
        <w:tc>
          <w:tcPr>
            <w:tcW w:w="3283" w:type="dxa"/>
            <w:tcBorders>
              <w:top w:val="single" w:sz="4" w:space="0" w:color="auto"/>
              <w:left w:val="single" w:sz="4" w:space="0" w:color="auto"/>
              <w:bottom w:val="single" w:sz="4" w:space="0" w:color="auto"/>
              <w:right w:val="single" w:sz="4" w:space="0" w:color="auto"/>
            </w:tcBorders>
            <w:hideMark/>
          </w:tcPr>
          <w:p w14:paraId="0F2F61D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Duration of menstrual flow </w:t>
            </w:r>
          </w:p>
        </w:tc>
        <w:tc>
          <w:tcPr>
            <w:tcW w:w="956" w:type="dxa"/>
            <w:tcBorders>
              <w:top w:val="single" w:sz="4" w:space="0" w:color="auto"/>
              <w:left w:val="single" w:sz="4" w:space="0" w:color="auto"/>
              <w:bottom w:val="single" w:sz="4" w:space="0" w:color="auto"/>
              <w:right w:val="single" w:sz="4" w:space="0" w:color="auto"/>
            </w:tcBorders>
          </w:tcPr>
          <w:p w14:paraId="27CA514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79DADA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171C69E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38171177"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6805E09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0.475</w:t>
            </w:r>
          </w:p>
        </w:tc>
        <w:tc>
          <w:tcPr>
            <w:tcW w:w="939" w:type="dxa"/>
            <w:tcBorders>
              <w:top w:val="single" w:sz="4" w:space="0" w:color="auto"/>
              <w:left w:val="single" w:sz="4" w:space="0" w:color="auto"/>
              <w:bottom w:val="single" w:sz="4" w:space="0" w:color="auto"/>
              <w:right w:val="single" w:sz="4" w:space="0" w:color="auto"/>
            </w:tcBorders>
            <w:vAlign w:val="center"/>
            <w:hideMark/>
          </w:tcPr>
          <w:p w14:paraId="4484E87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0.232</w:t>
            </w:r>
          </w:p>
        </w:tc>
      </w:tr>
      <w:tr w:rsidR="00973150" w:rsidRPr="00A158B7" w14:paraId="180EC37F"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72F1641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marriage</w:t>
            </w:r>
          </w:p>
        </w:tc>
        <w:tc>
          <w:tcPr>
            <w:tcW w:w="956" w:type="dxa"/>
            <w:tcBorders>
              <w:top w:val="single" w:sz="4" w:space="0" w:color="auto"/>
              <w:left w:val="single" w:sz="4" w:space="0" w:color="auto"/>
              <w:bottom w:val="single" w:sz="4" w:space="0" w:color="auto"/>
              <w:right w:val="single" w:sz="4" w:space="0" w:color="auto"/>
            </w:tcBorders>
          </w:tcPr>
          <w:p w14:paraId="319AB18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6999822"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1D6E0F2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2247BA2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34BD87D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-5.044*</w:t>
            </w:r>
          </w:p>
        </w:tc>
        <w:tc>
          <w:tcPr>
            <w:tcW w:w="939" w:type="dxa"/>
            <w:tcBorders>
              <w:top w:val="single" w:sz="4" w:space="0" w:color="auto"/>
              <w:left w:val="single" w:sz="4" w:space="0" w:color="auto"/>
              <w:bottom w:val="single" w:sz="4" w:space="0" w:color="auto"/>
              <w:right w:val="single" w:sz="4" w:space="0" w:color="auto"/>
            </w:tcBorders>
            <w:vAlign w:val="center"/>
            <w:hideMark/>
          </w:tcPr>
          <w:p w14:paraId="66103D5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0.119</w:t>
            </w:r>
          </w:p>
        </w:tc>
      </w:tr>
      <w:tr w:rsidR="00973150" w:rsidRPr="00A158B7" w14:paraId="10289396"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096EA72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at pregnancy </w:t>
            </w:r>
          </w:p>
        </w:tc>
        <w:tc>
          <w:tcPr>
            <w:tcW w:w="956" w:type="dxa"/>
            <w:tcBorders>
              <w:top w:val="single" w:sz="4" w:space="0" w:color="auto"/>
              <w:left w:val="single" w:sz="4" w:space="0" w:color="auto"/>
              <w:bottom w:val="single" w:sz="4" w:space="0" w:color="auto"/>
              <w:right w:val="single" w:sz="4" w:space="0" w:color="auto"/>
            </w:tcBorders>
          </w:tcPr>
          <w:p w14:paraId="750EFF4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5B63E92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22F5984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2E08ED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3BD5029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-7.222*</w:t>
            </w:r>
          </w:p>
        </w:tc>
        <w:tc>
          <w:tcPr>
            <w:tcW w:w="939" w:type="dxa"/>
            <w:tcBorders>
              <w:top w:val="single" w:sz="4" w:space="0" w:color="auto"/>
              <w:left w:val="single" w:sz="4" w:space="0" w:color="auto"/>
              <w:bottom w:val="single" w:sz="4" w:space="0" w:color="auto"/>
              <w:right w:val="single" w:sz="4" w:space="0" w:color="auto"/>
            </w:tcBorders>
            <w:vAlign w:val="center"/>
            <w:hideMark/>
          </w:tcPr>
          <w:p w14:paraId="75D1E41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0.344</w:t>
            </w:r>
          </w:p>
        </w:tc>
      </w:tr>
      <w:tr w:rsidR="00973150" w:rsidRPr="00A158B7" w14:paraId="1C85C744"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7FB2A8B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Space between children</w:t>
            </w:r>
          </w:p>
        </w:tc>
        <w:tc>
          <w:tcPr>
            <w:tcW w:w="956" w:type="dxa"/>
            <w:tcBorders>
              <w:top w:val="single" w:sz="4" w:space="0" w:color="auto"/>
              <w:left w:val="single" w:sz="4" w:space="0" w:color="auto"/>
              <w:bottom w:val="single" w:sz="4" w:space="0" w:color="auto"/>
              <w:right w:val="single" w:sz="4" w:space="0" w:color="auto"/>
            </w:tcBorders>
          </w:tcPr>
          <w:p w14:paraId="04009DA1"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26ABCEE1"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282C59B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87AA25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3B39E4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1.148</w:t>
            </w:r>
          </w:p>
        </w:tc>
        <w:tc>
          <w:tcPr>
            <w:tcW w:w="939" w:type="dxa"/>
            <w:tcBorders>
              <w:top w:val="single" w:sz="4" w:space="0" w:color="auto"/>
              <w:left w:val="single" w:sz="4" w:space="0" w:color="auto"/>
              <w:bottom w:val="single" w:sz="4" w:space="0" w:color="auto"/>
              <w:right w:val="single" w:sz="4" w:space="0" w:color="auto"/>
            </w:tcBorders>
            <w:vAlign w:val="center"/>
            <w:hideMark/>
          </w:tcPr>
          <w:p w14:paraId="3CCCEBF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0.315</w:t>
            </w:r>
          </w:p>
        </w:tc>
      </w:tr>
      <w:tr w:rsidR="00973150" w:rsidRPr="00A158B7" w14:paraId="1092432E"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533A2F5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Still birth </w:t>
            </w:r>
          </w:p>
        </w:tc>
        <w:tc>
          <w:tcPr>
            <w:tcW w:w="956" w:type="dxa"/>
            <w:tcBorders>
              <w:top w:val="single" w:sz="4" w:space="0" w:color="auto"/>
              <w:left w:val="single" w:sz="4" w:space="0" w:color="auto"/>
              <w:bottom w:val="single" w:sz="4" w:space="0" w:color="auto"/>
              <w:right w:val="single" w:sz="4" w:space="0" w:color="auto"/>
            </w:tcBorders>
          </w:tcPr>
          <w:p w14:paraId="7A36891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93761C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7CAEB7FA"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55D4E3D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63365A7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0.654*</w:t>
            </w:r>
          </w:p>
        </w:tc>
        <w:tc>
          <w:tcPr>
            <w:tcW w:w="939" w:type="dxa"/>
            <w:tcBorders>
              <w:top w:val="single" w:sz="4" w:space="0" w:color="auto"/>
              <w:left w:val="single" w:sz="4" w:space="0" w:color="auto"/>
              <w:bottom w:val="single" w:sz="4" w:space="0" w:color="auto"/>
              <w:right w:val="single" w:sz="4" w:space="0" w:color="auto"/>
            </w:tcBorders>
            <w:vAlign w:val="center"/>
            <w:hideMark/>
          </w:tcPr>
          <w:p w14:paraId="373893F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0.876</w:t>
            </w:r>
          </w:p>
        </w:tc>
      </w:tr>
      <w:tr w:rsidR="00973150" w:rsidRPr="00A158B7" w14:paraId="5116496A"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5627EF43"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Successful breast feeding</w:t>
            </w:r>
          </w:p>
        </w:tc>
        <w:tc>
          <w:tcPr>
            <w:tcW w:w="956" w:type="dxa"/>
            <w:tcBorders>
              <w:top w:val="single" w:sz="4" w:space="0" w:color="auto"/>
              <w:left w:val="single" w:sz="4" w:space="0" w:color="auto"/>
              <w:bottom w:val="single" w:sz="4" w:space="0" w:color="auto"/>
              <w:right w:val="single" w:sz="4" w:space="0" w:color="auto"/>
            </w:tcBorders>
          </w:tcPr>
          <w:p w14:paraId="5512B5FB"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49DC337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1FAEB7B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0CCBBC42"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7F01E75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-2.116</w:t>
            </w:r>
          </w:p>
        </w:tc>
        <w:tc>
          <w:tcPr>
            <w:tcW w:w="939" w:type="dxa"/>
            <w:tcBorders>
              <w:top w:val="single" w:sz="4" w:space="0" w:color="auto"/>
              <w:left w:val="single" w:sz="4" w:space="0" w:color="auto"/>
              <w:bottom w:val="single" w:sz="4" w:space="0" w:color="auto"/>
              <w:right w:val="single" w:sz="4" w:space="0" w:color="auto"/>
            </w:tcBorders>
            <w:vAlign w:val="center"/>
            <w:hideMark/>
          </w:tcPr>
          <w:p w14:paraId="07152417"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0.317</w:t>
            </w:r>
          </w:p>
        </w:tc>
      </w:tr>
      <w:tr w:rsidR="00973150" w:rsidRPr="00A158B7" w14:paraId="784447BC" w14:textId="77777777">
        <w:trPr>
          <w:trHeight w:val="136"/>
          <w:jc w:val="center"/>
        </w:trPr>
        <w:tc>
          <w:tcPr>
            <w:tcW w:w="3283" w:type="dxa"/>
            <w:tcBorders>
              <w:top w:val="single" w:sz="4" w:space="0" w:color="auto"/>
              <w:left w:val="single" w:sz="4" w:space="0" w:color="auto"/>
              <w:bottom w:val="single" w:sz="4" w:space="0" w:color="auto"/>
              <w:right w:val="single" w:sz="4" w:space="0" w:color="auto"/>
            </w:tcBorders>
            <w:hideMark/>
          </w:tcPr>
          <w:p w14:paraId="5F0B572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R square</w:t>
            </w:r>
          </w:p>
        </w:tc>
        <w:tc>
          <w:tcPr>
            <w:tcW w:w="1897" w:type="dxa"/>
            <w:gridSpan w:val="2"/>
            <w:tcBorders>
              <w:top w:val="single" w:sz="4" w:space="0" w:color="auto"/>
              <w:left w:val="single" w:sz="4" w:space="0" w:color="auto"/>
              <w:bottom w:val="single" w:sz="4" w:space="0" w:color="auto"/>
              <w:right w:val="single" w:sz="4" w:space="0" w:color="auto"/>
            </w:tcBorders>
            <w:hideMark/>
          </w:tcPr>
          <w:p w14:paraId="511B3F5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0.130</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1D5AEEF0"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0.195</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448D3558"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0.271</w:t>
            </w:r>
          </w:p>
        </w:tc>
      </w:tr>
      <w:tr w:rsidR="00973150" w:rsidRPr="00A158B7" w14:paraId="1C693D93"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E80DE2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Adjusted R square </w:t>
            </w:r>
          </w:p>
        </w:tc>
        <w:tc>
          <w:tcPr>
            <w:tcW w:w="1897" w:type="dxa"/>
            <w:gridSpan w:val="2"/>
            <w:tcBorders>
              <w:top w:val="single" w:sz="4" w:space="0" w:color="auto"/>
              <w:left w:val="single" w:sz="4" w:space="0" w:color="auto"/>
              <w:bottom w:val="single" w:sz="4" w:space="0" w:color="auto"/>
              <w:right w:val="single" w:sz="4" w:space="0" w:color="auto"/>
            </w:tcBorders>
            <w:hideMark/>
          </w:tcPr>
          <w:p w14:paraId="60D826F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-0.110</w:t>
            </w:r>
          </w:p>
        </w:tc>
        <w:tc>
          <w:tcPr>
            <w:tcW w:w="1896" w:type="dxa"/>
            <w:gridSpan w:val="2"/>
            <w:tcBorders>
              <w:top w:val="single" w:sz="4" w:space="0" w:color="auto"/>
              <w:left w:val="single" w:sz="4" w:space="0" w:color="auto"/>
              <w:bottom w:val="single" w:sz="4" w:space="0" w:color="auto"/>
              <w:right w:val="single" w:sz="4" w:space="0" w:color="auto"/>
            </w:tcBorders>
            <w:hideMark/>
          </w:tcPr>
          <w:p w14:paraId="5F5B714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-0.188</w:t>
            </w:r>
          </w:p>
        </w:tc>
        <w:tc>
          <w:tcPr>
            <w:tcW w:w="1896" w:type="dxa"/>
            <w:gridSpan w:val="2"/>
            <w:tcBorders>
              <w:top w:val="single" w:sz="4" w:space="0" w:color="auto"/>
              <w:left w:val="single" w:sz="4" w:space="0" w:color="auto"/>
              <w:bottom w:val="single" w:sz="4" w:space="0" w:color="auto"/>
              <w:right w:val="single" w:sz="4" w:space="0" w:color="auto"/>
            </w:tcBorders>
            <w:hideMark/>
          </w:tcPr>
          <w:p w14:paraId="52157653"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-0.223</w:t>
            </w:r>
          </w:p>
        </w:tc>
      </w:tr>
      <w:tr w:rsidR="00973150" w:rsidRPr="00A158B7" w14:paraId="03C3C836"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0C6BE7B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Standard error of the estimate </w:t>
            </w:r>
          </w:p>
        </w:tc>
        <w:tc>
          <w:tcPr>
            <w:tcW w:w="1897" w:type="dxa"/>
            <w:gridSpan w:val="2"/>
            <w:tcBorders>
              <w:top w:val="single" w:sz="4" w:space="0" w:color="auto"/>
              <w:left w:val="single" w:sz="4" w:space="0" w:color="auto"/>
              <w:bottom w:val="single" w:sz="4" w:space="0" w:color="auto"/>
              <w:right w:val="single" w:sz="4" w:space="0" w:color="auto"/>
            </w:tcBorders>
            <w:hideMark/>
          </w:tcPr>
          <w:p w14:paraId="22A499D1"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0.244</w:t>
            </w:r>
          </w:p>
        </w:tc>
        <w:tc>
          <w:tcPr>
            <w:tcW w:w="1896" w:type="dxa"/>
            <w:gridSpan w:val="2"/>
            <w:tcBorders>
              <w:top w:val="single" w:sz="4" w:space="0" w:color="auto"/>
              <w:left w:val="single" w:sz="4" w:space="0" w:color="auto"/>
              <w:bottom w:val="single" w:sz="4" w:space="0" w:color="auto"/>
              <w:right w:val="single" w:sz="4" w:space="0" w:color="auto"/>
            </w:tcBorders>
            <w:hideMark/>
          </w:tcPr>
          <w:p w14:paraId="1FADADF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0.243</w:t>
            </w:r>
          </w:p>
        </w:tc>
        <w:tc>
          <w:tcPr>
            <w:tcW w:w="1896" w:type="dxa"/>
            <w:gridSpan w:val="2"/>
            <w:tcBorders>
              <w:top w:val="single" w:sz="4" w:space="0" w:color="auto"/>
              <w:left w:val="single" w:sz="4" w:space="0" w:color="auto"/>
              <w:bottom w:val="single" w:sz="4" w:space="0" w:color="auto"/>
              <w:right w:val="single" w:sz="4" w:space="0" w:color="auto"/>
            </w:tcBorders>
            <w:hideMark/>
          </w:tcPr>
          <w:p w14:paraId="64F7715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0.239</w:t>
            </w:r>
          </w:p>
        </w:tc>
      </w:tr>
      <w:tr w:rsidR="00973150" w:rsidRPr="00A158B7" w14:paraId="3F4EEDC9" w14:textId="77777777">
        <w:trPr>
          <w:trHeight w:val="149"/>
          <w:jc w:val="center"/>
        </w:trPr>
        <w:tc>
          <w:tcPr>
            <w:tcW w:w="3283" w:type="dxa"/>
            <w:tcBorders>
              <w:top w:val="single" w:sz="4" w:space="0" w:color="auto"/>
              <w:left w:val="single" w:sz="4" w:space="0" w:color="auto"/>
              <w:bottom w:val="single" w:sz="4" w:space="0" w:color="auto"/>
              <w:right w:val="single" w:sz="4" w:space="0" w:color="auto"/>
            </w:tcBorders>
            <w:hideMark/>
          </w:tcPr>
          <w:p w14:paraId="08E47C8A"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 value</w:t>
            </w:r>
          </w:p>
        </w:tc>
        <w:tc>
          <w:tcPr>
            <w:tcW w:w="1897" w:type="dxa"/>
            <w:gridSpan w:val="2"/>
            <w:tcBorders>
              <w:top w:val="single" w:sz="4" w:space="0" w:color="auto"/>
              <w:left w:val="single" w:sz="4" w:space="0" w:color="auto"/>
              <w:bottom w:val="single" w:sz="4" w:space="0" w:color="auto"/>
              <w:right w:val="single" w:sz="4" w:space="0" w:color="auto"/>
            </w:tcBorders>
            <w:hideMark/>
          </w:tcPr>
          <w:p w14:paraId="408A611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9.579*</w:t>
            </w:r>
          </w:p>
        </w:tc>
        <w:tc>
          <w:tcPr>
            <w:tcW w:w="1896" w:type="dxa"/>
            <w:gridSpan w:val="2"/>
            <w:tcBorders>
              <w:top w:val="single" w:sz="4" w:space="0" w:color="auto"/>
              <w:left w:val="single" w:sz="4" w:space="0" w:color="auto"/>
              <w:bottom w:val="single" w:sz="4" w:space="0" w:color="auto"/>
              <w:right w:val="single" w:sz="4" w:space="0" w:color="auto"/>
            </w:tcBorders>
            <w:hideMark/>
          </w:tcPr>
          <w:p w14:paraId="17BBC0F2"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4.848*</w:t>
            </w:r>
          </w:p>
        </w:tc>
        <w:tc>
          <w:tcPr>
            <w:tcW w:w="1896" w:type="dxa"/>
            <w:gridSpan w:val="2"/>
            <w:tcBorders>
              <w:top w:val="single" w:sz="4" w:space="0" w:color="auto"/>
              <w:left w:val="single" w:sz="4" w:space="0" w:color="auto"/>
              <w:bottom w:val="single" w:sz="4" w:space="0" w:color="auto"/>
              <w:right w:val="single" w:sz="4" w:space="0" w:color="auto"/>
            </w:tcBorders>
            <w:hideMark/>
          </w:tcPr>
          <w:p w14:paraId="18E5B49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0.666*</w:t>
            </w:r>
          </w:p>
        </w:tc>
      </w:tr>
    </w:tbl>
    <w:p w14:paraId="5205106F" w14:textId="77777777" w:rsidR="00973150" w:rsidRPr="00A158B7" w:rsidRDefault="00973150" w:rsidP="00A158B7">
      <w:pPr>
        <w:spacing w:after="0" w:line="360" w:lineRule="auto"/>
        <w:jc w:val="both"/>
        <w:rPr>
          <w:rFonts w:ascii="Times New Roman" w:eastAsia="Times New Roman" w:hAnsi="Times New Roman" w:cs="Times New Roman"/>
          <w:sz w:val="20"/>
          <w:szCs w:val="24"/>
        </w:rPr>
      </w:pPr>
      <w:r w:rsidRPr="00A158B7">
        <w:rPr>
          <w:rFonts w:ascii="Times New Roman" w:hAnsi="Times New Roman" w:cs="Times New Roman"/>
          <w:sz w:val="20"/>
          <w:szCs w:val="24"/>
        </w:rPr>
        <w:t>*Significant at 0.05 level</w:t>
      </w:r>
    </w:p>
    <w:p w14:paraId="2754590E" w14:textId="11D6EC2E" w:rsidR="00414D8E" w:rsidRPr="004549CA" w:rsidRDefault="00030F8D" w:rsidP="004549CA">
      <w:pPr>
        <w:spacing w:after="0" w:line="360" w:lineRule="auto"/>
        <w:ind w:firstLine="720"/>
        <w:jc w:val="both"/>
        <w:rPr>
          <w:rFonts w:ascii="Times New Roman" w:eastAsia="Times New Roman" w:hAnsi="Times New Roman" w:cs="Times New Roman"/>
          <w:szCs w:val="24"/>
        </w:rPr>
      </w:pPr>
      <w:r w:rsidRPr="00A158B7">
        <w:rPr>
          <w:rFonts w:ascii="Times New Roman" w:hAnsi="Times New Roman" w:cs="Times New Roman"/>
          <w:sz w:val="24"/>
          <w:szCs w:val="24"/>
        </w:rPr>
        <w:t>Table 4</w:t>
      </w:r>
      <w:r w:rsidR="00636143" w:rsidRPr="00A158B7">
        <w:rPr>
          <w:rFonts w:ascii="Times New Roman" w:hAnsi="Times New Roman" w:cs="Times New Roman"/>
          <w:sz w:val="24"/>
          <w:szCs w:val="24"/>
        </w:rPr>
        <w:t xml:space="preserve"> denotes the predictor variables of nutritional status among migratory women workers in sugarcane harvesting. In model I, individual characteristics such as age, education, food habit, duration of migration and occupational health hazards were significant predictors and contributed about 11 per cent of variation to nutritional status.</w:t>
      </w:r>
      <w:r w:rsidR="00414D8E" w:rsidRPr="00A158B7">
        <w:rPr>
          <w:rFonts w:ascii="Times New Roman" w:hAnsi="Times New Roman" w:cs="Times New Roman"/>
        </w:rPr>
        <w:t xml:space="preserve"> </w:t>
      </w:r>
    </w:p>
    <w:p w14:paraId="69E922AF" w14:textId="681F3F94" w:rsidR="00414D8E" w:rsidRPr="004549CA" w:rsidRDefault="00636143" w:rsidP="004549CA">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 xml:space="preserve"> In model II, along with individual characteristics, familial characteristics such as number of children, type of family, size of family and socio-economic status were significant predictors and contributed about 18 per cent of variation to reproductive health. </w:t>
      </w:r>
    </w:p>
    <w:p w14:paraId="2FE4810C" w14:textId="77777777" w:rsidR="004549CA" w:rsidRDefault="00636143" w:rsidP="004549CA">
      <w:pPr>
        <w:spacing w:before="120" w:after="120" w:line="360" w:lineRule="auto"/>
        <w:ind w:firstLine="720"/>
        <w:jc w:val="both"/>
        <w:rPr>
          <w:rFonts w:ascii="Times New Roman" w:hAnsi="Times New Roman" w:cs="Times New Roman"/>
          <w:sz w:val="28"/>
          <w:szCs w:val="24"/>
        </w:rPr>
      </w:pPr>
      <w:r w:rsidRPr="00A158B7">
        <w:rPr>
          <w:rFonts w:ascii="Times New Roman" w:hAnsi="Times New Roman" w:cs="Times New Roman"/>
          <w:sz w:val="24"/>
          <w:szCs w:val="24"/>
        </w:rPr>
        <w:lastRenderedPageBreak/>
        <w:t>In model III, along with individual and familial characteristics, maternal health characteristics such as age at menarche, duration of menstruation flow, age at marriage, age at first pregnancy, spacing between children and breast feeding were significant predictors and contributed about 22 per cent of variation to nutritional status.</w:t>
      </w:r>
      <w:r w:rsidR="00414D8E" w:rsidRPr="00A158B7">
        <w:rPr>
          <w:rFonts w:ascii="Times New Roman" w:hAnsi="Times New Roman" w:cs="Times New Roman"/>
        </w:rPr>
        <w:t xml:space="preserve"> </w:t>
      </w:r>
      <w:r w:rsidR="004549CA" w:rsidRPr="004549CA">
        <w:rPr>
          <w:rFonts w:ascii="Times New Roman" w:hAnsi="Times New Roman" w:cs="Times New Roman"/>
          <w:sz w:val="24"/>
        </w:rPr>
        <w:t>T</w:t>
      </w:r>
      <w:r w:rsidR="00414D8E" w:rsidRPr="004549CA">
        <w:rPr>
          <w:rFonts w:ascii="Times New Roman" w:hAnsi="Times New Roman" w:cs="Times New Roman"/>
          <w:sz w:val="24"/>
        </w:rPr>
        <w:t xml:space="preserve">hese findings are supported by </w:t>
      </w:r>
      <w:r w:rsidR="00414D8E" w:rsidRPr="004549CA">
        <w:rPr>
          <w:rFonts w:ascii="Times New Roman" w:hAnsi="Times New Roman" w:cs="Times New Roman"/>
          <w:bCs/>
          <w:sz w:val="24"/>
        </w:rPr>
        <w:t>Rahman M. (2017)</w:t>
      </w:r>
      <w:r w:rsidR="00414D8E" w:rsidRPr="004549CA">
        <w:rPr>
          <w:rFonts w:ascii="Times New Roman" w:hAnsi="Times New Roman" w:cs="Times New Roman"/>
          <w:sz w:val="24"/>
        </w:rPr>
        <w:t xml:space="preserve"> in the study </w:t>
      </w:r>
      <w:r w:rsidR="004549CA" w:rsidRPr="004549CA">
        <w:rPr>
          <w:rFonts w:ascii="Times New Roman" w:hAnsi="Times New Roman" w:cs="Times New Roman"/>
          <w:iCs/>
          <w:sz w:val="24"/>
        </w:rPr>
        <w:t>maternal depletion and nutritional status of women in low-income settings</w:t>
      </w:r>
      <w:r w:rsidR="00414D8E" w:rsidRPr="004549CA">
        <w:rPr>
          <w:rFonts w:ascii="Times New Roman" w:hAnsi="Times New Roman" w:cs="Times New Roman"/>
          <w:sz w:val="24"/>
        </w:rPr>
        <w:t>, which emphasized that repeated childbearing and poor maternal care are strongly associated with undernutrition among women.</w:t>
      </w:r>
    </w:p>
    <w:p w14:paraId="6C376B4B" w14:textId="77777777" w:rsidR="004549CA" w:rsidRDefault="00030F8D" w:rsidP="004549CA">
      <w:pPr>
        <w:spacing w:before="120" w:after="120" w:line="360" w:lineRule="auto"/>
        <w:jc w:val="both"/>
        <w:rPr>
          <w:rFonts w:ascii="Times New Roman" w:hAnsi="Times New Roman" w:cs="Times New Roman"/>
          <w:b/>
          <w:sz w:val="28"/>
          <w:szCs w:val="24"/>
        </w:rPr>
      </w:pPr>
      <w:r w:rsidRPr="00A158B7">
        <w:rPr>
          <w:rFonts w:ascii="Times New Roman" w:eastAsia="Times New Roman" w:hAnsi="Times New Roman" w:cs="Times New Roman"/>
          <w:bCs/>
          <w:sz w:val="27"/>
          <w:szCs w:val="27"/>
        </w:rPr>
        <w:t xml:space="preserve"> </w:t>
      </w:r>
      <w:r w:rsidRPr="004549CA">
        <w:rPr>
          <w:rFonts w:ascii="Times New Roman" w:eastAsia="Times New Roman" w:hAnsi="Times New Roman" w:cs="Times New Roman"/>
          <w:b/>
          <w:bCs/>
          <w:sz w:val="27"/>
          <w:szCs w:val="27"/>
        </w:rPr>
        <w:t>Conclusion</w:t>
      </w:r>
      <w:r w:rsidR="004549CA">
        <w:rPr>
          <w:rFonts w:ascii="Times New Roman" w:eastAsia="Times New Roman" w:hAnsi="Times New Roman" w:cs="Times New Roman"/>
          <w:b/>
          <w:bCs/>
          <w:sz w:val="27"/>
          <w:szCs w:val="27"/>
        </w:rPr>
        <w:t>:</w:t>
      </w:r>
    </w:p>
    <w:p w14:paraId="251C1675" w14:textId="457E174C" w:rsidR="00030F8D" w:rsidRDefault="00030F8D" w:rsidP="004549CA">
      <w:pPr>
        <w:spacing w:before="120" w:after="120"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The study concludes that migratory women workers in sugarcane harvesting face multiple and interrelated health challenges, including compromised quality of life, poor reproductive health, and inadequate nutritional status. These issues are deeply rooted in socio-economic deprivation, occupational hazards, gender inequality, and limited access to basic health and welfare services. The findings emphasize that health outcomes of these women are not determined by a single factor but are the result of a complex interaction between individual characteristics, family conditions, and maternal health factors. Therefore, there is a critical need for integrated and multi-sectoral interventions that focus on improving working and living conditions, strengthening access to reproductive and maternal healthcare, promoting nutrition education and supplementation </w:t>
      </w:r>
      <w:proofErr w:type="spellStart"/>
      <w:r w:rsidRPr="00A158B7">
        <w:rPr>
          <w:rFonts w:ascii="Times New Roman" w:eastAsia="Times New Roman" w:hAnsi="Times New Roman" w:cs="Times New Roman"/>
          <w:sz w:val="24"/>
          <w:szCs w:val="24"/>
        </w:rPr>
        <w:t>programmes</w:t>
      </w:r>
      <w:proofErr w:type="spellEnd"/>
      <w:r w:rsidRPr="00A158B7">
        <w:rPr>
          <w:rFonts w:ascii="Times New Roman" w:eastAsia="Times New Roman" w:hAnsi="Times New Roman" w:cs="Times New Roman"/>
          <w:sz w:val="24"/>
          <w:szCs w:val="24"/>
        </w:rPr>
        <w:t xml:space="preserve">, and enhancing socio-economic empowerment. Addressing these concerns through policy support, community-based </w:t>
      </w:r>
      <w:proofErr w:type="spellStart"/>
      <w:r w:rsidRPr="00A158B7">
        <w:rPr>
          <w:rFonts w:ascii="Times New Roman" w:eastAsia="Times New Roman" w:hAnsi="Times New Roman" w:cs="Times New Roman"/>
          <w:sz w:val="24"/>
          <w:szCs w:val="24"/>
        </w:rPr>
        <w:t>programmes</w:t>
      </w:r>
      <w:proofErr w:type="spellEnd"/>
      <w:r w:rsidRPr="00A158B7">
        <w:rPr>
          <w:rFonts w:ascii="Times New Roman" w:eastAsia="Times New Roman" w:hAnsi="Times New Roman" w:cs="Times New Roman"/>
          <w:sz w:val="24"/>
          <w:szCs w:val="24"/>
        </w:rPr>
        <w:t>, and targeted health services can significantly improve the overall well-being and quality of life of migratory women workers in the sugarcane sector.</w:t>
      </w:r>
    </w:p>
    <w:p w14:paraId="631B9953" w14:textId="77777777" w:rsidR="00833157" w:rsidRPr="00833157" w:rsidRDefault="00833157" w:rsidP="0083315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0" w:name="_Hlk218867759"/>
      <w:r w:rsidRPr="00833157">
        <w:rPr>
          <w:rFonts w:ascii="Times New Roman" w:eastAsia="Times New Roman" w:hAnsi="Times New Roman" w:cs="Times New Roman"/>
          <w:bCs/>
          <w:sz w:val="24"/>
          <w:szCs w:val="24"/>
          <w:highlight w:val="yellow"/>
          <w:lang w:val="en-GB" w:eastAsia="en-IN"/>
        </w:rPr>
        <w:t>Disclaimer (Artificial intelligence)</w:t>
      </w:r>
    </w:p>
    <w:p w14:paraId="34D5E8BC" w14:textId="16DB2778" w:rsidR="00833157" w:rsidRDefault="00833157" w:rsidP="0083315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33157">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33157">
        <w:rPr>
          <w:rFonts w:ascii="Times New Roman" w:eastAsia="Times New Roman" w:hAnsi="Times New Roman" w:cs="Times New Roman"/>
          <w:bCs/>
          <w:sz w:val="24"/>
          <w:szCs w:val="24"/>
          <w:highlight w:val="yellow"/>
          <w:lang w:val="en-GB" w:eastAsia="en-IN"/>
        </w:rPr>
        <w:t>ChatGPT</w:t>
      </w:r>
      <w:proofErr w:type="spellEnd"/>
      <w:r w:rsidRPr="00833157">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833157">
        <w:rPr>
          <w:rFonts w:ascii="Times New Roman" w:eastAsia="Times New Roman" w:hAnsi="Times New Roman" w:cs="Times New Roman"/>
          <w:bCs/>
          <w:sz w:val="24"/>
          <w:szCs w:val="24"/>
          <w:lang w:val="en-GB" w:eastAsia="en-IN"/>
        </w:rPr>
        <w:t xml:space="preserve"> </w:t>
      </w:r>
      <w:bookmarkEnd w:id="0"/>
    </w:p>
    <w:p w14:paraId="38467138" w14:textId="1542E3B6" w:rsidR="00134FDA" w:rsidRPr="00833157" w:rsidRDefault="00134FDA" w:rsidP="0083315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Pr>
          <w:rFonts w:ascii="Times New Roman" w:eastAsia="Times New Roman" w:hAnsi="Times New Roman" w:cs="Times New Roman"/>
          <w:bCs/>
          <w:sz w:val="24"/>
          <w:szCs w:val="24"/>
          <w:lang w:val="en-GB" w:eastAsia="en-IN"/>
        </w:rPr>
        <w:t xml:space="preserve">No </w:t>
      </w:r>
    </w:p>
    <w:p w14:paraId="1150A723" w14:textId="77777777" w:rsidR="00833157" w:rsidRPr="004549CA" w:rsidRDefault="00833157" w:rsidP="004549CA">
      <w:pPr>
        <w:spacing w:before="120" w:after="120" w:line="360" w:lineRule="auto"/>
        <w:ind w:firstLine="720"/>
        <w:jc w:val="both"/>
        <w:rPr>
          <w:rFonts w:ascii="Times New Roman" w:hAnsi="Times New Roman" w:cs="Times New Roman"/>
          <w:b/>
          <w:sz w:val="28"/>
          <w:szCs w:val="24"/>
        </w:rPr>
      </w:pPr>
    </w:p>
    <w:p w14:paraId="419643DF" w14:textId="77777777" w:rsidR="00CE5644" w:rsidRPr="00F40F9F" w:rsidRDefault="00CE5644" w:rsidP="004549CA">
      <w:pPr>
        <w:spacing w:line="360" w:lineRule="auto"/>
        <w:jc w:val="both"/>
        <w:rPr>
          <w:rFonts w:ascii="Times New Roman" w:hAnsi="Times New Roman" w:cs="Times New Roman"/>
          <w:b/>
          <w:sz w:val="32"/>
        </w:rPr>
      </w:pPr>
      <w:r w:rsidRPr="00F40F9F">
        <w:rPr>
          <w:rFonts w:ascii="Times New Roman" w:hAnsi="Times New Roman" w:cs="Times New Roman"/>
          <w:b/>
          <w:sz w:val="32"/>
        </w:rPr>
        <w:t xml:space="preserve">Reference </w:t>
      </w:r>
    </w:p>
    <w:p w14:paraId="2E3187C4" w14:textId="77777777" w:rsidR="00540CC9" w:rsidRPr="00A158B7" w:rsidRDefault="00540CC9"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lastRenderedPageBreak/>
        <w:t xml:space="preserve">Aggarwal O P, </w:t>
      </w:r>
      <w:proofErr w:type="spellStart"/>
      <w:r w:rsidRPr="00A158B7">
        <w:rPr>
          <w:rFonts w:ascii="Times New Roman" w:eastAsia="Times New Roman" w:hAnsi="Times New Roman" w:cs="Times New Roman"/>
          <w:sz w:val="24"/>
          <w:szCs w:val="24"/>
        </w:rPr>
        <w:t>Bhasin</w:t>
      </w:r>
      <w:proofErr w:type="spellEnd"/>
      <w:r w:rsidRPr="00A158B7">
        <w:rPr>
          <w:rFonts w:ascii="Times New Roman" w:eastAsia="Times New Roman" w:hAnsi="Times New Roman" w:cs="Times New Roman"/>
          <w:sz w:val="24"/>
          <w:szCs w:val="24"/>
        </w:rPr>
        <w:t xml:space="preserve"> S K, Sharma A K, Chhabra P, Aggarwal K and </w:t>
      </w:r>
      <w:proofErr w:type="spellStart"/>
      <w:r w:rsidRPr="00A158B7">
        <w:rPr>
          <w:rFonts w:ascii="Times New Roman" w:eastAsia="Times New Roman" w:hAnsi="Times New Roman" w:cs="Times New Roman"/>
          <w:sz w:val="24"/>
          <w:szCs w:val="24"/>
        </w:rPr>
        <w:t>Rajoura</w:t>
      </w:r>
      <w:proofErr w:type="spellEnd"/>
      <w:r w:rsidRPr="00A158B7">
        <w:rPr>
          <w:rFonts w:ascii="Times New Roman" w:eastAsia="Times New Roman" w:hAnsi="Times New Roman" w:cs="Times New Roman"/>
          <w:sz w:val="24"/>
          <w:szCs w:val="24"/>
        </w:rPr>
        <w:t xml:space="preserve"> O P, 2005, A new instrument (scale) for measuring the socioeconomic status of a family: Preliminary study. </w:t>
      </w:r>
      <w:r w:rsidRPr="00A158B7">
        <w:rPr>
          <w:rFonts w:ascii="Times New Roman" w:eastAsia="Times New Roman" w:hAnsi="Times New Roman" w:cs="Times New Roman"/>
          <w:i/>
          <w:sz w:val="24"/>
          <w:szCs w:val="24"/>
        </w:rPr>
        <w:t>Indian Journal of Community Medicine</w:t>
      </w:r>
      <w:r w:rsidRPr="00A158B7">
        <w:rPr>
          <w:rFonts w:ascii="Times New Roman" w:eastAsia="Times New Roman" w:hAnsi="Times New Roman" w:cs="Times New Roman"/>
          <w:sz w:val="24"/>
          <w:szCs w:val="24"/>
        </w:rPr>
        <w:t>, 30(4): 111–114.</w:t>
      </w:r>
    </w:p>
    <w:p w14:paraId="3D32326F" w14:textId="77777777" w:rsidR="00540CC9" w:rsidRPr="00A158B7" w:rsidRDefault="00540CC9" w:rsidP="004549CA">
      <w:pPr>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Deshingkar</w:t>
      </w:r>
      <w:proofErr w:type="spellEnd"/>
      <w:r>
        <w:rPr>
          <w:rFonts w:ascii="Times New Roman" w:eastAsia="Times New Roman" w:hAnsi="Times New Roman" w:cs="Times New Roman"/>
          <w:sz w:val="24"/>
          <w:szCs w:val="24"/>
        </w:rPr>
        <w:t xml:space="preserve">, P., and Akter, S, </w:t>
      </w:r>
      <w:r w:rsidRPr="00A158B7">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Migration and human development in India</w:t>
      </w:r>
      <w:r w:rsidRPr="00A158B7">
        <w:rPr>
          <w:rFonts w:ascii="Times New Roman" w:eastAsia="Times New Roman" w:hAnsi="Times New Roman" w:cs="Times New Roman"/>
          <w:sz w:val="24"/>
          <w:szCs w:val="24"/>
        </w:rPr>
        <w:t xml:space="preserve">. United Nations Development </w:t>
      </w:r>
      <w:proofErr w:type="spellStart"/>
      <w:r w:rsidRPr="00A158B7">
        <w:rPr>
          <w:rFonts w:ascii="Times New Roman" w:eastAsia="Times New Roman" w:hAnsi="Times New Roman" w:cs="Times New Roman"/>
          <w:sz w:val="24"/>
          <w:szCs w:val="24"/>
        </w:rPr>
        <w:t>Programme</w:t>
      </w:r>
      <w:proofErr w:type="spellEnd"/>
      <w:r w:rsidRPr="00A158B7">
        <w:rPr>
          <w:rFonts w:ascii="Times New Roman" w:eastAsia="Times New Roman" w:hAnsi="Times New Roman" w:cs="Times New Roman"/>
          <w:sz w:val="24"/>
          <w:szCs w:val="24"/>
        </w:rPr>
        <w:t xml:space="preserve"> (UNDP).</w:t>
      </w:r>
    </w:p>
    <w:p w14:paraId="49C5AA0F" w14:textId="77777777" w:rsidR="00540CC9" w:rsidRDefault="00540CC9" w:rsidP="00540CC9">
      <w:pPr>
        <w:spacing w:before="100" w:beforeAutospacing="1" w:after="100" w:afterAutospacing="1" w:line="360" w:lineRule="auto"/>
        <w:ind w:hanging="720"/>
        <w:jc w:val="both"/>
        <w:rPr>
          <w:rFonts w:ascii="Times New Roman" w:eastAsia="Times New Roman" w:hAnsi="Times New Roman" w:cs="Times New Roman"/>
          <w:sz w:val="24"/>
          <w:szCs w:val="24"/>
        </w:rPr>
      </w:pPr>
      <w:r w:rsidRPr="00540CC9">
        <w:rPr>
          <w:rFonts w:ascii="Times New Roman" w:hAnsi="Times New Roman" w:cs="Times New Roman"/>
          <w:color w:val="222222"/>
          <w:sz w:val="24"/>
          <w:szCs w:val="20"/>
          <w:shd w:val="clear" w:color="auto" w:fill="FFFFFF"/>
        </w:rPr>
        <w:t>International Institute for Population Sciences (IIPS) &amp; ICF. (2021). National Family Health Survey (NFHS-5), 2019–21: India.</w:t>
      </w:r>
    </w:p>
    <w:p w14:paraId="3F19E435" w14:textId="77777777" w:rsidR="00540CC9" w:rsidRPr="00A158B7" w:rsidRDefault="00540CC9"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International Institute </w:t>
      </w:r>
      <w:r>
        <w:rPr>
          <w:rFonts w:ascii="Times New Roman" w:eastAsia="Times New Roman" w:hAnsi="Times New Roman" w:cs="Times New Roman"/>
          <w:sz w:val="24"/>
          <w:szCs w:val="24"/>
        </w:rPr>
        <w:t xml:space="preserve">for Population Sciences (IIPS) and ICF, </w:t>
      </w:r>
      <w:r w:rsidRPr="00A158B7">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i/>
          <w:iCs/>
          <w:sz w:val="24"/>
          <w:szCs w:val="24"/>
        </w:rPr>
        <w:t>National Family Health Survey (NFHS-5), India, 2019–21</w:t>
      </w:r>
      <w:r w:rsidRPr="00A158B7">
        <w:rPr>
          <w:rFonts w:ascii="Times New Roman" w:eastAsia="Times New Roman" w:hAnsi="Times New Roman" w:cs="Times New Roman"/>
          <w:sz w:val="24"/>
          <w:szCs w:val="24"/>
        </w:rPr>
        <w:t>. Mumbai: IIPS.</w:t>
      </w:r>
    </w:p>
    <w:p w14:paraId="5F54882A" w14:textId="77777777" w:rsidR="00540CC9" w:rsidRPr="00540CC9" w:rsidRDefault="00540CC9" w:rsidP="004549CA">
      <w:pPr>
        <w:spacing w:before="100" w:beforeAutospacing="1" w:after="100" w:afterAutospacing="1" w:line="360" w:lineRule="auto"/>
        <w:ind w:hanging="720"/>
        <w:jc w:val="both"/>
        <w:rPr>
          <w:rFonts w:ascii="Times New Roman" w:eastAsia="Times New Roman" w:hAnsi="Times New Roman" w:cs="Times New Roman"/>
          <w:iCs/>
          <w:sz w:val="24"/>
          <w:szCs w:val="24"/>
        </w:rPr>
      </w:pPr>
      <w:proofErr w:type="spellStart"/>
      <w:r w:rsidRPr="00540CC9">
        <w:rPr>
          <w:rFonts w:ascii="Times New Roman" w:eastAsia="Times New Roman" w:hAnsi="Times New Roman" w:cs="Times New Roman"/>
          <w:iCs/>
          <w:sz w:val="24"/>
          <w:szCs w:val="24"/>
        </w:rPr>
        <w:t>Khadatkar</w:t>
      </w:r>
      <w:proofErr w:type="spellEnd"/>
      <w:r w:rsidRPr="00540CC9">
        <w:rPr>
          <w:rFonts w:ascii="Times New Roman" w:eastAsia="Times New Roman" w:hAnsi="Times New Roman" w:cs="Times New Roman"/>
          <w:iCs/>
          <w:sz w:val="24"/>
          <w:szCs w:val="24"/>
        </w:rPr>
        <w:t>, A., Dubey, U.C., Saini, N. and Ramadas, S., 2024. Assessment of nutritional status and habitual dietary intake of Indian farm women: Evidence from a case study in central India. Nutrition, 118, p.112262.</w:t>
      </w:r>
    </w:p>
    <w:p w14:paraId="48F894F7" w14:textId="77777777" w:rsidR="00540CC9" w:rsidRPr="00540CC9" w:rsidRDefault="00540CC9" w:rsidP="00540CC9">
      <w:pPr>
        <w:spacing w:before="100" w:beforeAutospacing="1" w:after="100" w:afterAutospacing="1" w:line="360" w:lineRule="auto"/>
        <w:ind w:hanging="720"/>
        <w:jc w:val="both"/>
        <w:rPr>
          <w:rFonts w:ascii="Times New Roman" w:eastAsia="Times New Roman" w:hAnsi="Times New Roman" w:cs="Times New Roman"/>
          <w:sz w:val="24"/>
          <w:szCs w:val="24"/>
        </w:rPr>
      </w:pPr>
      <w:r w:rsidRPr="00540CC9">
        <w:rPr>
          <w:rFonts w:ascii="Times New Roman" w:eastAsia="Times New Roman" w:hAnsi="Times New Roman" w:cs="Times New Roman"/>
          <w:sz w:val="24"/>
          <w:szCs w:val="24"/>
        </w:rPr>
        <w:t>Mohanty, S. K., &amp; Srivastava, A. (2013). Out-of-pocket expenditure on institutional delivery in India. Health Policy and Planning, 28(3), 247–262. https://doi.org/10.1093/heapol/czs057</w:t>
      </w:r>
    </w:p>
    <w:p w14:paraId="03779C2E" w14:textId="77777777" w:rsidR="00540CC9" w:rsidRDefault="00540CC9" w:rsidP="00540CC9">
      <w:pPr>
        <w:spacing w:before="100" w:beforeAutospacing="1" w:after="100" w:afterAutospacing="1" w:line="360" w:lineRule="auto"/>
        <w:ind w:hanging="720"/>
        <w:jc w:val="both"/>
        <w:rPr>
          <w:rFonts w:ascii="Times New Roman" w:eastAsia="Times New Roman" w:hAnsi="Times New Roman" w:cs="Times New Roman"/>
          <w:sz w:val="24"/>
          <w:szCs w:val="24"/>
        </w:rPr>
      </w:pPr>
      <w:r w:rsidRPr="00540CC9">
        <w:rPr>
          <w:rFonts w:ascii="Times New Roman" w:eastAsia="Times New Roman" w:hAnsi="Times New Roman" w:cs="Times New Roman"/>
          <w:sz w:val="24"/>
          <w:szCs w:val="24"/>
        </w:rPr>
        <w:t xml:space="preserve">Nguyen, P. H., Scott, S., Neupane, S., Tran, L. M., &amp; Menon, P. (2019). Social, biological, and programmatic factors linking adolescent pregnancy and early childhood undernutrition: A pathway analysis of India. Maternal &amp; Child Nutrition, 15(2), e12730. </w:t>
      </w:r>
      <w:hyperlink r:id="rId7" w:history="1">
        <w:r w:rsidRPr="00540CC9">
          <w:rPr>
            <w:rFonts w:ascii="Times New Roman" w:eastAsia="Times New Roman" w:hAnsi="Times New Roman" w:cs="Times New Roman"/>
            <w:sz w:val="24"/>
            <w:szCs w:val="24"/>
          </w:rPr>
          <w:t>https://doi.org/10.1111/mcn.12730</w:t>
        </w:r>
      </w:hyperlink>
    </w:p>
    <w:p w14:paraId="1EAF3906" w14:textId="77777777" w:rsidR="00540CC9" w:rsidRPr="00A158B7" w:rsidRDefault="00540CC9"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M,</w:t>
      </w:r>
      <w:r w:rsidRPr="00A158B7">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Maternal depletion and nutritional status of women in low-income settings</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sz w:val="24"/>
          <w:szCs w:val="24"/>
        </w:rPr>
        <w:t>Maternal and Child Nutrition,</w:t>
      </w:r>
      <w:r>
        <w:rPr>
          <w:rFonts w:ascii="Times New Roman" w:eastAsia="Times New Roman" w:hAnsi="Times New Roman" w:cs="Times New Roman"/>
          <w:sz w:val="24"/>
          <w:szCs w:val="24"/>
        </w:rPr>
        <w:t xml:space="preserve"> 13(3):</w:t>
      </w:r>
      <w:r w:rsidRPr="00A158B7">
        <w:rPr>
          <w:rFonts w:ascii="Times New Roman" w:eastAsia="Times New Roman" w:hAnsi="Times New Roman" w:cs="Times New Roman"/>
          <w:sz w:val="24"/>
          <w:szCs w:val="24"/>
        </w:rPr>
        <w:t>12400.</w:t>
      </w:r>
    </w:p>
    <w:p w14:paraId="432B6A61" w14:textId="77777777" w:rsidR="00540CC9" w:rsidRPr="00A158B7" w:rsidRDefault="00540CC9"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Rao N,</w:t>
      </w:r>
      <w:r w:rsidRPr="00A158B7">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172991">
        <w:rPr>
          <w:rFonts w:ascii="Times New Roman" w:eastAsia="Times New Roman" w:hAnsi="Times New Roman" w:cs="Times New Roman"/>
          <w:iCs/>
          <w:sz w:val="24"/>
          <w:szCs w:val="24"/>
        </w:rPr>
        <w:t xml:space="preserve">Migration, work burden and health of women </w:t>
      </w:r>
      <w:proofErr w:type="spellStart"/>
      <w:r w:rsidRPr="00172991">
        <w:rPr>
          <w:rFonts w:ascii="Times New Roman" w:eastAsia="Times New Roman" w:hAnsi="Times New Roman" w:cs="Times New Roman"/>
          <w:iCs/>
          <w:sz w:val="24"/>
          <w:szCs w:val="24"/>
        </w:rPr>
        <w:t>labourers</w:t>
      </w:r>
      <w:proofErr w:type="spellEnd"/>
      <w:r w:rsidRPr="00172991">
        <w:rPr>
          <w:rFonts w:ascii="Times New Roman" w:eastAsia="Times New Roman" w:hAnsi="Times New Roman" w:cs="Times New Roman"/>
          <w:iCs/>
          <w:sz w:val="24"/>
          <w:szCs w:val="24"/>
        </w:rPr>
        <w:t xml:space="preserve"> in sugarcane sector</w:t>
      </w:r>
      <w:r w:rsidRPr="00A158B7">
        <w:rPr>
          <w:rFonts w:ascii="Times New Roman" w:eastAsia="Times New Roman" w:hAnsi="Times New Roman" w:cs="Times New Roman"/>
          <w:sz w:val="24"/>
          <w:szCs w:val="24"/>
        </w:rPr>
        <w:t xml:space="preserve">. </w:t>
      </w:r>
      <w:r w:rsidRPr="00172991">
        <w:rPr>
          <w:rFonts w:ascii="Times New Roman" w:eastAsia="Times New Roman" w:hAnsi="Times New Roman" w:cs="Times New Roman"/>
          <w:i/>
          <w:sz w:val="24"/>
          <w:szCs w:val="24"/>
        </w:rPr>
        <w:t>Journal of Social and Economic Development,</w:t>
      </w:r>
      <w:r>
        <w:rPr>
          <w:rFonts w:ascii="Times New Roman" w:eastAsia="Times New Roman" w:hAnsi="Times New Roman" w:cs="Times New Roman"/>
          <w:sz w:val="24"/>
          <w:szCs w:val="24"/>
        </w:rPr>
        <w:t xml:space="preserve"> 23(1):</w:t>
      </w:r>
      <w:r w:rsidRPr="00A158B7">
        <w:rPr>
          <w:rFonts w:ascii="Times New Roman" w:eastAsia="Times New Roman" w:hAnsi="Times New Roman" w:cs="Times New Roman"/>
          <w:sz w:val="24"/>
          <w:szCs w:val="24"/>
        </w:rPr>
        <w:t>112–125.</w:t>
      </w:r>
    </w:p>
    <w:p w14:paraId="739CE4DA" w14:textId="77777777" w:rsidR="00540CC9" w:rsidRDefault="00540CC9" w:rsidP="00540CC9">
      <w:pPr>
        <w:spacing w:before="100" w:beforeAutospacing="1" w:after="100" w:afterAutospacing="1" w:line="360" w:lineRule="auto"/>
        <w:ind w:hanging="720"/>
        <w:jc w:val="both"/>
        <w:rPr>
          <w:rFonts w:ascii="Times New Roman" w:eastAsia="Times New Roman" w:hAnsi="Times New Roman" w:cs="Times New Roman"/>
          <w:sz w:val="24"/>
          <w:szCs w:val="24"/>
        </w:rPr>
      </w:pPr>
      <w:r w:rsidRPr="00540CC9">
        <w:rPr>
          <w:rFonts w:ascii="Times New Roman" w:hAnsi="Times New Roman" w:cs="Times New Roman"/>
          <w:color w:val="222222"/>
          <w:sz w:val="24"/>
          <w:szCs w:val="20"/>
          <w:shd w:val="clear" w:color="auto" w:fill="FFFFFF"/>
        </w:rPr>
        <w:t xml:space="preserve">Singh, A., Chakrabarty, M., Singh, S., Chandra, R., Chowdhury, S., &amp; Singh, A. (2022). Menstrual hygiene practices among adolescent women in rural India: A cross-sectional study. </w:t>
      </w:r>
      <w:r w:rsidRPr="00540CC9">
        <w:rPr>
          <w:rFonts w:ascii="Times New Roman" w:hAnsi="Times New Roman" w:cs="Times New Roman"/>
          <w:i/>
          <w:color w:val="222222"/>
          <w:sz w:val="24"/>
          <w:szCs w:val="20"/>
          <w:shd w:val="clear" w:color="auto" w:fill="FFFFFF"/>
        </w:rPr>
        <w:t>BMC Public Health</w:t>
      </w:r>
      <w:r w:rsidRPr="00540CC9">
        <w:rPr>
          <w:rFonts w:ascii="Times New Roman" w:hAnsi="Times New Roman" w:cs="Times New Roman"/>
          <w:color w:val="222222"/>
          <w:sz w:val="24"/>
          <w:szCs w:val="20"/>
          <w:shd w:val="clear" w:color="auto" w:fill="FFFFFF"/>
        </w:rPr>
        <w:t xml:space="preserve">, 22, 2126. </w:t>
      </w:r>
      <w:hyperlink r:id="rId8" w:tgtFrame="_new" w:history="1">
        <w:r w:rsidRPr="00540CC9">
          <w:rPr>
            <w:rFonts w:ascii="Times New Roman" w:hAnsi="Times New Roman" w:cs="Times New Roman"/>
            <w:color w:val="222222"/>
            <w:sz w:val="24"/>
            <w:szCs w:val="20"/>
            <w:shd w:val="clear" w:color="auto" w:fill="FFFFFF"/>
          </w:rPr>
          <w:t>https://doi.org/10.1186/s12889-022-14622-7</w:t>
        </w:r>
      </w:hyperlink>
      <w:r w:rsidRPr="00540CC9">
        <w:rPr>
          <w:rFonts w:ascii="Times New Roman" w:hAnsi="Times New Roman" w:cs="Times New Roman"/>
          <w:color w:val="222222"/>
          <w:sz w:val="24"/>
          <w:szCs w:val="20"/>
          <w:shd w:val="clear" w:color="auto" w:fill="FFFFFF"/>
        </w:rPr>
        <w:t>.</w:t>
      </w:r>
    </w:p>
    <w:p w14:paraId="65046253" w14:textId="77777777" w:rsidR="00540CC9" w:rsidRDefault="00540CC9" w:rsidP="00540CC9">
      <w:pPr>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656AB">
        <w:rPr>
          <w:rFonts w:ascii="Times New Roman" w:eastAsia="Times New Roman" w:hAnsi="Times New Roman" w:cs="Times New Roman"/>
          <w:sz w:val="24"/>
          <w:szCs w:val="24"/>
        </w:rPr>
        <w:lastRenderedPageBreak/>
        <w:t>Soeiro</w:t>
      </w:r>
      <w:proofErr w:type="spellEnd"/>
      <w:r w:rsidRPr="000656AB">
        <w:rPr>
          <w:rFonts w:ascii="Times New Roman" w:eastAsia="Times New Roman" w:hAnsi="Times New Roman" w:cs="Times New Roman"/>
          <w:sz w:val="24"/>
          <w:szCs w:val="24"/>
        </w:rPr>
        <w:t xml:space="preserve">, R. E., Rocha, L., </w:t>
      </w:r>
      <w:proofErr w:type="spellStart"/>
      <w:r w:rsidRPr="000656AB">
        <w:rPr>
          <w:rFonts w:ascii="Times New Roman" w:eastAsia="Times New Roman" w:hAnsi="Times New Roman" w:cs="Times New Roman"/>
          <w:sz w:val="24"/>
          <w:szCs w:val="24"/>
        </w:rPr>
        <w:t>Surita</w:t>
      </w:r>
      <w:proofErr w:type="spellEnd"/>
      <w:r w:rsidRPr="000656AB">
        <w:rPr>
          <w:rFonts w:ascii="Times New Roman" w:eastAsia="Times New Roman" w:hAnsi="Times New Roman" w:cs="Times New Roman"/>
          <w:sz w:val="24"/>
          <w:szCs w:val="24"/>
        </w:rPr>
        <w:t xml:space="preserve">, F. G., </w:t>
      </w:r>
      <w:proofErr w:type="spellStart"/>
      <w:r w:rsidRPr="000656AB">
        <w:rPr>
          <w:rFonts w:ascii="Times New Roman" w:eastAsia="Times New Roman" w:hAnsi="Times New Roman" w:cs="Times New Roman"/>
          <w:sz w:val="24"/>
          <w:szCs w:val="24"/>
        </w:rPr>
        <w:t>Bahamondes</w:t>
      </w:r>
      <w:proofErr w:type="spellEnd"/>
      <w:r w:rsidRPr="000656AB">
        <w:rPr>
          <w:rFonts w:ascii="Times New Roman" w:eastAsia="Times New Roman" w:hAnsi="Times New Roman" w:cs="Times New Roman"/>
          <w:sz w:val="24"/>
          <w:szCs w:val="24"/>
        </w:rPr>
        <w:t xml:space="preserve">, L., &amp; Costa, M. L. (2021). Period poverty: Menstrual health hygiene issues among adolescent and young Venezuelan migrant women at the northwestern border of Brazil. </w:t>
      </w:r>
      <w:r w:rsidRPr="000656AB">
        <w:rPr>
          <w:rFonts w:ascii="Times New Roman" w:eastAsia="Times New Roman" w:hAnsi="Times New Roman" w:cs="Times New Roman"/>
          <w:i/>
          <w:iCs/>
          <w:sz w:val="24"/>
          <w:szCs w:val="24"/>
        </w:rPr>
        <w:t>Reproductive Health</w:t>
      </w:r>
      <w:r w:rsidRPr="000656AB">
        <w:rPr>
          <w:rFonts w:ascii="Times New Roman" w:eastAsia="Times New Roman" w:hAnsi="Times New Roman" w:cs="Times New Roman"/>
          <w:sz w:val="24"/>
          <w:szCs w:val="24"/>
        </w:rPr>
        <w:t xml:space="preserve">, 18(1), 238. https://doi.org/10.1186/s12978-021-01285-7 </w:t>
      </w:r>
    </w:p>
    <w:p w14:paraId="743CEFFA" w14:textId="2407EA10" w:rsidR="00540CC9" w:rsidRDefault="00540CC9" w:rsidP="00540CC9">
      <w:pPr>
        <w:spacing w:before="100" w:beforeAutospacing="1" w:after="100" w:afterAutospacing="1" w:line="360" w:lineRule="auto"/>
        <w:ind w:hanging="720"/>
        <w:jc w:val="both"/>
        <w:rPr>
          <w:rFonts w:ascii="Arial" w:hAnsi="Arial" w:cs="Arial"/>
          <w:color w:val="222222"/>
          <w:sz w:val="20"/>
          <w:szCs w:val="20"/>
          <w:shd w:val="clear" w:color="auto" w:fill="FFFFFF"/>
        </w:rPr>
      </w:pPr>
      <w:r w:rsidRPr="00C67295">
        <w:rPr>
          <w:rFonts w:ascii="Times New Roman" w:hAnsi="Times New Roman" w:cs="Times New Roman"/>
          <w:color w:val="222222"/>
          <w:sz w:val="24"/>
          <w:szCs w:val="20"/>
          <w:shd w:val="clear" w:color="auto" w:fill="FFFFFF"/>
        </w:rPr>
        <w:t xml:space="preserve">Srivastava, R., 2020. </w:t>
      </w:r>
      <w:proofErr w:type="spellStart"/>
      <w:r w:rsidRPr="00C67295">
        <w:rPr>
          <w:rFonts w:ascii="Times New Roman" w:hAnsi="Times New Roman" w:cs="Times New Roman"/>
          <w:color w:val="222222"/>
          <w:sz w:val="24"/>
          <w:szCs w:val="20"/>
          <w:shd w:val="clear" w:color="auto" w:fill="FFFFFF"/>
        </w:rPr>
        <w:t>Labour</w:t>
      </w:r>
      <w:proofErr w:type="spellEnd"/>
      <w:r w:rsidRPr="00C67295">
        <w:rPr>
          <w:rFonts w:ascii="Times New Roman" w:hAnsi="Times New Roman" w:cs="Times New Roman"/>
          <w:color w:val="222222"/>
          <w:sz w:val="24"/>
          <w:szCs w:val="20"/>
          <w:shd w:val="clear" w:color="auto" w:fill="FFFFFF"/>
        </w:rPr>
        <w:t xml:space="preserve"> migration, vulnerability, and development policy: The pandemic as inflexion </w:t>
      </w:r>
      <w:proofErr w:type="gramStart"/>
      <w:r w:rsidRPr="00C67295">
        <w:rPr>
          <w:rFonts w:ascii="Times New Roman" w:hAnsi="Times New Roman" w:cs="Times New Roman"/>
          <w:color w:val="222222"/>
          <w:sz w:val="24"/>
          <w:szCs w:val="20"/>
          <w:shd w:val="clear" w:color="auto" w:fill="FFFFFF"/>
        </w:rPr>
        <w:t>point?.</w:t>
      </w:r>
      <w:proofErr w:type="gramEnd"/>
      <w:r w:rsidRPr="00C67295">
        <w:rPr>
          <w:rFonts w:ascii="Arial" w:hAnsi="Arial" w:cs="Arial"/>
          <w:color w:val="222222"/>
          <w:sz w:val="24"/>
          <w:szCs w:val="20"/>
          <w:shd w:val="clear" w:color="auto" w:fill="FFFFFF"/>
        </w:rPr>
        <w:t> </w:t>
      </w:r>
      <w:r w:rsidRPr="00C67295">
        <w:rPr>
          <w:rFonts w:ascii="Times New Roman" w:hAnsi="Times New Roman" w:cs="Times New Roman"/>
          <w:i/>
          <w:iCs/>
          <w:color w:val="222222"/>
          <w:sz w:val="24"/>
          <w:szCs w:val="20"/>
          <w:shd w:val="clear" w:color="auto" w:fill="FFFFFF"/>
        </w:rPr>
        <w:t xml:space="preserve">The Indian Journal of </w:t>
      </w:r>
      <w:proofErr w:type="spellStart"/>
      <w:r w:rsidRPr="00C67295">
        <w:rPr>
          <w:rFonts w:ascii="Times New Roman" w:hAnsi="Times New Roman" w:cs="Times New Roman"/>
          <w:i/>
          <w:iCs/>
          <w:color w:val="222222"/>
          <w:sz w:val="24"/>
          <w:szCs w:val="20"/>
          <w:shd w:val="clear" w:color="auto" w:fill="FFFFFF"/>
        </w:rPr>
        <w:t>Labour</w:t>
      </w:r>
      <w:proofErr w:type="spellEnd"/>
      <w:r w:rsidRPr="00C67295">
        <w:rPr>
          <w:rFonts w:ascii="Times New Roman" w:hAnsi="Times New Roman" w:cs="Times New Roman"/>
          <w:i/>
          <w:iCs/>
          <w:color w:val="222222"/>
          <w:sz w:val="24"/>
          <w:szCs w:val="20"/>
          <w:shd w:val="clear" w:color="auto" w:fill="FFFFFF"/>
        </w:rPr>
        <w:t xml:space="preserve">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(4):859-883.</w:t>
      </w:r>
    </w:p>
    <w:p w14:paraId="0A950F17" w14:textId="77777777" w:rsidR="00060608" w:rsidRDefault="00060608" w:rsidP="00540CC9">
      <w:pPr>
        <w:spacing w:before="100" w:beforeAutospacing="1" w:after="100" w:afterAutospacing="1" w:line="360" w:lineRule="auto"/>
        <w:ind w:hanging="720"/>
        <w:jc w:val="both"/>
        <w:rPr>
          <w:rFonts w:ascii="Arial" w:hAnsi="Arial" w:cs="Arial"/>
          <w:color w:val="222222"/>
          <w:sz w:val="20"/>
          <w:szCs w:val="20"/>
          <w:shd w:val="clear" w:color="auto" w:fill="FFFFFF"/>
        </w:rPr>
      </w:pPr>
    </w:p>
    <w:p w14:paraId="5EAB3031" w14:textId="543183AB" w:rsidR="00060608" w:rsidRDefault="00060608" w:rsidP="00540CC9">
      <w:pPr>
        <w:spacing w:before="100" w:beforeAutospacing="1" w:after="100" w:afterAutospacing="1" w:line="360" w:lineRule="auto"/>
        <w:ind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Aryal</w:t>
      </w:r>
      <w:proofErr w:type="spellEnd"/>
      <w:r>
        <w:rPr>
          <w:rFonts w:ascii="Arial" w:hAnsi="Arial" w:cs="Arial"/>
          <w:color w:val="222222"/>
          <w:sz w:val="20"/>
          <w:szCs w:val="20"/>
          <w:shd w:val="clear" w:color="auto" w:fill="FFFFFF"/>
        </w:rPr>
        <w:t>, S., Shrestha, D., &amp; Pant, S. B. (2019). Reproductive health issues and depression in wives of labor migrant workers. </w:t>
      </w:r>
      <w:r>
        <w:rPr>
          <w:rFonts w:ascii="Arial" w:hAnsi="Arial" w:cs="Arial"/>
          <w:i/>
          <w:iCs/>
          <w:color w:val="222222"/>
          <w:sz w:val="20"/>
          <w:szCs w:val="20"/>
          <w:shd w:val="clear" w:color="auto" w:fill="FFFFFF"/>
        </w:rPr>
        <w:t>Journal of Nepal Health Research Council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(03), 308-314.</w:t>
      </w:r>
    </w:p>
    <w:p w14:paraId="046BDAEE" w14:textId="1B8426DB" w:rsidR="00060608" w:rsidRDefault="00060608" w:rsidP="00540CC9">
      <w:pPr>
        <w:spacing w:before="100" w:beforeAutospacing="1" w:after="100" w:afterAutospacing="1" w:line="360" w:lineRule="auto"/>
        <w:ind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Jaleel, A. C., &amp; Chattopadhyay, A. (2022). Health and Quality of Life of Seasonal Migrant Women Workers Engaged in Sugarcane Harvest in Maharashtra, India. In </w:t>
      </w:r>
      <w:r>
        <w:rPr>
          <w:rFonts w:ascii="Arial" w:hAnsi="Arial" w:cs="Arial"/>
          <w:i/>
          <w:iCs/>
          <w:color w:val="222222"/>
          <w:sz w:val="20"/>
          <w:szCs w:val="20"/>
          <w:shd w:val="clear" w:color="auto" w:fill="FFFFFF"/>
        </w:rPr>
        <w:t>Internal Migration Within South Asia: Contemporary Issues and Challenges</w:t>
      </w:r>
      <w:r>
        <w:rPr>
          <w:rFonts w:ascii="Arial" w:hAnsi="Arial" w:cs="Arial"/>
          <w:color w:val="222222"/>
          <w:sz w:val="20"/>
          <w:szCs w:val="20"/>
          <w:shd w:val="clear" w:color="auto" w:fill="FFFFFF"/>
        </w:rPr>
        <w:t> (pp. 205-220). Singapore: Springer Nature Singapore.</w:t>
      </w:r>
    </w:p>
    <w:p w14:paraId="37D36851" w14:textId="1370A246" w:rsidR="00060608" w:rsidRDefault="00060608" w:rsidP="00540CC9">
      <w:pPr>
        <w:spacing w:before="100" w:beforeAutospacing="1" w:after="100" w:afterAutospacing="1" w:line="360" w:lineRule="auto"/>
        <w:ind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 B., Liu, N., Li, B., Huang, L., Wang, X., Wu, X., ... &amp; Wang, P. (2019). Sexuality-related factors and quality of life among reproductive-aged married female migrant workers: A cross-sectional study in Southern China. </w:t>
      </w:r>
      <w:r>
        <w:rPr>
          <w:rFonts w:ascii="Arial" w:hAnsi="Arial" w:cs="Arial"/>
          <w:i/>
          <w:iCs/>
          <w:color w:val="222222"/>
          <w:sz w:val="20"/>
          <w:szCs w:val="20"/>
          <w:shd w:val="clear" w:color="auto" w:fill="FFFFFF"/>
        </w:rPr>
        <w:t>Sexual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384-395.</w:t>
      </w:r>
    </w:p>
    <w:p w14:paraId="630E24C1" w14:textId="4AED1095" w:rsidR="00060608" w:rsidRDefault="00060608" w:rsidP="00540CC9">
      <w:pPr>
        <w:spacing w:before="100" w:beforeAutospacing="1" w:after="100" w:afterAutospacing="1" w:line="360" w:lineRule="auto"/>
        <w:ind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Lu, C., Xu, L., Wu, J., Wang, Z., </w:t>
      </w:r>
      <w:proofErr w:type="spellStart"/>
      <w:r>
        <w:rPr>
          <w:rFonts w:ascii="Arial" w:hAnsi="Arial" w:cs="Arial"/>
          <w:color w:val="222222"/>
          <w:sz w:val="20"/>
          <w:szCs w:val="20"/>
          <w:shd w:val="clear" w:color="auto" w:fill="FFFFFF"/>
        </w:rPr>
        <w:t>Decat</w:t>
      </w:r>
      <w:proofErr w:type="spellEnd"/>
      <w:r>
        <w:rPr>
          <w:rFonts w:ascii="Arial" w:hAnsi="Arial" w:cs="Arial"/>
          <w:color w:val="222222"/>
          <w:sz w:val="20"/>
          <w:szCs w:val="20"/>
          <w:shd w:val="clear" w:color="auto" w:fill="FFFFFF"/>
        </w:rPr>
        <w:t xml:space="preserve">, P., Zhang, W. H., ... &amp; </w:t>
      </w:r>
      <w:proofErr w:type="spellStart"/>
      <w:r>
        <w:rPr>
          <w:rFonts w:ascii="Arial" w:hAnsi="Arial" w:cs="Arial"/>
          <w:color w:val="222222"/>
          <w:sz w:val="20"/>
          <w:szCs w:val="20"/>
          <w:shd w:val="clear" w:color="auto" w:fill="FFFFFF"/>
        </w:rPr>
        <w:t>Temmerman</w:t>
      </w:r>
      <w:proofErr w:type="spellEnd"/>
      <w:r>
        <w:rPr>
          <w:rFonts w:ascii="Arial" w:hAnsi="Arial" w:cs="Arial"/>
          <w:color w:val="222222"/>
          <w:sz w:val="20"/>
          <w:szCs w:val="20"/>
          <w:shd w:val="clear" w:color="auto" w:fill="FFFFFF"/>
        </w:rPr>
        <w:t>, M. (2012). Sexual and reproductive health status and related knowledge among female migrant workers in Guangzhou, China: a cross-sectional survey. </w:t>
      </w:r>
      <w:r>
        <w:rPr>
          <w:rFonts w:ascii="Arial" w:hAnsi="Arial" w:cs="Arial"/>
          <w:i/>
          <w:iCs/>
          <w:color w:val="222222"/>
          <w:sz w:val="20"/>
          <w:szCs w:val="20"/>
          <w:shd w:val="clear" w:color="auto" w:fill="FFFFFF"/>
        </w:rPr>
        <w:t>European journal of obstetrics &amp; gynecology and reproductive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160</w:t>
      </w:r>
      <w:r>
        <w:rPr>
          <w:rFonts w:ascii="Arial" w:hAnsi="Arial" w:cs="Arial"/>
          <w:color w:val="222222"/>
          <w:sz w:val="20"/>
          <w:szCs w:val="20"/>
          <w:shd w:val="clear" w:color="auto" w:fill="FFFFFF"/>
        </w:rPr>
        <w:t>(1), 60-65.</w:t>
      </w:r>
    </w:p>
    <w:p w14:paraId="03A1F7FA" w14:textId="69545845" w:rsidR="00060608" w:rsidRDefault="00060608" w:rsidP="00540CC9">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Arial" w:hAnsi="Arial" w:cs="Arial"/>
          <w:color w:val="222222"/>
          <w:sz w:val="20"/>
          <w:szCs w:val="20"/>
          <w:shd w:val="clear" w:color="auto" w:fill="FFFFFF"/>
        </w:rPr>
        <w:t xml:space="preserve">Zhu, C., </w:t>
      </w:r>
      <w:proofErr w:type="spellStart"/>
      <w:r>
        <w:rPr>
          <w:rFonts w:ascii="Arial" w:hAnsi="Arial" w:cs="Arial"/>
          <w:color w:val="222222"/>
          <w:sz w:val="20"/>
          <w:szCs w:val="20"/>
          <w:shd w:val="clear" w:color="auto" w:fill="FFFFFF"/>
        </w:rPr>
        <w:t>Geng</w:t>
      </w:r>
      <w:proofErr w:type="spellEnd"/>
      <w:r>
        <w:rPr>
          <w:rFonts w:ascii="Arial" w:hAnsi="Arial" w:cs="Arial"/>
          <w:color w:val="222222"/>
          <w:sz w:val="20"/>
          <w:szCs w:val="20"/>
          <w:shd w:val="clear" w:color="auto" w:fill="FFFFFF"/>
        </w:rPr>
        <w:t>, Q., Yang, H., Chen, L., Fu, X., &amp; Jiang, W. (2013). Quality of life in China rural-to-urban female migrant factory workers: a before-and-after study. </w:t>
      </w:r>
      <w:r>
        <w:rPr>
          <w:rFonts w:ascii="Arial" w:hAnsi="Arial" w:cs="Arial"/>
          <w:i/>
          <w:iCs/>
          <w:color w:val="222222"/>
          <w:sz w:val="20"/>
          <w:szCs w:val="20"/>
          <w:shd w:val="clear" w:color="auto" w:fill="FFFFFF"/>
        </w:rPr>
        <w:t>Health and quality of life outcomes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123.</w:t>
      </w:r>
      <w:bookmarkStart w:id="1" w:name="_GoBack"/>
      <w:bookmarkEnd w:id="1"/>
    </w:p>
    <w:sectPr w:rsidR="000606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0426" w14:textId="77777777" w:rsidR="004F5432" w:rsidRDefault="004F5432" w:rsidP="006257C1">
      <w:pPr>
        <w:spacing w:after="0" w:line="240" w:lineRule="auto"/>
      </w:pPr>
      <w:r>
        <w:separator/>
      </w:r>
    </w:p>
  </w:endnote>
  <w:endnote w:type="continuationSeparator" w:id="0">
    <w:p w14:paraId="553CF36A" w14:textId="77777777" w:rsidR="004F5432" w:rsidRDefault="004F5432" w:rsidP="0062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BEDC" w14:textId="77777777" w:rsidR="002A5ABE" w:rsidRDefault="002A5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C409" w14:textId="77777777" w:rsidR="002A5ABE" w:rsidRDefault="002A5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3AAF" w14:textId="77777777" w:rsidR="002A5ABE" w:rsidRDefault="002A5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2DCD3" w14:textId="77777777" w:rsidR="004F5432" w:rsidRDefault="004F5432" w:rsidP="006257C1">
      <w:pPr>
        <w:spacing w:after="0" w:line="240" w:lineRule="auto"/>
      </w:pPr>
      <w:r>
        <w:separator/>
      </w:r>
    </w:p>
  </w:footnote>
  <w:footnote w:type="continuationSeparator" w:id="0">
    <w:p w14:paraId="5D680780" w14:textId="77777777" w:rsidR="004F5432" w:rsidRDefault="004F5432" w:rsidP="0062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9C42" w14:textId="351FEBCB" w:rsidR="002A5ABE" w:rsidRDefault="00060608">
    <w:pPr>
      <w:pStyle w:val="Header"/>
    </w:pPr>
    <w:r>
      <w:rPr>
        <w:noProof/>
      </w:rPr>
      <w:pict w14:anchorId="44420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8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2DB2" w14:textId="0AF844CC" w:rsidR="002A5ABE" w:rsidRDefault="00060608">
    <w:pPr>
      <w:pStyle w:val="Header"/>
    </w:pPr>
    <w:r>
      <w:rPr>
        <w:noProof/>
      </w:rPr>
      <w:pict w14:anchorId="7DD90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8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DA8E" w14:textId="7F9AE778" w:rsidR="002A5ABE" w:rsidRDefault="00060608">
    <w:pPr>
      <w:pStyle w:val="Header"/>
    </w:pPr>
    <w:r>
      <w:rPr>
        <w:noProof/>
      </w:rPr>
      <w:pict w14:anchorId="5C7B4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8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025F2"/>
    <w:multiLevelType w:val="hybridMultilevel"/>
    <w:tmpl w:val="528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93"/>
    <w:rsid w:val="00005F3D"/>
    <w:rsid w:val="00030F8D"/>
    <w:rsid w:val="00060608"/>
    <w:rsid w:val="00063E8A"/>
    <w:rsid w:val="000656AB"/>
    <w:rsid w:val="00097255"/>
    <w:rsid w:val="00134FDA"/>
    <w:rsid w:val="001354CC"/>
    <w:rsid w:val="00172991"/>
    <w:rsid w:val="002A5ABE"/>
    <w:rsid w:val="002A7965"/>
    <w:rsid w:val="002E042E"/>
    <w:rsid w:val="00353D84"/>
    <w:rsid w:val="004047B5"/>
    <w:rsid w:val="00414D8E"/>
    <w:rsid w:val="004549CA"/>
    <w:rsid w:val="004F5432"/>
    <w:rsid w:val="00540CC9"/>
    <w:rsid w:val="005856BE"/>
    <w:rsid w:val="0062425A"/>
    <w:rsid w:val="006257C1"/>
    <w:rsid w:val="00627723"/>
    <w:rsid w:val="00636143"/>
    <w:rsid w:val="00692AD8"/>
    <w:rsid w:val="00833157"/>
    <w:rsid w:val="00883193"/>
    <w:rsid w:val="008A61FA"/>
    <w:rsid w:val="008F2A71"/>
    <w:rsid w:val="00973150"/>
    <w:rsid w:val="009C0815"/>
    <w:rsid w:val="009E72F5"/>
    <w:rsid w:val="00A158B7"/>
    <w:rsid w:val="00AF5C63"/>
    <w:rsid w:val="00B65B61"/>
    <w:rsid w:val="00BD43ED"/>
    <w:rsid w:val="00C01183"/>
    <w:rsid w:val="00C67295"/>
    <w:rsid w:val="00CC418D"/>
    <w:rsid w:val="00CE5644"/>
    <w:rsid w:val="00D148F9"/>
    <w:rsid w:val="00DA0170"/>
    <w:rsid w:val="00E63AD0"/>
    <w:rsid w:val="00F24DFB"/>
    <w:rsid w:val="00F4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5796A"/>
  <w15:chartTrackingRefBased/>
  <w15:docId w15:val="{5E70EA5D-FDD8-4FF0-B377-C8BF4EF4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30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93"/>
    <w:pPr>
      <w:ind w:left="720"/>
      <w:contextualSpacing/>
    </w:pPr>
  </w:style>
  <w:style w:type="character" w:styleId="Emphasis">
    <w:name w:val="Emphasis"/>
    <w:uiPriority w:val="20"/>
    <w:qFormat/>
    <w:rsid w:val="0062425A"/>
    <w:rPr>
      <w:i/>
      <w:iCs w:val="0"/>
    </w:rPr>
  </w:style>
  <w:style w:type="character" w:styleId="Strong">
    <w:name w:val="Strong"/>
    <w:uiPriority w:val="22"/>
    <w:qFormat/>
    <w:rsid w:val="0062425A"/>
    <w:rPr>
      <w:b/>
      <w:bCs w:val="0"/>
    </w:rPr>
  </w:style>
  <w:style w:type="paragraph" w:styleId="NormalWeb">
    <w:name w:val="Normal (Web)"/>
    <w:basedOn w:val="Normal"/>
    <w:uiPriority w:val="99"/>
    <w:semiHidden/>
    <w:unhideWhenUsed/>
    <w:rsid w:val="005856BE"/>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39"/>
    <w:rsid w:val="0058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CE5644"/>
  </w:style>
  <w:style w:type="character" w:customStyle="1" w:styleId="Heading3Char">
    <w:name w:val="Heading 3 Char"/>
    <w:basedOn w:val="DefaultParagraphFont"/>
    <w:link w:val="Heading3"/>
    <w:uiPriority w:val="9"/>
    <w:rsid w:val="00030F8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C0815"/>
    <w:rPr>
      <w:color w:val="0563C1" w:themeColor="hyperlink"/>
      <w:u w:val="single"/>
    </w:rPr>
  </w:style>
  <w:style w:type="character" w:customStyle="1" w:styleId="UnresolvedMention1">
    <w:name w:val="Unresolved Mention1"/>
    <w:basedOn w:val="DefaultParagraphFont"/>
    <w:uiPriority w:val="99"/>
    <w:semiHidden/>
    <w:unhideWhenUsed/>
    <w:rsid w:val="009C0815"/>
    <w:rPr>
      <w:color w:val="605E5C"/>
      <w:shd w:val="clear" w:color="auto" w:fill="E1DFDD"/>
    </w:rPr>
  </w:style>
  <w:style w:type="paragraph" w:styleId="Header">
    <w:name w:val="header"/>
    <w:basedOn w:val="Normal"/>
    <w:link w:val="HeaderChar"/>
    <w:uiPriority w:val="99"/>
    <w:unhideWhenUsed/>
    <w:rsid w:val="00625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7C1"/>
  </w:style>
  <w:style w:type="paragraph" w:styleId="Footer">
    <w:name w:val="footer"/>
    <w:basedOn w:val="Normal"/>
    <w:link w:val="FooterChar"/>
    <w:uiPriority w:val="99"/>
    <w:unhideWhenUsed/>
    <w:rsid w:val="00625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549">
      <w:bodyDiv w:val="1"/>
      <w:marLeft w:val="0"/>
      <w:marRight w:val="0"/>
      <w:marTop w:val="0"/>
      <w:marBottom w:val="0"/>
      <w:divBdr>
        <w:top w:val="none" w:sz="0" w:space="0" w:color="auto"/>
        <w:left w:val="none" w:sz="0" w:space="0" w:color="auto"/>
        <w:bottom w:val="none" w:sz="0" w:space="0" w:color="auto"/>
        <w:right w:val="none" w:sz="0" w:space="0" w:color="auto"/>
      </w:divBdr>
    </w:div>
    <w:div w:id="75440270">
      <w:bodyDiv w:val="1"/>
      <w:marLeft w:val="0"/>
      <w:marRight w:val="0"/>
      <w:marTop w:val="0"/>
      <w:marBottom w:val="0"/>
      <w:divBdr>
        <w:top w:val="none" w:sz="0" w:space="0" w:color="auto"/>
        <w:left w:val="none" w:sz="0" w:space="0" w:color="auto"/>
        <w:bottom w:val="none" w:sz="0" w:space="0" w:color="auto"/>
        <w:right w:val="none" w:sz="0" w:space="0" w:color="auto"/>
      </w:divBdr>
    </w:div>
    <w:div w:id="392506104">
      <w:bodyDiv w:val="1"/>
      <w:marLeft w:val="0"/>
      <w:marRight w:val="0"/>
      <w:marTop w:val="0"/>
      <w:marBottom w:val="0"/>
      <w:divBdr>
        <w:top w:val="none" w:sz="0" w:space="0" w:color="auto"/>
        <w:left w:val="none" w:sz="0" w:space="0" w:color="auto"/>
        <w:bottom w:val="none" w:sz="0" w:space="0" w:color="auto"/>
        <w:right w:val="none" w:sz="0" w:space="0" w:color="auto"/>
      </w:divBdr>
    </w:div>
    <w:div w:id="489832384">
      <w:bodyDiv w:val="1"/>
      <w:marLeft w:val="0"/>
      <w:marRight w:val="0"/>
      <w:marTop w:val="0"/>
      <w:marBottom w:val="0"/>
      <w:divBdr>
        <w:top w:val="none" w:sz="0" w:space="0" w:color="auto"/>
        <w:left w:val="none" w:sz="0" w:space="0" w:color="auto"/>
        <w:bottom w:val="none" w:sz="0" w:space="0" w:color="auto"/>
        <w:right w:val="none" w:sz="0" w:space="0" w:color="auto"/>
      </w:divBdr>
    </w:div>
    <w:div w:id="495849279">
      <w:bodyDiv w:val="1"/>
      <w:marLeft w:val="0"/>
      <w:marRight w:val="0"/>
      <w:marTop w:val="0"/>
      <w:marBottom w:val="0"/>
      <w:divBdr>
        <w:top w:val="none" w:sz="0" w:space="0" w:color="auto"/>
        <w:left w:val="none" w:sz="0" w:space="0" w:color="auto"/>
        <w:bottom w:val="none" w:sz="0" w:space="0" w:color="auto"/>
        <w:right w:val="none" w:sz="0" w:space="0" w:color="auto"/>
      </w:divBdr>
    </w:div>
    <w:div w:id="723333230">
      <w:bodyDiv w:val="1"/>
      <w:marLeft w:val="0"/>
      <w:marRight w:val="0"/>
      <w:marTop w:val="0"/>
      <w:marBottom w:val="0"/>
      <w:divBdr>
        <w:top w:val="none" w:sz="0" w:space="0" w:color="auto"/>
        <w:left w:val="none" w:sz="0" w:space="0" w:color="auto"/>
        <w:bottom w:val="none" w:sz="0" w:space="0" w:color="auto"/>
        <w:right w:val="none" w:sz="0" w:space="0" w:color="auto"/>
      </w:divBdr>
    </w:div>
    <w:div w:id="741220439">
      <w:bodyDiv w:val="1"/>
      <w:marLeft w:val="0"/>
      <w:marRight w:val="0"/>
      <w:marTop w:val="0"/>
      <w:marBottom w:val="0"/>
      <w:divBdr>
        <w:top w:val="none" w:sz="0" w:space="0" w:color="auto"/>
        <w:left w:val="none" w:sz="0" w:space="0" w:color="auto"/>
        <w:bottom w:val="none" w:sz="0" w:space="0" w:color="auto"/>
        <w:right w:val="none" w:sz="0" w:space="0" w:color="auto"/>
      </w:divBdr>
    </w:div>
    <w:div w:id="833497065">
      <w:bodyDiv w:val="1"/>
      <w:marLeft w:val="0"/>
      <w:marRight w:val="0"/>
      <w:marTop w:val="0"/>
      <w:marBottom w:val="0"/>
      <w:divBdr>
        <w:top w:val="none" w:sz="0" w:space="0" w:color="auto"/>
        <w:left w:val="none" w:sz="0" w:space="0" w:color="auto"/>
        <w:bottom w:val="none" w:sz="0" w:space="0" w:color="auto"/>
        <w:right w:val="none" w:sz="0" w:space="0" w:color="auto"/>
      </w:divBdr>
    </w:div>
    <w:div w:id="855386409">
      <w:bodyDiv w:val="1"/>
      <w:marLeft w:val="0"/>
      <w:marRight w:val="0"/>
      <w:marTop w:val="0"/>
      <w:marBottom w:val="0"/>
      <w:divBdr>
        <w:top w:val="none" w:sz="0" w:space="0" w:color="auto"/>
        <w:left w:val="none" w:sz="0" w:space="0" w:color="auto"/>
        <w:bottom w:val="none" w:sz="0" w:space="0" w:color="auto"/>
        <w:right w:val="none" w:sz="0" w:space="0" w:color="auto"/>
      </w:divBdr>
    </w:div>
    <w:div w:id="939339726">
      <w:bodyDiv w:val="1"/>
      <w:marLeft w:val="0"/>
      <w:marRight w:val="0"/>
      <w:marTop w:val="0"/>
      <w:marBottom w:val="0"/>
      <w:divBdr>
        <w:top w:val="none" w:sz="0" w:space="0" w:color="auto"/>
        <w:left w:val="none" w:sz="0" w:space="0" w:color="auto"/>
        <w:bottom w:val="none" w:sz="0" w:space="0" w:color="auto"/>
        <w:right w:val="none" w:sz="0" w:space="0" w:color="auto"/>
      </w:divBdr>
    </w:div>
    <w:div w:id="1065107475">
      <w:bodyDiv w:val="1"/>
      <w:marLeft w:val="0"/>
      <w:marRight w:val="0"/>
      <w:marTop w:val="0"/>
      <w:marBottom w:val="0"/>
      <w:divBdr>
        <w:top w:val="none" w:sz="0" w:space="0" w:color="auto"/>
        <w:left w:val="none" w:sz="0" w:space="0" w:color="auto"/>
        <w:bottom w:val="none" w:sz="0" w:space="0" w:color="auto"/>
        <w:right w:val="none" w:sz="0" w:space="0" w:color="auto"/>
      </w:divBdr>
    </w:div>
    <w:div w:id="1073819741">
      <w:bodyDiv w:val="1"/>
      <w:marLeft w:val="0"/>
      <w:marRight w:val="0"/>
      <w:marTop w:val="0"/>
      <w:marBottom w:val="0"/>
      <w:divBdr>
        <w:top w:val="none" w:sz="0" w:space="0" w:color="auto"/>
        <w:left w:val="none" w:sz="0" w:space="0" w:color="auto"/>
        <w:bottom w:val="none" w:sz="0" w:space="0" w:color="auto"/>
        <w:right w:val="none" w:sz="0" w:space="0" w:color="auto"/>
      </w:divBdr>
      <w:divsChild>
        <w:div w:id="175655626">
          <w:marLeft w:val="0"/>
          <w:marRight w:val="0"/>
          <w:marTop w:val="0"/>
          <w:marBottom w:val="0"/>
          <w:divBdr>
            <w:top w:val="none" w:sz="0" w:space="0" w:color="auto"/>
            <w:left w:val="none" w:sz="0" w:space="0" w:color="auto"/>
            <w:bottom w:val="none" w:sz="0" w:space="0" w:color="auto"/>
            <w:right w:val="none" w:sz="0" w:space="0" w:color="auto"/>
          </w:divBdr>
          <w:divsChild>
            <w:div w:id="197594794">
              <w:marLeft w:val="0"/>
              <w:marRight w:val="0"/>
              <w:marTop w:val="0"/>
              <w:marBottom w:val="0"/>
              <w:divBdr>
                <w:top w:val="none" w:sz="0" w:space="0" w:color="auto"/>
                <w:left w:val="none" w:sz="0" w:space="0" w:color="auto"/>
                <w:bottom w:val="none" w:sz="0" w:space="0" w:color="auto"/>
                <w:right w:val="none" w:sz="0" w:space="0" w:color="auto"/>
              </w:divBdr>
              <w:divsChild>
                <w:div w:id="15891548">
                  <w:marLeft w:val="0"/>
                  <w:marRight w:val="0"/>
                  <w:marTop w:val="0"/>
                  <w:marBottom w:val="0"/>
                  <w:divBdr>
                    <w:top w:val="none" w:sz="0" w:space="0" w:color="auto"/>
                    <w:left w:val="none" w:sz="0" w:space="0" w:color="auto"/>
                    <w:bottom w:val="none" w:sz="0" w:space="0" w:color="auto"/>
                    <w:right w:val="none" w:sz="0" w:space="0" w:color="auto"/>
                  </w:divBdr>
                  <w:divsChild>
                    <w:div w:id="1816138183">
                      <w:marLeft w:val="0"/>
                      <w:marRight w:val="0"/>
                      <w:marTop w:val="0"/>
                      <w:marBottom w:val="0"/>
                      <w:divBdr>
                        <w:top w:val="none" w:sz="0" w:space="0" w:color="auto"/>
                        <w:left w:val="none" w:sz="0" w:space="0" w:color="auto"/>
                        <w:bottom w:val="none" w:sz="0" w:space="0" w:color="auto"/>
                        <w:right w:val="none" w:sz="0" w:space="0" w:color="auto"/>
                      </w:divBdr>
                      <w:divsChild>
                        <w:div w:id="117602479">
                          <w:marLeft w:val="0"/>
                          <w:marRight w:val="0"/>
                          <w:marTop w:val="0"/>
                          <w:marBottom w:val="0"/>
                          <w:divBdr>
                            <w:top w:val="none" w:sz="0" w:space="0" w:color="auto"/>
                            <w:left w:val="none" w:sz="0" w:space="0" w:color="auto"/>
                            <w:bottom w:val="none" w:sz="0" w:space="0" w:color="auto"/>
                            <w:right w:val="none" w:sz="0" w:space="0" w:color="auto"/>
                          </w:divBdr>
                          <w:divsChild>
                            <w:div w:id="9465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366676">
      <w:bodyDiv w:val="1"/>
      <w:marLeft w:val="0"/>
      <w:marRight w:val="0"/>
      <w:marTop w:val="0"/>
      <w:marBottom w:val="0"/>
      <w:divBdr>
        <w:top w:val="none" w:sz="0" w:space="0" w:color="auto"/>
        <w:left w:val="none" w:sz="0" w:space="0" w:color="auto"/>
        <w:bottom w:val="none" w:sz="0" w:space="0" w:color="auto"/>
        <w:right w:val="none" w:sz="0" w:space="0" w:color="auto"/>
      </w:divBdr>
    </w:div>
    <w:div w:id="1231622404">
      <w:bodyDiv w:val="1"/>
      <w:marLeft w:val="0"/>
      <w:marRight w:val="0"/>
      <w:marTop w:val="0"/>
      <w:marBottom w:val="0"/>
      <w:divBdr>
        <w:top w:val="none" w:sz="0" w:space="0" w:color="auto"/>
        <w:left w:val="none" w:sz="0" w:space="0" w:color="auto"/>
        <w:bottom w:val="none" w:sz="0" w:space="0" w:color="auto"/>
        <w:right w:val="none" w:sz="0" w:space="0" w:color="auto"/>
      </w:divBdr>
    </w:div>
    <w:div w:id="1345519965">
      <w:bodyDiv w:val="1"/>
      <w:marLeft w:val="0"/>
      <w:marRight w:val="0"/>
      <w:marTop w:val="0"/>
      <w:marBottom w:val="0"/>
      <w:divBdr>
        <w:top w:val="none" w:sz="0" w:space="0" w:color="auto"/>
        <w:left w:val="none" w:sz="0" w:space="0" w:color="auto"/>
        <w:bottom w:val="none" w:sz="0" w:space="0" w:color="auto"/>
        <w:right w:val="none" w:sz="0" w:space="0" w:color="auto"/>
      </w:divBdr>
    </w:div>
    <w:div w:id="1410730173">
      <w:bodyDiv w:val="1"/>
      <w:marLeft w:val="0"/>
      <w:marRight w:val="0"/>
      <w:marTop w:val="0"/>
      <w:marBottom w:val="0"/>
      <w:divBdr>
        <w:top w:val="none" w:sz="0" w:space="0" w:color="auto"/>
        <w:left w:val="none" w:sz="0" w:space="0" w:color="auto"/>
        <w:bottom w:val="none" w:sz="0" w:space="0" w:color="auto"/>
        <w:right w:val="none" w:sz="0" w:space="0" w:color="auto"/>
      </w:divBdr>
    </w:div>
    <w:div w:id="1415736369">
      <w:bodyDiv w:val="1"/>
      <w:marLeft w:val="0"/>
      <w:marRight w:val="0"/>
      <w:marTop w:val="0"/>
      <w:marBottom w:val="0"/>
      <w:divBdr>
        <w:top w:val="none" w:sz="0" w:space="0" w:color="auto"/>
        <w:left w:val="none" w:sz="0" w:space="0" w:color="auto"/>
        <w:bottom w:val="none" w:sz="0" w:space="0" w:color="auto"/>
        <w:right w:val="none" w:sz="0" w:space="0" w:color="auto"/>
      </w:divBdr>
    </w:div>
    <w:div w:id="1425607045">
      <w:bodyDiv w:val="1"/>
      <w:marLeft w:val="0"/>
      <w:marRight w:val="0"/>
      <w:marTop w:val="0"/>
      <w:marBottom w:val="0"/>
      <w:divBdr>
        <w:top w:val="none" w:sz="0" w:space="0" w:color="auto"/>
        <w:left w:val="none" w:sz="0" w:space="0" w:color="auto"/>
        <w:bottom w:val="none" w:sz="0" w:space="0" w:color="auto"/>
        <w:right w:val="none" w:sz="0" w:space="0" w:color="auto"/>
      </w:divBdr>
    </w:div>
    <w:div w:id="1488982121">
      <w:bodyDiv w:val="1"/>
      <w:marLeft w:val="0"/>
      <w:marRight w:val="0"/>
      <w:marTop w:val="0"/>
      <w:marBottom w:val="0"/>
      <w:divBdr>
        <w:top w:val="none" w:sz="0" w:space="0" w:color="auto"/>
        <w:left w:val="none" w:sz="0" w:space="0" w:color="auto"/>
        <w:bottom w:val="none" w:sz="0" w:space="0" w:color="auto"/>
        <w:right w:val="none" w:sz="0" w:space="0" w:color="auto"/>
      </w:divBdr>
    </w:div>
    <w:div w:id="1620530314">
      <w:bodyDiv w:val="1"/>
      <w:marLeft w:val="0"/>
      <w:marRight w:val="0"/>
      <w:marTop w:val="0"/>
      <w:marBottom w:val="0"/>
      <w:divBdr>
        <w:top w:val="none" w:sz="0" w:space="0" w:color="auto"/>
        <w:left w:val="none" w:sz="0" w:space="0" w:color="auto"/>
        <w:bottom w:val="none" w:sz="0" w:space="0" w:color="auto"/>
        <w:right w:val="none" w:sz="0" w:space="0" w:color="auto"/>
      </w:divBdr>
    </w:div>
    <w:div w:id="1650865150">
      <w:bodyDiv w:val="1"/>
      <w:marLeft w:val="0"/>
      <w:marRight w:val="0"/>
      <w:marTop w:val="0"/>
      <w:marBottom w:val="0"/>
      <w:divBdr>
        <w:top w:val="none" w:sz="0" w:space="0" w:color="auto"/>
        <w:left w:val="none" w:sz="0" w:space="0" w:color="auto"/>
        <w:bottom w:val="none" w:sz="0" w:space="0" w:color="auto"/>
        <w:right w:val="none" w:sz="0" w:space="0" w:color="auto"/>
      </w:divBdr>
    </w:div>
    <w:div w:id="1674069959">
      <w:bodyDiv w:val="1"/>
      <w:marLeft w:val="0"/>
      <w:marRight w:val="0"/>
      <w:marTop w:val="0"/>
      <w:marBottom w:val="0"/>
      <w:divBdr>
        <w:top w:val="none" w:sz="0" w:space="0" w:color="auto"/>
        <w:left w:val="none" w:sz="0" w:space="0" w:color="auto"/>
        <w:bottom w:val="none" w:sz="0" w:space="0" w:color="auto"/>
        <w:right w:val="none" w:sz="0" w:space="0" w:color="auto"/>
      </w:divBdr>
    </w:div>
    <w:div w:id="1691056412">
      <w:bodyDiv w:val="1"/>
      <w:marLeft w:val="0"/>
      <w:marRight w:val="0"/>
      <w:marTop w:val="0"/>
      <w:marBottom w:val="0"/>
      <w:divBdr>
        <w:top w:val="none" w:sz="0" w:space="0" w:color="auto"/>
        <w:left w:val="none" w:sz="0" w:space="0" w:color="auto"/>
        <w:bottom w:val="none" w:sz="0" w:space="0" w:color="auto"/>
        <w:right w:val="none" w:sz="0" w:space="0" w:color="auto"/>
      </w:divBdr>
    </w:div>
    <w:div w:id="1741098907">
      <w:bodyDiv w:val="1"/>
      <w:marLeft w:val="0"/>
      <w:marRight w:val="0"/>
      <w:marTop w:val="0"/>
      <w:marBottom w:val="0"/>
      <w:divBdr>
        <w:top w:val="none" w:sz="0" w:space="0" w:color="auto"/>
        <w:left w:val="none" w:sz="0" w:space="0" w:color="auto"/>
        <w:bottom w:val="none" w:sz="0" w:space="0" w:color="auto"/>
        <w:right w:val="none" w:sz="0" w:space="0" w:color="auto"/>
      </w:divBdr>
    </w:div>
    <w:div w:id="1818494024">
      <w:bodyDiv w:val="1"/>
      <w:marLeft w:val="0"/>
      <w:marRight w:val="0"/>
      <w:marTop w:val="0"/>
      <w:marBottom w:val="0"/>
      <w:divBdr>
        <w:top w:val="none" w:sz="0" w:space="0" w:color="auto"/>
        <w:left w:val="none" w:sz="0" w:space="0" w:color="auto"/>
        <w:bottom w:val="none" w:sz="0" w:space="0" w:color="auto"/>
        <w:right w:val="none" w:sz="0" w:space="0" w:color="auto"/>
      </w:divBdr>
    </w:div>
    <w:div w:id="1907841708">
      <w:bodyDiv w:val="1"/>
      <w:marLeft w:val="0"/>
      <w:marRight w:val="0"/>
      <w:marTop w:val="0"/>
      <w:marBottom w:val="0"/>
      <w:divBdr>
        <w:top w:val="none" w:sz="0" w:space="0" w:color="auto"/>
        <w:left w:val="none" w:sz="0" w:space="0" w:color="auto"/>
        <w:bottom w:val="none" w:sz="0" w:space="0" w:color="auto"/>
        <w:right w:val="none" w:sz="0" w:space="0" w:color="auto"/>
      </w:divBdr>
    </w:div>
    <w:div w:id="1971782474">
      <w:bodyDiv w:val="1"/>
      <w:marLeft w:val="0"/>
      <w:marRight w:val="0"/>
      <w:marTop w:val="0"/>
      <w:marBottom w:val="0"/>
      <w:divBdr>
        <w:top w:val="none" w:sz="0" w:space="0" w:color="auto"/>
        <w:left w:val="none" w:sz="0" w:space="0" w:color="auto"/>
        <w:bottom w:val="none" w:sz="0" w:space="0" w:color="auto"/>
        <w:right w:val="none" w:sz="0" w:space="0" w:color="auto"/>
      </w:divBdr>
    </w:div>
    <w:div w:id="2005234072">
      <w:bodyDiv w:val="1"/>
      <w:marLeft w:val="0"/>
      <w:marRight w:val="0"/>
      <w:marTop w:val="0"/>
      <w:marBottom w:val="0"/>
      <w:divBdr>
        <w:top w:val="none" w:sz="0" w:space="0" w:color="auto"/>
        <w:left w:val="none" w:sz="0" w:space="0" w:color="auto"/>
        <w:bottom w:val="none" w:sz="0" w:space="0" w:color="auto"/>
        <w:right w:val="none" w:sz="0" w:space="0" w:color="auto"/>
      </w:divBdr>
    </w:div>
    <w:div w:id="2051227683">
      <w:bodyDiv w:val="1"/>
      <w:marLeft w:val="0"/>
      <w:marRight w:val="0"/>
      <w:marTop w:val="0"/>
      <w:marBottom w:val="0"/>
      <w:divBdr>
        <w:top w:val="none" w:sz="0" w:space="0" w:color="auto"/>
        <w:left w:val="none" w:sz="0" w:space="0" w:color="auto"/>
        <w:bottom w:val="none" w:sz="0" w:space="0" w:color="auto"/>
        <w:right w:val="none" w:sz="0" w:space="0" w:color="auto"/>
      </w:divBdr>
    </w:div>
    <w:div w:id="2107725428">
      <w:bodyDiv w:val="1"/>
      <w:marLeft w:val="0"/>
      <w:marRight w:val="0"/>
      <w:marTop w:val="0"/>
      <w:marBottom w:val="0"/>
      <w:divBdr>
        <w:top w:val="none" w:sz="0" w:space="0" w:color="auto"/>
        <w:left w:val="none" w:sz="0" w:space="0" w:color="auto"/>
        <w:bottom w:val="none" w:sz="0" w:space="0" w:color="auto"/>
        <w:right w:val="none" w:sz="0" w:space="0" w:color="auto"/>
      </w:divBdr>
    </w:div>
    <w:div w:id="211913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2-14622-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11/mcn.1273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12</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9</cp:revision>
  <dcterms:created xsi:type="dcterms:W3CDTF">2026-03-30T17:37:00Z</dcterms:created>
  <dcterms:modified xsi:type="dcterms:W3CDTF">2026-04-08T09:59:00Z</dcterms:modified>
</cp:coreProperties>
</file>